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697" w:rsidRDefault="00DE7697" w:rsidP="0032054C">
      <w:pPr>
        <w:jc w:val="both"/>
        <w:rPr>
          <w:rFonts w:ascii="Times New Roman" w:hAnsi="Times New Roman" w:cs="Times New Roman"/>
          <w:b/>
          <w:sz w:val="24"/>
          <w:szCs w:val="24"/>
        </w:rPr>
      </w:pPr>
    </w:p>
    <w:p w:rsidR="000C2FCF" w:rsidRPr="00C5351D" w:rsidRDefault="00DE7697" w:rsidP="0032054C">
      <w:pPr>
        <w:jc w:val="both"/>
        <w:rPr>
          <w:rFonts w:ascii="Times New Roman" w:hAnsi="Times New Roman" w:cs="Times New Roman"/>
          <w:b/>
          <w:sz w:val="26"/>
          <w:szCs w:val="26"/>
        </w:rPr>
      </w:pPr>
      <w:r w:rsidRPr="00C5351D">
        <w:rPr>
          <w:rFonts w:ascii="Times New Roman" w:hAnsi="Times New Roman" w:cs="Times New Roman"/>
          <w:b/>
          <w:sz w:val="26"/>
          <w:szCs w:val="26"/>
        </w:rPr>
        <w:t>SECTORAL CREDIT DIVERSIFICATION, BANK PERFORMANCE AND MONITORING EFFECTIVENESS; A CROSS-COUNTRY ANALYSIS OF EAST AFRICAN BANKING INDUSTRIES</w:t>
      </w:r>
    </w:p>
    <w:p w:rsidR="000C2FCF" w:rsidRPr="00B917D4" w:rsidRDefault="000C2FCF" w:rsidP="0032054C">
      <w:pPr>
        <w:jc w:val="both"/>
        <w:rPr>
          <w:rFonts w:ascii="Times New Roman" w:hAnsi="Times New Roman" w:cs="Times New Roman"/>
          <w:b/>
          <w:sz w:val="24"/>
          <w:szCs w:val="24"/>
        </w:rPr>
      </w:pPr>
      <w:r w:rsidRPr="00B917D4">
        <w:rPr>
          <w:rFonts w:ascii="Times New Roman" w:hAnsi="Times New Roman" w:cs="Times New Roman"/>
          <w:sz w:val="24"/>
          <w:szCs w:val="24"/>
        </w:rPr>
        <w:t>Dr. Jonathan Mwau Mulwa</w:t>
      </w:r>
      <w:r w:rsidRPr="00B917D4">
        <w:rPr>
          <w:rStyle w:val="FootnoteReference"/>
          <w:rFonts w:ascii="Times New Roman" w:hAnsi="Times New Roman" w:cs="Times New Roman"/>
          <w:sz w:val="24"/>
          <w:szCs w:val="24"/>
        </w:rPr>
        <w:footnoteReference w:id="2"/>
      </w:r>
    </w:p>
    <w:p w:rsidR="000C2FCF" w:rsidRPr="00B917D4" w:rsidRDefault="000C2FCF" w:rsidP="0032054C">
      <w:pPr>
        <w:jc w:val="both"/>
        <w:rPr>
          <w:rFonts w:ascii="Times New Roman" w:hAnsi="Times New Roman" w:cs="Times New Roman"/>
          <w:b/>
          <w:sz w:val="24"/>
          <w:szCs w:val="24"/>
        </w:rPr>
      </w:pPr>
      <w:r w:rsidRPr="00B917D4">
        <w:rPr>
          <w:rFonts w:ascii="Times New Roman" w:hAnsi="Times New Roman" w:cs="Times New Roman"/>
          <w:b/>
          <w:sz w:val="24"/>
          <w:szCs w:val="24"/>
        </w:rPr>
        <w:t>Abstract</w:t>
      </w:r>
    </w:p>
    <w:p w:rsidR="008E6DA6" w:rsidRDefault="008E6DA6" w:rsidP="008E6DA6">
      <w:pPr>
        <w:pStyle w:val="ListParagraph"/>
        <w:autoSpaceDE w:val="0"/>
        <w:autoSpaceDN w:val="0"/>
        <w:adjustRightIn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Traditionally, banking has been viewed as a pathway to reducing the frictions of </w:t>
      </w:r>
      <w:r w:rsidRPr="00B917D4">
        <w:rPr>
          <w:rFonts w:ascii="Times New Roman" w:hAnsi="Times New Roman" w:cs="Times New Roman"/>
          <w:sz w:val="24"/>
          <w:szCs w:val="24"/>
        </w:rPr>
        <w:t>transaction costs and information asymmetries</w:t>
      </w:r>
      <w:r w:rsidR="00C65412">
        <w:rPr>
          <w:rFonts w:ascii="Times New Roman" w:hAnsi="Times New Roman" w:cs="Times New Roman"/>
          <w:sz w:val="24"/>
          <w:szCs w:val="24"/>
        </w:rPr>
        <w:t>.</w:t>
      </w:r>
      <w:r w:rsidRPr="00B917D4">
        <w:rPr>
          <w:rFonts w:ascii="Times New Roman" w:hAnsi="Times New Roman" w:cs="Times New Roman"/>
          <w:sz w:val="24"/>
          <w:szCs w:val="24"/>
        </w:rPr>
        <w:t xml:space="preserve"> However, </w:t>
      </w:r>
      <w:r w:rsidR="00C65412">
        <w:rPr>
          <w:rFonts w:ascii="Times New Roman" w:hAnsi="Times New Roman" w:cs="Times New Roman"/>
          <w:sz w:val="24"/>
          <w:szCs w:val="24"/>
        </w:rPr>
        <w:t xml:space="preserve">innovations </w:t>
      </w:r>
      <w:r w:rsidRPr="00B917D4">
        <w:rPr>
          <w:rFonts w:ascii="Times New Roman" w:hAnsi="Times New Roman" w:cs="Times New Roman"/>
          <w:sz w:val="24"/>
          <w:szCs w:val="24"/>
        </w:rPr>
        <w:t>in information technologies</w:t>
      </w:r>
      <w:r>
        <w:rPr>
          <w:rFonts w:ascii="Times New Roman" w:hAnsi="Times New Roman" w:cs="Times New Roman"/>
          <w:sz w:val="24"/>
          <w:szCs w:val="24"/>
        </w:rPr>
        <w:t>,</w:t>
      </w:r>
      <w:r w:rsidRPr="00B917D4">
        <w:rPr>
          <w:rFonts w:ascii="Times New Roman" w:hAnsi="Times New Roman" w:cs="Times New Roman"/>
          <w:sz w:val="24"/>
          <w:szCs w:val="24"/>
        </w:rPr>
        <w:t xml:space="preserve"> deregulation</w:t>
      </w:r>
      <w:r>
        <w:rPr>
          <w:rFonts w:ascii="Times New Roman" w:hAnsi="Times New Roman" w:cs="Times New Roman"/>
          <w:sz w:val="24"/>
          <w:szCs w:val="24"/>
        </w:rPr>
        <w:t>,</w:t>
      </w:r>
      <w:r w:rsidRPr="00B917D4">
        <w:rPr>
          <w:rFonts w:ascii="Times New Roman" w:hAnsi="Times New Roman" w:cs="Times New Roman"/>
          <w:sz w:val="24"/>
          <w:szCs w:val="24"/>
        </w:rPr>
        <w:t xml:space="preserve"> and </w:t>
      </w:r>
      <w:r w:rsidR="00C65412">
        <w:rPr>
          <w:rFonts w:ascii="Times New Roman" w:hAnsi="Times New Roman" w:cs="Times New Roman"/>
          <w:sz w:val="24"/>
          <w:szCs w:val="24"/>
        </w:rPr>
        <w:t xml:space="preserve">financial </w:t>
      </w:r>
      <w:r w:rsidRPr="00B917D4">
        <w:rPr>
          <w:rFonts w:ascii="Times New Roman" w:hAnsi="Times New Roman" w:cs="Times New Roman"/>
          <w:sz w:val="24"/>
          <w:szCs w:val="24"/>
        </w:rPr>
        <w:t xml:space="preserve">deepening have </w:t>
      </w:r>
      <w:r>
        <w:rPr>
          <w:rFonts w:ascii="Times New Roman" w:hAnsi="Times New Roman" w:cs="Times New Roman"/>
          <w:sz w:val="24"/>
          <w:szCs w:val="24"/>
        </w:rPr>
        <w:t>deprived</w:t>
      </w:r>
      <w:r w:rsidRPr="00B917D4">
        <w:rPr>
          <w:rFonts w:ascii="Times New Roman" w:hAnsi="Times New Roman" w:cs="Times New Roman"/>
          <w:sz w:val="24"/>
          <w:szCs w:val="24"/>
        </w:rPr>
        <w:t xml:space="preserve"> banks of the intermediation advantages</w:t>
      </w:r>
      <w:r w:rsidR="00C65412">
        <w:rPr>
          <w:rFonts w:ascii="Times New Roman" w:hAnsi="Times New Roman" w:cs="Times New Roman"/>
          <w:sz w:val="24"/>
          <w:szCs w:val="24"/>
        </w:rPr>
        <w:t xml:space="preserve"> by</w:t>
      </w:r>
      <w:r>
        <w:rPr>
          <w:rFonts w:ascii="Times New Roman" w:hAnsi="Times New Roman" w:cs="Times New Roman"/>
          <w:sz w:val="24"/>
          <w:szCs w:val="24"/>
        </w:rPr>
        <w:t xml:space="preserve"> reducing the costs and information gaps.</w:t>
      </w:r>
      <w:r w:rsidRPr="00B917D4">
        <w:rPr>
          <w:rFonts w:ascii="Times New Roman" w:hAnsi="Times New Roman" w:cs="Times New Roman"/>
          <w:sz w:val="24"/>
          <w:szCs w:val="24"/>
        </w:rPr>
        <w:t xml:space="preserve"> </w:t>
      </w:r>
      <w:r w:rsidR="00C65412">
        <w:rPr>
          <w:rFonts w:ascii="Times New Roman" w:hAnsi="Times New Roman" w:cs="Times New Roman"/>
          <w:sz w:val="24"/>
          <w:szCs w:val="24"/>
        </w:rPr>
        <w:t>T</w:t>
      </w:r>
      <w:r>
        <w:rPr>
          <w:rFonts w:ascii="Times New Roman" w:hAnsi="Times New Roman" w:cs="Times New Roman"/>
          <w:sz w:val="24"/>
          <w:szCs w:val="24"/>
        </w:rPr>
        <w:t xml:space="preserve">he emergence of shadow banking model further erodes these advantages. Banks </w:t>
      </w:r>
      <w:r w:rsidRPr="00B917D4">
        <w:rPr>
          <w:rFonts w:ascii="Times New Roman" w:hAnsi="Times New Roman" w:cs="Times New Roman"/>
          <w:sz w:val="24"/>
          <w:szCs w:val="24"/>
        </w:rPr>
        <w:t>have</w:t>
      </w:r>
      <w:r w:rsidR="00C65412">
        <w:rPr>
          <w:rFonts w:ascii="Times New Roman" w:hAnsi="Times New Roman" w:cs="Times New Roman"/>
          <w:sz w:val="24"/>
          <w:szCs w:val="24"/>
        </w:rPr>
        <w:t xml:space="preserve"> often</w:t>
      </w:r>
      <w:r w:rsidRPr="00B917D4">
        <w:rPr>
          <w:rFonts w:ascii="Times New Roman" w:hAnsi="Times New Roman" w:cs="Times New Roman"/>
          <w:sz w:val="24"/>
          <w:szCs w:val="24"/>
        </w:rPr>
        <w:t xml:space="preserve"> responded by ameliorating their intermediation costs, through sectoral diversification.</w:t>
      </w:r>
      <w:r>
        <w:rPr>
          <w:rFonts w:ascii="Times New Roman" w:hAnsi="Times New Roman" w:cs="Times New Roman"/>
          <w:sz w:val="24"/>
          <w:szCs w:val="24"/>
        </w:rPr>
        <w:t xml:space="preserve"> Indeed </w:t>
      </w:r>
      <w:r w:rsidRPr="00B917D4">
        <w:rPr>
          <w:rFonts w:ascii="Times New Roman" w:hAnsi="Times New Roman" w:cs="Times New Roman"/>
          <w:sz w:val="24"/>
          <w:szCs w:val="24"/>
        </w:rPr>
        <w:t xml:space="preserve">intermediation </w:t>
      </w:r>
      <w:r w:rsidR="00C65412">
        <w:rPr>
          <w:rFonts w:ascii="Times New Roman" w:hAnsi="Times New Roman" w:cs="Times New Roman"/>
          <w:sz w:val="24"/>
          <w:szCs w:val="24"/>
        </w:rPr>
        <w:t xml:space="preserve">theories </w:t>
      </w:r>
      <w:r w:rsidRPr="00B917D4">
        <w:rPr>
          <w:rFonts w:ascii="Times New Roman" w:hAnsi="Times New Roman" w:cs="Times New Roman"/>
          <w:sz w:val="24"/>
          <w:szCs w:val="24"/>
        </w:rPr>
        <w:t>advocate for diversification to a</w:t>
      </w:r>
      <w:r w:rsidR="00C65412">
        <w:rPr>
          <w:rFonts w:ascii="Times New Roman" w:hAnsi="Times New Roman" w:cs="Times New Roman"/>
          <w:sz w:val="24"/>
          <w:szCs w:val="24"/>
        </w:rPr>
        <w:t>ttain efficiency by reducing</w:t>
      </w:r>
      <w:r w:rsidRPr="00B917D4">
        <w:rPr>
          <w:rFonts w:ascii="Times New Roman" w:hAnsi="Times New Roman" w:cs="Times New Roman"/>
          <w:sz w:val="24"/>
          <w:szCs w:val="24"/>
        </w:rPr>
        <w:t xml:space="preserve"> costs</w:t>
      </w:r>
      <w:r>
        <w:rPr>
          <w:rFonts w:ascii="Times New Roman" w:hAnsi="Times New Roman" w:cs="Times New Roman"/>
          <w:sz w:val="24"/>
          <w:szCs w:val="24"/>
        </w:rPr>
        <w:t xml:space="preserve">. </w:t>
      </w:r>
      <w:r w:rsidRPr="00B917D4">
        <w:rPr>
          <w:rFonts w:ascii="Times New Roman" w:hAnsi="Times New Roman" w:cs="Times New Roman"/>
          <w:sz w:val="24"/>
          <w:szCs w:val="24"/>
        </w:rPr>
        <w:t>However, given the nature of their operations, banks never hold sufficient balances</w:t>
      </w:r>
      <w:r w:rsidR="00C65412">
        <w:rPr>
          <w:rFonts w:ascii="Times New Roman" w:hAnsi="Times New Roman" w:cs="Times New Roman"/>
          <w:sz w:val="24"/>
          <w:szCs w:val="24"/>
        </w:rPr>
        <w:t xml:space="preserve"> to guarantee full liquidity. T</w:t>
      </w:r>
      <w:r w:rsidRPr="00B917D4">
        <w:rPr>
          <w:rFonts w:ascii="Times New Roman" w:hAnsi="Times New Roman" w:cs="Times New Roman"/>
          <w:sz w:val="24"/>
          <w:szCs w:val="24"/>
        </w:rPr>
        <w:t>his exposes them to runs and portfolio losses if they don’t efficiently monitor and recover the advances.</w:t>
      </w:r>
      <w:r>
        <w:rPr>
          <w:rFonts w:ascii="Times New Roman" w:hAnsi="Times New Roman" w:cs="Times New Roman"/>
          <w:sz w:val="24"/>
          <w:szCs w:val="24"/>
        </w:rPr>
        <w:t xml:space="preserve"> This scenario raises two questions that are critical to the very core of bank intermediation. First, does sectoral credit diversification enhance bank profitability; and secondly, are banks able to effectively monitor the many portfolios resulting from diversification? To answer these questions, s</w:t>
      </w:r>
      <w:r w:rsidRPr="00B917D4">
        <w:rPr>
          <w:rFonts w:ascii="Times New Roman" w:hAnsi="Times New Roman" w:cs="Times New Roman"/>
          <w:sz w:val="24"/>
          <w:szCs w:val="24"/>
        </w:rPr>
        <w:t xml:space="preserve">econdary </w:t>
      </w:r>
      <w:r>
        <w:rPr>
          <w:rFonts w:ascii="Times New Roman" w:hAnsi="Times New Roman" w:cs="Times New Roman"/>
          <w:sz w:val="24"/>
          <w:szCs w:val="24"/>
        </w:rPr>
        <w:t>data</w:t>
      </w:r>
      <w:r w:rsidRPr="00B917D4">
        <w:rPr>
          <w:rFonts w:ascii="Times New Roman" w:hAnsi="Times New Roman" w:cs="Times New Roman"/>
          <w:sz w:val="24"/>
          <w:szCs w:val="24"/>
        </w:rPr>
        <w:t xml:space="preserve"> was </w:t>
      </w:r>
      <w:r>
        <w:rPr>
          <w:rFonts w:ascii="Times New Roman" w:hAnsi="Times New Roman" w:cs="Times New Roman"/>
          <w:sz w:val="24"/>
          <w:szCs w:val="24"/>
        </w:rPr>
        <w:t>collected from</w:t>
      </w:r>
      <w:r w:rsidRPr="00B917D4">
        <w:rPr>
          <w:rFonts w:ascii="Times New Roman" w:hAnsi="Times New Roman" w:cs="Times New Roman"/>
          <w:sz w:val="24"/>
          <w:szCs w:val="24"/>
        </w:rPr>
        <w:t xml:space="preserve"> Bank Supervision reports of the central banks in four </w:t>
      </w:r>
      <w:r w:rsidR="00C65412">
        <w:rPr>
          <w:rFonts w:ascii="Times New Roman" w:hAnsi="Times New Roman" w:cs="Times New Roman"/>
          <w:sz w:val="24"/>
          <w:szCs w:val="24"/>
        </w:rPr>
        <w:t>East African Community (</w:t>
      </w:r>
      <w:r w:rsidRPr="00B917D4">
        <w:rPr>
          <w:rFonts w:ascii="Times New Roman" w:hAnsi="Times New Roman" w:cs="Times New Roman"/>
          <w:sz w:val="24"/>
          <w:szCs w:val="24"/>
        </w:rPr>
        <w:t>EAC</w:t>
      </w:r>
      <w:r w:rsidR="00C65412">
        <w:rPr>
          <w:rFonts w:ascii="Times New Roman" w:hAnsi="Times New Roman" w:cs="Times New Roman"/>
          <w:sz w:val="24"/>
          <w:szCs w:val="24"/>
        </w:rPr>
        <w:t>)</w:t>
      </w:r>
      <w:r w:rsidRPr="00B917D4">
        <w:rPr>
          <w:rFonts w:ascii="Times New Roman" w:hAnsi="Times New Roman" w:cs="Times New Roman"/>
          <w:sz w:val="24"/>
          <w:szCs w:val="24"/>
        </w:rPr>
        <w:t xml:space="preserve"> countries for eight firm years from 2008 to 2015</w:t>
      </w:r>
      <w:r>
        <w:rPr>
          <w:rFonts w:ascii="Times New Roman" w:hAnsi="Times New Roman" w:cs="Times New Roman"/>
          <w:sz w:val="24"/>
          <w:szCs w:val="24"/>
        </w:rPr>
        <w:t xml:space="preserve"> and analysed using </w:t>
      </w:r>
      <w:r>
        <w:rPr>
          <w:rFonts w:ascii="Times New Roman" w:eastAsiaTheme="minorEastAsia" w:hAnsi="Times New Roman" w:cs="Times New Roman"/>
          <w:sz w:val="24"/>
          <w:szCs w:val="24"/>
          <w:lang w:eastAsia="en-GB"/>
        </w:rPr>
        <w:t>Generalized Linear M</w:t>
      </w:r>
      <w:r w:rsidRPr="00B917D4">
        <w:rPr>
          <w:rFonts w:ascii="Times New Roman" w:eastAsiaTheme="minorEastAsia" w:hAnsi="Times New Roman" w:cs="Times New Roman"/>
          <w:sz w:val="24"/>
          <w:szCs w:val="24"/>
          <w:lang w:eastAsia="en-GB"/>
        </w:rPr>
        <w:t>odels (</w:t>
      </w:r>
      <w:r w:rsidRPr="00B917D4">
        <w:rPr>
          <w:rFonts w:ascii="Times New Roman" w:hAnsi="Times New Roman" w:cs="Times New Roman"/>
          <w:sz w:val="24"/>
          <w:szCs w:val="24"/>
          <w:lang w:eastAsia="en-GB"/>
        </w:rPr>
        <w:t>GLM)</w:t>
      </w:r>
      <w:r>
        <w:rPr>
          <w:rFonts w:ascii="Times New Roman" w:hAnsi="Times New Roman" w:cs="Times New Roman"/>
          <w:sz w:val="24"/>
          <w:szCs w:val="24"/>
          <w:lang w:eastAsia="en-GB"/>
        </w:rPr>
        <w:t xml:space="preserve">. </w:t>
      </w:r>
      <w:r>
        <w:rPr>
          <w:rFonts w:ascii="Times New Roman" w:hAnsi="Times New Roman" w:cs="Times New Roman"/>
          <w:sz w:val="24"/>
          <w:szCs w:val="24"/>
        </w:rPr>
        <w:t>A</w:t>
      </w:r>
      <w:r w:rsidRPr="00B917D4">
        <w:rPr>
          <w:rFonts w:ascii="Times New Roman" w:hAnsi="Times New Roman" w:cs="Times New Roman"/>
          <w:sz w:val="24"/>
          <w:szCs w:val="24"/>
        </w:rPr>
        <w:t xml:space="preserve"> positive and significant effect of sectoral credit diversification on banking industry returns on assets</w:t>
      </w:r>
      <w:r>
        <w:rPr>
          <w:rFonts w:ascii="Times New Roman" w:hAnsi="Times New Roman" w:cs="Times New Roman"/>
          <w:sz w:val="24"/>
          <w:szCs w:val="24"/>
        </w:rPr>
        <w:t xml:space="preserve"> was observed while a </w:t>
      </w:r>
      <w:r w:rsidRPr="00B917D4">
        <w:rPr>
          <w:rFonts w:ascii="Times New Roman" w:hAnsi="Times New Roman" w:cs="Times New Roman"/>
          <w:sz w:val="24"/>
          <w:szCs w:val="24"/>
        </w:rPr>
        <w:t>significant negative relationship between diversification and asset quality</w:t>
      </w:r>
      <w:r>
        <w:rPr>
          <w:rFonts w:ascii="Times New Roman" w:hAnsi="Times New Roman" w:cs="Times New Roman"/>
          <w:sz w:val="24"/>
          <w:szCs w:val="24"/>
        </w:rPr>
        <w:t xml:space="preserve"> as a proxy for monitoring effectiveness was reported</w:t>
      </w:r>
      <w:r w:rsidRPr="00B917D4">
        <w:rPr>
          <w:rFonts w:ascii="Times New Roman" w:hAnsi="Times New Roman" w:cs="Times New Roman"/>
          <w:sz w:val="24"/>
          <w:szCs w:val="24"/>
        </w:rPr>
        <w:t>. This shows that sectoral credit diversification improve the mon</w:t>
      </w:r>
      <w:r w:rsidR="00C65412">
        <w:rPr>
          <w:rFonts w:ascii="Times New Roman" w:hAnsi="Times New Roman" w:cs="Times New Roman"/>
          <w:sz w:val="24"/>
          <w:szCs w:val="24"/>
        </w:rPr>
        <w:t>itoring effectiveness of banks</w:t>
      </w:r>
      <w:r w:rsidRPr="00B917D4">
        <w:rPr>
          <w:rFonts w:ascii="Times New Roman" w:hAnsi="Times New Roman" w:cs="Times New Roman"/>
          <w:sz w:val="24"/>
          <w:szCs w:val="24"/>
        </w:rPr>
        <w:t xml:space="preserve">. </w:t>
      </w:r>
      <w:r>
        <w:rPr>
          <w:rFonts w:ascii="Times New Roman" w:hAnsi="Times New Roman" w:cs="Times New Roman"/>
          <w:sz w:val="24"/>
          <w:szCs w:val="24"/>
        </w:rPr>
        <w:t xml:space="preserve">The paper recommends </w:t>
      </w:r>
      <w:r w:rsidRPr="00B917D4">
        <w:rPr>
          <w:rFonts w:ascii="Times New Roman" w:hAnsi="Times New Roman" w:cs="Times New Roman"/>
          <w:sz w:val="24"/>
          <w:szCs w:val="24"/>
        </w:rPr>
        <w:t>a diversified loan portfolio where intermediaries distribute their credit offerings across various economic sectors.</w:t>
      </w:r>
    </w:p>
    <w:p w:rsidR="003659DB" w:rsidRDefault="003659DB" w:rsidP="008E6DA6">
      <w:pPr>
        <w:pStyle w:val="ListParagraph"/>
        <w:autoSpaceDE w:val="0"/>
        <w:autoSpaceDN w:val="0"/>
        <w:adjustRightInd w:val="0"/>
        <w:ind w:left="0"/>
        <w:contextualSpacing w:val="0"/>
        <w:jc w:val="both"/>
        <w:rPr>
          <w:rFonts w:ascii="Times New Roman" w:hAnsi="Times New Roman" w:cs="Times New Roman"/>
          <w:sz w:val="24"/>
          <w:szCs w:val="24"/>
        </w:rPr>
      </w:pPr>
    </w:p>
    <w:p w:rsidR="003659DB" w:rsidRPr="003659DB" w:rsidRDefault="003659DB" w:rsidP="003659DB">
      <w:pPr>
        <w:spacing w:line="360" w:lineRule="auto"/>
        <w:ind w:left="1" w:hanging="1"/>
        <w:rPr>
          <w:rFonts w:ascii="Times New Roman" w:eastAsia="Calibri" w:hAnsi="Times New Roman" w:cs="Times New Roman"/>
          <w:color w:val="000000"/>
          <w:sz w:val="24"/>
          <w:szCs w:val="24"/>
        </w:rPr>
      </w:pPr>
      <w:r w:rsidRPr="003659DB">
        <w:rPr>
          <w:rFonts w:ascii="Times New Roman" w:eastAsia="Calibri" w:hAnsi="Times New Roman" w:cs="Times New Roman"/>
          <w:b/>
          <w:color w:val="000000"/>
          <w:sz w:val="24"/>
          <w:szCs w:val="24"/>
        </w:rPr>
        <w:t>JEL classification numbers:</w:t>
      </w:r>
      <w:r w:rsidRPr="003659DB">
        <w:rPr>
          <w:rFonts w:ascii="Times New Roman" w:eastAsia="Calibri" w:hAnsi="Times New Roman" w:cs="Times New Roman"/>
          <w:color w:val="000000"/>
          <w:sz w:val="24"/>
          <w:szCs w:val="24"/>
        </w:rPr>
        <w:t xml:space="preserve"> </w:t>
      </w:r>
      <w:r w:rsidRPr="003659DB">
        <w:rPr>
          <w:rFonts w:ascii="Times New Roman" w:eastAsia="Calibri" w:hAnsi="Times New Roman" w:cs="Times New Roman"/>
          <w:color w:val="000000"/>
          <w:sz w:val="24"/>
          <w:szCs w:val="24"/>
          <w:highlight w:val="yellow"/>
        </w:rPr>
        <w:t>xxxx</w:t>
      </w:r>
    </w:p>
    <w:p w:rsidR="003659DB" w:rsidRPr="00A93210" w:rsidRDefault="003659DB" w:rsidP="003659DB">
      <w:pPr>
        <w:jc w:val="both"/>
        <w:rPr>
          <w:rFonts w:ascii="Times New Roman" w:hAnsi="Times New Roman" w:cs="Times New Roman"/>
          <w:sz w:val="24"/>
          <w:szCs w:val="24"/>
        </w:rPr>
      </w:pPr>
      <w:r w:rsidRPr="003659DB">
        <w:rPr>
          <w:rFonts w:ascii="Times New Roman" w:eastAsia="Calibri" w:hAnsi="Times New Roman" w:cs="Times New Roman"/>
          <w:b/>
          <w:color w:val="000000"/>
          <w:sz w:val="24"/>
          <w:szCs w:val="24"/>
        </w:rPr>
        <w:t xml:space="preserve">Keywords: </w:t>
      </w:r>
      <w:r w:rsidRPr="00A93210">
        <w:rPr>
          <w:rFonts w:ascii="Times New Roman" w:hAnsi="Times New Roman" w:cs="Times New Roman"/>
          <w:sz w:val="24"/>
          <w:szCs w:val="24"/>
        </w:rPr>
        <w:t>Credit Diversification, Bank Performance</w:t>
      </w:r>
      <w:r>
        <w:rPr>
          <w:rFonts w:ascii="Times New Roman" w:hAnsi="Times New Roman" w:cs="Times New Roman"/>
          <w:sz w:val="24"/>
          <w:szCs w:val="24"/>
        </w:rPr>
        <w:t xml:space="preserve">, </w:t>
      </w:r>
      <w:r w:rsidRPr="00A93210">
        <w:rPr>
          <w:rFonts w:ascii="Times New Roman" w:hAnsi="Times New Roman" w:cs="Times New Roman"/>
          <w:sz w:val="24"/>
          <w:szCs w:val="24"/>
        </w:rPr>
        <w:t>Monitoring Effectiveness</w:t>
      </w:r>
    </w:p>
    <w:p w:rsidR="000C2FCF" w:rsidRPr="00B917D4" w:rsidRDefault="000C2FCF" w:rsidP="0032054C">
      <w:pPr>
        <w:pStyle w:val="ListParagraph"/>
        <w:numPr>
          <w:ilvl w:val="0"/>
          <w:numId w:val="1"/>
        </w:numPr>
        <w:ind w:left="567" w:hanging="567"/>
        <w:contextualSpacing w:val="0"/>
        <w:jc w:val="both"/>
        <w:rPr>
          <w:rFonts w:ascii="Times New Roman" w:hAnsi="Times New Roman" w:cs="Times New Roman"/>
          <w:b/>
          <w:sz w:val="24"/>
          <w:szCs w:val="24"/>
        </w:rPr>
      </w:pPr>
      <w:r w:rsidRPr="00B917D4">
        <w:rPr>
          <w:rFonts w:ascii="Times New Roman" w:hAnsi="Times New Roman" w:cs="Times New Roman"/>
          <w:b/>
          <w:sz w:val="24"/>
          <w:szCs w:val="24"/>
        </w:rPr>
        <w:lastRenderedPageBreak/>
        <w:t>Introduction</w:t>
      </w:r>
    </w:p>
    <w:p w:rsidR="000C2FCF" w:rsidRPr="00B917D4" w:rsidRDefault="000C2FCF" w:rsidP="0032054C">
      <w:pPr>
        <w:pStyle w:val="ListParagraph"/>
        <w:autoSpaceDE w:val="0"/>
        <w:autoSpaceDN w:val="0"/>
        <w:adjustRightInd w:val="0"/>
        <w:ind w:left="0"/>
        <w:contextualSpacing w:val="0"/>
        <w:jc w:val="both"/>
        <w:rPr>
          <w:rFonts w:ascii="Times New Roman" w:hAnsi="Times New Roman" w:cs="Times New Roman"/>
          <w:sz w:val="24"/>
          <w:szCs w:val="24"/>
        </w:rPr>
      </w:pPr>
      <w:r w:rsidRPr="00B917D4">
        <w:rPr>
          <w:rFonts w:ascii="Times New Roman" w:hAnsi="Times New Roman" w:cs="Times New Roman"/>
          <w:sz w:val="24"/>
          <w:szCs w:val="24"/>
        </w:rPr>
        <w:t xml:space="preserve">Traditional intermediation theories have emphasized the role of banking firms as that of reducing the frictions of transaction costs and information asymmetries (Allen and Santomero, 1998; Scholtens and Wensveen, 2003; </w:t>
      </w:r>
      <w:r w:rsidR="004C2BF8" w:rsidRPr="00B917D4">
        <w:rPr>
          <w:rFonts w:ascii="Times New Roman" w:hAnsi="Times New Roman" w:cs="Times New Roman"/>
          <w:sz w:val="24"/>
          <w:szCs w:val="24"/>
        </w:rPr>
        <w:t>Cetorelli, Mandel and Mollineaux,</w:t>
      </w:r>
      <w:r w:rsidRPr="00B917D4">
        <w:rPr>
          <w:rFonts w:ascii="Times New Roman" w:hAnsi="Times New Roman" w:cs="Times New Roman"/>
          <w:sz w:val="24"/>
          <w:szCs w:val="24"/>
        </w:rPr>
        <w:t xml:space="preserve"> 2012). </w:t>
      </w:r>
      <w:r w:rsidR="00332869" w:rsidRPr="00B917D4">
        <w:rPr>
          <w:rFonts w:ascii="Times New Roman" w:hAnsi="Times New Roman" w:cs="Times New Roman"/>
          <w:sz w:val="24"/>
          <w:szCs w:val="24"/>
        </w:rPr>
        <w:t>T</w:t>
      </w:r>
      <w:r w:rsidRPr="00B917D4">
        <w:rPr>
          <w:rFonts w:ascii="Times New Roman" w:hAnsi="Times New Roman" w:cs="Times New Roman"/>
          <w:sz w:val="24"/>
          <w:szCs w:val="24"/>
        </w:rPr>
        <w:t>he wide range of costs associated with direct finance justifies the existence of financial intermediaries who could efficiently perform the multiple roles of s</w:t>
      </w:r>
      <w:r w:rsidR="00D1016D" w:rsidRPr="00B917D4">
        <w:rPr>
          <w:rFonts w:ascii="Times New Roman" w:hAnsi="Times New Roman" w:cs="Times New Roman"/>
          <w:sz w:val="24"/>
          <w:szCs w:val="24"/>
        </w:rPr>
        <w:t>creening, selection, monitoring</w:t>
      </w:r>
      <w:r w:rsidRPr="00B917D4">
        <w:rPr>
          <w:rFonts w:ascii="Times New Roman" w:hAnsi="Times New Roman" w:cs="Times New Roman"/>
          <w:sz w:val="24"/>
          <w:szCs w:val="24"/>
        </w:rPr>
        <w:t xml:space="preserve"> and diversification of risk while simultaneously providing credit and liquidity services t</w:t>
      </w:r>
      <w:r w:rsidR="00D1016D" w:rsidRPr="00B917D4">
        <w:rPr>
          <w:rFonts w:ascii="Times New Roman" w:hAnsi="Times New Roman" w:cs="Times New Roman"/>
          <w:sz w:val="24"/>
          <w:szCs w:val="24"/>
        </w:rPr>
        <w:t>o fund suppliers</w:t>
      </w:r>
      <w:r w:rsidR="00332869" w:rsidRPr="00B917D4">
        <w:rPr>
          <w:rFonts w:ascii="Times New Roman" w:hAnsi="Times New Roman" w:cs="Times New Roman"/>
          <w:sz w:val="24"/>
          <w:szCs w:val="24"/>
        </w:rPr>
        <w:t xml:space="preserve"> (Cetorelli </w:t>
      </w:r>
      <w:r w:rsidR="00332869" w:rsidRPr="00B917D4">
        <w:rPr>
          <w:rFonts w:ascii="Times New Roman" w:hAnsi="Times New Roman" w:cs="Times New Roman"/>
          <w:i/>
          <w:sz w:val="24"/>
          <w:szCs w:val="24"/>
        </w:rPr>
        <w:t>et al</w:t>
      </w:r>
      <w:r w:rsidR="00332869" w:rsidRPr="00B917D4">
        <w:rPr>
          <w:rFonts w:ascii="Times New Roman" w:hAnsi="Times New Roman" w:cs="Times New Roman"/>
          <w:sz w:val="24"/>
          <w:szCs w:val="24"/>
        </w:rPr>
        <w:t xml:space="preserve">., </w:t>
      </w:r>
      <w:r w:rsidR="00332869" w:rsidRPr="00B917D4">
        <w:rPr>
          <w:rFonts w:ascii="Times New Roman" w:hAnsi="Times New Roman" w:cs="Times New Roman"/>
          <w:i/>
          <w:sz w:val="24"/>
          <w:szCs w:val="24"/>
        </w:rPr>
        <w:t>op. cit.</w:t>
      </w:r>
      <w:r w:rsidR="00332869" w:rsidRPr="00B917D4">
        <w:rPr>
          <w:rFonts w:ascii="Times New Roman" w:hAnsi="Times New Roman" w:cs="Times New Roman"/>
          <w:sz w:val="24"/>
          <w:szCs w:val="24"/>
        </w:rPr>
        <w:t>)</w:t>
      </w:r>
      <w:r w:rsidR="00D1016D" w:rsidRPr="00B917D4">
        <w:rPr>
          <w:rFonts w:ascii="Times New Roman" w:hAnsi="Times New Roman" w:cs="Times New Roman"/>
          <w:sz w:val="24"/>
          <w:szCs w:val="24"/>
        </w:rPr>
        <w:t>. Transaction</w:t>
      </w:r>
      <w:r w:rsidRPr="00B917D4">
        <w:rPr>
          <w:rFonts w:ascii="Times New Roman" w:hAnsi="Times New Roman" w:cs="Times New Roman"/>
          <w:sz w:val="24"/>
          <w:szCs w:val="24"/>
        </w:rPr>
        <w:t xml:space="preserve"> costs grant bank intermediaries an advantage over other intermediaries and individuals</w:t>
      </w:r>
      <w:r w:rsidR="005A37E8">
        <w:rPr>
          <w:rFonts w:ascii="Times New Roman" w:hAnsi="Times New Roman" w:cs="Times New Roman"/>
          <w:sz w:val="24"/>
          <w:szCs w:val="24"/>
        </w:rPr>
        <w:t xml:space="preserve">. This </w:t>
      </w:r>
      <w:r w:rsidRPr="00B917D4">
        <w:rPr>
          <w:rFonts w:ascii="Times New Roman" w:hAnsi="Times New Roman" w:cs="Times New Roman"/>
          <w:sz w:val="24"/>
          <w:szCs w:val="24"/>
        </w:rPr>
        <w:t>mean</w:t>
      </w:r>
      <w:r w:rsidR="007808F5">
        <w:rPr>
          <w:rFonts w:ascii="Times New Roman" w:hAnsi="Times New Roman" w:cs="Times New Roman"/>
          <w:sz w:val="24"/>
          <w:szCs w:val="24"/>
        </w:rPr>
        <w:t>s</w:t>
      </w:r>
      <w:r w:rsidRPr="00B917D4">
        <w:rPr>
          <w:rFonts w:ascii="Times New Roman" w:hAnsi="Times New Roman" w:cs="Times New Roman"/>
          <w:sz w:val="24"/>
          <w:szCs w:val="24"/>
        </w:rPr>
        <w:t xml:space="preserve"> that banks can more easily be diversified. However, developments in information technologies, deregulation and deepening in the financial markets </w:t>
      </w:r>
      <w:r w:rsidR="00D1016D" w:rsidRPr="00B917D4">
        <w:rPr>
          <w:rFonts w:ascii="Times New Roman" w:hAnsi="Times New Roman" w:cs="Times New Roman"/>
          <w:sz w:val="24"/>
          <w:szCs w:val="24"/>
        </w:rPr>
        <w:t>have significantly reduced the transaction</w:t>
      </w:r>
      <w:r w:rsidRPr="00B917D4">
        <w:rPr>
          <w:rFonts w:ascii="Times New Roman" w:hAnsi="Times New Roman" w:cs="Times New Roman"/>
          <w:sz w:val="24"/>
          <w:szCs w:val="24"/>
        </w:rPr>
        <w:t xml:space="preserve"> costs and information asymmetries depriving banks of the intermediation advantages</w:t>
      </w:r>
      <w:r w:rsidR="007808F5">
        <w:rPr>
          <w:rFonts w:ascii="Times New Roman" w:hAnsi="Times New Roman" w:cs="Times New Roman"/>
          <w:sz w:val="24"/>
          <w:szCs w:val="24"/>
        </w:rPr>
        <w:t xml:space="preserve"> they once enjoyed</w:t>
      </w:r>
      <w:r w:rsidR="00332869" w:rsidRPr="00B917D4">
        <w:rPr>
          <w:rFonts w:ascii="Times New Roman" w:hAnsi="Times New Roman" w:cs="Times New Roman"/>
          <w:sz w:val="24"/>
          <w:szCs w:val="24"/>
        </w:rPr>
        <w:t xml:space="preserve"> (Scholtens and Wensveen, </w:t>
      </w:r>
      <w:r w:rsidR="00332869" w:rsidRPr="00B917D4">
        <w:rPr>
          <w:rFonts w:ascii="Times New Roman" w:hAnsi="Times New Roman" w:cs="Times New Roman"/>
          <w:i/>
          <w:sz w:val="24"/>
          <w:szCs w:val="24"/>
        </w:rPr>
        <w:t>loc. cit.</w:t>
      </w:r>
      <w:r w:rsidR="00332869" w:rsidRPr="00B917D4">
        <w:rPr>
          <w:rFonts w:ascii="Times New Roman" w:hAnsi="Times New Roman" w:cs="Times New Roman"/>
          <w:sz w:val="24"/>
          <w:szCs w:val="24"/>
        </w:rPr>
        <w:t>)</w:t>
      </w:r>
      <w:r w:rsidR="00566953" w:rsidRPr="00B917D4">
        <w:rPr>
          <w:rFonts w:ascii="Times New Roman" w:hAnsi="Times New Roman" w:cs="Times New Roman"/>
          <w:sz w:val="24"/>
          <w:szCs w:val="24"/>
        </w:rPr>
        <w:t xml:space="preserve">. </w:t>
      </w:r>
      <w:r w:rsidRPr="00B917D4">
        <w:rPr>
          <w:rFonts w:ascii="Times New Roman" w:hAnsi="Times New Roman" w:cs="Times New Roman"/>
          <w:sz w:val="24"/>
          <w:szCs w:val="24"/>
        </w:rPr>
        <w:t xml:space="preserve">Additionally, </w:t>
      </w:r>
      <w:r w:rsidR="00D1016D" w:rsidRPr="00B917D4">
        <w:rPr>
          <w:rFonts w:ascii="Times New Roman" w:hAnsi="Times New Roman" w:cs="Times New Roman"/>
          <w:sz w:val="24"/>
          <w:szCs w:val="24"/>
        </w:rPr>
        <w:t xml:space="preserve">a </w:t>
      </w:r>
      <w:r w:rsidRPr="00B917D4">
        <w:rPr>
          <w:rFonts w:ascii="Times New Roman" w:hAnsi="Times New Roman" w:cs="Times New Roman"/>
          <w:sz w:val="24"/>
          <w:szCs w:val="24"/>
        </w:rPr>
        <w:t xml:space="preserve">functional perspective – as an alternative to the institutional narrative </w:t>
      </w:r>
      <w:r w:rsidR="00332869" w:rsidRPr="00B917D4">
        <w:rPr>
          <w:rFonts w:ascii="Times New Roman" w:hAnsi="Times New Roman" w:cs="Times New Roman"/>
          <w:sz w:val="24"/>
          <w:szCs w:val="24"/>
        </w:rPr>
        <w:t xml:space="preserve">that rest </w:t>
      </w:r>
      <w:r w:rsidRPr="00B917D4">
        <w:rPr>
          <w:rFonts w:ascii="Times New Roman" w:hAnsi="Times New Roman" w:cs="Times New Roman"/>
          <w:sz w:val="24"/>
          <w:szCs w:val="24"/>
        </w:rPr>
        <w:t>intermediation with banks – has emerged, describing intermediation as a decentralized rat</w:t>
      </w:r>
      <w:r w:rsidR="00332869" w:rsidRPr="00B917D4">
        <w:rPr>
          <w:rFonts w:ascii="Times New Roman" w:hAnsi="Times New Roman" w:cs="Times New Roman"/>
          <w:sz w:val="24"/>
          <w:szCs w:val="24"/>
        </w:rPr>
        <w:t>her than a bank-centered system. In this perspective,</w:t>
      </w:r>
      <w:r w:rsidRPr="00B917D4">
        <w:rPr>
          <w:rFonts w:ascii="Times New Roman" w:hAnsi="Times New Roman" w:cs="Times New Roman"/>
          <w:sz w:val="24"/>
          <w:szCs w:val="24"/>
        </w:rPr>
        <w:t xml:space="preserve"> the matching of the supply of and demand for funds occurs along an extended </w:t>
      </w:r>
      <w:r w:rsidRPr="00B917D4">
        <w:rPr>
          <w:rFonts w:ascii="Times New Roman" w:hAnsi="Times New Roman" w:cs="Times New Roman"/>
          <w:iCs/>
          <w:sz w:val="24"/>
          <w:szCs w:val="24"/>
        </w:rPr>
        <w:t>credit intermediation chain</w:t>
      </w:r>
      <w:r w:rsidRPr="00B917D4">
        <w:rPr>
          <w:rFonts w:ascii="Times New Roman" w:hAnsi="Times New Roman" w:cs="Times New Roman"/>
          <w:sz w:val="24"/>
          <w:szCs w:val="24"/>
        </w:rPr>
        <w:t>, with specialized markets and non</w:t>
      </w:r>
      <w:r w:rsidR="00D1016D" w:rsidRPr="00B917D4">
        <w:rPr>
          <w:rFonts w:ascii="Times New Roman" w:hAnsi="Times New Roman" w:cs="Times New Roman"/>
          <w:sz w:val="24"/>
          <w:szCs w:val="24"/>
        </w:rPr>
        <w:t>-</w:t>
      </w:r>
      <w:r w:rsidRPr="00B917D4">
        <w:rPr>
          <w:rFonts w:ascii="Times New Roman" w:hAnsi="Times New Roman" w:cs="Times New Roman"/>
          <w:sz w:val="24"/>
          <w:szCs w:val="24"/>
        </w:rPr>
        <w:t xml:space="preserve">bank institutions playing a part along the way (Merton, 1995). This is the so-called shadow banking model of financial intermediation (Cetorelli </w:t>
      </w:r>
      <w:r w:rsidRPr="00B917D4">
        <w:rPr>
          <w:rFonts w:ascii="Times New Roman" w:hAnsi="Times New Roman" w:cs="Times New Roman"/>
          <w:i/>
          <w:sz w:val="24"/>
          <w:szCs w:val="24"/>
        </w:rPr>
        <w:t>et al</w:t>
      </w:r>
      <w:r w:rsidRPr="00B917D4">
        <w:rPr>
          <w:rFonts w:ascii="Times New Roman" w:hAnsi="Times New Roman" w:cs="Times New Roman"/>
          <w:sz w:val="24"/>
          <w:szCs w:val="24"/>
        </w:rPr>
        <w:t xml:space="preserve">., </w:t>
      </w:r>
      <w:r w:rsidR="008502D3" w:rsidRPr="00B917D4">
        <w:rPr>
          <w:rFonts w:ascii="Times New Roman" w:hAnsi="Times New Roman" w:cs="Times New Roman"/>
          <w:i/>
          <w:sz w:val="24"/>
          <w:szCs w:val="24"/>
        </w:rPr>
        <w:t>op. cit.</w:t>
      </w:r>
      <w:r w:rsidRPr="00B917D4">
        <w:rPr>
          <w:rFonts w:ascii="Times New Roman" w:hAnsi="Times New Roman" w:cs="Times New Roman"/>
          <w:sz w:val="24"/>
          <w:szCs w:val="24"/>
        </w:rPr>
        <w:t>) which decomposes the simple process of deposit-funded, hold-to-maturity lending conducted by banks into a more complex, wholesale-funded, securitization-based lending process that involves a range of shadow banks.</w:t>
      </w:r>
    </w:p>
    <w:p w:rsidR="000C2FCF" w:rsidRPr="00B917D4" w:rsidRDefault="000C2FCF" w:rsidP="0032054C">
      <w:pPr>
        <w:autoSpaceDE w:val="0"/>
        <w:autoSpaceDN w:val="0"/>
        <w:adjustRightInd w:val="0"/>
        <w:jc w:val="both"/>
        <w:rPr>
          <w:rFonts w:ascii="Times New Roman" w:hAnsi="Times New Roman" w:cs="Times New Roman"/>
          <w:sz w:val="24"/>
          <w:szCs w:val="24"/>
        </w:rPr>
      </w:pPr>
      <w:r w:rsidRPr="00B917D4">
        <w:rPr>
          <w:rFonts w:ascii="Times New Roman" w:hAnsi="Times New Roman" w:cs="Times New Roman"/>
          <w:sz w:val="24"/>
          <w:szCs w:val="24"/>
        </w:rPr>
        <w:t>This new perspective has introduced enormous competition in the intermediation business by shifting intermediation risk</w:t>
      </w:r>
      <w:r w:rsidR="00332869" w:rsidRPr="00B917D4">
        <w:rPr>
          <w:rFonts w:ascii="Times New Roman" w:hAnsi="Times New Roman" w:cs="Times New Roman"/>
          <w:sz w:val="24"/>
          <w:szCs w:val="24"/>
        </w:rPr>
        <w:t>s</w:t>
      </w:r>
      <w:r w:rsidRPr="00B917D4">
        <w:rPr>
          <w:rFonts w:ascii="Times New Roman" w:hAnsi="Times New Roman" w:cs="Times New Roman"/>
          <w:sz w:val="24"/>
          <w:szCs w:val="24"/>
        </w:rPr>
        <w:t xml:space="preserve"> from the banks’ balance sheets by way of securitization and transfer of risk to issuers </w:t>
      </w:r>
      <w:r w:rsidR="00D1016D" w:rsidRPr="00B917D4">
        <w:rPr>
          <w:rFonts w:ascii="Times New Roman" w:hAnsi="Times New Roman" w:cs="Times New Roman"/>
          <w:sz w:val="24"/>
          <w:szCs w:val="24"/>
        </w:rPr>
        <w:t>of asset backed securities. Such a situation</w:t>
      </w:r>
      <w:r w:rsidRPr="00B917D4">
        <w:rPr>
          <w:rFonts w:ascii="Times New Roman" w:hAnsi="Times New Roman" w:cs="Times New Roman"/>
          <w:sz w:val="24"/>
          <w:szCs w:val="24"/>
        </w:rPr>
        <w:t xml:space="preserve"> not only poses question</w:t>
      </w:r>
      <w:r w:rsidR="00332869" w:rsidRPr="00B917D4">
        <w:rPr>
          <w:rFonts w:ascii="Times New Roman" w:hAnsi="Times New Roman" w:cs="Times New Roman"/>
          <w:sz w:val="24"/>
          <w:szCs w:val="24"/>
        </w:rPr>
        <w:t>s on the financial efficiency and</w:t>
      </w:r>
      <w:r w:rsidRPr="00B917D4">
        <w:rPr>
          <w:rFonts w:ascii="Times New Roman" w:hAnsi="Times New Roman" w:cs="Times New Roman"/>
          <w:sz w:val="24"/>
          <w:szCs w:val="24"/>
        </w:rPr>
        <w:t xml:space="preserve"> profitability of banks but also on the prescriptions and validity of the traditional intermediation theory in this era. Apparently, it would appear plausible to conclude an end to the relevance and usefulness of bank intermediaries. However, this is not really the case since</w:t>
      </w:r>
      <w:r w:rsidR="00D1016D" w:rsidRPr="00B917D4">
        <w:rPr>
          <w:rFonts w:ascii="Times New Roman" w:hAnsi="Times New Roman" w:cs="Times New Roman"/>
          <w:sz w:val="24"/>
          <w:szCs w:val="24"/>
        </w:rPr>
        <w:t>,</w:t>
      </w:r>
      <w:r w:rsidRPr="00B917D4">
        <w:rPr>
          <w:rFonts w:ascii="Times New Roman" w:hAnsi="Times New Roman" w:cs="Times New Roman"/>
          <w:sz w:val="24"/>
          <w:szCs w:val="24"/>
        </w:rPr>
        <w:t xml:space="preserve"> as argued by Scholtens and Wensveen</w:t>
      </w:r>
      <w:r w:rsidR="00D1016D" w:rsidRPr="00B917D4">
        <w:rPr>
          <w:rFonts w:ascii="Times New Roman" w:hAnsi="Times New Roman" w:cs="Times New Roman"/>
          <w:sz w:val="24"/>
          <w:szCs w:val="24"/>
        </w:rPr>
        <w:t>, (</w:t>
      </w:r>
      <w:r w:rsidR="002A12F1" w:rsidRPr="00B917D4">
        <w:rPr>
          <w:rFonts w:ascii="Times New Roman" w:hAnsi="Times New Roman" w:cs="Times New Roman"/>
          <w:i/>
          <w:sz w:val="24"/>
          <w:szCs w:val="24"/>
        </w:rPr>
        <w:t>op. cit.</w:t>
      </w:r>
      <w:r w:rsidR="00D1016D" w:rsidRPr="00B917D4">
        <w:rPr>
          <w:rFonts w:ascii="Times New Roman" w:hAnsi="Times New Roman" w:cs="Times New Roman"/>
          <w:sz w:val="24"/>
          <w:szCs w:val="24"/>
        </w:rPr>
        <w:t>);</w:t>
      </w:r>
      <w:r w:rsidRPr="00B917D4">
        <w:rPr>
          <w:rFonts w:ascii="Times New Roman" w:hAnsi="Times New Roman" w:cs="Times New Roman"/>
          <w:sz w:val="24"/>
          <w:szCs w:val="24"/>
        </w:rPr>
        <w:t xml:space="preserve"> bank intermediation has instead become a value creating economic process with risk and risk management being the driving force behind this value creation. This is especially so because banks can absorb risk on a scale required by most market participants </w:t>
      </w:r>
      <w:r w:rsidR="00D1016D" w:rsidRPr="00B917D4">
        <w:rPr>
          <w:rFonts w:ascii="Times New Roman" w:hAnsi="Times New Roman" w:cs="Times New Roman"/>
          <w:sz w:val="24"/>
          <w:szCs w:val="24"/>
        </w:rPr>
        <w:t xml:space="preserve">and which </w:t>
      </w:r>
      <w:r w:rsidRPr="00B917D4">
        <w:rPr>
          <w:rFonts w:ascii="Times New Roman" w:hAnsi="Times New Roman" w:cs="Times New Roman"/>
          <w:sz w:val="24"/>
          <w:szCs w:val="24"/>
        </w:rPr>
        <w:t xml:space="preserve">permits </w:t>
      </w:r>
      <w:r w:rsidR="00D1016D" w:rsidRPr="00B917D4">
        <w:rPr>
          <w:rFonts w:ascii="Times New Roman" w:hAnsi="Times New Roman" w:cs="Times New Roman"/>
          <w:sz w:val="24"/>
          <w:szCs w:val="24"/>
        </w:rPr>
        <w:t xml:space="preserve">the </w:t>
      </w:r>
      <w:r w:rsidRPr="00B917D4">
        <w:rPr>
          <w:rFonts w:ascii="Times New Roman" w:hAnsi="Times New Roman" w:cs="Times New Roman"/>
          <w:sz w:val="24"/>
          <w:szCs w:val="24"/>
        </w:rPr>
        <w:t>sufficiently diversified portfolios desired by funds suppliers.</w:t>
      </w:r>
    </w:p>
    <w:p w:rsidR="000C2FCF" w:rsidRPr="00B917D4" w:rsidRDefault="000C2FCF" w:rsidP="0032054C">
      <w:pPr>
        <w:jc w:val="both"/>
        <w:rPr>
          <w:rFonts w:ascii="Times New Roman" w:hAnsi="Times New Roman" w:cs="Times New Roman"/>
          <w:sz w:val="24"/>
          <w:szCs w:val="24"/>
        </w:rPr>
      </w:pPr>
      <w:r w:rsidRPr="00B917D4">
        <w:rPr>
          <w:rFonts w:ascii="Times New Roman" w:hAnsi="Times New Roman" w:cs="Times New Roman"/>
          <w:sz w:val="24"/>
          <w:szCs w:val="24"/>
        </w:rPr>
        <w:t>One way that banks have responded to these structural changes in the intermediation business is by ameliorating their intermediation costs, especially in the credit portfolios, through sectoral diversification. Indeed the theory of intermediation (Bhattacharya and Thakor, 1993; Diamond, 1984) advocate for diversification to attain efficiency by reducing the intermediation costs. They identify two types of diversification: that of sharing risks among many independent agents</w:t>
      </w:r>
      <w:r w:rsidR="00D1016D" w:rsidRPr="00B917D4">
        <w:rPr>
          <w:rFonts w:ascii="Times New Roman" w:hAnsi="Times New Roman" w:cs="Times New Roman"/>
          <w:sz w:val="24"/>
          <w:szCs w:val="24"/>
        </w:rPr>
        <w:t xml:space="preserve">; </w:t>
      </w:r>
      <w:r w:rsidRPr="00B917D4">
        <w:rPr>
          <w:rFonts w:ascii="Times New Roman" w:hAnsi="Times New Roman" w:cs="Times New Roman"/>
          <w:sz w:val="24"/>
          <w:szCs w:val="24"/>
        </w:rPr>
        <w:t>and that of adding risks by a single agent. Theory of intermediation posits that diversification is beneficial to banks for at least two reasons. First, by increasing the risk tolerance of banks, diversification reduces the monitoring cost beyond what direct intermediation can achieve</w:t>
      </w:r>
      <w:r w:rsidR="00D71CBF" w:rsidRPr="00B917D4">
        <w:rPr>
          <w:rFonts w:ascii="Times New Roman" w:hAnsi="Times New Roman" w:cs="Times New Roman"/>
          <w:sz w:val="24"/>
          <w:szCs w:val="24"/>
        </w:rPr>
        <w:t xml:space="preserve">. </w:t>
      </w:r>
      <w:r w:rsidR="00D71CBF" w:rsidRPr="00B917D4">
        <w:rPr>
          <w:rFonts w:ascii="Times New Roman" w:hAnsi="Times New Roman" w:cs="Times New Roman"/>
          <w:sz w:val="24"/>
          <w:szCs w:val="24"/>
        </w:rPr>
        <w:lastRenderedPageBreak/>
        <w:t xml:space="preserve">Consequently, </w:t>
      </w:r>
      <w:r w:rsidRPr="00B917D4">
        <w:rPr>
          <w:rFonts w:ascii="Times New Roman" w:hAnsi="Times New Roman" w:cs="Times New Roman"/>
          <w:sz w:val="24"/>
          <w:szCs w:val="24"/>
        </w:rPr>
        <w:t xml:space="preserve">banks </w:t>
      </w:r>
      <w:r w:rsidR="00D71CBF" w:rsidRPr="00B917D4">
        <w:rPr>
          <w:rFonts w:ascii="Times New Roman" w:hAnsi="Times New Roman" w:cs="Times New Roman"/>
          <w:sz w:val="24"/>
          <w:szCs w:val="24"/>
        </w:rPr>
        <w:t xml:space="preserve">are be </w:t>
      </w:r>
      <w:r w:rsidRPr="00B917D4">
        <w:rPr>
          <w:rFonts w:ascii="Times New Roman" w:hAnsi="Times New Roman" w:cs="Times New Roman"/>
          <w:sz w:val="24"/>
          <w:szCs w:val="24"/>
        </w:rPr>
        <w:t xml:space="preserve">able to earn a return beyond what is payable to the fund suppliers; thereby enhancing their profitability. Secondly, diversification reduces costs by centralizing monitoring to a single agent with several projects. </w:t>
      </w:r>
      <w:r w:rsidR="00D71CBF" w:rsidRPr="00B917D4">
        <w:rPr>
          <w:rFonts w:ascii="Times New Roman" w:hAnsi="Times New Roman" w:cs="Times New Roman"/>
          <w:sz w:val="24"/>
          <w:szCs w:val="24"/>
        </w:rPr>
        <w:t>In the process</w:t>
      </w:r>
      <w:r w:rsidRPr="00B917D4">
        <w:rPr>
          <w:rFonts w:ascii="Times New Roman" w:hAnsi="Times New Roman" w:cs="Times New Roman"/>
          <w:sz w:val="24"/>
          <w:szCs w:val="24"/>
        </w:rPr>
        <w:t>, the bank acquires a great deal of customer information in the process of making loans (Diamond, 1991; Rajan, 1992; Stein, 2002) which can be used in efficiently screening and monitoring borrowers thereby enhancing the</w:t>
      </w:r>
      <w:r w:rsidR="00D71CBF" w:rsidRPr="00B917D4">
        <w:rPr>
          <w:rFonts w:ascii="Times New Roman" w:hAnsi="Times New Roman" w:cs="Times New Roman"/>
          <w:sz w:val="24"/>
          <w:szCs w:val="24"/>
        </w:rPr>
        <w:t xml:space="preserve"> bank’s</w:t>
      </w:r>
      <w:r w:rsidRPr="00B917D4">
        <w:rPr>
          <w:rFonts w:ascii="Times New Roman" w:hAnsi="Times New Roman" w:cs="Times New Roman"/>
          <w:sz w:val="24"/>
          <w:szCs w:val="24"/>
        </w:rPr>
        <w:t xml:space="preserve"> monitoring capabilities. Based on these theoretical prescriptions, it is plausible then to expect that diversification of credit portfolios </w:t>
      </w:r>
      <w:r w:rsidR="00D71CBF" w:rsidRPr="00B917D4">
        <w:rPr>
          <w:rFonts w:ascii="Times New Roman" w:hAnsi="Times New Roman" w:cs="Times New Roman"/>
          <w:sz w:val="24"/>
          <w:szCs w:val="24"/>
        </w:rPr>
        <w:t xml:space="preserve">across different economic sectors </w:t>
      </w:r>
      <w:r w:rsidRPr="00B917D4">
        <w:rPr>
          <w:rFonts w:ascii="Times New Roman" w:hAnsi="Times New Roman" w:cs="Times New Roman"/>
          <w:sz w:val="24"/>
          <w:szCs w:val="24"/>
        </w:rPr>
        <w:t>benefit banking institutions</w:t>
      </w:r>
      <w:r w:rsidR="00D71CBF" w:rsidRPr="00B917D4">
        <w:rPr>
          <w:rFonts w:ascii="Times New Roman" w:hAnsi="Times New Roman" w:cs="Times New Roman"/>
          <w:sz w:val="24"/>
          <w:szCs w:val="24"/>
        </w:rPr>
        <w:t xml:space="preserve">, first </w:t>
      </w:r>
      <w:r w:rsidRPr="00B917D4">
        <w:rPr>
          <w:rFonts w:ascii="Times New Roman" w:hAnsi="Times New Roman" w:cs="Times New Roman"/>
          <w:sz w:val="24"/>
          <w:szCs w:val="24"/>
        </w:rPr>
        <w:t>by enhancing their performance leve</w:t>
      </w:r>
      <w:r w:rsidR="00D71CBF" w:rsidRPr="00B917D4">
        <w:rPr>
          <w:rFonts w:ascii="Times New Roman" w:hAnsi="Times New Roman" w:cs="Times New Roman"/>
          <w:sz w:val="24"/>
          <w:szCs w:val="24"/>
        </w:rPr>
        <w:t>ls and, secondly by improving the</w:t>
      </w:r>
      <w:r w:rsidR="00B418AA" w:rsidRPr="00B917D4">
        <w:rPr>
          <w:rFonts w:ascii="Times New Roman" w:hAnsi="Times New Roman" w:cs="Times New Roman"/>
          <w:sz w:val="24"/>
          <w:szCs w:val="24"/>
        </w:rPr>
        <w:t>ir</w:t>
      </w:r>
      <w:r w:rsidR="00D71CBF" w:rsidRPr="00B917D4">
        <w:rPr>
          <w:rFonts w:ascii="Times New Roman" w:hAnsi="Times New Roman" w:cs="Times New Roman"/>
          <w:sz w:val="24"/>
          <w:szCs w:val="24"/>
        </w:rPr>
        <w:t xml:space="preserve"> monitoring effectiveness. The latter is so because the intermediary would be</w:t>
      </w:r>
      <w:r w:rsidRPr="00B917D4">
        <w:rPr>
          <w:rFonts w:ascii="Times New Roman" w:hAnsi="Times New Roman" w:cs="Times New Roman"/>
          <w:sz w:val="24"/>
          <w:szCs w:val="24"/>
        </w:rPr>
        <w:t xml:space="preserve"> able to develop special skills in interpreting subtle signals presented in the customer information. However, given the nature of their operations, banks never hold sufficient balances to guarantee full liquidity and this exposes them to bank runs and portfolio losses if they don’t efficiently monitor and recover the advances. </w:t>
      </w:r>
    </w:p>
    <w:p w:rsidR="000C2FCF" w:rsidRPr="00B917D4" w:rsidRDefault="002C5607" w:rsidP="0032054C">
      <w:pPr>
        <w:jc w:val="both"/>
        <w:rPr>
          <w:rFonts w:ascii="Times New Roman" w:hAnsi="Times New Roman" w:cs="Times New Roman"/>
          <w:sz w:val="24"/>
          <w:szCs w:val="24"/>
        </w:rPr>
      </w:pPr>
      <w:r w:rsidRPr="00B917D4">
        <w:rPr>
          <w:rFonts w:ascii="Times New Roman" w:hAnsi="Times New Roman" w:cs="Times New Roman"/>
          <w:sz w:val="24"/>
          <w:szCs w:val="24"/>
        </w:rPr>
        <w:t>E</w:t>
      </w:r>
      <w:r w:rsidR="000C2FCF" w:rsidRPr="00B917D4">
        <w:rPr>
          <w:rFonts w:ascii="Times New Roman" w:hAnsi="Times New Roman" w:cs="Times New Roman"/>
          <w:sz w:val="24"/>
          <w:szCs w:val="24"/>
        </w:rPr>
        <w:t xml:space="preserve">mpirical evidence is equivocal on performance and </w:t>
      </w:r>
      <w:r w:rsidR="00D71CBF" w:rsidRPr="00B917D4">
        <w:rPr>
          <w:rFonts w:ascii="Times New Roman" w:hAnsi="Times New Roman" w:cs="Times New Roman"/>
          <w:sz w:val="24"/>
          <w:szCs w:val="24"/>
        </w:rPr>
        <w:t xml:space="preserve">monitoring </w:t>
      </w:r>
      <w:r w:rsidR="000C2FCF" w:rsidRPr="00B917D4">
        <w:rPr>
          <w:rFonts w:ascii="Times New Roman" w:hAnsi="Times New Roman" w:cs="Times New Roman"/>
          <w:sz w:val="24"/>
          <w:szCs w:val="24"/>
        </w:rPr>
        <w:t>outcome</w:t>
      </w:r>
      <w:r w:rsidR="00D71CBF" w:rsidRPr="00B917D4">
        <w:rPr>
          <w:rFonts w:ascii="Times New Roman" w:hAnsi="Times New Roman" w:cs="Times New Roman"/>
          <w:sz w:val="24"/>
          <w:szCs w:val="24"/>
        </w:rPr>
        <w:t>s</w:t>
      </w:r>
      <w:r w:rsidR="000C2FCF" w:rsidRPr="00B917D4">
        <w:rPr>
          <w:rFonts w:ascii="Times New Roman" w:hAnsi="Times New Roman" w:cs="Times New Roman"/>
          <w:sz w:val="24"/>
          <w:szCs w:val="24"/>
        </w:rPr>
        <w:t xml:space="preserve"> of credit diversification in banking institutions. The relationship becomes even mo</w:t>
      </w:r>
      <w:r w:rsidRPr="00B917D4">
        <w:rPr>
          <w:rFonts w:ascii="Times New Roman" w:hAnsi="Times New Roman" w:cs="Times New Roman"/>
          <w:sz w:val="24"/>
          <w:szCs w:val="24"/>
        </w:rPr>
        <w:t>re blurred when risk and return</w:t>
      </w:r>
      <w:r w:rsidR="00566953" w:rsidRPr="00B917D4">
        <w:rPr>
          <w:rFonts w:ascii="Times New Roman" w:hAnsi="Times New Roman" w:cs="Times New Roman"/>
          <w:sz w:val="24"/>
          <w:szCs w:val="24"/>
        </w:rPr>
        <w:t>s</w:t>
      </w:r>
      <w:r w:rsidR="000C2FCF" w:rsidRPr="00B917D4">
        <w:rPr>
          <w:rFonts w:ascii="Times New Roman" w:hAnsi="Times New Roman" w:cs="Times New Roman"/>
          <w:sz w:val="24"/>
          <w:szCs w:val="24"/>
        </w:rPr>
        <w:t xml:space="preserve"> are considered simultaneously. </w:t>
      </w:r>
      <w:r w:rsidR="001820EF" w:rsidRPr="00B917D4">
        <w:rPr>
          <w:rFonts w:ascii="Times New Roman" w:hAnsi="Times New Roman" w:cs="Times New Roman"/>
          <w:sz w:val="24"/>
          <w:szCs w:val="24"/>
        </w:rPr>
        <w:t>O</w:t>
      </w:r>
      <w:r w:rsidRPr="00B917D4">
        <w:rPr>
          <w:rFonts w:ascii="Times New Roman" w:hAnsi="Times New Roman" w:cs="Times New Roman"/>
          <w:sz w:val="24"/>
          <w:szCs w:val="24"/>
        </w:rPr>
        <w:t xml:space="preserve">pponents </w:t>
      </w:r>
      <w:r w:rsidR="001820EF" w:rsidRPr="00B917D4">
        <w:rPr>
          <w:rFonts w:ascii="Times New Roman" w:hAnsi="Times New Roman" w:cs="Times New Roman"/>
          <w:sz w:val="24"/>
          <w:szCs w:val="24"/>
        </w:rPr>
        <w:t xml:space="preserve">of bank credit diversification </w:t>
      </w:r>
      <w:r w:rsidRPr="00B917D4">
        <w:rPr>
          <w:rFonts w:ascii="Times New Roman" w:hAnsi="Times New Roman" w:cs="Times New Roman"/>
          <w:sz w:val="24"/>
          <w:szCs w:val="24"/>
        </w:rPr>
        <w:t xml:space="preserve">cite </w:t>
      </w:r>
      <w:r w:rsidR="001820EF" w:rsidRPr="00B917D4">
        <w:rPr>
          <w:rFonts w:ascii="Times New Roman" w:hAnsi="Times New Roman" w:cs="Times New Roman"/>
          <w:sz w:val="24"/>
          <w:szCs w:val="24"/>
        </w:rPr>
        <w:t xml:space="preserve">cost and </w:t>
      </w:r>
      <w:r w:rsidRPr="00B917D4">
        <w:rPr>
          <w:rFonts w:ascii="Times New Roman" w:hAnsi="Times New Roman" w:cs="Times New Roman"/>
          <w:sz w:val="24"/>
          <w:szCs w:val="24"/>
        </w:rPr>
        <w:t xml:space="preserve">scale </w:t>
      </w:r>
      <w:r w:rsidR="000C2FCF" w:rsidRPr="00B917D4">
        <w:rPr>
          <w:rFonts w:ascii="Times New Roman" w:hAnsi="Times New Roman" w:cs="Times New Roman"/>
          <w:sz w:val="24"/>
          <w:szCs w:val="24"/>
        </w:rPr>
        <w:t>inefficiencies</w:t>
      </w:r>
      <w:r w:rsidR="001E7103" w:rsidRPr="00B917D4">
        <w:rPr>
          <w:rFonts w:ascii="Times New Roman" w:hAnsi="Times New Roman" w:cs="Times New Roman"/>
          <w:sz w:val="24"/>
          <w:szCs w:val="24"/>
        </w:rPr>
        <w:t xml:space="preserve">, </w:t>
      </w:r>
      <w:r w:rsidR="001E7103" w:rsidRPr="00B917D4">
        <w:rPr>
          <w:rFonts w:ascii="Times New Roman" w:eastAsia="TimesNewRoman" w:hAnsi="Times New Roman" w:cs="Times New Roman"/>
          <w:sz w:val="24"/>
          <w:szCs w:val="24"/>
        </w:rPr>
        <w:t xml:space="preserve">probably so </w:t>
      </w:r>
      <w:r w:rsidR="00261D42" w:rsidRPr="00B917D4">
        <w:rPr>
          <w:rFonts w:ascii="Times New Roman" w:eastAsia="TimesNewRomanPSMT" w:hAnsi="Times New Roman" w:cs="Times New Roman"/>
          <w:sz w:val="24"/>
          <w:szCs w:val="24"/>
        </w:rPr>
        <w:t>because banks may have an expertise on some of the sectors, but not all, thus involving more sectors would make it more costly to monitor (</w:t>
      </w:r>
      <w:r w:rsidR="004C2BF8" w:rsidRPr="00B917D4">
        <w:rPr>
          <w:rFonts w:ascii="Times New Roman" w:eastAsia="TimesNewRomanPSMT" w:hAnsi="Times New Roman" w:cs="Times New Roman"/>
          <w:sz w:val="24"/>
          <w:szCs w:val="24"/>
        </w:rPr>
        <w:t>Acharya, Hasan and Saunders</w:t>
      </w:r>
      <w:r w:rsidR="00261D42" w:rsidRPr="00B917D4">
        <w:rPr>
          <w:rFonts w:ascii="Times New Roman" w:eastAsia="TimesNewRomanPSMT" w:hAnsi="Times New Roman" w:cs="Times New Roman"/>
          <w:sz w:val="24"/>
          <w:szCs w:val="24"/>
        </w:rPr>
        <w:t>, 2006)</w:t>
      </w:r>
      <w:r w:rsidR="001E7103" w:rsidRPr="00B917D4">
        <w:rPr>
          <w:rFonts w:ascii="Times New Roman" w:eastAsia="TimesNewRoman" w:hAnsi="Times New Roman" w:cs="Times New Roman"/>
          <w:sz w:val="24"/>
          <w:szCs w:val="24"/>
        </w:rPr>
        <w:t>.</w:t>
      </w:r>
      <w:r w:rsidR="00261D42" w:rsidRPr="00B917D4">
        <w:rPr>
          <w:rFonts w:ascii="Times New Roman" w:eastAsia="TimesNewRoman" w:hAnsi="Times New Roman" w:cs="Times New Roman"/>
          <w:sz w:val="24"/>
          <w:szCs w:val="24"/>
        </w:rPr>
        <w:t xml:space="preserve"> For instance, w</w:t>
      </w:r>
      <w:r w:rsidR="000C2FCF" w:rsidRPr="00B917D4">
        <w:rPr>
          <w:rFonts w:ascii="Times New Roman" w:hAnsi="Times New Roman" w:cs="Times New Roman"/>
          <w:sz w:val="24"/>
          <w:szCs w:val="24"/>
        </w:rPr>
        <w:t xml:space="preserve">hile investigating the effects of sectoral diversification on the Chinese banks’ return and risk, </w:t>
      </w:r>
      <w:r w:rsidR="004C2BF8" w:rsidRPr="00B917D4">
        <w:rPr>
          <w:rFonts w:ascii="Times New Roman" w:hAnsi="Times New Roman" w:cs="Times New Roman"/>
          <w:sz w:val="24"/>
          <w:szCs w:val="24"/>
        </w:rPr>
        <w:t>Chen, Wei, Zhang and Shi</w:t>
      </w:r>
      <w:r w:rsidR="000C2FCF" w:rsidRPr="00B917D4">
        <w:rPr>
          <w:rFonts w:ascii="Times New Roman" w:hAnsi="Times New Roman" w:cs="Times New Roman"/>
          <w:sz w:val="24"/>
          <w:szCs w:val="24"/>
        </w:rPr>
        <w:t xml:space="preserve"> (2013</w:t>
      </w:r>
      <w:r w:rsidR="004C2BF8" w:rsidRPr="00B917D4">
        <w:rPr>
          <w:rFonts w:ascii="Times New Roman" w:hAnsi="Times New Roman" w:cs="Times New Roman"/>
          <w:sz w:val="24"/>
          <w:szCs w:val="24"/>
        </w:rPr>
        <w:t>) and Chen, Shi, Wei, and Zhang (</w:t>
      </w:r>
      <w:r w:rsidR="000C2FCF" w:rsidRPr="00B917D4">
        <w:rPr>
          <w:rFonts w:ascii="Times New Roman" w:hAnsi="Times New Roman" w:cs="Times New Roman"/>
          <w:sz w:val="24"/>
          <w:szCs w:val="24"/>
        </w:rPr>
        <w:t>2014) used panel data on 16 Chinese listed c</w:t>
      </w:r>
      <w:r w:rsidR="004C2BF8" w:rsidRPr="00B917D4">
        <w:rPr>
          <w:rFonts w:ascii="Times New Roman" w:hAnsi="Times New Roman" w:cs="Times New Roman"/>
          <w:sz w:val="24"/>
          <w:szCs w:val="24"/>
        </w:rPr>
        <w:t xml:space="preserve">ommercial banks during the 2007 to </w:t>
      </w:r>
      <w:r w:rsidR="000C2FCF" w:rsidRPr="00B917D4">
        <w:rPr>
          <w:rFonts w:ascii="Times New Roman" w:hAnsi="Times New Roman" w:cs="Times New Roman"/>
          <w:sz w:val="24"/>
          <w:szCs w:val="24"/>
        </w:rPr>
        <w:t xml:space="preserve">2011 period. They measured diversification using </w:t>
      </w:r>
      <w:r w:rsidR="00CB25CE" w:rsidRPr="00B917D4">
        <w:rPr>
          <w:rFonts w:ascii="Times New Roman" w:hAnsi="Times New Roman" w:cs="Times New Roman"/>
          <w:sz w:val="24"/>
          <w:szCs w:val="24"/>
        </w:rPr>
        <w:t>Herfindahl</w:t>
      </w:r>
      <w:r w:rsidR="009B1A05" w:rsidRPr="00B917D4">
        <w:rPr>
          <w:rFonts w:ascii="Times New Roman" w:hAnsi="Times New Roman" w:cs="Times New Roman"/>
          <w:sz w:val="24"/>
          <w:szCs w:val="24"/>
        </w:rPr>
        <w:t xml:space="preserve">-Hirschman index </w:t>
      </w:r>
      <w:r w:rsidR="000C2FCF" w:rsidRPr="00B917D4">
        <w:rPr>
          <w:rFonts w:ascii="Times New Roman" w:hAnsi="Times New Roman" w:cs="Times New Roman"/>
          <w:sz w:val="24"/>
          <w:szCs w:val="24"/>
        </w:rPr>
        <w:t xml:space="preserve">(HHI) and a risk adjusted HHI where the measure was adjusted for risk using the betas for every sector. Financial performance was measured using </w:t>
      </w:r>
      <w:r w:rsidR="00566953" w:rsidRPr="00B917D4">
        <w:rPr>
          <w:rFonts w:ascii="Times New Roman" w:hAnsi="Times New Roman" w:cs="Times New Roman"/>
          <w:sz w:val="24"/>
          <w:szCs w:val="24"/>
        </w:rPr>
        <w:t>Return on Assets (</w:t>
      </w:r>
      <w:r w:rsidR="000C2FCF" w:rsidRPr="00B917D4">
        <w:rPr>
          <w:rFonts w:ascii="Times New Roman" w:hAnsi="Times New Roman" w:cs="Times New Roman"/>
          <w:sz w:val="24"/>
          <w:szCs w:val="24"/>
        </w:rPr>
        <w:t>ROA</w:t>
      </w:r>
      <w:r w:rsidR="00566953" w:rsidRPr="00B917D4">
        <w:rPr>
          <w:rFonts w:ascii="Times New Roman" w:hAnsi="Times New Roman" w:cs="Times New Roman"/>
          <w:sz w:val="24"/>
          <w:szCs w:val="24"/>
        </w:rPr>
        <w:t>)</w:t>
      </w:r>
      <w:r w:rsidR="000C2FCF" w:rsidRPr="00B917D4">
        <w:rPr>
          <w:rFonts w:ascii="Times New Roman" w:hAnsi="Times New Roman" w:cs="Times New Roman"/>
          <w:sz w:val="24"/>
          <w:szCs w:val="24"/>
        </w:rPr>
        <w:t xml:space="preserve"> and </w:t>
      </w:r>
      <w:r w:rsidR="00566953" w:rsidRPr="00B917D4">
        <w:rPr>
          <w:rFonts w:ascii="Times New Roman" w:hAnsi="Times New Roman" w:cs="Times New Roman"/>
          <w:sz w:val="24"/>
          <w:szCs w:val="24"/>
        </w:rPr>
        <w:t>Return on Equity (</w:t>
      </w:r>
      <w:r w:rsidR="000C2FCF" w:rsidRPr="00B917D4">
        <w:rPr>
          <w:rFonts w:ascii="Times New Roman" w:hAnsi="Times New Roman" w:cs="Times New Roman"/>
          <w:sz w:val="24"/>
          <w:szCs w:val="24"/>
        </w:rPr>
        <w:t>ROE</w:t>
      </w:r>
      <w:r w:rsidR="00566953" w:rsidRPr="00B917D4">
        <w:rPr>
          <w:rFonts w:ascii="Times New Roman" w:hAnsi="Times New Roman" w:cs="Times New Roman"/>
          <w:sz w:val="24"/>
          <w:szCs w:val="24"/>
        </w:rPr>
        <w:t>)</w:t>
      </w:r>
      <w:r w:rsidR="000C2FCF" w:rsidRPr="00B917D4">
        <w:rPr>
          <w:rFonts w:ascii="Times New Roman" w:hAnsi="Times New Roman" w:cs="Times New Roman"/>
          <w:sz w:val="24"/>
          <w:szCs w:val="24"/>
        </w:rPr>
        <w:t xml:space="preserve"> while the bank’s monitoring effectiveness was measured using the absolute value of non-performing loans. </w:t>
      </w:r>
      <w:r w:rsidR="00566953" w:rsidRPr="00B917D4">
        <w:rPr>
          <w:rFonts w:ascii="Times New Roman" w:hAnsi="Times New Roman" w:cs="Times New Roman"/>
          <w:sz w:val="24"/>
          <w:szCs w:val="24"/>
        </w:rPr>
        <w:t xml:space="preserve">The study reported a significant positive influence of </w:t>
      </w:r>
      <w:r w:rsidR="000C2FCF" w:rsidRPr="00B917D4">
        <w:rPr>
          <w:rFonts w:ascii="Times New Roman" w:hAnsi="Times New Roman" w:cs="Times New Roman"/>
          <w:sz w:val="24"/>
          <w:szCs w:val="24"/>
        </w:rPr>
        <w:t>concentration on bank return</w:t>
      </w:r>
      <w:r w:rsidR="00566953" w:rsidRPr="00B917D4">
        <w:rPr>
          <w:rFonts w:ascii="Times New Roman" w:hAnsi="Times New Roman" w:cs="Times New Roman"/>
          <w:sz w:val="24"/>
          <w:szCs w:val="24"/>
        </w:rPr>
        <w:t>s</w:t>
      </w:r>
      <w:r w:rsidR="000C2FCF" w:rsidRPr="00B917D4">
        <w:rPr>
          <w:rFonts w:ascii="Times New Roman" w:hAnsi="Times New Roman" w:cs="Times New Roman"/>
          <w:sz w:val="24"/>
          <w:szCs w:val="24"/>
        </w:rPr>
        <w:t xml:space="preserve"> and profitability. Concerning the banks risk as a proxy of</w:t>
      </w:r>
      <w:r w:rsidR="00566953" w:rsidRPr="00B917D4">
        <w:rPr>
          <w:rFonts w:ascii="Times New Roman" w:hAnsi="Times New Roman" w:cs="Times New Roman"/>
          <w:sz w:val="24"/>
          <w:szCs w:val="24"/>
        </w:rPr>
        <w:t xml:space="preserve"> monitoring effectiveness, </w:t>
      </w:r>
      <w:r w:rsidR="000C2FCF" w:rsidRPr="00B917D4">
        <w:rPr>
          <w:rFonts w:ascii="Times New Roman" w:hAnsi="Times New Roman" w:cs="Times New Roman"/>
          <w:sz w:val="24"/>
          <w:szCs w:val="24"/>
        </w:rPr>
        <w:t xml:space="preserve">a significant positive relationship </w:t>
      </w:r>
      <w:r w:rsidR="00566953" w:rsidRPr="00B917D4">
        <w:rPr>
          <w:rFonts w:ascii="Times New Roman" w:hAnsi="Times New Roman" w:cs="Times New Roman"/>
          <w:sz w:val="24"/>
          <w:szCs w:val="24"/>
        </w:rPr>
        <w:t xml:space="preserve">was reported </w:t>
      </w:r>
      <w:r w:rsidR="000C2FCF" w:rsidRPr="00B917D4">
        <w:rPr>
          <w:rFonts w:ascii="Times New Roman" w:hAnsi="Times New Roman" w:cs="Times New Roman"/>
          <w:sz w:val="24"/>
          <w:szCs w:val="24"/>
        </w:rPr>
        <w:t>between portfolio concentration and bank’s risk. These findings imply that sectoral diversification is associated with reduced return and risk.</w:t>
      </w:r>
    </w:p>
    <w:p w:rsidR="000C2FCF" w:rsidRPr="00B917D4" w:rsidRDefault="000C2FCF" w:rsidP="0032054C">
      <w:pPr>
        <w:jc w:val="both"/>
        <w:rPr>
          <w:rFonts w:ascii="Times New Roman" w:hAnsi="Times New Roman" w:cs="Times New Roman"/>
          <w:sz w:val="24"/>
          <w:szCs w:val="24"/>
        </w:rPr>
      </w:pPr>
      <w:r w:rsidRPr="00B917D4">
        <w:rPr>
          <w:rFonts w:ascii="Times New Roman" w:hAnsi="Times New Roman" w:cs="Times New Roman"/>
          <w:sz w:val="24"/>
          <w:szCs w:val="24"/>
        </w:rPr>
        <w:t>In attempt to show how diversification affected the performance of banks, Turkmen and Yigit (2012) investigated the</w:t>
      </w:r>
      <w:r w:rsidRPr="00B917D4">
        <w:rPr>
          <w:rFonts w:ascii="Times New Roman" w:hAnsi="Times New Roman" w:cs="Times New Roman"/>
          <w:iCs/>
          <w:sz w:val="24"/>
          <w:szCs w:val="24"/>
        </w:rPr>
        <w:t xml:space="preserve"> effect of sectoral and geographical credit diversification on the performance of forty (40) Turkish</w:t>
      </w:r>
      <w:r w:rsidR="00566953" w:rsidRPr="00B917D4">
        <w:rPr>
          <w:rFonts w:ascii="Times New Roman" w:hAnsi="Times New Roman" w:cs="Times New Roman"/>
          <w:iCs/>
          <w:sz w:val="24"/>
          <w:szCs w:val="24"/>
        </w:rPr>
        <w:t xml:space="preserve"> banks between 2007 and 2011. </w:t>
      </w:r>
      <w:r w:rsidRPr="00B917D4">
        <w:rPr>
          <w:rFonts w:ascii="Times New Roman" w:hAnsi="Times New Roman" w:cs="Times New Roman"/>
          <w:iCs/>
          <w:sz w:val="24"/>
          <w:szCs w:val="24"/>
        </w:rPr>
        <w:t xml:space="preserve">They used </w:t>
      </w:r>
      <w:r w:rsidR="009B1A05" w:rsidRPr="00B917D4">
        <w:rPr>
          <w:rFonts w:ascii="Times New Roman" w:hAnsi="Times New Roman" w:cs="Times New Roman"/>
          <w:iCs/>
          <w:sz w:val="24"/>
          <w:szCs w:val="24"/>
        </w:rPr>
        <w:t xml:space="preserve">return on assets and return on equity </w:t>
      </w:r>
      <w:r w:rsidRPr="00B917D4">
        <w:rPr>
          <w:rFonts w:ascii="Times New Roman" w:hAnsi="Times New Roman" w:cs="Times New Roman"/>
          <w:iCs/>
          <w:sz w:val="24"/>
          <w:szCs w:val="24"/>
        </w:rPr>
        <w:t xml:space="preserve">to measure bank performance and </w:t>
      </w:r>
      <w:r w:rsidR="00CB25CE" w:rsidRPr="00B917D4">
        <w:rPr>
          <w:rFonts w:ascii="Times New Roman" w:hAnsi="Times New Roman" w:cs="Times New Roman"/>
          <w:sz w:val="24"/>
          <w:szCs w:val="24"/>
        </w:rPr>
        <w:t>Herfindahl</w:t>
      </w:r>
      <w:r w:rsidR="009B1A05" w:rsidRPr="00B917D4">
        <w:rPr>
          <w:rFonts w:ascii="Times New Roman" w:hAnsi="Times New Roman" w:cs="Times New Roman"/>
          <w:sz w:val="24"/>
          <w:szCs w:val="24"/>
        </w:rPr>
        <w:t>-Hirschman Index</w:t>
      </w:r>
      <w:r w:rsidR="009B1A05" w:rsidRPr="00B917D4">
        <w:rPr>
          <w:rFonts w:ascii="Times New Roman" w:hAnsi="Times New Roman" w:cs="Times New Roman"/>
          <w:iCs/>
          <w:sz w:val="24"/>
          <w:szCs w:val="24"/>
        </w:rPr>
        <w:t xml:space="preserve"> t</w:t>
      </w:r>
      <w:r w:rsidRPr="00B917D4">
        <w:rPr>
          <w:rFonts w:ascii="Times New Roman" w:hAnsi="Times New Roman" w:cs="Times New Roman"/>
          <w:iCs/>
          <w:sz w:val="24"/>
          <w:szCs w:val="24"/>
        </w:rPr>
        <w:t xml:space="preserve">o measure </w:t>
      </w:r>
      <w:r w:rsidR="00566953" w:rsidRPr="00B917D4">
        <w:rPr>
          <w:rFonts w:ascii="Times New Roman" w:hAnsi="Times New Roman" w:cs="Times New Roman"/>
          <w:iCs/>
          <w:sz w:val="24"/>
          <w:szCs w:val="24"/>
        </w:rPr>
        <w:t xml:space="preserve">bank </w:t>
      </w:r>
      <w:r w:rsidRPr="00B917D4">
        <w:rPr>
          <w:rFonts w:ascii="Times New Roman" w:hAnsi="Times New Roman" w:cs="Times New Roman"/>
          <w:iCs/>
          <w:sz w:val="24"/>
          <w:szCs w:val="24"/>
        </w:rPr>
        <w:t>credit diversification with the number and amount of credits banks allowed borr</w:t>
      </w:r>
      <w:r w:rsidR="00566953" w:rsidRPr="00B917D4">
        <w:rPr>
          <w:rFonts w:ascii="Times New Roman" w:hAnsi="Times New Roman" w:cs="Times New Roman"/>
          <w:iCs/>
          <w:sz w:val="24"/>
          <w:szCs w:val="24"/>
        </w:rPr>
        <w:t xml:space="preserve">owers being control variables. </w:t>
      </w:r>
      <w:r w:rsidRPr="00B917D4">
        <w:rPr>
          <w:rFonts w:ascii="Times New Roman" w:hAnsi="Times New Roman" w:cs="Times New Roman"/>
          <w:sz w:val="24"/>
          <w:szCs w:val="24"/>
        </w:rPr>
        <w:t xml:space="preserve">The study reported statistically significant negative relationship between diversification and both </w:t>
      </w:r>
      <w:r w:rsidR="00566953" w:rsidRPr="00B917D4">
        <w:rPr>
          <w:rFonts w:ascii="Times New Roman" w:hAnsi="Times New Roman" w:cs="Times New Roman"/>
          <w:sz w:val="24"/>
          <w:szCs w:val="24"/>
        </w:rPr>
        <w:t xml:space="preserve">ROA and ROE. The researchers </w:t>
      </w:r>
      <w:r w:rsidRPr="00B917D4">
        <w:rPr>
          <w:rFonts w:ascii="Times New Roman" w:hAnsi="Times New Roman" w:cs="Times New Roman"/>
          <w:sz w:val="24"/>
          <w:szCs w:val="24"/>
        </w:rPr>
        <w:t>attributed this</w:t>
      </w:r>
      <w:r w:rsidR="009B1A05" w:rsidRPr="00B917D4">
        <w:rPr>
          <w:rFonts w:ascii="Times New Roman" w:hAnsi="Times New Roman" w:cs="Times New Roman"/>
          <w:sz w:val="24"/>
          <w:szCs w:val="24"/>
        </w:rPr>
        <w:t xml:space="preserve"> negative diversification-performance outcome</w:t>
      </w:r>
      <w:r w:rsidRPr="00B917D4">
        <w:rPr>
          <w:rFonts w:ascii="Times New Roman" w:hAnsi="Times New Roman" w:cs="Times New Roman"/>
          <w:sz w:val="24"/>
          <w:szCs w:val="24"/>
        </w:rPr>
        <w:t xml:space="preserve"> to the increase in costs that is associated with diversification which more than offsets the expected benefits of diversification.</w:t>
      </w:r>
    </w:p>
    <w:p w:rsidR="00B04C53" w:rsidRPr="00B917D4" w:rsidRDefault="00B04C53" w:rsidP="0032054C">
      <w:pPr>
        <w:jc w:val="both"/>
        <w:rPr>
          <w:rFonts w:ascii="Times New Roman" w:hAnsi="Times New Roman" w:cs="Times New Roman"/>
          <w:sz w:val="24"/>
          <w:szCs w:val="24"/>
        </w:rPr>
      </w:pPr>
      <w:r w:rsidRPr="00B917D4">
        <w:rPr>
          <w:rFonts w:ascii="Times New Roman" w:hAnsi="Times New Roman" w:cs="Times New Roman"/>
          <w:sz w:val="24"/>
          <w:szCs w:val="24"/>
        </w:rPr>
        <w:lastRenderedPageBreak/>
        <w:t xml:space="preserve">Chen and Lin (2010) examined the effect of diversification on risk and return of Taiwan domestic commercial banks using unbalanced panel data from 1997 t0 2009. Returns were measured using ROA, ROE and Net Interest Margin (NIM) while risk was measured using a ratio of non-performing loans to total loans (NPL), the ratio of loan loss provision (LLP) and a Z-score measure of insolvency risk. Diversification was assessed as revenue diversification and credit diversification and measured using HHI. The study reported a significant negative effect of loan diversification on all three profitability measures. However, credit diversification improved the NPL ratio and therefore reduced a ban’s </w:t>
      </w:r>
      <w:r w:rsidR="00DE7697" w:rsidRPr="00B917D4">
        <w:rPr>
          <w:rFonts w:ascii="Times New Roman" w:hAnsi="Times New Roman" w:cs="Times New Roman"/>
          <w:sz w:val="24"/>
          <w:szCs w:val="24"/>
        </w:rPr>
        <w:t>risk</w:t>
      </w:r>
      <w:r w:rsidRPr="00B917D4">
        <w:rPr>
          <w:rFonts w:ascii="Times New Roman" w:hAnsi="Times New Roman" w:cs="Times New Roman"/>
          <w:sz w:val="24"/>
          <w:szCs w:val="24"/>
        </w:rPr>
        <w:t>.</w:t>
      </w:r>
    </w:p>
    <w:p w:rsidR="000C2FCF" w:rsidRPr="00B917D4" w:rsidRDefault="009B1A05" w:rsidP="0032054C">
      <w:pPr>
        <w:autoSpaceDE w:val="0"/>
        <w:autoSpaceDN w:val="0"/>
        <w:adjustRightInd w:val="0"/>
        <w:jc w:val="both"/>
        <w:rPr>
          <w:rFonts w:ascii="Times New Roman" w:hAnsi="Times New Roman" w:cs="Times New Roman"/>
          <w:sz w:val="24"/>
          <w:szCs w:val="24"/>
        </w:rPr>
      </w:pPr>
      <w:r w:rsidRPr="00B917D4">
        <w:rPr>
          <w:rFonts w:ascii="Times New Roman" w:hAnsi="Times New Roman" w:cs="Times New Roman"/>
          <w:sz w:val="24"/>
          <w:szCs w:val="24"/>
        </w:rPr>
        <w:t xml:space="preserve">In Tehran, </w:t>
      </w:r>
      <w:r w:rsidR="004C2BF8" w:rsidRPr="00B917D4">
        <w:rPr>
          <w:rFonts w:ascii="Times New Roman" w:hAnsi="Times New Roman" w:cs="Times New Roman"/>
          <w:sz w:val="24"/>
          <w:szCs w:val="24"/>
        </w:rPr>
        <w:t>Raei, Farhangzadeh, Safizadeh and Raei</w:t>
      </w:r>
      <w:r w:rsidR="000C2FCF" w:rsidRPr="00B917D4">
        <w:rPr>
          <w:rFonts w:ascii="Times New Roman" w:hAnsi="Times New Roman" w:cs="Times New Roman"/>
          <w:sz w:val="24"/>
          <w:szCs w:val="24"/>
        </w:rPr>
        <w:t xml:space="preserve"> (2016) investigated the effect of credit portfolio diversification on </w:t>
      </w:r>
      <w:r w:rsidRPr="00B917D4">
        <w:rPr>
          <w:rFonts w:ascii="Times New Roman" w:hAnsi="Times New Roman" w:cs="Times New Roman"/>
          <w:sz w:val="24"/>
          <w:szCs w:val="24"/>
        </w:rPr>
        <w:t>ROA ROE</w:t>
      </w:r>
      <w:r w:rsidR="000C2FCF" w:rsidRPr="00B917D4">
        <w:rPr>
          <w:rFonts w:ascii="Times New Roman" w:hAnsi="Times New Roman" w:cs="Times New Roman"/>
          <w:sz w:val="24"/>
          <w:szCs w:val="24"/>
        </w:rPr>
        <w:t xml:space="preserve"> and credit risk among seven stock exchange listed banks for the period 2009 to 2014 period. Credit diversification was measured using the </w:t>
      </w:r>
      <w:r w:rsidR="00CB25CE" w:rsidRPr="00B917D4">
        <w:rPr>
          <w:rFonts w:ascii="Times New Roman" w:hAnsi="Times New Roman" w:cs="Times New Roman"/>
          <w:sz w:val="24"/>
          <w:szCs w:val="24"/>
        </w:rPr>
        <w:t>Herfindahl</w:t>
      </w:r>
      <w:r w:rsidRPr="00B917D4">
        <w:rPr>
          <w:rFonts w:ascii="Times New Roman" w:hAnsi="Times New Roman" w:cs="Times New Roman"/>
          <w:sz w:val="24"/>
          <w:szCs w:val="24"/>
        </w:rPr>
        <w:t xml:space="preserve">-Hirschman index </w:t>
      </w:r>
      <w:r w:rsidR="000C2FCF" w:rsidRPr="00B917D4">
        <w:rPr>
          <w:rFonts w:ascii="Times New Roman" w:hAnsi="Times New Roman" w:cs="Times New Roman"/>
          <w:sz w:val="24"/>
          <w:szCs w:val="24"/>
        </w:rPr>
        <w:t xml:space="preserve">while credit risk was measured as the ratio of total deferred debt over total assets with performance being measured using </w:t>
      </w:r>
      <w:r w:rsidRPr="00B917D4">
        <w:rPr>
          <w:rFonts w:ascii="Times New Roman" w:hAnsi="Times New Roman" w:cs="Times New Roman"/>
          <w:sz w:val="24"/>
          <w:szCs w:val="24"/>
        </w:rPr>
        <w:t>returns on assets and returns on equity.</w:t>
      </w:r>
      <w:r w:rsidR="000C2FCF" w:rsidRPr="00B917D4">
        <w:rPr>
          <w:rFonts w:ascii="Times New Roman" w:hAnsi="Times New Roman" w:cs="Times New Roman"/>
          <w:sz w:val="24"/>
          <w:szCs w:val="24"/>
        </w:rPr>
        <w:t xml:space="preserve"> The study </w:t>
      </w:r>
      <w:r w:rsidRPr="00B917D4">
        <w:rPr>
          <w:rFonts w:ascii="Times New Roman" w:hAnsi="Times New Roman" w:cs="Times New Roman"/>
          <w:sz w:val="24"/>
          <w:szCs w:val="24"/>
        </w:rPr>
        <w:t>observed a statistically insignificant relationship</w:t>
      </w:r>
      <w:r w:rsidR="000C2FCF" w:rsidRPr="00B917D4">
        <w:rPr>
          <w:rFonts w:ascii="Times New Roman" w:hAnsi="Times New Roman" w:cs="Times New Roman"/>
          <w:sz w:val="24"/>
          <w:szCs w:val="24"/>
        </w:rPr>
        <w:t xml:space="preserve"> between credit diversification and credit risk which was also the case for both performance measures.</w:t>
      </w:r>
      <w:r w:rsidRPr="00B917D4">
        <w:rPr>
          <w:rFonts w:ascii="Times New Roman" w:hAnsi="Times New Roman" w:cs="Times New Roman"/>
          <w:sz w:val="24"/>
          <w:szCs w:val="24"/>
        </w:rPr>
        <w:t xml:space="preserve"> This implied that credit portfolio diversification was not beneficial to banks’ risk and therefore monitoring efficiency nor did it benefit the banks performance.</w:t>
      </w:r>
    </w:p>
    <w:p w:rsidR="00CF268F" w:rsidRPr="00B917D4" w:rsidRDefault="00CF268F" w:rsidP="0032054C">
      <w:pPr>
        <w:autoSpaceDE w:val="0"/>
        <w:autoSpaceDN w:val="0"/>
        <w:adjustRightInd w:val="0"/>
        <w:jc w:val="both"/>
        <w:rPr>
          <w:rFonts w:ascii="Times New Roman" w:eastAsia="CMR12" w:hAnsi="Times New Roman" w:cs="Times New Roman"/>
          <w:sz w:val="24"/>
          <w:szCs w:val="24"/>
          <w:lang w:eastAsia="en-GB"/>
        </w:rPr>
      </w:pPr>
      <w:r w:rsidRPr="00B917D4">
        <w:rPr>
          <w:rFonts w:ascii="Times New Roman" w:eastAsia="CMR12" w:hAnsi="Times New Roman" w:cs="Times New Roman"/>
          <w:sz w:val="24"/>
          <w:szCs w:val="24"/>
          <w:lang w:eastAsia="en-GB"/>
        </w:rPr>
        <w:t>Using dat</w:t>
      </w:r>
      <w:r w:rsidR="008B0A33" w:rsidRPr="00B917D4">
        <w:rPr>
          <w:rFonts w:ascii="Times New Roman" w:eastAsia="CMR12" w:hAnsi="Times New Roman" w:cs="Times New Roman"/>
          <w:sz w:val="24"/>
          <w:szCs w:val="24"/>
          <w:lang w:eastAsia="en-GB"/>
        </w:rPr>
        <w:t>a on Chinese banks during 1996 to</w:t>
      </w:r>
      <w:r w:rsidRPr="00B917D4">
        <w:rPr>
          <w:rFonts w:ascii="Times New Roman" w:eastAsia="CMR12" w:hAnsi="Times New Roman" w:cs="Times New Roman"/>
          <w:sz w:val="24"/>
          <w:szCs w:val="24"/>
          <w:lang w:eastAsia="en-GB"/>
        </w:rPr>
        <w:t xml:space="preserve"> 2006 period, </w:t>
      </w:r>
      <w:r w:rsidR="004C2BF8" w:rsidRPr="00B917D4">
        <w:rPr>
          <w:rFonts w:ascii="Times New Roman" w:eastAsia="TimesNewRomanPSMT" w:hAnsi="Times New Roman" w:cs="Times New Roman"/>
          <w:sz w:val="24"/>
          <w:szCs w:val="24"/>
        </w:rPr>
        <w:t>Berger, Hassan and Zhou</w:t>
      </w:r>
      <w:r w:rsidRPr="00B917D4">
        <w:rPr>
          <w:rFonts w:ascii="Times New Roman" w:eastAsia="CMR12" w:hAnsi="Times New Roman" w:cs="Times New Roman"/>
          <w:sz w:val="24"/>
          <w:szCs w:val="24"/>
          <w:lang w:eastAsia="en-GB"/>
        </w:rPr>
        <w:t xml:space="preserve"> (2010) investigated the effects of focus versus diversification on bank performance. In their study, diversification was characterized by loan diversification, deposit diversification asset diversification and geographical diversification and was measured using economies of diversification and the Herfidhal-Hirschman index. Performance on the other hand was measured by returns on assets and expenses to asset ratio. For both measures of diversification, all the four constructs of diversification pointed to reduced profitability and higher banking costs, which points to diversification discount on bank performance.</w:t>
      </w:r>
    </w:p>
    <w:p w:rsidR="000C2FCF" w:rsidRPr="00B917D4" w:rsidRDefault="000C2FCF" w:rsidP="0032054C">
      <w:pPr>
        <w:autoSpaceDE w:val="0"/>
        <w:autoSpaceDN w:val="0"/>
        <w:adjustRightInd w:val="0"/>
        <w:jc w:val="both"/>
        <w:rPr>
          <w:rFonts w:ascii="Times New Roman" w:hAnsi="Times New Roman" w:cs="Times New Roman"/>
          <w:sz w:val="24"/>
          <w:szCs w:val="24"/>
        </w:rPr>
      </w:pPr>
      <w:r w:rsidRPr="00B917D4">
        <w:rPr>
          <w:rFonts w:ascii="Times New Roman" w:hAnsi="Times New Roman" w:cs="Times New Roman"/>
          <w:sz w:val="24"/>
          <w:szCs w:val="24"/>
        </w:rPr>
        <w:t xml:space="preserve">In Punjab, Ravi (2014), investigated the relationship between loan diversification and risk profile and profits of cooperative banks using secondary data from a sample of 19 district central cooperative banks for ten financial years from 2002/03 to 2011/12. The study measured credit diversification using the </w:t>
      </w:r>
      <w:r w:rsidR="00CB25CE" w:rsidRPr="00B917D4">
        <w:rPr>
          <w:rFonts w:ascii="Times New Roman" w:hAnsi="Times New Roman" w:cs="Times New Roman"/>
          <w:sz w:val="24"/>
          <w:szCs w:val="24"/>
        </w:rPr>
        <w:t>Herfindahl</w:t>
      </w:r>
      <w:r w:rsidR="009B1A05" w:rsidRPr="00B917D4">
        <w:rPr>
          <w:rFonts w:ascii="Times New Roman" w:hAnsi="Times New Roman" w:cs="Times New Roman"/>
          <w:sz w:val="24"/>
          <w:szCs w:val="24"/>
        </w:rPr>
        <w:t xml:space="preserve">-Hirschman index </w:t>
      </w:r>
      <w:r w:rsidRPr="00B917D4">
        <w:rPr>
          <w:rFonts w:ascii="Times New Roman" w:hAnsi="Times New Roman" w:cs="Times New Roman"/>
          <w:sz w:val="24"/>
          <w:szCs w:val="24"/>
        </w:rPr>
        <w:t>while risk was measured by a ratio of non-performing loans to total assets and return as the average yield on assets. The study reported a negative and significant relationship between diversification and returns but an insignificant though negative relationship between diversification and risk.</w:t>
      </w:r>
      <w:r w:rsidR="009B1A05" w:rsidRPr="00B917D4">
        <w:rPr>
          <w:rFonts w:ascii="Times New Roman" w:hAnsi="Times New Roman" w:cs="Times New Roman"/>
          <w:sz w:val="24"/>
          <w:szCs w:val="24"/>
        </w:rPr>
        <w:t xml:space="preserve"> </w:t>
      </w:r>
      <w:r w:rsidR="00DB4CD5" w:rsidRPr="00B917D4">
        <w:rPr>
          <w:rFonts w:ascii="Times New Roman" w:hAnsi="Times New Roman" w:cs="Times New Roman"/>
          <w:sz w:val="24"/>
          <w:szCs w:val="24"/>
        </w:rPr>
        <w:t>This point</w:t>
      </w:r>
      <w:r w:rsidR="009B1A05" w:rsidRPr="00B917D4">
        <w:rPr>
          <w:rFonts w:ascii="Times New Roman" w:hAnsi="Times New Roman" w:cs="Times New Roman"/>
          <w:sz w:val="24"/>
          <w:szCs w:val="24"/>
        </w:rPr>
        <w:t xml:space="preserve"> to</w:t>
      </w:r>
      <w:r w:rsidR="00723544" w:rsidRPr="00B917D4">
        <w:rPr>
          <w:rFonts w:ascii="Times New Roman" w:hAnsi="Times New Roman" w:cs="Times New Roman"/>
          <w:sz w:val="24"/>
          <w:szCs w:val="24"/>
        </w:rPr>
        <w:t xml:space="preserve"> a </w:t>
      </w:r>
      <w:r w:rsidR="009B1A05" w:rsidRPr="00B917D4">
        <w:rPr>
          <w:rFonts w:ascii="Times New Roman" w:hAnsi="Times New Roman" w:cs="Times New Roman"/>
          <w:sz w:val="24"/>
          <w:szCs w:val="24"/>
        </w:rPr>
        <w:t>diversification discount</w:t>
      </w:r>
      <w:r w:rsidR="00723544" w:rsidRPr="00B917D4">
        <w:rPr>
          <w:rFonts w:ascii="Times New Roman" w:hAnsi="Times New Roman" w:cs="Times New Roman"/>
          <w:sz w:val="24"/>
          <w:szCs w:val="24"/>
        </w:rPr>
        <w:t xml:space="preserve"> on </w:t>
      </w:r>
      <w:r w:rsidR="00DB4CD5" w:rsidRPr="00B917D4">
        <w:rPr>
          <w:rFonts w:ascii="Times New Roman" w:hAnsi="Times New Roman" w:cs="Times New Roman"/>
          <w:sz w:val="24"/>
          <w:szCs w:val="24"/>
        </w:rPr>
        <w:t xml:space="preserve">bank performance </w:t>
      </w:r>
      <w:r w:rsidR="00723544" w:rsidRPr="00B917D4">
        <w:rPr>
          <w:rFonts w:ascii="Times New Roman" w:hAnsi="Times New Roman" w:cs="Times New Roman"/>
          <w:sz w:val="24"/>
          <w:szCs w:val="24"/>
        </w:rPr>
        <w:t xml:space="preserve">but which </w:t>
      </w:r>
      <w:r w:rsidR="00DB4CD5" w:rsidRPr="00B917D4">
        <w:rPr>
          <w:rFonts w:ascii="Times New Roman" w:hAnsi="Times New Roman" w:cs="Times New Roman"/>
          <w:sz w:val="24"/>
          <w:szCs w:val="24"/>
        </w:rPr>
        <w:t>doesn’t b</w:t>
      </w:r>
      <w:r w:rsidR="00723544" w:rsidRPr="00B917D4">
        <w:rPr>
          <w:rFonts w:ascii="Times New Roman" w:hAnsi="Times New Roman" w:cs="Times New Roman"/>
          <w:sz w:val="24"/>
          <w:szCs w:val="24"/>
        </w:rPr>
        <w:t>enefit the banks</w:t>
      </w:r>
      <w:r w:rsidR="00DB4CD5" w:rsidRPr="00B917D4">
        <w:rPr>
          <w:rFonts w:ascii="Times New Roman" w:hAnsi="Times New Roman" w:cs="Times New Roman"/>
          <w:sz w:val="24"/>
          <w:szCs w:val="24"/>
        </w:rPr>
        <w:t>’</w:t>
      </w:r>
      <w:r w:rsidR="00723544" w:rsidRPr="00B917D4">
        <w:rPr>
          <w:rFonts w:ascii="Times New Roman" w:hAnsi="Times New Roman" w:cs="Times New Roman"/>
          <w:sz w:val="24"/>
          <w:szCs w:val="24"/>
        </w:rPr>
        <w:t xml:space="preserve"> monitoring effectiveness.</w:t>
      </w:r>
    </w:p>
    <w:p w:rsidR="00CF268F" w:rsidRPr="00B917D4" w:rsidRDefault="004C2BF8" w:rsidP="0032054C">
      <w:pPr>
        <w:autoSpaceDE w:val="0"/>
        <w:autoSpaceDN w:val="0"/>
        <w:adjustRightInd w:val="0"/>
        <w:jc w:val="both"/>
        <w:rPr>
          <w:rFonts w:ascii="Times New Roman" w:hAnsi="Times New Roman" w:cs="Times New Roman"/>
          <w:sz w:val="24"/>
          <w:szCs w:val="24"/>
        </w:rPr>
      </w:pPr>
      <w:r w:rsidRPr="00B917D4">
        <w:rPr>
          <w:rFonts w:ascii="Times New Roman" w:hAnsi="Times New Roman" w:cs="Times New Roman"/>
          <w:bCs/>
          <w:sz w:val="24"/>
          <w:szCs w:val="24"/>
        </w:rPr>
        <w:t>Jahn, Memmel and Pfingsten</w:t>
      </w:r>
      <w:r w:rsidR="00CF268F" w:rsidRPr="00B917D4">
        <w:rPr>
          <w:rFonts w:ascii="Times New Roman" w:hAnsi="Times New Roman" w:cs="Times New Roman"/>
          <w:bCs/>
          <w:sz w:val="24"/>
          <w:szCs w:val="24"/>
        </w:rPr>
        <w:t xml:space="preserve"> (2013) investigated the</w:t>
      </w:r>
      <w:r w:rsidR="00CF268F" w:rsidRPr="00B917D4">
        <w:rPr>
          <w:rFonts w:ascii="Times New Roman" w:hAnsi="Times New Roman" w:cs="Times New Roman"/>
          <w:sz w:val="24"/>
          <w:szCs w:val="24"/>
        </w:rPr>
        <w:t xml:space="preserve"> impact of loan portfolio sector concentration on credit risk using a unique data set on German banks’ sector specific loan exposures to the real economy and the corresponding write-offs and </w:t>
      </w:r>
      <w:r w:rsidR="008B0A33" w:rsidRPr="00B917D4">
        <w:rPr>
          <w:rFonts w:ascii="Times New Roman" w:hAnsi="Times New Roman" w:cs="Times New Roman"/>
          <w:sz w:val="24"/>
          <w:szCs w:val="24"/>
        </w:rPr>
        <w:t xml:space="preserve">write-downs for the period 2003 to </w:t>
      </w:r>
      <w:r w:rsidR="00CF268F" w:rsidRPr="00B917D4">
        <w:rPr>
          <w:rFonts w:ascii="Times New Roman" w:hAnsi="Times New Roman" w:cs="Times New Roman"/>
          <w:sz w:val="24"/>
          <w:szCs w:val="24"/>
        </w:rPr>
        <w:t xml:space="preserve">2011. The study reported, on average, lower loan losses for banks specialized in certain industries with the loss rate of a given industry in a bank’s loan portfolio being lower if the bank </w:t>
      </w:r>
      <w:r w:rsidR="00CF268F" w:rsidRPr="00B917D4">
        <w:rPr>
          <w:rFonts w:ascii="Times New Roman" w:hAnsi="Times New Roman" w:cs="Times New Roman"/>
          <w:sz w:val="24"/>
          <w:szCs w:val="24"/>
        </w:rPr>
        <w:lastRenderedPageBreak/>
        <w:t xml:space="preserve">had major exposures to that industry. Additionally, they reported lower standard deviation of the loan losses for more focused banks. This implies that diversification increased bank loan losses and therefore doesn’t aid the banks monitoring effectiveness. However, Jahn </w:t>
      </w:r>
      <w:r w:rsidR="00CF268F" w:rsidRPr="00B917D4">
        <w:rPr>
          <w:rFonts w:ascii="Times New Roman" w:hAnsi="Times New Roman" w:cs="Times New Roman"/>
          <w:i/>
          <w:sz w:val="24"/>
          <w:szCs w:val="24"/>
        </w:rPr>
        <w:t>et al</w:t>
      </w:r>
      <w:r w:rsidR="00CF268F" w:rsidRPr="00B917D4">
        <w:rPr>
          <w:rFonts w:ascii="Times New Roman" w:hAnsi="Times New Roman" w:cs="Times New Roman"/>
          <w:sz w:val="24"/>
          <w:szCs w:val="24"/>
        </w:rPr>
        <w:t>., (</w:t>
      </w:r>
      <w:r w:rsidR="002A12F1" w:rsidRPr="00B917D4">
        <w:rPr>
          <w:rFonts w:ascii="Times New Roman" w:hAnsi="Times New Roman" w:cs="Times New Roman"/>
          <w:i/>
          <w:sz w:val="24"/>
          <w:szCs w:val="24"/>
        </w:rPr>
        <w:t>op. cit.</w:t>
      </w:r>
      <w:r w:rsidR="00CF268F" w:rsidRPr="00B917D4">
        <w:rPr>
          <w:rFonts w:ascii="Times New Roman" w:hAnsi="Times New Roman" w:cs="Times New Roman"/>
          <w:sz w:val="24"/>
          <w:szCs w:val="24"/>
        </w:rPr>
        <w:t>) did not investigate the performance implications of loan portfolio concentration.</w:t>
      </w:r>
    </w:p>
    <w:p w:rsidR="00CF268F" w:rsidRPr="00B917D4" w:rsidRDefault="00CF268F" w:rsidP="0032054C">
      <w:pPr>
        <w:jc w:val="both"/>
        <w:rPr>
          <w:rFonts w:ascii="Times New Roman" w:eastAsia="CMR12" w:hAnsi="Times New Roman" w:cs="Times New Roman"/>
          <w:sz w:val="24"/>
          <w:szCs w:val="24"/>
          <w:lang w:eastAsia="en-GB"/>
        </w:rPr>
      </w:pPr>
      <w:r w:rsidRPr="00B917D4">
        <w:rPr>
          <w:rFonts w:ascii="Times New Roman" w:hAnsi="Times New Roman" w:cs="Times New Roman"/>
          <w:sz w:val="24"/>
          <w:szCs w:val="24"/>
        </w:rPr>
        <w:t xml:space="preserve">Yet in Germany, </w:t>
      </w:r>
      <w:r w:rsidR="00363471" w:rsidRPr="00B917D4">
        <w:rPr>
          <w:rFonts w:ascii="Times New Roman" w:hAnsi="Times New Roman" w:cs="Times New Roman"/>
          <w:sz w:val="24"/>
          <w:szCs w:val="24"/>
        </w:rPr>
        <w:t>Behr, Kamp, Memel and Pfingsten</w:t>
      </w:r>
      <w:r w:rsidRPr="00B917D4">
        <w:rPr>
          <w:rFonts w:ascii="Times New Roman" w:eastAsia="CMR12" w:hAnsi="Times New Roman" w:cs="Times New Roman"/>
          <w:sz w:val="24"/>
          <w:szCs w:val="24"/>
          <w:lang w:eastAsia="en-GB"/>
        </w:rPr>
        <w:t xml:space="preserve"> (2007) analysed the effects of diversification in loan portfolios on the bank risk-return characteristics between 1993 and 2003. The study used data from the </w:t>
      </w:r>
      <w:r w:rsidRPr="00B917D4">
        <w:rPr>
          <w:rFonts w:ascii="Times New Roman" w:eastAsia="CMR12" w:hAnsi="Times New Roman" w:cs="Times New Roman"/>
          <w:i/>
          <w:sz w:val="24"/>
          <w:szCs w:val="24"/>
          <w:lang w:eastAsia="en-GB"/>
        </w:rPr>
        <w:t>BundesBank’s</w:t>
      </w:r>
      <w:r w:rsidRPr="00B917D4">
        <w:rPr>
          <w:rFonts w:ascii="Times New Roman" w:eastAsia="CMR12" w:hAnsi="Times New Roman" w:cs="Times New Roman"/>
          <w:sz w:val="24"/>
          <w:szCs w:val="24"/>
          <w:lang w:eastAsia="en-GB"/>
        </w:rPr>
        <w:t xml:space="preserve"> quarterly borrower’s statistics to determine diversification degree while balance sheet audit report data were used for the risk return characteristics.  In terms of return, the analysis reported slightly lower returns for diversified banks as compared to their fully specialized peers. Additionally, using asset quality and loan loss provisions as a risk indicator, the diversified banks recorded a poorer indicator than specialized banks indicating that diversification increased bank risk. However, when fluctuations in loan loss provisions and asset quality are used as proxies to expected losses, diversified banks recorded lower volatilities than the specialized ones indicating a lower level of expected risk. This portrayed a picture of typical risk return trade-off extended in the classical portfolio theory but which was practically unsound since the asset quality ratings revealed in the analysis were already poorer than the expectations.</w:t>
      </w:r>
    </w:p>
    <w:p w:rsidR="004356D1" w:rsidRPr="00B917D4" w:rsidRDefault="004356D1" w:rsidP="0032054C">
      <w:pPr>
        <w:jc w:val="both"/>
        <w:rPr>
          <w:rFonts w:ascii="Times New Roman" w:hAnsi="Times New Roman" w:cs="Times New Roman"/>
          <w:sz w:val="24"/>
          <w:szCs w:val="24"/>
        </w:rPr>
      </w:pPr>
      <w:r w:rsidRPr="00B917D4">
        <w:rPr>
          <w:rFonts w:ascii="Times New Roman" w:eastAsia="TimesNewRoman" w:hAnsi="Times New Roman" w:cs="Times New Roman"/>
          <w:sz w:val="24"/>
          <w:szCs w:val="24"/>
        </w:rPr>
        <w:t xml:space="preserve">In Brazil, </w:t>
      </w:r>
      <w:r w:rsidR="00363471" w:rsidRPr="00B917D4">
        <w:rPr>
          <w:rFonts w:ascii="Times New Roman" w:eastAsia="TimesNewRomanPSMT" w:hAnsi="Times New Roman" w:cs="Times New Roman"/>
          <w:sz w:val="24"/>
          <w:szCs w:val="24"/>
        </w:rPr>
        <w:t>Tabak, Fazio and Cajueiro</w:t>
      </w:r>
      <w:r w:rsidRPr="00B917D4">
        <w:rPr>
          <w:rFonts w:ascii="Times New Roman" w:eastAsia="TimesNewRoman" w:hAnsi="Times New Roman" w:cs="Times New Roman"/>
          <w:sz w:val="24"/>
          <w:szCs w:val="24"/>
        </w:rPr>
        <w:t xml:space="preserve"> (2011) investigated the impact of loan portfolio concentration on banks’ return and credit risk using both static and dynamic regression analyses based on the traditional concentration as well as distance measures. They measured diversification using the Herfindahl-Hirschman index and the Shannon Entropy and return by return on assets while credit risk was measured as non-performing loans over total loans. The study reported a positive effect of concentration, measured with HHI, Shannon entropy and absolute and a relative distance measure, on banks’ performance. In addition, the HHI and Shannon Entropy had a negative influence on banks’ loan portfolio credit risk. This implied that loan portfolio diversification not only eroded a banks’ financial performance but also exposed it to more risk. </w:t>
      </w:r>
    </w:p>
    <w:p w:rsidR="00CF268F" w:rsidRPr="00B917D4" w:rsidRDefault="00CF268F" w:rsidP="0032054C">
      <w:pPr>
        <w:autoSpaceDE w:val="0"/>
        <w:autoSpaceDN w:val="0"/>
        <w:adjustRightInd w:val="0"/>
        <w:jc w:val="both"/>
        <w:rPr>
          <w:rFonts w:ascii="Times New Roman" w:hAnsi="Times New Roman" w:cs="Times New Roman"/>
          <w:sz w:val="24"/>
          <w:szCs w:val="24"/>
        </w:rPr>
      </w:pPr>
      <w:r w:rsidRPr="00B917D4">
        <w:rPr>
          <w:rFonts w:ascii="Times New Roman" w:hAnsi="Times New Roman" w:cs="Times New Roman"/>
          <w:sz w:val="24"/>
          <w:szCs w:val="24"/>
        </w:rPr>
        <w:t xml:space="preserve">Using bank level data and fixed effects regression, Simpasa and Pla (2016) investigated the </w:t>
      </w:r>
      <w:r w:rsidRPr="00B917D4">
        <w:rPr>
          <w:rFonts w:ascii="Times New Roman" w:hAnsi="Times New Roman" w:cs="Times New Roman"/>
          <w:bCs/>
          <w:sz w:val="24"/>
          <w:szCs w:val="24"/>
        </w:rPr>
        <w:t xml:space="preserve">effect of credit concentration on credit risk in Zambia. Bank concentration was measured using the </w:t>
      </w:r>
      <w:r w:rsidR="00CB25CE" w:rsidRPr="00B917D4">
        <w:rPr>
          <w:rFonts w:ascii="Times New Roman" w:hAnsi="Times New Roman" w:cs="Times New Roman"/>
          <w:bCs/>
          <w:sz w:val="24"/>
          <w:szCs w:val="24"/>
        </w:rPr>
        <w:t>Herfindahl</w:t>
      </w:r>
      <w:r w:rsidRPr="00B917D4">
        <w:rPr>
          <w:rFonts w:ascii="Times New Roman" w:hAnsi="Times New Roman" w:cs="Times New Roman"/>
          <w:bCs/>
          <w:sz w:val="24"/>
          <w:szCs w:val="24"/>
        </w:rPr>
        <w:t xml:space="preserve">-Hirschman index while credit risk was measured using the logarithm of non-performing loans. Similar to Jahn </w:t>
      </w:r>
      <w:r w:rsidRPr="00B917D4">
        <w:rPr>
          <w:rFonts w:ascii="Times New Roman" w:hAnsi="Times New Roman" w:cs="Times New Roman"/>
          <w:bCs/>
          <w:i/>
          <w:sz w:val="24"/>
          <w:szCs w:val="24"/>
        </w:rPr>
        <w:t>et al</w:t>
      </w:r>
      <w:r w:rsidRPr="00B917D4">
        <w:rPr>
          <w:rFonts w:ascii="Times New Roman" w:hAnsi="Times New Roman" w:cs="Times New Roman"/>
          <w:bCs/>
          <w:sz w:val="24"/>
          <w:szCs w:val="24"/>
        </w:rPr>
        <w:t>., (</w:t>
      </w:r>
      <w:r w:rsidR="002A12F1" w:rsidRPr="00B917D4">
        <w:rPr>
          <w:rFonts w:ascii="Times New Roman" w:hAnsi="Times New Roman" w:cs="Times New Roman"/>
          <w:bCs/>
          <w:i/>
          <w:sz w:val="24"/>
          <w:szCs w:val="24"/>
        </w:rPr>
        <w:t>op. cit.</w:t>
      </w:r>
      <w:r w:rsidRPr="00B917D4">
        <w:rPr>
          <w:rFonts w:ascii="Times New Roman" w:hAnsi="Times New Roman" w:cs="Times New Roman"/>
          <w:bCs/>
          <w:sz w:val="24"/>
          <w:szCs w:val="24"/>
        </w:rPr>
        <w:t xml:space="preserve">), the study reported an inverse relationship between banks’ credit concentration and risk suggesting that </w:t>
      </w:r>
      <w:r w:rsidRPr="00B917D4">
        <w:rPr>
          <w:rFonts w:ascii="Times New Roman" w:hAnsi="Times New Roman" w:cs="Times New Roman"/>
          <w:sz w:val="24"/>
          <w:szCs w:val="24"/>
        </w:rPr>
        <w:t>banks with more concentrated credit portfolios tend to have lower credit risk. This implies that portfolio diversification doesn’t benefit the banks monitoring effectiveness and therefore risk.</w:t>
      </w:r>
    </w:p>
    <w:p w:rsidR="001E7103" w:rsidRPr="00B917D4" w:rsidRDefault="001E7103" w:rsidP="0032054C">
      <w:pPr>
        <w:autoSpaceDE w:val="0"/>
        <w:autoSpaceDN w:val="0"/>
        <w:adjustRightInd w:val="0"/>
        <w:jc w:val="both"/>
        <w:rPr>
          <w:rFonts w:ascii="Times New Roman" w:eastAsia="TimesNewRoman" w:hAnsi="Times New Roman" w:cs="Times New Roman"/>
          <w:sz w:val="24"/>
          <w:szCs w:val="24"/>
        </w:rPr>
      </w:pPr>
      <w:r w:rsidRPr="00B917D4">
        <w:rPr>
          <w:rFonts w:ascii="Times New Roman" w:eastAsia="TimesNewRoman" w:hAnsi="Times New Roman" w:cs="Times New Roman"/>
          <w:sz w:val="24"/>
          <w:szCs w:val="24"/>
        </w:rPr>
        <w:t xml:space="preserve">In Italy, Acharya </w:t>
      </w:r>
      <w:r w:rsidRPr="00B917D4">
        <w:rPr>
          <w:rFonts w:ascii="Times New Roman" w:eastAsia="TimesNewRoman" w:hAnsi="Times New Roman" w:cs="Times New Roman"/>
          <w:i/>
          <w:sz w:val="24"/>
          <w:szCs w:val="24"/>
        </w:rPr>
        <w:t>et al</w:t>
      </w:r>
      <w:r w:rsidRPr="00B917D4">
        <w:rPr>
          <w:rFonts w:ascii="Times New Roman" w:eastAsia="TimesNewRoman" w:hAnsi="Times New Roman" w:cs="Times New Roman"/>
          <w:sz w:val="24"/>
          <w:szCs w:val="24"/>
        </w:rPr>
        <w:t xml:space="preserve">., (2006) empirically examined the impact of loan portfolio concentration versus diversification on performance indicators of Italian banks using the Herfindahl-Hirschman Index (HHI) as a measure of loan portfolio concentration across different industries and sectors. The study reported that diversification per se is no guarantee of superior performance or greater </w:t>
      </w:r>
      <w:r w:rsidRPr="00B917D4">
        <w:rPr>
          <w:rFonts w:ascii="Times New Roman" w:eastAsia="TimesNewRoman" w:hAnsi="Times New Roman" w:cs="Times New Roman"/>
          <w:sz w:val="24"/>
          <w:szCs w:val="24"/>
        </w:rPr>
        <w:lastRenderedPageBreak/>
        <w:t>bank safety and soundness. Industrial or sectoral diversification either did not affect or marginally increased return and increased credit risk for banks with a moderate downside risk in the loan portfolio, whereas banks with a high credit risk in their loan portfolio experienced decreased bank performance through diversification.</w:t>
      </w:r>
    </w:p>
    <w:p w:rsidR="00E249E1" w:rsidRPr="00B917D4" w:rsidRDefault="00E249E1" w:rsidP="0032054C">
      <w:pPr>
        <w:jc w:val="both"/>
        <w:rPr>
          <w:rFonts w:ascii="Times New Roman" w:hAnsi="Times New Roman" w:cs="Times New Roman"/>
          <w:sz w:val="24"/>
          <w:szCs w:val="24"/>
        </w:rPr>
      </w:pPr>
      <w:r w:rsidRPr="00B917D4">
        <w:rPr>
          <w:rFonts w:ascii="Times New Roman" w:hAnsi="Times New Roman" w:cs="Times New Roman"/>
          <w:sz w:val="24"/>
          <w:szCs w:val="24"/>
        </w:rPr>
        <w:t>Using bank level panel data in Tunisia, Belguith and Bellouma (2017) investigated the impact of loan portfolio diversification on bank profitability on a sample of ten largest banks over the period 2000-2015. In their research, profitability was measured using ROA, ROE and risk adjusted ROA and ROE while loan portfolio diversification was measured using the traditional concentration measure HHI. Using a static random effect panel data model they reported that loan portfolio concentration seemed to improve Tunisian bank profitability. As such, loan portfolio diversification had a downward effect on bank profitability.</w:t>
      </w:r>
    </w:p>
    <w:p w:rsidR="003024E0" w:rsidRPr="00B917D4" w:rsidRDefault="00CF268F" w:rsidP="0032054C">
      <w:pPr>
        <w:autoSpaceDE w:val="0"/>
        <w:autoSpaceDN w:val="0"/>
        <w:adjustRightInd w:val="0"/>
        <w:jc w:val="both"/>
        <w:rPr>
          <w:rFonts w:ascii="Times New Roman" w:hAnsi="Times New Roman" w:cs="Times New Roman"/>
          <w:sz w:val="24"/>
          <w:szCs w:val="24"/>
        </w:rPr>
      </w:pPr>
      <w:r w:rsidRPr="00B917D4">
        <w:rPr>
          <w:rFonts w:ascii="Times New Roman" w:hAnsi="Times New Roman" w:cs="Times New Roman"/>
          <w:sz w:val="24"/>
          <w:szCs w:val="24"/>
        </w:rPr>
        <w:t>Proponents of diversifications</w:t>
      </w:r>
      <w:r w:rsidR="003024E0" w:rsidRPr="00B917D4">
        <w:rPr>
          <w:rFonts w:ascii="Times New Roman" w:hAnsi="Times New Roman" w:cs="Times New Roman"/>
          <w:sz w:val="24"/>
          <w:szCs w:val="24"/>
        </w:rPr>
        <w:t xml:space="preserve"> </w:t>
      </w:r>
      <w:r w:rsidRPr="00B917D4">
        <w:rPr>
          <w:rFonts w:ascii="Times New Roman" w:hAnsi="Times New Roman" w:cs="Times New Roman"/>
          <w:sz w:val="24"/>
          <w:szCs w:val="24"/>
        </w:rPr>
        <w:t xml:space="preserve">cite </w:t>
      </w:r>
      <w:r w:rsidR="003024E0" w:rsidRPr="00B917D4">
        <w:rPr>
          <w:rFonts w:ascii="Times New Roman" w:hAnsi="Times New Roman" w:cs="Times New Roman"/>
          <w:sz w:val="24"/>
          <w:szCs w:val="24"/>
        </w:rPr>
        <w:t xml:space="preserve">managerial and </w:t>
      </w:r>
      <w:r w:rsidRPr="00B917D4">
        <w:rPr>
          <w:rFonts w:ascii="Times New Roman" w:hAnsi="Times New Roman" w:cs="Times New Roman"/>
          <w:sz w:val="24"/>
          <w:szCs w:val="24"/>
        </w:rPr>
        <w:t xml:space="preserve">cost efficiency benefits </w:t>
      </w:r>
      <w:r w:rsidR="001820EF" w:rsidRPr="00B917D4">
        <w:rPr>
          <w:rFonts w:ascii="Times New Roman" w:hAnsi="Times New Roman" w:cs="Times New Roman"/>
          <w:sz w:val="24"/>
          <w:szCs w:val="24"/>
        </w:rPr>
        <w:t xml:space="preserve">arising from diversification. </w:t>
      </w:r>
      <w:r w:rsidR="003024E0" w:rsidRPr="00B917D4">
        <w:rPr>
          <w:rFonts w:ascii="Times New Roman" w:hAnsi="Times New Roman" w:cs="Times New Roman"/>
          <w:sz w:val="24"/>
          <w:szCs w:val="24"/>
        </w:rPr>
        <w:t>For Instance, in Kenya, Maubi and Jagongo (2014) investigated the relationship between corporate loan diversification and credit risk management among commercial banks using primary data and a cross sectional survey method. Diversification was assessed from three fronts: geographical, industry and borrower size. The study reported no association between geographical diversification and credit risk management but found a positive and negative association between industry diversification and size diversification and credit risk management respectively. This implied that industry oriented credit diversification improve the firms credit risk management and therefore monitoring effectiveness.</w:t>
      </w:r>
    </w:p>
    <w:p w:rsidR="000B33B6" w:rsidRPr="00B917D4" w:rsidRDefault="00F300EA" w:rsidP="0032054C">
      <w:pPr>
        <w:jc w:val="both"/>
        <w:rPr>
          <w:rFonts w:ascii="Times New Roman" w:hAnsi="Times New Roman" w:cs="Times New Roman"/>
          <w:sz w:val="24"/>
          <w:szCs w:val="24"/>
        </w:rPr>
      </w:pPr>
      <w:r w:rsidRPr="00B917D4">
        <w:rPr>
          <w:rFonts w:ascii="Times New Roman" w:hAnsi="Times New Roman" w:cs="Times New Roman"/>
          <w:sz w:val="24"/>
          <w:szCs w:val="24"/>
        </w:rPr>
        <w:t xml:space="preserve">In Pakistan, Afzal and Mirza (2012) investigated the relationship between size, diversification and risk using unbalanced panel data from 21 listed commercial banks for the period 2004 to 2009. They measured sectoral credit diversification using the </w:t>
      </w:r>
      <w:r w:rsidR="00CB25CE" w:rsidRPr="00B917D4">
        <w:rPr>
          <w:rFonts w:ascii="Times New Roman" w:hAnsi="Times New Roman" w:cs="Times New Roman"/>
          <w:sz w:val="24"/>
          <w:szCs w:val="24"/>
        </w:rPr>
        <w:t>Herfindahl</w:t>
      </w:r>
      <w:r w:rsidRPr="00B917D4">
        <w:rPr>
          <w:rFonts w:ascii="Times New Roman" w:hAnsi="Times New Roman" w:cs="Times New Roman"/>
          <w:sz w:val="24"/>
          <w:szCs w:val="24"/>
        </w:rPr>
        <w:t xml:space="preserve"> index why size was proxy by the amount of total advances. They estimated bank risk using asset quality measured by non</w:t>
      </w:r>
      <w:r w:rsidR="006A2BED" w:rsidRPr="00B917D4">
        <w:rPr>
          <w:rFonts w:ascii="Times New Roman" w:hAnsi="Times New Roman" w:cs="Times New Roman"/>
          <w:sz w:val="24"/>
          <w:szCs w:val="24"/>
        </w:rPr>
        <w:t>-</w:t>
      </w:r>
      <w:r w:rsidRPr="00B917D4">
        <w:rPr>
          <w:rFonts w:ascii="Times New Roman" w:hAnsi="Times New Roman" w:cs="Times New Roman"/>
          <w:sz w:val="24"/>
          <w:szCs w:val="24"/>
        </w:rPr>
        <w:t>performing loans ratio, the value at risk and the default likely indicator. The study found out that larger banks were more diversified than small banks especially because of their outreach and size of credit portfolio. However, the study didn’t discover a significant relationship between accounting based measures of risk and diversification. However, market based measures of value at risk (VaR) and Default indicator were significantly related to diversification. As such Afzal and Mirza (</w:t>
      </w:r>
      <w:r w:rsidR="002A12F1" w:rsidRPr="00B917D4">
        <w:rPr>
          <w:rFonts w:ascii="Times New Roman" w:hAnsi="Times New Roman" w:cs="Times New Roman"/>
          <w:i/>
          <w:sz w:val="24"/>
          <w:szCs w:val="24"/>
        </w:rPr>
        <w:t>op. cit</w:t>
      </w:r>
      <w:r w:rsidR="007D4C57" w:rsidRPr="00B917D4">
        <w:rPr>
          <w:rFonts w:ascii="Times New Roman" w:hAnsi="Times New Roman" w:cs="Times New Roman"/>
          <w:i/>
          <w:sz w:val="24"/>
          <w:szCs w:val="24"/>
        </w:rPr>
        <w:t>.</w:t>
      </w:r>
      <w:r w:rsidRPr="00B917D4">
        <w:rPr>
          <w:rFonts w:ascii="Times New Roman" w:hAnsi="Times New Roman" w:cs="Times New Roman"/>
          <w:sz w:val="24"/>
          <w:szCs w:val="24"/>
        </w:rPr>
        <w:t>) concluded that though firms did not find any incentives in credit diversification, the market participants considered diversification as a relevant tool for risk management</w:t>
      </w:r>
      <w:r w:rsidR="00F4750B" w:rsidRPr="00B917D4">
        <w:rPr>
          <w:rFonts w:ascii="Times New Roman" w:hAnsi="Times New Roman" w:cs="Times New Roman"/>
          <w:sz w:val="24"/>
          <w:szCs w:val="24"/>
        </w:rPr>
        <w:t>.</w:t>
      </w:r>
    </w:p>
    <w:p w:rsidR="000B33B6" w:rsidRDefault="000B33B6" w:rsidP="0032054C">
      <w:pPr>
        <w:jc w:val="both"/>
        <w:rPr>
          <w:rFonts w:ascii="Times New Roman" w:hAnsi="Times New Roman" w:cs="Times New Roman"/>
          <w:sz w:val="24"/>
          <w:szCs w:val="24"/>
        </w:rPr>
      </w:pPr>
      <w:r w:rsidRPr="00B917D4">
        <w:rPr>
          <w:rFonts w:ascii="Times New Roman" w:hAnsi="Times New Roman" w:cs="Times New Roman"/>
          <w:sz w:val="24"/>
          <w:szCs w:val="24"/>
        </w:rPr>
        <w:t xml:space="preserve">From, the foregoing discussion, it is evident that bank credit portfolio diversification has elicited both support </w:t>
      </w:r>
      <w:r w:rsidR="008502D3" w:rsidRPr="00B917D4">
        <w:rPr>
          <w:rFonts w:ascii="Times New Roman" w:hAnsi="Times New Roman" w:cs="Times New Roman"/>
          <w:sz w:val="24"/>
          <w:szCs w:val="24"/>
        </w:rPr>
        <w:t xml:space="preserve">in literature </w:t>
      </w:r>
      <w:r w:rsidRPr="00B917D4">
        <w:rPr>
          <w:rFonts w:ascii="Times New Roman" w:hAnsi="Times New Roman" w:cs="Times New Roman"/>
          <w:sz w:val="24"/>
          <w:szCs w:val="24"/>
        </w:rPr>
        <w:t xml:space="preserve">and disapproval in </w:t>
      </w:r>
      <w:r w:rsidR="008502D3" w:rsidRPr="00B917D4">
        <w:rPr>
          <w:rFonts w:ascii="Times New Roman" w:hAnsi="Times New Roman" w:cs="Times New Roman"/>
          <w:sz w:val="24"/>
          <w:szCs w:val="24"/>
        </w:rPr>
        <w:t xml:space="preserve">equal measure, despite the endorsements of the practice by intermediation theories. </w:t>
      </w:r>
      <w:r w:rsidRPr="00B917D4">
        <w:rPr>
          <w:rFonts w:ascii="Times New Roman" w:hAnsi="Times New Roman" w:cs="Times New Roman"/>
          <w:sz w:val="24"/>
          <w:szCs w:val="24"/>
        </w:rPr>
        <w:t xml:space="preserve">This literature divergence, first with itself and secondly with theoretical prescriptions, provokes two questions which this study seeks to answer. First, what is the effect of sectoral credit diversification on a </w:t>
      </w:r>
      <w:r w:rsidR="0032054C" w:rsidRPr="00B917D4">
        <w:rPr>
          <w:rFonts w:ascii="Times New Roman" w:hAnsi="Times New Roman" w:cs="Times New Roman"/>
          <w:sz w:val="24"/>
          <w:szCs w:val="24"/>
        </w:rPr>
        <w:t>banking industry</w:t>
      </w:r>
      <w:r w:rsidRPr="00B917D4">
        <w:rPr>
          <w:rFonts w:ascii="Times New Roman" w:hAnsi="Times New Roman" w:cs="Times New Roman"/>
          <w:sz w:val="24"/>
          <w:szCs w:val="24"/>
        </w:rPr>
        <w:t xml:space="preserve"> financial performance? </w:t>
      </w:r>
      <w:r w:rsidRPr="00B917D4">
        <w:rPr>
          <w:rFonts w:ascii="Times New Roman" w:hAnsi="Times New Roman" w:cs="Times New Roman"/>
          <w:sz w:val="24"/>
          <w:szCs w:val="24"/>
        </w:rPr>
        <w:lastRenderedPageBreak/>
        <w:t xml:space="preserve">Secondly, how does sectorial credit diversification affect </w:t>
      </w:r>
      <w:r w:rsidR="0032054C" w:rsidRPr="00B917D4">
        <w:rPr>
          <w:rFonts w:ascii="Times New Roman" w:hAnsi="Times New Roman" w:cs="Times New Roman"/>
          <w:sz w:val="24"/>
          <w:szCs w:val="24"/>
        </w:rPr>
        <w:t xml:space="preserve">banking industry </w:t>
      </w:r>
      <w:r w:rsidRPr="00B917D4">
        <w:rPr>
          <w:rFonts w:ascii="Times New Roman" w:hAnsi="Times New Roman" w:cs="Times New Roman"/>
          <w:sz w:val="24"/>
          <w:szCs w:val="24"/>
        </w:rPr>
        <w:t>monitoring effectiveness?</w:t>
      </w:r>
    </w:p>
    <w:p w:rsidR="000C2FCF" w:rsidRPr="00B917D4" w:rsidRDefault="000C2FCF" w:rsidP="00961B17">
      <w:pPr>
        <w:pStyle w:val="ListParagraph"/>
        <w:numPr>
          <w:ilvl w:val="1"/>
          <w:numId w:val="1"/>
        </w:numPr>
        <w:ind w:left="567" w:hanging="567"/>
        <w:contextualSpacing w:val="0"/>
        <w:jc w:val="both"/>
        <w:rPr>
          <w:rFonts w:ascii="Times New Roman" w:hAnsi="Times New Roman" w:cs="Times New Roman"/>
          <w:b/>
          <w:sz w:val="24"/>
          <w:szCs w:val="24"/>
        </w:rPr>
      </w:pPr>
      <w:r w:rsidRPr="00B917D4">
        <w:rPr>
          <w:rFonts w:ascii="Times New Roman" w:hAnsi="Times New Roman" w:cs="Times New Roman"/>
          <w:b/>
          <w:sz w:val="24"/>
          <w:szCs w:val="24"/>
        </w:rPr>
        <w:t>East African Banking Industry</w:t>
      </w:r>
    </w:p>
    <w:p w:rsidR="00F4750B" w:rsidRPr="00B917D4" w:rsidRDefault="00F4750B" w:rsidP="0032054C">
      <w:pPr>
        <w:jc w:val="both"/>
        <w:rPr>
          <w:rFonts w:ascii="Times New Roman" w:hAnsi="Times New Roman" w:cs="Times New Roman"/>
          <w:sz w:val="24"/>
          <w:szCs w:val="24"/>
        </w:rPr>
      </w:pPr>
      <w:r w:rsidRPr="00B917D4">
        <w:rPr>
          <w:rFonts w:ascii="Times New Roman" w:hAnsi="Times New Roman" w:cs="Times New Roman"/>
          <w:sz w:val="24"/>
          <w:szCs w:val="24"/>
        </w:rPr>
        <w:t xml:space="preserve">The East African Community consists of Kenya, Uganda, Rwanda, Tanzania and Burundi (EAC, 2017) and the commercial banking industry in the block is quite vibrant and expansive. The Kenyan banking industry is the largest in the block and the </w:t>
      </w:r>
      <w:r w:rsidRPr="00B917D4">
        <w:rPr>
          <w:rFonts w:ascii="Times New Roman" w:eastAsia="Times New Roman" w:hAnsi="Times New Roman" w:cs="Times New Roman"/>
          <w:sz w:val="24"/>
          <w:szCs w:val="24"/>
        </w:rPr>
        <w:t xml:space="preserve">fourth largest in Sub Saharan Africa after South Africa, Nigeria and Mauritius with 43 commercial banks (EAC, </w:t>
      </w:r>
      <w:r w:rsidR="008502D3" w:rsidRPr="00B917D4">
        <w:rPr>
          <w:rFonts w:ascii="Times New Roman" w:eastAsia="Times New Roman" w:hAnsi="Times New Roman" w:cs="Times New Roman"/>
          <w:i/>
          <w:sz w:val="24"/>
          <w:szCs w:val="24"/>
        </w:rPr>
        <w:t>op</w:t>
      </w:r>
      <w:r w:rsidR="007D4C57" w:rsidRPr="00B917D4">
        <w:rPr>
          <w:rFonts w:ascii="Times New Roman" w:eastAsia="Times New Roman" w:hAnsi="Times New Roman" w:cs="Times New Roman"/>
          <w:i/>
          <w:sz w:val="24"/>
          <w:szCs w:val="24"/>
        </w:rPr>
        <w:t>.</w:t>
      </w:r>
      <w:r w:rsidR="008502D3" w:rsidRPr="00B917D4">
        <w:rPr>
          <w:rFonts w:ascii="Times New Roman" w:eastAsia="Times New Roman" w:hAnsi="Times New Roman" w:cs="Times New Roman"/>
          <w:i/>
          <w:sz w:val="24"/>
          <w:szCs w:val="24"/>
        </w:rPr>
        <w:t xml:space="preserve"> cit</w:t>
      </w:r>
      <w:r w:rsidRPr="00B917D4">
        <w:rPr>
          <w:rFonts w:ascii="Times New Roman" w:eastAsia="Times New Roman" w:hAnsi="Times New Roman" w:cs="Times New Roman"/>
          <w:sz w:val="24"/>
          <w:szCs w:val="24"/>
        </w:rPr>
        <w:t xml:space="preserve">). The other countries have: Tanzania (26), Uganda (21), Rwanda (8) and Burundi (7) commercial banks respectively. Additionally, multinational banks have also set up operations in the East African community (African Business Magazine, 2011). Cross border expansion of the banks was started in the year 2000 by Kenyan banks followed shortly by Tanzanian CRDB in 2012. This expansion has been augmented by an expansion in volume of cross-border financial deals (African Business Magazine, </w:t>
      </w:r>
      <w:r w:rsidR="007D4C57" w:rsidRPr="00B917D4">
        <w:rPr>
          <w:rFonts w:ascii="Times New Roman" w:eastAsia="Times New Roman" w:hAnsi="Times New Roman" w:cs="Times New Roman"/>
          <w:i/>
          <w:sz w:val="24"/>
          <w:szCs w:val="24"/>
        </w:rPr>
        <w:t>loc. cit.</w:t>
      </w:r>
      <w:r w:rsidRPr="00B917D4">
        <w:rPr>
          <w:rFonts w:ascii="Times New Roman" w:eastAsia="Times New Roman" w:hAnsi="Times New Roman" w:cs="Times New Roman"/>
          <w:sz w:val="24"/>
          <w:szCs w:val="24"/>
        </w:rPr>
        <w:t xml:space="preserve">). To promote member banks’ interests, the commercial banks in the various countries have established national umbrella bodies, commonly known as Bankers’ Associations, which among other things endear to promote a reputable and professional banking sector. Among the four countries (Kenya, Uganda, Rwanda and Tanzania) covered in this, Kenya has the largest banking sector by asset base followed by Tanzania, with Rwanda having the smallest sector while in terms of the total loans and advances made relative to the total assets, Kenya had the highest ratio, followed by Rwanda, Tanzania and then Uganda (EY, 2014). In terms of profitability, Kenya’s banking industry is the most profitable among the four followed by Uganda, Tanzania and then Rwanda. </w:t>
      </w:r>
      <w:r w:rsidRPr="00B917D4">
        <w:rPr>
          <w:rFonts w:ascii="Times New Roman" w:hAnsi="Times New Roman" w:cs="Times New Roman"/>
          <w:sz w:val="24"/>
          <w:szCs w:val="24"/>
        </w:rPr>
        <w:t xml:space="preserve">Ernst &amp; Young (EY, </w:t>
      </w:r>
      <w:r w:rsidR="007D4C57" w:rsidRPr="00B917D4">
        <w:rPr>
          <w:rFonts w:ascii="Times New Roman" w:hAnsi="Times New Roman" w:cs="Times New Roman"/>
          <w:i/>
          <w:sz w:val="24"/>
          <w:szCs w:val="24"/>
        </w:rPr>
        <w:t>op. cit.</w:t>
      </w:r>
      <w:r w:rsidRPr="00B917D4">
        <w:rPr>
          <w:rFonts w:ascii="Times New Roman" w:hAnsi="Times New Roman" w:cs="Times New Roman"/>
          <w:sz w:val="24"/>
          <w:szCs w:val="24"/>
        </w:rPr>
        <w:t>) attribute this to Kenyan banks ability to deploy a greater proportion of their assets to lending thus lowering their expense to income ratio coupled with the economies of scale benefits arising from the large sector size. In terms of asset quality, Kenya had on average a lower ratio of nonperforming loans to gross loans followed by Uganda and Tanzania with Rwanda having the highest ratio which points to Rwanda’s weaker monitoring effectiveness compared to the other countries.</w:t>
      </w:r>
    </w:p>
    <w:p w:rsidR="000C2FCF" w:rsidRPr="00B917D4" w:rsidRDefault="000C2FCF" w:rsidP="0032054C">
      <w:pPr>
        <w:pStyle w:val="ListParagraph"/>
        <w:numPr>
          <w:ilvl w:val="0"/>
          <w:numId w:val="1"/>
        </w:numPr>
        <w:ind w:left="567" w:hanging="567"/>
        <w:contextualSpacing w:val="0"/>
        <w:jc w:val="both"/>
        <w:rPr>
          <w:rFonts w:ascii="Times New Roman" w:hAnsi="Times New Roman" w:cs="Times New Roman"/>
          <w:b/>
          <w:sz w:val="24"/>
          <w:szCs w:val="24"/>
        </w:rPr>
      </w:pPr>
      <w:r w:rsidRPr="00B917D4">
        <w:rPr>
          <w:rFonts w:ascii="Times New Roman" w:hAnsi="Times New Roman" w:cs="Times New Roman"/>
          <w:b/>
          <w:sz w:val="24"/>
          <w:szCs w:val="24"/>
        </w:rPr>
        <w:t>Theoretical Perspectives of Credit Diversification</w:t>
      </w:r>
    </w:p>
    <w:p w:rsidR="000C2FCF" w:rsidRPr="00B917D4" w:rsidRDefault="000C2FCF" w:rsidP="0032054C">
      <w:pPr>
        <w:jc w:val="both"/>
        <w:rPr>
          <w:rFonts w:ascii="Times New Roman" w:hAnsi="Times New Roman" w:cs="Times New Roman"/>
          <w:sz w:val="24"/>
          <w:szCs w:val="24"/>
        </w:rPr>
      </w:pPr>
      <w:r w:rsidRPr="00B917D4">
        <w:rPr>
          <w:rFonts w:ascii="Times New Roman" w:hAnsi="Times New Roman" w:cs="Times New Roman"/>
          <w:sz w:val="24"/>
          <w:szCs w:val="24"/>
        </w:rPr>
        <w:t>This study will be informed by Diamond’s 1984 financial intermediation and delegated monitoring theory</w:t>
      </w:r>
      <w:r w:rsidRPr="00B917D4">
        <w:rPr>
          <w:rFonts w:ascii="Times New Roman" w:eastAsia="Arial Unicode MS" w:hAnsi="Times New Roman" w:cs="Times New Roman"/>
          <w:sz w:val="24"/>
          <w:szCs w:val="24"/>
        </w:rPr>
        <w:t xml:space="preserve">. </w:t>
      </w:r>
      <w:r w:rsidRPr="00B917D4">
        <w:rPr>
          <w:rFonts w:ascii="Times New Roman" w:hAnsi="Times New Roman" w:cs="Times New Roman"/>
          <w:sz w:val="24"/>
          <w:szCs w:val="24"/>
        </w:rPr>
        <w:t xml:space="preserve">Diamond developed a theory of financial intermediation based on minimum cost production of information useful for resolving incentive problems whereby banks share gross cost advantages in collecting information. The theory envisioned two types of diversification; diversification by increasing the number of agents in the intermediary (sharing risks) and diversification by increasing the number of projects carried out by one intermediary (adding risk). The former approach works because each independent risk is shared by different number of agents while the latter is what Samuelson (cited in Diamond, 1984) calls the “fallacy of large numbers”, but addition of independent risks reduces the per-entrepreneur risk and the fallacy of large numbers stops being a fallacy. However, the financial intermediary envisioned by Diamond is a pure asset transformer whereby the only diversification possible is that of </w:t>
      </w:r>
      <w:r w:rsidRPr="00B917D4">
        <w:rPr>
          <w:rFonts w:ascii="Times New Roman" w:hAnsi="Times New Roman" w:cs="Times New Roman"/>
          <w:sz w:val="24"/>
          <w:szCs w:val="24"/>
        </w:rPr>
        <w:lastRenderedPageBreak/>
        <w:t xml:space="preserve">adding independent identically distributed projects by one agent or what </w:t>
      </w:r>
      <w:r w:rsidR="007D4C57" w:rsidRPr="00B917D4">
        <w:rPr>
          <w:rFonts w:ascii="Times New Roman" w:hAnsi="Times New Roman" w:cs="Times New Roman"/>
          <w:sz w:val="24"/>
          <w:szCs w:val="24"/>
        </w:rPr>
        <w:t>he called</w:t>
      </w:r>
      <w:r w:rsidRPr="00B917D4">
        <w:rPr>
          <w:rFonts w:ascii="Times New Roman" w:hAnsi="Times New Roman" w:cs="Times New Roman"/>
          <w:sz w:val="24"/>
          <w:szCs w:val="24"/>
        </w:rPr>
        <w:t xml:space="preserve"> diversification within the intermediary. This reduces the per-entrepreneur cost of intermediation since for all projects with less than perfect correlation; the delegation cost for </w:t>
      </w:r>
      <w:r w:rsidRPr="00B917D4">
        <w:rPr>
          <w:rFonts w:ascii="Times New Roman" w:hAnsi="Times New Roman" w:cs="Times New Roman"/>
          <w:i/>
          <w:sz w:val="24"/>
          <w:szCs w:val="24"/>
        </w:rPr>
        <w:t>N</w:t>
      </w:r>
      <w:r w:rsidRPr="00B917D4">
        <w:rPr>
          <w:rFonts w:ascii="Times New Roman" w:hAnsi="Times New Roman" w:cs="Times New Roman"/>
          <w:sz w:val="24"/>
          <w:szCs w:val="24"/>
        </w:rPr>
        <w:t xml:space="preserve"> projects monitored by a single intermediary would be less than the sum of delegation costs for monitoring proper subsets of them by several intermediaries through sharing risks.</w:t>
      </w:r>
    </w:p>
    <w:p w:rsidR="000C2FCF" w:rsidRPr="00B917D4" w:rsidRDefault="000C2FCF" w:rsidP="0032054C">
      <w:pPr>
        <w:jc w:val="both"/>
        <w:rPr>
          <w:rFonts w:ascii="Times New Roman" w:hAnsi="Times New Roman" w:cs="Times New Roman"/>
          <w:sz w:val="24"/>
          <w:szCs w:val="24"/>
        </w:rPr>
      </w:pPr>
      <w:r w:rsidRPr="00B917D4">
        <w:rPr>
          <w:rFonts w:ascii="Times New Roman" w:hAnsi="Times New Roman" w:cs="Times New Roman"/>
          <w:sz w:val="24"/>
          <w:szCs w:val="24"/>
        </w:rPr>
        <w:t>Diamond (</w:t>
      </w:r>
      <w:r w:rsidR="007D4C57" w:rsidRPr="00B917D4">
        <w:rPr>
          <w:rFonts w:ascii="Times New Roman" w:hAnsi="Times New Roman" w:cs="Times New Roman"/>
          <w:i/>
          <w:sz w:val="24"/>
          <w:szCs w:val="24"/>
        </w:rPr>
        <w:t>op. cit.</w:t>
      </w:r>
      <w:r w:rsidRPr="00B917D4">
        <w:rPr>
          <w:rFonts w:ascii="Times New Roman" w:hAnsi="Times New Roman" w:cs="Times New Roman"/>
          <w:sz w:val="24"/>
          <w:szCs w:val="24"/>
        </w:rPr>
        <w:t>) approaches diversification from a cost reduction perspective and recommends the latter approach by arguing that diversification within the intermediary would be key to possible net cost advantages due to</w:t>
      </w:r>
      <w:r w:rsidR="007D4C57" w:rsidRPr="00B917D4">
        <w:rPr>
          <w:rFonts w:ascii="Times New Roman" w:hAnsi="Times New Roman" w:cs="Times New Roman"/>
          <w:sz w:val="24"/>
          <w:szCs w:val="24"/>
        </w:rPr>
        <w:t xml:space="preserve"> the strong similarities</w:t>
      </w:r>
      <w:r w:rsidRPr="00B917D4">
        <w:rPr>
          <w:rFonts w:ascii="Times New Roman" w:hAnsi="Times New Roman" w:cs="Times New Roman"/>
          <w:sz w:val="24"/>
          <w:szCs w:val="24"/>
        </w:rPr>
        <w:t xml:space="preserve"> between an intermediary and its depositors. As such, intermediation would be potentially viable where the delegation costs (equal to the risk premium) is reduced by the centralization of monitoring to a single intermediary with several projects. The financial intermediation and delegated monitoring approach explains bank diversification both in the context of risk and that of risk neutrality. In the risk neutral model, the reasoning behind diversification is that diversification increase the probability that the intermediary has sufficient loan proceeds to repay a fixed debt claim to depositors thus reducing the probability of bankruptcy. In the risk aversion model, on the other hand, diversification increases the financial institutions risk tolerance toward each loan, allowing the risk bearing necessary for incentive purposes to be less costly. </w:t>
      </w:r>
    </w:p>
    <w:p w:rsidR="000C2FCF" w:rsidRPr="00B917D4" w:rsidRDefault="000C2FCF" w:rsidP="0032054C">
      <w:pPr>
        <w:jc w:val="both"/>
        <w:rPr>
          <w:rFonts w:ascii="Times New Roman" w:hAnsi="Times New Roman" w:cs="Times New Roman"/>
          <w:sz w:val="24"/>
          <w:szCs w:val="24"/>
        </w:rPr>
      </w:pPr>
      <w:r w:rsidRPr="00B917D4">
        <w:rPr>
          <w:rFonts w:ascii="Times New Roman" w:hAnsi="Times New Roman" w:cs="Times New Roman"/>
          <w:sz w:val="24"/>
          <w:szCs w:val="24"/>
        </w:rPr>
        <w:t xml:space="preserve">The delegated monitoring model predicts </w:t>
      </w:r>
      <w:r w:rsidR="007D4C57" w:rsidRPr="00B917D4">
        <w:rPr>
          <w:rFonts w:ascii="Times New Roman" w:hAnsi="Times New Roman" w:cs="Times New Roman"/>
          <w:sz w:val="24"/>
          <w:szCs w:val="24"/>
        </w:rPr>
        <w:t xml:space="preserve">a </w:t>
      </w:r>
      <w:r w:rsidRPr="00B917D4">
        <w:rPr>
          <w:rFonts w:ascii="Times New Roman" w:hAnsi="Times New Roman" w:cs="Times New Roman"/>
          <w:sz w:val="24"/>
          <w:szCs w:val="24"/>
        </w:rPr>
        <w:t>well-dive</w:t>
      </w:r>
      <w:r w:rsidR="007D4C57" w:rsidRPr="00B917D4">
        <w:rPr>
          <w:rFonts w:ascii="Times New Roman" w:hAnsi="Times New Roman" w:cs="Times New Roman"/>
          <w:sz w:val="24"/>
          <w:szCs w:val="24"/>
        </w:rPr>
        <w:t>rsified financial intermediary</w:t>
      </w:r>
      <w:r w:rsidRPr="00B917D4">
        <w:rPr>
          <w:rFonts w:ascii="Times New Roman" w:hAnsi="Times New Roman" w:cs="Times New Roman"/>
          <w:sz w:val="24"/>
          <w:szCs w:val="24"/>
        </w:rPr>
        <w:t xml:space="preserve"> with capital structure consisting mainly of debt, arising from deposits, but a low probability for default despite the high leverage. The theory also identifies a number of conditions for a financial intermediary to be viable. First, depositors must receive an expected return of </w:t>
      </w:r>
      <w:r w:rsidRPr="00B917D4">
        <w:rPr>
          <w:rFonts w:ascii="Times New Roman" w:hAnsi="Times New Roman" w:cs="Times New Roman"/>
          <w:i/>
          <w:sz w:val="24"/>
          <w:szCs w:val="24"/>
        </w:rPr>
        <w:t>R</w:t>
      </w:r>
      <w:r w:rsidRPr="00B917D4">
        <w:rPr>
          <w:rFonts w:ascii="Times New Roman" w:hAnsi="Times New Roman" w:cs="Times New Roman"/>
          <w:sz w:val="24"/>
          <w:szCs w:val="24"/>
        </w:rPr>
        <w:t xml:space="preserve"> per unit deposit; secondly, financial institutions must receive an expected return net of monitoring costs and deadweight penalties incurred which is at least zero</w:t>
      </w:r>
      <w:r w:rsidR="007D4C57" w:rsidRPr="00B917D4">
        <w:rPr>
          <w:rFonts w:ascii="Times New Roman" w:hAnsi="Times New Roman" w:cs="Times New Roman"/>
          <w:sz w:val="24"/>
          <w:szCs w:val="24"/>
        </w:rPr>
        <w:t>;</w:t>
      </w:r>
      <w:r w:rsidRPr="00B917D4">
        <w:rPr>
          <w:rFonts w:ascii="Times New Roman" w:hAnsi="Times New Roman" w:cs="Times New Roman"/>
          <w:sz w:val="24"/>
          <w:szCs w:val="24"/>
        </w:rPr>
        <w:t xml:space="preserve"> and lastly, each entrepreneur must retain an expected return at least as high as he would by contracting directly with depositors. The third is a necessary condition for bank diversification because if diversification d</w:t>
      </w:r>
      <w:r w:rsidR="007D4C57" w:rsidRPr="00B917D4">
        <w:rPr>
          <w:rFonts w:ascii="Times New Roman" w:hAnsi="Times New Roman" w:cs="Times New Roman"/>
          <w:sz w:val="24"/>
          <w:szCs w:val="24"/>
        </w:rPr>
        <w:t>oes not reduce the transaction</w:t>
      </w:r>
      <w:r w:rsidRPr="00B917D4">
        <w:rPr>
          <w:rFonts w:ascii="Times New Roman" w:hAnsi="Times New Roman" w:cs="Times New Roman"/>
          <w:sz w:val="24"/>
          <w:szCs w:val="24"/>
        </w:rPr>
        <w:t xml:space="preserve"> costs of monitoring to a level lower than the depositors can obtain by transacting directly with the borrowers, the bank would not be able to pay interest to depositors and retain an expected return net of monitoring costs and therefore the depositors would be better off contracting directly with borrowers.</w:t>
      </w:r>
    </w:p>
    <w:p w:rsidR="000C2FCF" w:rsidRPr="00B917D4" w:rsidRDefault="000C2FCF" w:rsidP="0032054C">
      <w:pPr>
        <w:jc w:val="both"/>
        <w:rPr>
          <w:rFonts w:ascii="Times New Roman" w:hAnsi="Times New Roman" w:cs="Times New Roman"/>
          <w:sz w:val="24"/>
          <w:szCs w:val="24"/>
        </w:rPr>
      </w:pPr>
      <w:r w:rsidRPr="00B917D4">
        <w:rPr>
          <w:rFonts w:ascii="Times New Roman" w:hAnsi="Times New Roman" w:cs="Times New Roman"/>
          <w:sz w:val="24"/>
          <w:szCs w:val="24"/>
        </w:rPr>
        <w:t>The theory explains the benefits of bank diversification by bringing out the cost be</w:t>
      </w:r>
      <w:r w:rsidR="007D4C57" w:rsidRPr="00B917D4">
        <w:rPr>
          <w:rFonts w:ascii="Times New Roman" w:hAnsi="Times New Roman" w:cs="Times New Roman"/>
          <w:sz w:val="24"/>
          <w:szCs w:val="24"/>
        </w:rPr>
        <w:t>nefits accruing to a diversified</w:t>
      </w:r>
      <w:r w:rsidRPr="00B917D4">
        <w:rPr>
          <w:rFonts w:ascii="Times New Roman" w:hAnsi="Times New Roman" w:cs="Times New Roman"/>
          <w:sz w:val="24"/>
          <w:szCs w:val="24"/>
        </w:rPr>
        <w:t xml:space="preserve"> </w:t>
      </w:r>
      <w:r w:rsidR="007D4C57" w:rsidRPr="00B917D4">
        <w:rPr>
          <w:rFonts w:ascii="Times New Roman" w:hAnsi="Times New Roman" w:cs="Times New Roman"/>
          <w:sz w:val="24"/>
          <w:szCs w:val="24"/>
        </w:rPr>
        <w:t>intermediary</w:t>
      </w:r>
      <w:r w:rsidRPr="00B917D4">
        <w:rPr>
          <w:rFonts w:ascii="Times New Roman" w:hAnsi="Times New Roman" w:cs="Times New Roman"/>
          <w:sz w:val="24"/>
          <w:szCs w:val="24"/>
        </w:rPr>
        <w:t xml:space="preserve"> and the monitoring efficiency attained by adding risks. By increasing the risk tolerance of banks, diversification reduces the delegated monitoring cost beyond what borrowers can achieve on their own and banks are able to earn a return beyond what is payable to the fund suppliers (depositors) while at the same time reducing its probability of bankruptcy through enhanced monitoring effectiveness. Based on this theory, the study proposes the following two hypotheses:</w:t>
      </w:r>
    </w:p>
    <w:p w:rsidR="000C2FCF" w:rsidRPr="00B917D4" w:rsidRDefault="000C2FCF" w:rsidP="0032054C">
      <w:pPr>
        <w:ind w:left="567"/>
        <w:jc w:val="both"/>
        <w:rPr>
          <w:rFonts w:ascii="Times New Roman" w:hAnsi="Times New Roman" w:cs="Times New Roman"/>
          <w:sz w:val="24"/>
          <w:szCs w:val="24"/>
        </w:rPr>
      </w:pPr>
      <w:r w:rsidRPr="00B917D4">
        <w:rPr>
          <w:rFonts w:ascii="Times New Roman" w:hAnsi="Times New Roman" w:cs="Times New Roman"/>
          <w:sz w:val="24"/>
          <w:szCs w:val="24"/>
        </w:rPr>
        <w:t>H</w:t>
      </w:r>
      <w:r w:rsidRPr="00B917D4">
        <w:rPr>
          <w:rFonts w:ascii="Times New Roman" w:hAnsi="Times New Roman" w:cs="Times New Roman"/>
          <w:sz w:val="24"/>
          <w:szCs w:val="24"/>
          <w:vertAlign w:val="subscript"/>
        </w:rPr>
        <w:t>0</w:t>
      </w:r>
      <w:r w:rsidRPr="00B917D4">
        <w:rPr>
          <w:rFonts w:ascii="Times New Roman" w:hAnsi="Times New Roman" w:cs="Times New Roman"/>
          <w:sz w:val="24"/>
          <w:szCs w:val="24"/>
        </w:rPr>
        <w:t>1: Sectoral c</w:t>
      </w:r>
      <w:r w:rsidR="007D4C57" w:rsidRPr="00B917D4">
        <w:rPr>
          <w:rFonts w:ascii="Times New Roman" w:hAnsi="Times New Roman" w:cs="Times New Roman"/>
          <w:sz w:val="24"/>
          <w:szCs w:val="24"/>
        </w:rPr>
        <w:t>redit diversification improves</w:t>
      </w:r>
      <w:r w:rsidR="0032054C" w:rsidRPr="00B917D4">
        <w:rPr>
          <w:rFonts w:ascii="Times New Roman" w:hAnsi="Times New Roman" w:cs="Times New Roman"/>
          <w:sz w:val="24"/>
          <w:szCs w:val="24"/>
        </w:rPr>
        <w:t xml:space="preserve"> banking industry</w:t>
      </w:r>
      <w:r w:rsidRPr="00B917D4">
        <w:rPr>
          <w:rFonts w:ascii="Times New Roman" w:hAnsi="Times New Roman" w:cs="Times New Roman"/>
          <w:sz w:val="24"/>
          <w:szCs w:val="24"/>
        </w:rPr>
        <w:t xml:space="preserve"> financial performance</w:t>
      </w:r>
    </w:p>
    <w:p w:rsidR="000C2FCF" w:rsidRDefault="000C2FCF" w:rsidP="0032054C">
      <w:pPr>
        <w:ind w:left="567"/>
        <w:jc w:val="both"/>
        <w:rPr>
          <w:rFonts w:ascii="Times New Roman" w:hAnsi="Times New Roman" w:cs="Times New Roman"/>
          <w:sz w:val="24"/>
          <w:szCs w:val="24"/>
        </w:rPr>
      </w:pPr>
      <w:r w:rsidRPr="00B917D4">
        <w:rPr>
          <w:rFonts w:ascii="Times New Roman" w:hAnsi="Times New Roman" w:cs="Times New Roman"/>
          <w:sz w:val="24"/>
          <w:szCs w:val="24"/>
        </w:rPr>
        <w:lastRenderedPageBreak/>
        <w:t>H</w:t>
      </w:r>
      <w:r w:rsidRPr="00B917D4">
        <w:rPr>
          <w:rFonts w:ascii="Times New Roman" w:hAnsi="Times New Roman" w:cs="Times New Roman"/>
          <w:sz w:val="24"/>
          <w:szCs w:val="24"/>
          <w:vertAlign w:val="subscript"/>
        </w:rPr>
        <w:t>0</w:t>
      </w:r>
      <w:r w:rsidRPr="00B917D4">
        <w:rPr>
          <w:rFonts w:ascii="Times New Roman" w:hAnsi="Times New Roman" w:cs="Times New Roman"/>
          <w:sz w:val="24"/>
          <w:szCs w:val="24"/>
        </w:rPr>
        <w:t>2: Sectorial cr</w:t>
      </w:r>
      <w:r w:rsidR="007D4C57" w:rsidRPr="00B917D4">
        <w:rPr>
          <w:rFonts w:ascii="Times New Roman" w:hAnsi="Times New Roman" w:cs="Times New Roman"/>
          <w:sz w:val="24"/>
          <w:szCs w:val="24"/>
        </w:rPr>
        <w:t xml:space="preserve">edit diversifications enhances </w:t>
      </w:r>
      <w:r w:rsidR="0032054C" w:rsidRPr="00B917D4">
        <w:rPr>
          <w:rFonts w:ascii="Times New Roman" w:hAnsi="Times New Roman" w:cs="Times New Roman"/>
          <w:sz w:val="24"/>
          <w:szCs w:val="24"/>
        </w:rPr>
        <w:t xml:space="preserve">banking industry </w:t>
      </w:r>
      <w:r w:rsidRPr="00B917D4">
        <w:rPr>
          <w:rFonts w:ascii="Times New Roman" w:hAnsi="Times New Roman" w:cs="Times New Roman"/>
          <w:sz w:val="24"/>
          <w:szCs w:val="24"/>
        </w:rPr>
        <w:t>monitoring effectiveness</w:t>
      </w:r>
    </w:p>
    <w:p w:rsidR="000C2FCF" w:rsidRPr="00B917D4" w:rsidRDefault="000C2FCF" w:rsidP="0032054C">
      <w:pPr>
        <w:pStyle w:val="ListParagraph"/>
        <w:numPr>
          <w:ilvl w:val="0"/>
          <w:numId w:val="1"/>
        </w:numPr>
        <w:ind w:left="567" w:hanging="567"/>
        <w:contextualSpacing w:val="0"/>
        <w:jc w:val="both"/>
        <w:rPr>
          <w:rFonts w:ascii="Times New Roman" w:hAnsi="Times New Roman" w:cs="Times New Roman"/>
          <w:b/>
          <w:sz w:val="24"/>
          <w:szCs w:val="24"/>
        </w:rPr>
      </w:pPr>
      <w:r w:rsidRPr="00B917D4">
        <w:rPr>
          <w:rFonts w:ascii="Times New Roman" w:hAnsi="Times New Roman" w:cs="Times New Roman"/>
          <w:b/>
          <w:sz w:val="24"/>
          <w:szCs w:val="24"/>
        </w:rPr>
        <w:t>Data and Methodology</w:t>
      </w:r>
    </w:p>
    <w:p w:rsidR="000C2FCF" w:rsidRPr="00B917D4" w:rsidRDefault="000C2FCF" w:rsidP="0032054C">
      <w:pPr>
        <w:autoSpaceDE w:val="0"/>
        <w:autoSpaceDN w:val="0"/>
        <w:adjustRightInd w:val="0"/>
        <w:jc w:val="both"/>
        <w:rPr>
          <w:rFonts w:ascii="Times New Roman" w:hAnsi="Times New Roman" w:cs="Times New Roman"/>
          <w:sz w:val="24"/>
          <w:szCs w:val="24"/>
          <w:lang w:eastAsia="en-GB"/>
        </w:rPr>
      </w:pPr>
      <w:r w:rsidRPr="00B917D4">
        <w:rPr>
          <w:rFonts w:ascii="Times New Roman" w:hAnsi="Times New Roman" w:cs="Times New Roman"/>
          <w:sz w:val="24"/>
          <w:szCs w:val="24"/>
        </w:rPr>
        <w:t xml:space="preserve">Loan portfolio diversification or concentration can be </w:t>
      </w:r>
      <w:r w:rsidR="0005144D" w:rsidRPr="00B917D4">
        <w:rPr>
          <w:rFonts w:ascii="Times New Roman" w:hAnsi="Times New Roman" w:cs="Times New Roman"/>
          <w:sz w:val="24"/>
          <w:szCs w:val="24"/>
        </w:rPr>
        <w:t>measured i</w:t>
      </w:r>
      <w:r w:rsidRPr="00B917D4">
        <w:rPr>
          <w:rFonts w:ascii="Times New Roman" w:hAnsi="Times New Roman" w:cs="Times New Roman"/>
          <w:sz w:val="24"/>
          <w:szCs w:val="24"/>
        </w:rPr>
        <w:t xml:space="preserve">n a number of ways; the most notably and widely used being the </w:t>
      </w:r>
      <w:r w:rsidR="00CB25CE" w:rsidRPr="00B917D4">
        <w:rPr>
          <w:rFonts w:ascii="Times New Roman" w:hAnsi="Times New Roman" w:cs="Times New Roman"/>
          <w:sz w:val="24"/>
          <w:szCs w:val="24"/>
        </w:rPr>
        <w:t>Herfindahl</w:t>
      </w:r>
      <w:r w:rsidR="00536E91" w:rsidRPr="00B917D4">
        <w:rPr>
          <w:rFonts w:ascii="Times New Roman" w:hAnsi="Times New Roman" w:cs="Times New Roman"/>
          <w:sz w:val="24"/>
          <w:szCs w:val="24"/>
        </w:rPr>
        <w:t>-</w:t>
      </w:r>
      <w:r w:rsidRPr="00B917D4">
        <w:rPr>
          <w:rFonts w:ascii="Times New Roman" w:hAnsi="Times New Roman" w:cs="Times New Roman"/>
          <w:sz w:val="24"/>
          <w:szCs w:val="24"/>
        </w:rPr>
        <w:t xml:space="preserve">Hirschman Index (Mulwa and Kosgei, 2016; </w:t>
      </w:r>
      <w:r w:rsidRPr="00B917D4">
        <w:rPr>
          <w:rFonts w:ascii="Times New Roman" w:eastAsia="TimesNewRoman" w:hAnsi="Times New Roman" w:cs="Times New Roman"/>
          <w:sz w:val="24"/>
          <w:szCs w:val="24"/>
        </w:rPr>
        <w:t>Jahn</w:t>
      </w:r>
      <w:r w:rsidRPr="00B917D4">
        <w:rPr>
          <w:rFonts w:ascii="Times New Roman" w:hAnsi="Times New Roman" w:cs="Times New Roman"/>
          <w:sz w:val="24"/>
          <w:szCs w:val="24"/>
          <w:lang w:eastAsia="en-GB"/>
        </w:rPr>
        <w:t xml:space="preserve"> </w:t>
      </w:r>
      <w:r w:rsidRPr="00B917D4">
        <w:rPr>
          <w:rFonts w:ascii="Times New Roman" w:hAnsi="Times New Roman" w:cs="Times New Roman"/>
          <w:i/>
          <w:sz w:val="24"/>
          <w:szCs w:val="24"/>
          <w:lang w:eastAsia="en-GB"/>
        </w:rPr>
        <w:t>et al</w:t>
      </w:r>
      <w:r w:rsidRPr="00B917D4">
        <w:rPr>
          <w:rFonts w:ascii="Times New Roman" w:hAnsi="Times New Roman" w:cs="Times New Roman"/>
          <w:sz w:val="24"/>
          <w:szCs w:val="24"/>
          <w:lang w:eastAsia="en-GB"/>
        </w:rPr>
        <w:t xml:space="preserve">., 2013; </w:t>
      </w:r>
      <w:r w:rsidRPr="00B917D4">
        <w:rPr>
          <w:rFonts w:ascii="Times New Roman" w:hAnsi="Times New Roman" w:cs="Times New Roman"/>
          <w:sz w:val="24"/>
          <w:szCs w:val="24"/>
        </w:rPr>
        <w:t xml:space="preserve">Chen </w:t>
      </w:r>
      <w:r w:rsidRPr="00B917D4">
        <w:rPr>
          <w:rFonts w:ascii="Times New Roman" w:hAnsi="Times New Roman" w:cs="Times New Roman"/>
          <w:i/>
          <w:sz w:val="24"/>
          <w:szCs w:val="24"/>
        </w:rPr>
        <w:t>et al</w:t>
      </w:r>
      <w:r w:rsidRPr="00B917D4">
        <w:rPr>
          <w:rFonts w:ascii="Times New Roman" w:hAnsi="Times New Roman" w:cs="Times New Roman"/>
          <w:sz w:val="24"/>
          <w:szCs w:val="24"/>
        </w:rPr>
        <w:t xml:space="preserve">., 2013; Skridulyte and Freitakas, 2012) and the Shannon Entropy (Jahn </w:t>
      </w:r>
      <w:r w:rsidRPr="00B917D4">
        <w:rPr>
          <w:rFonts w:ascii="Times New Roman" w:hAnsi="Times New Roman" w:cs="Times New Roman"/>
          <w:i/>
          <w:sz w:val="24"/>
          <w:szCs w:val="24"/>
        </w:rPr>
        <w:t>et al</w:t>
      </w:r>
      <w:r w:rsidRPr="00B917D4">
        <w:rPr>
          <w:rFonts w:ascii="Times New Roman" w:hAnsi="Times New Roman" w:cs="Times New Roman"/>
          <w:sz w:val="24"/>
          <w:szCs w:val="24"/>
        </w:rPr>
        <w:t xml:space="preserve">., 2013; Tabak </w:t>
      </w:r>
      <w:r w:rsidRPr="00B917D4">
        <w:rPr>
          <w:rFonts w:ascii="Times New Roman" w:hAnsi="Times New Roman" w:cs="Times New Roman"/>
          <w:i/>
          <w:sz w:val="24"/>
          <w:szCs w:val="24"/>
        </w:rPr>
        <w:t>et al</w:t>
      </w:r>
      <w:r w:rsidRPr="00B917D4">
        <w:rPr>
          <w:rFonts w:ascii="Times New Roman" w:hAnsi="Times New Roman" w:cs="Times New Roman"/>
          <w:sz w:val="24"/>
          <w:szCs w:val="24"/>
        </w:rPr>
        <w:t xml:space="preserve">., 2011; Kamp </w:t>
      </w:r>
      <w:r w:rsidRPr="00B917D4">
        <w:rPr>
          <w:rFonts w:ascii="Times New Roman" w:hAnsi="Times New Roman" w:cs="Times New Roman"/>
          <w:i/>
          <w:sz w:val="24"/>
          <w:szCs w:val="24"/>
        </w:rPr>
        <w:t>et al</w:t>
      </w:r>
      <w:r w:rsidRPr="00B917D4">
        <w:rPr>
          <w:rFonts w:ascii="Times New Roman" w:hAnsi="Times New Roman" w:cs="Times New Roman"/>
          <w:sz w:val="24"/>
          <w:szCs w:val="24"/>
        </w:rPr>
        <w:t xml:space="preserve">., 2005). To measure credit diversification, </w:t>
      </w:r>
      <w:r w:rsidR="00CB25CE" w:rsidRPr="00B917D4">
        <w:rPr>
          <w:rFonts w:ascii="Times New Roman" w:hAnsi="Times New Roman" w:cs="Times New Roman"/>
          <w:sz w:val="24"/>
          <w:szCs w:val="24"/>
        </w:rPr>
        <w:t>Herfindahl</w:t>
      </w:r>
      <w:r w:rsidRPr="00B917D4">
        <w:rPr>
          <w:rFonts w:ascii="Times New Roman" w:hAnsi="Times New Roman" w:cs="Times New Roman"/>
          <w:sz w:val="24"/>
          <w:szCs w:val="24"/>
        </w:rPr>
        <w:t xml:space="preserve">-Hirschman index (HHI) is constructed following </w:t>
      </w:r>
      <w:r w:rsidRPr="00B917D4">
        <w:rPr>
          <w:rFonts w:ascii="Times New Roman" w:eastAsia="TimesNewRoman" w:hAnsi="Times New Roman" w:cs="Times New Roman"/>
          <w:sz w:val="24"/>
          <w:szCs w:val="24"/>
        </w:rPr>
        <w:t>Jahn</w:t>
      </w:r>
      <w:r w:rsidRPr="00B917D4">
        <w:rPr>
          <w:rFonts w:ascii="Times New Roman" w:hAnsi="Times New Roman" w:cs="Times New Roman"/>
          <w:sz w:val="24"/>
          <w:szCs w:val="24"/>
          <w:lang w:eastAsia="en-GB"/>
        </w:rPr>
        <w:t xml:space="preserve"> </w:t>
      </w:r>
      <w:r w:rsidRPr="00B917D4">
        <w:rPr>
          <w:rFonts w:ascii="Times New Roman" w:hAnsi="Times New Roman" w:cs="Times New Roman"/>
          <w:i/>
          <w:sz w:val="24"/>
          <w:szCs w:val="24"/>
          <w:lang w:eastAsia="en-GB"/>
        </w:rPr>
        <w:t>et al.</w:t>
      </w:r>
      <w:r w:rsidR="0005144D" w:rsidRPr="00B917D4">
        <w:rPr>
          <w:rFonts w:ascii="Times New Roman" w:hAnsi="Times New Roman" w:cs="Times New Roman"/>
          <w:i/>
          <w:sz w:val="24"/>
          <w:szCs w:val="24"/>
          <w:lang w:eastAsia="en-GB"/>
        </w:rPr>
        <w:t>,</w:t>
      </w:r>
      <w:r w:rsidRPr="00B917D4">
        <w:rPr>
          <w:rFonts w:ascii="Times New Roman" w:hAnsi="Times New Roman" w:cs="Times New Roman"/>
          <w:sz w:val="24"/>
          <w:szCs w:val="24"/>
          <w:lang w:eastAsia="en-GB"/>
        </w:rPr>
        <w:t xml:space="preserve"> (2013)</w:t>
      </w:r>
      <w:r w:rsidRPr="00B917D4">
        <w:rPr>
          <w:rFonts w:ascii="Times New Roman" w:hAnsi="Times New Roman" w:cs="Times New Roman"/>
          <w:sz w:val="24"/>
          <w:szCs w:val="24"/>
        </w:rPr>
        <w:t xml:space="preserve">. </w:t>
      </w:r>
      <w:r w:rsidRPr="00B917D4">
        <w:rPr>
          <w:rFonts w:ascii="Times New Roman" w:hAnsi="Times New Roman" w:cs="Times New Roman"/>
          <w:sz w:val="24"/>
          <w:szCs w:val="24"/>
          <w:lang w:eastAsia="en-GB"/>
        </w:rPr>
        <w:t>A review of bank data across the four east African countries reveal</w:t>
      </w:r>
      <w:r w:rsidR="0005144D" w:rsidRPr="00B917D4">
        <w:rPr>
          <w:rFonts w:ascii="Times New Roman" w:hAnsi="Times New Roman" w:cs="Times New Roman"/>
          <w:sz w:val="24"/>
          <w:szCs w:val="24"/>
          <w:lang w:eastAsia="en-GB"/>
        </w:rPr>
        <w:t>ed</w:t>
      </w:r>
      <w:r w:rsidRPr="00B917D4">
        <w:rPr>
          <w:rFonts w:ascii="Times New Roman" w:hAnsi="Times New Roman" w:cs="Times New Roman"/>
          <w:sz w:val="24"/>
          <w:szCs w:val="24"/>
          <w:lang w:eastAsia="en-GB"/>
        </w:rPr>
        <w:t xml:space="preserve"> eleven sectors in Kenya, nine in Uganda, eighteen in Tanzania and ten sectors in Rwanda across which commercial banks are expected to di</w:t>
      </w:r>
      <w:r w:rsidR="0071324D" w:rsidRPr="00B917D4">
        <w:rPr>
          <w:rFonts w:ascii="Times New Roman" w:hAnsi="Times New Roman" w:cs="Times New Roman"/>
          <w:sz w:val="24"/>
          <w:szCs w:val="24"/>
          <w:lang w:eastAsia="en-GB"/>
        </w:rPr>
        <w:t xml:space="preserve">versify </w:t>
      </w:r>
      <w:r w:rsidRPr="00B917D4">
        <w:rPr>
          <w:rFonts w:ascii="Times New Roman" w:hAnsi="Times New Roman" w:cs="Times New Roman"/>
          <w:sz w:val="24"/>
          <w:szCs w:val="24"/>
          <w:lang w:eastAsia="en-GB"/>
        </w:rPr>
        <w:t>their credits. Denoting the total amounts lend by a bank to each of the sectors as L</w:t>
      </w:r>
      <w:r w:rsidRPr="00B917D4">
        <w:rPr>
          <w:rFonts w:ascii="Times New Roman" w:hAnsi="Times New Roman" w:cs="Times New Roman"/>
          <w:i/>
          <w:sz w:val="24"/>
          <w:szCs w:val="24"/>
          <w:vertAlign w:val="subscript"/>
          <w:lang w:eastAsia="en-GB"/>
        </w:rPr>
        <w:t>i</w:t>
      </w:r>
      <w:r w:rsidRPr="00B917D4">
        <w:rPr>
          <w:rFonts w:ascii="Times New Roman" w:hAnsi="Times New Roman" w:cs="Times New Roman"/>
          <w:sz w:val="24"/>
          <w:szCs w:val="24"/>
          <w:lang w:eastAsia="en-GB"/>
        </w:rPr>
        <w:t xml:space="preserve">, </w:t>
      </w:r>
      <w:r w:rsidR="0071324D" w:rsidRPr="00B917D4">
        <w:rPr>
          <w:rFonts w:ascii="Times New Roman" w:hAnsi="Times New Roman" w:cs="Times New Roman"/>
          <w:sz w:val="24"/>
          <w:szCs w:val="24"/>
          <w:lang w:eastAsia="en-GB"/>
        </w:rPr>
        <w:t>for</w:t>
      </w:r>
      <w:r w:rsidRPr="00B917D4">
        <w:rPr>
          <w:rFonts w:ascii="Times New Roman" w:hAnsi="Times New Roman" w:cs="Times New Roman"/>
          <w:sz w:val="24"/>
          <w:szCs w:val="24"/>
          <w:lang w:eastAsia="en-GB"/>
        </w:rPr>
        <w:t xml:space="preserve"> </w:t>
      </w:r>
      <w:r w:rsidRPr="00B917D4">
        <w:rPr>
          <w:rFonts w:ascii="Times New Roman" w:hAnsi="Times New Roman" w:cs="Times New Roman"/>
          <w:i/>
          <w:sz w:val="24"/>
          <w:szCs w:val="24"/>
          <w:lang w:eastAsia="en-GB"/>
        </w:rPr>
        <w:t>i</w:t>
      </w:r>
      <w:r w:rsidRPr="00B917D4">
        <w:rPr>
          <w:rFonts w:ascii="Times New Roman" w:hAnsi="Times New Roman" w:cs="Times New Roman"/>
          <w:sz w:val="24"/>
          <w:szCs w:val="24"/>
          <w:lang w:eastAsia="en-GB"/>
        </w:rPr>
        <w:t xml:space="preserve">=1, 2…….. </w:t>
      </w:r>
      <w:r w:rsidRPr="00B917D4">
        <w:rPr>
          <w:rFonts w:ascii="Times New Roman" w:hAnsi="Times New Roman" w:cs="Times New Roman"/>
          <w:i/>
          <w:sz w:val="24"/>
          <w:szCs w:val="24"/>
          <w:lang w:eastAsia="en-GB"/>
        </w:rPr>
        <w:t>n,</w:t>
      </w:r>
      <w:r w:rsidRPr="00B917D4">
        <w:rPr>
          <w:rFonts w:ascii="Times New Roman" w:hAnsi="Times New Roman" w:cs="Times New Roman"/>
          <w:sz w:val="24"/>
          <w:szCs w:val="24"/>
          <w:lang w:eastAsia="en-GB"/>
        </w:rPr>
        <w:t xml:space="preserve"> </w:t>
      </w:r>
      <w:r w:rsidR="0071324D" w:rsidRPr="00B917D4">
        <w:rPr>
          <w:rFonts w:ascii="Times New Roman" w:hAnsi="Times New Roman" w:cs="Times New Roman"/>
          <w:sz w:val="24"/>
          <w:szCs w:val="24"/>
          <w:lang w:eastAsia="en-GB"/>
        </w:rPr>
        <w:t>then credit diversification was</w:t>
      </w:r>
      <w:r w:rsidRPr="00B917D4">
        <w:rPr>
          <w:rFonts w:ascii="Times New Roman" w:hAnsi="Times New Roman" w:cs="Times New Roman"/>
          <w:sz w:val="24"/>
          <w:szCs w:val="24"/>
          <w:lang w:eastAsia="en-GB"/>
        </w:rPr>
        <w:t xml:space="preserve"> be measured as;</w:t>
      </w:r>
    </w:p>
    <w:p w:rsidR="000C2FCF" w:rsidRPr="00B917D4" w:rsidRDefault="0071324D" w:rsidP="0032054C">
      <w:pPr>
        <w:ind w:left="567"/>
        <w:jc w:val="both"/>
        <w:rPr>
          <w:rFonts w:ascii="Times New Roman" w:eastAsiaTheme="minorEastAsia" w:hAnsi="Times New Roman" w:cs="Times New Roman"/>
          <w:sz w:val="24"/>
          <w:szCs w:val="24"/>
          <w:lang w:eastAsia="en-GB"/>
        </w:rPr>
      </w:pPr>
      <m:oMathPara>
        <m:oMathParaPr>
          <m:jc m:val="left"/>
        </m:oMathParaPr>
        <m:oMath>
          <m:r>
            <m:rPr>
              <m:sty m:val="p"/>
            </m:rPr>
            <w:rPr>
              <w:rFonts w:ascii="Cambria Math" w:eastAsiaTheme="minorEastAsia" w:hAnsi="Times New Roman" w:cs="Times New Roman"/>
              <w:sz w:val="24"/>
              <w:szCs w:val="24"/>
              <w:lang w:eastAsia="en-GB"/>
            </w:rPr>
            <m:t>DIV=1</m:t>
          </m:r>
          <m:r>
            <m:rPr>
              <m:sty m:val="p"/>
            </m:rPr>
            <w:rPr>
              <w:rFonts w:ascii="Times New Roman" w:eastAsiaTheme="minorEastAsia" w:hAnsi="Times New Roman" w:cs="Times New Roman"/>
              <w:sz w:val="24"/>
              <w:szCs w:val="24"/>
              <w:lang w:eastAsia="en-GB"/>
            </w:rPr>
            <m:t>-</m:t>
          </m:r>
          <m:nary>
            <m:naryPr>
              <m:chr m:val="∑"/>
              <m:limLoc m:val="undOvr"/>
              <m:ctrlPr>
                <w:rPr>
                  <w:rFonts w:ascii="Cambria Math" w:eastAsiaTheme="minorEastAsia" w:hAnsi="Times New Roman" w:cs="Times New Roman"/>
                  <w:sz w:val="24"/>
                  <w:szCs w:val="24"/>
                  <w:lang w:eastAsia="en-GB"/>
                </w:rPr>
              </m:ctrlPr>
            </m:naryPr>
            <m:sub>
              <m:r>
                <m:rPr>
                  <m:sty m:val="p"/>
                </m:rPr>
                <w:rPr>
                  <w:rFonts w:ascii="Cambria Math" w:eastAsiaTheme="minorEastAsia" w:hAnsi="Times New Roman" w:cs="Times New Roman"/>
                  <w:sz w:val="24"/>
                  <w:szCs w:val="24"/>
                  <w:lang w:eastAsia="en-GB"/>
                </w:rPr>
                <m:t>i=1</m:t>
              </m:r>
            </m:sub>
            <m:sup>
              <m:r>
                <m:rPr>
                  <m:sty m:val="p"/>
                </m:rPr>
                <w:rPr>
                  <w:rFonts w:ascii="Cambria Math" w:eastAsiaTheme="minorEastAsia" w:hAnsi="Times New Roman" w:cs="Times New Roman"/>
                  <w:sz w:val="24"/>
                  <w:szCs w:val="24"/>
                  <w:lang w:eastAsia="en-GB"/>
                </w:rPr>
                <m:t>n</m:t>
              </m:r>
            </m:sup>
            <m:e>
              <m:sSup>
                <m:sSupPr>
                  <m:ctrlPr>
                    <w:rPr>
                      <w:rFonts w:ascii="Cambria Math" w:eastAsiaTheme="minorEastAsia" w:hAnsi="Times New Roman" w:cs="Times New Roman"/>
                      <w:sz w:val="24"/>
                      <w:szCs w:val="24"/>
                      <w:lang w:eastAsia="en-GB"/>
                    </w:rPr>
                  </m:ctrlPr>
                </m:sSupPr>
                <m:e>
                  <m:d>
                    <m:dPr>
                      <m:begChr m:val="["/>
                      <m:endChr m:val="]"/>
                      <m:ctrlPr>
                        <w:rPr>
                          <w:rFonts w:ascii="Cambria Math" w:eastAsiaTheme="minorEastAsia" w:hAnsi="Times New Roman" w:cs="Times New Roman"/>
                          <w:sz w:val="24"/>
                          <w:szCs w:val="24"/>
                          <w:lang w:eastAsia="en-GB"/>
                        </w:rPr>
                      </m:ctrlPr>
                    </m:dPr>
                    <m:e>
                      <m:f>
                        <m:fPr>
                          <m:ctrlPr>
                            <w:rPr>
                              <w:rFonts w:ascii="Cambria Math" w:eastAsiaTheme="minorEastAsia" w:hAnsi="Times New Roman" w:cs="Times New Roman"/>
                              <w:sz w:val="24"/>
                              <w:szCs w:val="24"/>
                              <w:lang w:eastAsia="en-GB"/>
                            </w:rPr>
                          </m:ctrlPr>
                        </m:fPr>
                        <m:num>
                          <m:sSub>
                            <m:sSubPr>
                              <m:ctrlPr>
                                <w:rPr>
                                  <w:rFonts w:ascii="Cambria Math" w:eastAsiaTheme="minorEastAsia" w:hAnsi="Times New Roman" w:cs="Times New Roman"/>
                                  <w:sz w:val="24"/>
                                  <w:szCs w:val="24"/>
                                  <w:lang w:eastAsia="en-GB"/>
                                </w:rPr>
                              </m:ctrlPr>
                            </m:sSubPr>
                            <m:e>
                              <m:r>
                                <m:rPr>
                                  <m:sty m:val="p"/>
                                </m:rPr>
                                <w:rPr>
                                  <w:rFonts w:ascii="Cambria Math" w:eastAsiaTheme="minorEastAsia" w:hAnsi="Times New Roman" w:cs="Times New Roman"/>
                                  <w:sz w:val="24"/>
                                  <w:szCs w:val="24"/>
                                  <w:lang w:eastAsia="en-GB"/>
                                </w:rPr>
                                <m:t>L</m:t>
                              </m:r>
                            </m:e>
                            <m:sub>
                              <m:r>
                                <m:rPr>
                                  <m:sty m:val="p"/>
                                </m:rPr>
                                <w:rPr>
                                  <w:rFonts w:ascii="Cambria Math" w:eastAsiaTheme="minorEastAsia" w:hAnsi="Times New Roman" w:cs="Times New Roman"/>
                                  <w:sz w:val="24"/>
                                  <w:szCs w:val="24"/>
                                  <w:lang w:eastAsia="en-GB"/>
                                </w:rPr>
                                <m:t>i</m:t>
                              </m:r>
                            </m:sub>
                          </m:sSub>
                        </m:num>
                        <m:den>
                          <m:r>
                            <m:rPr>
                              <m:sty m:val="p"/>
                            </m:rPr>
                            <w:rPr>
                              <w:rFonts w:ascii="Cambria Math" w:eastAsiaTheme="minorEastAsia" w:hAnsi="Times New Roman" w:cs="Times New Roman"/>
                              <w:sz w:val="24"/>
                              <w:szCs w:val="24"/>
                              <w:lang w:eastAsia="en-GB"/>
                            </w:rPr>
                            <m:t>Q</m:t>
                          </m:r>
                        </m:den>
                      </m:f>
                    </m:e>
                  </m:d>
                </m:e>
                <m:sup>
                  <m:r>
                    <m:rPr>
                      <m:sty m:val="p"/>
                    </m:rPr>
                    <w:rPr>
                      <w:rFonts w:ascii="Cambria Math" w:eastAsiaTheme="minorEastAsia" w:hAnsi="Times New Roman" w:cs="Times New Roman"/>
                      <w:sz w:val="24"/>
                      <w:szCs w:val="24"/>
                      <w:lang w:eastAsia="en-GB"/>
                    </w:rPr>
                    <m:t>2</m:t>
                  </m:r>
                </m:sup>
              </m:sSup>
              <m:r>
                <m:rPr>
                  <m:sty m:val="p"/>
                </m:rPr>
                <w:rPr>
                  <w:rFonts w:ascii="Cambria Math" w:eastAsiaTheme="minorEastAsia" w:hAnsi="Times New Roman" w:cs="Times New Roman"/>
                  <w:sz w:val="24"/>
                  <w:szCs w:val="24"/>
                  <w:lang w:eastAsia="en-GB"/>
                </w:rPr>
                <m:t xml:space="preserve">;where </m:t>
              </m:r>
            </m:e>
          </m:nary>
          <m:r>
            <m:rPr>
              <m:sty m:val="p"/>
            </m:rPr>
            <w:rPr>
              <w:rFonts w:ascii="Cambria Math" w:eastAsiaTheme="minorEastAsia" w:hAnsi="Times New Roman" w:cs="Times New Roman"/>
              <w:sz w:val="24"/>
              <w:szCs w:val="24"/>
              <w:lang w:eastAsia="en-GB"/>
            </w:rPr>
            <m:t>Q=</m:t>
          </m:r>
          <m:nary>
            <m:naryPr>
              <m:chr m:val="∑"/>
              <m:limLoc m:val="undOvr"/>
              <m:ctrlPr>
                <w:rPr>
                  <w:rFonts w:ascii="Cambria Math" w:eastAsiaTheme="minorEastAsia" w:hAnsi="Times New Roman" w:cs="Times New Roman"/>
                  <w:sz w:val="24"/>
                  <w:szCs w:val="24"/>
                  <w:lang w:eastAsia="en-GB"/>
                </w:rPr>
              </m:ctrlPr>
            </m:naryPr>
            <m:sub>
              <m:r>
                <m:rPr>
                  <m:sty m:val="p"/>
                </m:rPr>
                <w:rPr>
                  <w:rFonts w:ascii="Cambria Math" w:eastAsiaTheme="minorEastAsia" w:hAnsi="Times New Roman" w:cs="Times New Roman"/>
                  <w:sz w:val="24"/>
                  <w:szCs w:val="24"/>
                  <w:lang w:eastAsia="en-GB"/>
                </w:rPr>
                <m:t>j=1</m:t>
              </m:r>
            </m:sub>
            <m:sup>
              <m:r>
                <m:rPr>
                  <m:sty m:val="p"/>
                </m:rPr>
                <w:rPr>
                  <w:rFonts w:ascii="Cambria Math" w:eastAsiaTheme="minorEastAsia" w:hAnsi="Times New Roman" w:cs="Times New Roman"/>
                  <w:sz w:val="24"/>
                  <w:szCs w:val="24"/>
                  <w:lang w:eastAsia="en-GB"/>
                </w:rPr>
                <m:t>n</m:t>
              </m:r>
            </m:sup>
            <m:e>
              <m:sSub>
                <m:sSubPr>
                  <m:ctrlPr>
                    <w:rPr>
                      <w:rFonts w:ascii="Cambria Math" w:eastAsiaTheme="minorEastAsia" w:hAnsi="Times New Roman" w:cs="Times New Roman"/>
                      <w:sz w:val="24"/>
                      <w:szCs w:val="24"/>
                      <w:lang w:eastAsia="en-GB"/>
                    </w:rPr>
                  </m:ctrlPr>
                </m:sSubPr>
                <m:e>
                  <m:r>
                    <m:rPr>
                      <m:sty m:val="p"/>
                    </m:rPr>
                    <w:rPr>
                      <w:rFonts w:ascii="Cambria Math" w:eastAsiaTheme="minorEastAsia" w:hAnsi="Times New Roman" w:cs="Times New Roman"/>
                      <w:sz w:val="24"/>
                      <w:szCs w:val="24"/>
                      <w:lang w:eastAsia="en-GB"/>
                    </w:rPr>
                    <m:t>L</m:t>
                  </m:r>
                </m:e>
                <m:sub>
                  <m:r>
                    <m:rPr>
                      <m:sty m:val="p"/>
                    </m:rPr>
                    <w:rPr>
                      <w:rFonts w:ascii="Cambria Math" w:eastAsiaTheme="minorEastAsia" w:hAnsi="Times New Roman" w:cs="Times New Roman"/>
                      <w:sz w:val="24"/>
                      <w:szCs w:val="24"/>
                      <w:lang w:eastAsia="en-GB"/>
                    </w:rPr>
                    <m:t>i</m:t>
                  </m:r>
                </m:sub>
              </m:sSub>
            </m:e>
          </m:nary>
        </m:oMath>
      </m:oMathPara>
    </w:p>
    <w:p w:rsidR="000C2FCF" w:rsidRPr="00B917D4" w:rsidRDefault="000C2FCF" w:rsidP="0032054C">
      <w:pPr>
        <w:autoSpaceDE w:val="0"/>
        <w:autoSpaceDN w:val="0"/>
        <w:adjustRightInd w:val="0"/>
        <w:jc w:val="both"/>
        <w:rPr>
          <w:rFonts w:ascii="Times New Roman" w:hAnsi="Times New Roman" w:cs="Times New Roman"/>
          <w:sz w:val="24"/>
          <w:szCs w:val="24"/>
          <w:lang w:eastAsia="en-GB"/>
        </w:rPr>
      </w:pPr>
      <w:r w:rsidRPr="00B917D4">
        <w:rPr>
          <w:rFonts w:ascii="Times New Roman" w:eastAsiaTheme="minorEastAsia" w:hAnsi="Times New Roman" w:cs="Times New Roman"/>
          <w:sz w:val="24"/>
          <w:szCs w:val="24"/>
          <w:lang w:eastAsia="en-GB"/>
        </w:rPr>
        <w:t>By definition, the DIV</w:t>
      </w:r>
      <w:r w:rsidRPr="00B917D4">
        <w:rPr>
          <w:rFonts w:ascii="Times New Roman" w:eastAsiaTheme="minorEastAsia" w:hAnsi="Times New Roman" w:cs="Times New Roman"/>
          <w:i/>
          <w:sz w:val="24"/>
          <w:szCs w:val="24"/>
          <w:vertAlign w:val="subscript"/>
          <w:lang w:eastAsia="en-GB"/>
        </w:rPr>
        <w:t xml:space="preserve"> </w:t>
      </w:r>
      <w:r w:rsidRPr="00B917D4">
        <w:rPr>
          <w:rFonts w:ascii="Times New Roman" w:hAnsi="Times New Roman" w:cs="Times New Roman"/>
          <w:sz w:val="24"/>
          <w:szCs w:val="24"/>
          <w:lang w:eastAsia="en-GB"/>
        </w:rPr>
        <w:t xml:space="preserve">ranges from </w:t>
      </w:r>
      <w:r w:rsidR="0071324D" w:rsidRPr="00B917D4">
        <w:rPr>
          <w:rFonts w:ascii="Times New Roman" w:hAnsi="Times New Roman" w:cs="Times New Roman"/>
          <w:sz w:val="24"/>
          <w:szCs w:val="24"/>
          <w:lang w:eastAsia="en-GB"/>
        </w:rPr>
        <w:t>[</w:t>
      </w:r>
      <w:r w:rsidRPr="00B917D4">
        <w:rPr>
          <w:rFonts w:ascii="Times New Roman" w:hAnsi="Times New Roman" w:cs="Times New Roman"/>
          <w:sz w:val="24"/>
          <w:szCs w:val="24"/>
          <w:lang w:eastAsia="en-GB"/>
        </w:rPr>
        <w:t>0</w:t>
      </w:r>
      <w:r w:rsidR="0071324D" w:rsidRPr="00B917D4">
        <w:rPr>
          <w:rFonts w:ascii="Times New Roman" w:hAnsi="Times New Roman" w:cs="Times New Roman"/>
          <w:sz w:val="24"/>
          <w:szCs w:val="24"/>
          <w:lang w:eastAsia="en-GB"/>
        </w:rPr>
        <w:t>]</w:t>
      </w:r>
      <w:r w:rsidRPr="00B917D4">
        <w:rPr>
          <w:rFonts w:ascii="Times New Roman" w:hAnsi="Times New Roman" w:cs="Times New Roman"/>
          <w:sz w:val="24"/>
          <w:szCs w:val="24"/>
          <w:lang w:eastAsia="en-GB"/>
        </w:rPr>
        <w:t xml:space="preserve"> when all loans are given to one sector to </w:t>
      </w:r>
      <m:oMath>
        <m:r>
          <w:rPr>
            <w:rFonts w:ascii="Cambria Math" w:hAnsi="Times New Roman" w:cs="Times New Roman"/>
            <w:sz w:val="24"/>
            <w:szCs w:val="24"/>
            <w:lang w:eastAsia="en-GB"/>
          </w:rPr>
          <m:t>[1</m:t>
        </m:r>
        <m:r>
          <w:rPr>
            <w:rFonts w:ascii="Times New Roman" w:hAnsi="Times New Roman" w:cs="Times New Roman"/>
            <w:sz w:val="24"/>
            <w:szCs w:val="24"/>
            <w:lang w:eastAsia="en-GB"/>
          </w:rPr>
          <m:t>-</m:t>
        </m:r>
        <m:f>
          <m:fPr>
            <m:ctrlPr>
              <w:rPr>
                <w:rFonts w:ascii="Cambria Math" w:hAnsi="Times New Roman" w:cs="Times New Roman"/>
                <w:i/>
                <w:sz w:val="24"/>
                <w:szCs w:val="24"/>
                <w:lang w:eastAsia="en-GB"/>
              </w:rPr>
            </m:ctrlPr>
          </m:fPr>
          <m:num>
            <m:r>
              <w:rPr>
                <w:rFonts w:ascii="Cambria Math" w:hAnsi="Times New Roman" w:cs="Times New Roman"/>
                <w:sz w:val="24"/>
                <w:szCs w:val="24"/>
                <w:lang w:eastAsia="en-GB"/>
              </w:rPr>
              <m:t>1</m:t>
            </m:r>
          </m:num>
          <m:den>
            <m:r>
              <w:rPr>
                <w:rFonts w:ascii="Cambria Math" w:hAnsi="Cambria Math" w:cs="Times New Roman"/>
                <w:sz w:val="24"/>
                <w:szCs w:val="24"/>
                <w:lang w:eastAsia="en-GB"/>
              </w:rPr>
              <m:t>n</m:t>
            </m:r>
          </m:den>
        </m:f>
        <m:r>
          <w:rPr>
            <w:rFonts w:ascii="Cambria Math" w:hAnsi="Times New Roman" w:cs="Times New Roman"/>
            <w:sz w:val="24"/>
            <w:szCs w:val="24"/>
            <w:lang w:eastAsia="en-GB"/>
          </w:rPr>
          <m:t>]</m:t>
        </m:r>
      </m:oMath>
      <w:r w:rsidRPr="00B917D4">
        <w:rPr>
          <w:rFonts w:ascii="Times New Roman" w:hAnsi="Times New Roman" w:cs="Times New Roman"/>
          <w:sz w:val="24"/>
          <w:szCs w:val="24"/>
          <w:lang w:eastAsia="en-GB"/>
        </w:rPr>
        <w:t xml:space="preserve"> </w:t>
      </w:r>
      <w:r w:rsidRPr="00B917D4">
        <w:rPr>
          <w:rFonts w:ascii="Times New Roman" w:eastAsiaTheme="minorEastAsia" w:hAnsi="Times New Roman" w:cs="Times New Roman"/>
          <w:sz w:val="24"/>
          <w:szCs w:val="24"/>
          <w:lang w:eastAsia="en-GB"/>
        </w:rPr>
        <w:t xml:space="preserve">when all the </w:t>
      </w:r>
      <w:r w:rsidRPr="00B917D4">
        <w:rPr>
          <w:rFonts w:ascii="Times New Roman" w:eastAsiaTheme="minorEastAsia" w:hAnsi="Times New Roman" w:cs="Times New Roman"/>
          <w:i/>
          <w:sz w:val="24"/>
          <w:szCs w:val="24"/>
          <w:lang w:eastAsia="en-GB"/>
        </w:rPr>
        <w:t>n</w:t>
      </w:r>
      <w:r w:rsidRPr="00B917D4">
        <w:rPr>
          <w:rFonts w:ascii="Times New Roman" w:eastAsiaTheme="minorEastAsia" w:hAnsi="Times New Roman" w:cs="Times New Roman"/>
          <w:sz w:val="24"/>
          <w:szCs w:val="24"/>
          <w:lang w:eastAsia="en-GB"/>
        </w:rPr>
        <w:t xml:space="preserve"> sectors receive the same amount of loans. Higher values of the index point to more diversification while lower values point to concentration (</w:t>
      </w:r>
      <w:r w:rsidRPr="00B917D4">
        <w:rPr>
          <w:rFonts w:ascii="Times New Roman" w:eastAsia="TimesNewRoman" w:hAnsi="Times New Roman" w:cs="Times New Roman"/>
          <w:sz w:val="24"/>
          <w:szCs w:val="24"/>
        </w:rPr>
        <w:t xml:space="preserve">Jahn </w:t>
      </w:r>
      <w:r w:rsidRPr="00B917D4">
        <w:rPr>
          <w:rFonts w:ascii="Times New Roman" w:eastAsia="TimesNewRoman" w:hAnsi="Times New Roman" w:cs="Times New Roman"/>
          <w:i/>
          <w:sz w:val="24"/>
          <w:szCs w:val="24"/>
        </w:rPr>
        <w:t>et al.</w:t>
      </w:r>
      <w:r w:rsidRPr="00B917D4">
        <w:rPr>
          <w:rFonts w:ascii="Times New Roman" w:eastAsia="TimesNewRoman" w:hAnsi="Times New Roman" w:cs="Times New Roman"/>
          <w:sz w:val="24"/>
          <w:szCs w:val="24"/>
        </w:rPr>
        <w:t xml:space="preserve">, </w:t>
      </w:r>
      <w:r w:rsidR="0071324D" w:rsidRPr="00B917D4">
        <w:rPr>
          <w:rFonts w:ascii="Times New Roman" w:eastAsia="TimesNewRoman" w:hAnsi="Times New Roman" w:cs="Times New Roman"/>
          <w:i/>
          <w:sz w:val="24"/>
          <w:szCs w:val="24"/>
        </w:rPr>
        <w:t>op. cit.</w:t>
      </w:r>
      <w:r w:rsidRPr="00B917D4">
        <w:rPr>
          <w:rFonts w:ascii="Times New Roman" w:eastAsia="TimesNewRoman" w:hAnsi="Times New Roman" w:cs="Times New Roman"/>
          <w:sz w:val="24"/>
          <w:szCs w:val="24"/>
        </w:rPr>
        <w:t xml:space="preserve">). </w:t>
      </w:r>
      <w:r w:rsidRPr="00B917D4">
        <w:rPr>
          <w:rFonts w:ascii="Times New Roman" w:hAnsi="Times New Roman" w:cs="Times New Roman"/>
          <w:sz w:val="24"/>
          <w:szCs w:val="24"/>
        </w:rPr>
        <w:t xml:space="preserve">Financial performance will be measured using Returns on assets (ROA) which is an accounting ratio of operating income to total assets (Ongore and Kusa, 2013; Turkmen and Yigit, 2012; Al-Smadi, 2011; Saksonova and Solvjova, 2011). Accounting methods based on the use of financial ratios have generally been used in assessing bank performance in most diversification studies (Li and Qiann, 2005; Ncube, 2009; Pan and Tsai, 2012; Mulwa and Kosgei, 2016). Bank monitoring effectiveness (ME) will be assessed based on a bank’s asset quality and will be measured following </w:t>
      </w:r>
      <w:r w:rsidRPr="00B917D4">
        <w:rPr>
          <w:rFonts w:ascii="Times New Roman" w:hAnsi="Times New Roman" w:cs="Times New Roman"/>
          <w:sz w:val="24"/>
          <w:szCs w:val="24"/>
          <w:lang w:eastAsia="en-GB"/>
        </w:rPr>
        <w:t>Gwon (2011) a</w:t>
      </w:r>
      <w:r w:rsidR="0071324D" w:rsidRPr="00B917D4">
        <w:rPr>
          <w:rFonts w:ascii="Times New Roman" w:hAnsi="Times New Roman" w:cs="Times New Roman"/>
          <w:sz w:val="24"/>
          <w:szCs w:val="24"/>
          <w:lang w:eastAsia="en-GB"/>
        </w:rPr>
        <w:t>nd Saksonova and Solovjova (</w:t>
      </w:r>
      <w:r w:rsidR="0071324D" w:rsidRPr="00B917D4">
        <w:rPr>
          <w:rFonts w:ascii="Times New Roman" w:hAnsi="Times New Roman" w:cs="Times New Roman"/>
          <w:i/>
          <w:sz w:val="24"/>
          <w:szCs w:val="24"/>
          <w:lang w:eastAsia="en-GB"/>
        </w:rPr>
        <w:t>op. cit.</w:t>
      </w:r>
      <w:r w:rsidRPr="00B917D4">
        <w:rPr>
          <w:rFonts w:ascii="Times New Roman" w:hAnsi="Times New Roman" w:cs="Times New Roman"/>
          <w:sz w:val="24"/>
          <w:szCs w:val="24"/>
          <w:lang w:eastAsia="en-GB"/>
        </w:rPr>
        <w:t xml:space="preserve">), as the ratio of gross non-performing loans (NPL) to the total value of loan portfolio. According to Chen </w:t>
      </w:r>
      <w:r w:rsidRPr="00B917D4">
        <w:rPr>
          <w:rFonts w:ascii="Times New Roman" w:hAnsi="Times New Roman" w:cs="Times New Roman"/>
          <w:i/>
          <w:sz w:val="24"/>
          <w:szCs w:val="24"/>
          <w:lang w:eastAsia="en-GB"/>
        </w:rPr>
        <w:t>et al</w:t>
      </w:r>
      <w:r w:rsidRPr="00B917D4">
        <w:rPr>
          <w:rFonts w:ascii="Times New Roman" w:hAnsi="Times New Roman" w:cs="Times New Roman"/>
          <w:sz w:val="24"/>
          <w:szCs w:val="24"/>
          <w:lang w:eastAsia="en-GB"/>
        </w:rPr>
        <w:t xml:space="preserve">., (2013), non-performing loans is an </w:t>
      </w:r>
      <w:r w:rsidRPr="00B917D4">
        <w:rPr>
          <w:rFonts w:ascii="Times New Roman" w:hAnsi="Times New Roman" w:cs="Times New Roman"/>
          <w:i/>
          <w:sz w:val="24"/>
          <w:szCs w:val="24"/>
          <w:lang w:eastAsia="en-GB"/>
        </w:rPr>
        <w:t>ex post</w:t>
      </w:r>
      <w:r w:rsidRPr="00B917D4">
        <w:rPr>
          <w:rFonts w:ascii="Times New Roman" w:hAnsi="Times New Roman" w:cs="Times New Roman"/>
          <w:sz w:val="24"/>
          <w:szCs w:val="24"/>
          <w:lang w:eastAsia="en-GB"/>
        </w:rPr>
        <w:t xml:space="preserve"> measure of the banks actual losses from lending activities and</w:t>
      </w:r>
      <w:r w:rsidR="006F01E4" w:rsidRPr="00B917D4">
        <w:rPr>
          <w:rFonts w:ascii="Times New Roman" w:hAnsi="Times New Roman" w:cs="Times New Roman"/>
          <w:sz w:val="24"/>
          <w:szCs w:val="24"/>
          <w:lang w:eastAsia="en-GB"/>
        </w:rPr>
        <w:t xml:space="preserve"> can only be observed </w:t>
      </w:r>
      <w:r w:rsidR="0071324D" w:rsidRPr="00B917D4">
        <w:rPr>
          <w:rFonts w:ascii="Times New Roman" w:hAnsi="Times New Roman" w:cs="Times New Roman"/>
          <w:sz w:val="24"/>
          <w:szCs w:val="24"/>
          <w:lang w:eastAsia="en-GB"/>
        </w:rPr>
        <w:t xml:space="preserve">at </w:t>
      </w:r>
      <w:r w:rsidR="006F01E4" w:rsidRPr="00B917D4">
        <w:rPr>
          <w:rFonts w:ascii="Times New Roman" w:hAnsi="Times New Roman" w:cs="Times New Roman"/>
          <w:sz w:val="24"/>
          <w:szCs w:val="24"/>
          <w:lang w:eastAsia="en-GB"/>
        </w:rPr>
        <w:t>some point in time after the loans were made.</w:t>
      </w:r>
      <w:r w:rsidRPr="00B917D4">
        <w:rPr>
          <w:rFonts w:ascii="Times New Roman" w:hAnsi="Times New Roman" w:cs="Times New Roman"/>
          <w:sz w:val="24"/>
          <w:szCs w:val="24"/>
          <w:lang w:eastAsia="en-GB"/>
        </w:rPr>
        <w:t xml:space="preserve"> </w:t>
      </w:r>
      <w:r w:rsidR="006F01E4" w:rsidRPr="00B917D4">
        <w:rPr>
          <w:rFonts w:ascii="Times New Roman" w:hAnsi="Times New Roman" w:cs="Times New Roman"/>
          <w:sz w:val="24"/>
          <w:szCs w:val="24"/>
          <w:lang w:eastAsia="en-GB"/>
        </w:rPr>
        <w:t>T</w:t>
      </w:r>
      <w:r w:rsidRPr="00B917D4">
        <w:rPr>
          <w:rFonts w:ascii="Times New Roman" w:hAnsi="Times New Roman" w:cs="Times New Roman"/>
          <w:sz w:val="24"/>
          <w:szCs w:val="24"/>
          <w:lang w:eastAsia="en-GB"/>
        </w:rPr>
        <w:t xml:space="preserve">herefore the measure of </w:t>
      </w:r>
      <w:r w:rsidR="0071324D" w:rsidRPr="00B917D4">
        <w:rPr>
          <w:rFonts w:ascii="Times New Roman" w:hAnsi="Times New Roman" w:cs="Times New Roman"/>
          <w:sz w:val="24"/>
          <w:szCs w:val="24"/>
          <w:lang w:eastAsia="en-GB"/>
        </w:rPr>
        <w:t xml:space="preserve">monitoring effectiveness </w:t>
      </w:r>
      <w:r w:rsidRPr="00B917D4">
        <w:rPr>
          <w:rFonts w:ascii="Times New Roman" w:hAnsi="Times New Roman" w:cs="Times New Roman"/>
          <w:sz w:val="24"/>
          <w:szCs w:val="24"/>
          <w:lang w:eastAsia="en-GB"/>
        </w:rPr>
        <w:t xml:space="preserve">will be lagged once to reflect this situation. </w:t>
      </w:r>
    </w:p>
    <w:p w:rsidR="000C2FCF" w:rsidRPr="00B917D4" w:rsidRDefault="008E410A" w:rsidP="0032054C">
      <w:pPr>
        <w:autoSpaceDE w:val="0"/>
        <w:autoSpaceDN w:val="0"/>
        <w:adjustRightInd w:val="0"/>
        <w:ind w:left="567"/>
        <w:jc w:val="both"/>
        <w:rPr>
          <w:rFonts w:ascii="Times New Roman" w:eastAsiaTheme="minorEastAsia" w:hAnsi="Times New Roman" w:cs="Times New Roman"/>
          <w:sz w:val="24"/>
          <w:szCs w:val="24"/>
          <w:lang w:eastAsia="en-GB"/>
        </w:rPr>
      </w:pPr>
      <m:oMathPara>
        <m:oMathParaPr>
          <m:jc m:val="left"/>
        </m:oMathParaPr>
        <m:oMath>
          <m:sSub>
            <m:sSubPr>
              <m:ctrlPr>
                <w:rPr>
                  <w:rFonts w:ascii="Cambria Math" w:hAnsi="Times New Roman" w:cs="Times New Roman"/>
                  <w:i/>
                  <w:sz w:val="24"/>
                  <w:szCs w:val="24"/>
                  <w:lang w:eastAsia="en-GB"/>
                </w:rPr>
              </m:ctrlPr>
            </m:sSubPr>
            <m:e>
              <m:r>
                <w:rPr>
                  <w:rFonts w:ascii="Cambria Math" w:hAnsi="Cambria Math" w:cs="Times New Roman"/>
                  <w:sz w:val="24"/>
                  <w:szCs w:val="24"/>
                  <w:lang w:eastAsia="en-GB"/>
                </w:rPr>
                <m:t>AQ</m:t>
              </m:r>
            </m:e>
            <m:sub>
              <m:r>
                <w:rPr>
                  <w:rFonts w:ascii="Cambria Math" w:hAnsi="Cambria Math" w:cs="Times New Roman"/>
                  <w:sz w:val="24"/>
                  <w:szCs w:val="24"/>
                  <w:lang w:eastAsia="en-GB"/>
                </w:rPr>
                <m:t>t</m:t>
              </m:r>
              <m:r>
                <w:rPr>
                  <w:rFonts w:ascii="Cambria Math" w:hAnsi="Times New Roman" w:cs="Times New Roman"/>
                  <w:sz w:val="24"/>
                  <w:szCs w:val="24"/>
                  <w:lang w:eastAsia="en-GB"/>
                </w:rPr>
                <m:t>+1</m:t>
              </m:r>
            </m:sub>
          </m:sSub>
          <m:r>
            <w:rPr>
              <w:rFonts w:ascii="Cambria Math" w:hAnsi="Times New Roman" w:cs="Times New Roman"/>
              <w:sz w:val="24"/>
              <w:szCs w:val="24"/>
              <w:lang w:eastAsia="en-GB"/>
            </w:rPr>
            <m:t>[%]=</m:t>
          </m:r>
          <m:f>
            <m:fPr>
              <m:ctrlPr>
                <w:rPr>
                  <w:rFonts w:ascii="Cambria Math" w:hAnsi="Times New Roman" w:cs="Times New Roman"/>
                  <w:i/>
                  <w:sz w:val="24"/>
                  <w:szCs w:val="24"/>
                  <w:lang w:eastAsia="en-GB"/>
                </w:rPr>
              </m:ctrlPr>
            </m:fPr>
            <m:num>
              <m:r>
                <w:rPr>
                  <w:rFonts w:ascii="Cambria Math" w:hAnsi="Cambria Math" w:cs="Times New Roman"/>
                  <w:sz w:val="24"/>
                  <w:szCs w:val="24"/>
                  <w:lang w:eastAsia="en-GB"/>
                </w:rPr>
                <m:t>NPL</m:t>
              </m:r>
            </m:num>
            <m:den>
              <m:r>
                <w:rPr>
                  <w:rFonts w:ascii="Cambria Math" w:hAnsi="Cambria Math" w:cs="Times New Roman"/>
                  <w:sz w:val="24"/>
                  <w:szCs w:val="24"/>
                  <w:lang w:eastAsia="en-GB"/>
                </w:rPr>
                <m:t>Total</m:t>
              </m:r>
              <m:r>
                <w:rPr>
                  <w:rFonts w:ascii="Cambria Math" w:hAnsi="Times New Roman" w:cs="Times New Roman"/>
                  <w:sz w:val="24"/>
                  <w:szCs w:val="24"/>
                  <w:lang w:eastAsia="en-GB"/>
                </w:rPr>
                <m:t xml:space="preserve"> </m:t>
              </m:r>
              <m:r>
                <w:rPr>
                  <w:rFonts w:ascii="Cambria Math" w:hAnsi="Cambria Math" w:cs="Times New Roman"/>
                  <w:sz w:val="24"/>
                  <w:szCs w:val="24"/>
                  <w:lang w:eastAsia="en-GB"/>
                </w:rPr>
                <m:t>Loans</m:t>
              </m:r>
            </m:den>
          </m:f>
        </m:oMath>
      </m:oMathPara>
    </w:p>
    <w:p w:rsidR="007619AE" w:rsidRPr="00B917D4" w:rsidRDefault="007619AE" w:rsidP="0032054C">
      <w:pPr>
        <w:jc w:val="both"/>
        <w:rPr>
          <w:rFonts w:ascii="Times New Roman" w:hAnsi="Times New Roman" w:cs="Times New Roman"/>
          <w:sz w:val="24"/>
          <w:szCs w:val="24"/>
        </w:rPr>
      </w:pPr>
      <w:r w:rsidRPr="00B917D4">
        <w:rPr>
          <w:rFonts w:ascii="Times New Roman" w:hAnsi="Times New Roman" w:cs="Times New Roman"/>
          <w:sz w:val="24"/>
          <w:szCs w:val="24"/>
        </w:rPr>
        <w:t>Secondary panel data was obtained for all the variables from the Bank Supervision reports of the central banks in four EAC countries for eight firm years from 2008 to 2015 giving a total of 32 observations. The East African Community (EAC) has five countries, namely, Kenya, Uganda, Rwanda, Tanzania and Burundi (EAC, 2017). However Burundi was dropped from this study because its banking data and supervision were expressed in French. Table 1 present summary statistics of the data while table 2 present correlations among variables.</w:t>
      </w:r>
    </w:p>
    <w:p w:rsidR="007619AE" w:rsidRPr="00B917D4" w:rsidRDefault="007619AE" w:rsidP="0032054C">
      <w:pPr>
        <w:jc w:val="center"/>
        <w:rPr>
          <w:rFonts w:ascii="Times New Roman" w:hAnsi="Times New Roman" w:cs="Times New Roman"/>
          <w:sz w:val="24"/>
          <w:szCs w:val="24"/>
        </w:rPr>
      </w:pPr>
      <w:r w:rsidRPr="00B917D4">
        <w:rPr>
          <w:rFonts w:ascii="Times New Roman" w:hAnsi="Times New Roman" w:cs="Times New Roman"/>
          <w:sz w:val="24"/>
          <w:szCs w:val="24"/>
        </w:rPr>
        <w:lastRenderedPageBreak/>
        <w:t>Table 1: Descriptive Statistics of Variables</w:t>
      </w:r>
    </w:p>
    <w:tbl>
      <w:tblPr>
        <w:tblW w:w="0" w:type="auto"/>
        <w:jc w:val="center"/>
        <w:tblInd w:w="30" w:type="dxa"/>
        <w:tblLayout w:type="fixed"/>
        <w:tblCellMar>
          <w:left w:w="0" w:type="dxa"/>
          <w:right w:w="0" w:type="dxa"/>
        </w:tblCellMar>
        <w:tblLook w:val="0000"/>
      </w:tblPr>
      <w:tblGrid>
        <w:gridCol w:w="1818"/>
        <w:gridCol w:w="1701"/>
        <w:gridCol w:w="1559"/>
        <w:gridCol w:w="1701"/>
      </w:tblGrid>
      <w:tr w:rsidR="007619AE" w:rsidRPr="00B917D4" w:rsidTr="00742AE2">
        <w:trPr>
          <w:trHeight w:val="225"/>
          <w:jc w:val="center"/>
        </w:trPr>
        <w:tc>
          <w:tcPr>
            <w:tcW w:w="1818" w:type="dxa"/>
            <w:tcBorders>
              <w:top w:val="single" w:sz="4" w:space="0" w:color="auto"/>
              <w:bottom w:val="single" w:sz="4" w:space="0" w:color="auto"/>
            </w:tcBorders>
            <w:vAlign w:val="bottom"/>
          </w:tcPr>
          <w:p w:rsidR="007619AE" w:rsidRPr="00B917D4" w:rsidRDefault="007619AE" w:rsidP="0032054C">
            <w:pPr>
              <w:autoSpaceDE w:val="0"/>
              <w:autoSpaceDN w:val="0"/>
              <w:adjustRightInd w:val="0"/>
              <w:spacing w:after="0"/>
              <w:jc w:val="both"/>
              <w:rPr>
                <w:rFonts w:ascii="Times New Roman" w:hAnsi="Times New Roman" w:cs="Times New Roman"/>
                <w:b/>
                <w:sz w:val="24"/>
                <w:szCs w:val="24"/>
              </w:rPr>
            </w:pPr>
          </w:p>
        </w:tc>
        <w:tc>
          <w:tcPr>
            <w:tcW w:w="1701" w:type="dxa"/>
            <w:tcBorders>
              <w:top w:val="single" w:sz="4" w:space="0" w:color="auto"/>
              <w:bottom w:val="single" w:sz="4" w:space="0" w:color="auto"/>
            </w:tcBorders>
            <w:vAlign w:val="bottom"/>
          </w:tcPr>
          <w:p w:rsidR="007619AE" w:rsidRPr="00B917D4" w:rsidRDefault="007619AE" w:rsidP="0032054C">
            <w:pPr>
              <w:autoSpaceDE w:val="0"/>
              <w:autoSpaceDN w:val="0"/>
              <w:adjustRightInd w:val="0"/>
              <w:spacing w:after="0"/>
              <w:jc w:val="both"/>
              <w:rPr>
                <w:rFonts w:ascii="Times New Roman" w:hAnsi="Times New Roman" w:cs="Times New Roman"/>
                <w:b/>
                <w:sz w:val="24"/>
                <w:szCs w:val="24"/>
              </w:rPr>
            </w:pPr>
            <w:r w:rsidRPr="00B917D4">
              <w:rPr>
                <w:rFonts w:ascii="Times New Roman" w:hAnsi="Times New Roman" w:cs="Times New Roman"/>
                <w:b/>
                <w:sz w:val="24"/>
                <w:szCs w:val="24"/>
              </w:rPr>
              <w:t>ROA (%)</w:t>
            </w:r>
          </w:p>
        </w:tc>
        <w:tc>
          <w:tcPr>
            <w:tcW w:w="1559" w:type="dxa"/>
            <w:tcBorders>
              <w:top w:val="single" w:sz="4" w:space="0" w:color="auto"/>
              <w:bottom w:val="single" w:sz="4" w:space="0" w:color="auto"/>
            </w:tcBorders>
            <w:vAlign w:val="bottom"/>
          </w:tcPr>
          <w:p w:rsidR="007619AE" w:rsidRPr="00B917D4" w:rsidRDefault="007619AE" w:rsidP="0032054C">
            <w:pPr>
              <w:autoSpaceDE w:val="0"/>
              <w:autoSpaceDN w:val="0"/>
              <w:adjustRightInd w:val="0"/>
              <w:spacing w:after="0"/>
              <w:jc w:val="both"/>
              <w:rPr>
                <w:rFonts w:ascii="Times New Roman" w:hAnsi="Times New Roman" w:cs="Times New Roman"/>
                <w:b/>
                <w:sz w:val="24"/>
                <w:szCs w:val="24"/>
              </w:rPr>
            </w:pPr>
            <w:r w:rsidRPr="00B917D4">
              <w:rPr>
                <w:rFonts w:ascii="Times New Roman" w:hAnsi="Times New Roman" w:cs="Times New Roman"/>
                <w:b/>
                <w:sz w:val="24"/>
                <w:szCs w:val="24"/>
              </w:rPr>
              <w:t>AQ</w:t>
            </w:r>
            <w:r w:rsidRPr="00B917D4">
              <w:rPr>
                <w:rFonts w:ascii="Times New Roman" w:hAnsi="Times New Roman" w:cs="Times New Roman"/>
                <w:b/>
                <w:sz w:val="24"/>
                <w:szCs w:val="24"/>
                <w:vertAlign w:val="subscript"/>
              </w:rPr>
              <w:t>t+1</w:t>
            </w:r>
            <w:r w:rsidR="0016190F" w:rsidRPr="00B917D4">
              <w:rPr>
                <w:rFonts w:ascii="Times New Roman" w:hAnsi="Times New Roman" w:cs="Times New Roman"/>
                <w:b/>
                <w:sz w:val="24"/>
                <w:szCs w:val="24"/>
                <w:vertAlign w:val="subscript"/>
              </w:rPr>
              <w:t xml:space="preserve"> </w:t>
            </w:r>
            <w:r w:rsidR="0016190F" w:rsidRPr="00B917D4">
              <w:rPr>
                <w:rFonts w:ascii="Times New Roman" w:hAnsi="Times New Roman" w:cs="Times New Roman"/>
                <w:b/>
                <w:sz w:val="24"/>
                <w:szCs w:val="24"/>
              </w:rPr>
              <w:t>(%)</w:t>
            </w:r>
          </w:p>
        </w:tc>
        <w:tc>
          <w:tcPr>
            <w:tcW w:w="1701" w:type="dxa"/>
            <w:tcBorders>
              <w:top w:val="single" w:sz="4" w:space="0" w:color="auto"/>
              <w:bottom w:val="single" w:sz="4" w:space="0" w:color="auto"/>
            </w:tcBorders>
            <w:vAlign w:val="bottom"/>
          </w:tcPr>
          <w:p w:rsidR="007619AE" w:rsidRPr="00B917D4" w:rsidRDefault="007619AE" w:rsidP="0032054C">
            <w:pPr>
              <w:autoSpaceDE w:val="0"/>
              <w:autoSpaceDN w:val="0"/>
              <w:adjustRightInd w:val="0"/>
              <w:spacing w:after="0"/>
              <w:jc w:val="both"/>
              <w:rPr>
                <w:rFonts w:ascii="Times New Roman" w:hAnsi="Times New Roman" w:cs="Times New Roman"/>
                <w:b/>
                <w:sz w:val="24"/>
                <w:szCs w:val="24"/>
              </w:rPr>
            </w:pPr>
            <w:r w:rsidRPr="00B917D4">
              <w:rPr>
                <w:rFonts w:ascii="Times New Roman" w:hAnsi="Times New Roman" w:cs="Times New Roman"/>
                <w:b/>
                <w:sz w:val="24"/>
                <w:szCs w:val="24"/>
              </w:rPr>
              <w:t>DIV</w:t>
            </w:r>
            <w:r w:rsidRPr="00B917D4">
              <w:rPr>
                <w:rFonts w:ascii="Times New Roman" w:hAnsi="Times New Roman" w:cs="Times New Roman"/>
                <w:b/>
                <w:sz w:val="24"/>
                <w:szCs w:val="24"/>
                <w:vertAlign w:val="subscript"/>
              </w:rPr>
              <w:t>CR</w:t>
            </w:r>
          </w:p>
        </w:tc>
      </w:tr>
      <w:tr w:rsidR="007619AE" w:rsidRPr="00B917D4" w:rsidTr="00742AE2">
        <w:trPr>
          <w:trHeight w:val="225"/>
          <w:jc w:val="center"/>
        </w:trPr>
        <w:tc>
          <w:tcPr>
            <w:tcW w:w="1818" w:type="dxa"/>
            <w:tcBorders>
              <w:top w:val="single" w:sz="4" w:space="0" w:color="auto"/>
            </w:tcBorders>
            <w:vAlign w:val="bottom"/>
          </w:tcPr>
          <w:p w:rsidR="007619AE" w:rsidRPr="00B917D4" w:rsidRDefault="007619AE" w:rsidP="0032054C">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 Mean</w:t>
            </w:r>
          </w:p>
        </w:tc>
        <w:tc>
          <w:tcPr>
            <w:tcW w:w="1701" w:type="dxa"/>
            <w:tcBorders>
              <w:top w:val="single" w:sz="4" w:space="0" w:color="auto"/>
            </w:tcBorders>
            <w:vAlign w:val="bottom"/>
          </w:tcPr>
          <w:p w:rsidR="007619AE" w:rsidRPr="00B917D4" w:rsidRDefault="007619AE" w:rsidP="0032054C">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3.002</w:t>
            </w:r>
          </w:p>
        </w:tc>
        <w:tc>
          <w:tcPr>
            <w:tcW w:w="1559" w:type="dxa"/>
            <w:tcBorders>
              <w:top w:val="single" w:sz="4" w:space="0" w:color="auto"/>
            </w:tcBorders>
            <w:vAlign w:val="bottom"/>
          </w:tcPr>
          <w:p w:rsidR="007619AE" w:rsidRPr="00B917D4" w:rsidRDefault="007619AE" w:rsidP="0032054C">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6.626</w:t>
            </w:r>
          </w:p>
        </w:tc>
        <w:tc>
          <w:tcPr>
            <w:tcW w:w="1701" w:type="dxa"/>
            <w:tcBorders>
              <w:top w:val="single" w:sz="4" w:space="0" w:color="auto"/>
            </w:tcBorders>
            <w:vAlign w:val="bottom"/>
          </w:tcPr>
          <w:p w:rsidR="007619AE" w:rsidRPr="00B917D4" w:rsidRDefault="007619AE" w:rsidP="0032054C">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0.821</w:t>
            </w:r>
          </w:p>
        </w:tc>
      </w:tr>
      <w:tr w:rsidR="007619AE" w:rsidRPr="00B917D4" w:rsidTr="00742AE2">
        <w:trPr>
          <w:trHeight w:val="225"/>
          <w:jc w:val="center"/>
        </w:trPr>
        <w:tc>
          <w:tcPr>
            <w:tcW w:w="1818" w:type="dxa"/>
            <w:vAlign w:val="bottom"/>
          </w:tcPr>
          <w:p w:rsidR="007619AE" w:rsidRPr="00B917D4" w:rsidRDefault="007619AE" w:rsidP="0032054C">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 Median</w:t>
            </w:r>
          </w:p>
        </w:tc>
        <w:tc>
          <w:tcPr>
            <w:tcW w:w="1701" w:type="dxa"/>
            <w:vAlign w:val="bottom"/>
          </w:tcPr>
          <w:p w:rsidR="007619AE" w:rsidRPr="00B917D4" w:rsidRDefault="007619AE" w:rsidP="0032054C">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2.700</w:t>
            </w:r>
          </w:p>
        </w:tc>
        <w:tc>
          <w:tcPr>
            <w:tcW w:w="1559" w:type="dxa"/>
            <w:vAlign w:val="bottom"/>
          </w:tcPr>
          <w:p w:rsidR="007619AE" w:rsidRPr="00B917D4" w:rsidRDefault="007619AE" w:rsidP="0032054C">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6.600</w:t>
            </w:r>
          </w:p>
        </w:tc>
        <w:tc>
          <w:tcPr>
            <w:tcW w:w="1701" w:type="dxa"/>
            <w:vAlign w:val="bottom"/>
          </w:tcPr>
          <w:p w:rsidR="007619AE" w:rsidRPr="00B917D4" w:rsidRDefault="007619AE" w:rsidP="0032054C">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0.837</w:t>
            </w:r>
          </w:p>
        </w:tc>
      </w:tr>
      <w:tr w:rsidR="007619AE" w:rsidRPr="00B917D4" w:rsidTr="00742AE2">
        <w:trPr>
          <w:trHeight w:val="225"/>
          <w:jc w:val="center"/>
        </w:trPr>
        <w:tc>
          <w:tcPr>
            <w:tcW w:w="1818" w:type="dxa"/>
            <w:vAlign w:val="bottom"/>
          </w:tcPr>
          <w:p w:rsidR="007619AE" w:rsidRPr="00B917D4" w:rsidRDefault="007619AE" w:rsidP="0032054C">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 Maximum</w:t>
            </w:r>
          </w:p>
        </w:tc>
        <w:tc>
          <w:tcPr>
            <w:tcW w:w="1701" w:type="dxa"/>
            <w:vAlign w:val="bottom"/>
          </w:tcPr>
          <w:p w:rsidR="007619AE" w:rsidRPr="00B917D4" w:rsidRDefault="007619AE" w:rsidP="0032054C">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4.700</w:t>
            </w:r>
          </w:p>
        </w:tc>
        <w:tc>
          <w:tcPr>
            <w:tcW w:w="1559" w:type="dxa"/>
            <w:vAlign w:val="bottom"/>
          </w:tcPr>
          <w:p w:rsidR="007619AE" w:rsidRPr="00B917D4" w:rsidRDefault="007619AE" w:rsidP="0032054C">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13.100</w:t>
            </w:r>
          </w:p>
        </w:tc>
        <w:tc>
          <w:tcPr>
            <w:tcW w:w="1701" w:type="dxa"/>
            <w:vAlign w:val="bottom"/>
          </w:tcPr>
          <w:p w:rsidR="007619AE" w:rsidRPr="00B917D4" w:rsidRDefault="007619AE" w:rsidP="0032054C">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0.872</w:t>
            </w:r>
          </w:p>
        </w:tc>
      </w:tr>
      <w:tr w:rsidR="007619AE" w:rsidRPr="00B917D4" w:rsidTr="00742AE2">
        <w:trPr>
          <w:trHeight w:val="225"/>
          <w:jc w:val="center"/>
        </w:trPr>
        <w:tc>
          <w:tcPr>
            <w:tcW w:w="1818" w:type="dxa"/>
            <w:vAlign w:val="bottom"/>
          </w:tcPr>
          <w:p w:rsidR="007619AE" w:rsidRPr="00B917D4" w:rsidRDefault="007619AE" w:rsidP="0032054C">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 Minimum</w:t>
            </w:r>
          </w:p>
        </w:tc>
        <w:tc>
          <w:tcPr>
            <w:tcW w:w="1701" w:type="dxa"/>
            <w:vAlign w:val="bottom"/>
          </w:tcPr>
          <w:p w:rsidR="007619AE" w:rsidRPr="00B917D4" w:rsidRDefault="007619AE" w:rsidP="0032054C">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0.740</w:t>
            </w:r>
          </w:p>
        </w:tc>
        <w:tc>
          <w:tcPr>
            <w:tcW w:w="1559" w:type="dxa"/>
            <w:vAlign w:val="bottom"/>
          </w:tcPr>
          <w:p w:rsidR="007619AE" w:rsidRPr="00B917D4" w:rsidRDefault="007619AE" w:rsidP="0032054C">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2.100</w:t>
            </w:r>
          </w:p>
        </w:tc>
        <w:tc>
          <w:tcPr>
            <w:tcW w:w="1701" w:type="dxa"/>
            <w:vAlign w:val="bottom"/>
          </w:tcPr>
          <w:p w:rsidR="007619AE" w:rsidRPr="00B917D4" w:rsidRDefault="007619AE" w:rsidP="0032054C">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0.733</w:t>
            </w:r>
          </w:p>
        </w:tc>
      </w:tr>
      <w:tr w:rsidR="007619AE" w:rsidRPr="00B917D4" w:rsidTr="00742AE2">
        <w:trPr>
          <w:trHeight w:val="225"/>
          <w:jc w:val="center"/>
        </w:trPr>
        <w:tc>
          <w:tcPr>
            <w:tcW w:w="1818" w:type="dxa"/>
            <w:tcBorders>
              <w:bottom w:val="single" w:sz="4" w:space="0" w:color="auto"/>
            </w:tcBorders>
            <w:vAlign w:val="bottom"/>
          </w:tcPr>
          <w:p w:rsidR="007619AE" w:rsidRPr="00B917D4" w:rsidRDefault="007619AE" w:rsidP="0032054C">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 Std. Dev.</w:t>
            </w:r>
          </w:p>
        </w:tc>
        <w:tc>
          <w:tcPr>
            <w:tcW w:w="1701" w:type="dxa"/>
            <w:tcBorders>
              <w:bottom w:val="single" w:sz="4" w:space="0" w:color="auto"/>
            </w:tcBorders>
            <w:vAlign w:val="bottom"/>
          </w:tcPr>
          <w:p w:rsidR="007619AE" w:rsidRPr="00B917D4" w:rsidRDefault="007619AE" w:rsidP="0032054C">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0.980</w:t>
            </w:r>
          </w:p>
        </w:tc>
        <w:tc>
          <w:tcPr>
            <w:tcW w:w="1559" w:type="dxa"/>
            <w:tcBorders>
              <w:bottom w:val="single" w:sz="4" w:space="0" w:color="auto"/>
            </w:tcBorders>
            <w:vAlign w:val="bottom"/>
          </w:tcPr>
          <w:p w:rsidR="007619AE" w:rsidRPr="00B917D4" w:rsidRDefault="007619AE" w:rsidP="0032054C">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2.403</w:t>
            </w:r>
          </w:p>
        </w:tc>
        <w:tc>
          <w:tcPr>
            <w:tcW w:w="1701" w:type="dxa"/>
            <w:tcBorders>
              <w:bottom w:val="single" w:sz="4" w:space="0" w:color="auto"/>
            </w:tcBorders>
            <w:vAlign w:val="bottom"/>
          </w:tcPr>
          <w:p w:rsidR="007619AE" w:rsidRPr="00B917D4" w:rsidRDefault="007619AE" w:rsidP="0032054C">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0.044</w:t>
            </w:r>
          </w:p>
        </w:tc>
      </w:tr>
      <w:tr w:rsidR="007619AE" w:rsidRPr="00B917D4" w:rsidTr="00742AE2">
        <w:trPr>
          <w:trHeight w:val="225"/>
          <w:jc w:val="center"/>
        </w:trPr>
        <w:tc>
          <w:tcPr>
            <w:tcW w:w="1818" w:type="dxa"/>
            <w:tcBorders>
              <w:top w:val="single" w:sz="4" w:space="0" w:color="auto"/>
            </w:tcBorders>
            <w:vAlign w:val="bottom"/>
          </w:tcPr>
          <w:p w:rsidR="007619AE" w:rsidRPr="00B917D4" w:rsidRDefault="007619AE" w:rsidP="0032054C">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 Jarque-Bera</w:t>
            </w:r>
          </w:p>
        </w:tc>
        <w:tc>
          <w:tcPr>
            <w:tcW w:w="1701" w:type="dxa"/>
            <w:tcBorders>
              <w:top w:val="single" w:sz="4" w:space="0" w:color="auto"/>
            </w:tcBorders>
            <w:vAlign w:val="bottom"/>
          </w:tcPr>
          <w:p w:rsidR="007619AE" w:rsidRPr="00B917D4" w:rsidRDefault="007619AE" w:rsidP="0032054C">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0.434</w:t>
            </w:r>
          </w:p>
        </w:tc>
        <w:tc>
          <w:tcPr>
            <w:tcW w:w="1559" w:type="dxa"/>
            <w:tcBorders>
              <w:top w:val="single" w:sz="4" w:space="0" w:color="auto"/>
            </w:tcBorders>
            <w:vAlign w:val="bottom"/>
          </w:tcPr>
          <w:p w:rsidR="007619AE" w:rsidRPr="00B917D4" w:rsidRDefault="007619AE" w:rsidP="0032054C">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2.177</w:t>
            </w:r>
          </w:p>
        </w:tc>
        <w:tc>
          <w:tcPr>
            <w:tcW w:w="1701" w:type="dxa"/>
            <w:tcBorders>
              <w:top w:val="single" w:sz="4" w:space="0" w:color="auto"/>
            </w:tcBorders>
            <w:vAlign w:val="bottom"/>
          </w:tcPr>
          <w:p w:rsidR="007619AE" w:rsidRPr="00B917D4" w:rsidRDefault="007619AE" w:rsidP="0032054C">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6.042</w:t>
            </w:r>
          </w:p>
        </w:tc>
      </w:tr>
      <w:tr w:rsidR="007619AE" w:rsidRPr="00B917D4" w:rsidTr="00742AE2">
        <w:trPr>
          <w:trHeight w:val="225"/>
          <w:jc w:val="center"/>
        </w:trPr>
        <w:tc>
          <w:tcPr>
            <w:tcW w:w="1818" w:type="dxa"/>
            <w:vAlign w:val="bottom"/>
          </w:tcPr>
          <w:p w:rsidR="007619AE" w:rsidRPr="00B917D4" w:rsidRDefault="007619AE" w:rsidP="0032054C">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 Probability</w:t>
            </w:r>
          </w:p>
        </w:tc>
        <w:tc>
          <w:tcPr>
            <w:tcW w:w="1701" w:type="dxa"/>
            <w:vAlign w:val="bottom"/>
          </w:tcPr>
          <w:p w:rsidR="007619AE" w:rsidRPr="00B917D4" w:rsidRDefault="007619AE" w:rsidP="0032054C">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0.805</w:t>
            </w:r>
          </w:p>
        </w:tc>
        <w:tc>
          <w:tcPr>
            <w:tcW w:w="1559" w:type="dxa"/>
            <w:vAlign w:val="bottom"/>
          </w:tcPr>
          <w:p w:rsidR="007619AE" w:rsidRPr="00B917D4" w:rsidRDefault="007619AE" w:rsidP="0032054C">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0.338</w:t>
            </w:r>
          </w:p>
        </w:tc>
        <w:tc>
          <w:tcPr>
            <w:tcW w:w="1701" w:type="dxa"/>
            <w:vAlign w:val="bottom"/>
          </w:tcPr>
          <w:p w:rsidR="007619AE" w:rsidRPr="00B917D4" w:rsidRDefault="007619AE" w:rsidP="0032054C">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0.049</w:t>
            </w:r>
          </w:p>
        </w:tc>
      </w:tr>
      <w:tr w:rsidR="007619AE" w:rsidRPr="00B917D4" w:rsidTr="00742AE2">
        <w:trPr>
          <w:trHeight w:val="225"/>
          <w:jc w:val="center"/>
        </w:trPr>
        <w:tc>
          <w:tcPr>
            <w:tcW w:w="1818" w:type="dxa"/>
            <w:tcBorders>
              <w:bottom w:val="single" w:sz="4" w:space="0" w:color="auto"/>
            </w:tcBorders>
            <w:vAlign w:val="bottom"/>
          </w:tcPr>
          <w:p w:rsidR="007619AE" w:rsidRPr="00B917D4" w:rsidRDefault="007619AE" w:rsidP="0032054C">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 Observations</w:t>
            </w:r>
          </w:p>
        </w:tc>
        <w:tc>
          <w:tcPr>
            <w:tcW w:w="1701" w:type="dxa"/>
            <w:tcBorders>
              <w:bottom w:val="single" w:sz="4" w:space="0" w:color="auto"/>
            </w:tcBorders>
            <w:vAlign w:val="bottom"/>
          </w:tcPr>
          <w:p w:rsidR="007619AE" w:rsidRPr="00B917D4" w:rsidRDefault="007619AE" w:rsidP="0032054C">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32</w:t>
            </w:r>
          </w:p>
        </w:tc>
        <w:tc>
          <w:tcPr>
            <w:tcW w:w="1559" w:type="dxa"/>
            <w:tcBorders>
              <w:bottom w:val="single" w:sz="4" w:space="0" w:color="auto"/>
            </w:tcBorders>
            <w:vAlign w:val="bottom"/>
          </w:tcPr>
          <w:p w:rsidR="007619AE" w:rsidRPr="00B917D4" w:rsidRDefault="007619AE" w:rsidP="0032054C">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32</w:t>
            </w:r>
          </w:p>
        </w:tc>
        <w:tc>
          <w:tcPr>
            <w:tcW w:w="1701" w:type="dxa"/>
            <w:tcBorders>
              <w:bottom w:val="single" w:sz="4" w:space="0" w:color="auto"/>
            </w:tcBorders>
            <w:vAlign w:val="bottom"/>
          </w:tcPr>
          <w:p w:rsidR="007619AE" w:rsidRPr="00B917D4" w:rsidRDefault="007619AE" w:rsidP="0032054C">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32</w:t>
            </w:r>
          </w:p>
        </w:tc>
      </w:tr>
    </w:tbl>
    <w:p w:rsidR="007619AE" w:rsidRPr="00B917D4" w:rsidRDefault="007619AE" w:rsidP="009A0341">
      <w:pPr>
        <w:autoSpaceDE w:val="0"/>
        <w:autoSpaceDN w:val="0"/>
        <w:adjustRightInd w:val="0"/>
        <w:spacing w:before="240"/>
        <w:ind w:left="1276"/>
        <w:jc w:val="both"/>
        <w:rPr>
          <w:rFonts w:ascii="Times New Roman" w:hAnsi="Times New Roman" w:cs="Times New Roman"/>
          <w:sz w:val="24"/>
          <w:szCs w:val="24"/>
        </w:rPr>
      </w:pPr>
      <w:r w:rsidRPr="00B917D4">
        <w:rPr>
          <w:rFonts w:ascii="Times New Roman" w:hAnsi="Times New Roman" w:cs="Times New Roman"/>
          <w:sz w:val="24"/>
          <w:szCs w:val="24"/>
        </w:rPr>
        <w:t>Source: Research data (2017</w:t>
      </w:r>
      <w:r w:rsidR="0016190F" w:rsidRPr="00B917D4">
        <w:rPr>
          <w:rFonts w:ascii="Times New Roman" w:hAnsi="Times New Roman" w:cs="Times New Roman"/>
          <w:sz w:val="24"/>
          <w:szCs w:val="24"/>
        </w:rPr>
        <w:t>)</w:t>
      </w:r>
    </w:p>
    <w:p w:rsidR="007619AE" w:rsidRPr="00B917D4" w:rsidRDefault="0016190F" w:rsidP="009A0341">
      <w:pPr>
        <w:jc w:val="both"/>
        <w:rPr>
          <w:rFonts w:ascii="Times New Roman" w:hAnsi="Times New Roman" w:cs="Times New Roman"/>
          <w:sz w:val="24"/>
          <w:szCs w:val="24"/>
        </w:rPr>
      </w:pPr>
      <w:r w:rsidRPr="00B917D4">
        <w:rPr>
          <w:rFonts w:ascii="Times New Roman" w:hAnsi="Times New Roman" w:cs="Times New Roman"/>
          <w:sz w:val="24"/>
          <w:szCs w:val="24"/>
        </w:rPr>
        <w:t xml:space="preserve">As shown in table 1, ROA had a mean value of 3.002 percent while the banking industries had a low mean asset quality of 6.626 percent which point to a high level of monitoring effectiveness across the industries. On average, the banking industries across the EAC countries were highly diversified in credit portfolios with mean HHI of 0.821. </w:t>
      </w:r>
    </w:p>
    <w:p w:rsidR="007619AE" w:rsidRPr="00B917D4" w:rsidRDefault="007619AE" w:rsidP="009A0341">
      <w:pPr>
        <w:jc w:val="center"/>
        <w:rPr>
          <w:rFonts w:ascii="Times New Roman" w:hAnsi="Times New Roman" w:cs="Times New Roman"/>
          <w:sz w:val="24"/>
          <w:szCs w:val="24"/>
        </w:rPr>
      </w:pPr>
      <w:r w:rsidRPr="00B917D4">
        <w:rPr>
          <w:rFonts w:ascii="Times New Roman" w:hAnsi="Times New Roman" w:cs="Times New Roman"/>
          <w:sz w:val="24"/>
          <w:szCs w:val="24"/>
        </w:rPr>
        <w:t>Table 2: Correlation Coefficients</w:t>
      </w:r>
    </w:p>
    <w:tbl>
      <w:tblPr>
        <w:tblW w:w="6789" w:type="dxa"/>
        <w:jc w:val="center"/>
        <w:tblInd w:w="20" w:type="dxa"/>
        <w:tblLayout w:type="fixed"/>
        <w:tblCellMar>
          <w:left w:w="0" w:type="dxa"/>
          <w:right w:w="0" w:type="dxa"/>
        </w:tblCellMar>
        <w:tblLook w:val="0000"/>
      </w:tblPr>
      <w:tblGrid>
        <w:gridCol w:w="2112"/>
        <w:gridCol w:w="1559"/>
        <w:gridCol w:w="1559"/>
        <w:gridCol w:w="1559"/>
      </w:tblGrid>
      <w:tr w:rsidR="007619AE" w:rsidRPr="00B917D4" w:rsidTr="0016190F">
        <w:trPr>
          <w:cantSplit/>
          <w:jc w:val="center"/>
        </w:trPr>
        <w:tc>
          <w:tcPr>
            <w:tcW w:w="2112" w:type="dxa"/>
            <w:tcBorders>
              <w:top w:val="single" w:sz="4" w:space="0" w:color="auto"/>
              <w:bottom w:val="single" w:sz="4" w:space="0" w:color="auto"/>
            </w:tcBorders>
            <w:shd w:val="clear" w:color="auto" w:fill="FFFFFF"/>
          </w:tcPr>
          <w:p w:rsidR="007619AE" w:rsidRPr="00B917D4" w:rsidRDefault="007619AE" w:rsidP="009A0341">
            <w:pPr>
              <w:autoSpaceDE w:val="0"/>
              <w:autoSpaceDN w:val="0"/>
              <w:adjustRightInd w:val="0"/>
              <w:spacing w:after="0"/>
              <w:ind w:left="60" w:right="60"/>
              <w:jc w:val="both"/>
              <w:rPr>
                <w:rFonts w:ascii="Times New Roman" w:hAnsi="Times New Roman" w:cs="Times New Roman"/>
                <w:sz w:val="24"/>
                <w:szCs w:val="24"/>
              </w:rPr>
            </w:pPr>
          </w:p>
        </w:tc>
        <w:tc>
          <w:tcPr>
            <w:tcW w:w="1559" w:type="dxa"/>
            <w:tcBorders>
              <w:top w:val="single" w:sz="4" w:space="0" w:color="auto"/>
              <w:bottom w:val="single" w:sz="4" w:space="0" w:color="auto"/>
            </w:tcBorders>
            <w:shd w:val="clear" w:color="auto" w:fill="FFFFFF"/>
          </w:tcPr>
          <w:p w:rsidR="007619AE" w:rsidRPr="00B917D4" w:rsidRDefault="007619AE" w:rsidP="009A0341">
            <w:pPr>
              <w:autoSpaceDE w:val="0"/>
              <w:autoSpaceDN w:val="0"/>
              <w:adjustRightInd w:val="0"/>
              <w:spacing w:after="0"/>
              <w:ind w:left="60" w:right="60"/>
              <w:jc w:val="both"/>
              <w:rPr>
                <w:rFonts w:ascii="Times New Roman" w:hAnsi="Times New Roman" w:cs="Times New Roman"/>
                <w:sz w:val="24"/>
                <w:szCs w:val="24"/>
              </w:rPr>
            </w:pPr>
            <w:r w:rsidRPr="00B917D4">
              <w:rPr>
                <w:rFonts w:ascii="Times New Roman" w:hAnsi="Times New Roman" w:cs="Times New Roman"/>
                <w:sz w:val="24"/>
                <w:szCs w:val="24"/>
              </w:rPr>
              <w:t>[1]</w:t>
            </w:r>
          </w:p>
        </w:tc>
        <w:tc>
          <w:tcPr>
            <w:tcW w:w="1559" w:type="dxa"/>
            <w:tcBorders>
              <w:top w:val="single" w:sz="4" w:space="0" w:color="auto"/>
              <w:bottom w:val="single" w:sz="4" w:space="0" w:color="auto"/>
            </w:tcBorders>
            <w:shd w:val="clear" w:color="auto" w:fill="FFFFFF"/>
          </w:tcPr>
          <w:p w:rsidR="007619AE" w:rsidRPr="00B917D4" w:rsidRDefault="007619AE" w:rsidP="009A0341">
            <w:pPr>
              <w:autoSpaceDE w:val="0"/>
              <w:autoSpaceDN w:val="0"/>
              <w:adjustRightInd w:val="0"/>
              <w:spacing w:after="0"/>
              <w:ind w:left="60" w:right="60"/>
              <w:jc w:val="both"/>
              <w:rPr>
                <w:rFonts w:ascii="Times New Roman" w:hAnsi="Times New Roman" w:cs="Times New Roman"/>
                <w:sz w:val="24"/>
                <w:szCs w:val="24"/>
              </w:rPr>
            </w:pPr>
            <w:r w:rsidRPr="00B917D4">
              <w:rPr>
                <w:rFonts w:ascii="Times New Roman" w:hAnsi="Times New Roman" w:cs="Times New Roman"/>
                <w:sz w:val="24"/>
                <w:szCs w:val="24"/>
              </w:rPr>
              <w:t>[2]</w:t>
            </w:r>
          </w:p>
        </w:tc>
        <w:tc>
          <w:tcPr>
            <w:tcW w:w="1559" w:type="dxa"/>
            <w:tcBorders>
              <w:top w:val="single" w:sz="4" w:space="0" w:color="auto"/>
              <w:bottom w:val="single" w:sz="4" w:space="0" w:color="auto"/>
            </w:tcBorders>
            <w:shd w:val="clear" w:color="auto" w:fill="FFFFFF"/>
          </w:tcPr>
          <w:p w:rsidR="007619AE" w:rsidRPr="00B917D4" w:rsidRDefault="007619AE" w:rsidP="009A0341">
            <w:pPr>
              <w:autoSpaceDE w:val="0"/>
              <w:autoSpaceDN w:val="0"/>
              <w:adjustRightInd w:val="0"/>
              <w:spacing w:after="0"/>
              <w:ind w:left="60" w:right="60"/>
              <w:jc w:val="both"/>
              <w:rPr>
                <w:rFonts w:ascii="Times New Roman" w:hAnsi="Times New Roman" w:cs="Times New Roman"/>
                <w:sz w:val="24"/>
                <w:szCs w:val="24"/>
              </w:rPr>
            </w:pPr>
            <w:r w:rsidRPr="00B917D4">
              <w:rPr>
                <w:rFonts w:ascii="Times New Roman" w:hAnsi="Times New Roman" w:cs="Times New Roman"/>
                <w:sz w:val="24"/>
                <w:szCs w:val="24"/>
              </w:rPr>
              <w:t>[3]</w:t>
            </w:r>
          </w:p>
        </w:tc>
      </w:tr>
      <w:tr w:rsidR="007619AE" w:rsidRPr="00B917D4" w:rsidTr="0016190F">
        <w:trPr>
          <w:cantSplit/>
          <w:jc w:val="center"/>
        </w:trPr>
        <w:tc>
          <w:tcPr>
            <w:tcW w:w="2112" w:type="dxa"/>
            <w:tcBorders>
              <w:top w:val="single" w:sz="4" w:space="0" w:color="auto"/>
            </w:tcBorders>
            <w:shd w:val="clear" w:color="auto" w:fill="FFFFFF"/>
            <w:vAlign w:val="center"/>
          </w:tcPr>
          <w:p w:rsidR="007619AE" w:rsidRPr="00B917D4" w:rsidRDefault="007619AE" w:rsidP="009A0341">
            <w:pPr>
              <w:autoSpaceDE w:val="0"/>
              <w:autoSpaceDN w:val="0"/>
              <w:adjustRightInd w:val="0"/>
              <w:spacing w:after="0"/>
              <w:ind w:left="60" w:right="60"/>
              <w:jc w:val="both"/>
              <w:rPr>
                <w:rFonts w:ascii="Times New Roman" w:hAnsi="Times New Roman" w:cs="Times New Roman"/>
                <w:sz w:val="24"/>
                <w:szCs w:val="24"/>
              </w:rPr>
            </w:pPr>
            <w:r w:rsidRPr="00B917D4">
              <w:rPr>
                <w:rFonts w:ascii="Times New Roman" w:hAnsi="Times New Roman" w:cs="Times New Roman"/>
                <w:sz w:val="24"/>
                <w:szCs w:val="24"/>
              </w:rPr>
              <w:t>[1</w:t>
            </w:r>
            <w:r w:rsidR="0016190F" w:rsidRPr="00B917D4">
              <w:rPr>
                <w:rFonts w:ascii="Times New Roman" w:hAnsi="Times New Roman" w:cs="Times New Roman"/>
                <w:sz w:val="24"/>
                <w:szCs w:val="24"/>
              </w:rPr>
              <w:t>] ROA (%)</w:t>
            </w:r>
          </w:p>
        </w:tc>
        <w:tc>
          <w:tcPr>
            <w:tcW w:w="1559" w:type="dxa"/>
            <w:tcBorders>
              <w:top w:val="single" w:sz="4" w:space="0" w:color="auto"/>
            </w:tcBorders>
            <w:shd w:val="clear" w:color="auto" w:fill="FFFFFF"/>
            <w:vAlign w:val="center"/>
          </w:tcPr>
          <w:p w:rsidR="007619AE" w:rsidRPr="00B917D4" w:rsidRDefault="007619AE" w:rsidP="009A0341">
            <w:pPr>
              <w:autoSpaceDE w:val="0"/>
              <w:autoSpaceDN w:val="0"/>
              <w:adjustRightInd w:val="0"/>
              <w:spacing w:after="0"/>
              <w:ind w:left="60" w:right="60"/>
              <w:jc w:val="both"/>
              <w:rPr>
                <w:rFonts w:ascii="Times New Roman" w:hAnsi="Times New Roman" w:cs="Times New Roman"/>
                <w:sz w:val="24"/>
                <w:szCs w:val="24"/>
              </w:rPr>
            </w:pPr>
            <w:r w:rsidRPr="00B917D4">
              <w:rPr>
                <w:rFonts w:ascii="Times New Roman" w:hAnsi="Times New Roman" w:cs="Times New Roman"/>
                <w:sz w:val="24"/>
                <w:szCs w:val="24"/>
              </w:rPr>
              <w:t>1</w:t>
            </w:r>
          </w:p>
        </w:tc>
        <w:tc>
          <w:tcPr>
            <w:tcW w:w="1559" w:type="dxa"/>
            <w:tcBorders>
              <w:top w:val="single" w:sz="4" w:space="0" w:color="auto"/>
            </w:tcBorders>
            <w:shd w:val="clear" w:color="auto" w:fill="FFFFFF"/>
            <w:vAlign w:val="center"/>
          </w:tcPr>
          <w:p w:rsidR="007619AE" w:rsidRPr="00B917D4" w:rsidRDefault="007619AE" w:rsidP="009A0341">
            <w:pPr>
              <w:autoSpaceDE w:val="0"/>
              <w:autoSpaceDN w:val="0"/>
              <w:adjustRightInd w:val="0"/>
              <w:spacing w:after="0"/>
              <w:ind w:left="60" w:right="60"/>
              <w:jc w:val="both"/>
              <w:rPr>
                <w:rFonts w:ascii="Times New Roman" w:hAnsi="Times New Roman" w:cs="Times New Roman"/>
                <w:sz w:val="24"/>
                <w:szCs w:val="24"/>
              </w:rPr>
            </w:pPr>
          </w:p>
        </w:tc>
        <w:tc>
          <w:tcPr>
            <w:tcW w:w="1559" w:type="dxa"/>
            <w:tcBorders>
              <w:top w:val="single" w:sz="4" w:space="0" w:color="auto"/>
            </w:tcBorders>
            <w:shd w:val="clear" w:color="auto" w:fill="FFFFFF"/>
            <w:vAlign w:val="center"/>
          </w:tcPr>
          <w:p w:rsidR="007619AE" w:rsidRPr="00B917D4" w:rsidRDefault="007619AE" w:rsidP="009A0341">
            <w:pPr>
              <w:autoSpaceDE w:val="0"/>
              <w:autoSpaceDN w:val="0"/>
              <w:adjustRightInd w:val="0"/>
              <w:spacing w:after="0"/>
              <w:ind w:left="60" w:right="60"/>
              <w:jc w:val="both"/>
              <w:rPr>
                <w:rFonts w:ascii="Times New Roman" w:hAnsi="Times New Roman" w:cs="Times New Roman"/>
                <w:sz w:val="24"/>
                <w:szCs w:val="24"/>
              </w:rPr>
            </w:pPr>
          </w:p>
        </w:tc>
      </w:tr>
      <w:tr w:rsidR="007619AE" w:rsidRPr="00B917D4" w:rsidTr="0016190F">
        <w:trPr>
          <w:cantSplit/>
          <w:jc w:val="center"/>
        </w:trPr>
        <w:tc>
          <w:tcPr>
            <w:tcW w:w="2112" w:type="dxa"/>
            <w:shd w:val="clear" w:color="auto" w:fill="FFFFFF"/>
            <w:vAlign w:val="center"/>
          </w:tcPr>
          <w:p w:rsidR="007619AE" w:rsidRPr="00B917D4" w:rsidRDefault="007619AE" w:rsidP="009A0341">
            <w:pPr>
              <w:autoSpaceDE w:val="0"/>
              <w:autoSpaceDN w:val="0"/>
              <w:adjustRightInd w:val="0"/>
              <w:spacing w:after="0"/>
              <w:ind w:left="60" w:right="60"/>
              <w:jc w:val="both"/>
              <w:rPr>
                <w:rFonts w:ascii="Times New Roman" w:hAnsi="Times New Roman" w:cs="Times New Roman"/>
                <w:sz w:val="24"/>
                <w:szCs w:val="24"/>
              </w:rPr>
            </w:pPr>
            <w:r w:rsidRPr="00B917D4">
              <w:rPr>
                <w:rFonts w:ascii="Times New Roman" w:hAnsi="Times New Roman" w:cs="Times New Roman"/>
                <w:sz w:val="24"/>
                <w:szCs w:val="24"/>
              </w:rPr>
              <w:t>[2</w:t>
            </w:r>
            <w:r w:rsidR="0016190F" w:rsidRPr="00B917D4">
              <w:rPr>
                <w:rFonts w:ascii="Times New Roman" w:hAnsi="Times New Roman" w:cs="Times New Roman"/>
                <w:sz w:val="24"/>
                <w:szCs w:val="24"/>
              </w:rPr>
              <w:t>] AQt</w:t>
            </w:r>
            <w:r w:rsidRPr="00B917D4">
              <w:rPr>
                <w:rFonts w:ascii="Times New Roman" w:hAnsi="Times New Roman" w:cs="Times New Roman"/>
                <w:sz w:val="24"/>
                <w:szCs w:val="24"/>
                <w:vertAlign w:val="subscript"/>
              </w:rPr>
              <w:t>+1</w:t>
            </w:r>
            <w:r w:rsidR="0016190F" w:rsidRPr="00B917D4">
              <w:rPr>
                <w:rFonts w:ascii="Times New Roman" w:hAnsi="Times New Roman" w:cs="Times New Roman"/>
                <w:sz w:val="24"/>
                <w:szCs w:val="24"/>
                <w:vertAlign w:val="subscript"/>
              </w:rPr>
              <w:t xml:space="preserve"> </w:t>
            </w:r>
            <w:r w:rsidR="0016190F" w:rsidRPr="00B917D4">
              <w:rPr>
                <w:rFonts w:ascii="Times New Roman" w:hAnsi="Times New Roman" w:cs="Times New Roman"/>
                <w:sz w:val="24"/>
                <w:szCs w:val="24"/>
              </w:rPr>
              <w:t>(%)</w:t>
            </w:r>
          </w:p>
        </w:tc>
        <w:tc>
          <w:tcPr>
            <w:tcW w:w="1559" w:type="dxa"/>
            <w:shd w:val="clear" w:color="auto" w:fill="FFFFFF"/>
            <w:vAlign w:val="center"/>
          </w:tcPr>
          <w:p w:rsidR="007619AE" w:rsidRPr="00B917D4" w:rsidRDefault="007619AE" w:rsidP="009A0341">
            <w:pPr>
              <w:autoSpaceDE w:val="0"/>
              <w:autoSpaceDN w:val="0"/>
              <w:adjustRightInd w:val="0"/>
              <w:spacing w:after="0"/>
              <w:ind w:left="60" w:right="60"/>
              <w:jc w:val="both"/>
              <w:rPr>
                <w:rFonts w:ascii="Times New Roman" w:hAnsi="Times New Roman" w:cs="Times New Roman"/>
                <w:sz w:val="24"/>
                <w:szCs w:val="24"/>
              </w:rPr>
            </w:pPr>
            <w:r w:rsidRPr="00B917D4">
              <w:rPr>
                <w:rFonts w:ascii="Times New Roman" w:hAnsi="Times New Roman" w:cs="Times New Roman"/>
                <w:sz w:val="24"/>
                <w:szCs w:val="24"/>
              </w:rPr>
              <w:t>-.442</w:t>
            </w:r>
            <w:r w:rsidRPr="00B917D4">
              <w:rPr>
                <w:rFonts w:ascii="Times New Roman" w:hAnsi="Times New Roman" w:cs="Times New Roman"/>
                <w:sz w:val="24"/>
                <w:szCs w:val="24"/>
                <w:vertAlign w:val="superscript"/>
              </w:rPr>
              <w:t>*</w:t>
            </w:r>
          </w:p>
        </w:tc>
        <w:tc>
          <w:tcPr>
            <w:tcW w:w="1559" w:type="dxa"/>
            <w:shd w:val="clear" w:color="auto" w:fill="FFFFFF"/>
            <w:vAlign w:val="center"/>
          </w:tcPr>
          <w:p w:rsidR="007619AE" w:rsidRPr="00B917D4" w:rsidRDefault="007619AE" w:rsidP="009A0341">
            <w:pPr>
              <w:autoSpaceDE w:val="0"/>
              <w:autoSpaceDN w:val="0"/>
              <w:adjustRightInd w:val="0"/>
              <w:spacing w:after="0"/>
              <w:ind w:left="60" w:right="60"/>
              <w:jc w:val="both"/>
              <w:rPr>
                <w:rFonts w:ascii="Times New Roman" w:hAnsi="Times New Roman" w:cs="Times New Roman"/>
                <w:sz w:val="24"/>
                <w:szCs w:val="24"/>
              </w:rPr>
            </w:pPr>
            <w:r w:rsidRPr="00B917D4">
              <w:rPr>
                <w:rFonts w:ascii="Times New Roman" w:hAnsi="Times New Roman" w:cs="Times New Roman"/>
                <w:sz w:val="24"/>
                <w:szCs w:val="24"/>
              </w:rPr>
              <w:t>1</w:t>
            </w:r>
          </w:p>
        </w:tc>
        <w:tc>
          <w:tcPr>
            <w:tcW w:w="1559" w:type="dxa"/>
            <w:shd w:val="clear" w:color="auto" w:fill="FFFFFF"/>
            <w:vAlign w:val="center"/>
          </w:tcPr>
          <w:p w:rsidR="007619AE" w:rsidRPr="00B917D4" w:rsidRDefault="007619AE" w:rsidP="009A0341">
            <w:pPr>
              <w:autoSpaceDE w:val="0"/>
              <w:autoSpaceDN w:val="0"/>
              <w:adjustRightInd w:val="0"/>
              <w:spacing w:after="0"/>
              <w:ind w:left="60" w:right="60"/>
              <w:jc w:val="both"/>
              <w:rPr>
                <w:rFonts w:ascii="Times New Roman" w:hAnsi="Times New Roman" w:cs="Times New Roman"/>
                <w:sz w:val="24"/>
                <w:szCs w:val="24"/>
              </w:rPr>
            </w:pPr>
          </w:p>
        </w:tc>
      </w:tr>
      <w:tr w:rsidR="007619AE" w:rsidRPr="00B917D4" w:rsidTr="0016190F">
        <w:trPr>
          <w:cantSplit/>
          <w:jc w:val="center"/>
        </w:trPr>
        <w:tc>
          <w:tcPr>
            <w:tcW w:w="2112" w:type="dxa"/>
            <w:tcBorders>
              <w:bottom w:val="single" w:sz="4" w:space="0" w:color="auto"/>
            </w:tcBorders>
            <w:shd w:val="clear" w:color="auto" w:fill="FFFFFF"/>
            <w:vAlign w:val="center"/>
          </w:tcPr>
          <w:p w:rsidR="007619AE" w:rsidRPr="00B917D4" w:rsidRDefault="007619AE" w:rsidP="009A0341">
            <w:pPr>
              <w:autoSpaceDE w:val="0"/>
              <w:autoSpaceDN w:val="0"/>
              <w:adjustRightInd w:val="0"/>
              <w:spacing w:after="0"/>
              <w:ind w:left="60" w:right="60"/>
              <w:jc w:val="both"/>
              <w:rPr>
                <w:rFonts w:ascii="Times New Roman" w:hAnsi="Times New Roman" w:cs="Times New Roman"/>
                <w:sz w:val="24"/>
                <w:szCs w:val="24"/>
              </w:rPr>
            </w:pPr>
            <w:r w:rsidRPr="00B917D4">
              <w:rPr>
                <w:rFonts w:ascii="Times New Roman" w:hAnsi="Times New Roman" w:cs="Times New Roman"/>
                <w:sz w:val="24"/>
                <w:szCs w:val="24"/>
              </w:rPr>
              <w:t>[3] DIV</w:t>
            </w:r>
            <w:r w:rsidR="0016190F" w:rsidRPr="00B917D4">
              <w:rPr>
                <w:rFonts w:ascii="Times New Roman" w:hAnsi="Times New Roman" w:cs="Times New Roman"/>
                <w:sz w:val="24"/>
                <w:szCs w:val="24"/>
                <w:vertAlign w:val="subscript"/>
              </w:rPr>
              <w:t>CR</w:t>
            </w:r>
          </w:p>
        </w:tc>
        <w:tc>
          <w:tcPr>
            <w:tcW w:w="1559" w:type="dxa"/>
            <w:tcBorders>
              <w:bottom w:val="single" w:sz="4" w:space="0" w:color="auto"/>
            </w:tcBorders>
            <w:shd w:val="clear" w:color="auto" w:fill="FFFFFF"/>
            <w:vAlign w:val="center"/>
          </w:tcPr>
          <w:p w:rsidR="007619AE" w:rsidRPr="00B917D4" w:rsidRDefault="007619AE" w:rsidP="009A0341">
            <w:pPr>
              <w:autoSpaceDE w:val="0"/>
              <w:autoSpaceDN w:val="0"/>
              <w:adjustRightInd w:val="0"/>
              <w:spacing w:after="0"/>
              <w:ind w:left="60" w:right="60"/>
              <w:jc w:val="both"/>
              <w:rPr>
                <w:rFonts w:ascii="Times New Roman" w:hAnsi="Times New Roman" w:cs="Times New Roman"/>
                <w:sz w:val="24"/>
                <w:szCs w:val="24"/>
              </w:rPr>
            </w:pPr>
            <w:r w:rsidRPr="00B917D4">
              <w:rPr>
                <w:rFonts w:ascii="Times New Roman" w:hAnsi="Times New Roman" w:cs="Times New Roman"/>
                <w:sz w:val="24"/>
                <w:szCs w:val="24"/>
              </w:rPr>
              <w:t>.508</w:t>
            </w:r>
            <w:r w:rsidRPr="00B917D4">
              <w:rPr>
                <w:rFonts w:ascii="Times New Roman" w:hAnsi="Times New Roman" w:cs="Times New Roman"/>
                <w:sz w:val="24"/>
                <w:szCs w:val="24"/>
                <w:vertAlign w:val="superscript"/>
              </w:rPr>
              <w:t>**</w:t>
            </w:r>
          </w:p>
        </w:tc>
        <w:tc>
          <w:tcPr>
            <w:tcW w:w="1559" w:type="dxa"/>
            <w:tcBorders>
              <w:bottom w:val="single" w:sz="4" w:space="0" w:color="auto"/>
            </w:tcBorders>
            <w:shd w:val="clear" w:color="auto" w:fill="FFFFFF"/>
            <w:vAlign w:val="center"/>
          </w:tcPr>
          <w:p w:rsidR="007619AE" w:rsidRPr="00B917D4" w:rsidRDefault="007619AE" w:rsidP="009A0341">
            <w:pPr>
              <w:autoSpaceDE w:val="0"/>
              <w:autoSpaceDN w:val="0"/>
              <w:adjustRightInd w:val="0"/>
              <w:spacing w:after="0"/>
              <w:ind w:left="60" w:right="60"/>
              <w:jc w:val="both"/>
              <w:rPr>
                <w:rFonts w:ascii="Times New Roman" w:hAnsi="Times New Roman" w:cs="Times New Roman"/>
                <w:sz w:val="24"/>
                <w:szCs w:val="24"/>
              </w:rPr>
            </w:pPr>
            <w:r w:rsidRPr="00B917D4">
              <w:rPr>
                <w:rFonts w:ascii="Times New Roman" w:hAnsi="Times New Roman" w:cs="Times New Roman"/>
                <w:sz w:val="24"/>
                <w:szCs w:val="24"/>
              </w:rPr>
              <w:t>-.258</w:t>
            </w:r>
          </w:p>
        </w:tc>
        <w:tc>
          <w:tcPr>
            <w:tcW w:w="1559" w:type="dxa"/>
            <w:tcBorders>
              <w:bottom w:val="single" w:sz="4" w:space="0" w:color="auto"/>
            </w:tcBorders>
            <w:shd w:val="clear" w:color="auto" w:fill="FFFFFF"/>
            <w:vAlign w:val="center"/>
          </w:tcPr>
          <w:p w:rsidR="007619AE" w:rsidRPr="00B917D4" w:rsidRDefault="007619AE" w:rsidP="009A0341">
            <w:pPr>
              <w:autoSpaceDE w:val="0"/>
              <w:autoSpaceDN w:val="0"/>
              <w:adjustRightInd w:val="0"/>
              <w:spacing w:after="0"/>
              <w:ind w:left="60" w:right="60"/>
              <w:jc w:val="both"/>
              <w:rPr>
                <w:rFonts w:ascii="Times New Roman" w:hAnsi="Times New Roman" w:cs="Times New Roman"/>
                <w:sz w:val="24"/>
                <w:szCs w:val="24"/>
              </w:rPr>
            </w:pPr>
            <w:r w:rsidRPr="00B917D4">
              <w:rPr>
                <w:rFonts w:ascii="Times New Roman" w:hAnsi="Times New Roman" w:cs="Times New Roman"/>
                <w:sz w:val="24"/>
                <w:szCs w:val="24"/>
              </w:rPr>
              <w:t>1</w:t>
            </w:r>
          </w:p>
        </w:tc>
      </w:tr>
      <w:tr w:rsidR="007619AE" w:rsidRPr="00B917D4" w:rsidTr="0016190F">
        <w:trPr>
          <w:cantSplit/>
          <w:jc w:val="center"/>
        </w:trPr>
        <w:tc>
          <w:tcPr>
            <w:tcW w:w="6789" w:type="dxa"/>
            <w:gridSpan w:val="4"/>
            <w:tcBorders>
              <w:top w:val="single" w:sz="4" w:space="0" w:color="auto"/>
              <w:bottom w:val="single" w:sz="4" w:space="0" w:color="auto"/>
            </w:tcBorders>
            <w:shd w:val="clear" w:color="auto" w:fill="FFFFFF"/>
            <w:vAlign w:val="center"/>
          </w:tcPr>
          <w:tbl>
            <w:tblPr>
              <w:tblW w:w="5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734"/>
            </w:tblGrid>
            <w:tr w:rsidR="007619AE" w:rsidRPr="00B917D4" w:rsidTr="00742AE2">
              <w:trPr>
                <w:cantSplit/>
              </w:trPr>
              <w:tc>
                <w:tcPr>
                  <w:tcW w:w="5734" w:type="dxa"/>
                  <w:tcBorders>
                    <w:top w:val="nil"/>
                    <w:left w:val="nil"/>
                    <w:bottom w:val="nil"/>
                    <w:right w:val="nil"/>
                  </w:tcBorders>
                  <w:shd w:val="clear" w:color="auto" w:fill="FFFFFF"/>
                </w:tcPr>
                <w:p w:rsidR="007619AE" w:rsidRPr="00B917D4" w:rsidRDefault="007619AE" w:rsidP="009A0341">
                  <w:pPr>
                    <w:autoSpaceDE w:val="0"/>
                    <w:autoSpaceDN w:val="0"/>
                    <w:adjustRightInd w:val="0"/>
                    <w:spacing w:after="0"/>
                    <w:ind w:left="60" w:right="60"/>
                    <w:jc w:val="both"/>
                    <w:rPr>
                      <w:rFonts w:ascii="Times New Roman" w:hAnsi="Times New Roman" w:cs="Times New Roman"/>
                      <w:sz w:val="24"/>
                      <w:szCs w:val="24"/>
                    </w:rPr>
                  </w:pPr>
                  <w:r w:rsidRPr="00B917D4">
                    <w:rPr>
                      <w:rFonts w:ascii="Times New Roman" w:hAnsi="Times New Roman" w:cs="Times New Roman"/>
                      <w:sz w:val="24"/>
                      <w:szCs w:val="24"/>
                    </w:rPr>
                    <w:t>*. Correlation is significant at the 0.05 level (2-tailed)</w:t>
                  </w:r>
                </w:p>
              </w:tc>
            </w:tr>
            <w:tr w:rsidR="007619AE" w:rsidRPr="00B917D4" w:rsidTr="00742AE2">
              <w:trPr>
                <w:cantSplit/>
              </w:trPr>
              <w:tc>
                <w:tcPr>
                  <w:tcW w:w="5734" w:type="dxa"/>
                  <w:tcBorders>
                    <w:top w:val="nil"/>
                    <w:left w:val="nil"/>
                    <w:bottom w:val="nil"/>
                    <w:right w:val="nil"/>
                  </w:tcBorders>
                  <w:shd w:val="clear" w:color="auto" w:fill="FFFFFF"/>
                </w:tcPr>
                <w:p w:rsidR="007619AE" w:rsidRPr="00B917D4" w:rsidRDefault="007619AE" w:rsidP="009A0341">
                  <w:pPr>
                    <w:autoSpaceDE w:val="0"/>
                    <w:autoSpaceDN w:val="0"/>
                    <w:adjustRightInd w:val="0"/>
                    <w:spacing w:after="0"/>
                    <w:ind w:left="60" w:right="60"/>
                    <w:jc w:val="both"/>
                    <w:rPr>
                      <w:rFonts w:ascii="Times New Roman" w:hAnsi="Times New Roman" w:cs="Times New Roman"/>
                      <w:sz w:val="24"/>
                      <w:szCs w:val="24"/>
                    </w:rPr>
                  </w:pPr>
                  <w:r w:rsidRPr="00B917D4">
                    <w:rPr>
                      <w:rFonts w:ascii="Times New Roman" w:hAnsi="Times New Roman" w:cs="Times New Roman"/>
                      <w:sz w:val="24"/>
                      <w:szCs w:val="24"/>
                    </w:rPr>
                    <w:t>**. Correlation is significant at the 0.01 level (2-tailed)</w:t>
                  </w:r>
                </w:p>
              </w:tc>
            </w:tr>
          </w:tbl>
          <w:p w:rsidR="007619AE" w:rsidRPr="00B917D4" w:rsidRDefault="007619AE" w:rsidP="009A0341">
            <w:pPr>
              <w:autoSpaceDE w:val="0"/>
              <w:autoSpaceDN w:val="0"/>
              <w:adjustRightInd w:val="0"/>
              <w:spacing w:after="0"/>
              <w:ind w:left="60" w:right="60"/>
              <w:jc w:val="both"/>
              <w:rPr>
                <w:rFonts w:ascii="Times New Roman" w:hAnsi="Times New Roman" w:cs="Times New Roman"/>
                <w:sz w:val="24"/>
                <w:szCs w:val="24"/>
              </w:rPr>
            </w:pPr>
          </w:p>
        </w:tc>
      </w:tr>
    </w:tbl>
    <w:p w:rsidR="0016190F" w:rsidRPr="00B917D4" w:rsidRDefault="0016190F" w:rsidP="009A0341">
      <w:pPr>
        <w:autoSpaceDE w:val="0"/>
        <w:autoSpaceDN w:val="0"/>
        <w:adjustRightInd w:val="0"/>
        <w:spacing w:before="240" w:after="0"/>
        <w:ind w:left="1276"/>
        <w:rPr>
          <w:rFonts w:ascii="Times New Roman" w:hAnsi="Times New Roman" w:cs="Times New Roman"/>
          <w:sz w:val="24"/>
          <w:szCs w:val="24"/>
        </w:rPr>
      </w:pPr>
      <w:r w:rsidRPr="00B917D4">
        <w:rPr>
          <w:rFonts w:ascii="Times New Roman" w:hAnsi="Times New Roman" w:cs="Times New Roman"/>
          <w:sz w:val="24"/>
          <w:szCs w:val="24"/>
        </w:rPr>
        <w:t>Source: Research data (2017)</w:t>
      </w:r>
    </w:p>
    <w:p w:rsidR="00D506E7" w:rsidRDefault="0016190F" w:rsidP="0032054C">
      <w:pPr>
        <w:autoSpaceDE w:val="0"/>
        <w:autoSpaceDN w:val="0"/>
        <w:adjustRightInd w:val="0"/>
        <w:spacing w:before="240"/>
        <w:jc w:val="both"/>
        <w:rPr>
          <w:rFonts w:ascii="Times New Roman" w:eastAsiaTheme="minorEastAsia" w:hAnsi="Times New Roman" w:cs="Times New Roman"/>
          <w:sz w:val="24"/>
          <w:szCs w:val="24"/>
          <w:lang w:eastAsia="en-GB"/>
        </w:rPr>
      </w:pPr>
      <w:r w:rsidRPr="00B917D4">
        <w:rPr>
          <w:rFonts w:ascii="Times New Roman" w:eastAsiaTheme="minorEastAsia" w:hAnsi="Times New Roman" w:cs="Times New Roman"/>
          <w:sz w:val="24"/>
          <w:szCs w:val="24"/>
          <w:lang w:eastAsia="en-GB"/>
        </w:rPr>
        <w:t xml:space="preserve">As shown in table 2, asset quality had a negative and significant correlation with </w:t>
      </w:r>
      <w:r w:rsidR="00302064" w:rsidRPr="00B917D4">
        <w:rPr>
          <w:rFonts w:ascii="Times New Roman" w:eastAsiaTheme="minorEastAsia" w:hAnsi="Times New Roman" w:cs="Times New Roman"/>
          <w:sz w:val="24"/>
          <w:szCs w:val="24"/>
          <w:lang w:eastAsia="en-GB"/>
        </w:rPr>
        <w:t>ROA implying that the higher a bank’s non-performing loans were – and therefore the less effective a bank is in monitoring its credit portfolios – the lesser would be its returns on assets invested. However, diversification was positively correlated with ROA pointing to the potential diversification premium on a bank’s financial performance. This correlation was highly significant. Figures 1 to 4 present the trend plot</w:t>
      </w:r>
      <w:r w:rsidR="00742AE2" w:rsidRPr="00B917D4">
        <w:rPr>
          <w:rFonts w:ascii="Times New Roman" w:eastAsiaTheme="minorEastAsia" w:hAnsi="Times New Roman" w:cs="Times New Roman"/>
          <w:sz w:val="24"/>
          <w:szCs w:val="24"/>
          <w:lang w:eastAsia="en-GB"/>
        </w:rPr>
        <w:t>s</w:t>
      </w:r>
      <w:r w:rsidR="00302064" w:rsidRPr="00B917D4">
        <w:rPr>
          <w:rFonts w:ascii="Times New Roman" w:eastAsiaTheme="minorEastAsia" w:hAnsi="Times New Roman" w:cs="Times New Roman"/>
          <w:sz w:val="24"/>
          <w:szCs w:val="24"/>
          <w:lang w:eastAsia="en-GB"/>
        </w:rPr>
        <w:t xml:space="preserve"> for the variables across the various countries banking industries.</w:t>
      </w:r>
    </w:p>
    <w:p w:rsidR="003659DB" w:rsidRDefault="003659DB" w:rsidP="0032054C">
      <w:pPr>
        <w:autoSpaceDE w:val="0"/>
        <w:autoSpaceDN w:val="0"/>
        <w:adjustRightInd w:val="0"/>
        <w:spacing w:before="240"/>
        <w:jc w:val="both"/>
        <w:rPr>
          <w:rFonts w:ascii="Times New Roman" w:eastAsiaTheme="minorEastAsia" w:hAnsi="Times New Roman" w:cs="Times New Roman"/>
          <w:sz w:val="24"/>
          <w:szCs w:val="24"/>
          <w:lang w:eastAsia="en-GB"/>
        </w:rPr>
      </w:pPr>
    </w:p>
    <w:p w:rsidR="003659DB" w:rsidRDefault="003659DB" w:rsidP="0032054C">
      <w:pPr>
        <w:autoSpaceDE w:val="0"/>
        <w:autoSpaceDN w:val="0"/>
        <w:adjustRightInd w:val="0"/>
        <w:spacing w:before="240"/>
        <w:jc w:val="both"/>
        <w:rPr>
          <w:rFonts w:ascii="Times New Roman" w:eastAsiaTheme="minorEastAsia" w:hAnsi="Times New Roman" w:cs="Times New Roman"/>
          <w:sz w:val="24"/>
          <w:szCs w:val="24"/>
          <w:lang w:eastAsia="en-GB"/>
        </w:rPr>
      </w:pPr>
    </w:p>
    <w:p w:rsidR="003659DB" w:rsidRDefault="003659DB" w:rsidP="0032054C">
      <w:pPr>
        <w:autoSpaceDE w:val="0"/>
        <w:autoSpaceDN w:val="0"/>
        <w:adjustRightInd w:val="0"/>
        <w:spacing w:before="240"/>
        <w:jc w:val="both"/>
        <w:rPr>
          <w:rFonts w:ascii="Times New Roman" w:eastAsiaTheme="minorEastAsia" w:hAnsi="Times New Roman" w:cs="Times New Roman"/>
          <w:sz w:val="24"/>
          <w:szCs w:val="24"/>
          <w:lang w:eastAsia="en-GB"/>
        </w:rPr>
      </w:pPr>
    </w:p>
    <w:p w:rsidR="003659DB" w:rsidRDefault="003659DB" w:rsidP="009A0341">
      <w:pPr>
        <w:jc w:val="center"/>
        <w:rPr>
          <w:rFonts w:ascii="Times New Roman" w:hAnsi="Times New Roman" w:cs="Times New Roman"/>
          <w:sz w:val="24"/>
          <w:szCs w:val="24"/>
        </w:rPr>
      </w:pPr>
    </w:p>
    <w:p w:rsidR="00A64DA8" w:rsidRPr="00B917D4" w:rsidRDefault="00302064" w:rsidP="009A0341">
      <w:pPr>
        <w:jc w:val="center"/>
        <w:rPr>
          <w:rFonts w:ascii="Times New Roman" w:hAnsi="Times New Roman" w:cs="Times New Roman"/>
          <w:sz w:val="24"/>
          <w:szCs w:val="24"/>
        </w:rPr>
      </w:pPr>
      <w:r w:rsidRPr="00B917D4">
        <w:rPr>
          <w:rFonts w:ascii="Times New Roman" w:hAnsi="Times New Roman" w:cs="Times New Roman"/>
          <w:sz w:val="24"/>
          <w:szCs w:val="24"/>
        </w:rPr>
        <w:lastRenderedPageBreak/>
        <w:t xml:space="preserve">Figure 1: </w:t>
      </w:r>
      <w:r w:rsidR="00742AE2" w:rsidRPr="00B917D4">
        <w:rPr>
          <w:rFonts w:ascii="Times New Roman" w:hAnsi="Times New Roman" w:cs="Times New Roman"/>
          <w:sz w:val="24"/>
          <w:szCs w:val="24"/>
        </w:rPr>
        <w:t>Variable t</w:t>
      </w:r>
      <w:r w:rsidRPr="00B917D4">
        <w:rPr>
          <w:rFonts w:ascii="Times New Roman" w:hAnsi="Times New Roman" w:cs="Times New Roman"/>
          <w:sz w:val="24"/>
          <w:szCs w:val="24"/>
        </w:rPr>
        <w:t>rend</w:t>
      </w:r>
      <w:r w:rsidR="00742AE2" w:rsidRPr="00B917D4">
        <w:rPr>
          <w:rFonts w:ascii="Times New Roman" w:hAnsi="Times New Roman" w:cs="Times New Roman"/>
          <w:sz w:val="24"/>
          <w:szCs w:val="24"/>
        </w:rPr>
        <w:t>s</w:t>
      </w:r>
      <w:r w:rsidRPr="00B917D4">
        <w:rPr>
          <w:rFonts w:ascii="Times New Roman" w:hAnsi="Times New Roman" w:cs="Times New Roman"/>
          <w:sz w:val="24"/>
          <w:szCs w:val="24"/>
        </w:rPr>
        <w:t xml:space="preserve"> for </w:t>
      </w:r>
      <w:r w:rsidR="00A64DA8" w:rsidRPr="00B917D4">
        <w:rPr>
          <w:rFonts w:ascii="Times New Roman" w:hAnsi="Times New Roman" w:cs="Times New Roman"/>
          <w:sz w:val="24"/>
          <w:szCs w:val="24"/>
        </w:rPr>
        <w:t>Kenya</w:t>
      </w:r>
      <w:r w:rsidRPr="00B917D4">
        <w:rPr>
          <w:rFonts w:ascii="Times New Roman" w:hAnsi="Times New Roman" w:cs="Times New Roman"/>
          <w:sz w:val="24"/>
          <w:szCs w:val="24"/>
        </w:rPr>
        <w:t xml:space="preserve"> banking industry</w:t>
      </w:r>
    </w:p>
    <w:p w:rsidR="00A64DA8" w:rsidRPr="00B917D4" w:rsidRDefault="00A64DA8" w:rsidP="009A0341">
      <w:pPr>
        <w:jc w:val="center"/>
        <w:rPr>
          <w:rFonts w:ascii="Times New Roman" w:hAnsi="Times New Roman" w:cs="Times New Roman"/>
          <w:sz w:val="24"/>
          <w:szCs w:val="24"/>
        </w:rPr>
      </w:pPr>
      <w:r w:rsidRPr="00B917D4">
        <w:rPr>
          <w:rFonts w:ascii="Times New Roman" w:hAnsi="Times New Roman" w:cs="Times New Roman"/>
          <w:noProof/>
          <w:sz w:val="24"/>
          <w:szCs w:val="24"/>
        </w:rPr>
        <w:drawing>
          <wp:inline distT="0" distB="0" distL="0" distR="0">
            <wp:extent cx="5467350" cy="1981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2064" w:rsidRPr="00B917D4" w:rsidRDefault="00302064" w:rsidP="009A0341">
      <w:pPr>
        <w:spacing w:line="240" w:lineRule="auto"/>
        <w:ind w:left="426"/>
        <w:jc w:val="both"/>
        <w:rPr>
          <w:rFonts w:ascii="Times New Roman" w:hAnsi="Times New Roman" w:cs="Times New Roman"/>
          <w:sz w:val="24"/>
          <w:szCs w:val="24"/>
        </w:rPr>
      </w:pPr>
      <w:r w:rsidRPr="00B917D4">
        <w:rPr>
          <w:rFonts w:ascii="Times New Roman" w:hAnsi="Times New Roman" w:cs="Times New Roman"/>
          <w:sz w:val="24"/>
          <w:szCs w:val="24"/>
        </w:rPr>
        <w:t>Source: Research data (2017)</w:t>
      </w:r>
    </w:p>
    <w:p w:rsidR="0005144D" w:rsidRPr="00B917D4" w:rsidRDefault="00302064" w:rsidP="009A0341">
      <w:pPr>
        <w:jc w:val="center"/>
        <w:rPr>
          <w:rFonts w:ascii="Times New Roman" w:hAnsi="Times New Roman" w:cs="Times New Roman"/>
          <w:sz w:val="24"/>
          <w:szCs w:val="24"/>
        </w:rPr>
      </w:pPr>
      <w:r w:rsidRPr="00B917D4">
        <w:rPr>
          <w:rFonts w:ascii="Times New Roman" w:hAnsi="Times New Roman" w:cs="Times New Roman"/>
          <w:sz w:val="24"/>
          <w:szCs w:val="24"/>
        </w:rPr>
        <w:t xml:space="preserve">Figure 2: Trend plots for </w:t>
      </w:r>
      <w:r w:rsidR="00EE5584" w:rsidRPr="00B917D4">
        <w:rPr>
          <w:rFonts w:ascii="Times New Roman" w:hAnsi="Times New Roman" w:cs="Times New Roman"/>
          <w:sz w:val="24"/>
          <w:szCs w:val="24"/>
        </w:rPr>
        <w:t>Uganda</w:t>
      </w:r>
      <w:r w:rsidRPr="00B917D4">
        <w:rPr>
          <w:rFonts w:ascii="Times New Roman" w:hAnsi="Times New Roman" w:cs="Times New Roman"/>
          <w:sz w:val="24"/>
          <w:szCs w:val="24"/>
        </w:rPr>
        <w:t xml:space="preserve"> banking industry</w:t>
      </w:r>
    </w:p>
    <w:p w:rsidR="00EE5584" w:rsidRPr="00B917D4" w:rsidRDefault="00EE5584" w:rsidP="009A0341">
      <w:pPr>
        <w:jc w:val="center"/>
        <w:rPr>
          <w:rFonts w:ascii="Times New Roman" w:hAnsi="Times New Roman" w:cs="Times New Roman"/>
          <w:sz w:val="24"/>
          <w:szCs w:val="24"/>
        </w:rPr>
      </w:pPr>
      <w:r w:rsidRPr="00B917D4">
        <w:rPr>
          <w:rFonts w:ascii="Times New Roman" w:hAnsi="Times New Roman" w:cs="Times New Roman"/>
          <w:noProof/>
          <w:sz w:val="24"/>
          <w:szCs w:val="24"/>
        </w:rPr>
        <w:drawing>
          <wp:inline distT="0" distB="0" distL="0" distR="0">
            <wp:extent cx="5495925" cy="19050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2064" w:rsidRPr="00B917D4" w:rsidRDefault="00302064" w:rsidP="009A0341">
      <w:pPr>
        <w:ind w:left="426"/>
        <w:jc w:val="both"/>
        <w:rPr>
          <w:rFonts w:ascii="Times New Roman" w:hAnsi="Times New Roman" w:cs="Times New Roman"/>
          <w:sz w:val="24"/>
          <w:szCs w:val="24"/>
        </w:rPr>
      </w:pPr>
      <w:r w:rsidRPr="00B917D4">
        <w:rPr>
          <w:rFonts w:ascii="Times New Roman" w:hAnsi="Times New Roman" w:cs="Times New Roman"/>
          <w:sz w:val="24"/>
          <w:szCs w:val="24"/>
        </w:rPr>
        <w:t>Source: Research data (2017)</w:t>
      </w:r>
    </w:p>
    <w:p w:rsidR="00EE5584" w:rsidRPr="00B917D4" w:rsidRDefault="00742AE2" w:rsidP="009A0341">
      <w:pPr>
        <w:jc w:val="center"/>
        <w:rPr>
          <w:rFonts w:ascii="Times New Roman" w:hAnsi="Times New Roman" w:cs="Times New Roman"/>
          <w:sz w:val="24"/>
          <w:szCs w:val="24"/>
        </w:rPr>
      </w:pPr>
      <w:r w:rsidRPr="00B917D4">
        <w:rPr>
          <w:rFonts w:ascii="Times New Roman" w:hAnsi="Times New Roman" w:cs="Times New Roman"/>
          <w:sz w:val="24"/>
          <w:szCs w:val="24"/>
        </w:rPr>
        <w:t xml:space="preserve">Figure 3: Variable trends for </w:t>
      </w:r>
      <w:r w:rsidR="00EE5584" w:rsidRPr="00B917D4">
        <w:rPr>
          <w:rFonts w:ascii="Times New Roman" w:hAnsi="Times New Roman" w:cs="Times New Roman"/>
          <w:sz w:val="24"/>
          <w:szCs w:val="24"/>
        </w:rPr>
        <w:t>Tanzania</w:t>
      </w:r>
      <w:r w:rsidRPr="00B917D4">
        <w:rPr>
          <w:rFonts w:ascii="Times New Roman" w:hAnsi="Times New Roman" w:cs="Times New Roman"/>
          <w:sz w:val="24"/>
          <w:szCs w:val="24"/>
        </w:rPr>
        <w:t xml:space="preserve"> banking industry</w:t>
      </w:r>
    </w:p>
    <w:p w:rsidR="00EE5584" w:rsidRPr="00B917D4" w:rsidRDefault="00EE5584" w:rsidP="009A0341">
      <w:pPr>
        <w:jc w:val="center"/>
        <w:rPr>
          <w:rFonts w:ascii="Times New Roman" w:hAnsi="Times New Roman" w:cs="Times New Roman"/>
          <w:sz w:val="24"/>
          <w:szCs w:val="24"/>
        </w:rPr>
      </w:pPr>
      <w:r w:rsidRPr="00B917D4">
        <w:rPr>
          <w:rFonts w:ascii="Times New Roman" w:hAnsi="Times New Roman" w:cs="Times New Roman"/>
          <w:noProof/>
          <w:sz w:val="24"/>
          <w:szCs w:val="24"/>
        </w:rPr>
        <w:drawing>
          <wp:inline distT="0" distB="0" distL="0" distR="0">
            <wp:extent cx="5486400" cy="184785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2AE2" w:rsidRPr="00B917D4" w:rsidRDefault="00742AE2" w:rsidP="009A0341">
      <w:pPr>
        <w:ind w:left="567"/>
        <w:jc w:val="both"/>
        <w:rPr>
          <w:rFonts w:ascii="Times New Roman" w:hAnsi="Times New Roman" w:cs="Times New Roman"/>
          <w:sz w:val="24"/>
          <w:szCs w:val="24"/>
        </w:rPr>
      </w:pPr>
      <w:r w:rsidRPr="00B917D4">
        <w:rPr>
          <w:rFonts w:ascii="Times New Roman" w:hAnsi="Times New Roman" w:cs="Times New Roman"/>
          <w:sz w:val="24"/>
          <w:szCs w:val="24"/>
        </w:rPr>
        <w:t>Source: Research data (2017)</w:t>
      </w:r>
    </w:p>
    <w:p w:rsidR="00EE5584" w:rsidRPr="00B917D4" w:rsidRDefault="00742AE2" w:rsidP="009A0341">
      <w:pPr>
        <w:jc w:val="center"/>
        <w:rPr>
          <w:rFonts w:ascii="Times New Roman" w:hAnsi="Times New Roman" w:cs="Times New Roman"/>
          <w:sz w:val="24"/>
          <w:szCs w:val="24"/>
        </w:rPr>
      </w:pPr>
      <w:r w:rsidRPr="00B917D4">
        <w:rPr>
          <w:rFonts w:ascii="Times New Roman" w:hAnsi="Times New Roman" w:cs="Times New Roman"/>
          <w:sz w:val="24"/>
          <w:szCs w:val="24"/>
        </w:rPr>
        <w:lastRenderedPageBreak/>
        <w:t xml:space="preserve">Figure 4: Variable trends for </w:t>
      </w:r>
      <w:r w:rsidR="00EE5584" w:rsidRPr="00B917D4">
        <w:rPr>
          <w:rFonts w:ascii="Times New Roman" w:hAnsi="Times New Roman" w:cs="Times New Roman"/>
          <w:sz w:val="24"/>
          <w:szCs w:val="24"/>
        </w:rPr>
        <w:t>Rwanda</w:t>
      </w:r>
      <w:r w:rsidRPr="00B917D4">
        <w:rPr>
          <w:rFonts w:ascii="Times New Roman" w:hAnsi="Times New Roman" w:cs="Times New Roman"/>
          <w:sz w:val="24"/>
          <w:szCs w:val="24"/>
        </w:rPr>
        <w:t xml:space="preserve"> banking</w:t>
      </w:r>
    </w:p>
    <w:p w:rsidR="00EE5584" w:rsidRPr="00B917D4" w:rsidRDefault="00566C89" w:rsidP="009A0341">
      <w:pPr>
        <w:jc w:val="center"/>
        <w:rPr>
          <w:rFonts w:ascii="Times New Roman" w:hAnsi="Times New Roman" w:cs="Times New Roman"/>
          <w:sz w:val="24"/>
          <w:szCs w:val="24"/>
        </w:rPr>
      </w:pPr>
      <w:r w:rsidRPr="00B917D4">
        <w:rPr>
          <w:rFonts w:ascii="Times New Roman" w:hAnsi="Times New Roman" w:cs="Times New Roman"/>
          <w:noProof/>
          <w:sz w:val="24"/>
          <w:szCs w:val="24"/>
        </w:rPr>
        <w:drawing>
          <wp:inline distT="0" distB="0" distL="0" distR="0">
            <wp:extent cx="5495925" cy="1762125"/>
            <wp:effectExtent l="19050" t="0" r="9525"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5584" w:rsidRPr="00B917D4" w:rsidRDefault="00742AE2" w:rsidP="00C32C90">
      <w:pPr>
        <w:ind w:left="567" w:hanging="141"/>
        <w:jc w:val="both"/>
        <w:rPr>
          <w:rFonts w:ascii="Times New Roman" w:hAnsi="Times New Roman" w:cs="Times New Roman"/>
          <w:sz w:val="24"/>
          <w:szCs w:val="24"/>
        </w:rPr>
      </w:pPr>
      <w:r w:rsidRPr="00B917D4">
        <w:rPr>
          <w:rFonts w:ascii="Times New Roman" w:hAnsi="Times New Roman" w:cs="Times New Roman"/>
          <w:sz w:val="24"/>
          <w:szCs w:val="24"/>
        </w:rPr>
        <w:t>Source: Research data (2017)</w:t>
      </w:r>
    </w:p>
    <w:p w:rsidR="00164B94" w:rsidRPr="00B917D4" w:rsidRDefault="00742AE2" w:rsidP="0032054C">
      <w:pPr>
        <w:autoSpaceDE w:val="0"/>
        <w:autoSpaceDN w:val="0"/>
        <w:adjustRightInd w:val="0"/>
        <w:jc w:val="both"/>
        <w:rPr>
          <w:rFonts w:ascii="Times New Roman" w:hAnsi="Times New Roman" w:cs="Times New Roman"/>
          <w:sz w:val="24"/>
          <w:szCs w:val="24"/>
        </w:rPr>
      </w:pPr>
      <w:r w:rsidRPr="00B917D4">
        <w:rPr>
          <w:rFonts w:ascii="Times New Roman" w:eastAsiaTheme="minorEastAsia" w:hAnsi="Times New Roman" w:cs="Times New Roman"/>
          <w:sz w:val="24"/>
          <w:szCs w:val="24"/>
          <w:lang w:eastAsia="en-GB"/>
        </w:rPr>
        <w:t xml:space="preserve">As shown by the </w:t>
      </w:r>
      <w:r w:rsidRPr="00B917D4">
        <w:rPr>
          <w:rFonts w:ascii="Times New Roman" w:hAnsi="Times New Roman" w:cs="Times New Roman"/>
          <w:sz w:val="24"/>
          <w:szCs w:val="24"/>
        </w:rPr>
        <w:t>Jarque-Bera</w:t>
      </w:r>
      <w:r w:rsidRPr="00B917D4">
        <w:rPr>
          <w:rFonts w:ascii="Times New Roman" w:eastAsiaTheme="minorEastAsia" w:hAnsi="Times New Roman" w:cs="Times New Roman"/>
          <w:sz w:val="24"/>
          <w:szCs w:val="24"/>
          <w:lang w:eastAsia="en-GB"/>
        </w:rPr>
        <w:t xml:space="preserve"> statistics in table 1, all the variables except Diversification (DIV) were normally distributed. This can also be confirmed by Shapiro-Wilk normality test statistics in table 3 where the p-value for the statistic corresponding to DIV</w:t>
      </w:r>
      <w:r w:rsidRPr="00B917D4">
        <w:rPr>
          <w:rFonts w:ascii="Times New Roman" w:eastAsiaTheme="minorEastAsia" w:hAnsi="Times New Roman" w:cs="Times New Roman"/>
          <w:sz w:val="24"/>
          <w:szCs w:val="24"/>
          <w:vertAlign w:val="subscript"/>
          <w:lang w:eastAsia="en-GB"/>
        </w:rPr>
        <w:t>CR</w:t>
      </w:r>
      <w:r w:rsidRPr="00B917D4">
        <w:rPr>
          <w:rFonts w:ascii="Times New Roman" w:eastAsiaTheme="minorEastAsia" w:hAnsi="Times New Roman" w:cs="Times New Roman"/>
          <w:sz w:val="24"/>
          <w:szCs w:val="24"/>
          <w:lang w:eastAsia="en-GB"/>
        </w:rPr>
        <w:t xml:space="preserve"> is less than the critical value and therefore pointing to non-normal distribution. </w:t>
      </w:r>
      <w:r w:rsidR="008A5DF6" w:rsidRPr="00B917D4">
        <w:rPr>
          <w:rFonts w:ascii="Times New Roman" w:eastAsiaTheme="minorEastAsia" w:hAnsi="Times New Roman" w:cs="Times New Roman"/>
          <w:sz w:val="24"/>
          <w:szCs w:val="24"/>
          <w:lang w:eastAsia="en-GB"/>
        </w:rPr>
        <w:t xml:space="preserve">In this regard, </w:t>
      </w:r>
      <w:r w:rsidRPr="00B917D4">
        <w:rPr>
          <w:rFonts w:ascii="Times New Roman" w:eastAsiaTheme="minorEastAsia" w:hAnsi="Times New Roman" w:cs="Times New Roman"/>
          <w:sz w:val="24"/>
          <w:szCs w:val="24"/>
          <w:lang w:eastAsia="en-GB"/>
        </w:rPr>
        <w:t>generalized linear models (</w:t>
      </w:r>
      <w:r w:rsidRPr="00B917D4">
        <w:rPr>
          <w:rFonts w:ascii="Times New Roman" w:hAnsi="Times New Roman" w:cs="Times New Roman"/>
          <w:sz w:val="24"/>
          <w:szCs w:val="24"/>
          <w:lang w:eastAsia="en-GB"/>
        </w:rPr>
        <w:t xml:space="preserve">GLM) are preferred </w:t>
      </w:r>
      <w:r w:rsidR="008A5DF6" w:rsidRPr="00B917D4">
        <w:rPr>
          <w:rFonts w:ascii="Times New Roman" w:hAnsi="Times New Roman" w:cs="Times New Roman"/>
          <w:sz w:val="24"/>
          <w:szCs w:val="24"/>
          <w:lang w:eastAsia="en-GB"/>
        </w:rPr>
        <w:t xml:space="preserve">in this study </w:t>
      </w:r>
      <w:r w:rsidRPr="00B917D4">
        <w:rPr>
          <w:rFonts w:ascii="Times New Roman" w:hAnsi="Times New Roman" w:cs="Times New Roman"/>
          <w:sz w:val="24"/>
          <w:szCs w:val="24"/>
          <w:lang w:eastAsia="en-GB"/>
        </w:rPr>
        <w:t xml:space="preserve">because of their ability to allow for response variables that have non-normal distributions </w:t>
      </w:r>
      <w:r w:rsidR="00C04B35" w:rsidRPr="00B917D4">
        <w:rPr>
          <w:rFonts w:ascii="Times New Roman" w:hAnsi="Times New Roman" w:cs="Times New Roman"/>
          <w:sz w:val="24"/>
          <w:szCs w:val="24"/>
          <w:lang w:eastAsia="en-GB"/>
        </w:rPr>
        <w:t xml:space="preserve">(Czado, 2004). Instead, GLM allow </w:t>
      </w:r>
      <w:r w:rsidRPr="00B917D4">
        <w:rPr>
          <w:rFonts w:ascii="Times New Roman" w:hAnsi="Times New Roman" w:cs="Times New Roman"/>
          <w:sz w:val="24"/>
          <w:szCs w:val="24"/>
          <w:lang w:eastAsia="en-GB"/>
        </w:rPr>
        <w:t>an arbitrary link function of the response variable to vary lin</w:t>
      </w:r>
      <w:r w:rsidR="00C04B35" w:rsidRPr="00B917D4">
        <w:rPr>
          <w:rFonts w:ascii="Times New Roman" w:hAnsi="Times New Roman" w:cs="Times New Roman"/>
          <w:sz w:val="24"/>
          <w:szCs w:val="24"/>
          <w:lang w:eastAsia="en-GB"/>
        </w:rPr>
        <w:t>early with the predicted values</w:t>
      </w:r>
      <w:r w:rsidR="0057547B" w:rsidRPr="00B917D4">
        <w:rPr>
          <w:rFonts w:ascii="Times New Roman" w:hAnsi="Times New Roman" w:cs="Times New Roman"/>
          <w:sz w:val="24"/>
          <w:szCs w:val="24"/>
          <w:lang w:eastAsia="en-GB"/>
        </w:rPr>
        <w:t xml:space="preserve"> (Garrido and Zhou, 2006</w:t>
      </w:r>
      <w:r w:rsidR="00F21762" w:rsidRPr="00B917D4">
        <w:rPr>
          <w:rFonts w:ascii="Times New Roman" w:hAnsi="Times New Roman" w:cs="Times New Roman"/>
          <w:sz w:val="24"/>
          <w:szCs w:val="24"/>
          <w:lang w:eastAsia="en-GB"/>
        </w:rPr>
        <w:t>: 2009</w:t>
      </w:r>
      <w:r w:rsidR="0057547B" w:rsidRPr="00B917D4">
        <w:rPr>
          <w:rFonts w:ascii="Times New Roman" w:hAnsi="Times New Roman" w:cs="Times New Roman"/>
          <w:sz w:val="24"/>
          <w:szCs w:val="24"/>
          <w:lang w:eastAsia="en-GB"/>
        </w:rPr>
        <w:t>)</w:t>
      </w:r>
      <w:r w:rsidRPr="00B917D4">
        <w:rPr>
          <w:rFonts w:ascii="Times New Roman" w:hAnsi="Times New Roman" w:cs="Times New Roman"/>
          <w:sz w:val="24"/>
          <w:szCs w:val="24"/>
          <w:lang w:eastAsia="en-GB"/>
        </w:rPr>
        <w:t>.</w:t>
      </w:r>
      <w:r w:rsidRPr="00B917D4">
        <w:rPr>
          <w:rFonts w:ascii="Times New Roman" w:eastAsiaTheme="minorEastAsia" w:hAnsi="Times New Roman" w:cs="Times New Roman"/>
          <w:sz w:val="24"/>
          <w:szCs w:val="24"/>
          <w:lang w:eastAsia="en-GB"/>
        </w:rPr>
        <w:t xml:space="preserve">  Consequently</w:t>
      </w:r>
      <w:r w:rsidR="008A5DF6" w:rsidRPr="00B917D4">
        <w:rPr>
          <w:rFonts w:ascii="Times New Roman" w:eastAsiaTheme="minorEastAsia" w:hAnsi="Times New Roman" w:cs="Times New Roman"/>
          <w:sz w:val="24"/>
          <w:szCs w:val="24"/>
          <w:lang w:eastAsia="en-GB"/>
        </w:rPr>
        <w:t>, to attain the objectives of the study,</w:t>
      </w:r>
      <w:r w:rsidRPr="00B917D4">
        <w:rPr>
          <w:rFonts w:ascii="Times New Roman" w:eastAsiaTheme="minorEastAsia" w:hAnsi="Times New Roman" w:cs="Times New Roman"/>
          <w:sz w:val="24"/>
          <w:szCs w:val="24"/>
          <w:lang w:eastAsia="en-GB"/>
        </w:rPr>
        <w:t xml:space="preserve"> </w:t>
      </w:r>
      <w:r w:rsidR="00164B94" w:rsidRPr="00B917D4">
        <w:rPr>
          <w:rFonts w:ascii="Times New Roman" w:eastAsiaTheme="minorEastAsia" w:hAnsi="Times New Roman" w:cs="Times New Roman"/>
          <w:sz w:val="24"/>
          <w:szCs w:val="24"/>
          <w:lang w:eastAsia="en-GB"/>
        </w:rPr>
        <w:t xml:space="preserve">the following </w:t>
      </w:r>
      <w:r w:rsidR="0082799F" w:rsidRPr="00B917D4">
        <w:rPr>
          <w:rFonts w:ascii="Times New Roman" w:eastAsiaTheme="minorEastAsia" w:hAnsi="Times New Roman" w:cs="Times New Roman"/>
          <w:sz w:val="24"/>
          <w:szCs w:val="24"/>
          <w:lang w:eastAsia="en-GB"/>
        </w:rPr>
        <w:t xml:space="preserve">GLM model is </w:t>
      </w:r>
      <w:r w:rsidR="0082799F" w:rsidRPr="00B917D4">
        <w:rPr>
          <w:rFonts w:ascii="Times New Roman" w:hAnsi="Times New Roman" w:cs="Times New Roman"/>
          <w:sz w:val="24"/>
          <w:szCs w:val="24"/>
        </w:rPr>
        <w:t>approximated for</w:t>
      </w:r>
      <w:r w:rsidR="00164B94" w:rsidRPr="00B917D4">
        <w:rPr>
          <w:rFonts w:ascii="Times New Roman" w:hAnsi="Times New Roman" w:cs="Times New Roman"/>
          <w:sz w:val="24"/>
          <w:szCs w:val="24"/>
        </w:rPr>
        <w:t xml:space="preserve"> each of</w:t>
      </w:r>
      <w:r w:rsidR="0082799F" w:rsidRPr="00B917D4">
        <w:rPr>
          <w:rFonts w:ascii="Times New Roman" w:hAnsi="Times New Roman" w:cs="Times New Roman"/>
          <w:sz w:val="24"/>
          <w:szCs w:val="24"/>
        </w:rPr>
        <w:t xml:space="preserve"> the two response variables</w:t>
      </w:r>
      <w:r w:rsidRPr="00B917D4">
        <w:rPr>
          <w:rFonts w:ascii="Times New Roman" w:hAnsi="Times New Roman" w:cs="Times New Roman"/>
          <w:sz w:val="24"/>
          <w:szCs w:val="24"/>
        </w:rPr>
        <w:t>.</w:t>
      </w:r>
    </w:p>
    <w:p w:rsidR="00164B94" w:rsidRPr="00B917D4" w:rsidRDefault="008E410A" w:rsidP="0032054C">
      <w:pPr>
        <w:autoSpaceDE w:val="0"/>
        <w:autoSpaceDN w:val="0"/>
        <w:adjustRightInd w:val="0"/>
        <w:ind w:left="567"/>
        <w:jc w:val="both"/>
        <w:rPr>
          <w:rFonts w:ascii="Times New Roman" w:hAnsi="Times New Roman" w:cs="Times New Roman"/>
          <w:sz w:val="24"/>
          <w:szCs w:val="24"/>
          <w:lang w:eastAsia="en-GB"/>
        </w:rPr>
      </w:pPr>
      <m:oMathPara>
        <m:oMathParaPr>
          <m:jc m:val="left"/>
        </m:oMathParaPr>
        <m:oMath>
          <m:sSub>
            <m:sSubPr>
              <m:ctrlPr>
                <w:rPr>
                  <w:rFonts w:ascii="Cambria Math" w:hAnsi="Times New Roman" w:cs="Times New Roman"/>
                  <w:i/>
                  <w:sz w:val="24"/>
                  <w:szCs w:val="24"/>
                  <w:lang w:eastAsia="en-GB"/>
                </w:rPr>
              </m:ctrlPr>
            </m:sSubPr>
            <m:e>
              <m:r>
                <w:rPr>
                  <w:rFonts w:ascii="Cambria Math" w:hAnsi="Cambria Math" w:cs="Times New Roman"/>
                  <w:sz w:val="24"/>
                  <w:szCs w:val="24"/>
                  <w:lang w:eastAsia="en-GB"/>
                </w:rPr>
                <m:t>η</m:t>
              </m:r>
            </m:e>
            <m:sub>
              <m:r>
                <w:rPr>
                  <w:rFonts w:ascii="Cambria Math" w:hAnsi="Cambria Math" w:cs="Times New Roman"/>
                  <w:sz w:val="24"/>
                  <w:szCs w:val="24"/>
                  <w:lang w:eastAsia="en-GB"/>
                </w:rPr>
                <m:t>i</m:t>
              </m:r>
              <m:r>
                <w:rPr>
                  <w:rFonts w:ascii="Cambria Math" w:hAnsi="Times New Roman" w:cs="Times New Roman"/>
                  <w:sz w:val="24"/>
                  <w:szCs w:val="24"/>
                  <w:lang w:eastAsia="en-GB"/>
                </w:rPr>
                <m:t>,</m:t>
              </m:r>
              <m:r>
                <w:rPr>
                  <w:rFonts w:ascii="Cambria Math" w:hAnsi="Cambria Math" w:cs="Times New Roman"/>
                  <w:sz w:val="24"/>
                  <w:szCs w:val="24"/>
                  <w:lang w:eastAsia="en-GB"/>
                </w:rPr>
                <m:t>t</m:t>
              </m:r>
            </m:sub>
          </m:sSub>
          <m:r>
            <w:rPr>
              <w:rFonts w:ascii="Cambria Math" w:hAnsi="Times New Roman" w:cs="Times New Roman"/>
              <w:sz w:val="24"/>
              <w:szCs w:val="24"/>
              <w:lang w:eastAsia="en-GB"/>
            </w:rPr>
            <m:t>=</m:t>
          </m:r>
          <m:sSub>
            <m:sSubPr>
              <m:ctrlPr>
                <w:rPr>
                  <w:rFonts w:ascii="Cambria Math" w:hAnsi="Times New Roman" w:cs="Times New Roman"/>
                  <w:i/>
                  <w:sz w:val="24"/>
                  <w:szCs w:val="24"/>
                  <w:lang w:eastAsia="en-GB"/>
                </w:rPr>
              </m:ctrlPr>
            </m:sSubPr>
            <m:e>
              <m:r>
                <w:rPr>
                  <w:rFonts w:ascii="Cambria Math" w:hAnsi="Cambria Math" w:cs="Times New Roman"/>
                  <w:sz w:val="24"/>
                  <w:szCs w:val="24"/>
                  <w:lang w:eastAsia="en-GB"/>
                </w:rPr>
                <m:t>β</m:t>
              </m:r>
            </m:e>
            <m:sub>
              <m:r>
                <w:rPr>
                  <w:rFonts w:ascii="Cambria Math" w:hAnsi="Times New Roman" w:cs="Times New Roman"/>
                  <w:sz w:val="24"/>
                  <w:szCs w:val="24"/>
                  <w:lang w:eastAsia="en-GB"/>
                </w:rPr>
                <m:t>0</m:t>
              </m:r>
            </m:sub>
          </m:sSub>
          <m:r>
            <w:rPr>
              <w:rFonts w:ascii="Cambria Math" w:hAnsi="Times New Roman" w:cs="Times New Roman"/>
              <w:sz w:val="24"/>
              <w:szCs w:val="24"/>
              <w:lang w:eastAsia="en-GB"/>
            </w:rPr>
            <m:t>+</m:t>
          </m:r>
          <m:sSub>
            <m:sSubPr>
              <m:ctrlPr>
                <w:rPr>
                  <w:rFonts w:ascii="Cambria Math" w:hAnsi="Times New Roman" w:cs="Times New Roman"/>
                  <w:i/>
                  <w:sz w:val="24"/>
                  <w:szCs w:val="24"/>
                  <w:lang w:eastAsia="en-GB"/>
                </w:rPr>
              </m:ctrlPr>
            </m:sSubPr>
            <m:e>
              <m:r>
                <w:rPr>
                  <w:rFonts w:ascii="Cambria Math" w:hAnsi="Cambria Math" w:cs="Times New Roman"/>
                  <w:sz w:val="24"/>
                  <w:szCs w:val="24"/>
                  <w:lang w:eastAsia="en-GB"/>
                </w:rPr>
                <m:t>β</m:t>
              </m:r>
            </m:e>
            <m:sub>
              <m:r>
                <w:rPr>
                  <w:rFonts w:ascii="Cambria Math" w:hAnsi="Times New Roman" w:cs="Times New Roman"/>
                  <w:sz w:val="24"/>
                  <w:szCs w:val="24"/>
                  <w:lang w:eastAsia="en-GB"/>
                </w:rPr>
                <m:t>1</m:t>
              </m:r>
            </m:sub>
          </m:sSub>
          <m:sSub>
            <m:sSubPr>
              <m:ctrlPr>
                <w:rPr>
                  <w:rFonts w:ascii="Cambria Math" w:hAnsi="Times New Roman" w:cs="Times New Roman"/>
                  <w:i/>
                  <w:sz w:val="24"/>
                  <w:szCs w:val="24"/>
                  <w:lang w:eastAsia="en-GB"/>
                </w:rPr>
              </m:ctrlPr>
            </m:sSubPr>
            <m:e>
              <m:r>
                <w:rPr>
                  <w:rFonts w:ascii="Cambria Math" w:hAnsi="Cambria Math" w:cs="Times New Roman"/>
                  <w:sz w:val="24"/>
                  <w:szCs w:val="24"/>
                  <w:lang w:eastAsia="en-GB"/>
                </w:rPr>
                <m:t>DIV</m:t>
              </m:r>
            </m:e>
            <m:sub>
              <m:r>
                <w:rPr>
                  <w:rFonts w:ascii="Cambria Math" w:hAnsi="Cambria Math" w:cs="Times New Roman"/>
                  <w:sz w:val="24"/>
                  <w:szCs w:val="24"/>
                  <w:lang w:eastAsia="en-GB"/>
                </w:rPr>
                <m:t>i</m:t>
              </m:r>
              <m:r>
                <w:rPr>
                  <w:rFonts w:ascii="Cambria Math" w:hAnsi="Times New Roman" w:cs="Times New Roman"/>
                  <w:sz w:val="24"/>
                  <w:szCs w:val="24"/>
                  <w:lang w:eastAsia="en-GB"/>
                </w:rPr>
                <m:t>,</m:t>
              </m:r>
              <m:r>
                <w:rPr>
                  <w:rFonts w:ascii="Cambria Math" w:hAnsi="Cambria Math" w:cs="Times New Roman"/>
                  <w:sz w:val="24"/>
                  <w:szCs w:val="24"/>
                  <w:lang w:eastAsia="en-GB"/>
                </w:rPr>
                <m:t>t</m:t>
              </m:r>
            </m:sub>
          </m:sSub>
          <m:r>
            <w:rPr>
              <w:rFonts w:ascii="Cambria Math" w:hAnsi="Times New Roman" w:cs="Times New Roman"/>
              <w:sz w:val="24"/>
              <w:szCs w:val="24"/>
              <w:lang w:eastAsia="en-GB"/>
            </w:rPr>
            <m:t>+</m:t>
          </m:r>
          <m:sSub>
            <m:sSubPr>
              <m:ctrlPr>
                <w:rPr>
                  <w:rFonts w:ascii="Cambria Math" w:hAnsi="Times New Roman" w:cs="Times New Roman"/>
                  <w:i/>
                  <w:sz w:val="24"/>
                  <w:szCs w:val="24"/>
                  <w:lang w:eastAsia="en-GB"/>
                </w:rPr>
              </m:ctrlPr>
            </m:sSubPr>
            <m:e>
              <m:r>
                <w:rPr>
                  <w:rFonts w:ascii="Cambria Math" w:hAnsi="Cambria Math" w:cs="Times New Roman"/>
                  <w:sz w:val="24"/>
                  <w:szCs w:val="24"/>
                  <w:lang w:eastAsia="en-GB"/>
                </w:rPr>
                <m:t>ε</m:t>
              </m:r>
            </m:e>
            <m:sub>
              <m:r>
                <w:rPr>
                  <w:rFonts w:ascii="Cambria Math" w:hAnsi="Cambria Math" w:cs="Times New Roman"/>
                  <w:sz w:val="24"/>
                  <w:szCs w:val="24"/>
                  <w:lang w:eastAsia="en-GB"/>
                </w:rPr>
                <m:t>i</m:t>
              </m:r>
              <m:r>
                <w:rPr>
                  <w:rFonts w:ascii="Cambria Math" w:hAnsi="Times New Roman" w:cs="Times New Roman"/>
                  <w:sz w:val="24"/>
                  <w:szCs w:val="24"/>
                  <w:lang w:eastAsia="en-GB"/>
                </w:rPr>
                <m:t>,</m:t>
              </m:r>
              <m:r>
                <w:rPr>
                  <w:rFonts w:ascii="Cambria Math" w:hAnsi="Cambria Math" w:cs="Times New Roman"/>
                  <w:sz w:val="24"/>
                  <w:szCs w:val="24"/>
                  <w:lang w:eastAsia="en-GB"/>
                </w:rPr>
                <m:t>t</m:t>
              </m:r>
            </m:sub>
          </m:sSub>
          <m:r>
            <w:rPr>
              <w:rFonts w:ascii="Cambria Math" w:hAnsi="Times New Roman" w:cs="Times New Roman"/>
              <w:sz w:val="24"/>
              <w:szCs w:val="24"/>
              <w:lang w:eastAsia="en-GB"/>
            </w:rPr>
            <m:t xml:space="preserve">   </m:t>
          </m:r>
        </m:oMath>
      </m:oMathPara>
    </w:p>
    <w:p w:rsidR="00164B94" w:rsidRPr="00B917D4" w:rsidRDefault="00164B94" w:rsidP="0032054C">
      <w:pPr>
        <w:jc w:val="both"/>
        <w:rPr>
          <w:rFonts w:ascii="Times New Roman" w:eastAsiaTheme="minorEastAsia" w:hAnsi="Times New Roman" w:cs="Times New Roman"/>
          <w:sz w:val="24"/>
          <w:szCs w:val="24"/>
          <w:lang w:eastAsia="en-GB"/>
        </w:rPr>
      </w:pPr>
      <w:r w:rsidRPr="00B917D4">
        <w:rPr>
          <w:rFonts w:ascii="Times New Roman" w:eastAsiaTheme="minorEastAsia" w:hAnsi="Times New Roman" w:cs="Times New Roman"/>
          <w:sz w:val="24"/>
          <w:szCs w:val="24"/>
          <w:lang w:eastAsia="en-GB"/>
        </w:rPr>
        <w:t>Where η</w:t>
      </w:r>
      <w:r w:rsidRPr="00B917D4">
        <w:rPr>
          <w:rFonts w:ascii="Times New Roman" w:eastAsiaTheme="minorEastAsia" w:hAnsi="Times New Roman" w:cs="Times New Roman"/>
          <w:i/>
          <w:sz w:val="24"/>
          <w:szCs w:val="24"/>
          <w:vertAlign w:val="subscript"/>
          <w:lang w:eastAsia="en-GB"/>
        </w:rPr>
        <w:t xml:space="preserve">i,t </w:t>
      </w:r>
      <w:r w:rsidRPr="00B917D4">
        <w:rPr>
          <w:rFonts w:ascii="Times New Roman" w:eastAsiaTheme="minorEastAsia" w:hAnsi="Times New Roman" w:cs="Times New Roman"/>
          <w:sz w:val="24"/>
          <w:szCs w:val="24"/>
          <w:lang w:eastAsia="en-GB"/>
        </w:rPr>
        <w:t>is a linear predictor determining the expected value of response variable ROA or AQ, DIV</w:t>
      </w:r>
      <w:r w:rsidRPr="00B917D4">
        <w:rPr>
          <w:rFonts w:ascii="Times New Roman" w:eastAsiaTheme="minorEastAsia" w:hAnsi="Times New Roman" w:cs="Times New Roman"/>
          <w:i/>
          <w:sz w:val="24"/>
          <w:szCs w:val="24"/>
          <w:vertAlign w:val="subscript"/>
          <w:lang w:eastAsia="en-GB"/>
        </w:rPr>
        <w:t>i,t</w:t>
      </w:r>
      <w:r w:rsidRPr="00B917D4">
        <w:rPr>
          <w:rFonts w:ascii="Times New Roman" w:eastAsiaTheme="minorEastAsia" w:hAnsi="Times New Roman" w:cs="Times New Roman"/>
          <w:sz w:val="24"/>
          <w:szCs w:val="24"/>
          <w:lang w:eastAsia="en-GB"/>
        </w:rPr>
        <w:t xml:space="preserve"> is sectoral credit diversification for country </w:t>
      </w:r>
      <w:r w:rsidRPr="00B917D4">
        <w:rPr>
          <w:rFonts w:ascii="Times New Roman" w:eastAsiaTheme="minorEastAsia" w:hAnsi="Times New Roman" w:cs="Times New Roman"/>
          <w:i/>
          <w:sz w:val="24"/>
          <w:szCs w:val="24"/>
          <w:lang w:eastAsia="en-GB"/>
        </w:rPr>
        <w:t>i</w:t>
      </w:r>
      <w:r w:rsidRPr="00B917D4">
        <w:rPr>
          <w:rFonts w:ascii="Times New Roman" w:eastAsiaTheme="minorEastAsia" w:hAnsi="Times New Roman" w:cs="Times New Roman"/>
          <w:sz w:val="24"/>
          <w:szCs w:val="24"/>
          <w:lang w:eastAsia="en-GB"/>
        </w:rPr>
        <w:t xml:space="preserve"> at time </w:t>
      </w:r>
      <w:r w:rsidRPr="00B917D4">
        <w:rPr>
          <w:rFonts w:ascii="Times New Roman" w:eastAsiaTheme="minorEastAsia" w:hAnsi="Times New Roman" w:cs="Times New Roman"/>
          <w:i/>
          <w:sz w:val="24"/>
          <w:szCs w:val="24"/>
          <w:lang w:eastAsia="en-GB"/>
        </w:rPr>
        <w:t>t</w:t>
      </w:r>
      <w:r w:rsidRPr="00B917D4">
        <w:rPr>
          <w:rFonts w:ascii="Times New Roman" w:eastAsiaTheme="minorEastAsia" w:hAnsi="Times New Roman" w:cs="Times New Roman"/>
          <w:sz w:val="24"/>
          <w:szCs w:val="24"/>
          <w:lang w:eastAsia="en-GB"/>
        </w:rPr>
        <w:t xml:space="preserve"> and ε</w:t>
      </w:r>
      <w:r w:rsidRPr="00B917D4">
        <w:rPr>
          <w:rFonts w:ascii="Times New Roman" w:eastAsiaTheme="minorEastAsia" w:hAnsi="Times New Roman" w:cs="Times New Roman"/>
          <w:i/>
          <w:sz w:val="24"/>
          <w:szCs w:val="24"/>
          <w:vertAlign w:val="subscript"/>
          <w:lang w:eastAsia="en-GB"/>
        </w:rPr>
        <w:t>i,t</w:t>
      </w:r>
      <w:r w:rsidRPr="00B917D4">
        <w:rPr>
          <w:rFonts w:ascii="Times New Roman" w:eastAsiaTheme="minorEastAsia" w:hAnsi="Times New Roman" w:cs="Times New Roman"/>
          <w:i/>
          <w:sz w:val="24"/>
          <w:szCs w:val="24"/>
          <w:lang w:eastAsia="en-GB"/>
        </w:rPr>
        <w:t xml:space="preserve"> </w:t>
      </w:r>
      <w:r w:rsidRPr="00B917D4">
        <w:rPr>
          <w:rFonts w:ascii="Times New Roman" w:eastAsiaTheme="minorEastAsia" w:hAnsi="Times New Roman" w:cs="Times New Roman"/>
          <w:sz w:val="24"/>
          <w:szCs w:val="24"/>
          <w:lang w:eastAsia="en-GB"/>
        </w:rPr>
        <w:t>is the random error term.</w:t>
      </w:r>
    </w:p>
    <w:p w:rsidR="00742AE2" w:rsidRPr="00B917D4" w:rsidRDefault="00742AE2" w:rsidP="009A0341">
      <w:pPr>
        <w:jc w:val="center"/>
        <w:rPr>
          <w:rFonts w:ascii="Times New Roman" w:hAnsi="Times New Roman" w:cs="Times New Roman"/>
          <w:sz w:val="24"/>
          <w:szCs w:val="24"/>
        </w:rPr>
      </w:pPr>
      <w:r w:rsidRPr="00B917D4">
        <w:rPr>
          <w:rFonts w:ascii="Times New Roman" w:hAnsi="Times New Roman" w:cs="Times New Roman"/>
          <w:bCs/>
          <w:sz w:val="24"/>
          <w:szCs w:val="24"/>
        </w:rPr>
        <w:t>Table 3: Shapiro-Wilk Test of Normality</w:t>
      </w:r>
    </w:p>
    <w:tbl>
      <w:tblPr>
        <w:tblW w:w="7705" w:type="dxa"/>
        <w:jc w:val="center"/>
        <w:tblBorders>
          <w:top w:val="single" w:sz="4" w:space="0" w:color="auto"/>
          <w:bottom w:val="single" w:sz="4" w:space="0" w:color="auto"/>
        </w:tblBorders>
        <w:tblLayout w:type="fixed"/>
        <w:tblCellMar>
          <w:left w:w="0" w:type="dxa"/>
          <w:right w:w="0" w:type="dxa"/>
        </w:tblCellMar>
        <w:tblLook w:val="0000"/>
      </w:tblPr>
      <w:tblGrid>
        <w:gridCol w:w="2602"/>
        <w:gridCol w:w="1701"/>
        <w:gridCol w:w="1701"/>
        <w:gridCol w:w="1701"/>
      </w:tblGrid>
      <w:tr w:rsidR="00742AE2" w:rsidRPr="00B917D4" w:rsidTr="009A0341">
        <w:trPr>
          <w:cantSplit/>
          <w:jc w:val="center"/>
        </w:trPr>
        <w:tc>
          <w:tcPr>
            <w:tcW w:w="2602" w:type="dxa"/>
            <w:tcBorders>
              <w:top w:val="single" w:sz="4" w:space="0" w:color="auto"/>
              <w:bottom w:val="single" w:sz="4" w:space="0" w:color="auto"/>
            </w:tcBorders>
            <w:shd w:val="clear" w:color="auto" w:fill="FFFFFF"/>
          </w:tcPr>
          <w:p w:rsidR="00742AE2" w:rsidRPr="00B917D4" w:rsidRDefault="00742AE2" w:rsidP="009A0341">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 xml:space="preserve"> Variable</w:t>
            </w:r>
          </w:p>
        </w:tc>
        <w:tc>
          <w:tcPr>
            <w:tcW w:w="1701" w:type="dxa"/>
            <w:tcBorders>
              <w:top w:val="single" w:sz="4" w:space="0" w:color="auto"/>
              <w:bottom w:val="single" w:sz="4" w:space="0" w:color="auto"/>
            </w:tcBorders>
            <w:shd w:val="clear" w:color="auto" w:fill="FFFFFF"/>
          </w:tcPr>
          <w:p w:rsidR="00742AE2" w:rsidRPr="00B917D4" w:rsidRDefault="00742AE2" w:rsidP="009A0341">
            <w:pPr>
              <w:autoSpaceDE w:val="0"/>
              <w:autoSpaceDN w:val="0"/>
              <w:adjustRightInd w:val="0"/>
              <w:spacing w:after="0"/>
              <w:ind w:left="60" w:right="60"/>
              <w:jc w:val="both"/>
              <w:rPr>
                <w:rFonts w:ascii="Times New Roman" w:hAnsi="Times New Roman" w:cs="Times New Roman"/>
                <w:sz w:val="24"/>
                <w:szCs w:val="24"/>
              </w:rPr>
            </w:pPr>
            <w:r w:rsidRPr="00B917D4">
              <w:rPr>
                <w:rFonts w:ascii="Times New Roman" w:hAnsi="Times New Roman" w:cs="Times New Roman"/>
                <w:sz w:val="24"/>
                <w:szCs w:val="24"/>
              </w:rPr>
              <w:t>Statistic</w:t>
            </w:r>
          </w:p>
        </w:tc>
        <w:tc>
          <w:tcPr>
            <w:tcW w:w="1701" w:type="dxa"/>
            <w:tcBorders>
              <w:top w:val="single" w:sz="4" w:space="0" w:color="auto"/>
              <w:bottom w:val="single" w:sz="4" w:space="0" w:color="auto"/>
            </w:tcBorders>
            <w:shd w:val="clear" w:color="auto" w:fill="FFFFFF"/>
          </w:tcPr>
          <w:p w:rsidR="00742AE2" w:rsidRPr="00B917D4" w:rsidRDefault="00742AE2" w:rsidP="009A0341">
            <w:pPr>
              <w:autoSpaceDE w:val="0"/>
              <w:autoSpaceDN w:val="0"/>
              <w:adjustRightInd w:val="0"/>
              <w:spacing w:after="0"/>
              <w:ind w:left="60" w:right="60"/>
              <w:jc w:val="both"/>
              <w:rPr>
                <w:rFonts w:ascii="Times New Roman" w:hAnsi="Times New Roman" w:cs="Times New Roman"/>
                <w:sz w:val="24"/>
                <w:szCs w:val="24"/>
              </w:rPr>
            </w:pPr>
            <w:r w:rsidRPr="00B917D4">
              <w:rPr>
                <w:rFonts w:ascii="Times New Roman" w:hAnsi="Times New Roman" w:cs="Times New Roman"/>
                <w:sz w:val="24"/>
                <w:szCs w:val="24"/>
              </w:rPr>
              <w:t>df.</w:t>
            </w:r>
          </w:p>
        </w:tc>
        <w:tc>
          <w:tcPr>
            <w:tcW w:w="1701" w:type="dxa"/>
            <w:tcBorders>
              <w:top w:val="single" w:sz="4" w:space="0" w:color="auto"/>
              <w:bottom w:val="single" w:sz="4" w:space="0" w:color="auto"/>
            </w:tcBorders>
            <w:shd w:val="clear" w:color="auto" w:fill="FFFFFF"/>
          </w:tcPr>
          <w:p w:rsidR="00742AE2" w:rsidRPr="00B917D4" w:rsidRDefault="00742AE2" w:rsidP="009A0341">
            <w:pPr>
              <w:autoSpaceDE w:val="0"/>
              <w:autoSpaceDN w:val="0"/>
              <w:adjustRightInd w:val="0"/>
              <w:spacing w:after="0"/>
              <w:ind w:left="60" w:right="60"/>
              <w:jc w:val="both"/>
              <w:rPr>
                <w:rFonts w:ascii="Times New Roman" w:hAnsi="Times New Roman" w:cs="Times New Roman"/>
                <w:sz w:val="24"/>
                <w:szCs w:val="24"/>
              </w:rPr>
            </w:pPr>
            <w:r w:rsidRPr="00B917D4">
              <w:rPr>
                <w:rFonts w:ascii="Times New Roman" w:hAnsi="Times New Roman" w:cs="Times New Roman"/>
                <w:sz w:val="24"/>
                <w:szCs w:val="24"/>
              </w:rPr>
              <w:t>Sig.</w:t>
            </w:r>
          </w:p>
        </w:tc>
      </w:tr>
      <w:tr w:rsidR="00742AE2" w:rsidRPr="00B917D4" w:rsidTr="009A0341">
        <w:trPr>
          <w:cantSplit/>
          <w:jc w:val="center"/>
        </w:trPr>
        <w:tc>
          <w:tcPr>
            <w:tcW w:w="2602" w:type="dxa"/>
            <w:tcBorders>
              <w:top w:val="single" w:sz="4" w:space="0" w:color="auto"/>
            </w:tcBorders>
            <w:shd w:val="clear" w:color="auto" w:fill="FFFFFF"/>
            <w:vAlign w:val="center"/>
          </w:tcPr>
          <w:p w:rsidR="00742AE2" w:rsidRPr="00B917D4" w:rsidRDefault="00B94F8D" w:rsidP="009A0341">
            <w:pPr>
              <w:autoSpaceDE w:val="0"/>
              <w:autoSpaceDN w:val="0"/>
              <w:adjustRightInd w:val="0"/>
              <w:spacing w:after="0"/>
              <w:ind w:left="60" w:right="60"/>
              <w:jc w:val="both"/>
              <w:rPr>
                <w:rFonts w:ascii="Times New Roman" w:hAnsi="Times New Roman" w:cs="Times New Roman"/>
                <w:sz w:val="24"/>
                <w:szCs w:val="24"/>
                <w:vertAlign w:val="subscript"/>
              </w:rPr>
            </w:pPr>
            <w:r w:rsidRPr="00B917D4">
              <w:rPr>
                <w:rFonts w:ascii="Times New Roman" w:hAnsi="Times New Roman" w:cs="Times New Roman"/>
                <w:sz w:val="24"/>
                <w:szCs w:val="24"/>
              </w:rPr>
              <w:t xml:space="preserve">Credit </w:t>
            </w:r>
            <w:r w:rsidR="00742AE2" w:rsidRPr="00B917D4">
              <w:rPr>
                <w:rFonts w:ascii="Times New Roman" w:hAnsi="Times New Roman" w:cs="Times New Roman"/>
                <w:sz w:val="24"/>
                <w:szCs w:val="24"/>
              </w:rPr>
              <w:t>D</w:t>
            </w:r>
            <w:r w:rsidRPr="00B917D4">
              <w:rPr>
                <w:rFonts w:ascii="Times New Roman" w:hAnsi="Times New Roman" w:cs="Times New Roman"/>
                <w:sz w:val="24"/>
                <w:szCs w:val="24"/>
              </w:rPr>
              <w:t>iversification</w:t>
            </w:r>
          </w:p>
        </w:tc>
        <w:tc>
          <w:tcPr>
            <w:tcW w:w="1701" w:type="dxa"/>
            <w:tcBorders>
              <w:top w:val="single" w:sz="4" w:space="0" w:color="auto"/>
            </w:tcBorders>
            <w:shd w:val="clear" w:color="auto" w:fill="FFFFFF"/>
            <w:vAlign w:val="center"/>
          </w:tcPr>
          <w:p w:rsidR="00742AE2" w:rsidRPr="00B917D4" w:rsidRDefault="008A5DF6" w:rsidP="009A0341">
            <w:pPr>
              <w:autoSpaceDE w:val="0"/>
              <w:autoSpaceDN w:val="0"/>
              <w:adjustRightInd w:val="0"/>
              <w:spacing w:after="0"/>
              <w:ind w:left="60" w:right="60"/>
              <w:jc w:val="both"/>
              <w:rPr>
                <w:rFonts w:ascii="Times New Roman" w:hAnsi="Times New Roman" w:cs="Times New Roman"/>
                <w:sz w:val="24"/>
                <w:szCs w:val="24"/>
              </w:rPr>
            </w:pPr>
            <w:r w:rsidRPr="00B917D4">
              <w:rPr>
                <w:rFonts w:ascii="Times New Roman" w:hAnsi="Times New Roman" w:cs="Times New Roman"/>
                <w:sz w:val="24"/>
                <w:szCs w:val="24"/>
              </w:rPr>
              <w:t>0</w:t>
            </w:r>
            <w:r w:rsidR="00742AE2" w:rsidRPr="00B917D4">
              <w:rPr>
                <w:rFonts w:ascii="Times New Roman" w:hAnsi="Times New Roman" w:cs="Times New Roman"/>
                <w:sz w:val="24"/>
                <w:szCs w:val="24"/>
              </w:rPr>
              <w:t>.787</w:t>
            </w:r>
          </w:p>
        </w:tc>
        <w:tc>
          <w:tcPr>
            <w:tcW w:w="1701" w:type="dxa"/>
            <w:tcBorders>
              <w:top w:val="single" w:sz="4" w:space="0" w:color="auto"/>
            </w:tcBorders>
            <w:shd w:val="clear" w:color="auto" w:fill="FFFFFF"/>
            <w:vAlign w:val="center"/>
          </w:tcPr>
          <w:p w:rsidR="00742AE2" w:rsidRPr="00B917D4" w:rsidRDefault="00742AE2" w:rsidP="009A0341">
            <w:pPr>
              <w:autoSpaceDE w:val="0"/>
              <w:autoSpaceDN w:val="0"/>
              <w:adjustRightInd w:val="0"/>
              <w:spacing w:after="0"/>
              <w:ind w:left="60" w:right="60"/>
              <w:jc w:val="both"/>
              <w:rPr>
                <w:rFonts w:ascii="Times New Roman" w:hAnsi="Times New Roman" w:cs="Times New Roman"/>
                <w:sz w:val="24"/>
                <w:szCs w:val="24"/>
              </w:rPr>
            </w:pPr>
            <w:r w:rsidRPr="00B917D4">
              <w:rPr>
                <w:rFonts w:ascii="Times New Roman" w:hAnsi="Times New Roman" w:cs="Times New Roman"/>
                <w:sz w:val="24"/>
                <w:szCs w:val="24"/>
              </w:rPr>
              <w:t>32</w:t>
            </w:r>
          </w:p>
        </w:tc>
        <w:tc>
          <w:tcPr>
            <w:tcW w:w="1701" w:type="dxa"/>
            <w:tcBorders>
              <w:top w:val="single" w:sz="4" w:space="0" w:color="auto"/>
            </w:tcBorders>
            <w:shd w:val="clear" w:color="auto" w:fill="FFFFFF"/>
            <w:vAlign w:val="center"/>
          </w:tcPr>
          <w:p w:rsidR="00742AE2" w:rsidRPr="00B917D4" w:rsidRDefault="00742AE2" w:rsidP="009A0341">
            <w:pPr>
              <w:autoSpaceDE w:val="0"/>
              <w:autoSpaceDN w:val="0"/>
              <w:adjustRightInd w:val="0"/>
              <w:spacing w:after="0"/>
              <w:ind w:left="60" w:right="60"/>
              <w:jc w:val="both"/>
              <w:rPr>
                <w:rFonts w:ascii="Times New Roman" w:hAnsi="Times New Roman" w:cs="Times New Roman"/>
                <w:sz w:val="24"/>
                <w:szCs w:val="24"/>
              </w:rPr>
            </w:pPr>
            <w:r w:rsidRPr="00B917D4">
              <w:rPr>
                <w:rFonts w:ascii="Times New Roman" w:hAnsi="Times New Roman" w:cs="Times New Roman"/>
                <w:sz w:val="24"/>
                <w:szCs w:val="24"/>
              </w:rPr>
              <w:t>.000</w:t>
            </w:r>
          </w:p>
        </w:tc>
      </w:tr>
      <w:tr w:rsidR="00742AE2" w:rsidRPr="00B917D4" w:rsidTr="009A0341">
        <w:trPr>
          <w:cantSplit/>
          <w:jc w:val="center"/>
        </w:trPr>
        <w:tc>
          <w:tcPr>
            <w:tcW w:w="2602" w:type="dxa"/>
            <w:shd w:val="clear" w:color="auto" w:fill="FFFFFF"/>
            <w:vAlign w:val="center"/>
          </w:tcPr>
          <w:p w:rsidR="00742AE2" w:rsidRPr="00B917D4" w:rsidRDefault="00742AE2" w:rsidP="009A0341">
            <w:pPr>
              <w:autoSpaceDE w:val="0"/>
              <w:autoSpaceDN w:val="0"/>
              <w:adjustRightInd w:val="0"/>
              <w:spacing w:after="0"/>
              <w:ind w:right="60"/>
              <w:jc w:val="both"/>
              <w:rPr>
                <w:rFonts w:ascii="Times New Roman" w:hAnsi="Times New Roman" w:cs="Times New Roman"/>
                <w:sz w:val="24"/>
                <w:szCs w:val="24"/>
              </w:rPr>
            </w:pPr>
            <w:r w:rsidRPr="00B917D4">
              <w:rPr>
                <w:rFonts w:ascii="Times New Roman" w:hAnsi="Times New Roman" w:cs="Times New Roman"/>
                <w:sz w:val="24"/>
                <w:szCs w:val="24"/>
              </w:rPr>
              <w:t xml:space="preserve"> R</w:t>
            </w:r>
            <w:r w:rsidR="00B94F8D" w:rsidRPr="00B917D4">
              <w:rPr>
                <w:rFonts w:ascii="Times New Roman" w:hAnsi="Times New Roman" w:cs="Times New Roman"/>
                <w:sz w:val="24"/>
                <w:szCs w:val="24"/>
              </w:rPr>
              <w:t xml:space="preserve">eturn on Assets </w:t>
            </w:r>
            <w:r w:rsidRPr="00B917D4">
              <w:rPr>
                <w:rFonts w:ascii="Times New Roman" w:hAnsi="Times New Roman" w:cs="Times New Roman"/>
                <w:sz w:val="24"/>
                <w:szCs w:val="24"/>
              </w:rPr>
              <w:t>(%)</w:t>
            </w:r>
          </w:p>
        </w:tc>
        <w:tc>
          <w:tcPr>
            <w:tcW w:w="1701" w:type="dxa"/>
            <w:shd w:val="clear" w:color="auto" w:fill="FFFFFF"/>
            <w:vAlign w:val="center"/>
          </w:tcPr>
          <w:p w:rsidR="00742AE2" w:rsidRPr="00B917D4" w:rsidRDefault="008A5DF6" w:rsidP="009A0341">
            <w:pPr>
              <w:autoSpaceDE w:val="0"/>
              <w:autoSpaceDN w:val="0"/>
              <w:adjustRightInd w:val="0"/>
              <w:spacing w:after="0"/>
              <w:ind w:left="60" w:right="60"/>
              <w:jc w:val="both"/>
              <w:rPr>
                <w:rFonts w:ascii="Times New Roman" w:hAnsi="Times New Roman" w:cs="Times New Roman"/>
                <w:sz w:val="24"/>
                <w:szCs w:val="24"/>
              </w:rPr>
            </w:pPr>
            <w:r w:rsidRPr="00B917D4">
              <w:rPr>
                <w:rFonts w:ascii="Times New Roman" w:hAnsi="Times New Roman" w:cs="Times New Roman"/>
                <w:sz w:val="24"/>
                <w:szCs w:val="24"/>
              </w:rPr>
              <w:t>0</w:t>
            </w:r>
            <w:r w:rsidR="00742AE2" w:rsidRPr="00B917D4">
              <w:rPr>
                <w:rFonts w:ascii="Times New Roman" w:hAnsi="Times New Roman" w:cs="Times New Roman"/>
                <w:sz w:val="24"/>
                <w:szCs w:val="24"/>
              </w:rPr>
              <w:t>.960</w:t>
            </w:r>
          </w:p>
        </w:tc>
        <w:tc>
          <w:tcPr>
            <w:tcW w:w="1701" w:type="dxa"/>
            <w:shd w:val="clear" w:color="auto" w:fill="FFFFFF"/>
            <w:vAlign w:val="center"/>
          </w:tcPr>
          <w:p w:rsidR="00742AE2" w:rsidRPr="00B917D4" w:rsidRDefault="00742AE2" w:rsidP="009A0341">
            <w:pPr>
              <w:autoSpaceDE w:val="0"/>
              <w:autoSpaceDN w:val="0"/>
              <w:adjustRightInd w:val="0"/>
              <w:spacing w:after="0"/>
              <w:ind w:left="60" w:right="60"/>
              <w:jc w:val="both"/>
              <w:rPr>
                <w:rFonts w:ascii="Times New Roman" w:hAnsi="Times New Roman" w:cs="Times New Roman"/>
                <w:sz w:val="24"/>
                <w:szCs w:val="24"/>
              </w:rPr>
            </w:pPr>
            <w:r w:rsidRPr="00B917D4">
              <w:rPr>
                <w:rFonts w:ascii="Times New Roman" w:hAnsi="Times New Roman" w:cs="Times New Roman"/>
                <w:sz w:val="24"/>
                <w:szCs w:val="24"/>
              </w:rPr>
              <w:t>32</w:t>
            </w:r>
          </w:p>
        </w:tc>
        <w:tc>
          <w:tcPr>
            <w:tcW w:w="1701" w:type="dxa"/>
            <w:shd w:val="clear" w:color="auto" w:fill="FFFFFF"/>
            <w:vAlign w:val="center"/>
          </w:tcPr>
          <w:p w:rsidR="00742AE2" w:rsidRPr="00B917D4" w:rsidRDefault="00742AE2" w:rsidP="009A0341">
            <w:pPr>
              <w:autoSpaceDE w:val="0"/>
              <w:autoSpaceDN w:val="0"/>
              <w:adjustRightInd w:val="0"/>
              <w:spacing w:after="0"/>
              <w:ind w:left="60" w:right="60"/>
              <w:jc w:val="both"/>
              <w:rPr>
                <w:rFonts w:ascii="Times New Roman" w:hAnsi="Times New Roman" w:cs="Times New Roman"/>
                <w:sz w:val="24"/>
                <w:szCs w:val="24"/>
              </w:rPr>
            </w:pPr>
            <w:r w:rsidRPr="00B917D4">
              <w:rPr>
                <w:rFonts w:ascii="Times New Roman" w:hAnsi="Times New Roman" w:cs="Times New Roman"/>
                <w:sz w:val="24"/>
                <w:szCs w:val="24"/>
              </w:rPr>
              <w:t>.279</w:t>
            </w:r>
          </w:p>
        </w:tc>
      </w:tr>
      <w:tr w:rsidR="00742AE2" w:rsidRPr="00B917D4" w:rsidTr="009A0341">
        <w:trPr>
          <w:cantSplit/>
          <w:jc w:val="center"/>
        </w:trPr>
        <w:tc>
          <w:tcPr>
            <w:tcW w:w="2602" w:type="dxa"/>
            <w:shd w:val="clear" w:color="auto" w:fill="FFFFFF"/>
            <w:vAlign w:val="center"/>
          </w:tcPr>
          <w:p w:rsidR="00742AE2" w:rsidRPr="00B917D4" w:rsidRDefault="00742AE2" w:rsidP="009A0341">
            <w:pPr>
              <w:autoSpaceDE w:val="0"/>
              <w:autoSpaceDN w:val="0"/>
              <w:adjustRightInd w:val="0"/>
              <w:spacing w:after="0"/>
              <w:ind w:left="60" w:right="60"/>
              <w:jc w:val="both"/>
              <w:rPr>
                <w:rFonts w:ascii="Times New Roman" w:hAnsi="Times New Roman" w:cs="Times New Roman"/>
                <w:sz w:val="24"/>
                <w:szCs w:val="24"/>
                <w:vertAlign w:val="subscript"/>
              </w:rPr>
            </w:pPr>
            <w:r w:rsidRPr="00B917D4">
              <w:rPr>
                <w:rFonts w:ascii="Times New Roman" w:hAnsi="Times New Roman" w:cs="Times New Roman"/>
                <w:sz w:val="24"/>
                <w:szCs w:val="24"/>
              </w:rPr>
              <w:t>A</w:t>
            </w:r>
            <w:r w:rsidR="00B94F8D" w:rsidRPr="00B917D4">
              <w:rPr>
                <w:rFonts w:ascii="Times New Roman" w:hAnsi="Times New Roman" w:cs="Times New Roman"/>
                <w:sz w:val="24"/>
                <w:szCs w:val="24"/>
              </w:rPr>
              <w:t xml:space="preserve">sset </w:t>
            </w:r>
            <w:r w:rsidRPr="00B917D4">
              <w:rPr>
                <w:rFonts w:ascii="Times New Roman" w:hAnsi="Times New Roman" w:cs="Times New Roman"/>
                <w:sz w:val="24"/>
                <w:szCs w:val="24"/>
              </w:rPr>
              <w:t>Q</w:t>
            </w:r>
            <w:r w:rsidR="00B94F8D" w:rsidRPr="00B917D4">
              <w:rPr>
                <w:rFonts w:ascii="Times New Roman" w:hAnsi="Times New Roman" w:cs="Times New Roman"/>
                <w:sz w:val="24"/>
                <w:szCs w:val="24"/>
              </w:rPr>
              <w:t>uality</w:t>
            </w:r>
            <w:r w:rsidRPr="00B917D4">
              <w:rPr>
                <w:rFonts w:ascii="Times New Roman" w:hAnsi="Times New Roman" w:cs="Times New Roman"/>
                <w:sz w:val="24"/>
                <w:szCs w:val="24"/>
                <w:vertAlign w:val="subscript"/>
              </w:rPr>
              <w:t>t+1</w:t>
            </w:r>
          </w:p>
        </w:tc>
        <w:tc>
          <w:tcPr>
            <w:tcW w:w="1701" w:type="dxa"/>
            <w:shd w:val="clear" w:color="auto" w:fill="FFFFFF"/>
            <w:vAlign w:val="center"/>
          </w:tcPr>
          <w:p w:rsidR="00742AE2" w:rsidRPr="00B917D4" w:rsidRDefault="008A5DF6" w:rsidP="009A0341">
            <w:pPr>
              <w:autoSpaceDE w:val="0"/>
              <w:autoSpaceDN w:val="0"/>
              <w:adjustRightInd w:val="0"/>
              <w:spacing w:after="0"/>
              <w:ind w:left="60" w:right="60"/>
              <w:jc w:val="both"/>
              <w:rPr>
                <w:rFonts w:ascii="Times New Roman" w:hAnsi="Times New Roman" w:cs="Times New Roman"/>
                <w:sz w:val="24"/>
                <w:szCs w:val="24"/>
              </w:rPr>
            </w:pPr>
            <w:r w:rsidRPr="00B917D4">
              <w:rPr>
                <w:rFonts w:ascii="Times New Roman" w:hAnsi="Times New Roman" w:cs="Times New Roman"/>
                <w:sz w:val="24"/>
                <w:szCs w:val="24"/>
              </w:rPr>
              <w:t>0</w:t>
            </w:r>
            <w:r w:rsidR="00742AE2" w:rsidRPr="00B917D4">
              <w:rPr>
                <w:rFonts w:ascii="Times New Roman" w:hAnsi="Times New Roman" w:cs="Times New Roman"/>
                <w:sz w:val="24"/>
                <w:szCs w:val="24"/>
              </w:rPr>
              <w:t>.959</w:t>
            </w:r>
          </w:p>
        </w:tc>
        <w:tc>
          <w:tcPr>
            <w:tcW w:w="1701" w:type="dxa"/>
            <w:shd w:val="clear" w:color="auto" w:fill="FFFFFF"/>
            <w:vAlign w:val="center"/>
          </w:tcPr>
          <w:p w:rsidR="00742AE2" w:rsidRPr="00B917D4" w:rsidRDefault="00742AE2" w:rsidP="009A0341">
            <w:pPr>
              <w:autoSpaceDE w:val="0"/>
              <w:autoSpaceDN w:val="0"/>
              <w:adjustRightInd w:val="0"/>
              <w:spacing w:after="0"/>
              <w:ind w:left="60" w:right="60"/>
              <w:jc w:val="both"/>
              <w:rPr>
                <w:rFonts w:ascii="Times New Roman" w:hAnsi="Times New Roman" w:cs="Times New Roman"/>
                <w:sz w:val="24"/>
                <w:szCs w:val="24"/>
              </w:rPr>
            </w:pPr>
            <w:r w:rsidRPr="00B917D4">
              <w:rPr>
                <w:rFonts w:ascii="Times New Roman" w:hAnsi="Times New Roman" w:cs="Times New Roman"/>
                <w:sz w:val="24"/>
                <w:szCs w:val="24"/>
              </w:rPr>
              <w:t>32</w:t>
            </w:r>
          </w:p>
        </w:tc>
        <w:tc>
          <w:tcPr>
            <w:tcW w:w="1701" w:type="dxa"/>
            <w:shd w:val="clear" w:color="auto" w:fill="FFFFFF"/>
            <w:vAlign w:val="center"/>
          </w:tcPr>
          <w:p w:rsidR="00742AE2" w:rsidRPr="00B917D4" w:rsidRDefault="00742AE2" w:rsidP="009A0341">
            <w:pPr>
              <w:autoSpaceDE w:val="0"/>
              <w:autoSpaceDN w:val="0"/>
              <w:adjustRightInd w:val="0"/>
              <w:spacing w:after="0"/>
              <w:ind w:left="60" w:right="60"/>
              <w:jc w:val="both"/>
              <w:rPr>
                <w:rFonts w:ascii="Times New Roman" w:hAnsi="Times New Roman" w:cs="Times New Roman"/>
                <w:sz w:val="24"/>
                <w:szCs w:val="24"/>
              </w:rPr>
            </w:pPr>
            <w:r w:rsidRPr="00B917D4">
              <w:rPr>
                <w:rFonts w:ascii="Times New Roman" w:hAnsi="Times New Roman" w:cs="Times New Roman"/>
                <w:sz w:val="24"/>
                <w:szCs w:val="24"/>
              </w:rPr>
              <w:t>.257</w:t>
            </w:r>
          </w:p>
        </w:tc>
      </w:tr>
    </w:tbl>
    <w:p w:rsidR="00742AE2" w:rsidRPr="00B917D4" w:rsidRDefault="008A5DF6" w:rsidP="009A0341">
      <w:pPr>
        <w:autoSpaceDE w:val="0"/>
        <w:autoSpaceDN w:val="0"/>
        <w:adjustRightInd w:val="0"/>
        <w:spacing w:before="240"/>
        <w:ind w:left="851"/>
        <w:jc w:val="both"/>
        <w:rPr>
          <w:rFonts w:ascii="Times New Roman" w:hAnsi="Times New Roman" w:cs="Times New Roman"/>
          <w:sz w:val="24"/>
          <w:szCs w:val="24"/>
        </w:rPr>
      </w:pPr>
      <w:r w:rsidRPr="00B917D4">
        <w:rPr>
          <w:rFonts w:ascii="Times New Roman" w:hAnsi="Times New Roman" w:cs="Times New Roman"/>
          <w:sz w:val="24"/>
          <w:szCs w:val="24"/>
        </w:rPr>
        <w:t>Source: Research data (2017)</w:t>
      </w:r>
    </w:p>
    <w:p w:rsidR="00595237" w:rsidRPr="00B917D4" w:rsidRDefault="000C2FCF" w:rsidP="0032054C">
      <w:pPr>
        <w:pStyle w:val="ListParagraph"/>
        <w:numPr>
          <w:ilvl w:val="0"/>
          <w:numId w:val="1"/>
        </w:numPr>
        <w:ind w:left="567" w:hanging="567"/>
        <w:contextualSpacing w:val="0"/>
        <w:jc w:val="both"/>
        <w:rPr>
          <w:rFonts w:ascii="Times New Roman" w:hAnsi="Times New Roman" w:cs="Times New Roman"/>
          <w:b/>
          <w:sz w:val="24"/>
          <w:szCs w:val="24"/>
        </w:rPr>
      </w:pPr>
      <w:r w:rsidRPr="00B917D4">
        <w:rPr>
          <w:rFonts w:ascii="Times New Roman" w:hAnsi="Times New Roman" w:cs="Times New Roman"/>
          <w:b/>
          <w:sz w:val="24"/>
          <w:szCs w:val="24"/>
        </w:rPr>
        <w:t>Results</w:t>
      </w:r>
    </w:p>
    <w:p w:rsidR="00444384" w:rsidRPr="00B917D4" w:rsidRDefault="00444384" w:rsidP="0032054C">
      <w:pPr>
        <w:jc w:val="both"/>
        <w:rPr>
          <w:rFonts w:ascii="Times New Roman" w:hAnsi="Times New Roman" w:cs="Times New Roman"/>
          <w:sz w:val="24"/>
          <w:szCs w:val="24"/>
        </w:rPr>
      </w:pPr>
      <w:r w:rsidRPr="00B917D4">
        <w:rPr>
          <w:rFonts w:ascii="Times New Roman" w:hAnsi="Times New Roman" w:cs="Times New Roman"/>
          <w:sz w:val="24"/>
          <w:szCs w:val="24"/>
        </w:rPr>
        <w:t>The objective of this paper were to investigate, first the effect of sectorial credit diversification on bank financial performance and second, the sectorial credit diversification effects on bank monitoring effectiveness. To achieve these objectives,</w:t>
      </w:r>
      <w:r w:rsidRPr="00B917D4">
        <w:rPr>
          <w:rFonts w:ascii="Times New Roman" w:hAnsi="Times New Roman" w:cs="Times New Roman"/>
          <w:sz w:val="24"/>
          <w:szCs w:val="24"/>
          <w:lang w:eastAsia="en-GB"/>
        </w:rPr>
        <w:t xml:space="preserve"> sectoral credit diversification was regressed against financial performance indicator and asset quality as a proxy of bank monitoring </w:t>
      </w:r>
      <w:r w:rsidRPr="00B917D4">
        <w:rPr>
          <w:rFonts w:ascii="Times New Roman" w:hAnsi="Times New Roman" w:cs="Times New Roman"/>
          <w:sz w:val="24"/>
          <w:szCs w:val="24"/>
          <w:lang w:eastAsia="en-GB"/>
        </w:rPr>
        <w:lastRenderedPageBreak/>
        <w:t xml:space="preserve">effectiveness using a GLM model at 5 percent significance level. </w:t>
      </w:r>
      <w:r w:rsidR="001D31B6" w:rsidRPr="00B917D4">
        <w:rPr>
          <w:rFonts w:ascii="Times New Roman" w:hAnsi="Times New Roman" w:cs="Times New Roman"/>
          <w:sz w:val="24"/>
          <w:szCs w:val="24"/>
          <w:lang w:eastAsia="en-GB"/>
        </w:rPr>
        <w:t>As shown in table 4 and 5</w:t>
      </w:r>
      <w:r w:rsidRPr="00B917D4">
        <w:rPr>
          <w:rFonts w:ascii="Times New Roman" w:hAnsi="Times New Roman" w:cs="Times New Roman"/>
          <w:sz w:val="24"/>
          <w:szCs w:val="24"/>
          <w:lang w:eastAsia="en-GB"/>
        </w:rPr>
        <w:t xml:space="preserve">, </w:t>
      </w:r>
      <w:r w:rsidRPr="00B917D4">
        <w:rPr>
          <w:rFonts w:ascii="Times New Roman" w:hAnsi="Times New Roman" w:cs="Times New Roman"/>
          <w:sz w:val="24"/>
          <w:szCs w:val="24"/>
        </w:rPr>
        <w:t>all the coefficients in the models were collectively significant since the value of the LR statistic is significant in both models (p-value&lt;0.05).</w:t>
      </w:r>
      <w:r w:rsidR="001D31B6" w:rsidRPr="00B917D4">
        <w:rPr>
          <w:rFonts w:ascii="Times New Roman" w:hAnsi="Times New Roman" w:cs="Times New Roman"/>
          <w:sz w:val="24"/>
          <w:szCs w:val="24"/>
        </w:rPr>
        <w:t xml:space="preserve"> The results are presented in the following section.</w:t>
      </w:r>
    </w:p>
    <w:p w:rsidR="000C2FCF" w:rsidRPr="00B917D4" w:rsidRDefault="000C2FCF" w:rsidP="0032054C">
      <w:pPr>
        <w:pStyle w:val="ListParagraph"/>
        <w:numPr>
          <w:ilvl w:val="1"/>
          <w:numId w:val="1"/>
        </w:numPr>
        <w:ind w:left="567" w:hanging="567"/>
        <w:contextualSpacing w:val="0"/>
        <w:jc w:val="both"/>
        <w:rPr>
          <w:rFonts w:ascii="Times New Roman" w:hAnsi="Times New Roman" w:cs="Times New Roman"/>
          <w:b/>
          <w:sz w:val="24"/>
          <w:szCs w:val="24"/>
        </w:rPr>
      </w:pPr>
      <w:r w:rsidRPr="00B917D4">
        <w:rPr>
          <w:rFonts w:ascii="Times New Roman" w:hAnsi="Times New Roman" w:cs="Times New Roman"/>
          <w:b/>
          <w:sz w:val="24"/>
          <w:szCs w:val="24"/>
        </w:rPr>
        <w:t>Effect of Sectorial Credit Diversification on Bank Financial Performance</w:t>
      </w:r>
    </w:p>
    <w:p w:rsidR="00E249E1" w:rsidRDefault="001D31B6" w:rsidP="0032054C">
      <w:pPr>
        <w:jc w:val="both"/>
        <w:rPr>
          <w:rFonts w:ascii="Times New Roman" w:hAnsi="Times New Roman" w:cs="Times New Roman"/>
          <w:sz w:val="24"/>
          <w:szCs w:val="24"/>
        </w:rPr>
      </w:pPr>
      <w:r w:rsidRPr="00B917D4">
        <w:rPr>
          <w:rFonts w:ascii="Times New Roman" w:hAnsi="Times New Roman" w:cs="Times New Roman"/>
          <w:sz w:val="24"/>
          <w:szCs w:val="24"/>
        </w:rPr>
        <w:t xml:space="preserve">To determine the effect of sectoral credit diversification in the financial performance of east African banking industries, </w:t>
      </w:r>
      <w:r w:rsidR="007D7256" w:rsidRPr="00B917D4">
        <w:rPr>
          <w:rFonts w:ascii="Times New Roman" w:hAnsi="Times New Roman" w:cs="Times New Roman"/>
          <w:sz w:val="24"/>
          <w:szCs w:val="24"/>
        </w:rPr>
        <w:t xml:space="preserve">the study was guided by the hypothesis that: Sectoral credit diversification does not </w:t>
      </w:r>
      <w:r w:rsidR="00D811B5" w:rsidRPr="00B917D4">
        <w:rPr>
          <w:rFonts w:ascii="Times New Roman" w:hAnsi="Times New Roman" w:cs="Times New Roman"/>
          <w:sz w:val="24"/>
          <w:szCs w:val="24"/>
        </w:rPr>
        <w:t>improve banking industry</w:t>
      </w:r>
      <w:r w:rsidR="007D7256" w:rsidRPr="00B917D4">
        <w:rPr>
          <w:rFonts w:ascii="Times New Roman" w:hAnsi="Times New Roman" w:cs="Times New Roman"/>
          <w:sz w:val="24"/>
          <w:szCs w:val="24"/>
        </w:rPr>
        <w:t xml:space="preserve"> financial performance. Based on the regression results (table 4), this hypothesis was rejected (β=11.32803, p-value=0.0000). This implies that sectoral credit diversification improved the bank’s financial performance across the east African banking industries. </w:t>
      </w:r>
      <w:r w:rsidR="00E249E1" w:rsidRPr="00B917D4">
        <w:rPr>
          <w:rFonts w:ascii="Times New Roman" w:hAnsi="Times New Roman" w:cs="Times New Roman"/>
          <w:sz w:val="24"/>
          <w:szCs w:val="24"/>
        </w:rPr>
        <w:t xml:space="preserve">These findings concur with the theoretical prescriptions by Diamond (1984) that diversification reduced the intermediary delegated monitoring costs and therefore the intermediary is able to earn a return beyond what is payable to the fund suppliers. However, the findings contradict the findings by amongst others, Chen </w:t>
      </w:r>
      <w:r w:rsidR="00E249E1" w:rsidRPr="00B917D4">
        <w:rPr>
          <w:rFonts w:ascii="Times New Roman" w:hAnsi="Times New Roman" w:cs="Times New Roman"/>
          <w:i/>
          <w:sz w:val="24"/>
          <w:szCs w:val="24"/>
        </w:rPr>
        <w:t>et al</w:t>
      </w:r>
      <w:r w:rsidR="00E249E1" w:rsidRPr="00B917D4">
        <w:rPr>
          <w:rFonts w:ascii="Times New Roman" w:hAnsi="Times New Roman" w:cs="Times New Roman"/>
          <w:sz w:val="24"/>
          <w:szCs w:val="24"/>
        </w:rPr>
        <w:t xml:space="preserve">., (2013 &amp; 2014), Turkmen and Yigit (2012), Raei </w:t>
      </w:r>
      <w:r w:rsidR="00E249E1" w:rsidRPr="00B917D4">
        <w:rPr>
          <w:rFonts w:ascii="Times New Roman" w:hAnsi="Times New Roman" w:cs="Times New Roman"/>
          <w:i/>
          <w:sz w:val="24"/>
          <w:szCs w:val="24"/>
        </w:rPr>
        <w:t>et al</w:t>
      </w:r>
      <w:r w:rsidR="00E249E1" w:rsidRPr="00B917D4">
        <w:rPr>
          <w:rFonts w:ascii="Times New Roman" w:hAnsi="Times New Roman" w:cs="Times New Roman"/>
          <w:sz w:val="24"/>
          <w:szCs w:val="24"/>
        </w:rPr>
        <w:t xml:space="preserve">., (2016), </w:t>
      </w:r>
      <w:r w:rsidR="00E249E1" w:rsidRPr="00B917D4">
        <w:rPr>
          <w:rFonts w:ascii="Times New Roman" w:eastAsia="TimesNewRomanPSMT" w:hAnsi="Times New Roman" w:cs="Times New Roman"/>
          <w:sz w:val="24"/>
          <w:szCs w:val="24"/>
        </w:rPr>
        <w:t>Fazio and Cajueiro</w:t>
      </w:r>
      <w:r w:rsidR="00E249E1" w:rsidRPr="00B917D4">
        <w:rPr>
          <w:rFonts w:ascii="Times New Roman" w:eastAsia="TimesNewRoman" w:hAnsi="Times New Roman" w:cs="Times New Roman"/>
          <w:sz w:val="24"/>
          <w:szCs w:val="24"/>
        </w:rPr>
        <w:t xml:space="preserve"> (2011), Chen and Lin (2010) and </w:t>
      </w:r>
      <w:r w:rsidR="00E249E1" w:rsidRPr="00B917D4">
        <w:rPr>
          <w:rFonts w:ascii="Times New Roman" w:hAnsi="Times New Roman" w:cs="Times New Roman"/>
          <w:sz w:val="24"/>
          <w:szCs w:val="24"/>
        </w:rPr>
        <w:t>Belguith and Bellouma (2017)</w:t>
      </w:r>
      <w:r w:rsidR="00E249E1" w:rsidRPr="00B917D4">
        <w:rPr>
          <w:rFonts w:ascii="Times New Roman" w:eastAsia="TimesNewRoman" w:hAnsi="Times New Roman" w:cs="Times New Roman"/>
          <w:sz w:val="24"/>
          <w:szCs w:val="24"/>
        </w:rPr>
        <w:t xml:space="preserve"> who reported a </w:t>
      </w:r>
      <w:r w:rsidR="00E249E1" w:rsidRPr="00B917D4">
        <w:rPr>
          <w:rFonts w:ascii="Times New Roman" w:hAnsi="Times New Roman" w:cs="Times New Roman"/>
          <w:sz w:val="24"/>
          <w:szCs w:val="24"/>
        </w:rPr>
        <w:t>sectoral credit diversification discount on bank financial performance.</w:t>
      </w:r>
    </w:p>
    <w:p w:rsidR="001D31B6" w:rsidRPr="00B917D4" w:rsidRDefault="001D31B6" w:rsidP="009A0341">
      <w:pPr>
        <w:jc w:val="center"/>
        <w:rPr>
          <w:rFonts w:ascii="Times New Roman" w:hAnsi="Times New Roman" w:cs="Times New Roman"/>
          <w:sz w:val="24"/>
          <w:szCs w:val="24"/>
        </w:rPr>
      </w:pPr>
      <w:r w:rsidRPr="00B917D4">
        <w:rPr>
          <w:rFonts w:ascii="Times New Roman" w:hAnsi="Times New Roman" w:cs="Times New Roman"/>
          <w:sz w:val="24"/>
          <w:szCs w:val="24"/>
        </w:rPr>
        <w:t>Table 4: Regression model results for financial performance</w:t>
      </w:r>
    </w:p>
    <w:tbl>
      <w:tblPr>
        <w:tblW w:w="9332" w:type="dxa"/>
        <w:tblInd w:w="30" w:type="dxa"/>
        <w:tblBorders>
          <w:top w:val="single" w:sz="4" w:space="0" w:color="auto"/>
          <w:bottom w:val="single" w:sz="4" w:space="0" w:color="auto"/>
        </w:tblBorders>
        <w:tblLayout w:type="fixed"/>
        <w:tblCellMar>
          <w:left w:w="0" w:type="dxa"/>
          <w:right w:w="0" w:type="dxa"/>
        </w:tblCellMar>
        <w:tblLook w:val="0000"/>
      </w:tblPr>
      <w:tblGrid>
        <w:gridCol w:w="2521"/>
        <w:gridCol w:w="474"/>
        <w:gridCol w:w="1651"/>
        <w:gridCol w:w="1527"/>
        <w:gridCol w:w="1167"/>
        <w:gridCol w:w="420"/>
        <w:gridCol w:w="1572"/>
      </w:tblGrid>
      <w:tr w:rsidR="001D31B6" w:rsidRPr="00B917D4" w:rsidTr="009A0341">
        <w:trPr>
          <w:trHeight w:val="225"/>
        </w:trPr>
        <w:tc>
          <w:tcPr>
            <w:tcW w:w="9332" w:type="dxa"/>
            <w:gridSpan w:val="7"/>
            <w:vAlign w:val="bottom"/>
          </w:tcPr>
          <w:p w:rsidR="001D31B6" w:rsidRPr="00B917D4" w:rsidRDefault="001D31B6" w:rsidP="009A0341">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Dependent Variable: R</w:t>
            </w:r>
            <w:r w:rsidR="00B94F8D" w:rsidRPr="00B917D4">
              <w:rPr>
                <w:rFonts w:ascii="Times New Roman" w:hAnsi="Times New Roman" w:cs="Times New Roman"/>
                <w:sz w:val="24"/>
                <w:szCs w:val="24"/>
              </w:rPr>
              <w:t>eturn on Assets (ROA)</w:t>
            </w:r>
          </w:p>
        </w:tc>
      </w:tr>
      <w:tr w:rsidR="001D31B6" w:rsidRPr="00B917D4" w:rsidTr="009A0341">
        <w:trPr>
          <w:trHeight w:val="225"/>
        </w:trPr>
        <w:tc>
          <w:tcPr>
            <w:tcW w:w="9332" w:type="dxa"/>
            <w:gridSpan w:val="7"/>
            <w:vAlign w:val="bottom"/>
          </w:tcPr>
          <w:p w:rsidR="001D31B6" w:rsidRPr="00B917D4" w:rsidRDefault="001D31B6" w:rsidP="009A0341">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Method: Generalized Linear Model (Quadratic Hill Climbing)</w:t>
            </w:r>
          </w:p>
        </w:tc>
      </w:tr>
      <w:tr w:rsidR="001D31B6" w:rsidRPr="00B917D4" w:rsidTr="009A0341">
        <w:trPr>
          <w:trHeight w:val="225"/>
        </w:trPr>
        <w:tc>
          <w:tcPr>
            <w:tcW w:w="9332" w:type="dxa"/>
            <w:gridSpan w:val="7"/>
            <w:vAlign w:val="bottom"/>
          </w:tcPr>
          <w:p w:rsidR="001D31B6" w:rsidRPr="00B917D4" w:rsidRDefault="001D31B6" w:rsidP="009A0341">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Sample: 2008 2015</w:t>
            </w:r>
          </w:p>
        </w:tc>
      </w:tr>
      <w:tr w:rsidR="001D31B6" w:rsidRPr="00B917D4" w:rsidTr="009A0341">
        <w:trPr>
          <w:trHeight w:val="225"/>
        </w:trPr>
        <w:tc>
          <w:tcPr>
            <w:tcW w:w="9332" w:type="dxa"/>
            <w:gridSpan w:val="7"/>
            <w:vAlign w:val="bottom"/>
          </w:tcPr>
          <w:p w:rsidR="001D31B6" w:rsidRPr="00B917D4" w:rsidRDefault="001D31B6" w:rsidP="009A0341">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Included observations: 32</w:t>
            </w:r>
          </w:p>
        </w:tc>
      </w:tr>
      <w:tr w:rsidR="001D31B6" w:rsidRPr="00B917D4" w:rsidTr="009A0341">
        <w:trPr>
          <w:trHeight w:val="225"/>
        </w:trPr>
        <w:tc>
          <w:tcPr>
            <w:tcW w:w="9332" w:type="dxa"/>
            <w:gridSpan w:val="7"/>
            <w:tcBorders>
              <w:bottom w:val="nil"/>
            </w:tcBorders>
            <w:vAlign w:val="bottom"/>
          </w:tcPr>
          <w:p w:rsidR="001D31B6" w:rsidRPr="00B917D4" w:rsidRDefault="001D31B6" w:rsidP="009A0341">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Family: Normal</w:t>
            </w:r>
          </w:p>
        </w:tc>
      </w:tr>
      <w:tr w:rsidR="001D31B6" w:rsidRPr="00B917D4" w:rsidTr="009A0341">
        <w:trPr>
          <w:trHeight w:val="225"/>
        </w:trPr>
        <w:tc>
          <w:tcPr>
            <w:tcW w:w="9332" w:type="dxa"/>
            <w:gridSpan w:val="7"/>
            <w:tcBorders>
              <w:top w:val="nil"/>
              <w:bottom w:val="single" w:sz="4" w:space="0" w:color="auto"/>
            </w:tcBorders>
            <w:vAlign w:val="bottom"/>
          </w:tcPr>
          <w:p w:rsidR="001D31B6" w:rsidRPr="00B917D4" w:rsidRDefault="001D31B6" w:rsidP="009A0341">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Link: Identity</w:t>
            </w:r>
          </w:p>
        </w:tc>
      </w:tr>
      <w:tr w:rsidR="001D31B6" w:rsidRPr="00B917D4" w:rsidTr="009A0341">
        <w:trPr>
          <w:trHeight w:val="225"/>
        </w:trPr>
        <w:tc>
          <w:tcPr>
            <w:tcW w:w="2995" w:type="dxa"/>
            <w:gridSpan w:val="2"/>
            <w:tcBorders>
              <w:top w:val="single" w:sz="4" w:space="0" w:color="auto"/>
              <w:bottom w:val="single" w:sz="4" w:space="0" w:color="auto"/>
            </w:tcBorders>
            <w:vAlign w:val="bottom"/>
          </w:tcPr>
          <w:p w:rsidR="001D31B6" w:rsidRPr="00B917D4" w:rsidRDefault="001D31B6" w:rsidP="009A0341">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Variable</w:t>
            </w:r>
          </w:p>
        </w:tc>
        <w:tc>
          <w:tcPr>
            <w:tcW w:w="1651" w:type="dxa"/>
            <w:tcBorders>
              <w:top w:val="single" w:sz="4" w:space="0" w:color="auto"/>
              <w:bottom w:val="single" w:sz="4" w:space="0" w:color="auto"/>
            </w:tcBorders>
            <w:vAlign w:val="bottom"/>
          </w:tcPr>
          <w:p w:rsidR="001D31B6" w:rsidRPr="00B917D4" w:rsidRDefault="001D31B6" w:rsidP="009A0341">
            <w:pPr>
              <w:autoSpaceDE w:val="0"/>
              <w:autoSpaceDN w:val="0"/>
              <w:adjustRightInd w:val="0"/>
              <w:spacing w:after="0"/>
              <w:ind w:right="10"/>
              <w:jc w:val="center"/>
              <w:rPr>
                <w:rFonts w:ascii="Times New Roman" w:hAnsi="Times New Roman" w:cs="Times New Roman"/>
                <w:sz w:val="24"/>
                <w:szCs w:val="24"/>
              </w:rPr>
            </w:pPr>
            <w:r w:rsidRPr="00B917D4">
              <w:rPr>
                <w:rFonts w:ascii="Times New Roman" w:hAnsi="Times New Roman" w:cs="Times New Roman"/>
                <w:sz w:val="24"/>
                <w:szCs w:val="24"/>
              </w:rPr>
              <w:t>Coefficient</w:t>
            </w:r>
          </w:p>
        </w:tc>
        <w:tc>
          <w:tcPr>
            <w:tcW w:w="1527" w:type="dxa"/>
            <w:tcBorders>
              <w:top w:val="single" w:sz="4" w:space="0" w:color="auto"/>
              <w:bottom w:val="single" w:sz="4" w:space="0" w:color="auto"/>
            </w:tcBorders>
            <w:vAlign w:val="bottom"/>
          </w:tcPr>
          <w:p w:rsidR="001D31B6" w:rsidRPr="00B917D4" w:rsidRDefault="001D31B6" w:rsidP="004B546D">
            <w:pPr>
              <w:autoSpaceDE w:val="0"/>
              <w:autoSpaceDN w:val="0"/>
              <w:adjustRightInd w:val="0"/>
              <w:spacing w:after="0"/>
              <w:ind w:right="10"/>
              <w:jc w:val="center"/>
              <w:rPr>
                <w:rFonts w:ascii="Times New Roman" w:hAnsi="Times New Roman" w:cs="Times New Roman"/>
                <w:sz w:val="24"/>
                <w:szCs w:val="24"/>
              </w:rPr>
            </w:pPr>
            <w:r w:rsidRPr="00B917D4">
              <w:rPr>
                <w:rFonts w:ascii="Times New Roman" w:hAnsi="Times New Roman" w:cs="Times New Roman"/>
                <w:sz w:val="24"/>
                <w:szCs w:val="24"/>
              </w:rPr>
              <w:t>Std. Error</w:t>
            </w:r>
          </w:p>
        </w:tc>
        <w:tc>
          <w:tcPr>
            <w:tcW w:w="1587" w:type="dxa"/>
            <w:gridSpan w:val="2"/>
            <w:tcBorders>
              <w:top w:val="single" w:sz="4" w:space="0" w:color="auto"/>
              <w:bottom w:val="single" w:sz="4" w:space="0" w:color="auto"/>
            </w:tcBorders>
            <w:vAlign w:val="bottom"/>
          </w:tcPr>
          <w:p w:rsidR="001D31B6" w:rsidRPr="00B917D4" w:rsidRDefault="001D31B6" w:rsidP="004B546D">
            <w:pPr>
              <w:autoSpaceDE w:val="0"/>
              <w:autoSpaceDN w:val="0"/>
              <w:adjustRightInd w:val="0"/>
              <w:spacing w:after="0"/>
              <w:ind w:right="10"/>
              <w:jc w:val="center"/>
              <w:rPr>
                <w:rFonts w:ascii="Times New Roman" w:hAnsi="Times New Roman" w:cs="Times New Roman"/>
                <w:sz w:val="24"/>
                <w:szCs w:val="24"/>
              </w:rPr>
            </w:pPr>
            <w:r w:rsidRPr="00B917D4">
              <w:rPr>
                <w:rFonts w:ascii="Times New Roman" w:hAnsi="Times New Roman" w:cs="Times New Roman"/>
                <w:sz w:val="24"/>
                <w:szCs w:val="24"/>
              </w:rPr>
              <w:t>z-Statistic</w:t>
            </w:r>
          </w:p>
        </w:tc>
        <w:tc>
          <w:tcPr>
            <w:tcW w:w="1572" w:type="dxa"/>
            <w:tcBorders>
              <w:top w:val="single" w:sz="4" w:space="0" w:color="auto"/>
              <w:bottom w:val="single" w:sz="4" w:space="0" w:color="auto"/>
            </w:tcBorders>
            <w:vAlign w:val="bottom"/>
          </w:tcPr>
          <w:p w:rsidR="001D31B6" w:rsidRPr="00B917D4" w:rsidRDefault="001D31B6" w:rsidP="004B546D">
            <w:pPr>
              <w:autoSpaceDE w:val="0"/>
              <w:autoSpaceDN w:val="0"/>
              <w:adjustRightInd w:val="0"/>
              <w:spacing w:after="0"/>
              <w:ind w:right="10"/>
              <w:jc w:val="center"/>
              <w:rPr>
                <w:rFonts w:ascii="Times New Roman" w:hAnsi="Times New Roman" w:cs="Times New Roman"/>
                <w:sz w:val="24"/>
                <w:szCs w:val="24"/>
              </w:rPr>
            </w:pPr>
            <w:r w:rsidRPr="00B917D4">
              <w:rPr>
                <w:rFonts w:ascii="Times New Roman" w:hAnsi="Times New Roman" w:cs="Times New Roman"/>
                <w:sz w:val="24"/>
                <w:szCs w:val="24"/>
              </w:rPr>
              <w:t>Prob.</w:t>
            </w:r>
          </w:p>
        </w:tc>
      </w:tr>
      <w:tr w:rsidR="001D31B6" w:rsidRPr="00B917D4" w:rsidTr="009A0341">
        <w:trPr>
          <w:trHeight w:val="225"/>
        </w:trPr>
        <w:tc>
          <w:tcPr>
            <w:tcW w:w="2995" w:type="dxa"/>
            <w:gridSpan w:val="2"/>
            <w:tcBorders>
              <w:top w:val="single" w:sz="4" w:space="0" w:color="auto"/>
              <w:bottom w:val="nil"/>
            </w:tcBorders>
            <w:vAlign w:val="bottom"/>
          </w:tcPr>
          <w:p w:rsidR="001D31B6" w:rsidRPr="00B917D4" w:rsidRDefault="00B94F8D" w:rsidP="009A0341">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 xml:space="preserve">Credit </w:t>
            </w:r>
            <w:r w:rsidR="001D31B6" w:rsidRPr="00B917D4">
              <w:rPr>
                <w:rFonts w:ascii="Times New Roman" w:hAnsi="Times New Roman" w:cs="Times New Roman"/>
                <w:sz w:val="24"/>
                <w:szCs w:val="24"/>
              </w:rPr>
              <w:t>D</w:t>
            </w:r>
            <w:r w:rsidRPr="00B917D4">
              <w:rPr>
                <w:rFonts w:ascii="Times New Roman" w:hAnsi="Times New Roman" w:cs="Times New Roman"/>
                <w:sz w:val="24"/>
                <w:szCs w:val="24"/>
              </w:rPr>
              <w:t>iversification</w:t>
            </w:r>
          </w:p>
        </w:tc>
        <w:tc>
          <w:tcPr>
            <w:tcW w:w="1651" w:type="dxa"/>
            <w:tcBorders>
              <w:top w:val="single" w:sz="4" w:space="0" w:color="auto"/>
              <w:bottom w:val="nil"/>
            </w:tcBorders>
            <w:vAlign w:val="bottom"/>
          </w:tcPr>
          <w:p w:rsidR="001D31B6" w:rsidRPr="00B917D4" w:rsidRDefault="001D31B6" w:rsidP="009A0341">
            <w:pPr>
              <w:autoSpaceDE w:val="0"/>
              <w:autoSpaceDN w:val="0"/>
              <w:adjustRightInd w:val="0"/>
              <w:spacing w:after="0"/>
              <w:ind w:right="10"/>
              <w:jc w:val="center"/>
              <w:rPr>
                <w:rFonts w:ascii="Times New Roman" w:hAnsi="Times New Roman" w:cs="Times New Roman"/>
                <w:sz w:val="24"/>
                <w:szCs w:val="24"/>
              </w:rPr>
            </w:pPr>
            <w:r w:rsidRPr="00B917D4">
              <w:rPr>
                <w:rFonts w:ascii="Times New Roman" w:hAnsi="Times New Roman" w:cs="Times New Roman"/>
                <w:sz w:val="24"/>
                <w:szCs w:val="24"/>
              </w:rPr>
              <w:t>11.32803</w:t>
            </w:r>
          </w:p>
        </w:tc>
        <w:tc>
          <w:tcPr>
            <w:tcW w:w="1527" w:type="dxa"/>
            <w:tcBorders>
              <w:top w:val="single" w:sz="4" w:space="0" w:color="auto"/>
              <w:bottom w:val="nil"/>
            </w:tcBorders>
            <w:vAlign w:val="bottom"/>
          </w:tcPr>
          <w:p w:rsidR="001D31B6" w:rsidRPr="00B917D4" w:rsidRDefault="001D31B6" w:rsidP="004B546D">
            <w:pPr>
              <w:autoSpaceDE w:val="0"/>
              <w:autoSpaceDN w:val="0"/>
              <w:adjustRightInd w:val="0"/>
              <w:spacing w:after="0"/>
              <w:ind w:right="10"/>
              <w:jc w:val="center"/>
              <w:rPr>
                <w:rFonts w:ascii="Times New Roman" w:hAnsi="Times New Roman" w:cs="Times New Roman"/>
                <w:sz w:val="24"/>
                <w:szCs w:val="24"/>
              </w:rPr>
            </w:pPr>
            <w:r w:rsidRPr="00B917D4">
              <w:rPr>
                <w:rFonts w:ascii="Times New Roman" w:hAnsi="Times New Roman" w:cs="Times New Roman"/>
                <w:sz w:val="24"/>
                <w:szCs w:val="24"/>
              </w:rPr>
              <w:t>2.788428</w:t>
            </w:r>
          </w:p>
        </w:tc>
        <w:tc>
          <w:tcPr>
            <w:tcW w:w="1587" w:type="dxa"/>
            <w:gridSpan w:val="2"/>
            <w:tcBorders>
              <w:top w:val="single" w:sz="4" w:space="0" w:color="auto"/>
              <w:bottom w:val="nil"/>
            </w:tcBorders>
            <w:vAlign w:val="bottom"/>
          </w:tcPr>
          <w:p w:rsidR="001D31B6" w:rsidRPr="00B917D4" w:rsidRDefault="001D31B6" w:rsidP="004B546D">
            <w:pPr>
              <w:autoSpaceDE w:val="0"/>
              <w:autoSpaceDN w:val="0"/>
              <w:adjustRightInd w:val="0"/>
              <w:spacing w:after="0"/>
              <w:ind w:right="10"/>
              <w:jc w:val="center"/>
              <w:rPr>
                <w:rFonts w:ascii="Times New Roman" w:hAnsi="Times New Roman" w:cs="Times New Roman"/>
                <w:sz w:val="24"/>
                <w:szCs w:val="24"/>
              </w:rPr>
            </w:pPr>
            <w:r w:rsidRPr="00B917D4">
              <w:rPr>
                <w:rFonts w:ascii="Times New Roman" w:hAnsi="Times New Roman" w:cs="Times New Roman"/>
                <w:sz w:val="24"/>
                <w:szCs w:val="24"/>
              </w:rPr>
              <w:t>4.062514</w:t>
            </w:r>
          </w:p>
        </w:tc>
        <w:tc>
          <w:tcPr>
            <w:tcW w:w="1572" w:type="dxa"/>
            <w:tcBorders>
              <w:top w:val="single" w:sz="4" w:space="0" w:color="auto"/>
              <w:bottom w:val="nil"/>
            </w:tcBorders>
            <w:vAlign w:val="bottom"/>
          </w:tcPr>
          <w:p w:rsidR="001D31B6" w:rsidRPr="00B917D4" w:rsidRDefault="001D31B6" w:rsidP="004B546D">
            <w:pPr>
              <w:autoSpaceDE w:val="0"/>
              <w:autoSpaceDN w:val="0"/>
              <w:adjustRightInd w:val="0"/>
              <w:spacing w:after="0"/>
              <w:ind w:right="10"/>
              <w:jc w:val="center"/>
              <w:rPr>
                <w:rFonts w:ascii="Times New Roman" w:hAnsi="Times New Roman" w:cs="Times New Roman"/>
                <w:sz w:val="24"/>
                <w:szCs w:val="24"/>
              </w:rPr>
            </w:pPr>
            <w:r w:rsidRPr="00B917D4">
              <w:rPr>
                <w:rFonts w:ascii="Times New Roman" w:hAnsi="Times New Roman" w:cs="Times New Roman"/>
                <w:sz w:val="24"/>
                <w:szCs w:val="24"/>
              </w:rPr>
              <w:t>0.0000</w:t>
            </w:r>
          </w:p>
        </w:tc>
      </w:tr>
      <w:tr w:rsidR="001D31B6" w:rsidRPr="00B917D4" w:rsidTr="009A0341">
        <w:trPr>
          <w:trHeight w:val="225"/>
        </w:trPr>
        <w:tc>
          <w:tcPr>
            <w:tcW w:w="2995" w:type="dxa"/>
            <w:gridSpan w:val="2"/>
            <w:tcBorders>
              <w:top w:val="nil"/>
              <w:bottom w:val="single" w:sz="4" w:space="0" w:color="auto"/>
            </w:tcBorders>
            <w:vAlign w:val="bottom"/>
          </w:tcPr>
          <w:p w:rsidR="001D31B6" w:rsidRPr="00B917D4" w:rsidRDefault="001D31B6" w:rsidP="009A0341">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C</w:t>
            </w:r>
            <w:r w:rsidR="00B94F8D" w:rsidRPr="00B917D4">
              <w:rPr>
                <w:rFonts w:ascii="Times New Roman" w:hAnsi="Times New Roman" w:cs="Times New Roman"/>
                <w:sz w:val="24"/>
                <w:szCs w:val="24"/>
              </w:rPr>
              <w:t>onstant</w:t>
            </w:r>
          </w:p>
        </w:tc>
        <w:tc>
          <w:tcPr>
            <w:tcW w:w="1651" w:type="dxa"/>
            <w:tcBorders>
              <w:top w:val="nil"/>
              <w:bottom w:val="single" w:sz="4" w:space="0" w:color="auto"/>
            </w:tcBorders>
            <w:vAlign w:val="bottom"/>
          </w:tcPr>
          <w:p w:rsidR="001D31B6" w:rsidRPr="00B917D4" w:rsidRDefault="001D31B6" w:rsidP="009A0341">
            <w:pPr>
              <w:autoSpaceDE w:val="0"/>
              <w:autoSpaceDN w:val="0"/>
              <w:adjustRightInd w:val="0"/>
              <w:spacing w:after="0"/>
              <w:ind w:right="10"/>
              <w:jc w:val="center"/>
              <w:rPr>
                <w:rFonts w:ascii="Times New Roman" w:hAnsi="Times New Roman" w:cs="Times New Roman"/>
                <w:sz w:val="24"/>
                <w:szCs w:val="24"/>
              </w:rPr>
            </w:pPr>
            <w:r w:rsidRPr="00B917D4">
              <w:rPr>
                <w:rFonts w:ascii="Times New Roman" w:hAnsi="Times New Roman" w:cs="Times New Roman"/>
                <w:sz w:val="24"/>
                <w:szCs w:val="24"/>
              </w:rPr>
              <w:t>-6.298646</w:t>
            </w:r>
          </w:p>
        </w:tc>
        <w:tc>
          <w:tcPr>
            <w:tcW w:w="1527" w:type="dxa"/>
            <w:tcBorders>
              <w:top w:val="nil"/>
              <w:bottom w:val="single" w:sz="4" w:space="0" w:color="auto"/>
            </w:tcBorders>
            <w:vAlign w:val="bottom"/>
          </w:tcPr>
          <w:p w:rsidR="001D31B6" w:rsidRPr="00B917D4" w:rsidRDefault="001D31B6" w:rsidP="004B546D">
            <w:pPr>
              <w:autoSpaceDE w:val="0"/>
              <w:autoSpaceDN w:val="0"/>
              <w:adjustRightInd w:val="0"/>
              <w:spacing w:after="0"/>
              <w:ind w:right="10"/>
              <w:jc w:val="center"/>
              <w:rPr>
                <w:rFonts w:ascii="Times New Roman" w:hAnsi="Times New Roman" w:cs="Times New Roman"/>
                <w:sz w:val="24"/>
                <w:szCs w:val="24"/>
              </w:rPr>
            </w:pPr>
            <w:r w:rsidRPr="00B917D4">
              <w:rPr>
                <w:rFonts w:ascii="Times New Roman" w:hAnsi="Times New Roman" w:cs="Times New Roman"/>
                <w:sz w:val="24"/>
                <w:szCs w:val="24"/>
              </w:rPr>
              <w:t>2.250275</w:t>
            </w:r>
          </w:p>
        </w:tc>
        <w:tc>
          <w:tcPr>
            <w:tcW w:w="1587" w:type="dxa"/>
            <w:gridSpan w:val="2"/>
            <w:tcBorders>
              <w:top w:val="nil"/>
              <w:bottom w:val="single" w:sz="4" w:space="0" w:color="auto"/>
            </w:tcBorders>
            <w:vAlign w:val="bottom"/>
          </w:tcPr>
          <w:p w:rsidR="001D31B6" w:rsidRPr="00B917D4" w:rsidRDefault="001D31B6" w:rsidP="004B546D">
            <w:pPr>
              <w:autoSpaceDE w:val="0"/>
              <w:autoSpaceDN w:val="0"/>
              <w:adjustRightInd w:val="0"/>
              <w:spacing w:after="0"/>
              <w:ind w:right="10"/>
              <w:jc w:val="center"/>
              <w:rPr>
                <w:rFonts w:ascii="Times New Roman" w:hAnsi="Times New Roman" w:cs="Times New Roman"/>
                <w:sz w:val="24"/>
                <w:szCs w:val="24"/>
              </w:rPr>
            </w:pPr>
            <w:r w:rsidRPr="00B917D4">
              <w:rPr>
                <w:rFonts w:ascii="Times New Roman" w:hAnsi="Times New Roman" w:cs="Times New Roman"/>
                <w:sz w:val="24"/>
                <w:szCs w:val="24"/>
              </w:rPr>
              <w:t>-2.799056</w:t>
            </w:r>
          </w:p>
        </w:tc>
        <w:tc>
          <w:tcPr>
            <w:tcW w:w="1572" w:type="dxa"/>
            <w:tcBorders>
              <w:top w:val="nil"/>
              <w:bottom w:val="single" w:sz="4" w:space="0" w:color="auto"/>
            </w:tcBorders>
            <w:vAlign w:val="bottom"/>
          </w:tcPr>
          <w:p w:rsidR="001D31B6" w:rsidRPr="00B917D4" w:rsidRDefault="001D31B6" w:rsidP="004B546D">
            <w:pPr>
              <w:autoSpaceDE w:val="0"/>
              <w:autoSpaceDN w:val="0"/>
              <w:adjustRightInd w:val="0"/>
              <w:spacing w:after="0"/>
              <w:ind w:right="10"/>
              <w:jc w:val="center"/>
              <w:rPr>
                <w:rFonts w:ascii="Times New Roman" w:hAnsi="Times New Roman" w:cs="Times New Roman"/>
                <w:sz w:val="24"/>
                <w:szCs w:val="24"/>
              </w:rPr>
            </w:pPr>
            <w:r w:rsidRPr="00B917D4">
              <w:rPr>
                <w:rFonts w:ascii="Times New Roman" w:hAnsi="Times New Roman" w:cs="Times New Roman"/>
                <w:sz w:val="24"/>
                <w:szCs w:val="24"/>
              </w:rPr>
              <w:t>0.0051</w:t>
            </w:r>
          </w:p>
        </w:tc>
      </w:tr>
      <w:tr w:rsidR="001D31B6" w:rsidRPr="00B917D4" w:rsidTr="004B546D">
        <w:trPr>
          <w:trHeight w:val="225"/>
        </w:trPr>
        <w:tc>
          <w:tcPr>
            <w:tcW w:w="2521" w:type="dxa"/>
            <w:tcBorders>
              <w:top w:val="single" w:sz="4" w:space="0" w:color="auto"/>
              <w:bottom w:val="nil"/>
            </w:tcBorders>
            <w:vAlign w:val="bottom"/>
          </w:tcPr>
          <w:p w:rsidR="001D31B6" w:rsidRPr="00B917D4" w:rsidRDefault="001D31B6" w:rsidP="009A0341">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Mean dependent var</w:t>
            </w:r>
            <w:r w:rsidR="00B94F8D" w:rsidRPr="00B917D4">
              <w:rPr>
                <w:rFonts w:ascii="Times New Roman" w:hAnsi="Times New Roman" w:cs="Times New Roman"/>
                <w:sz w:val="24"/>
                <w:szCs w:val="24"/>
              </w:rPr>
              <w:t>iable</w:t>
            </w:r>
          </w:p>
        </w:tc>
        <w:tc>
          <w:tcPr>
            <w:tcW w:w="2125" w:type="dxa"/>
            <w:gridSpan w:val="2"/>
            <w:tcBorders>
              <w:top w:val="single" w:sz="4" w:space="0" w:color="auto"/>
              <w:bottom w:val="nil"/>
            </w:tcBorders>
            <w:vAlign w:val="bottom"/>
          </w:tcPr>
          <w:p w:rsidR="001D31B6" w:rsidRPr="00B917D4" w:rsidRDefault="001D31B6" w:rsidP="004B546D">
            <w:pPr>
              <w:autoSpaceDE w:val="0"/>
              <w:autoSpaceDN w:val="0"/>
              <w:adjustRightInd w:val="0"/>
              <w:spacing w:after="0"/>
              <w:ind w:left="568" w:right="10"/>
              <w:jc w:val="center"/>
              <w:rPr>
                <w:rFonts w:ascii="Times New Roman" w:hAnsi="Times New Roman" w:cs="Times New Roman"/>
                <w:sz w:val="24"/>
                <w:szCs w:val="24"/>
              </w:rPr>
            </w:pPr>
            <w:r w:rsidRPr="00B917D4">
              <w:rPr>
                <w:rFonts w:ascii="Times New Roman" w:hAnsi="Times New Roman" w:cs="Times New Roman"/>
                <w:sz w:val="24"/>
                <w:szCs w:val="24"/>
              </w:rPr>
              <w:t>3.001875</w:t>
            </w:r>
          </w:p>
        </w:tc>
        <w:tc>
          <w:tcPr>
            <w:tcW w:w="2694" w:type="dxa"/>
            <w:gridSpan w:val="2"/>
            <w:tcBorders>
              <w:top w:val="single" w:sz="4" w:space="0" w:color="auto"/>
              <w:bottom w:val="nil"/>
              <w:right w:val="nil"/>
            </w:tcBorders>
            <w:vAlign w:val="bottom"/>
          </w:tcPr>
          <w:p w:rsidR="001D31B6" w:rsidRPr="00B917D4" w:rsidRDefault="001D31B6" w:rsidP="009A0341">
            <w:pPr>
              <w:autoSpaceDE w:val="0"/>
              <w:autoSpaceDN w:val="0"/>
              <w:adjustRightInd w:val="0"/>
              <w:spacing w:after="0"/>
              <w:ind w:right="10"/>
              <w:jc w:val="both"/>
              <w:rPr>
                <w:rFonts w:ascii="Times New Roman" w:hAnsi="Times New Roman" w:cs="Times New Roman"/>
                <w:sz w:val="24"/>
                <w:szCs w:val="24"/>
              </w:rPr>
            </w:pPr>
            <w:r w:rsidRPr="00B917D4">
              <w:rPr>
                <w:rFonts w:ascii="Times New Roman" w:hAnsi="Times New Roman" w:cs="Times New Roman"/>
                <w:sz w:val="24"/>
                <w:szCs w:val="24"/>
              </w:rPr>
              <w:t>    S.D. dependent var</w:t>
            </w:r>
            <w:r w:rsidR="00B94F8D" w:rsidRPr="00B917D4">
              <w:rPr>
                <w:rFonts w:ascii="Times New Roman" w:hAnsi="Times New Roman" w:cs="Times New Roman"/>
                <w:sz w:val="24"/>
                <w:szCs w:val="24"/>
              </w:rPr>
              <w:t>iable</w:t>
            </w:r>
          </w:p>
        </w:tc>
        <w:tc>
          <w:tcPr>
            <w:tcW w:w="1992" w:type="dxa"/>
            <w:gridSpan w:val="2"/>
            <w:tcBorders>
              <w:top w:val="nil"/>
              <w:left w:val="nil"/>
              <w:bottom w:val="nil"/>
              <w:right w:val="nil"/>
            </w:tcBorders>
            <w:vAlign w:val="bottom"/>
          </w:tcPr>
          <w:p w:rsidR="001D31B6" w:rsidRPr="00B917D4" w:rsidRDefault="001D31B6" w:rsidP="004B546D">
            <w:pPr>
              <w:autoSpaceDE w:val="0"/>
              <w:autoSpaceDN w:val="0"/>
              <w:adjustRightInd w:val="0"/>
              <w:spacing w:after="0"/>
              <w:ind w:left="285" w:right="10"/>
              <w:jc w:val="center"/>
              <w:rPr>
                <w:rFonts w:ascii="Times New Roman" w:hAnsi="Times New Roman" w:cs="Times New Roman"/>
                <w:sz w:val="24"/>
                <w:szCs w:val="24"/>
              </w:rPr>
            </w:pPr>
            <w:r w:rsidRPr="00B917D4">
              <w:rPr>
                <w:rFonts w:ascii="Times New Roman" w:hAnsi="Times New Roman" w:cs="Times New Roman"/>
                <w:sz w:val="24"/>
                <w:szCs w:val="24"/>
              </w:rPr>
              <w:t>0.979626</w:t>
            </w:r>
          </w:p>
        </w:tc>
      </w:tr>
      <w:tr w:rsidR="001D31B6" w:rsidRPr="00B917D4" w:rsidTr="004B546D">
        <w:trPr>
          <w:trHeight w:val="225"/>
        </w:trPr>
        <w:tc>
          <w:tcPr>
            <w:tcW w:w="2521" w:type="dxa"/>
            <w:tcBorders>
              <w:top w:val="nil"/>
              <w:left w:val="nil"/>
              <w:bottom w:val="nil"/>
              <w:right w:val="nil"/>
            </w:tcBorders>
            <w:vAlign w:val="bottom"/>
          </w:tcPr>
          <w:p w:rsidR="001D31B6" w:rsidRPr="00B917D4" w:rsidRDefault="001D31B6" w:rsidP="009A0341">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Sum squared resid</w:t>
            </w:r>
            <w:r w:rsidR="00B94F8D" w:rsidRPr="00B917D4">
              <w:rPr>
                <w:rFonts w:ascii="Times New Roman" w:hAnsi="Times New Roman" w:cs="Times New Roman"/>
                <w:sz w:val="24"/>
                <w:szCs w:val="24"/>
              </w:rPr>
              <w:t>ual</w:t>
            </w:r>
          </w:p>
        </w:tc>
        <w:tc>
          <w:tcPr>
            <w:tcW w:w="2125" w:type="dxa"/>
            <w:gridSpan w:val="2"/>
            <w:tcBorders>
              <w:top w:val="nil"/>
              <w:left w:val="nil"/>
              <w:bottom w:val="nil"/>
              <w:right w:val="nil"/>
            </w:tcBorders>
            <w:vAlign w:val="bottom"/>
          </w:tcPr>
          <w:p w:rsidR="001D31B6" w:rsidRPr="00B917D4" w:rsidRDefault="001D31B6" w:rsidP="004B546D">
            <w:pPr>
              <w:autoSpaceDE w:val="0"/>
              <w:autoSpaceDN w:val="0"/>
              <w:adjustRightInd w:val="0"/>
              <w:spacing w:after="0"/>
              <w:ind w:left="568" w:right="10"/>
              <w:jc w:val="center"/>
              <w:rPr>
                <w:rFonts w:ascii="Times New Roman" w:hAnsi="Times New Roman" w:cs="Times New Roman"/>
                <w:sz w:val="24"/>
                <w:szCs w:val="24"/>
              </w:rPr>
            </w:pPr>
            <w:r w:rsidRPr="00B917D4">
              <w:rPr>
                <w:rFonts w:ascii="Times New Roman" w:hAnsi="Times New Roman" w:cs="Times New Roman"/>
                <w:sz w:val="24"/>
                <w:szCs w:val="24"/>
              </w:rPr>
              <w:t>22.00400</w:t>
            </w:r>
          </w:p>
        </w:tc>
        <w:tc>
          <w:tcPr>
            <w:tcW w:w="2694" w:type="dxa"/>
            <w:gridSpan w:val="2"/>
            <w:tcBorders>
              <w:top w:val="nil"/>
              <w:left w:val="nil"/>
              <w:bottom w:val="nil"/>
              <w:right w:val="nil"/>
            </w:tcBorders>
            <w:vAlign w:val="bottom"/>
          </w:tcPr>
          <w:p w:rsidR="001D31B6" w:rsidRPr="00B917D4" w:rsidRDefault="001D31B6" w:rsidP="009A0341">
            <w:pPr>
              <w:autoSpaceDE w:val="0"/>
              <w:autoSpaceDN w:val="0"/>
              <w:adjustRightInd w:val="0"/>
              <w:spacing w:after="0"/>
              <w:ind w:right="10"/>
              <w:jc w:val="both"/>
              <w:rPr>
                <w:rFonts w:ascii="Times New Roman" w:hAnsi="Times New Roman" w:cs="Times New Roman"/>
                <w:sz w:val="24"/>
                <w:szCs w:val="24"/>
              </w:rPr>
            </w:pPr>
            <w:r w:rsidRPr="00B917D4">
              <w:rPr>
                <w:rFonts w:ascii="Times New Roman" w:hAnsi="Times New Roman" w:cs="Times New Roman"/>
                <w:sz w:val="24"/>
                <w:szCs w:val="24"/>
              </w:rPr>
              <w:t>    Log likelihood</w:t>
            </w:r>
          </w:p>
        </w:tc>
        <w:tc>
          <w:tcPr>
            <w:tcW w:w="1992" w:type="dxa"/>
            <w:gridSpan w:val="2"/>
            <w:tcBorders>
              <w:top w:val="nil"/>
              <w:left w:val="nil"/>
              <w:bottom w:val="nil"/>
              <w:right w:val="nil"/>
            </w:tcBorders>
            <w:vAlign w:val="bottom"/>
          </w:tcPr>
          <w:p w:rsidR="001D31B6" w:rsidRPr="00B917D4" w:rsidRDefault="001D31B6" w:rsidP="004B546D">
            <w:pPr>
              <w:autoSpaceDE w:val="0"/>
              <w:autoSpaceDN w:val="0"/>
              <w:adjustRightInd w:val="0"/>
              <w:spacing w:after="0"/>
              <w:ind w:left="285" w:right="10"/>
              <w:jc w:val="center"/>
              <w:rPr>
                <w:rFonts w:ascii="Times New Roman" w:hAnsi="Times New Roman" w:cs="Times New Roman"/>
                <w:sz w:val="24"/>
                <w:szCs w:val="24"/>
              </w:rPr>
            </w:pPr>
            <w:r w:rsidRPr="00B917D4">
              <w:rPr>
                <w:rFonts w:ascii="Times New Roman" w:hAnsi="Times New Roman" w:cs="Times New Roman"/>
                <w:sz w:val="24"/>
                <w:szCs w:val="24"/>
              </w:rPr>
              <w:t>-39.44647</w:t>
            </w:r>
          </w:p>
        </w:tc>
      </w:tr>
      <w:tr w:rsidR="001D31B6" w:rsidRPr="00B917D4" w:rsidTr="004B546D">
        <w:trPr>
          <w:trHeight w:val="225"/>
        </w:trPr>
        <w:tc>
          <w:tcPr>
            <w:tcW w:w="2521" w:type="dxa"/>
            <w:vAlign w:val="bottom"/>
          </w:tcPr>
          <w:p w:rsidR="001D31B6" w:rsidRPr="00B917D4" w:rsidRDefault="001D31B6" w:rsidP="009A0341">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LR statistic</w:t>
            </w:r>
          </w:p>
        </w:tc>
        <w:tc>
          <w:tcPr>
            <w:tcW w:w="2125" w:type="dxa"/>
            <w:gridSpan w:val="2"/>
            <w:vAlign w:val="bottom"/>
          </w:tcPr>
          <w:p w:rsidR="001D31B6" w:rsidRPr="00B917D4" w:rsidRDefault="001D31B6" w:rsidP="004B546D">
            <w:pPr>
              <w:autoSpaceDE w:val="0"/>
              <w:autoSpaceDN w:val="0"/>
              <w:adjustRightInd w:val="0"/>
              <w:spacing w:after="0"/>
              <w:ind w:left="568" w:right="10"/>
              <w:jc w:val="center"/>
              <w:rPr>
                <w:rFonts w:ascii="Times New Roman" w:hAnsi="Times New Roman" w:cs="Times New Roman"/>
                <w:sz w:val="24"/>
                <w:szCs w:val="24"/>
              </w:rPr>
            </w:pPr>
            <w:r w:rsidRPr="00B917D4">
              <w:rPr>
                <w:rFonts w:ascii="Times New Roman" w:hAnsi="Times New Roman" w:cs="Times New Roman"/>
                <w:sz w:val="24"/>
                <w:szCs w:val="24"/>
              </w:rPr>
              <w:t>10.56037</w:t>
            </w:r>
          </w:p>
        </w:tc>
        <w:tc>
          <w:tcPr>
            <w:tcW w:w="2694" w:type="dxa"/>
            <w:gridSpan w:val="2"/>
            <w:tcBorders>
              <w:right w:val="nil"/>
            </w:tcBorders>
            <w:vAlign w:val="bottom"/>
          </w:tcPr>
          <w:p w:rsidR="001D31B6" w:rsidRPr="00B917D4" w:rsidRDefault="001D31B6" w:rsidP="009A0341">
            <w:pPr>
              <w:autoSpaceDE w:val="0"/>
              <w:autoSpaceDN w:val="0"/>
              <w:adjustRightInd w:val="0"/>
              <w:spacing w:after="0"/>
              <w:ind w:right="10"/>
              <w:jc w:val="both"/>
              <w:rPr>
                <w:rFonts w:ascii="Times New Roman" w:hAnsi="Times New Roman" w:cs="Times New Roman"/>
                <w:sz w:val="24"/>
                <w:szCs w:val="24"/>
              </w:rPr>
            </w:pPr>
            <w:r w:rsidRPr="00B917D4">
              <w:rPr>
                <w:rFonts w:ascii="Times New Roman" w:hAnsi="Times New Roman" w:cs="Times New Roman"/>
                <w:sz w:val="24"/>
                <w:szCs w:val="24"/>
              </w:rPr>
              <w:t>    Prob</w:t>
            </w:r>
            <w:r w:rsidR="00B94F8D" w:rsidRPr="00B917D4">
              <w:rPr>
                <w:rFonts w:ascii="Times New Roman" w:hAnsi="Times New Roman" w:cs="Times New Roman"/>
                <w:sz w:val="24"/>
                <w:szCs w:val="24"/>
              </w:rPr>
              <w:t>.</w:t>
            </w:r>
            <w:r w:rsidRPr="00B917D4">
              <w:rPr>
                <w:rFonts w:ascii="Times New Roman" w:hAnsi="Times New Roman" w:cs="Times New Roman"/>
                <w:sz w:val="24"/>
                <w:szCs w:val="24"/>
              </w:rPr>
              <w:t>(LR statistic)</w:t>
            </w:r>
          </w:p>
        </w:tc>
        <w:tc>
          <w:tcPr>
            <w:tcW w:w="1992" w:type="dxa"/>
            <w:gridSpan w:val="2"/>
            <w:tcBorders>
              <w:top w:val="nil"/>
              <w:left w:val="nil"/>
              <w:bottom w:val="single" w:sz="4" w:space="0" w:color="auto"/>
              <w:right w:val="nil"/>
            </w:tcBorders>
            <w:vAlign w:val="bottom"/>
          </w:tcPr>
          <w:p w:rsidR="001D31B6" w:rsidRPr="00B917D4" w:rsidRDefault="001D31B6" w:rsidP="004B546D">
            <w:pPr>
              <w:autoSpaceDE w:val="0"/>
              <w:autoSpaceDN w:val="0"/>
              <w:adjustRightInd w:val="0"/>
              <w:spacing w:after="0"/>
              <w:ind w:left="285" w:right="10"/>
              <w:jc w:val="center"/>
              <w:rPr>
                <w:rFonts w:ascii="Times New Roman" w:hAnsi="Times New Roman" w:cs="Times New Roman"/>
                <w:sz w:val="24"/>
                <w:szCs w:val="24"/>
              </w:rPr>
            </w:pPr>
            <w:r w:rsidRPr="00B917D4">
              <w:rPr>
                <w:rFonts w:ascii="Times New Roman" w:hAnsi="Times New Roman" w:cs="Times New Roman"/>
                <w:sz w:val="24"/>
                <w:szCs w:val="24"/>
              </w:rPr>
              <w:t>0.001155</w:t>
            </w:r>
          </w:p>
        </w:tc>
      </w:tr>
    </w:tbl>
    <w:p w:rsidR="001D31B6" w:rsidRPr="00B917D4" w:rsidRDefault="001D31B6" w:rsidP="009A0341">
      <w:pPr>
        <w:spacing w:before="240"/>
        <w:jc w:val="both"/>
        <w:rPr>
          <w:rFonts w:ascii="Times New Roman" w:hAnsi="Times New Roman" w:cs="Times New Roman"/>
          <w:sz w:val="24"/>
          <w:szCs w:val="24"/>
        </w:rPr>
      </w:pPr>
      <w:r w:rsidRPr="00B917D4">
        <w:rPr>
          <w:rFonts w:ascii="Times New Roman" w:hAnsi="Times New Roman" w:cs="Times New Roman"/>
          <w:sz w:val="24"/>
          <w:szCs w:val="24"/>
        </w:rPr>
        <w:t>Source: Research Data (2017)</w:t>
      </w:r>
    </w:p>
    <w:p w:rsidR="000C2FCF" w:rsidRPr="00B917D4" w:rsidRDefault="000C2FCF" w:rsidP="009A0341">
      <w:pPr>
        <w:pStyle w:val="ListParagraph"/>
        <w:numPr>
          <w:ilvl w:val="1"/>
          <w:numId w:val="1"/>
        </w:numPr>
        <w:spacing w:before="240"/>
        <w:ind w:left="567" w:hanging="567"/>
        <w:contextualSpacing w:val="0"/>
        <w:jc w:val="both"/>
        <w:rPr>
          <w:rFonts w:ascii="Times New Roman" w:hAnsi="Times New Roman" w:cs="Times New Roman"/>
          <w:b/>
          <w:sz w:val="24"/>
          <w:szCs w:val="24"/>
        </w:rPr>
      </w:pPr>
      <w:r w:rsidRPr="00B917D4">
        <w:rPr>
          <w:rFonts w:ascii="Times New Roman" w:hAnsi="Times New Roman" w:cs="Times New Roman"/>
          <w:b/>
          <w:sz w:val="24"/>
          <w:szCs w:val="24"/>
        </w:rPr>
        <w:t>Sectorial Credit Diversification effects on Bank</w:t>
      </w:r>
      <w:r w:rsidR="00B94F8D" w:rsidRPr="00B917D4">
        <w:rPr>
          <w:rFonts w:ascii="Times New Roman" w:hAnsi="Times New Roman" w:cs="Times New Roman"/>
          <w:b/>
          <w:sz w:val="24"/>
          <w:szCs w:val="24"/>
        </w:rPr>
        <w:t>ing Industry</w:t>
      </w:r>
      <w:r w:rsidRPr="00B917D4">
        <w:rPr>
          <w:rFonts w:ascii="Times New Roman" w:hAnsi="Times New Roman" w:cs="Times New Roman"/>
          <w:b/>
          <w:sz w:val="24"/>
          <w:szCs w:val="24"/>
        </w:rPr>
        <w:t xml:space="preserve"> Monitoring Effectiveness</w:t>
      </w:r>
    </w:p>
    <w:p w:rsidR="00E72784" w:rsidRPr="00B917D4" w:rsidRDefault="00E249E1" w:rsidP="0032054C">
      <w:pPr>
        <w:jc w:val="both"/>
        <w:rPr>
          <w:rFonts w:ascii="Times New Roman" w:eastAsia="TimesNewRoman" w:hAnsi="Times New Roman" w:cs="Times New Roman"/>
          <w:sz w:val="24"/>
          <w:szCs w:val="24"/>
        </w:rPr>
      </w:pPr>
      <w:r w:rsidRPr="00B917D4">
        <w:rPr>
          <w:rFonts w:ascii="Times New Roman" w:hAnsi="Times New Roman" w:cs="Times New Roman"/>
          <w:sz w:val="24"/>
          <w:szCs w:val="24"/>
        </w:rPr>
        <w:t xml:space="preserve">To test the hypothesis that sectoral credit diversification didn’t affect monitoring effectiveness in banking industry, the diversification indicator (HHI) was regressed against a lagged value of asset quality as a measure of monitoring effectiveness. The results are presented in table 5. </w:t>
      </w:r>
      <w:r w:rsidR="001034D9" w:rsidRPr="00B917D4">
        <w:rPr>
          <w:rFonts w:ascii="Times New Roman" w:hAnsi="Times New Roman" w:cs="Times New Roman"/>
          <w:sz w:val="24"/>
          <w:szCs w:val="24"/>
        </w:rPr>
        <w:t>The regression results i</w:t>
      </w:r>
      <w:r w:rsidR="00B94F8D" w:rsidRPr="00B917D4">
        <w:rPr>
          <w:rFonts w:ascii="Times New Roman" w:hAnsi="Times New Roman" w:cs="Times New Roman"/>
          <w:sz w:val="24"/>
          <w:szCs w:val="24"/>
        </w:rPr>
        <w:t>ndicated that sectoral credit diversification had a negative and significant effect on banking industry asset quality (β=-17.28129, p-value=0.0411)</w:t>
      </w:r>
      <w:r w:rsidR="001034D9" w:rsidRPr="00B917D4">
        <w:rPr>
          <w:rFonts w:ascii="Times New Roman" w:hAnsi="Times New Roman" w:cs="Times New Roman"/>
          <w:sz w:val="24"/>
          <w:szCs w:val="24"/>
        </w:rPr>
        <w:t xml:space="preserve"> and therefore the </w:t>
      </w:r>
      <w:r w:rsidR="001034D9" w:rsidRPr="00B917D4">
        <w:rPr>
          <w:rFonts w:ascii="Times New Roman" w:hAnsi="Times New Roman" w:cs="Times New Roman"/>
          <w:sz w:val="24"/>
          <w:szCs w:val="24"/>
        </w:rPr>
        <w:lastRenderedPageBreak/>
        <w:t>hypothesis was rejected. The</w:t>
      </w:r>
      <w:r w:rsidR="00B94F8D" w:rsidRPr="00B917D4">
        <w:rPr>
          <w:rFonts w:ascii="Times New Roman" w:hAnsi="Times New Roman" w:cs="Times New Roman"/>
          <w:sz w:val="24"/>
          <w:szCs w:val="24"/>
        </w:rPr>
        <w:t xml:space="preserve"> </w:t>
      </w:r>
      <w:r w:rsidR="001034D9" w:rsidRPr="00B917D4">
        <w:rPr>
          <w:rFonts w:ascii="Times New Roman" w:hAnsi="Times New Roman" w:cs="Times New Roman"/>
          <w:sz w:val="24"/>
          <w:szCs w:val="24"/>
        </w:rPr>
        <w:t xml:space="preserve">negative coefficient implies </w:t>
      </w:r>
      <w:r w:rsidR="00B94F8D" w:rsidRPr="00B917D4">
        <w:rPr>
          <w:rFonts w:ascii="Times New Roman" w:hAnsi="Times New Roman" w:cs="Times New Roman"/>
          <w:sz w:val="24"/>
          <w:szCs w:val="24"/>
        </w:rPr>
        <w:t xml:space="preserve">that </w:t>
      </w:r>
      <w:r w:rsidR="001034D9" w:rsidRPr="00B917D4">
        <w:rPr>
          <w:rFonts w:ascii="Times New Roman" w:hAnsi="Times New Roman" w:cs="Times New Roman"/>
          <w:sz w:val="24"/>
          <w:szCs w:val="24"/>
        </w:rPr>
        <w:t xml:space="preserve">a higher </w:t>
      </w:r>
      <w:r w:rsidR="00B94F8D" w:rsidRPr="00B917D4">
        <w:rPr>
          <w:rFonts w:ascii="Times New Roman" w:hAnsi="Times New Roman" w:cs="Times New Roman"/>
          <w:sz w:val="24"/>
          <w:szCs w:val="24"/>
        </w:rPr>
        <w:t xml:space="preserve">diversification score </w:t>
      </w:r>
      <w:r w:rsidR="001034D9" w:rsidRPr="00B917D4">
        <w:rPr>
          <w:rFonts w:ascii="Times New Roman" w:hAnsi="Times New Roman" w:cs="Times New Roman"/>
          <w:sz w:val="24"/>
          <w:szCs w:val="24"/>
        </w:rPr>
        <w:t>translated to a</w:t>
      </w:r>
      <w:r w:rsidR="00B94F8D" w:rsidRPr="00B917D4">
        <w:rPr>
          <w:rFonts w:ascii="Times New Roman" w:hAnsi="Times New Roman" w:cs="Times New Roman"/>
          <w:sz w:val="24"/>
          <w:szCs w:val="24"/>
        </w:rPr>
        <w:t xml:space="preserve"> lower asset quality. However, low asset quality, which is indicative of lower non-performing loan</w:t>
      </w:r>
      <w:r w:rsidR="001034D9" w:rsidRPr="00B917D4">
        <w:rPr>
          <w:rFonts w:ascii="Times New Roman" w:hAnsi="Times New Roman" w:cs="Times New Roman"/>
          <w:sz w:val="24"/>
          <w:szCs w:val="24"/>
        </w:rPr>
        <w:t>s point</w:t>
      </w:r>
      <w:r w:rsidR="00B94F8D" w:rsidRPr="00B917D4">
        <w:rPr>
          <w:rFonts w:ascii="Times New Roman" w:hAnsi="Times New Roman" w:cs="Times New Roman"/>
          <w:sz w:val="24"/>
          <w:szCs w:val="24"/>
        </w:rPr>
        <w:t xml:space="preserve"> to </w:t>
      </w:r>
      <w:r w:rsidR="001034D9" w:rsidRPr="00B917D4">
        <w:rPr>
          <w:rFonts w:ascii="Times New Roman" w:hAnsi="Times New Roman" w:cs="Times New Roman"/>
          <w:sz w:val="24"/>
          <w:szCs w:val="24"/>
        </w:rPr>
        <w:t xml:space="preserve">a more </w:t>
      </w:r>
      <w:r w:rsidR="00B94F8D" w:rsidRPr="00B917D4">
        <w:rPr>
          <w:rFonts w:ascii="Times New Roman" w:hAnsi="Times New Roman" w:cs="Times New Roman"/>
          <w:sz w:val="24"/>
          <w:szCs w:val="24"/>
        </w:rPr>
        <w:t>efficient bank monitoring effectiveness,</w:t>
      </w:r>
      <w:r w:rsidR="001034D9" w:rsidRPr="00B917D4">
        <w:rPr>
          <w:rFonts w:ascii="Times New Roman" w:hAnsi="Times New Roman" w:cs="Times New Roman"/>
          <w:sz w:val="24"/>
          <w:szCs w:val="24"/>
        </w:rPr>
        <w:t xml:space="preserve"> and this </w:t>
      </w:r>
      <w:r w:rsidR="00F502B0" w:rsidRPr="00B917D4">
        <w:rPr>
          <w:rFonts w:ascii="Times New Roman" w:hAnsi="Times New Roman" w:cs="Times New Roman"/>
          <w:sz w:val="24"/>
          <w:szCs w:val="24"/>
        </w:rPr>
        <w:t>therefore,</w:t>
      </w:r>
      <w:r w:rsidR="001034D9" w:rsidRPr="00B917D4">
        <w:rPr>
          <w:rFonts w:ascii="Times New Roman" w:hAnsi="Times New Roman" w:cs="Times New Roman"/>
          <w:sz w:val="24"/>
          <w:szCs w:val="24"/>
        </w:rPr>
        <w:t xml:space="preserve"> means that sectoral credit diversification improved the monitoring effectiveness of banking industries in East Africa. These results concur with the theoretical perspectives of Diamond (1984</w:t>
      </w:r>
      <w:r w:rsidR="00F502B0" w:rsidRPr="00B917D4">
        <w:rPr>
          <w:rFonts w:ascii="Times New Roman" w:hAnsi="Times New Roman" w:cs="Times New Roman"/>
          <w:sz w:val="24"/>
          <w:szCs w:val="24"/>
        </w:rPr>
        <w:t>; 1991</w:t>
      </w:r>
      <w:r w:rsidR="001034D9" w:rsidRPr="00B917D4">
        <w:rPr>
          <w:rFonts w:ascii="Times New Roman" w:hAnsi="Times New Roman" w:cs="Times New Roman"/>
          <w:sz w:val="24"/>
          <w:szCs w:val="24"/>
        </w:rPr>
        <w:t>) that in diversifying loans an intermediary’s risk tolerance is increased, monitoring costs are reduced and a great deal of customer information is acquired in the process, which can be used in efficiently screening and monitoring borrowers thereby enhancing the bank’s monitoring capabilities.</w:t>
      </w:r>
      <w:r w:rsidR="00E72784" w:rsidRPr="00B917D4">
        <w:rPr>
          <w:rFonts w:ascii="Times New Roman" w:hAnsi="Times New Roman" w:cs="Times New Roman"/>
          <w:sz w:val="24"/>
          <w:szCs w:val="24"/>
        </w:rPr>
        <w:t xml:space="preserve"> </w:t>
      </w:r>
      <w:r w:rsidR="00E72784" w:rsidRPr="00B917D4">
        <w:rPr>
          <w:rFonts w:ascii="Times New Roman" w:eastAsia="TimesNewRoman" w:hAnsi="Times New Roman" w:cs="Times New Roman"/>
          <w:sz w:val="24"/>
          <w:szCs w:val="24"/>
        </w:rPr>
        <w:t>Similar results were reported by Chen e</w:t>
      </w:r>
      <w:r w:rsidR="00E72784" w:rsidRPr="00B917D4">
        <w:rPr>
          <w:rFonts w:ascii="Times New Roman" w:hAnsi="Times New Roman" w:cs="Times New Roman"/>
          <w:sz w:val="24"/>
          <w:szCs w:val="24"/>
        </w:rPr>
        <w:t>t al., (2013; 2014) in china that sectoral diversification reduced absolute non-performing loans and Chen and Lin (2010) in Taiwan that credit diversification improved the NPL ratio and therefore reduced a ban’s risk.</w:t>
      </w:r>
    </w:p>
    <w:p w:rsidR="00E249E1" w:rsidRPr="00B917D4" w:rsidRDefault="00E249E1" w:rsidP="009A0341">
      <w:pPr>
        <w:jc w:val="center"/>
        <w:rPr>
          <w:rFonts w:ascii="Times New Roman" w:hAnsi="Times New Roman" w:cs="Times New Roman"/>
          <w:sz w:val="24"/>
          <w:szCs w:val="24"/>
        </w:rPr>
      </w:pPr>
      <w:r w:rsidRPr="00B917D4">
        <w:rPr>
          <w:rFonts w:ascii="Times New Roman" w:hAnsi="Times New Roman" w:cs="Times New Roman"/>
          <w:sz w:val="24"/>
          <w:szCs w:val="24"/>
        </w:rPr>
        <w:t>Table 5: Regression model results for monitoring effectiveness</w:t>
      </w:r>
    </w:p>
    <w:tbl>
      <w:tblPr>
        <w:tblW w:w="9331" w:type="dxa"/>
        <w:jc w:val="center"/>
        <w:tblInd w:w="30" w:type="dxa"/>
        <w:tblBorders>
          <w:top w:val="single" w:sz="4" w:space="0" w:color="auto"/>
          <w:bottom w:val="single" w:sz="4" w:space="0" w:color="auto"/>
        </w:tblBorders>
        <w:tblLayout w:type="fixed"/>
        <w:tblCellMar>
          <w:left w:w="0" w:type="dxa"/>
          <w:right w:w="0" w:type="dxa"/>
        </w:tblCellMar>
        <w:tblLook w:val="0000"/>
      </w:tblPr>
      <w:tblGrid>
        <w:gridCol w:w="2952"/>
        <w:gridCol w:w="1701"/>
        <w:gridCol w:w="1559"/>
        <w:gridCol w:w="1560"/>
        <w:gridCol w:w="1559"/>
      </w:tblGrid>
      <w:tr w:rsidR="00E249E1" w:rsidRPr="00B917D4" w:rsidTr="00E72784">
        <w:trPr>
          <w:trHeight w:val="225"/>
          <w:jc w:val="center"/>
        </w:trPr>
        <w:tc>
          <w:tcPr>
            <w:tcW w:w="9331" w:type="dxa"/>
            <w:gridSpan w:val="5"/>
            <w:vAlign w:val="bottom"/>
          </w:tcPr>
          <w:p w:rsidR="00E249E1" w:rsidRPr="00B917D4" w:rsidRDefault="00E249E1" w:rsidP="009A0341">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Dependent Variable: A</w:t>
            </w:r>
            <w:r w:rsidR="00B94F8D" w:rsidRPr="00B917D4">
              <w:rPr>
                <w:rFonts w:ascii="Times New Roman" w:hAnsi="Times New Roman" w:cs="Times New Roman"/>
                <w:sz w:val="24"/>
                <w:szCs w:val="24"/>
              </w:rPr>
              <w:t xml:space="preserve">sset </w:t>
            </w:r>
            <w:r w:rsidRPr="00B917D4">
              <w:rPr>
                <w:rFonts w:ascii="Times New Roman" w:hAnsi="Times New Roman" w:cs="Times New Roman"/>
                <w:sz w:val="24"/>
                <w:szCs w:val="24"/>
              </w:rPr>
              <w:t>Q</w:t>
            </w:r>
            <w:r w:rsidR="00B94F8D" w:rsidRPr="00B917D4">
              <w:rPr>
                <w:rFonts w:ascii="Times New Roman" w:hAnsi="Times New Roman" w:cs="Times New Roman"/>
                <w:sz w:val="24"/>
                <w:szCs w:val="24"/>
              </w:rPr>
              <w:t>uality (AQ</w:t>
            </w:r>
            <w:r w:rsidR="00B94F8D" w:rsidRPr="00B917D4">
              <w:rPr>
                <w:rFonts w:ascii="Times New Roman" w:hAnsi="Times New Roman" w:cs="Times New Roman"/>
                <w:sz w:val="24"/>
                <w:szCs w:val="24"/>
                <w:vertAlign w:val="subscript"/>
              </w:rPr>
              <w:t>t+1</w:t>
            </w:r>
            <w:r w:rsidR="00B94F8D" w:rsidRPr="00B917D4">
              <w:rPr>
                <w:rFonts w:ascii="Times New Roman" w:hAnsi="Times New Roman" w:cs="Times New Roman"/>
                <w:sz w:val="24"/>
                <w:szCs w:val="24"/>
              </w:rPr>
              <w:t>)</w:t>
            </w:r>
          </w:p>
        </w:tc>
      </w:tr>
      <w:tr w:rsidR="00E249E1" w:rsidRPr="00B917D4" w:rsidTr="00E72784">
        <w:trPr>
          <w:trHeight w:val="225"/>
          <w:jc w:val="center"/>
        </w:trPr>
        <w:tc>
          <w:tcPr>
            <w:tcW w:w="9331" w:type="dxa"/>
            <w:gridSpan w:val="5"/>
            <w:vAlign w:val="bottom"/>
          </w:tcPr>
          <w:p w:rsidR="00E249E1" w:rsidRPr="00B917D4" w:rsidRDefault="00E249E1" w:rsidP="009A0341">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Method: Generalized Linear Model (Quadratic Hill Climbing)</w:t>
            </w:r>
          </w:p>
        </w:tc>
      </w:tr>
      <w:tr w:rsidR="00E249E1" w:rsidRPr="00B917D4" w:rsidTr="00E72784">
        <w:trPr>
          <w:trHeight w:val="225"/>
          <w:jc w:val="center"/>
        </w:trPr>
        <w:tc>
          <w:tcPr>
            <w:tcW w:w="9331" w:type="dxa"/>
            <w:gridSpan w:val="5"/>
            <w:vAlign w:val="bottom"/>
          </w:tcPr>
          <w:p w:rsidR="00E249E1" w:rsidRPr="00B917D4" w:rsidRDefault="00E249E1" w:rsidP="009A0341">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Sample: 2008 2015</w:t>
            </w:r>
          </w:p>
        </w:tc>
      </w:tr>
      <w:tr w:rsidR="00E249E1" w:rsidRPr="00B917D4" w:rsidTr="00E72784">
        <w:trPr>
          <w:trHeight w:val="225"/>
          <w:jc w:val="center"/>
        </w:trPr>
        <w:tc>
          <w:tcPr>
            <w:tcW w:w="9331" w:type="dxa"/>
            <w:gridSpan w:val="5"/>
            <w:vAlign w:val="bottom"/>
          </w:tcPr>
          <w:p w:rsidR="00E249E1" w:rsidRPr="00B917D4" w:rsidRDefault="00E249E1" w:rsidP="009A0341">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Included observations: 32</w:t>
            </w:r>
          </w:p>
        </w:tc>
      </w:tr>
      <w:tr w:rsidR="00E249E1" w:rsidRPr="00B917D4" w:rsidTr="00E72784">
        <w:trPr>
          <w:trHeight w:val="225"/>
          <w:jc w:val="center"/>
        </w:trPr>
        <w:tc>
          <w:tcPr>
            <w:tcW w:w="9331" w:type="dxa"/>
            <w:gridSpan w:val="5"/>
            <w:tcBorders>
              <w:bottom w:val="nil"/>
            </w:tcBorders>
            <w:vAlign w:val="bottom"/>
          </w:tcPr>
          <w:p w:rsidR="00E249E1" w:rsidRPr="00B917D4" w:rsidRDefault="00E249E1" w:rsidP="009A0341">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Family: Normal</w:t>
            </w:r>
          </w:p>
        </w:tc>
      </w:tr>
      <w:tr w:rsidR="00E249E1" w:rsidRPr="00B917D4" w:rsidTr="00E72784">
        <w:trPr>
          <w:trHeight w:val="225"/>
          <w:jc w:val="center"/>
        </w:trPr>
        <w:tc>
          <w:tcPr>
            <w:tcW w:w="9331" w:type="dxa"/>
            <w:gridSpan w:val="5"/>
            <w:tcBorders>
              <w:top w:val="nil"/>
              <w:bottom w:val="single" w:sz="4" w:space="0" w:color="auto"/>
            </w:tcBorders>
            <w:vAlign w:val="bottom"/>
          </w:tcPr>
          <w:p w:rsidR="00E249E1" w:rsidRPr="00B917D4" w:rsidRDefault="00E249E1" w:rsidP="009A0341">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Link: Identity</w:t>
            </w:r>
          </w:p>
        </w:tc>
      </w:tr>
      <w:tr w:rsidR="00E249E1" w:rsidRPr="00B917D4" w:rsidTr="00E72784">
        <w:trPr>
          <w:trHeight w:val="225"/>
          <w:jc w:val="center"/>
        </w:trPr>
        <w:tc>
          <w:tcPr>
            <w:tcW w:w="2952" w:type="dxa"/>
            <w:tcBorders>
              <w:top w:val="single" w:sz="4" w:space="0" w:color="auto"/>
              <w:bottom w:val="single" w:sz="4" w:space="0" w:color="auto"/>
            </w:tcBorders>
            <w:vAlign w:val="bottom"/>
          </w:tcPr>
          <w:p w:rsidR="00E249E1" w:rsidRPr="00B917D4" w:rsidRDefault="00E249E1" w:rsidP="009A0341">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Variable</w:t>
            </w:r>
          </w:p>
        </w:tc>
        <w:tc>
          <w:tcPr>
            <w:tcW w:w="1701" w:type="dxa"/>
            <w:tcBorders>
              <w:top w:val="single" w:sz="4" w:space="0" w:color="auto"/>
              <w:bottom w:val="single" w:sz="4" w:space="0" w:color="auto"/>
            </w:tcBorders>
            <w:vAlign w:val="bottom"/>
          </w:tcPr>
          <w:p w:rsidR="00E249E1" w:rsidRPr="00B917D4" w:rsidRDefault="00E249E1" w:rsidP="009A0341">
            <w:pPr>
              <w:autoSpaceDE w:val="0"/>
              <w:autoSpaceDN w:val="0"/>
              <w:adjustRightInd w:val="0"/>
              <w:spacing w:after="0"/>
              <w:ind w:right="10"/>
              <w:jc w:val="center"/>
              <w:rPr>
                <w:rFonts w:ascii="Times New Roman" w:hAnsi="Times New Roman" w:cs="Times New Roman"/>
                <w:sz w:val="24"/>
                <w:szCs w:val="24"/>
              </w:rPr>
            </w:pPr>
            <w:r w:rsidRPr="00B917D4">
              <w:rPr>
                <w:rFonts w:ascii="Times New Roman" w:hAnsi="Times New Roman" w:cs="Times New Roman"/>
                <w:sz w:val="24"/>
                <w:szCs w:val="24"/>
              </w:rPr>
              <w:t>Coefficient</w:t>
            </w:r>
          </w:p>
        </w:tc>
        <w:tc>
          <w:tcPr>
            <w:tcW w:w="1559" w:type="dxa"/>
            <w:tcBorders>
              <w:top w:val="single" w:sz="4" w:space="0" w:color="auto"/>
              <w:bottom w:val="single" w:sz="4" w:space="0" w:color="auto"/>
            </w:tcBorders>
            <w:vAlign w:val="bottom"/>
          </w:tcPr>
          <w:p w:rsidR="00E249E1" w:rsidRPr="00B917D4" w:rsidRDefault="00E249E1" w:rsidP="009A0341">
            <w:pPr>
              <w:autoSpaceDE w:val="0"/>
              <w:autoSpaceDN w:val="0"/>
              <w:adjustRightInd w:val="0"/>
              <w:spacing w:after="0"/>
              <w:ind w:right="10"/>
              <w:jc w:val="center"/>
              <w:rPr>
                <w:rFonts w:ascii="Times New Roman" w:hAnsi="Times New Roman" w:cs="Times New Roman"/>
                <w:sz w:val="24"/>
                <w:szCs w:val="24"/>
              </w:rPr>
            </w:pPr>
            <w:r w:rsidRPr="00B917D4">
              <w:rPr>
                <w:rFonts w:ascii="Times New Roman" w:hAnsi="Times New Roman" w:cs="Times New Roman"/>
                <w:sz w:val="24"/>
                <w:szCs w:val="24"/>
              </w:rPr>
              <w:t>Std. Error</w:t>
            </w:r>
          </w:p>
        </w:tc>
        <w:tc>
          <w:tcPr>
            <w:tcW w:w="1560" w:type="dxa"/>
            <w:tcBorders>
              <w:top w:val="single" w:sz="4" w:space="0" w:color="auto"/>
              <w:bottom w:val="single" w:sz="4" w:space="0" w:color="auto"/>
            </w:tcBorders>
            <w:vAlign w:val="bottom"/>
          </w:tcPr>
          <w:p w:rsidR="00E249E1" w:rsidRPr="00B917D4" w:rsidRDefault="00E249E1" w:rsidP="009A0341">
            <w:pPr>
              <w:autoSpaceDE w:val="0"/>
              <w:autoSpaceDN w:val="0"/>
              <w:adjustRightInd w:val="0"/>
              <w:spacing w:after="0"/>
              <w:ind w:right="10"/>
              <w:jc w:val="center"/>
              <w:rPr>
                <w:rFonts w:ascii="Times New Roman" w:hAnsi="Times New Roman" w:cs="Times New Roman"/>
                <w:sz w:val="24"/>
                <w:szCs w:val="24"/>
              </w:rPr>
            </w:pPr>
            <w:r w:rsidRPr="00B917D4">
              <w:rPr>
                <w:rFonts w:ascii="Times New Roman" w:hAnsi="Times New Roman" w:cs="Times New Roman"/>
                <w:sz w:val="24"/>
                <w:szCs w:val="24"/>
              </w:rPr>
              <w:t>z-Statistic</w:t>
            </w:r>
          </w:p>
        </w:tc>
        <w:tc>
          <w:tcPr>
            <w:tcW w:w="1559" w:type="dxa"/>
            <w:tcBorders>
              <w:top w:val="single" w:sz="4" w:space="0" w:color="auto"/>
              <w:bottom w:val="single" w:sz="4" w:space="0" w:color="auto"/>
            </w:tcBorders>
            <w:vAlign w:val="bottom"/>
          </w:tcPr>
          <w:p w:rsidR="00E249E1" w:rsidRPr="00B917D4" w:rsidRDefault="00E249E1" w:rsidP="009A0341">
            <w:pPr>
              <w:autoSpaceDE w:val="0"/>
              <w:autoSpaceDN w:val="0"/>
              <w:adjustRightInd w:val="0"/>
              <w:spacing w:after="0"/>
              <w:ind w:right="10"/>
              <w:jc w:val="center"/>
              <w:rPr>
                <w:rFonts w:ascii="Times New Roman" w:hAnsi="Times New Roman" w:cs="Times New Roman"/>
                <w:sz w:val="24"/>
                <w:szCs w:val="24"/>
              </w:rPr>
            </w:pPr>
            <w:r w:rsidRPr="00B917D4">
              <w:rPr>
                <w:rFonts w:ascii="Times New Roman" w:hAnsi="Times New Roman" w:cs="Times New Roman"/>
                <w:sz w:val="24"/>
                <w:szCs w:val="24"/>
              </w:rPr>
              <w:t>Prob.</w:t>
            </w:r>
          </w:p>
        </w:tc>
      </w:tr>
      <w:tr w:rsidR="00E249E1" w:rsidRPr="00B917D4" w:rsidTr="00E72784">
        <w:trPr>
          <w:trHeight w:val="225"/>
          <w:jc w:val="center"/>
        </w:trPr>
        <w:tc>
          <w:tcPr>
            <w:tcW w:w="2952" w:type="dxa"/>
            <w:tcBorders>
              <w:top w:val="single" w:sz="4" w:space="0" w:color="auto"/>
              <w:bottom w:val="nil"/>
            </w:tcBorders>
            <w:vAlign w:val="bottom"/>
          </w:tcPr>
          <w:p w:rsidR="00E249E1" w:rsidRPr="00B917D4" w:rsidRDefault="00B94F8D" w:rsidP="009A0341">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 xml:space="preserve">Credit </w:t>
            </w:r>
            <w:r w:rsidR="00E249E1" w:rsidRPr="00B917D4">
              <w:rPr>
                <w:rFonts w:ascii="Times New Roman" w:hAnsi="Times New Roman" w:cs="Times New Roman"/>
                <w:sz w:val="24"/>
                <w:szCs w:val="24"/>
              </w:rPr>
              <w:t>Diversification</w:t>
            </w:r>
          </w:p>
        </w:tc>
        <w:tc>
          <w:tcPr>
            <w:tcW w:w="1701" w:type="dxa"/>
            <w:tcBorders>
              <w:top w:val="single" w:sz="4" w:space="0" w:color="auto"/>
              <w:bottom w:val="nil"/>
            </w:tcBorders>
            <w:vAlign w:val="bottom"/>
          </w:tcPr>
          <w:p w:rsidR="00E249E1" w:rsidRPr="00B917D4" w:rsidRDefault="00E249E1" w:rsidP="009A0341">
            <w:pPr>
              <w:autoSpaceDE w:val="0"/>
              <w:autoSpaceDN w:val="0"/>
              <w:adjustRightInd w:val="0"/>
              <w:spacing w:after="0"/>
              <w:ind w:right="10"/>
              <w:jc w:val="center"/>
              <w:rPr>
                <w:rFonts w:ascii="Times New Roman" w:hAnsi="Times New Roman" w:cs="Times New Roman"/>
                <w:sz w:val="24"/>
                <w:szCs w:val="24"/>
              </w:rPr>
            </w:pPr>
            <w:r w:rsidRPr="00B917D4">
              <w:rPr>
                <w:rFonts w:ascii="Times New Roman" w:hAnsi="Times New Roman" w:cs="Times New Roman"/>
                <w:sz w:val="24"/>
                <w:szCs w:val="24"/>
              </w:rPr>
              <w:t>-17.28129</w:t>
            </w:r>
          </w:p>
        </w:tc>
        <w:tc>
          <w:tcPr>
            <w:tcW w:w="1559" w:type="dxa"/>
            <w:tcBorders>
              <w:top w:val="single" w:sz="4" w:space="0" w:color="auto"/>
              <w:bottom w:val="nil"/>
            </w:tcBorders>
            <w:vAlign w:val="bottom"/>
          </w:tcPr>
          <w:p w:rsidR="00E249E1" w:rsidRPr="00B917D4" w:rsidRDefault="00E249E1" w:rsidP="009A0341">
            <w:pPr>
              <w:autoSpaceDE w:val="0"/>
              <w:autoSpaceDN w:val="0"/>
              <w:adjustRightInd w:val="0"/>
              <w:spacing w:after="0"/>
              <w:ind w:right="10"/>
              <w:jc w:val="center"/>
              <w:rPr>
                <w:rFonts w:ascii="Times New Roman" w:hAnsi="Times New Roman" w:cs="Times New Roman"/>
                <w:sz w:val="24"/>
                <w:szCs w:val="24"/>
              </w:rPr>
            </w:pPr>
            <w:r w:rsidRPr="00B917D4">
              <w:rPr>
                <w:rFonts w:ascii="Times New Roman" w:hAnsi="Times New Roman" w:cs="Times New Roman"/>
                <w:sz w:val="24"/>
                <w:szCs w:val="24"/>
              </w:rPr>
              <w:t>8.462279</w:t>
            </w:r>
          </w:p>
        </w:tc>
        <w:tc>
          <w:tcPr>
            <w:tcW w:w="1560" w:type="dxa"/>
            <w:tcBorders>
              <w:top w:val="single" w:sz="4" w:space="0" w:color="auto"/>
              <w:bottom w:val="nil"/>
            </w:tcBorders>
            <w:vAlign w:val="bottom"/>
          </w:tcPr>
          <w:p w:rsidR="00E249E1" w:rsidRPr="00B917D4" w:rsidRDefault="00E249E1" w:rsidP="009A0341">
            <w:pPr>
              <w:autoSpaceDE w:val="0"/>
              <w:autoSpaceDN w:val="0"/>
              <w:adjustRightInd w:val="0"/>
              <w:spacing w:after="0"/>
              <w:ind w:right="10"/>
              <w:jc w:val="center"/>
              <w:rPr>
                <w:rFonts w:ascii="Times New Roman" w:hAnsi="Times New Roman" w:cs="Times New Roman"/>
                <w:sz w:val="24"/>
                <w:szCs w:val="24"/>
              </w:rPr>
            </w:pPr>
            <w:r w:rsidRPr="00B917D4">
              <w:rPr>
                <w:rFonts w:ascii="Times New Roman" w:hAnsi="Times New Roman" w:cs="Times New Roman"/>
                <w:sz w:val="24"/>
                <w:szCs w:val="24"/>
              </w:rPr>
              <w:t>-2.042155</w:t>
            </w:r>
          </w:p>
        </w:tc>
        <w:tc>
          <w:tcPr>
            <w:tcW w:w="1559" w:type="dxa"/>
            <w:tcBorders>
              <w:top w:val="single" w:sz="4" w:space="0" w:color="auto"/>
              <w:bottom w:val="nil"/>
            </w:tcBorders>
            <w:vAlign w:val="bottom"/>
          </w:tcPr>
          <w:p w:rsidR="00E249E1" w:rsidRPr="00B917D4" w:rsidRDefault="00E249E1" w:rsidP="009A0341">
            <w:pPr>
              <w:autoSpaceDE w:val="0"/>
              <w:autoSpaceDN w:val="0"/>
              <w:adjustRightInd w:val="0"/>
              <w:spacing w:after="0"/>
              <w:ind w:right="10"/>
              <w:jc w:val="center"/>
              <w:rPr>
                <w:rFonts w:ascii="Times New Roman" w:hAnsi="Times New Roman" w:cs="Times New Roman"/>
                <w:sz w:val="24"/>
                <w:szCs w:val="24"/>
              </w:rPr>
            </w:pPr>
            <w:r w:rsidRPr="00B917D4">
              <w:rPr>
                <w:rFonts w:ascii="Times New Roman" w:hAnsi="Times New Roman" w:cs="Times New Roman"/>
                <w:sz w:val="24"/>
                <w:szCs w:val="24"/>
              </w:rPr>
              <w:t>0.0411</w:t>
            </w:r>
          </w:p>
        </w:tc>
      </w:tr>
      <w:tr w:rsidR="00E249E1" w:rsidRPr="00B917D4" w:rsidTr="00E72784">
        <w:trPr>
          <w:trHeight w:val="225"/>
          <w:jc w:val="center"/>
        </w:trPr>
        <w:tc>
          <w:tcPr>
            <w:tcW w:w="2952" w:type="dxa"/>
            <w:tcBorders>
              <w:top w:val="nil"/>
              <w:bottom w:val="single" w:sz="4" w:space="0" w:color="auto"/>
            </w:tcBorders>
            <w:vAlign w:val="bottom"/>
          </w:tcPr>
          <w:p w:rsidR="00E249E1" w:rsidRPr="00B917D4" w:rsidRDefault="00E249E1" w:rsidP="009A0341">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C</w:t>
            </w:r>
            <w:r w:rsidR="00B94F8D" w:rsidRPr="00B917D4">
              <w:rPr>
                <w:rFonts w:ascii="Times New Roman" w:hAnsi="Times New Roman" w:cs="Times New Roman"/>
                <w:sz w:val="24"/>
                <w:szCs w:val="24"/>
              </w:rPr>
              <w:t>onstant</w:t>
            </w:r>
          </w:p>
        </w:tc>
        <w:tc>
          <w:tcPr>
            <w:tcW w:w="1701" w:type="dxa"/>
            <w:tcBorders>
              <w:top w:val="nil"/>
              <w:bottom w:val="single" w:sz="4" w:space="0" w:color="auto"/>
            </w:tcBorders>
            <w:vAlign w:val="bottom"/>
          </w:tcPr>
          <w:p w:rsidR="00E249E1" w:rsidRPr="00B917D4" w:rsidRDefault="00E249E1" w:rsidP="009A0341">
            <w:pPr>
              <w:autoSpaceDE w:val="0"/>
              <w:autoSpaceDN w:val="0"/>
              <w:adjustRightInd w:val="0"/>
              <w:spacing w:after="0"/>
              <w:ind w:right="10"/>
              <w:jc w:val="center"/>
              <w:rPr>
                <w:rFonts w:ascii="Times New Roman" w:hAnsi="Times New Roman" w:cs="Times New Roman"/>
                <w:sz w:val="24"/>
                <w:szCs w:val="24"/>
              </w:rPr>
            </w:pPr>
            <w:r w:rsidRPr="00B917D4">
              <w:rPr>
                <w:rFonts w:ascii="Times New Roman" w:hAnsi="Times New Roman" w:cs="Times New Roman"/>
                <w:sz w:val="24"/>
                <w:szCs w:val="24"/>
              </w:rPr>
              <w:t>20.48732</w:t>
            </w:r>
          </w:p>
        </w:tc>
        <w:tc>
          <w:tcPr>
            <w:tcW w:w="1559" w:type="dxa"/>
            <w:tcBorders>
              <w:top w:val="nil"/>
              <w:bottom w:val="single" w:sz="4" w:space="0" w:color="auto"/>
            </w:tcBorders>
            <w:vAlign w:val="bottom"/>
          </w:tcPr>
          <w:p w:rsidR="00E249E1" w:rsidRPr="00B917D4" w:rsidRDefault="00E249E1" w:rsidP="009A0341">
            <w:pPr>
              <w:autoSpaceDE w:val="0"/>
              <w:autoSpaceDN w:val="0"/>
              <w:adjustRightInd w:val="0"/>
              <w:spacing w:after="0"/>
              <w:ind w:right="10"/>
              <w:jc w:val="center"/>
              <w:rPr>
                <w:rFonts w:ascii="Times New Roman" w:hAnsi="Times New Roman" w:cs="Times New Roman"/>
                <w:sz w:val="24"/>
                <w:szCs w:val="24"/>
              </w:rPr>
            </w:pPr>
            <w:r w:rsidRPr="00B917D4">
              <w:rPr>
                <w:rFonts w:ascii="Times New Roman" w:hAnsi="Times New Roman" w:cs="Times New Roman"/>
                <w:sz w:val="24"/>
                <w:szCs w:val="24"/>
              </w:rPr>
              <w:t>6.957404</w:t>
            </w:r>
          </w:p>
        </w:tc>
        <w:tc>
          <w:tcPr>
            <w:tcW w:w="1560" w:type="dxa"/>
            <w:tcBorders>
              <w:top w:val="nil"/>
              <w:bottom w:val="single" w:sz="4" w:space="0" w:color="auto"/>
            </w:tcBorders>
            <w:vAlign w:val="bottom"/>
          </w:tcPr>
          <w:p w:rsidR="00E249E1" w:rsidRPr="00B917D4" w:rsidRDefault="00E249E1" w:rsidP="009A0341">
            <w:pPr>
              <w:autoSpaceDE w:val="0"/>
              <w:autoSpaceDN w:val="0"/>
              <w:adjustRightInd w:val="0"/>
              <w:spacing w:after="0"/>
              <w:ind w:right="10"/>
              <w:jc w:val="center"/>
              <w:rPr>
                <w:rFonts w:ascii="Times New Roman" w:hAnsi="Times New Roman" w:cs="Times New Roman"/>
                <w:sz w:val="24"/>
                <w:szCs w:val="24"/>
              </w:rPr>
            </w:pPr>
            <w:r w:rsidRPr="00B917D4">
              <w:rPr>
                <w:rFonts w:ascii="Times New Roman" w:hAnsi="Times New Roman" w:cs="Times New Roman"/>
                <w:sz w:val="24"/>
                <w:szCs w:val="24"/>
              </w:rPr>
              <w:t>2.944679</w:t>
            </w:r>
          </w:p>
        </w:tc>
        <w:tc>
          <w:tcPr>
            <w:tcW w:w="1559" w:type="dxa"/>
            <w:tcBorders>
              <w:top w:val="nil"/>
              <w:bottom w:val="single" w:sz="4" w:space="0" w:color="auto"/>
            </w:tcBorders>
            <w:vAlign w:val="bottom"/>
          </w:tcPr>
          <w:p w:rsidR="00E249E1" w:rsidRPr="00B917D4" w:rsidRDefault="00E249E1" w:rsidP="009A0341">
            <w:pPr>
              <w:autoSpaceDE w:val="0"/>
              <w:autoSpaceDN w:val="0"/>
              <w:adjustRightInd w:val="0"/>
              <w:spacing w:after="0"/>
              <w:ind w:right="10"/>
              <w:jc w:val="center"/>
              <w:rPr>
                <w:rFonts w:ascii="Times New Roman" w:hAnsi="Times New Roman" w:cs="Times New Roman"/>
                <w:sz w:val="24"/>
                <w:szCs w:val="24"/>
              </w:rPr>
            </w:pPr>
            <w:r w:rsidRPr="00B917D4">
              <w:rPr>
                <w:rFonts w:ascii="Times New Roman" w:hAnsi="Times New Roman" w:cs="Times New Roman"/>
                <w:sz w:val="24"/>
                <w:szCs w:val="24"/>
              </w:rPr>
              <w:t>0.0032</w:t>
            </w:r>
          </w:p>
        </w:tc>
      </w:tr>
      <w:tr w:rsidR="00E249E1" w:rsidRPr="00B917D4" w:rsidTr="00E72784">
        <w:trPr>
          <w:trHeight w:val="225"/>
          <w:jc w:val="center"/>
        </w:trPr>
        <w:tc>
          <w:tcPr>
            <w:tcW w:w="2952" w:type="dxa"/>
            <w:tcBorders>
              <w:top w:val="single" w:sz="4" w:space="0" w:color="auto"/>
            </w:tcBorders>
            <w:vAlign w:val="bottom"/>
          </w:tcPr>
          <w:p w:rsidR="00E249E1" w:rsidRPr="00B917D4" w:rsidRDefault="00E249E1" w:rsidP="009A0341">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Mean dependent variable</w:t>
            </w:r>
          </w:p>
        </w:tc>
        <w:tc>
          <w:tcPr>
            <w:tcW w:w="1701" w:type="dxa"/>
            <w:tcBorders>
              <w:top w:val="single" w:sz="4" w:space="0" w:color="auto"/>
            </w:tcBorders>
            <w:vAlign w:val="bottom"/>
          </w:tcPr>
          <w:p w:rsidR="00E249E1" w:rsidRPr="00B917D4" w:rsidRDefault="00E249E1" w:rsidP="009A0341">
            <w:pPr>
              <w:autoSpaceDE w:val="0"/>
              <w:autoSpaceDN w:val="0"/>
              <w:adjustRightInd w:val="0"/>
              <w:spacing w:after="0"/>
              <w:ind w:right="10"/>
              <w:jc w:val="center"/>
              <w:rPr>
                <w:rFonts w:ascii="Times New Roman" w:hAnsi="Times New Roman" w:cs="Times New Roman"/>
                <w:sz w:val="24"/>
                <w:szCs w:val="24"/>
              </w:rPr>
            </w:pPr>
            <w:r w:rsidRPr="00B917D4">
              <w:rPr>
                <w:rFonts w:ascii="Times New Roman" w:hAnsi="Times New Roman" w:cs="Times New Roman"/>
                <w:sz w:val="24"/>
                <w:szCs w:val="24"/>
              </w:rPr>
              <w:t>6.299063</w:t>
            </w:r>
          </w:p>
        </w:tc>
        <w:tc>
          <w:tcPr>
            <w:tcW w:w="3119" w:type="dxa"/>
            <w:gridSpan w:val="2"/>
            <w:tcBorders>
              <w:top w:val="single" w:sz="4" w:space="0" w:color="auto"/>
            </w:tcBorders>
            <w:vAlign w:val="bottom"/>
          </w:tcPr>
          <w:p w:rsidR="00E249E1" w:rsidRPr="00B917D4" w:rsidRDefault="00E249E1" w:rsidP="009A0341">
            <w:pPr>
              <w:autoSpaceDE w:val="0"/>
              <w:autoSpaceDN w:val="0"/>
              <w:adjustRightInd w:val="0"/>
              <w:spacing w:after="0"/>
              <w:ind w:right="10"/>
              <w:jc w:val="both"/>
              <w:rPr>
                <w:rFonts w:ascii="Times New Roman" w:hAnsi="Times New Roman" w:cs="Times New Roman"/>
                <w:sz w:val="24"/>
                <w:szCs w:val="24"/>
              </w:rPr>
            </w:pPr>
            <w:r w:rsidRPr="00B917D4">
              <w:rPr>
                <w:rFonts w:ascii="Times New Roman" w:hAnsi="Times New Roman" w:cs="Times New Roman"/>
                <w:sz w:val="24"/>
                <w:szCs w:val="24"/>
              </w:rPr>
              <w:t>    S.D. dependent variable</w:t>
            </w:r>
          </w:p>
        </w:tc>
        <w:tc>
          <w:tcPr>
            <w:tcW w:w="1559" w:type="dxa"/>
            <w:tcBorders>
              <w:top w:val="single" w:sz="4" w:space="0" w:color="auto"/>
            </w:tcBorders>
            <w:vAlign w:val="bottom"/>
          </w:tcPr>
          <w:p w:rsidR="00E249E1" w:rsidRPr="00B917D4" w:rsidRDefault="00E249E1" w:rsidP="009A0341">
            <w:pPr>
              <w:autoSpaceDE w:val="0"/>
              <w:autoSpaceDN w:val="0"/>
              <w:adjustRightInd w:val="0"/>
              <w:spacing w:after="0"/>
              <w:ind w:right="10"/>
              <w:jc w:val="center"/>
              <w:rPr>
                <w:rFonts w:ascii="Times New Roman" w:hAnsi="Times New Roman" w:cs="Times New Roman"/>
                <w:sz w:val="24"/>
                <w:szCs w:val="24"/>
              </w:rPr>
            </w:pPr>
            <w:r w:rsidRPr="00B917D4">
              <w:rPr>
                <w:rFonts w:ascii="Times New Roman" w:hAnsi="Times New Roman" w:cs="Times New Roman"/>
                <w:sz w:val="24"/>
                <w:szCs w:val="24"/>
              </w:rPr>
              <w:t>2.182766</w:t>
            </w:r>
          </w:p>
        </w:tc>
      </w:tr>
      <w:tr w:rsidR="00E249E1" w:rsidRPr="00B917D4" w:rsidTr="00E72784">
        <w:trPr>
          <w:trHeight w:val="225"/>
          <w:jc w:val="center"/>
        </w:trPr>
        <w:tc>
          <w:tcPr>
            <w:tcW w:w="2952" w:type="dxa"/>
            <w:vAlign w:val="bottom"/>
          </w:tcPr>
          <w:p w:rsidR="00E249E1" w:rsidRPr="00B917D4" w:rsidRDefault="00E249E1" w:rsidP="009A0341">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Sum squared residual</w:t>
            </w:r>
          </w:p>
        </w:tc>
        <w:tc>
          <w:tcPr>
            <w:tcW w:w="1701" w:type="dxa"/>
            <w:vAlign w:val="bottom"/>
          </w:tcPr>
          <w:p w:rsidR="00E249E1" w:rsidRPr="00B917D4" w:rsidRDefault="00E249E1" w:rsidP="009A0341">
            <w:pPr>
              <w:autoSpaceDE w:val="0"/>
              <w:autoSpaceDN w:val="0"/>
              <w:adjustRightInd w:val="0"/>
              <w:spacing w:after="0"/>
              <w:ind w:right="10"/>
              <w:jc w:val="center"/>
              <w:rPr>
                <w:rFonts w:ascii="Times New Roman" w:hAnsi="Times New Roman" w:cs="Times New Roman"/>
                <w:sz w:val="24"/>
                <w:szCs w:val="24"/>
              </w:rPr>
            </w:pPr>
            <w:r w:rsidRPr="00B917D4">
              <w:rPr>
                <w:rFonts w:ascii="Times New Roman" w:hAnsi="Times New Roman" w:cs="Times New Roman"/>
                <w:sz w:val="24"/>
                <w:szCs w:val="24"/>
              </w:rPr>
              <w:t>129.6723</w:t>
            </w:r>
          </w:p>
        </w:tc>
        <w:tc>
          <w:tcPr>
            <w:tcW w:w="3119" w:type="dxa"/>
            <w:gridSpan w:val="2"/>
            <w:vAlign w:val="bottom"/>
          </w:tcPr>
          <w:p w:rsidR="00E249E1" w:rsidRPr="00B917D4" w:rsidRDefault="00E249E1" w:rsidP="009A0341">
            <w:pPr>
              <w:autoSpaceDE w:val="0"/>
              <w:autoSpaceDN w:val="0"/>
              <w:adjustRightInd w:val="0"/>
              <w:spacing w:after="0"/>
              <w:ind w:right="10"/>
              <w:jc w:val="both"/>
              <w:rPr>
                <w:rFonts w:ascii="Times New Roman" w:hAnsi="Times New Roman" w:cs="Times New Roman"/>
                <w:sz w:val="24"/>
                <w:szCs w:val="24"/>
              </w:rPr>
            </w:pPr>
            <w:r w:rsidRPr="00B917D4">
              <w:rPr>
                <w:rFonts w:ascii="Times New Roman" w:hAnsi="Times New Roman" w:cs="Times New Roman"/>
                <w:sz w:val="24"/>
                <w:szCs w:val="24"/>
              </w:rPr>
              <w:t>    Log likelihood</w:t>
            </w:r>
          </w:p>
        </w:tc>
        <w:tc>
          <w:tcPr>
            <w:tcW w:w="1559" w:type="dxa"/>
            <w:vAlign w:val="bottom"/>
          </w:tcPr>
          <w:p w:rsidR="00E249E1" w:rsidRPr="00B917D4" w:rsidRDefault="00E249E1" w:rsidP="009A0341">
            <w:pPr>
              <w:autoSpaceDE w:val="0"/>
              <w:autoSpaceDN w:val="0"/>
              <w:adjustRightInd w:val="0"/>
              <w:spacing w:after="0"/>
              <w:ind w:right="10"/>
              <w:jc w:val="center"/>
              <w:rPr>
                <w:rFonts w:ascii="Times New Roman" w:hAnsi="Times New Roman" w:cs="Times New Roman"/>
                <w:sz w:val="24"/>
                <w:szCs w:val="24"/>
              </w:rPr>
            </w:pPr>
            <w:r w:rsidRPr="00B917D4">
              <w:rPr>
                <w:rFonts w:ascii="Times New Roman" w:hAnsi="Times New Roman" w:cs="Times New Roman"/>
                <w:sz w:val="24"/>
                <w:szCs w:val="24"/>
              </w:rPr>
              <w:t>-67.82704</w:t>
            </w:r>
          </w:p>
        </w:tc>
      </w:tr>
      <w:tr w:rsidR="00E249E1" w:rsidRPr="00B917D4" w:rsidTr="00E72784">
        <w:trPr>
          <w:trHeight w:val="225"/>
          <w:jc w:val="center"/>
        </w:trPr>
        <w:tc>
          <w:tcPr>
            <w:tcW w:w="2952" w:type="dxa"/>
            <w:vAlign w:val="bottom"/>
          </w:tcPr>
          <w:p w:rsidR="00E249E1" w:rsidRPr="00B917D4" w:rsidRDefault="00E249E1" w:rsidP="009A0341">
            <w:pPr>
              <w:autoSpaceDE w:val="0"/>
              <w:autoSpaceDN w:val="0"/>
              <w:adjustRightInd w:val="0"/>
              <w:spacing w:after="0"/>
              <w:jc w:val="both"/>
              <w:rPr>
                <w:rFonts w:ascii="Times New Roman" w:hAnsi="Times New Roman" w:cs="Times New Roman"/>
                <w:sz w:val="24"/>
                <w:szCs w:val="24"/>
              </w:rPr>
            </w:pPr>
            <w:r w:rsidRPr="00B917D4">
              <w:rPr>
                <w:rFonts w:ascii="Times New Roman" w:hAnsi="Times New Roman" w:cs="Times New Roman"/>
                <w:sz w:val="24"/>
                <w:szCs w:val="24"/>
              </w:rPr>
              <w:t>LR statistic</w:t>
            </w:r>
          </w:p>
        </w:tc>
        <w:tc>
          <w:tcPr>
            <w:tcW w:w="1701" w:type="dxa"/>
            <w:vAlign w:val="bottom"/>
          </w:tcPr>
          <w:p w:rsidR="00E249E1" w:rsidRPr="00B917D4" w:rsidRDefault="00E249E1" w:rsidP="009A0341">
            <w:pPr>
              <w:autoSpaceDE w:val="0"/>
              <w:autoSpaceDN w:val="0"/>
              <w:adjustRightInd w:val="0"/>
              <w:spacing w:after="0"/>
              <w:ind w:right="10"/>
              <w:jc w:val="center"/>
              <w:rPr>
                <w:rFonts w:ascii="Times New Roman" w:hAnsi="Times New Roman" w:cs="Times New Roman"/>
                <w:sz w:val="24"/>
                <w:szCs w:val="24"/>
              </w:rPr>
            </w:pPr>
            <w:r w:rsidRPr="00B917D4">
              <w:rPr>
                <w:rFonts w:ascii="Times New Roman" w:hAnsi="Times New Roman" w:cs="Times New Roman"/>
                <w:sz w:val="24"/>
                <w:szCs w:val="24"/>
              </w:rPr>
              <w:t>4.170398</w:t>
            </w:r>
          </w:p>
        </w:tc>
        <w:tc>
          <w:tcPr>
            <w:tcW w:w="3119" w:type="dxa"/>
            <w:gridSpan w:val="2"/>
            <w:vAlign w:val="bottom"/>
          </w:tcPr>
          <w:p w:rsidR="00E249E1" w:rsidRPr="00B917D4" w:rsidRDefault="00E249E1" w:rsidP="009A0341">
            <w:pPr>
              <w:autoSpaceDE w:val="0"/>
              <w:autoSpaceDN w:val="0"/>
              <w:adjustRightInd w:val="0"/>
              <w:spacing w:after="0"/>
              <w:ind w:right="10"/>
              <w:jc w:val="both"/>
              <w:rPr>
                <w:rFonts w:ascii="Times New Roman" w:hAnsi="Times New Roman" w:cs="Times New Roman"/>
                <w:sz w:val="24"/>
                <w:szCs w:val="24"/>
              </w:rPr>
            </w:pPr>
            <w:r w:rsidRPr="00B917D4">
              <w:rPr>
                <w:rFonts w:ascii="Times New Roman" w:hAnsi="Times New Roman" w:cs="Times New Roman"/>
                <w:sz w:val="24"/>
                <w:szCs w:val="24"/>
              </w:rPr>
              <w:t>    Prob.(LR statistic)</w:t>
            </w:r>
          </w:p>
        </w:tc>
        <w:tc>
          <w:tcPr>
            <w:tcW w:w="1559" w:type="dxa"/>
            <w:vAlign w:val="bottom"/>
          </w:tcPr>
          <w:p w:rsidR="00E249E1" w:rsidRPr="00B917D4" w:rsidRDefault="00E249E1" w:rsidP="009A0341">
            <w:pPr>
              <w:autoSpaceDE w:val="0"/>
              <w:autoSpaceDN w:val="0"/>
              <w:adjustRightInd w:val="0"/>
              <w:spacing w:after="0"/>
              <w:ind w:right="10"/>
              <w:jc w:val="center"/>
              <w:rPr>
                <w:rFonts w:ascii="Times New Roman" w:hAnsi="Times New Roman" w:cs="Times New Roman"/>
                <w:sz w:val="24"/>
                <w:szCs w:val="24"/>
              </w:rPr>
            </w:pPr>
            <w:r w:rsidRPr="00B917D4">
              <w:rPr>
                <w:rFonts w:ascii="Times New Roman" w:hAnsi="Times New Roman" w:cs="Times New Roman"/>
                <w:sz w:val="24"/>
                <w:szCs w:val="24"/>
              </w:rPr>
              <w:t>0.041136</w:t>
            </w:r>
          </w:p>
        </w:tc>
      </w:tr>
    </w:tbl>
    <w:p w:rsidR="00E72784" w:rsidRPr="00B917D4" w:rsidRDefault="00E72784" w:rsidP="009A0341">
      <w:pPr>
        <w:spacing w:before="240"/>
        <w:jc w:val="both"/>
        <w:rPr>
          <w:rFonts w:ascii="Times New Roman" w:hAnsi="Times New Roman" w:cs="Times New Roman"/>
          <w:sz w:val="24"/>
          <w:szCs w:val="24"/>
        </w:rPr>
      </w:pPr>
      <w:r w:rsidRPr="00B917D4">
        <w:rPr>
          <w:rFonts w:ascii="Times New Roman" w:hAnsi="Times New Roman" w:cs="Times New Roman"/>
          <w:sz w:val="24"/>
          <w:szCs w:val="24"/>
        </w:rPr>
        <w:t>Source: Research Data (2017)</w:t>
      </w:r>
    </w:p>
    <w:p w:rsidR="000C2FCF" w:rsidRPr="00B917D4" w:rsidRDefault="000C2FCF" w:rsidP="009A0341">
      <w:pPr>
        <w:pStyle w:val="ListParagraph"/>
        <w:numPr>
          <w:ilvl w:val="0"/>
          <w:numId w:val="1"/>
        </w:numPr>
        <w:spacing w:before="240"/>
        <w:ind w:left="567" w:hanging="567"/>
        <w:contextualSpacing w:val="0"/>
        <w:jc w:val="both"/>
        <w:rPr>
          <w:rFonts w:ascii="Times New Roman" w:hAnsi="Times New Roman" w:cs="Times New Roman"/>
          <w:b/>
          <w:sz w:val="24"/>
          <w:szCs w:val="24"/>
        </w:rPr>
      </w:pPr>
      <w:r w:rsidRPr="00B917D4">
        <w:rPr>
          <w:rFonts w:ascii="Times New Roman" w:hAnsi="Times New Roman" w:cs="Times New Roman"/>
          <w:b/>
          <w:sz w:val="24"/>
          <w:szCs w:val="24"/>
        </w:rPr>
        <w:t>Conclusions</w:t>
      </w:r>
    </w:p>
    <w:p w:rsidR="00D17D20" w:rsidRPr="00B917D4" w:rsidRDefault="00D811B5" w:rsidP="00D17D20">
      <w:pPr>
        <w:jc w:val="both"/>
        <w:rPr>
          <w:rFonts w:ascii="Times New Roman" w:hAnsi="Times New Roman" w:cs="Times New Roman"/>
          <w:sz w:val="24"/>
          <w:szCs w:val="24"/>
        </w:rPr>
      </w:pPr>
      <w:r w:rsidRPr="00B917D4">
        <w:rPr>
          <w:rFonts w:ascii="Times New Roman" w:hAnsi="Times New Roman" w:cs="Times New Roman"/>
          <w:sz w:val="24"/>
          <w:szCs w:val="24"/>
        </w:rPr>
        <w:t xml:space="preserve">This paper investigated whether sectoral credit diversification presented a premium or discount on banking industry financial performance and monitoring effectiveness. On financial performance, the paper finds a positive and significant effect of sectoral credit diversification on banking industry returns on assets. The findings concur with the theoretical prescriptions of Diamond (1984) in Financial Intermediation and Delegated Monitoring theory that </w:t>
      </w:r>
      <w:r w:rsidR="00D17D20" w:rsidRPr="00B917D4">
        <w:rPr>
          <w:rFonts w:ascii="Times New Roman" w:hAnsi="Times New Roman" w:cs="Times New Roman"/>
          <w:sz w:val="24"/>
          <w:szCs w:val="24"/>
        </w:rPr>
        <w:t xml:space="preserve">through </w:t>
      </w:r>
      <w:r w:rsidRPr="00B917D4">
        <w:rPr>
          <w:rFonts w:ascii="Times New Roman" w:hAnsi="Times New Roman" w:cs="Times New Roman"/>
          <w:sz w:val="24"/>
          <w:szCs w:val="24"/>
        </w:rPr>
        <w:t xml:space="preserve">diversification </w:t>
      </w:r>
      <w:r w:rsidR="00D17D20" w:rsidRPr="00B917D4">
        <w:rPr>
          <w:rFonts w:ascii="Times New Roman" w:hAnsi="Times New Roman" w:cs="Times New Roman"/>
          <w:sz w:val="24"/>
          <w:szCs w:val="24"/>
        </w:rPr>
        <w:t xml:space="preserve">an </w:t>
      </w:r>
      <w:r w:rsidRPr="00B917D4">
        <w:rPr>
          <w:rFonts w:ascii="Times New Roman" w:hAnsi="Times New Roman" w:cs="Times New Roman"/>
          <w:sz w:val="24"/>
          <w:szCs w:val="24"/>
        </w:rPr>
        <w:t>intermediary is able to earn a return beyond what is payable to the fund suppliers.</w:t>
      </w:r>
      <w:r w:rsidR="00D17D20" w:rsidRPr="00B917D4">
        <w:rPr>
          <w:rFonts w:ascii="Times New Roman" w:hAnsi="Times New Roman" w:cs="Times New Roman"/>
          <w:sz w:val="24"/>
          <w:szCs w:val="24"/>
        </w:rPr>
        <w:t xml:space="preserve"> This is attributed to the reduction in monitoring costs by adding less than perfectly correlated sector risks by a single intermediary through diversification which reduces the total delegation costs below what would be possible if the risks were monitored by several intermediaries through sharing risks. On whether sectoral credit </w:t>
      </w:r>
      <w:r w:rsidR="00C32C90" w:rsidRPr="00B917D4">
        <w:rPr>
          <w:rFonts w:ascii="Times New Roman" w:hAnsi="Times New Roman" w:cs="Times New Roman"/>
          <w:sz w:val="24"/>
          <w:szCs w:val="24"/>
        </w:rPr>
        <w:t>diversification enhances</w:t>
      </w:r>
      <w:r w:rsidR="00D17D20" w:rsidRPr="00B917D4">
        <w:rPr>
          <w:rFonts w:ascii="Times New Roman" w:hAnsi="Times New Roman" w:cs="Times New Roman"/>
          <w:sz w:val="24"/>
          <w:szCs w:val="24"/>
        </w:rPr>
        <w:t xml:space="preserve"> a banking industry monitoring effectiveness, I find a </w:t>
      </w:r>
      <w:r w:rsidR="00C32C90" w:rsidRPr="00B917D4">
        <w:rPr>
          <w:rFonts w:ascii="Times New Roman" w:hAnsi="Times New Roman" w:cs="Times New Roman"/>
          <w:sz w:val="24"/>
          <w:szCs w:val="24"/>
        </w:rPr>
        <w:t xml:space="preserve">significant negative relationship between </w:t>
      </w:r>
      <w:r w:rsidR="00C32C90" w:rsidRPr="00B917D4">
        <w:rPr>
          <w:rFonts w:ascii="Times New Roman" w:hAnsi="Times New Roman" w:cs="Times New Roman"/>
          <w:sz w:val="24"/>
          <w:szCs w:val="24"/>
        </w:rPr>
        <w:lastRenderedPageBreak/>
        <w:t>diversification and asset quality. This shows that se</w:t>
      </w:r>
      <w:r w:rsidR="00D17D20" w:rsidRPr="00B917D4">
        <w:rPr>
          <w:rFonts w:ascii="Times New Roman" w:hAnsi="Times New Roman" w:cs="Times New Roman"/>
          <w:sz w:val="24"/>
          <w:szCs w:val="24"/>
        </w:rPr>
        <w:t>ctoral</w:t>
      </w:r>
      <w:r w:rsidR="00C32C90" w:rsidRPr="00B917D4">
        <w:rPr>
          <w:rFonts w:ascii="Times New Roman" w:hAnsi="Times New Roman" w:cs="Times New Roman"/>
          <w:sz w:val="24"/>
          <w:szCs w:val="24"/>
        </w:rPr>
        <w:t xml:space="preserve"> credit diversification improve</w:t>
      </w:r>
      <w:r w:rsidR="00D17D20" w:rsidRPr="00B917D4">
        <w:rPr>
          <w:rFonts w:ascii="Times New Roman" w:hAnsi="Times New Roman" w:cs="Times New Roman"/>
          <w:sz w:val="24"/>
          <w:szCs w:val="24"/>
        </w:rPr>
        <w:t xml:space="preserve"> the monitoring effectiveness of banking industries in East Africa.</w:t>
      </w:r>
      <w:r w:rsidR="00C32C90" w:rsidRPr="00B917D4">
        <w:rPr>
          <w:rFonts w:ascii="Times New Roman" w:hAnsi="Times New Roman" w:cs="Times New Roman"/>
          <w:sz w:val="24"/>
          <w:szCs w:val="24"/>
        </w:rPr>
        <w:t xml:space="preserve"> The results confirm</w:t>
      </w:r>
      <w:r w:rsidR="00D17D20" w:rsidRPr="00B917D4">
        <w:rPr>
          <w:rFonts w:ascii="Times New Roman" w:hAnsi="Times New Roman" w:cs="Times New Roman"/>
          <w:sz w:val="24"/>
          <w:szCs w:val="24"/>
        </w:rPr>
        <w:t xml:space="preserve"> the theoretical perspectives of Diamond (1984; 1991) that in diversifying loans an intermediary’s risk tolerance is increased, monitoring costs are reduced and a great deal of customer information is acquired in the process, which can be used in efficiently screening and monitoring borrowers thereby enhancing the </w:t>
      </w:r>
      <w:r w:rsidR="00C32C90" w:rsidRPr="00B917D4">
        <w:rPr>
          <w:rFonts w:ascii="Times New Roman" w:hAnsi="Times New Roman" w:cs="Times New Roman"/>
          <w:sz w:val="24"/>
          <w:szCs w:val="24"/>
        </w:rPr>
        <w:t xml:space="preserve">bank’s monitoring capabilities. Based on these findings, this paper recommends a diversified loan portfolio where intermediaries distribute their credit offerings across various economic sectors. </w:t>
      </w:r>
    </w:p>
    <w:p w:rsidR="000C2FCF" w:rsidRPr="00B917D4" w:rsidRDefault="000C2FCF" w:rsidP="0032054C">
      <w:pPr>
        <w:jc w:val="both"/>
        <w:rPr>
          <w:rFonts w:ascii="Times New Roman" w:hAnsi="Times New Roman" w:cs="Times New Roman"/>
          <w:b/>
          <w:sz w:val="24"/>
          <w:szCs w:val="24"/>
        </w:rPr>
      </w:pPr>
      <w:r w:rsidRPr="00B917D4">
        <w:rPr>
          <w:rFonts w:ascii="Times New Roman" w:hAnsi="Times New Roman" w:cs="Times New Roman"/>
          <w:b/>
          <w:sz w:val="24"/>
          <w:szCs w:val="24"/>
        </w:rPr>
        <w:t>References</w:t>
      </w:r>
    </w:p>
    <w:p w:rsidR="00E72784" w:rsidRPr="00DF305D" w:rsidRDefault="003659DB" w:rsidP="0032054C">
      <w:pPr>
        <w:autoSpaceDE w:val="0"/>
        <w:autoSpaceDN w:val="0"/>
        <w:adjustRightInd w:val="0"/>
        <w:ind w:left="567" w:hanging="567"/>
        <w:jc w:val="both"/>
        <w:rPr>
          <w:rFonts w:ascii="Times New Roman" w:hAnsi="Times New Roman" w:cs="Times New Roman"/>
          <w:bCs/>
          <w:sz w:val="24"/>
          <w:szCs w:val="24"/>
        </w:rPr>
      </w:pPr>
      <w:r>
        <w:rPr>
          <w:rFonts w:ascii="Times New Roman" w:eastAsia="TimesNewRomanPSMT" w:hAnsi="Times New Roman" w:cs="Times New Roman"/>
          <w:sz w:val="24"/>
          <w:szCs w:val="24"/>
        </w:rPr>
        <w:t>[1]</w:t>
      </w:r>
      <w:r>
        <w:rPr>
          <w:rFonts w:ascii="Times New Roman" w:eastAsia="TimesNewRomanPSMT" w:hAnsi="Times New Roman" w:cs="Times New Roman"/>
          <w:sz w:val="24"/>
          <w:szCs w:val="24"/>
        </w:rPr>
        <w:tab/>
      </w:r>
      <w:r w:rsidR="00E72784" w:rsidRPr="00DF305D">
        <w:rPr>
          <w:rFonts w:ascii="Times New Roman" w:eastAsia="TimesNewRomanPSMT" w:hAnsi="Times New Roman" w:cs="Times New Roman"/>
          <w:sz w:val="24"/>
          <w:szCs w:val="24"/>
        </w:rPr>
        <w:t xml:space="preserve">Acharya V., Hasan I., and Saunders A., (2006), Should Banks be Diversified? Evidence from Individual Bank Loan Portfolios, </w:t>
      </w:r>
      <w:r w:rsidR="00E72784" w:rsidRPr="00DF305D">
        <w:rPr>
          <w:rFonts w:ascii="Times New Roman" w:eastAsia="TimesNewRomanPSMT" w:hAnsi="Times New Roman" w:cs="Times New Roman"/>
          <w:i/>
          <w:sz w:val="24"/>
          <w:szCs w:val="24"/>
        </w:rPr>
        <w:t>Journal of Business</w:t>
      </w:r>
      <w:r w:rsidR="00E72784" w:rsidRPr="00DF305D">
        <w:rPr>
          <w:rFonts w:ascii="Times New Roman" w:eastAsia="TimesNewRomanPSMT" w:hAnsi="Times New Roman" w:cs="Times New Roman"/>
          <w:sz w:val="24"/>
          <w:szCs w:val="24"/>
        </w:rPr>
        <w:t>, 79 (3), 1355-1412</w:t>
      </w:r>
    </w:p>
    <w:p w:rsidR="00E72784" w:rsidRPr="00DF305D" w:rsidRDefault="003659DB" w:rsidP="0032054C">
      <w:pPr>
        <w:autoSpaceDE w:val="0"/>
        <w:autoSpaceDN w:val="0"/>
        <w:adjustRightInd w:val="0"/>
        <w:ind w:left="567" w:hanging="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E72784" w:rsidRPr="00DF305D">
        <w:rPr>
          <w:rFonts w:ascii="Times New Roman" w:hAnsi="Times New Roman" w:cs="Times New Roman"/>
          <w:sz w:val="24"/>
          <w:szCs w:val="24"/>
        </w:rPr>
        <w:t xml:space="preserve">African Business Magazine, (2011), </w:t>
      </w:r>
      <w:r w:rsidR="00E72784" w:rsidRPr="00DF305D">
        <w:rPr>
          <w:rFonts w:ascii="Times New Roman" w:hAnsi="Times New Roman" w:cs="Times New Roman"/>
          <w:i/>
          <w:sz w:val="24"/>
          <w:szCs w:val="24"/>
        </w:rPr>
        <w:t>Banking in East Africa: A new Power House in the Making</w:t>
      </w:r>
      <w:r w:rsidR="00E72784" w:rsidRPr="00DF305D">
        <w:rPr>
          <w:rFonts w:ascii="Times New Roman" w:hAnsi="Times New Roman" w:cs="Times New Roman"/>
          <w:sz w:val="24"/>
          <w:szCs w:val="24"/>
        </w:rPr>
        <w:t xml:space="preserve">, May 1: </w:t>
      </w:r>
      <w:hyperlink r:id="rId12" w:history="1">
        <w:r w:rsidR="00E72784" w:rsidRPr="00DF305D">
          <w:rPr>
            <w:rStyle w:val="Hyperlink"/>
            <w:rFonts w:ascii="Times New Roman" w:eastAsia="Times New Roman" w:hAnsi="Times New Roman" w:cs="Times New Roman"/>
            <w:color w:val="auto"/>
            <w:sz w:val="24"/>
            <w:szCs w:val="24"/>
            <w:u w:val="none"/>
          </w:rPr>
          <w:t>http://africanbusinessmagazine.com/uncategorised/banking-in-east-africa-a-new-powerhouse-in-the-making/</w:t>
        </w:r>
      </w:hyperlink>
      <w:r w:rsidR="00E72784" w:rsidRPr="00DF305D">
        <w:rPr>
          <w:rFonts w:ascii="Times New Roman" w:eastAsia="Times New Roman" w:hAnsi="Times New Roman" w:cs="Times New Roman"/>
          <w:sz w:val="24"/>
          <w:szCs w:val="24"/>
        </w:rPr>
        <w:t>, accessed on 10</w:t>
      </w:r>
      <w:r w:rsidR="00E72784" w:rsidRPr="00DF305D">
        <w:rPr>
          <w:rFonts w:ascii="Times New Roman" w:eastAsia="Times New Roman" w:hAnsi="Times New Roman" w:cs="Times New Roman"/>
          <w:sz w:val="24"/>
          <w:szCs w:val="24"/>
          <w:vertAlign w:val="superscript"/>
        </w:rPr>
        <w:t>th</w:t>
      </w:r>
      <w:r w:rsidR="00E72784" w:rsidRPr="00DF305D">
        <w:rPr>
          <w:rFonts w:ascii="Times New Roman" w:eastAsia="Times New Roman" w:hAnsi="Times New Roman" w:cs="Times New Roman"/>
          <w:sz w:val="24"/>
          <w:szCs w:val="24"/>
        </w:rPr>
        <w:t xml:space="preserve"> June 2017</w:t>
      </w:r>
    </w:p>
    <w:p w:rsidR="00E72784" w:rsidRPr="00DF305D" w:rsidRDefault="003659DB" w:rsidP="0032054C">
      <w:pPr>
        <w:autoSpaceDE w:val="0"/>
        <w:autoSpaceDN w:val="0"/>
        <w:adjustRightInd w:val="0"/>
        <w:ind w:left="567" w:hanging="567"/>
        <w:jc w:val="both"/>
        <w:rPr>
          <w:rFonts w:ascii="Times New Roman" w:hAnsi="Times New Roman" w:cs="Times New Roman"/>
          <w:sz w:val="24"/>
          <w:szCs w:val="24"/>
        </w:rPr>
      </w:pPr>
      <w:r>
        <w:rPr>
          <w:rFonts w:ascii="Times New Roman" w:hAnsi="Times New Roman" w:cs="Times New Roman"/>
          <w:bCs/>
          <w:sz w:val="24"/>
          <w:szCs w:val="24"/>
        </w:rPr>
        <w:t>[3]</w:t>
      </w:r>
      <w:r>
        <w:rPr>
          <w:rFonts w:ascii="Times New Roman" w:hAnsi="Times New Roman" w:cs="Times New Roman"/>
          <w:bCs/>
          <w:sz w:val="24"/>
          <w:szCs w:val="24"/>
        </w:rPr>
        <w:tab/>
      </w:r>
      <w:r w:rsidR="00E72784" w:rsidRPr="00DF305D">
        <w:rPr>
          <w:rFonts w:ascii="Times New Roman" w:hAnsi="Times New Roman" w:cs="Times New Roman"/>
          <w:bCs/>
          <w:sz w:val="24"/>
          <w:szCs w:val="24"/>
        </w:rPr>
        <w:t xml:space="preserve">Afzal, A. and Mirza, N., (2012). Size, Diversification and Risk: preliminary Evidence from Commercial Banks in Pakistan, </w:t>
      </w:r>
      <w:r w:rsidR="00E72784" w:rsidRPr="00DF305D">
        <w:rPr>
          <w:rFonts w:ascii="Times New Roman" w:hAnsi="Times New Roman" w:cs="Times New Roman"/>
          <w:bCs/>
          <w:i/>
          <w:sz w:val="24"/>
          <w:szCs w:val="24"/>
        </w:rPr>
        <w:t>Pak. J. Commer. Soc. Sci</w:t>
      </w:r>
      <w:r w:rsidR="00E72784" w:rsidRPr="00DF305D">
        <w:rPr>
          <w:rFonts w:ascii="Times New Roman" w:hAnsi="Times New Roman" w:cs="Times New Roman"/>
          <w:bCs/>
          <w:sz w:val="24"/>
          <w:szCs w:val="24"/>
        </w:rPr>
        <w:t>., 6(2), 282-296</w:t>
      </w:r>
    </w:p>
    <w:p w:rsidR="00E72784" w:rsidRPr="00DF305D" w:rsidRDefault="003659DB" w:rsidP="0032054C">
      <w:pPr>
        <w:autoSpaceDE w:val="0"/>
        <w:autoSpaceDN w:val="0"/>
        <w:adjustRightInd w:val="0"/>
        <w:ind w:left="567" w:hanging="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E72784" w:rsidRPr="00DF305D">
        <w:rPr>
          <w:rFonts w:ascii="Times New Roman" w:hAnsi="Times New Roman" w:cs="Times New Roman"/>
          <w:sz w:val="24"/>
          <w:szCs w:val="24"/>
        </w:rPr>
        <w:t xml:space="preserve">Allen F., and Santomero, A.M., (1998). The Theory of Financial Intermediation, </w:t>
      </w:r>
      <w:r w:rsidR="00E72784" w:rsidRPr="00DF305D">
        <w:rPr>
          <w:rFonts w:ascii="Times New Roman" w:hAnsi="Times New Roman" w:cs="Times New Roman"/>
          <w:i/>
          <w:sz w:val="24"/>
          <w:szCs w:val="24"/>
        </w:rPr>
        <w:t>Journal of Banking &amp; Finance</w:t>
      </w:r>
      <w:r w:rsidR="00E72784" w:rsidRPr="00DF305D">
        <w:rPr>
          <w:rFonts w:ascii="Times New Roman" w:hAnsi="Times New Roman" w:cs="Times New Roman"/>
          <w:sz w:val="24"/>
          <w:szCs w:val="24"/>
        </w:rPr>
        <w:t>, 21, 1461-1485</w:t>
      </w:r>
    </w:p>
    <w:p w:rsidR="00E72784" w:rsidRPr="00DF305D" w:rsidRDefault="003659DB" w:rsidP="003659DB">
      <w:pPr>
        <w:ind w:left="567" w:hanging="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E72784" w:rsidRPr="00DF305D">
        <w:rPr>
          <w:rFonts w:ascii="Times New Roman" w:hAnsi="Times New Roman" w:cs="Times New Roman"/>
          <w:sz w:val="24"/>
          <w:szCs w:val="24"/>
        </w:rPr>
        <w:t xml:space="preserve">Behr A., Kamp A., Memel C., and Pfingsten A. (2007), Diversification and the Banks Risk-Return Characteristics: Evidence from Loan Portfolios of German banks, </w:t>
      </w:r>
      <w:r w:rsidR="00E72784" w:rsidRPr="00DF305D">
        <w:rPr>
          <w:rFonts w:ascii="Times New Roman" w:hAnsi="Times New Roman" w:cs="Times New Roman"/>
          <w:i/>
          <w:sz w:val="24"/>
          <w:szCs w:val="24"/>
        </w:rPr>
        <w:t>Discussion paper, No. 2, Banking and Financial studies No. 05/2007,</w:t>
      </w:r>
      <w:r w:rsidR="00E72784" w:rsidRPr="00DF305D">
        <w:rPr>
          <w:rFonts w:ascii="Times New Roman" w:hAnsi="Times New Roman" w:cs="Times New Roman"/>
          <w:sz w:val="24"/>
          <w:szCs w:val="24"/>
        </w:rPr>
        <w:t xml:space="preserve"> Deutsche Bundesbank, Frankfurt am Main</w:t>
      </w:r>
    </w:p>
    <w:p w:rsidR="00E72784" w:rsidRPr="00DF305D" w:rsidRDefault="003659DB" w:rsidP="0032054C">
      <w:pPr>
        <w:autoSpaceDE w:val="0"/>
        <w:autoSpaceDN w:val="0"/>
        <w:adjustRightInd w:val="0"/>
        <w:ind w:left="567" w:hanging="567"/>
        <w:jc w:val="both"/>
        <w:rPr>
          <w:rFonts w:ascii="Times New Roman" w:eastAsia="TimesNewRomanPSMT"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E72784" w:rsidRPr="00DF305D">
        <w:rPr>
          <w:rFonts w:ascii="Times New Roman" w:hAnsi="Times New Roman" w:cs="Times New Roman"/>
          <w:sz w:val="24"/>
          <w:szCs w:val="24"/>
        </w:rPr>
        <w:t>Belguith H. and Bellouma M., (2017), The Impact of Loan Portfolio Diversification on Tunisian Bank’s Profitability,</w:t>
      </w:r>
      <w:r w:rsidR="00E72784" w:rsidRPr="00DF305D">
        <w:rPr>
          <w:rFonts w:ascii="Times New Roman" w:hAnsi="Times New Roman" w:cs="Times New Roman"/>
          <w:i/>
          <w:sz w:val="24"/>
          <w:szCs w:val="24"/>
        </w:rPr>
        <w:t xml:space="preserve"> International Journal of Emerging Research in Management &amp; Technology</w:t>
      </w:r>
      <w:r w:rsidR="00E72784" w:rsidRPr="00DF305D">
        <w:rPr>
          <w:rFonts w:ascii="Times New Roman" w:hAnsi="Times New Roman" w:cs="Times New Roman"/>
          <w:sz w:val="24"/>
          <w:szCs w:val="24"/>
        </w:rPr>
        <w:t>, 6(6), 35-45</w:t>
      </w:r>
    </w:p>
    <w:p w:rsidR="00E72784" w:rsidRPr="00DF305D" w:rsidRDefault="003659DB" w:rsidP="0032054C">
      <w:pPr>
        <w:autoSpaceDE w:val="0"/>
        <w:autoSpaceDN w:val="0"/>
        <w:adjustRightInd w:val="0"/>
        <w:ind w:left="567" w:hanging="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[7]</w:t>
      </w:r>
      <w:r>
        <w:rPr>
          <w:rFonts w:ascii="Times New Roman" w:eastAsia="TimesNewRomanPSMT" w:hAnsi="Times New Roman" w:cs="Times New Roman"/>
          <w:sz w:val="24"/>
          <w:szCs w:val="24"/>
        </w:rPr>
        <w:tab/>
      </w:r>
      <w:r w:rsidR="00E72784" w:rsidRPr="00DF305D">
        <w:rPr>
          <w:rFonts w:ascii="Times New Roman" w:eastAsia="TimesNewRomanPSMT" w:hAnsi="Times New Roman" w:cs="Times New Roman"/>
          <w:sz w:val="24"/>
          <w:szCs w:val="24"/>
        </w:rPr>
        <w:t xml:space="preserve">Berger A.N., Hassan I., and Zhou M., (2010), Effects of Focus vs. Diversification on Bank Performance: Evidence from Chinese banks, </w:t>
      </w:r>
      <w:r w:rsidR="00E72784" w:rsidRPr="00DF305D">
        <w:rPr>
          <w:rFonts w:ascii="Times New Roman" w:eastAsia="TimesNewRomanPSMT" w:hAnsi="Times New Roman" w:cs="Times New Roman"/>
          <w:i/>
          <w:sz w:val="24"/>
          <w:szCs w:val="24"/>
        </w:rPr>
        <w:t xml:space="preserve">BOFIT discussion papers 4/2010, </w:t>
      </w:r>
      <w:r w:rsidR="00E72784" w:rsidRPr="00DF305D">
        <w:rPr>
          <w:rFonts w:ascii="Times New Roman" w:eastAsia="TimesNewRomanPSMT" w:hAnsi="Times New Roman" w:cs="Times New Roman"/>
          <w:sz w:val="24"/>
          <w:szCs w:val="24"/>
        </w:rPr>
        <w:t>Institute of Economies in Transition, Bank of Finland</w:t>
      </w:r>
    </w:p>
    <w:p w:rsidR="00E72784" w:rsidRPr="00DF305D" w:rsidRDefault="003659DB" w:rsidP="0032054C">
      <w:pPr>
        <w:autoSpaceDE w:val="0"/>
        <w:autoSpaceDN w:val="0"/>
        <w:adjustRightInd w:val="0"/>
        <w:ind w:left="567" w:hanging="567"/>
        <w:jc w:val="both"/>
        <w:rPr>
          <w:rFonts w:ascii="Times New Roman" w:eastAsia="TimesNewRomanPSMT" w:hAnsi="Times New Roman" w:cs="Times New Roman"/>
          <w:i/>
          <w:sz w:val="24"/>
          <w:szCs w:val="24"/>
        </w:rPr>
      </w:pPr>
      <w:r>
        <w:rPr>
          <w:rFonts w:ascii="Times New Roman" w:hAnsi="Times New Roman" w:cs="Times New Roman"/>
          <w:sz w:val="24"/>
          <w:szCs w:val="24"/>
        </w:rPr>
        <w:t>[8]</w:t>
      </w:r>
      <w:r>
        <w:rPr>
          <w:rFonts w:ascii="Times New Roman" w:hAnsi="Times New Roman" w:cs="Times New Roman"/>
          <w:sz w:val="24"/>
          <w:szCs w:val="24"/>
        </w:rPr>
        <w:tab/>
      </w:r>
      <w:r w:rsidR="00E72784" w:rsidRPr="00DF305D">
        <w:rPr>
          <w:rFonts w:ascii="Times New Roman" w:hAnsi="Times New Roman" w:cs="Times New Roman"/>
          <w:sz w:val="24"/>
          <w:szCs w:val="24"/>
        </w:rPr>
        <w:t xml:space="preserve">Cetorelli, N., Mandel, B.H., and Mollineaux, L., (2012). The Evolution of Banks and Financial Intermediation: Framing the Analysis, </w:t>
      </w:r>
      <w:r w:rsidR="00E72784" w:rsidRPr="00DF305D">
        <w:rPr>
          <w:rFonts w:ascii="Times New Roman" w:hAnsi="Times New Roman" w:cs="Times New Roman"/>
          <w:i/>
          <w:sz w:val="24"/>
          <w:szCs w:val="24"/>
        </w:rPr>
        <w:t>FRBNY</w:t>
      </w:r>
      <w:r w:rsidR="00E72784" w:rsidRPr="00DF305D">
        <w:rPr>
          <w:rFonts w:ascii="Times New Roman" w:hAnsi="Times New Roman" w:cs="Times New Roman"/>
          <w:sz w:val="24"/>
          <w:szCs w:val="24"/>
        </w:rPr>
        <w:t xml:space="preserve"> </w:t>
      </w:r>
      <w:r w:rsidR="00E72784" w:rsidRPr="00DF305D">
        <w:rPr>
          <w:rFonts w:ascii="Times New Roman" w:hAnsi="Times New Roman" w:cs="Times New Roman"/>
          <w:i/>
          <w:sz w:val="24"/>
          <w:szCs w:val="24"/>
        </w:rPr>
        <w:t>Economic Policy Review July 2012</w:t>
      </w:r>
      <w:r w:rsidR="00E72784" w:rsidRPr="00DF305D">
        <w:rPr>
          <w:rFonts w:ascii="Times New Roman" w:hAnsi="Times New Roman" w:cs="Times New Roman"/>
          <w:sz w:val="24"/>
          <w:szCs w:val="24"/>
        </w:rPr>
        <w:t>, Federal Reserve Bank of NewYork</w:t>
      </w:r>
    </w:p>
    <w:p w:rsidR="00E72784" w:rsidRPr="00DF305D" w:rsidRDefault="003659DB" w:rsidP="0032054C">
      <w:pPr>
        <w:autoSpaceDE w:val="0"/>
        <w:autoSpaceDN w:val="0"/>
        <w:adjustRightInd w:val="0"/>
        <w:ind w:left="567" w:hanging="567"/>
        <w:jc w:val="both"/>
        <w:rPr>
          <w:rFonts w:ascii="Times New Roman" w:eastAsia="TimesNewRomanPSMT" w:hAnsi="Times New Roman" w:cs="Times New Roman"/>
          <w:i/>
          <w:sz w:val="24"/>
          <w:szCs w:val="24"/>
        </w:rPr>
      </w:pPr>
      <w:r>
        <w:rPr>
          <w:rFonts w:ascii="Times New Roman" w:hAnsi="Times New Roman" w:cs="Times New Roman"/>
          <w:sz w:val="24"/>
          <w:szCs w:val="24"/>
        </w:rPr>
        <w:t>[9]</w:t>
      </w:r>
      <w:r>
        <w:rPr>
          <w:rFonts w:ascii="Times New Roman" w:hAnsi="Times New Roman" w:cs="Times New Roman"/>
          <w:sz w:val="24"/>
          <w:szCs w:val="24"/>
        </w:rPr>
        <w:tab/>
      </w:r>
      <w:r w:rsidR="00E72784" w:rsidRPr="00DF305D">
        <w:rPr>
          <w:rFonts w:ascii="Times New Roman" w:hAnsi="Times New Roman" w:cs="Times New Roman"/>
          <w:sz w:val="24"/>
          <w:szCs w:val="24"/>
        </w:rPr>
        <w:t xml:space="preserve">Chen Y., Wei X., Zhang L., and Shi Y., (2013), Sectoral Diversification and the Banks’ Return and Risk: Evidence from Chinese Listed Commercial Banks. </w:t>
      </w:r>
      <w:r w:rsidR="00E72784" w:rsidRPr="00DF305D">
        <w:rPr>
          <w:rFonts w:ascii="Times New Roman" w:hAnsi="Times New Roman" w:cs="Times New Roman"/>
          <w:i/>
          <w:sz w:val="24"/>
          <w:szCs w:val="24"/>
        </w:rPr>
        <w:t>Procedia Computer Science</w:t>
      </w:r>
      <w:r w:rsidR="00E72784" w:rsidRPr="00DF305D">
        <w:rPr>
          <w:rFonts w:ascii="Times New Roman" w:hAnsi="Times New Roman" w:cs="Times New Roman"/>
          <w:sz w:val="24"/>
          <w:szCs w:val="24"/>
        </w:rPr>
        <w:t>, 1, 1737–1746</w:t>
      </w:r>
    </w:p>
    <w:p w:rsidR="00E72784" w:rsidRPr="00DF305D" w:rsidRDefault="003659DB" w:rsidP="0032054C">
      <w:pPr>
        <w:autoSpaceDE w:val="0"/>
        <w:autoSpaceDN w:val="0"/>
        <w:adjustRightInd w:val="0"/>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[10]</w:t>
      </w:r>
      <w:r>
        <w:rPr>
          <w:rFonts w:ascii="Times New Roman" w:hAnsi="Times New Roman" w:cs="Times New Roman"/>
          <w:sz w:val="24"/>
          <w:szCs w:val="24"/>
        </w:rPr>
        <w:tab/>
      </w:r>
      <w:r w:rsidR="00E72784" w:rsidRPr="00DF305D">
        <w:rPr>
          <w:rFonts w:ascii="Times New Roman" w:hAnsi="Times New Roman" w:cs="Times New Roman"/>
          <w:sz w:val="24"/>
          <w:szCs w:val="24"/>
        </w:rPr>
        <w:t xml:space="preserve">Chen, Y. and Lin, Y., (2010). Income and Loan Perspectives: Do Taiwan Banks Benefit from Diversification? </w:t>
      </w:r>
      <w:r w:rsidR="00E72784" w:rsidRPr="00DF305D">
        <w:rPr>
          <w:rFonts w:ascii="Times New Roman" w:hAnsi="Times New Roman" w:cs="Times New Roman"/>
          <w:i/>
          <w:sz w:val="24"/>
          <w:szCs w:val="24"/>
        </w:rPr>
        <w:t>Management Review</w:t>
      </w:r>
      <w:r w:rsidR="00E72784" w:rsidRPr="00DF305D">
        <w:rPr>
          <w:rFonts w:ascii="Times New Roman" w:hAnsi="Times New Roman" w:cs="Times New Roman"/>
          <w:sz w:val="24"/>
          <w:szCs w:val="24"/>
        </w:rPr>
        <w:t>, Vol. 29, 141-145</w:t>
      </w:r>
    </w:p>
    <w:p w:rsidR="00E72784" w:rsidRPr="00DF305D" w:rsidRDefault="003659DB" w:rsidP="0032054C">
      <w:pPr>
        <w:autoSpaceDE w:val="0"/>
        <w:autoSpaceDN w:val="0"/>
        <w:adjustRightInd w:val="0"/>
        <w:ind w:left="567" w:hanging="567"/>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E72784" w:rsidRPr="00DF305D">
        <w:rPr>
          <w:rFonts w:ascii="Times New Roman" w:hAnsi="Times New Roman" w:cs="Times New Roman"/>
          <w:sz w:val="24"/>
          <w:szCs w:val="24"/>
        </w:rPr>
        <w:t>Chen, Y., Shi, Y., Wei, X., and Zhang, L., (2014), How does Credit Portfolio Diversification affect Banks’ Return and Risk? Evidence from Chinese Listed Commercial Banks, T</w:t>
      </w:r>
      <w:r w:rsidR="00E72784" w:rsidRPr="00DF305D">
        <w:rPr>
          <w:rFonts w:ascii="Times New Roman" w:hAnsi="Times New Roman" w:cs="Times New Roman"/>
          <w:i/>
          <w:iCs/>
          <w:sz w:val="24"/>
          <w:szCs w:val="24"/>
        </w:rPr>
        <w:t xml:space="preserve">echnological and Economic Development of Economy, </w:t>
      </w:r>
      <w:r w:rsidR="00E72784" w:rsidRPr="00DF305D">
        <w:rPr>
          <w:rFonts w:ascii="Times New Roman" w:hAnsi="Times New Roman" w:cs="Times New Roman"/>
          <w:sz w:val="24"/>
          <w:szCs w:val="24"/>
        </w:rPr>
        <w:t>20(2), 332–352</w:t>
      </w:r>
    </w:p>
    <w:p w:rsidR="00E72784" w:rsidRPr="00DF305D" w:rsidRDefault="003659DB" w:rsidP="0032054C">
      <w:pPr>
        <w:autoSpaceDE w:val="0"/>
        <w:autoSpaceDN w:val="0"/>
        <w:adjustRightInd w:val="0"/>
        <w:ind w:left="567" w:hanging="567"/>
        <w:jc w:val="both"/>
        <w:rPr>
          <w:rFonts w:ascii="Times New Roman" w:hAnsi="Times New Roman" w:cs="Times New Roman"/>
          <w:iCs/>
          <w:sz w:val="24"/>
          <w:szCs w:val="24"/>
        </w:rPr>
      </w:pPr>
      <w:r>
        <w:rPr>
          <w:rFonts w:ascii="Times New Roman" w:hAnsi="Times New Roman" w:cs="Times New Roman"/>
          <w:iCs/>
          <w:sz w:val="24"/>
          <w:szCs w:val="24"/>
        </w:rPr>
        <w:t>[12]</w:t>
      </w:r>
      <w:r>
        <w:rPr>
          <w:rFonts w:ascii="Times New Roman" w:hAnsi="Times New Roman" w:cs="Times New Roman"/>
          <w:iCs/>
          <w:sz w:val="24"/>
          <w:szCs w:val="24"/>
        </w:rPr>
        <w:tab/>
      </w:r>
      <w:r w:rsidR="00E72784" w:rsidRPr="00DF305D">
        <w:rPr>
          <w:rFonts w:ascii="Times New Roman" w:hAnsi="Times New Roman" w:cs="Times New Roman"/>
          <w:iCs/>
          <w:sz w:val="24"/>
          <w:szCs w:val="24"/>
        </w:rPr>
        <w:t>Czado C., (2004). Introduction to GLM’s, TU Munchen</w:t>
      </w:r>
    </w:p>
    <w:p w:rsidR="00E72784" w:rsidRPr="00DF305D" w:rsidRDefault="003659DB" w:rsidP="003659DB">
      <w:pPr>
        <w:tabs>
          <w:tab w:val="left" w:pos="4305"/>
        </w:tabs>
        <w:ind w:left="567" w:hanging="567"/>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E72784" w:rsidRPr="00DF305D">
        <w:rPr>
          <w:rFonts w:ascii="Times New Roman" w:hAnsi="Times New Roman" w:cs="Times New Roman"/>
          <w:sz w:val="24"/>
          <w:szCs w:val="24"/>
        </w:rPr>
        <w:t xml:space="preserve">Diamond D.W., (1984). Financial Intermediation and Delegated Monitoring, </w:t>
      </w:r>
      <w:r w:rsidR="00E72784" w:rsidRPr="00DF305D">
        <w:rPr>
          <w:rFonts w:ascii="Times New Roman" w:hAnsi="Times New Roman" w:cs="Times New Roman"/>
          <w:i/>
          <w:sz w:val="24"/>
          <w:szCs w:val="24"/>
        </w:rPr>
        <w:t>The review of economic studies</w:t>
      </w:r>
      <w:r w:rsidR="00E72784" w:rsidRPr="00DF305D">
        <w:rPr>
          <w:rFonts w:ascii="Times New Roman" w:hAnsi="Times New Roman" w:cs="Times New Roman"/>
          <w:sz w:val="24"/>
          <w:szCs w:val="24"/>
        </w:rPr>
        <w:t>, 51 (3), 393–414</w:t>
      </w:r>
    </w:p>
    <w:p w:rsidR="00E72784" w:rsidRPr="00DF305D" w:rsidRDefault="003659DB" w:rsidP="0032054C">
      <w:pPr>
        <w:autoSpaceDE w:val="0"/>
        <w:autoSpaceDN w:val="0"/>
        <w:adjustRightInd w:val="0"/>
        <w:ind w:left="567" w:hanging="567"/>
        <w:jc w:val="both"/>
        <w:rPr>
          <w:rFonts w:ascii="Times New Roman" w:hAnsi="Times New Roman" w:cs="Times New Roman"/>
          <w:iCs/>
          <w:sz w:val="24"/>
          <w:szCs w:val="24"/>
        </w:rPr>
      </w:pPr>
      <w:r>
        <w:rPr>
          <w:rFonts w:ascii="Times New Roman" w:hAnsi="Times New Roman" w:cs="Times New Roman"/>
          <w:iCs/>
          <w:sz w:val="24"/>
          <w:szCs w:val="24"/>
        </w:rPr>
        <w:t>[15]</w:t>
      </w:r>
      <w:r>
        <w:rPr>
          <w:rFonts w:ascii="Times New Roman" w:hAnsi="Times New Roman" w:cs="Times New Roman"/>
          <w:iCs/>
          <w:sz w:val="24"/>
          <w:szCs w:val="24"/>
        </w:rPr>
        <w:tab/>
      </w:r>
      <w:r w:rsidR="00E72784" w:rsidRPr="00DF305D">
        <w:rPr>
          <w:rFonts w:ascii="Times New Roman" w:hAnsi="Times New Roman" w:cs="Times New Roman"/>
          <w:iCs/>
          <w:sz w:val="24"/>
          <w:szCs w:val="24"/>
        </w:rPr>
        <w:t xml:space="preserve">East African Community: EAC, (2017). </w:t>
      </w:r>
      <w:r w:rsidR="00E72784" w:rsidRPr="00DF305D">
        <w:rPr>
          <w:rFonts w:ascii="Times New Roman" w:hAnsi="Times New Roman" w:cs="Times New Roman"/>
          <w:i/>
          <w:iCs/>
          <w:sz w:val="24"/>
          <w:szCs w:val="24"/>
        </w:rPr>
        <w:t>Regional Banking: An Overview</w:t>
      </w:r>
      <w:r w:rsidR="00E72784" w:rsidRPr="00DF305D">
        <w:rPr>
          <w:rFonts w:ascii="Times New Roman" w:hAnsi="Times New Roman" w:cs="Times New Roman"/>
          <w:iCs/>
          <w:sz w:val="24"/>
          <w:szCs w:val="24"/>
        </w:rPr>
        <w:t xml:space="preserve">: </w:t>
      </w:r>
      <w:hyperlink r:id="rId13" w:history="1">
        <w:r w:rsidR="00E72784" w:rsidRPr="00DF305D">
          <w:rPr>
            <w:rStyle w:val="Hyperlink"/>
            <w:rFonts w:ascii="Times New Roman" w:hAnsi="Times New Roman" w:cs="Times New Roman"/>
            <w:iCs/>
            <w:color w:val="auto"/>
            <w:sz w:val="24"/>
            <w:szCs w:val="24"/>
            <w:u w:val="none"/>
          </w:rPr>
          <w:t>h</w:t>
        </w:r>
        <w:r w:rsidR="00E72784" w:rsidRPr="00DF305D">
          <w:rPr>
            <w:rStyle w:val="Hyperlink"/>
            <w:rFonts w:ascii="Times New Roman" w:hAnsi="Times New Roman" w:cs="Times New Roman"/>
            <w:color w:val="auto"/>
            <w:sz w:val="24"/>
            <w:szCs w:val="24"/>
            <w:u w:val="none"/>
          </w:rPr>
          <w:t>ttp://www.eac.int/sectors/financial/banking</w:t>
        </w:r>
      </w:hyperlink>
      <w:r w:rsidR="00E72784" w:rsidRPr="00DF305D">
        <w:rPr>
          <w:rFonts w:ascii="Times New Roman" w:hAnsi="Times New Roman" w:cs="Times New Roman"/>
          <w:sz w:val="24"/>
          <w:szCs w:val="24"/>
        </w:rPr>
        <w:t xml:space="preserve">, </w:t>
      </w:r>
      <w:r w:rsidR="00E72784" w:rsidRPr="00DF305D">
        <w:rPr>
          <w:rFonts w:ascii="Times New Roman" w:hAnsi="Times New Roman" w:cs="Times New Roman"/>
          <w:iCs/>
          <w:sz w:val="24"/>
          <w:szCs w:val="24"/>
        </w:rPr>
        <w:t>accessed on 10</w:t>
      </w:r>
      <w:r w:rsidR="00E72784" w:rsidRPr="00DF305D">
        <w:rPr>
          <w:rFonts w:ascii="Times New Roman" w:hAnsi="Times New Roman" w:cs="Times New Roman"/>
          <w:iCs/>
          <w:sz w:val="24"/>
          <w:szCs w:val="24"/>
          <w:vertAlign w:val="superscript"/>
        </w:rPr>
        <w:t>th</w:t>
      </w:r>
      <w:r w:rsidR="00E72784" w:rsidRPr="00DF305D">
        <w:rPr>
          <w:rFonts w:ascii="Times New Roman" w:hAnsi="Times New Roman" w:cs="Times New Roman"/>
          <w:iCs/>
          <w:sz w:val="24"/>
          <w:szCs w:val="24"/>
        </w:rPr>
        <w:t xml:space="preserve"> June 2017</w:t>
      </w:r>
    </w:p>
    <w:p w:rsidR="00E72784" w:rsidRPr="00DF305D" w:rsidRDefault="003659DB" w:rsidP="0032054C">
      <w:pPr>
        <w:autoSpaceDE w:val="0"/>
        <w:autoSpaceDN w:val="0"/>
        <w:adjustRightInd w:val="0"/>
        <w:ind w:left="567" w:hanging="567"/>
        <w:jc w:val="both"/>
        <w:rPr>
          <w:rFonts w:ascii="Times New Roman" w:hAnsi="Times New Roman" w:cs="Times New Roman"/>
          <w:sz w:val="24"/>
          <w:szCs w:val="24"/>
        </w:rPr>
      </w:pPr>
      <w:r>
        <w:rPr>
          <w:rFonts w:ascii="Times New Roman" w:hAnsi="Times New Roman" w:cs="Times New Roman"/>
          <w:bCs/>
          <w:sz w:val="24"/>
          <w:szCs w:val="24"/>
        </w:rPr>
        <w:t>[16]</w:t>
      </w:r>
      <w:r>
        <w:rPr>
          <w:rFonts w:ascii="Times New Roman" w:hAnsi="Times New Roman" w:cs="Times New Roman"/>
          <w:bCs/>
          <w:sz w:val="24"/>
          <w:szCs w:val="24"/>
        </w:rPr>
        <w:tab/>
      </w:r>
      <w:r w:rsidR="00E72784" w:rsidRPr="00DF305D">
        <w:rPr>
          <w:rFonts w:ascii="Times New Roman" w:hAnsi="Times New Roman" w:cs="Times New Roman"/>
          <w:bCs/>
          <w:sz w:val="24"/>
          <w:szCs w:val="24"/>
        </w:rPr>
        <w:t xml:space="preserve">EY, (2014), </w:t>
      </w:r>
      <w:r w:rsidR="00E72784" w:rsidRPr="00DF305D">
        <w:rPr>
          <w:rFonts w:ascii="Times New Roman" w:hAnsi="Times New Roman" w:cs="Times New Roman"/>
          <w:bCs/>
          <w:i/>
          <w:sz w:val="24"/>
          <w:szCs w:val="24"/>
        </w:rPr>
        <w:t xml:space="preserve">Eastern Africa Banking Sector: </w:t>
      </w:r>
      <w:r w:rsidR="00E72784" w:rsidRPr="00DF305D">
        <w:rPr>
          <w:rFonts w:ascii="Times New Roman" w:hAnsi="Times New Roman" w:cs="Times New Roman"/>
          <w:i/>
          <w:sz w:val="24"/>
          <w:szCs w:val="24"/>
        </w:rPr>
        <w:t>Strong economies stimulate asset growth, but lower interest rates squeeze profits</w:t>
      </w:r>
      <w:r w:rsidR="00E72784" w:rsidRPr="00DF305D">
        <w:rPr>
          <w:rFonts w:ascii="Times New Roman" w:hAnsi="Times New Roman" w:cs="Times New Roman"/>
          <w:sz w:val="24"/>
          <w:szCs w:val="24"/>
        </w:rPr>
        <w:t xml:space="preserve">, </w:t>
      </w:r>
      <w:r w:rsidR="00E72784" w:rsidRPr="00DF305D">
        <w:rPr>
          <w:rFonts w:ascii="Times New Roman" w:hAnsi="Times New Roman" w:cs="Times New Roman"/>
          <w:iCs/>
          <w:sz w:val="24"/>
          <w:szCs w:val="24"/>
        </w:rPr>
        <w:t xml:space="preserve">A review of the 2013 calendar year, No. xxx (0115), </w:t>
      </w:r>
      <w:r w:rsidR="00E72784" w:rsidRPr="00DF305D">
        <w:rPr>
          <w:rFonts w:ascii="Times New Roman" w:hAnsi="Times New Roman" w:cs="Times New Roman"/>
          <w:sz w:val="24"/>
          <w:szCs w:val="24"/>
        </w:rPr>
        <w:t>Ernst &amp; Young Global Limited</w:t>
      </w:r>
    </w:p>
    <w:p w:rsidR="00E72784" w:rsidRPr="00DF305D" w:rsidRDefault="003659DB" w:rsidP="0032054C">
      <w:pPr>
        <w:autoSpaceDE w:val="0"/>
        <w:autoSpaceDN w:val="0"/>
        <w:adjustRightInd w:val="0"/>
        <w:ind w:left="567" w:hanging="567"/>
        <w:jc w:val="both"/>
        <w:rPr>
          <w:rFonts w:ascii="Times New Roman" w:hAnsi="Times New Roman" w:cs="Times New Roman"/>
          <w:iCs/>
          <w:sz w:val="24"/>
          <w:szCs w:val="24"/>
        </w:rPr>
      </w:pPr>
      <w:r>
        <w:rPr>
          <w:rFonts w:ascii="Times New Roman" w:hAnsi="Times New Roman" w:cs="Times New Roman"/>
          <w:iCs/>
          <w:sz w:val="24"/>
          <w:szCs w:val="24"/>
        </w:rPr>
        <w:t>[17]</w:t>
      </w:r>
      <w:r>
        <w:rPr>
          <w:rFonts w:ascii="Times New Roman" w:hAnsi="Times New Roman" w:cs="Times New Roman"/>
          <w:iCs/>
          <w:sz w:val="24"/>
          <w:szCs w:val="24"/>
        </w:rPr>
        <w:tab/>
      </w:r>
      <w:r w:rsidR="00E72784" w:rsidRPr="00DF305D">
        <w:rPr>
          <w:rFonts w:ascii="Times New Roman" w:hAnsi="Times New Roman" w:cs="Times New Roman"/>
          <w:iCs/>
          <w:sz w:val="24"/>
          <w:szCs w:val="24"/>
        </w:rPr>
        <w:t>Garrido J., and Zhou J., (2006), Credibility Theory for Generalized Linear and Mixed Models. T</w:t>
      </w:r>
      <w:r>
        <w:rPr>
          <w:rFonts w:ascii="Times New Roman" w:hAnsi="Times New Roman" w:cs="Times New Roman"/>
          <w:iCs/>
          <w:sz w:val="24"/>
          <w:szCs w:val="24"/>
        </w:rPr>
        <w:t xml:space="preserve">echnical Report 5/06. Concordia </w:t>
      </w:r>
      <w:r w:rsidR="00E72784" w:rsidRPr="00DF305D">
        <w:rPr>
          <w:rFonts w:ascii="Times New Roman" w:hAnsi="Times New Roman" w:cs="Times New Roman"/>
          <w:iCs/>
          <w:sz w:val="24"/>
          <w:szCs w:val="24"/>
        </w:rPr>
        <w:t xml:space="preserve">University. Department of Mathematics &amp; Statistics, Montreal </w:t>
      </w:r>
    </w:p>
    <w:p w:rsidR="00E72784" w:rsidRPr="00DF305D" w:rsidRDefault="003659DB" w:rsidP="0032054C">
      <w:pPr>
        <w:autoSpaceDE w:val="0"/>
        <w:autoSpaceDN w:val="0"/>
        <w:adjustRightInd w:val="0"/>
        <w:ind w:left="567" w:hanging="567"/>
        <w:jc w:val="both"/>
        <w:rPr>
          <w:rFonts w:ascii="Times New Roman" w:hAnsi="Times New Roman" w:cs="Times New Roman"/>
          <w:iCs/>
          <w:sz w:val="24"/>
          <w:szCs w:val="24"/>
        </w:rPr>
      </w:pPr>
      <w:r>
        <w:rPr>
          <w:rFonts w:ascii="Times New Roman" w:hAnsi="Times New Roman" w:cs="Times New Roman"/>
          <w:iCs/>
          <w:sz w:val="24"/>
          <w:szCs w:val="24"/>
        </w:rPr>
        <w:t>[18]</w:t>
      </w:r>
      <w:r>
        <w:rPr>
          <w:rFonts w:ascii="Times New Roman" w:hAnsi="Times New Roman" w:cs="Times New Roman"/>
          <w:iCs/>
          <w:sz w:val="24"/>
          <w:szCs w:val="24"/>
        </w:rPr>
        <w:tab/>
      </w:r>
      <w:r w:rsidR="00E72784" w:rsidRPr="00DF305D">
        <w:rPr>
          <w:rFonts w:ascii="Times New Roman" w:hAnsi="Times New Roman" w:cs="Times New Roman"/>
          <w:iCs/>
          <w:sz w:val="24"/>
          <w:szCs w:val="24"/>
        </w:rPr>
        <w:t xml:space="preserve">Garrido, J., and Zhou, J., (2009), Full Credibility with Generalized Linear and Mixed Models, </w:t>
      </w:r>
      <w:r w:rsidR="00E72784" w:rsidRPr="00DF305D">
        <w:rPr>
          <w:rFonts w:ascii="Times New Roman" w:hAnsi="Times New Roman" w:cs="Times New Roman"/>
          <w:i/>
          <w:iCs/>
          <w:sz w:val="24"/>
          <w:szCs w:val="24"/>
        </w:rPr>
        <w:t>ASTIN Bulletin</w:t>
      </w:r>
      <w:r w:rsidR="00E72784" w:rsidRPr="00DF305D">
        <w:rPr>
          <w:rFonts w:ascii="Times New Roman" w:hAnsi="Times New Roman" w:cs="Times New Roman"/>
          <w:iCs/>
          <w:sz w:val="24"/>
          <w:szCs w:val="24"/>
        </w:rPr>
        <w:t>, 39(1), 61-80</w:t>
      </w:r>
    </w:p>
    <w:p w:rsidR="00E72784" w:rsidRPr="00DF305D" w:rsidRDefault="003659DB" w:rsidP="0032054C">
      <w:pPr>
        <w:autoSpaceDE w:val="0"/>
        <w:autoSpaceDN w:val="0"/>
        <w:adjustRightInd w:val="0"/>
        <w:ind w:left="567" w:hanging="567"/>
        <w:jc w:val="both"/>
        <w:rPr>
          <w:rFonts w:ascii="Times New Roman" w:hAnsi="Times New Roman" w:cs="Times New Roman"/>
          <w:sz w:val="24"/>
          <w:szCs w:val="24"/>
        </w:rPr>
      </w:pPr>
      <w:r>
        <w:rPr>
          <w:rFonts w:ascii="Times New Roman" w:hAnsi="Times New Roman" w:cs="Times New Roman"/>
          <w:bCs/>
          <w:sz w:val="24"/>
          <w:szCs w:val="24"/>
        </w:rPr>
        <w:t>[19]</w:t>
      </w:r>
      <w:r>
        <w:rPr>
          <w:rFonts w:ascii="Times New Roman" w:hAnsi="Times New Roman" w:cs="Times New Roman"/>
          <w:bCs/>
          <w:sz w:val="24"/>
          <w:szCs w:val="24"/>
        </w:rPr>
        <w:tab/>
      </w:r>
      <w:r w:rsidR="00E72784" w:rsidRPr="00DF305D">
        <w:rPr>
          <w:rFonts w:ascii="Times New Roman" w:hAnsi="Times New Roman" w:cs="Times New Roman"/>
          <w:bCs/>
          <w:sz w:val="24"/>
          <w:szCs w:val="24"/>
        </w:rPr>
        <w:t xml:space="preserve">Jahn, N. Memmel, C. and Pfingsten, A. (2013), Bank’s Concentration versus Diversification in the Loan Portfolio: New evidence from Germany, Discussion paper No. 53/2013, </w:t>
      </w:r>
      <w:r w:rsidR="00E72784" w:rsidRPr="00DF305D">
        <w:rPr>
          <w:rFonts w:ascii="Times New Roman" w:hAnsi="Times New Roman" w:cs="Times New Roman"/>
          <w:sz w:val="24"/>
          <w:szCs w:val="24"/>
        </w:rPr>
        <w:t>Deutsche Bundesbank, Germany</w:t>
      </w:r>
    </w:p>
    <w:p w:rsidR="00E72784" w:rsidRPr="00DF305D" w:rsidRDefault="003659DB" w:rsidP="0032054C">
      <w:pPr>
        <w:autoSpaceDE w:val="0"/>
        <w:autoSpaceDN w:val="0"/>
        <w:adjustRightInd w:val="0"/>
        <w:ind w:left="567" w:hanging="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[20]</w:t>
      </w:r>
      <w:r>
        <w:rPr>
          <w:rFonts w:ascii="Times New Roman" w:eastAsia="TimesNewRomanPSMT" w:hAnsi="Times New Roman" w:cs="Times New Roman"/>
          <w:sz w:val="24"/>
          <w:szCs w:val="24"/>
        </w:rPr>
        <w:tab/>
      </w:r>
      <w:r w:rsidR="00E72784" w:rsidRPr="00DF305D">
        <w:rPr>
          <w:rFonts w:ascii="Times New Roman" w:eastAsia="TimesNewRomanPSMT" w:hAnsi="Times New Roman" w:cs="Times New Roman"/>
          <w:sz w:val="24"/>
          <w:szCs w:val="24"/>
        </w:rPr>
        <w:t xml:space="preserve">Kamp A., Pfingsten A., and Porath D., (2005), Do banks Diversify Loan Portfolios? A Tentative Answer Based on Individual Bank Loan Portfolios. </w:t>
      </w:r>
      <w:r w:rsidR="00E72784" w:rsidRPr="00DF305D">
        <w:rPr>
          <w:rFonts w:ascii="Times New Roman" w:eastAsia="TimesNewRomanPSMT" w:hAnsi="Times New Roman" w:cs="Times New Roman"/>
          <w:i/>
          <w:sz w:val="24"/>
          <w:szCs w:val="24"/>
        </w:rPr>
        <w:t>Journal of Financial Services Research</w:t>
      </w:r>
      <w:r w:rsidR="00E72784" w:rsidRPr="00DF305D">
        <w:rPr>
          <w:rFonts w:ascii="Times New Roman" w:eastAsia="TimesNewRomanPSMT" w:hAnsi="Times New Roman" w:cs="Times New Roman"/>
          <w:sz w:val="24"/>
          <w:szCs w:val="24"/>
        </w:rPr>
        <w:t>, 32(3), 132-140</w:t>
      </w:r>
    </w:p>
    <w:p w:rsidR="00E72784" w:rsidRPr="00DF305D" w:rsidRDefault="003659DB" w:rsidP="0032054C">
      <w:pPr>
        <w:autoSpaceDE w:val="0"/>
        <w:autoSpaceDN w:val="0"/>
        <w:adjustRightInd w:val="0"/>
        <w:ind w:left="567" w:hanging="567"/>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E72784" w:rsidRPr="00DF305D">
        <w:rPr>
          <w:rFonts w:ascii="Times New Roman" w:hAnsi="Times New Roman" w:cs="Times New Roman"/>
          <w:sz w:val="24"/>
          <w:szCs w:val="24"/>
        </w:rPr>
        <w:t xml:space="preserve">Maubi A. M., and Jagongo A., (2014), Corporate Loan Portfolio Diversification and Credit Risk Management among Commercial Banks in Kenya, </w:t>
      </w:r>
      <w:r w:rsidR="00E72784" w:rsidRPr="00DF305D">
        <w:rPr>
          <w:rFonts w:ascii="Times New Roman" w:hAnsi="Times New Roman" w:cs="Times New Roman"/>
          <w:i/>
          <w:sz w:val="24"/>
          <w:szCs w:val="24"/>
        </w:rPr>
        <w:t xml:space="preserve">International Journal of Current Business and Social Sciences, </w:t>
      </w:r>
      <w:r w:rsidR="00E72784" w:rsidRPr="00DF305D">
        <w:rPr>
          <w:rFonts w:ascii="Times New Roman" w:hAnsi="Times New Roman" w:cs="Times New Roman"/>
          <w:sz w:val="24"/>
          <w:szCs w:val="24"/>
        </w:rPr>
        <w:t xml:space="preserve">1(2), 81-111 </w:t>
      </w:r>
    </w:p>
    <w:p w:rsidR="00E72784" w:rsidRPr="00DF305D" w:rsidRDefault="003659DB" w:rsidP="0032054C">
      <w:pPr>
        <w:autoSpaceDE w:val="0"/>
        <w:autoSpaceDN w:val="0"/>
        <w:adjustRightInd w:val="0"/>
        <w:ind w:left="567" w:hanging="567"/>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E72784" w:rsidRPr="00DF305D">
        <w:rPr>
          <w:rFonts w:ascii="Times New Roman" w:hAnsi="Times New Roman" w:cs="Times New Roman"/>
          <w:sz w:val="24"/>
          <w:szCs w:val="24"/>
        </w:rPr>
        <w:t xml:space="preserve">Merton C.R., (1995). A Functional Perspective of Financial Intermediation, </w:t>
      </w:r>
      <w:r w:rsidR="00E72784" w:rsidRPr="00DF305D">
        <w:rPr>
          <w:rFonts w:ascii="Times New Roman" w:hAnsi="Times New Roman" w:cs="Times New Roman"/>
          <w:i/>
          <w:sz w:val="24"/>
          <w:szCs w:val="24"/>
        </w:rPr>
        <w:t>Financial Management</w:t>
      </w:r>
      <w:r w:rsidR="00E72784" w:rsidRPr="00DF305D">
        <w:rPr>
          <w:rFonts w:ascii="Times New Roman" w:hAnsi="Times New Roman" w:cs="Times New Roman"/>
          <w:sz w:val="24"/>
          <w:szCs w:val="24"/>
        </w:rPr>
        <w:t>, 24(2), 23-41</w:t>
      </w:r>
    </w:p>
    <w:p w:rsidR="00E72784" w:rsidRPr="00DF305D" w:rsidRDefault="003659DB" w:rsidP="0032054C">
      <w:pPr>
        <w:ind w:left="567" w:hanging="567"/>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E72784" w:rsidRPr="00DF305D">
        <w:rPr>
          <w:rFonts w:ascii="Times New Roman" w:hAnsi="Times New Roman" w:cs="Times New Roman"/>
          <w:sz w:val="24"/>
          <w:szCs w:val="24"/>
        </w:rPr>
        <w:t xml:space="preserve">Raei R., Farhangzadeh B., Safizadeh M. and Raei F. (2016), Study of the Relationship between Credit Diversification Strategy and Bank’s Credit Risk and Return: Evidence from Tehran Stock Exchange (TSE). </w:t>
      </w:r>
      <w:r w:rsidR="00E72784" w:rsidRPr="00DF305D">
        <w:rPr>
          <w:rFonts w:ascii="Times New Roman" w:hAnsi="Times New Roman" w:cs="Times New Roman"/>
          <w:i/>
          <w:sz w:val="24"/>
          <w:szCs w:val="24"/>
        </w:rPr>
        <w:t>Procedia Economics and Finance</w:t>
      </w:r>
      <w:r w:rsidR="00E72784" w:rsidRPr="00DF305D">
        <w:rPr>
          <w:rFonts w:ascii="Times New Roman" w:hAnsi="Times New Roman" w:cs="Times New Roman"/>
          <w:sz w:val="24"/>
          <w:szCs w:val="24"/>
        </w:rPr>
        <w:t>, 36, 62-69</w:t>
      </w:r>
    </w:p>
    <w:p w:rsidR="00E72784" w:rsidRPr="00DF305D" w:rsidRDefault="003659DB" w:rsidP="0032054C">
      <w:pPr>
        <w:autoSpaceDE w:val="0"/>
        <w:autoSpaceDN w:val="0"/>
        <w:adjustRightInd w:val="0"/>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[24]</w:t>
      </w:r>
      <w:r>
        <w:rPr>
          <w:rFonts w:ascii="Times New Roman" w:hAnsi="Times New Roman" w:cs="Times New Roman"/>
          <w:sz w:val="24"/>
          <w:szCs w:val="24"/>
        </w:rPr>
        <w:tab/>
      </w:r>
      <w:r w:rsidR="00E72784" w:rsidRPr="00DF305D">
        <w:rPr>
          <w:rFonts w:ascii="Times New Roman" w:hAnsi="Times New Roman" w:cs="Times New Roman"/>
          <w:sz w:val="24"/>
          <w:szCs w:val="24"/>
        </w:rPr>
        <w:t xml:space="preserve">Rajan R., (1992), Insiders and Outsiders: the </w:t>
      </w:r>
      <w:r>
        <w:rPr>
          <w:rFonts w:ascii="Times New Roman" w:hAnsi="Times New Roman" w:cs="Times New Roman"/>
          <w:sz w:val="24"/>
          <w:szCs w:val="24"/>
        </w:rPr>
        <w:t>c</w:t>
      </w:r>
      <w:r w:rsidR="00E72784" w:rsidRPr="00DF305D">
        <w:rPr>
          <w:rFonts w:ascii="Times New Roman" w:hAnsi="Times New Roman" w:cs="Times New Roman"/>
          <w:sz w:val="24"/>
          <w:szCs w:val="24"/>
        </w:rPr>
        <w:t xml:space="preserve">hoice between informed and arm’s-length debt, </w:t>
      </w:r>
      <w:r w:rsidR="00E72784" w:rsidRPr="00DF305D">
        <w:rPr>
          <w:rFonts w:ascii="Times New Roman" w:hAnsi="Times New Roman" w:cs="Times New Roman"/>
          <w:i/>
          <w:iCs/>
          <w:sz w:val="24"/>
          <w:szCs w:val="24"/>
        </w:rPr>
        <w:t>Journal of Finance</w:t>
      </w:r>
      <w:r w:rsidR="00E72784" w:rsidRPr="00DF305D">
        <w:rPr>
          <w:rFonts w:ascii="Times New Roman" w:hAnsi="Times New Roman" w:cs="Times New Roman"/>
          <w:iCs/>
          <w:sz w:val="24"/>
          <w:szCs w:val="24"/>
        </w:rPr>
        <w:t xml:space="preserve">, </w:t>
      </w:r>
      <w:r w:rsidR="00E72784" w:rsidRPr="00DF305D">
        <w:rPr>
          <w:rFonts w:ascii="Times New Roman" w:hAnsi="Times New Roman" w:cs="Times New Roman"/>
          <w:sz w:val="24"/>
          <w:szCs w:val="24"/>
        </w:rPr>
        <w:t>47</w:t>
      </w:r>
    </w:p>
    <w:p w:rsidR="00E72784" w:rsidRPr="00DF305D" w:rsidRDefault="003659DB" w:rsidP="0032054C">
      <w:pPr>
        <w:autoSpaceDE w:val="0"/>
        <w:autoSpaceDN w:val="0"/>
        <w:adjustRightInd w:val="0"/>
        <w:ind w:left="567" w:hanging="567"/>
        <w:jc w:val="both"/>
        <w:rPr>
          <w:rFonts w:ascii="Times New Roman" w:hAnsi="Times New Roman" w:cs="Times New Roman"/>
          <w:sz w:val="24"/>
          <w:szCs w:val="24"/>
        </w:rPr>
      </w:pPr>
      <w:r>
        <w:rPr>
          <w:rFonts w:ascii="Times New Roman" w:hAnsi="Times New Roman" w:cs="Times New Roman"/>
          <w:bCs/>
          <w:sz w:val="24"/>
          <w:szCs w:val="24"/>
        </w:rPr>
        <w:t>[25]</w:t>
      </w:r>
      <w:r>
        <w:rPr>
          <w:rFonts w:ascii="Times New Roman" w:hAnsi="Times New Roman" w:cs="Times New Roman"/>
          <w:bCs/>
          <w:sz w:val="24"/>
          <w:szCs w:val="24"/>
        </w:rPr>
        <w:tab/>
      </w:r>
      <w:r w:rsidR="00E72784" w:rsidRPr="00DF305D">
        <w:rPr>
          <w:rFonts w:ascii="Times New Roman" w:hAnsi="Times New Roman" w:cs="Times New Roman"/>
          <w:bCs/>
          <w:sz w:val="24"/>
          <w:szCs w:val="24"/>
        </w:rPr>
        <w:t xml:space="preserve">Ravi, I.S. (2014). Effect of Loan Diversification on Risk and Returns: An Empirical Study of Central Cooperative Banks in Punjab, </w:t>
      </w:r>
      <w:r w:rsidR="00E72784" w:rsidRPr="00DF305D">
        <w:rPr>
          <w:rFonts w:ascii="Times New Roman" w:hAnsi="Times New Roman" w:cs="Times New Roman"/>
          <w:i/>
          <w:sz w:val="24"/>
          <w:szCs w:val="24"/>
        </w:rPr>
        <w:t>Journal of Finance and Bank Management</w:t>
      </w:r>
      <w:r w:rsidR="00E72784" w:rsidRPr="00DF305D">
        <w:rPr>
          <w:rFonts w:ascii="Times New Roman" w:hAnsi="Times New Roman" w:cs="Times New Roman"/>
          <w:sz w:val="24"/>
          <w:szCs w:val="24"/>
        </w:rPr>
        <w:t>, 2(2), 27-41</w:t>
      </w:r>
    </w:p>
    <w:p w:rsidR="00E72784" w:rsidRPr="00DF305D" w:rsidRDefault="003659DB" w:rsidP="0032054C">
      <w:pPr>
        <w:autoSpaceDE w:val="0"/>
        <w:autoSpaceDN w:val="0"/>
        <w:adjustRightInd w:val="0"/>
        <w:ind w:left="567" w:hanging="567"/>
        <w:jc w:val="both"/>
        <w:rPr>
          <w:rFonts w:ascii="Times New Roman" w:hAnsi="Times New Roman" w:cs="Times New Roman"/>
          <w:i/>
          <w:sz w:val="24"/>
          <w:szCs w:val="24"/>
        </w:rPr>
      </w:pPr>
      <w:r>
        <w:rPr>
          <w:rFonts w:ascii="Times New Roman" w:hAnsi="Times New Roman" w:cs="Times New Roman"/>
          <w:sz w:val="24"/>
          <w:szCs w:val="24"/>
        </w:rPr>
        <w:t>[26]</w:t>
      </w:r>
      <w:r>
        <w:rPr>
          <w:rFonts w:ascii="Times New Roman" w:hAnsi="Times New Roman" w:cs="Times New Roman"/>
          <w:sz w:val="24"/>
          <w:szCs w:val="24"/>
        </w:rPr>
        <w:tab/>
      </w:r>
      <w:r w:rsidR="00E72784" w:rsidRPr="00DF305D">
        <w:rPr>
          <w:rFonts w:ascii="Times New Roman" w:hAnsi="Times New Roman" w:cs="Times New Roman"/>
          <w:sz w:val="24"/>
          <w:szCs w:val="24"/>
        </w:rPr>
        <w:t xml:space="preserve">Scholtens B., and Wensveen, D., (2003). The Theory of Financial Intermediation: An Essay of What it Does (Not) Explain, </w:t>
      </w:r>
      <w:r w:rsidR="00E72784" w:rsidRPr="00DF305D">
        <w:rPr>
          <w:rFonts w:ascii="Times New Roman" w:hAnsi="Times New Roman" w:cs="Times New Roman"/>
          <w:i/>
          <w:sz w:val="24"/>
          <w:szCs w:val="24"/>
        </w:rPr>
        <w:t>The European Money and Finance Forum, SUERF studies 2003/1</w:t>
      </w:r>
    </w:p>
    <w:p w:rsidR="00E72784" w:rsidRPr="00DF305D" w:rsidRDefault="003659DB" w:rsidP="0032054C">
      <w:pPr>
        <w:autoSpaceDE w:val="0"/>
        <w:autoSpaceDN w:val="0"/>
        <w:adjustRightInd w:val="0"/>
        <w:ind w:left="567" w:hanging="567"/>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r>
      <w:r w:rsidR="00E72784" w:rsidRPr="00DF305D">
        <w:rPr>
          <w:rFonts w:ascii="Times New Roman" w:hAnsi="Times New Roman" w:cs="Times New Roman"/>
          <w:sz w:val="24"/>
          <w:szCs w:val="24"/>
        </w:rPr>
        <w:t xml:space="preserve">Simpasa, A. and Pla, L., (2016), Sectoral Credit Concentration and Bank Performance in Zambia, Working Paper No. </w:t>
      </w:r>
      <w:r w:rsidR="00E72784" w:rsidRPr="00DF305D">
        <w:rPr>
          <w:rFonts w:ascii="Times New Roman" w:hAnsi="Times New Roman" w:cs="Times New Roman"/>
          <w:iCs/>
          <w:sz w:val="24"/>
          <w:szCs w:val="24"/>
        </w:rPr>
        <w:t>245</w:t>
      </w:r>
      <w:r w:rsidR="00E72784" w:rsidRPr="00DF305D">
        <w:rPr>
          <w:rFonts w:ascii="Times New Roman" w:hAnsi="Times New Roman" w:cs="Times New Roman"/>
          <w:i/>
          <w:iCs/>
          <w:sz w:val="24"/>
          <w:szCs w:val="24"/>
        </w:rPr>
        <w:t xml:space="preserve">, </w:t>
      </w:r>
      <w:r w:rsidR="00E72784" w:rsidRPr="00DF305D">
        <w:rPr>
          <w:rFonts w:ascii="Times New Roman" w:hAnsi="Times New Roman" w:cs="Times New Roman"/>
          <w:sz w:val="24"/>
          <w:szCs w:val="24"/>
        </w:rPr>
        <w:t>African Development Bank, Abidjan, Cote d’Ivoire</w:t>
      </w:r>
    </w:p>
    <w:p w:rsidR="00E72784" w:rsidRPr="00DF305D" w:rsidRDefault="003659DB" w:rsidP="0032054C">
      <w:pPr>
        <w:autoSpaceDE w:val="0"/>
        <w:autoSpaceDN w:val="0"/>
        <w:adjustRightInd w:val="0"/>
        <w:ind w:left="567" w:hanging="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[29]</w:t>
      </w:r>
      <w:r>
        <w:rPr>
          <w:rFonts w:ascii="Times New Roman" w:eastAsia="TimesNewRomanPSMT" w:hAnsi="Times New Roman" w:cs="Times New Roman"/>
          <w:sz w:val="24"/>
          <w:szCs w:val="24"/>
        </w:rPr>
        <w:tab/>
      </w:r>
      <w:r w:rsidR="00E72784" w:rsidRPr="00DF305D">
        <w:rPr>
          <w:rFonts w:ascii="Times New Roman" w:eastAsia="TimesNewRomanPSMT" w:hAnsi="Times New Roman" w:cs="Times New Roman"/>
          <w:sz w:val="24"/>
          <w:szCs w:val="24"/>
        </w:rPr>
        <w:t xml:space="preserve">Skridulyte R., and Freitakas, E. (2012), The Measurement of Concentration Risk in Loan Portfolios. </w:t>
      </w:r>
      <w:r w:rsidR="00E72784" w:rsidRPr="00DF305D">
        <w:rPr>
          <w:rFonts w:ascii="Times New Roman" w:eastAsia="TimesNewRomanPSMT" w:hAnsi="Times New Roman" w:cs="Times New Roman"/>
          <w:i/>
          <w:sz w:val="24"/>
          <w:szCs w:val="24"/>
        </w:rPr>
        <w:t>Economics &amp; Sociology</w:t>
      </w:r>
      <w:r w:rsidR="00E72784" w:rsidRPr="00DF305D">
        <w:rPr>
          <w:rFonts w:ascii="Times New Roman" w:eastAsia="TimesNewRomanPSMT" w:hAnsi="Times New Roman" w:cs="Times New Roman"/>
          <w:sz w:val="24"/>
          <w:szCs w:val="24"/>
        </w:rPr>
        <w:t>, 5(1), 51-61</w:t>
      </w:r>
    </w:p>
    <w:p w:rsidR="00E72784" w:rsidRPr="00DF305D" w:rsidRDefault="003659DB" w:rsidP="0032054C">
      <w:pPr>
        <w:autoSpaceDE w:val="0"/>
        <w:autoSpaceDN w:val="0"/>
        <w:adjustRightInd w:val="0"/>
        <w:ind w:left="567" w:hanging="567"/>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r w:rsidR="00E72784" w:rsidRPr="00DF305D">
        <w:rPr>
          <w:rFonts w:ascii="Times New Roman" w:hAnsi="Times New Roman" w:cs="Times New Roman"/>
          <w:sz w:val="24"/>
          <w:szCs w:val="24"/>
        </w:rPr>
        <w:t xml:space="preserve">Stein J., (2002). Information production and capital allocation: decentralized versus hierarchical firms, </w:t>
      </w:r>
      <w:r w:rsidR="00E72784" w:rsidRPr="00DF305D">
        <w:rPr>
          <w:rFonts w:ascii="Times New Roman" w:hAnsi="Times New Roman" w:cs="Times New Roman"/>
          <w:i/>
          <w:iCs/>
          <w:sz w:val="24"/>
          <w:szCs w:val="24"/>
        </w:rPr>
        <w:t>Journal of Finance</w:t>
      </w:r>
      <w:r w:rsidR="00E72784" w:rsidRPr="00DF305D">
        <w:rPr>
          <w:rFonts w:ascii="Times New Roman" w:hAnsi="Times New Roman" w:cs="Times New Roman"/>
          <w:iCs/>
          <w:sz w:val="24"/>
          <w:szCs w:val="24"/>
        </w:rPr>
        <w:t xml:space="preserve">, Vol. </w:t>
      </w:r>
      <w:r w:rsidR="00E72784" w:rsidRPr="00DF305D">
        <w:rPr>
          <w:rFonts w:ascii="Times New Roman" w:hAnsi="Times New Roman" w:cs="Times New Roman"/>
          <w:sz w:val="24"/>
          <w:szCs w:val="24"/>
        </w:rPr>
        <w:t>57</w:t>
      </w:r>
    </w:p>
    <w:p w:rsidR="00E72784" w:rsidRPr="00DF305D" w:rsidRDefault="003659DB" w:rsidP="0032054C">
      <w:pPr>
        <w:autoSpaceDE w:val="0"/>
        <w:autoSpaceDN w:val="0"/>
        <w:adjustRightInd w:val="0"/>
        <w:ind w:left="567" w:hanging="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[31]</w:t>
      </w:r>
      <w:r>
        <w:rPr>
          <w:rFonts w:ascii="Times New Roman" w:eastAsia="TimesNewRomanPSMT" w:hAnsi="Times New Roman" w:cs="Times New Roman"/>
          <w:sz w:val="24"/>
          <w:szCs w:val="24"/>
        </w:rPr>
        <w:tab/>
      </w:r>
      <w:r w:rsidR="00E72784" w:rsidRPr="00DF305D">
        <w:rPr>
          <w:rFonts w:ascii="Times New Roman" w:eastAsia="TimesNewRomanPSMT" w:hAnsi="Times New Roman" w:cs="Times New Roman"/>
          <w:sz w:val="24"/>
          <w:szCs w:val="24"/>
        </w:rPr>
        <w:t xml:space="preserve">Tabak B.M., Fazio D.M., and Cajueiro D.O., (2011), The Effects of Loan Portfolio Concentration on Brazilian Banks' Return and Risk. </w:t>
      </w:r>
      <w:r w:rsidR="00E72784" w:rsidRPr="00DF305D">
        <w:rPr>
          <w:rFonts w:ascii="Times New Roman" w:eastAsia="TimesNewRomanPSMT" w:hAnsi="Times New Roman" w:cs="Times New Roman"/>
          <w:i/>
          <w:sz w:val="24"/>
          <w:szCs w:val="24"/>
        </w:rPr>
        <w:t>Journal of Banking and Finance</w:t>
      </w:r>
      <w:r w:rsidR="00E72784" w:rsidRPr="00DF305D">
        <w:rPr>
          <w:rFonts w:ascii="Times New Roman" w:eastAsia="TimesNewRomanPSMT" w:hAnsi="Times New Roman" w:cs="Times New Roman"/>
          <w:sz w:val="24"/>
          <w:szCs w:val="24"/>
        </w:rPr>
        <w:t>, 35, 3065–3076</w:t>
      </w:r>
    </w:p>
    <w:p w:rsidR="00E72784" w:rsidRPr="00DF305D" w:rsidRDefault="003659DB" w:rsidP="0032054C">
      <w:pPr>
        <w:autoSpaceDE w:val="0"/>
        <w:autoSpaceDN w:val="0"/>
        <w:adjustRightInd w:val="0"/>
        <w:ind w:left="567" w:hanging="567"/>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00E72784" w:rsidRPr="00DF305D">
        <w:rPr>
          <w:rFonts w:ascii="Times New Roman" w:hAnsi="Times New Roman" w:cs="Times New Roman"/>
          <w:sz w:val="24"/>
          <w:szCs w:val="24"/>
        </w:rPr>
        <w:t xml:space="preserve">Turkmen S.Y., and Yigit I., (2012), Diversification in Banking and its effect on Bank’s Performance: Evidence from Turkey. </w:t>
      </w:r>
      <w:r w:rsidR="00E72784" w:rsidRPr="00DF305D">
        <w:rPr>
          <w:rFonts w:ascii="Times New Roman" w:hAnsi="Times New Roman" w:cs="Times New Roman"/>
          <w:i/>
          <w:sz w:val="24"/>
          <w:szCs w:val="24"/>
        </w:rPr>
        <w:t>American International Journal of Contemporary Research</w:t>
      </w:r>
      <w:r w:rsidR="00E72784" w:rsidRPr="00DF305D">
        <w:rPr>
          <w:rFonts w:ascii="Times New Roman" w:hAnsi="Times New Roman" w:cs="Times New Roman"/>
          <w:sz w:val="24"/>
          <w:szCs w:val="24"/>
        </w:rPr>
        <w:t>, 2(12), 111-119</w:t>
      </w:r>
    </w:p>
    <w:p w:rsidR="000C2FCF" w:rsidRPr="00B917D4" w:rsidRDefault="000C2FCF" w:rsidP="0032054C">
      <w:pPr>
        <w:jc w:val="both"/>
        <w:rPr>
          <w:rFonts w:ascii="Times New Roman" w:hAnsi="Times New Roman" w:cs="Times New Roman"/>
          <w:b/>
          <w:sz w:val="24"/>
          <w:szCs w:val="24"/>
        </w:rPr>
      </w:pPr>
      <w:r w:rsidRPr="00B917D4">
        <w:rPr>
          <w:rFonts w:ascii="Times New Roman" w:hAnsi="Times New Roman" w:cs="Times New Roman"/>
          <w:b/>
          <w:sz w:val="24"/>
          <w:szCs w:val="24"/>
        </w:rPr>
        <w:t>About the Author</w:t>
      </w:r>
    </w:p>
    <w:p w:rsidR="00467981" w:rsidRPr="00B917D4" w:rsidRDefault="00753677" w:rsidP="0032054C">
      <w:pPr>
        <w:jc w:val="both"/>
        <w:rPr>
          <w:rFonts w:ascii="Times New Roman" w:hAnsi="Times New Roman" w:cs="Times New Roman"/>
          <w:sz w:val="24"/>
          <w:szCs w:val="24"/>
        </w:rPr>
      </w:pPr>
      <w:r w:rsidRPr="00B917D4">
        <w:rPr>
          <w:rFonts w:ascii="Times New Roman" w:hAnsi="Times New Roman" w:cs="Times New Roman"/>
          <w:sz w:val="24"/>
          <w:szCs w:val="24"/>
        </w:rPr>
        <w:t>The author is</w:t>
      </w:r>
      <w:r w:rsidR="000C2FCF" w:rsidRPr="00B917D4">
        <w:rPr>
          <w:rFonts w:ascii="Times New Roman" w:hAnsi="Times New Roman" w:cs="Times New Roman"/>
          <w:sz w:val="24"/>
          <w:szCs w:val="24"/>
        </w:rPr>
        <w:t xml:space="preserve"> a Senior Lecturer of Finance and the Head of Department of Business </w:t>
      </w:r>
      <w:r w:rsidRPr="00B917D4">
        <w:rPr>
          <w:rFonts w:ascii="Times New Roman" w:hAnsi="Times New Roman" w:cs="Times New Roman"/>
          <w:sz w:val="24"/>
          <w:szCs w:val="24"/>
        </w:rPr>
        <w:t xml:space="preserve">Studies in </w:t>
      </w:r>
      <w:r w:rsidR="000C2FCF" w:rsidRPr="00B917D4">
        <w:rPr>
          <w:rFonts w:ascii="Times New Roman" w:hAnsi="Times New Roman" w:cs="Times New Roman"/>
          <w:sz w:val="24"/>
          <w:szCs w:val="24"/>
        </w:rPr>
        <w:t>Rongo University – Kenya. He is a full member of the Kenya Institute of Management, a professional development institute in Kenya. He holds a Doctor of Philosophy degree in Finance</w:t>
      </w:r>
      <w:r w:rsidRPr="00B917D4">
        <w:rPr>
          <w:rFonts w:ascii="Times New Roman" w:hAnsi="Times New Roman" w:cs="Times New Roman"/>
          <w:sz w:val="24"/>
          <w:szCs w:val="24"/>
        </w:rPr>
        <w:t xml:space="preserve"> from Moi University,</w:t>
      </w:r>
      <w:r w:rsidR="000C2FCF" w:rsidRPr="00B917D4">
        <w:rPr>
          <w:rFonts w:ascii="Times New Roman" w:hAnsi="Times New Roman" w:cs="Times New Roman"/>
          <w:sz w:val="24"/>
          <w:szCs w:val="24"/>
        </w:rPr>
        <w:t xml:space="preserve"> </w:t>
      </w:r>
      <w:r w:rsidRPr="00B917D4">
        <w:rPr>
          <w:rFonts w:ascii="Times New Roman" w:hAnsi="Times New Roman" w:cs="Times New Roman"/>
          <w:sz w:val="24"/>
          <w:szCs w:val="24"/>
        </w:rPr>
        <w:t xml:space="preserve">and </w:t>
      </w:r>
      <w:r w:rsidR="000C2FCF" w:rsidRPr="00B917D4">
        <w:rPr>
          <w:rFonts w:ascii="Times New Roman" w:hAnsi="Times New Roman" w:cs="Times New Roman"/>
          <w:sz w:val="24"/>
          <w:szCs w:val="24"/>
        </w:rPr>
        <w:t>a Masters and Bachelors degree in Finance and Banking</w:t>
      </w:r>
      <w:r w:rsidRPr="00B917D4">
        <w:rPr>
          <w:rFonts w:ascii="Times New Roman" w:hAnsi="Times New Roman" w:cs="Times New Roman"/>
          <w:sz w:val="24"/>
          <w:szCs w:val="24"/>
        </w:rPr>
        <w:t xml:space="preserve"> from Masinde Muliro University of Science and Technology</w:t>
      </w:r>
      <w:r w:rsidR="000C2FCF" w:rsidRPr="00B917D4">
        <w:rPr>
          <w:rFonts w:ascii="Times New Roman" w:hAnsi="Times New Roman" w:cs="Times New Roman"/>
          <w:sz w:val="24"/>
          <w:szCs w:val="24"/>
        </w:rPr>
        <w:t>. He has taught and supervised students in the areas of Finance, Banking and Management Science in several universities across Kenya and published severally in numerous peer reviewed journals.</w:t>
      </w:r>
    </w:p>
    <w:sectPr w:rsidR="00467981" w:rsidRPr="00B917D4" w:rsidSect="00DE7697">
      <w:headerReference w:type="even" r:id="rId14"/>
      <w:headerReference w:type="default" r:id="rId15"/>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AFF" w:rsidRDefault="00061AFF" w:rsidP="000C2FCF">
      <w:pPr>
        <w:spacing w:after="0" w:line="240" w:lineRule="auto"/>
      </w:pPr>
      <w:r>
        <w:separator/>
      </w:r>
    </w:p>
  </w:endnote>
  <w:endnote w:type="continuationSeparator" w:id="1">
    <w:p w:rsidR="00061AFF" w:rsidRDefault="00061AFF" w:rsidP="000C2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MR12">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AFF" w:rsidRDefault="00061AFF" w:rsidP="000C2FCF">
      <w:pPr>
        <w:spacing w:after="0" w:line="240" w:lineRule="auto"/>
      </w:pPr>
      <w:r>
        <w:separator/>
      </w:r>
    </w:p>
  </w:footnote>
  <w:footnote w:type="continuationSeparator" w:id="1">
    <w:p w:rsidR="00061AFF" w:rsidRDefault="00061AFF" w:rsidP="000C2FCF">
      <w:pPr>
        <w:spacing w:after="0" w:line="240" w:lineRule="auto"/>
      </w:pPr>
      <w:r>
        <w:continuationSeparator/>
      </w:r>
    </w:p>
  </w:footnote>
  <w:footnote w:id="2">
    <w:p w:rsidR="00D17D20" w:rsidRDefault="00D17D20" w:rsidP="000C2FCF">
      <w:pPr>
        <w:pStyle w:val="FootnoteText"/>
        <w:rPr>
          <w:sz w:val="22"/>
          <w:szCs w:val="22"/>
        </w:rPr>
      </w:pPr>
      <w:r w:rsidRPr="00D22A45">
        <w:rPr>
          <w:rStyle w:val="FootnoteReference"/>
          <w:sz w:val="22"/>
          <w:szCs w:val="22"/>
        </w:rPr>
        <w:footnoteRef/>
      </w:r>
      <w:r w:rsidRPr="00D22A45">
        <w:rPr>
          <w:sz w:val="22"/>
          <w:szCs w:val="22"/>
        </w:rPr>
        <w:t xml:space="preserve"> </w:t>
      </w:r>
      <w:r>
        <w:rPr>
          <w:sz w:val="22"/>
          <w:szCs w:val="22"/>
        </w:rPr>
        <w:t>School of Business, Rongo University</w:t>
      </w:r>
      <w:r w:rsidRPr="00D22A45">
        <w:rPr>
          <w:sz w:val="22"/>
          <w:szCs w:val="22"/>
        </w:rPr>
        <w:t xml:space="preserve"> </w:t>
      </w:r>
      <w:r>
        <w:rPr>
          <w:sz w:val="22"/>
          <w:szCs w:val="22"/>
        </w:rPr>
        <w:t>–</w:t>
      </w:r>
      <w:r w:rsidRPr="00D22A45">
        <w:rPr>
          <w:sz w:val="22"/>
          <w:szCs w:val="22"/>
        </w:rPr>
        <w:t xml:space="preserve"> Kenya</w:t>
      </w:r>
      <w:r>
        <w:rPr>
          <w:sz w:val="22"/>
          <w:szCs w:val="22"/>
        </w:rPr>
        <w:t xml:space="preserve">; e-mail:  </w:t>
      </w:r>
      <w:hyperlink r:id="rId1" w:history="1">
        <w:r w:rsidR="00DE7697" w:rsidRPr="003136A3">
          <w:rPr>
            <w:rStyle w:val="Hyperlink"/>
            <w:sz w:val="22"/>
            <w:szCs w:val="22"/>
          </w:rPr>
          <w:t>jmwau@yahoo.com</w:t>
        </w:r>
      </w:hyperlink>
    </w:p>
    <w:p w:rsidR="00DE7697" w:rsidRPr="00D22A45" w:rsidRDefault="00DE7697" w:rsidP="000C2FCF">
      <w:pPr>
        <w:pStyle w:val="FootnoteText"/>
        <w:rPr>
          <w:sz w:val="22"/>
          <w:szCs w:val="22"/>
        </w:rPr>
      </w:pPr>
      <w:r w:rsidRPr="001B13CB">
        <w:rPr>
          <w:sz w:val="22"/>
          <w:szCs w:val="22"/>
        </w:rPr>
        <w:t xml:space="preserve">Article Info: </w:t>
      </w:r>
      <w:r w:rsidRPr="001B13CB">
        <w:rPr>
          <w:i/>
          <w:sz w:val="22"/>
          <w:szCs w:val="22"/>
        </w:rPr>
        <w:t>Received</w:t>
      </w:r>
      <w:r w:rsidRPr="001B13CB">
        <w:rPr>
          <w:sz w:val="22"/>
          <w:szCs w:val="22"/>
        </w:rPr>
        <w:t xml:space="preserve">: </w:t>
      </w:r>
      <w:r w:rsidRPr="001B13CB">
        <w:rPr>
          <w:sz w:val="22"/>
          <w:szCs w:val="22"/>
          <w:highlight w:val="yellow"/>
        </w:rPr>
        <w:t>month xx</w:t>
      </w:r>
      <w:r>
        <w:rPr>
          <w:sz w:val="22"/>
          <w:szCs w:val="22"/>
        </w:rPr>
        <w:t>, 2017</w:t>
      </w:r>
      <w:r w:rsidRPr="001B13CB">
        <w:rPr>
          <w:sz w:val="22"/>
          <w:szCs w:val="22"/>
        </w:rPr>
        <w:t xml:space="preserve">. </w:t>
      </w:r>
      <w:r w:rsidRPr="001B13CB">
        <w:rPr>
          <w:i/>
          <w:sz w:val="22"/>
          <w:szCs w:val="22"/>
        </w:rPr>
        <w:t>Published online</w:t>
      </w:r>
      <w:r w:rsidRPr="001B13CB">
        <w:rPr>
          <w:sz w:val="22"/>
          <w:szCs w:val="22"/>
        </w:rPr>
        <w:t xml:space="preserve">: </w:t>
      </w:r>
      <w:r w:rsidRPr="001B13CB">
        <w:rPr>
          <w:sz w:val="22"/>
          <w:szCs w:val="22"/>
          <w:highlight w:val="yellow"/>
        </w:rPr>
        <w:t>month xx</w:t>
      </w:r>
      <w:r>
        <w:rPr>
          <w:sz w:val="22"/>
          <w:szCs w:val="22"/>
        </w:rPr>
        <w:t>,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736"/>
      <w:docPartObj>
        <w:docPartGallery w:val="Page Numbers (Top of Page)"/>
        <w:docPartUnique/>
      </w:docPartObj>
    </w:sdtPr>
    <w:sdtEndPr>
      <w:rPr>
        <w:rFonts w:ascii="Times New Roman" w:hAnsi="Times New Roman" w:cs="Times New Roman"/>
        <w:i/>
        <w:sz w:val="24"/>
        <w:szCs w:val="24"/>
      </w:rPr>
    </w:sdtEndPr>
    <w:sdtContent>
      <w:p w:rsidR="00DE7697" w:rsidRPr="00DE7697" w:rsidRDefault="00DE7697">
        <w:pPr>
          <w:pStyle w:val="Header"/>
          <w:rPr>
            <w:rFonts w:ascii="Times New Roman" w:hAnsi="Times New Roman" w:cs="Times New Roman"/>
            <w:i/>
            <w:sz w:val="24"/>
            <w:szCs w:val="24"/>
          </w:rPr>
        </w:pPr>
        <w:r w:rsidRPr="00DE7697">
          <w:rPr>
            <w:rFonts w:ascii="Times New Roman" w:hAnsi="Times New Roman" w:cs="Times New Roman"/>
            <w:sz w:val="24"/>
            <w:szCs w:val="24"/>
          </w:rPr>
          <w:fldChar w:fldCharType="begin"/>
        </w:r>
        <w:r w:rsidRPr="00DE7697">
          <w:rPr>
            <w:rFonts w:ascii="Times New Roman" w:hAnsi="Times New Roman" w:cs="Times New Roman"/>
            <w:sz w:val="24"/>
            <w:szCs w:val="24"/>
          </w:rPr>
          <w:instrText xml:space="preserve"> PAGE   \* MERGEFORMAT </w:instrText>
        </w:r>
        <w:r w:rsidRPr="00DE7697">
          <w:rPr>
            <w:rFonts w:ascii="Times New Roman" w:hAnsi="Times New Roman" w:cs="Times New Roman"/>
            <w:sz w:val="24"/>
            <w:szCs w:val="24"/>
          </w:rPr>
          <w:fldChar w:fldCharType="separate"/>
        </w:r>
        <w:r w:rsidR="00C5351D">
          <w:rPr>
            <w:rFonts w:ascii="Times New Roman" w:hAnsi="Times New Roman" w:cs="Times New Roman"/>
            <w:noProof/>
            <w:sz w:val="24"/>
            <w:szCs w:val="24"/>
          </w:rPr>
          <w:t>2</w:t>
        </w:r>
        <w:r w:rsidRPr="00DE7697">
          <w:rPr>
            <w:rFonts w:ascii="Times New Roman" w:hAnsi="Times New Roman" w:cs="Times New Roman"/>
            <w:sz w:val="24"/>
            <w:szCs w:val="24"/>
          </w:rPr>
          <w:fldChar w:fldCharType="end"/>
        </w:r>
        <w:r>
          <w:tab/>
        </w:r>
        <w:r>
          <w:tab/>
        </w:r>
        <w:r w:rsidRPr="00DE7697">
          <w:rPr>
            <w:rFonts w:ascii="Times New Roman" w:hAnsi="Times New Roman" w:cs="Times New Roman"/>
            <w:i/>
            <w:sz w:val="24"/>
            <w:szCs w:val="24"/>
          </w:rPr>
          <w:t>Jonathan Mwau Mulwa</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697" w:rsidRPr="00DE7697" w:rsidRDefault="00DE7697" w:rsidP="00DE7697">
    <w:pPr>
      <w:jc w:val="both"/>
      <w:rPr>
        <w:rFonts w:ascii="Times New Roman" w:hAnsi="Times New Roman" w:cs="Times New Roman"/>
        <w:sz w:val="24"/>
        <w:szCs w:val="24"/>
      </w:rPr>
    </w:pPr>
    <w:r w:rsidRPr="00DE7697">
      <w:rPr>
        <w:rFonts w:ascii="Times New Roman" w:hAnsi="Times New Roman" w:cs="Times New Roman"/>
        <w:i/>
        <w:sz w:val="24"/>
        <w:szCs w:val="24"/>
      </w:rPr>
      <w:t>Sectoral Credit Diversification, Bank Performance and Monitoring Effectiveness</w:t>
    </w:r>
    <w:r w:rsidR="003659DB">
      <w:rPr>
        <w:rFonts w:ascii="Times New Roman" w:hAnsi="Times New Roman" w:cs="Times New Roman"/>
        <w:i/>
        <w:sz w:val="24"/>
        <w:szCs w:val="24"/>
      </w:rPr>
      <w:t>…</w:t>
    </w:r>
    <w:r w:rsidRPr="00DE7697">
      <w:rPr>
        <w:rFonts w:ascii="Times New Roman" w:hAnsi="Times New Roman" w:cs="Times New Roman"/>
        <w:sz w:val="24"/>
        <w:szCs w:val="24"/>
      </w:rPr>
      <w:t xml:space="preserve">                  </w:t>
    </w:r>
    <w:sdt>
      <w:sdtPr>
        <w:rPr>
          <w:rFonts w:ascii="Times New Roman" w:hAnsi="Times New Roman" w:cs="Times New Roman"/>
          <w:sz w:val="24"/>
          <w:szCs w:val="24"/>
        </w:rPr>
        <w:id w:val="1330749"/>
        <w:docPartObj>
          <w:docPartGallery w:val="Page Numbers (Top of Page)"/>
          <w:docPartUnique/>
        </w:docPartObj>
      </w:sdtPr>
      <w:sdtContent>
        <w:r w:rsidRPr="00DE7697">
          <w:rPr>
            <w:rFonts w:ascii="Times New Roman" w:hAnsi="Times New Roman" w:cs="Times New Roman"/>
            <w:sz w:val="24"/>
            <w:szCs w:val="24"/>
          </w:rPr>
          <w:fldChar w:fldCharType="begin"/>
        </w:r>
        <w:r w:rsidRPr="00DE7697">
          <w:rPr>
            <w:rFonts w:ascii="Times New Roman" w:hAnsi="Times New Roman" w:cs="Times New Roman"/>
            <w:sz w:val="24"/>
            <w:szCs w:val="24"/>
          </w:rPr>
          <w:instrText xml:space="preserve"> PAGE   \* MERGEFORMAT </w:instrText>
        </w:r>
        <w:r w:rsidRPr="00DE7697">
          <w:rPr>
            <w:rFonts w:ascii="Times New Roman" w:hAnsi="Times New Roman" w:cs="Times New Roman"/>
            <w:sz w:val="24"/>
            <w:szCs w:val="24"/>
          </w:rPr>
          <w:fldChar w:fldCharType="separate"/>
        </w:r>
        <w:r w:rsidR="00C5351D">
          <w:rPr>
            <w:rFonts w:ascii="Times New Roman" w:hAnsi="Times New Roman" w:cs="Times New Roman"/>
            <w:noProof/>
            <w:sz w:val="24"/>
            <w:szCs w:val="24"/>
          </w:rPr>
          <w:t>3</w:t>
        </w:r>
        <w:r w:rsidRPr="00DE7697">
          <w:rPr>
            <w:rFonts w:ascii="Times New Roman" w:hAnsi="Times New Roman" w:cs="Times New Roman"/>
            <w:sz w:val="24"/>
            <w:szCs w:val="24"/>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697" w:rsidRPr="00DE7697" w:rsidRDefault="00DE7697" w:rsidP="00DE7697">
    <w:pPr>
      <w:spacing w:after="0" w:line="360" w:lineRule="auto"/>
      <w:rPr>
        <w:rFonts w:ascii="Times New Roman" w:eastAsia="Calibri" w:hAnsi="Times New Roman" w:cs="Times New Roman"/>
        <w:i/>
        <w:sz w:val="26"/>
        <w:szCs w:val="26"/>
      </w:rPr>
    </w:pPr>
    <w:r w:rsidRPr="00DE7697">
      <w:rPr>
        <w:rFonts w:ascii="Times New Roman" w:eastAsia="Calibri" w:hAnsi="Times New Roman" w:cs="Times New Roman"/>
        <w:i/>
        <w:sz w:val="26"/>
        <w:szCs w:val="26"/>
      </w:rPr>
      <w:t xml:space="preserve">Journal of Finance and Investment Analysis, Vol. </w:t>
    </w:r>
    <w:r w:rsidRPr="00DE7697">
      <w:rPr>
        <w:rFonts w:ascii="Times New Roman" w:eastAsia="Calibri" w:hAnsi="Times New Roman" w:cs="Times New Roman"/>
        <w:i/>
        <w:sz w:val="26"/>
        <w:szCs w:val="26"/>
        <w:highlight w:val="yellow"/>
      </w:rPr>
      <w:t>x</w:t>
    </w:r>
    <w:r w:rsidRPr="00DE7697">
      <w:rPr>
        <w:rFonts w:ascii="Times New Roman" w:eastAsia="Calibri" w:hAnsi="Times New Roman" w:cs="Times New Roman"/>
        <w:i/>
        <w:sz w:val="26"/>
        <w:szCs w:val="26"/>
      </w:rPr>
      <w:t xml:space="preserve">, no. </w:t>
    </w:r>
    <w:r w:rsidRPr="00DE7697">
      <w:rPr>
        <w:rFonts w:ascii="Times New Roman" w:eastAsia="Calibri" w:hAnsi="Times New Roman" w:cs="Times New Roman"/>
        <w:i/>
        <w:sz w:val="26"/>
        <w:szCs w:val="26"/>
        <w:highlight w:val="yellow"/>
      </w:rPr>
      <w:t>xx</w:t>
    </w:r>
    <w:r w:rsidRPr="00DE7697">
      <w:rPr>
        <w:rFonts w:ascii="Times New Roman" w:eastAsia="Calibri" w:hAnsi="Times New Roman" w:cs="Times New Roman"/>
        <w:i/>
        <w:sz w:val="26"/>
        <w:szCs w:val="26"/>
      </w:rPr>
      <w:t xml:space="preserve">, 2016, </w:t>
    </w:r>
    <w:r w:rsidRPr="00DE7697">
      <w:rPr>
        <w:rFonts w:ascii="Times New Roman" w:eastAsia="Calibri" w:hAnsi="Times New Roman" w:cs="Times New Roman"/>
        <w:i/>
        <w:sz w:val="26"/>
        <w:szCs w:val="26"/>
        <w:highlight w:val="yellow"/>
      </w:rPr>
      <w:t>xxx-xxx</w:t>
    </w:r>
  </w:p>
  <w:p w:rsidR="00DE7697" w:rsidRPr="00DE7697" w:rsidRDefault="00DE7697" w:rsidP="00DE7697">
    <w:pPr>
      <w:spacing w:after="0" w:line="360" w:lineRule="auto"/>
      <w:rPr>
        <w:rFonts w:ascii="Times New Roman" w:eastAsia="Calibri" w:hAnsi="Times New Roman" w:cs="Times New Roman"/>
        <w:i/>
        <w:sz w:val="26"/>
        <w:szCs w:val="26"/>
      </w:rPr>
    </w:pPr>
    <w:r w:rsidRPr="00DE7697">
      <w:rPr>
        <w:rFonts w:ascii="Times New Roman" w:eastAsia="Calibri" w:hAnsi="Times New Roman" w:cs="Times New Roman"/>
        <w:i/>
        <w:sz w:val="26"/>
        <w:szCs w:val="26"/>
      </w:rPr>
      <w:t>ISSN: 2241-0998 (print version), 2241-0996 (online)</w:t>
    </w:r>
  </w:p>
  <w:p w:rsidR="00DE7697" w:rsidRPr="00DE7697" w:rsidRDefault="00DE7697" w:rsidP="00DE7697">
    <w:pPr>
      <w:spacing w:after="0" w:line="360" w:lineRule="auto"/>
      <w:rPr>
        <w:rFonts w:ascii="Times New Roman" w:hAnsi="Times New Roman" w:cs="Times New Roman"/>
        <w:i/>
        <w:sz w:val="26"/>
        <w:szCs w:val="26"/>
      </w:rPr>
    </w:pPr>
    <w:r w:rsidRPr="00DE7697">
      <w:rPr>
        <w:rFonts w:ascii="Times New Roman" w:hAnsi="Times New Roman" w:cs="Times New Roman"/>
        <w:sz w:val="26"/>
        <w:szCs w:val="26"/>
      </w:rPr>
      <w:t>Scienpress Ltd, 2017</w:t>
    </w:r>
    <w:r w:rsidRPr="00DE7697">
      <w:rPr>
        <w:rFonts w:ascii="Times New Roman" w:eastAsia="Calibri" w:hAnsi="Times New Roman" w:cs="Times New Roman"/>
        <w:sz w:val="26"/>
        <w:szCs w:val="26"/>
      </w:rPr>
      <w:tab/>
    </w:r>
    <w:r w:rsidRPr="00DE7697">
      <w:rPr>
        <w:rFonts w:ascii="Times New Roman" w:eastAsia="Calibri" w:hAnsi="Times New Roman" w:cs="Times New Roman"/>
        <w:sz w:val="26"/>
        <w:szCs w:val="26"/>
      </w:rPr>
      <w:tab/>
    </w:r>
    <w:r w:rsidRPr="00DE7697">
      <w:rPr>
        <w:rFonts w:ascii="Times New Roman" w:eastAsia="Calibri" w:hAnsi="Times New Roman" w:cs="Times New Roman"/>
        <w:sz w:val="26"/>
        <w:szCs w:val="26"/>
      </w:rPr>
      <w:tab/>
    </w:r>
    <w:r w:rsidRPr="00DE7697">
      <w:rPr>
        <w:rFonts w:ascii="Times New Roman" w:eastAsia="Calibri" w:hAnsi="Times New Roman" w:cs="Times New Roman"/>
        <w:sz w:val="26"/>
        <w:szCs w:val="26"/>
      </w:rPr>
      <w:tab/>
    </w:r>
    <w:r w:rsidRPr="00DE7697">
      <w:rPr>
        <w:rFonts w:ascii="Times New Roman" w:eastAsia="Calibri" w:hAnsi="Times New Roman" w:cs="Times New Roman"/>
        <w:sz w:val="26"/>
        <w:szCs w:val="26"/>
      </w:rPr>
      <w:tab/>
    </w:r>
    <w:r w:rsidRPr="00DE7697">
      <w:rPr>
        <w:rFonts w:ascii="Times New Roman" w:eastAsia="Calibri" w:hAnsi="Times New Roman" w:cs="Times New Roman"/>
        <w:sz w:val="26"/>
        <w:szCs w:val="26"/>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D75FC"/>
    <w:multiLevelType w:val="multilevel"/>
    <w:tmpl w:val="00A87CC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C2FCF"/>
    <w:rsid w:val="00047591"/>
    <w:rsid w:val="0005144D"/>
    <w:rsid w:val="0006150B"/>
    <w:rsid w:val="00061AFF"/>
    <w:rsid w:val="000B33B6"/>
    <w:rsid w:val="000B5CCF"/>
    <w:rsid w:val="000C051E"/>
    <w:rsid w:val="000C2FCF"/>
    <w:rsid w:val="001034D9"/>
    <w:rsid w:val="0016190F"/>
    <w:rsid w:val="00164B94"/>
    <w:rsid w:val="001820EF"/>
    <w:rsid w:val="0018461A"/>
    <w:rsid w:val="001B6D75"/>
    <w:rsid w:val="001C5003"/>
    <w:rsid w:val="001D31B6"/>
    <w:rsid w:val="001E7103"/>
    <w:rsid w:val="00207A03"/>
    <w:rsid w:val="0024737A"/>
    <w:rsid w:val="0025627B"/>
    <w:rsid w:val="00261D42"/>
    <w:rsid w:val="002A12F1"/>
    <w:rsid w:val="002C5607"/>
    <w:rsid w:val="002D632D"/>
    <w:rsid w:val="00302064"/>
    <w:rsid w:val="003024E0"/>
    <w:rsid w:val="0032054C"/>
    <w:rsid w:val="00327090"/>
    <w:rsid w:val="00332869"/>
    <w:rsid w:val="00346A93"/>
    <w:rsid w:val="00363471"/>
    <w:rsid w:val="003659DB"/>
    <w:rsid w:val="003F37DE"/>
    <w:rsid w:val="004356D1"/>
    <w:rsid w:val="00444384"/>
    <w:rsid w:val="00467981"/>
    <w:rsid w:val="00482660"/>
    <w:rsid w:val="00490621"/>
    <w:rsid w:val="004B40BC"/>
    <w:rsid w:val="004B546D"/>
    <w:rsid w:val="004C2BF8"/>
    <w:rsid w:val="004F221B"/>
    <w:rsid w:val="00517DE7"/>
    <w:rsid w:val="00536E91"/>
    <w:rsid w:val="00537985"/>
    <w:rsid w:val="00544C3E"/>
    <w:rsid w:val="00561030"/>
    <w:rsid w:val="005645E5"/>
    <w:rsid w:val="00566953"/>
    <w:rsid w:val="00566C89"/>
    <w:rsid w:val="0057547B"/>
    <w:rsid w:val="0058579C"/>
    <w:rsid w:val="00595237"/>
    <w:rsid w:val="005A37E8"/>
    <w:rsid w:val="005C71B7"/>
    <w:rsid w:val="005D34AA"/>
    <w:rsid w:val="00624ED9"/>
    <w:rsid w:val="00634599"/>
    <w:rsid w:val="006A2BED"/>
    <w:rsid w:val="006E7EA2"/>
    <w:rsid w:val="006F01E4"/>
    <w:rsid w:val="0071324D"/>
    <w:rsid w:val="00723544"/>
    <w:rsid w:val="007317B0"/>
    <w:rsid w:val="007412BD"/>
    <w:rsid w:val="00742AE2"/>
    <w:rsid w:val="00745B53"/>
    <w:rsid w:val="00753677"/>
    <w:rsid w:val="007619AE"/>
    <w:rsid w:val="00763AC8"/>
    <w:rsid w:val="0077300B"/>
    <w:rsid w:val="007808F5"/>
    <w:rsid w:val="007D4C57"/>
    <w:rsid w:val="007D7256"/>
    <w:rsid w:val="007D7A6B"/>
    <w:rsid w:val="007F752C"/>
    <w:rsid w:val="0082799F"/>
    <w:rsid w:val="00837383"/>
    <w:rsid w:val="00845A4A"/>
    <w:rsid w:val="008502D3"/>
    <w:rsid w:val="00863151"/>
    <w:rsid w:val="008A0CC1"/>
    <w:rsid w:val="008A0E2E"/>
    <w:rsid w:val="008A5DF6"/>
    <w:rsid w:val="008B0A33"/>
    <w:rsid w:val="008C46F6"/>
    <w:rsid w:val="008E410A"/>
    <w:rsid w:val="008E6DA6"/>
    <w:rsid w:val="008F09A1"/>
    <w:rsid w:val="00961B17"/>
    <w:rsid w:val="00966A55"/>
    <w:rsid w:val="009A0341"/>
    <w:rsid w:val="009B1A05"/>
    <w:rsid w:val="00A2177C"/>
    <w:rsid w:val="00A64DA8"/>
    <w:rsid w:val="00A9008A"/>
    <w:rsid w:val="00AA2ADD"/>
    <w:rsid w:val="00B04C53"/>
    <w:rsid w:val="00B30216"/>
    <w:rsid w:val="00B418AA"/>
    <w:rsid w:val="00B56715"/>
    <w:rsid w:val="00B80D18"/>
    <w:rsid w:val="00B82609"/>
    <w:rsid w:val="00B87D44"/>
    <w:rsid w:val="00B917D4"/>
    <w:rsid w:val="00B94F8D"/>
    <w:rsid w:val="00BD1C80"/>
    <w:rsid w:val="00C04B35"/>
    <w:rsid w:val="00C32C90"/>
    <w:rsid w:val="00C5351D"/>
    <w:rsid w:val="00C61E6A"/>
    <w:rsid w:val="00C65412"/>
    <w:rsid w:val="00C74CDD"/>
    <w:rsid w:val="00CB25CE"/>
    <w:rsid w:val="00CD1F56"/>
    <w:rsid w:val="00CF268F"/>
    <w:rsid w:val="00D1016D"/>
    <w:rsid w:val="00D15B9C"/>
    <w:rsid w:val="00D17D20"/>
    <w:rsid w:val="00D2731E"/>
    <w:rsid w:val="00D506E7"/>
    <w:rsid w:val="00D64E25"/>
    <w:rsid w:val="00D71CBF"/>
    <w:rsid w:val="00D811B5"/>
    <w:rsid w:val="00D90AEF"/>
    <w:rsid w:val="00DB4CD5"/>
    <w:rsid w:val="00DE7697"/>
    <w:rsid w:val="00DF305D"/>
    <w:rsid w:val="00E046FF"/>
    <w:rsid w:val="00E11490"/>
    <w:rsid w:val="00E17806"/>
    <w:rsid w:val="00E2196C"/>
    <w:rsid w:val="00E249E1"/>
    <w:rsid w:val="00E43DC8"/>
    <w:rsid w:val="00E70696"/>
    <w:rsid w:val="00E70F70"/>
    <w:rsid w:val="00E72784"/>
    <w:rsid w:val="00E94C3A"/>
    <w:rsid w:val="00EE5584"/>
    <w:rsid w:val="00F07DCE"/>
    <w:rsid w:val="00F21762"/>
    <w:rsid w:val="00F300EA"/>
    <w:rsid w:val="00F34F1D"/>
    <w:rsid w:val="00F44E56"/>
    <w:rsid w:val="00F4750B"/>
    <w:rsid w:val="00F502B0"/>
    <w:rsid w:val="00FD5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FCF"/>
    <w:pPr>
      <w:ind w:left="720"/>
      <w:contextualSpacing/>
    </w:pPr>
  </w:style>
  <w:style w:type="paragraph" w:styleId="FootnoteText">
    <w:name w:val="footnote text"/>
    <w:basedOn w:val="Normal"/>
    <w:link w:val="FootnoteTextChar"/>
    <w:semiHidden/>
    <w:rsid w:val="000C2FCF"/>
    <w:pPr>
      <w:widowControl w:val="0"/>
      <w:adjustRightInd w:val="0"/>
      <w:snapToGrid w:val="0"/>
      <w:spacing w:after="0" w:line="480" w:lineRule="auto"/>
      <w:textAlignment w:val="baseline"/>
    </w:pPr>
    <w:rPr>
      <w:rFonts w:ascii="Times New Roman" w:eastAsia="PMingLiU" w:hAnsi="Times New Roman" w:cs="Times New Roman"/>
      <w:sz w:val="20"/>
      <w:szCs w:val="20"/>
      <w:lang w:eastAsia="zh-TW"/>
    </w:rPr>
  </w:style>
  <w:style w:type="character" w:customStyle="1" w:styleId="FootnoteTextChar">
    <w:name w:val="Footnote Text Char"/>
    <w:basedOn w:val="DefaultParagraphFont"/>
    <w:link w:val="FootnoteText"/>
    <w:semiHidden/>
    <w:rsid w:val="000C2FCF"/>
    <w:rPr>
      <w:rFonts w:ascii="Times New Roman" w:eastAsia="PMingLiU" w:hAnsi="Times New Roman" w:cs="Times New Roman"/>
      <w:sz w:val="20"/>
      <w:szCs w:val="20"/>
      <w:lang w:eastAsia="zh-TW"/>
    </w:rPr>
  </w:style>
  <w:style w:type="character" w:styleId="FootnoteReference">
    <w:name w:val="footnote reference"/>
    <w:basedOn w:val="DefaultParagraphFont"/>
    <w:semiHidden/>
    <w:rsid w:val="000C2FCF"/>
    <w:rPr>
      <w:vertAlign w:val="superscript"/>
    </w:rPr>
  </w:style>
  <w:style w:type="paragraph" w:styleId="BalloonText">
    <w:name w:val="Balloon Text"/>
    <w:basedOn w:val="Normal"/>
    <w:link w:val="BalloonTextChar"/>
    <w:uiPriority w:val="99"/>
    <w:semiHidden/>
    <w:unhideWhenUsed/>
    <w:rsid w:val="002C5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607"/>
    <w:rPr>
      <w:rFonts w:ascii="Tahoma" w:hAnsi="Tahoma" w:cs="Tahoma"/>
      <w:sz w:val="16"/>
      <w:szCs w:val="16"/>
    </w:rPr>
  </w:style>
  <w:style w:type="character" w:styleId="Hyperlink">
    <w:name w:val="Hyperlink"/>
    <w:basedOn w:val="DefaultParagraphFont"/>
    <w:uiPriority w:val="99"/>
    <w:unhideWhenUsed/>
    <w:rsid w:val="008B0A33"/>
    <w:rPr>
      <w:color w:val="0000FF"/>
      <w:u w:val="single"/>
    </w:rPr>
  </w:style>
  <w:style w:type="table" w:styleId="TableGrid">
    <w:name w:val="Table Grid"/>
    <w:basedOn w:val="TableNormal"/>
    <w:uiPriority w:val="59"/>
    <w:rsid w:val="00D506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E7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697"/>
  </w:style>
  <w:style w:type="paragraph" w:styleId="Footer">
    <w:name w:val="footer"/>
    <w:basedOn w:val="Normal"/>
    <w:link w:val="FooterChar"/>
    <w:uiPriority w:val="99"/>
    <w:semiHidden/>
    <w:unhideWhenUsed/>
    <w:rsid w:val="00DE76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76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eac.int/sectors/financial/bank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fricanbusinessmagazine.com/uncategorised/banking-in-east-africa-a-new-powerhouse-in-the-mak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jmwau@yahoo.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WAU\Desktop\PUBLISH%202017\data%20SHEET%20CREDI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WAU\Desktop\PUBLISH%202017\data%20SHEET%20CREDI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WAU\Desktop\PUBLISH%202017\data%20SHEET%20CREDI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WAU\Desktop\PUBLISH%202017\data%20SHEET%20CRED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1"/>
          <c:order val="1"/>
          <c:tx>
            <c:strRef>
              <c:f>RUN!$D$1</c:f>
              <c:strCache>
                <c:ptCount val="1"/>
                <c:pt idx="0">
                  <c:v>ROA (%)</c:v>
                </c:pt>
              </c:strCache>
            </c:strRef>
          </c:tx>
          <c:spPr>
            <a:ln w="19050"/>
          </c:spPr>
          <c:marker>
            <c:spPr>
              <a:ln w="19050"/>
            </c:spPr>
          </c:marker>
          <c:xVal>
            <c:numRef>
              <c:f>RUN!$B$2:$B$9</c:f>
              <c:numCache>
                <c:formatCode>General</c:formatCode>
                <c:ptCount val="8"/>
                <c:pt idx="0">
                  <c:v>2008</c:v>
                </c:pt>
                <c:pt idx="1">
                  <c:v>2009</c:v>
                </c:pt>
                <c:pt idx="2">
                  <c:v>2010</c:v>
                </c:pt>
                <c:pt idx="3">
                  <c:v>2011</c:v>
                </c:pt>
                <c:pt idx="4">
                  <c:v>2012</c:v>
                </c:pt>
                <c:pt idx="5">
                  <c:v>2013</c:v>
                </c:pt>
                <c:pt idx="6">
                  <c:v>2014</c:v>
                </c:pt>
                <c:pt idx="7">
                  <c:v>2015</c:v>
                </c:pt>
              </c:numCache>
            </c:numRef>
          </c:xVal>
          <c:yVal>
            <c:numRef>
              <c:f>RUN!$D$2:$D$9</c:f>
              <c:numCache>
                <c:formatCode>0.00</c:formatCode>
                <c:ptCount val="8"/>
                <c:pt idx="0">
                  <c:v>2.6</c:v>
                </c:pt>
                <c:pt idx="1">
                  <c:v>3.52</c:v>
                </c:pt>
                <c:pt idx="2">
                  <c:v>4.4300000000000024</c:v>
                </c:pt>
                <c:pt idx="3">
                  <c:v>4.4000000000000004</c:v>
                </c:pt>
                <c:pt idx="4">
                  <c:v>4.7</c:v>
                </c:pt>
                <c:pt idx="5">
                  <c:v>4.7</c:v>
                </c:pt>
                <c:pt idx="6">
                  <c:v>3.4</c:v>
                </c:pt>
                <c:pt idx="7">
                  <c:v>2.9</c:v>
                </c:pt>
              </c:numCache>
            </c:numRef>
          </c:yVal>
        </c:ser>
        <c:ser>
          <c:idx val="2"/>
          <c:order val="2"/>
          <c:tx>
            <c:strRef>
              <c:f>RUN!$E$1</c:f>
              <c:strCache>
                <c:ptCount val="1"/>
                <c:pt idx="0">
                  <c:v>AQt+1</c:v>
                </c:pt>
              </c:strCache>
            </c:strRef>
          </c:tx>
          <c:spPr>
            <a:ln w="19050"/>
          </c:spPr>
          <c:marker>
            <c:spPr>
              <a:ln w="19050"/>
            </c:spPr>
          </c:marker>
          <c:xVal>
            <c:numRef>
              <c:f>RUN!$B$2:$B$9</c:f>
              <c:numCache>
                <c:formatCode>General</c:formatCode>
                <c:ptCount val="8"/>
                <c:pt idx="0">
                  <c:v>2008</c:v>
                </c:pt>
                <c:pt idx="1">
                  <c:v>2009</c:v>
                </c:pt>
                <c:pt idx="2">
                  <c:v>2010</c:v>
                </c:pt>
                <c:pt idx="3">
                  <c:v>2011</c:v>
                </c:pt>
                <c:pt idx="4">
                  <c:v>2012</c:v>
                </c:pt>
                <c:pt idx="5">
                  <c:v>2013</c:v>
                </c:pt>
                <c:pt idx="6">
                  <c:v>2014</c:v>
                </c:pt>
                <c:pt idx="7">
                  <c:v>2015</c:v>
                </c:pt>
              </c:numCache>
            </c:numRef>
          </c:xVal>
          <c:yVal>
            <c:numRef>
              <c:f>RUN!$E$2:$E$9</c:f>
              <c:numCache>
                <c:formatCode>0.00</c:formatCode>
                <c:ptCount val="8"/>
                <c:pt idx="0">
                  <c:v>7.94</c:v>
                </c:pt>
                <c:pt idx="1">
                  <c:v>6.3</c:v>
                </c:pt>
                <c:pt idx="2">
                  <c:v>4.4000000000000004</c:v>
                </c:pt>
                <c:pt idx="3">
                  <c:v>4.5999999999999996</c:v>
                </c:pt>
                <c:pt idx="4">
                  <c:v>5.0999999999999996</c:v>
                </c:pt>
                <c:pt idx="5">
                  <c:v>5.6</c:v>
                </c:pt>
                <c:pt idx="6">
                  <c:v>6.8</c:v>
                </c:pt>
                <c:pt idx="7">
                  <c:v>9.1</c:v>
                </c:pt>
              </c:numCache>
            </c:numRef>
          </c:yVal>
        </c:ser>
        <c:axId val="65289600"/>
        <c:axId val="95903104"/>
      </c:scatterChart>
      <c:scatterChart>
        <c:scatterStyle val="lineMarker"/>
        <c:ser>
          <c:idx val="0"/>
          <c:order val="0"/>
          <c:tx>
            <c:strRef>
              <c:f>RUN!$C$1</c:f>
              <c:strCache>
                <c:ptCount val="1"/>
                <c:pt idx="0">
                  <c:v>DIVcr</c:v>
                </c:pt>
              </c:strCache>
            </c:strRef>
          </c:tx>
          <c:spPr>
            <a:ln w="19050"/>
          </c:spPr>
          <c:marker>
            <c:spPr>
              <a:ln w="19050"/>
            </c:spPr>
          </c:marker>
          <c:xVal>
            <c:numRef>
              <c:f>RUN!$B$2:$B$9</c:f>
              <c:numCache>
                <c:formatCode>General</c:formatCode>
                <c:ptCount val="8"/>
                <c:pt idx="0">
                  <c:v>2008</c:v>
                </c:pt>
                <c:pt idx="1">
                  <c:v>2009</c:v>
                </c:pt>
                <c:pt idx="2">
                  <c:v>2010</c:v>
                </c:pt>
                <c:pt idx="3">
                  <c:v>2011</c:v>
                </c:pt>
                <c:pt idx="4">
                  <c:v>2012</c:v>
                </c:pt>
                <c:pt idx="5">
                  <c:v>2013</c:v>
                </c:pt>
                <c:pt idx="6">
                  <c:v>2014</c:v>
                </c:pt>
                <c:pt idx="7">
                  <c:v>2015</c:v>
                </c:pt>
              </c:numCache>
            </c:numRef>
          </c:xVal>
          <c:yVal>
            <c:numRef>
              <c:f>RUN!$C$2:$C$9</c:f>
              <c:numCache>
                <c:formatCode>0.000</c:formatCode>
                <c:ptCount val="8"/>
                <c:pt idx="0">
                  <c:v>0.83000000000000063</c:v>
                </c:pt>
                <c:pt idx="1">
                  <c:v>0.8366000000000029</c:v>
                </c:pt>
                <c:pt idx="2">
                  <c:v>0.83680000000000065</c:v>
                </c:pt>
                <c:pt idx="3">
                  <c:v>0.84319999999999995</c:v>
                </c:pt>
                <c:pt idx="4">
                  <c:v>0.85129999999999995</c:v>
                </c:pt>
                <c:pt idx="5">
                  <c:v>0.84380000000000255</c:v>
                </c:pt>
                <c:pt idx="6">
                  <c:v>0.84090000000000065</c:v>
                </c:pt>
                <c:pt idx="7">
                  <c:v>0.84800000000000064</c:v>
                </c:pt>
              </c:numCache>
            </c:numRef>
          </c:yVal>
        </c:ser>
        <c:axId val="105997056"/>
        <c:axId val="104632704"/>
      </c:scatterChart>
      <c:valAx>
        <c:axId val="65289600"/>
        <c:scaling>
          <c:orientation val="minMax"/>
        </c:scaling>
        <c:axPos val="b"/>
        <c:title>
          <c:tx>
            <c:rich>
              <a:bodyPr/>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Year (t)</a:t>
                </a:r>
              </a:p>
            </c:rich>
          </c:tx>
        </c:title>
        <c:numFmt formatCode="General" sourceLinked="1"/>
        <c:tickLblPos val="nextTo"/>
        <c:txPr>
          <a:bodyPr/>
          <a:lstStyle/>
          <a:p>
            <a:pPr>
              <a:defRPr>
                <a:latin typeface="Times New Roman" pitchFamily="18" charset="0"/>
                <a:cs typeface="Times New Roman" pitchFamily="18" charset="0"/>
              </a:defRPr>
            </a:pPr>
            <a:endParaRPr lang="en-US"/>
          </a:p>
        </c:txPr>
        <c:crossAx val="95903104"/>
        <c:crosses val="autoZero"/>
        <c:crossBetween val="midCat"/>
      </c:valAx>
      <c:valAx>
        <c:axId val="95903104"/>
        <c:scaling>
          <c:orientation val="minMax"/>
        </c:scaling>
        <c:axPos val="l"/>
        <c:majorGridlines/>
        <c:title>
          <c:tx>
            <c:rich>
              <a:bodyPr rot="-5400000" vert="horz"/>
              <a:lstStyle/>
              <a:p>
                <a:pPr>
                  <a:defRPr/>
                </a:pPr>
                <a:r>
                  <a:rPr lang="en-US" b="0">
                    <a:latin typeface="Times New Roman" pitchFamily="18" charset="0"/>
                    <a:cs typeface="Times New Roman" pitchFamily="18" charset="0"/>
                  </a:rPr>
                  <a:t>ROA</a:t>
                </a:r>
                <a:r>
                  <a:rPr lang="en-US" b="0" baseline="0">
                    <a:latin typeface="Times New Roman" pitchFamily="18" charset="0"/>
                    <a:cs typeface="Times New Roman" pitchFamily="18" charset="0"/>
                  </a:rPr>
                  <a:t> &amp; AQ</a:t>
                </a:r>
                <a:r>
                  <a:rPr lang="en-US" b="0" baseline="-25000">
                    <a:latin typeface="Times New Roman" pitchFamily="18" charset="0"/>
                    <a:cs typeface="Times New Roman" pitchFamily="18" charset="0"/>
                  </a:rPr>
                  <a:t>t+1</a:t>
                </a:r>
              </a:p>
            </c:rich>
          </c:tx>
        </c:title>
        <c:numFmt formatCode="0.00" sourceLinked="1"/>
        <c:tickLblPos val="nextTo"/>
        <c:txPr>
          <a:bodyPr/>
          <a:lstStyle/>
          <a:p>
            <a:pPr>
              <a:defRPr>
                <a:latin typeface="Times New Roman" pitchFamily="18" charset="0"/>
                <a:cs typeface="Times New Roman" pitchFamily="18" charset="0"/>
              </a:defRPr>
            </a:pPr>
            <a:endParaRPr lang="en-US"/>
          </a:p>
        </c:txPr>
        <c:crossAx val="65289600"/>
        <c:crosses val="autoZero"/>
        <c:crossBetween val="midCat"/>
      </c:valAx>
      <c:valAx>
        <c:axId val="104632704"/>
        <c:scaling>
          <c:orientation val="minMax"/>
        </c:scaling>
        <c:axPos val="r"/>
        <c:title>
          <c:tx>
            <c:rich>
              <a:bodyPr rot="-5400000" vert="horz"/>
              <a:lstStyle/>
              <a:p>
                <a:pPr>
                  <a:defRPr/>
                </a:pPr>
                <a:r>
                  <a:rPr lang="en-US" b="0">
                    <a:latin typeface="Times New Roman" pitchFamily="18" charset="0"/>
                    <a:cs typeface="Times New Roman" pitchFamily="18" charset="0"/>
                  </a:rPr>
                  <a:t>DIV</a:t>
                </a:r>
                <a:r>
                  <a:rPr lang="en-US" b="0" baseline="-25000">
                    <a:latin typeface="Times New Roman" pitchFamily="18" charset="0"/>
                    <a:cs typeface="Times New Roman" pitchFamily="18" charset="0"/>
                  </a:rPr>
                  <a:t>cr</a:t>
                </a:r>
              </a:p>
            </c:rich>
          </c:tx>
        </c:title>
        <c:numFmt formatCode="0.000" sourceLinked="1"/>
        <c:tickLblPos val="nextTo"/>
        <c:txPr>
          <a:bodyPr/>
          <a:lstStyle/>
          <a:p>
            <a:pPr>
              <a:defRPr>
                <a:latin typeface="Times New Roman" pitchFamily="18" charset="0"/>
                <a:cs typeface="Times New Roman" pitchFamily="18" charset="0"/>
              </a:defRPr>
            </a:pPr>
            <a:endParaRPr lang="en-US"/>
          </a:p>
        </c:txPr>
        <c:crossAx val="105997056"/>
        <c:crosses val="max"/>
        <c:crossBetween val="midCat"/>
      </c:valAx>
      <c:valAx>
        <c:axId val="105997056"/>
        <c:scaling>
          <c:orientation val="minMax"/>
        </c:scaling>
        <c:delete val="1"/>
        <c:axPos val="b"/>
        <c:numFmt formatCode="General" sourceLinked="1"/>
        <c:tickLblPos val="nextTo"/>
        <c:crossAx val="104632704"/>
        <c:crosses val="autoZero"/>
        <c:crossBetween val="midCat"/>
      </c:valAx>
    </c:plotArea>
    <c:legend>
      <c:legendPos val="r"/>
      <c:layout>
        <c:manualLayout>
          <c:xMode val="edge"/>
          <c:yMode val="edge"/>
          <c:x val="0.82483180428134562"/>
          <c:y val="0.36094918463060982"/>
          <c:w val="0.16048929663608574"/>
          <c:h val="0.278101200464696"/>
        </c:manualLayout>
      </c:layout>
      <c:txPr>
        <a:bodyPr/>
        <a:lstStyle/>
        <a:p>
          <a:pPr>
            <a:defRPr>
              <a:latin typeface="Times New Roman" pitchFamily="18" charset="0"/>
              <a:cs typeface="Times New Roman" pitchFamily="18" charset="0"/>
            </a:defRPr>
          </a:pPr>
          <a:endParaRPr lang="en-US"/>
        </a:p>
      </c:txPr>
    </c:legend>
    <c:plotVisOnly val="1"/>
  </c:chart>
  <c:spPr>
    <a:ln w="3175">
      <a:solidFill>
        <a:schemeClr val="tx1"/>
      </a:solidFill>
      <a:prstDash val="dash"/>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1"/>
          <c:order val="1"/>
          <c:tx>
            <c:strRef>
              <c:f>RUN!$D$28</c:f>
              <c:strCache>
                <c:ptCount val="1"/>
                <c:pt idx="0">
                  <c:v>ROA (%)</c:v>
                </c:pt>
              </c:strCache>
            </c:strRef>
          </c:tx>
          <c:spPr>
            <a:ln w="19050"/>
          </c:spPr>
          <c:marker>
            <c:spPr>
              <a:ln w="19050"/>
            </c:spPr>
          </c:marker>
          <c:xVal>
            <c:numRef>
              <c:f>RUN!$B$29:$B$36</c:f>
              <c:numCache>
                <c:formatCode>General</c:formatCode>
                <c:ptCount val="8"/>
                <c:pt idx="0">
                  <c:v>2008</c:v>
                </c:pt>
                <c:pt idx="1">
                  <c:v>2009</c:v>
                </c:pt>
                <c:pt idx="2">
                  <c:v>2010</c:v>
                </c:pt>
                <c:pt idx="3">
                  <c:v>2011</c:v>
                </c:pt>
                <c:pt idx="4">
                  <c:v>2012</c:v>
                </c:pt>
                <c:pt idx="5">
                  <c:v>2013</c:v>
                </c:pt>
                <c:pt idx="6">
                  <c:v>2014</c:v>
                </c:pt>
                <c:pt idx="7">
                  <c:v>2015</c:v>
                </c:pt>
              </c:numCache>
            </c:numRef>
          </c:xVal>
          <c:yVal>
            <c:numRef>
              <c:f>RUN!$D$29:$D$36</c:f>
              <c:numCache>
                <c:formatCode>0.00</c:formatCode>
                <c:ptCount val="8"/>
                <c:pt idx="0">
                  <c:v>4.04</c:v>
                </c:pt>
                <c:pt idx="1">
                  <c:v>2.02</c:v>
                </c:pt>
                <c:pt idx="2">
                  <c:v>2.7</c:v>
                </c:pt>
                <c:pt idx="3">
                  <c:v>4</c:v>
                </c:pt>
                <c:pt idx="4">
                  <c:v>3.9</c:v>
                </c:pt>
                <c:pt idx="5">
                  <c:v>4.3</c:v>
                </c:pt>
                <c:pt idx="6">
                  <c:v>3.6</c:v>
                </c:pt>
                <c:pt idx="7">
                  <c:v>2.6</c:v>
                </c:pt>
              </c:numCache>
            </c:numRef>
          </c:yVal>
        </c:ser>
        <c:ser>
          <c:idx val="2"/>
          <c:order val="2"/>
          <c:tx>
            <c:strRef>
              <c:f>RUN!$E$28</c:f>
              <c:strCache>
                <c:ptCount val="1"/>
                <c:pt idx="0">
                  <c:v>AQt+1</c:v>
                </c:pt>
              </c:strCache>
            </c:strRef>
          </c:tx>
          <c:spPr>
            <a:ln w="19050"/>
          </c:spPr>
          <c:marker>
            <c:spPr>
              <a:ln w="19050"/>
            </c:spPr>
          </c:marker>
          <c:xVal>
            <c:numRef>
              <c:f>RUN!$B$29:$B$36</c:f>
              <c:numCache>
                <c:formatCode>General</c:formatCode>
                <c:ptCount val="8"/>
                <c:pt idx="0">
                  <c:v>2008</c:v>
                </c:pt>
                <c:pt idx="1">
                  <c:v>2009</c:v>
                </c:pt>
                <c:pt idx="2">
                  <c:v>2010</c:v>
                </c:pt>
                <c:pt idx="3">
                  <c:v>2011</c:v>
                </c:pt>
                <c:pt idx="4">
                  <c:v>2012</c:v>
                </c:pt>
                <c:pt idx="5">
                  <c:v>2013</c:v>
                </c:pt>
                <c:pt idx="6">
                  <c:v>2014</c:v>
                </c:pt>
                <c:pt idx="7">
                  <c:v>2015</c:v>
                </c:pt>
              </c:numCache>
            </c:numRef>
          </c:xVal>
          <c:yVal>
            <c:numRef>
              <c:f>RUN!$E$29:$E$36</c:f>
              <c:numCache>
                <c:formatCode>0.00</c:formatCode>
                <c:ptCount val="8"/>
                <c:pt idx="0">
                  <c:v>4.2</c:v>
                </c:pt>
                <c:pt idx="1">
                  <c:v>2.1</c:v>
                </c:pt>
                <c:pt idx="2">
                  <c:v>2.2000000000000002</c:v>
                </c:pt>
                <c:pt idx="3">
                  <c:v>4.2</c:v>
                </c:pt>
                <c:pt idx="4">
                  <c:v>5.6</c:v>
                </c:pt>
                <c:pt idx="5">
                  <c:v>4.0999999999999996</c:v>
                </c:pt>
                <c:pt idx="6">
                  <c:v>5.3</c:v>
                </c:pt>
                <c:pt idx="7">
                  <c:v>10.47</c:v>
                </c:pt>
              </c:numCache>
            </c:numRef>
          </c:yVal>
        </c:ser>
        <c:axId val="106285312"/>
        <c:axId val="107050112"/>
      </c:scatterChart>
      <c:scatterChart>
        <c:scatterStyle val="lineMarker"/>
        <c:ser>
          <c:idx val="0"/>
          <c:order val="0"/>
          <c:tx>
            <c:strRef>
              <c:f>RUN!$C$28</c:f>
              <c:strCache>
                <c:ptCount val="1"/>
                <c:pt idx="0">
                  <c:v>DIVcr</c:v>
                </c:pt>
              </c:strCache>
            </c:strRef>
          </c:tx>
          <c:spPr>
            <a:ln w="19050"/>
          </c:spPr>
          <c:marker>
            <c:spPr>
              <a:ln w="19050"/>
            </c:spPr>
          </c:marker>
          <c:xVal>
            <c:numRef>
              <c:f>RUN!$B$29:$B$36</c:f>
              <c:numCache>
                <c:formatCode>General</c:formatCode>
                <c:ptCount val="8"/>
                <c:pt idx="0">
                  <c:v>2008</c:v>
                </c:pt>
                <c:pt idx="1">
                  <c:v>2009</c:v>
                </c:pt>
                <c:pt idx="2">
                  <c:v>2010</c:v>
                </c:pt>
                <c:pt idx="3">
                  <c:v>2011</c:v>
                </c:pt>
                <c:pt idx="4">
                  <c:v>2012</c:v>
                </c:pt>
                <c:pt idx="5">
                  <c:v>2013</c:v>
                </c:pt>
                <c:pt idx="6">
                  <c:v>2014</c:v>
                </c:pt>
                <c:pt idx="7">
                  <c:v>2015</c:v>
                </c:pt>
              </c:numCache>
            </c:numRef>
          </c:xVal>
          <c:yVal>
            <c:numRef>
              <c:f>RUN!$C$29:$C$36</c:f>
              <c:numCache>
                <c:formatCode>0.000</c:formatCode>
                <c:ptCount val="8"/>
                <c:pt idx="0">
                  <c:v>0.83340000000000003</c:v>
                </c:pt>
                <c:pt idx="1">
                  <c:v>0.82870000000000232</c:v>
                </c:pt>
                <c:pt idx="2">
                  <c:v>0.84070000000000256</c:v>
                </c:pt>
                <c:pt idx="3">
                  <c:v>0.83730000000000004</c:v>
                </c:pt>
                <c:pt idx="4">
                  <c:v>0.84019999999999995</c:v>
                </c:pt>
                <c:pt idx="5">
                  <c:v>0.83640000000000003</c:v>
                </c:pt>
                <c:pt idx="6">
                  <c:v>0.83350000000000002</c:v>
                </c:pt>
                <c:pt idx="7">
                  <c:v>0.83560000000000256</c:v>
                </c:pt>
              </c:numCache>
            </c:numRef>
          </c:yVal>
        </c:ser>
        <c:axId val="107115264"/>
        <c:axId val="107052032"/>
      </c:scatterChart>
      <c:valAx>
        <c:axId val="106285312"/>
        <c:scaling>
          <c:orientation val="minMax"/>
        </c:scaling>
        <c:axPos val="b"/>
        <c:title>
          <c:tx>
            <c:rich>
              <a:bodyPr/>
              <a:lstStyle/>
              <a:p>
                <a:pPr>
                  <a:defRPr/>
                </a:pPr>
                <a:r>
                  <a:rPr lang="en-US" b="0"/>
                  <a:t>Year (t)</a:t>
                </a:r>
              </a:p>
            </c:rich>
          </c:tx>
        </c:title>
        <c:numFmt formatCode="General" sourceLinked="1"/>
        <c:tickLblPos val="nextTo"/>
        <c:txPr>
          <a:bodyPr/>
          <a:lstStyle/>
          <a:p>
            <a:pPr>
              <a:defRPr>
                <a:latin typeface="Times New Roman" pitchFamily="18" charset="0"/>
                <a:cs typeface="Times New Roman" pitchFamily="18" charset="0"/>
              </a:defRPr>
            </a:pPr>
            <a:endParaRPr lang="en-US"/>
          </a:p>
        </c:txPr>
        <c:crossAx val="107050112"/>
        <c:crosses val="autoZero"/>
        <c:crossBetween val="midCat"/>
      </c:valAx>
      <c:valAx>
        <c:axId val="107050112"/>
        <c:scaling>
          <c:orientation val="minMax"/>
        </c:scaling>
        <c:axPos val="l"/>
        <c:majorGridlines/>
        <c:title>
          <c:tx>
            <c:rich>
              <a:bodyPr rot="-5400000" vert="horz"/>
              <a:lstStyle/>
              <a:p>
                <a:pPr>
                  <a:defRPr/>
                </a:pPr>
                <a:r>
                  <a:rPr lang="en-US" sz="1100" b="0">
                    <a:latin typeface="Times New Roman" pitchFamily="18" charset="0"/>
                    <a:cs typeface="Times New Roman" pitchFamily="18" charset="0"/>
                  </a:rPr>
                  <a:t>ROA &amp; AQ</a:t>
                </a:r>
                <a:r>
                  <a:rPr lang="en-US" sz="1100" b="0" baseline="-25000">
                    <a:latin typeface="Times New Roman" pitchFamily="18" charset="0"/>
                    <a:cs typeface="Times New Roman" pitchFamily="18" charset="0"/>
                  </a:rPr>
                  <a:t>t+1</a:t>
                </a:r>
              </a:p>
            </c:rich>
          </c:tx>
        </c:title>
        <c:numFmt formatCode="0.00" sourceLinked="1"/>
        <c:tickLblPos val="nextTo"/>
        <c:txPr>
          <a:bodyPr/>
          <a:lstStyle/>
          <a:p>
            <a:pPr>
              <a:defRPr>
                <a:latin typeface="Times New Roman" pitchFamily="18" charset="0"/>
                <a:cs typeface="Times New Roman" pitchFamily="18" charset="0"/>
              </a:defRPr>
            </a:pPr>
            <a:endParaRPr lang="en-US"/>
          </a:p>
        </c:txPr>
        <c:crossAx val="106285312"/>
        <c:crosses val="autoZero"/>
        <c:crossBetween val="midCat"/>
      </c:valAx>
      <c:valAx>
        <c:axId val="107052032"/>
        <c:scaling>
          <c:orientation val="minMax"/>
        </c:scaling>
        <c:axPos val="r"/>
        <c:title>
          <c:tx>
            <c:rich>
              <a:bodyPr rot="-5400000" vert="horz"/>
              <a:lstStyle/>
              <a:p>
                <a:pPr>
                  <a:defRPr sz="1100"/>
                </a:pPr>
                <a:r>
                  <a:rPr lang="en-US" sz="1100" b="0"/>
                  <a:t>DIV</a:t>
                </a:r>
                <a:r>
                  <a:rPr lang="en-US" sz="1100" b="0" baseline="-25000"/>
                  <a:t>cr</a:t>
                </a:r>
              </a:p>
            </c:rich>
          </c:tx>
        </c:title>
        <c:numFmt formatCode="0.000" sourceLinked="1"/>
        <c:tickLblPos val="nextTo"/>
        <c:txPr>
          <a:bodyPr/>
          <a:lstStyle/>
          <a:p>
            <a:pPr>
              <a:defRPr>
                <a:latin typeface="Times New Roman" pitchFamily="18" charset="0"/>
                <a:cs typeface="Times New Roman" pitchFamily="18" charset="0"/>
              </a:defRPr>
            </a:pPr>
            <a:endParaRPr lang="en-US"/>
          </a:p>
        </c:txPr>
        <c:crossAx val="107115264"/>
        <c:crosses val="max"/>
        <c:crossBetween val="midCat"/>
      </c:valAx>
      <c:valAx>
        <c:axId val="107115264"/>
        <c:scaling>
          <c:orientation val="minMax"/>
        </c:scaling>
        <c:delete val="1"/>
        <c:axPos val="b"/>
        <c:numFmt formatCode="General" sourceLinked="1"/>
        <c:tickLblPos val="nextTo"/>
        <c:crossAx val="107052032"/>
        <c:crosses val="autoZero"/>
        <c:crossBetween val="midCat"/>
      </c:valAx>
      <c:spPr>
        <a:ln>
          <a:prstDash val="dash"/>
        </a:ln>
      </c:spPr>
    </c:plotArea>
    <c:legend>
      <c:legendPos val="r"/>
      <c:txPr>
        <a:bodyPr/>
        <a:lstStyle/>
        <a:p>
          <a:pPr>
            <a:defRPr>
              <a:latin typeface="Times New Roman" pitchFamily="18" charset="0"/>
              <a:cs typeface="Times New Roman" pitchFamily="18" charset="0"/>
            </a:defRPr>
          </a:pPr>
          <a:endParaRPr lang="en-US"/>
        </a:p>
      </c:txPr>
    </c:legend>
    <c:plotVisOnly val="1"/>
  </c:chart>
  <c:spPr>
    <a:ln w="3175">
      <a:solidFill>
        <a:schemeClr val="tx1"/>
      </a:solidFill>
      <a:prstDash val="dash"/>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1"/>
          <c:order val="1"/>
          <c:tx>
            <c:strRef>
              <c:f>RUN!$D$10</c:f>
              <c:strCache>
                <c:ptCount val="1"/>
                <c:pt idx="0">
                  <c:v>ROA (%)</c:v>
                </c:pt>
              </c:strCache>
            </c:strRef>
          </c:tx>
          <c:spPr>
            <a:ln w="19050"/>
          </c:spPr>
          <c:marker>
            <c:spPr>
              <a:ln w="19050"/>
            </c:spPr>
          </c:marker>
          <c:xVal>
            <c:numRef>
              <c:f>RUN!$B$11:$B$18</c:f>
              <c:numCache>
                <c:formatCode>General</c:formatCode>
                <c:ptCount val="8"/>
                <c:pt idx="0">
                  <c:v>2008</c:v>
                </c:pt>
                <c:pt idx="1">
                  <c:v>2009</c:v>
                </c:pt>
                <c:pt idx="2">
                  <c:v>2010</c:v>
                </c:pt>
                <c:pt idx="3">
                  <c:v>2011</c:v>
                </c:pt>
                <c:pt idx="4">
                  <c:v>2012</c:v>
                </c:pt>
                <c:pt idx="5">
                  <c:v>2013</c:v>
                </c:pt>
                <c:pt idx="6">
                  <c:v>2014</c:v>
                </c:pt>
                <c:pt idx="7">
                  <c:v>2015</c:v>
                </c:pt>
              </c:numCache>
            </c:numRef>
          </c:xVal>
          <c:yVal>
            <c:numRef>
              <c:f>RUN!$D$11:$D$18</c:f>
              <c:numCache>
                <c:formatCode>0.00</c:formatCode>
                <c:ptCount val="8"/>
                <c:pt idx="0">
                  <c:v>3.82</c:v>
                </c:pt>
                <c:pt idx="1">
                  <c:v>3.23</c:v>
                </c:pt>
                <c:pt idx="2">
                  <c:v>2.7</c:v>
                </c:pt>
                <c:pt idx="3">
                  <c:v>2.5</c:v>
                </c:pt>
                <c:pt idx="4">
                  <c:v>2.5</c:v>
                </c:pt>
                <c:pt idx="5">
                  <c:v>2.6</c:v>
                </c:pt>
                <c:pt idx="6">
                  <c:v>2.7</c:v>
                </c:pt>
                <c:pt idx="7">
                  <c:v>2.7</c:v>
                </c:pt>
              </c:numCache>
            </c:numRef>
          </c:yVal>
        </c:ser>
        <c:ser>
          <c:idx val="2"/>
          <c:order val="2"/>
          <c:tx>
            <c:strRef>
              <c:f>RUN!$E$10</c:f>
              <c:strCache>
                <c:ptCount val="1"/>
                <c:pt idx="0">
                  <c:v>AQt+1</c:v>
                </c:pt>
              </c:strCache>
            </c:strRef>
          </c:tx>
          <c:spPr>
            <a:ln w="19050"/>
          </c:spPr>
          <c:marker>
            <c:spPr>
              <a:ln w="19050"/>
            </c:spPr>
          </c:marker>
          <c:xVal>
            <c:numRef>
              <c:f>RUN!$B$11:$B$18</c:f>
              <c:numCache>
                <c:formatCode>General</c:formatCode>
                <c:ptCount val="8"/>
                <c:pt idx="0">
                  <c:v>2008</c:v>
                </c:pt>
                <c:pt idx="1">
                  <c:v>2009</c:v>
                </c:pt>
                <c:pt idx="2">
                  <c:v>2010</c:v>
                </c:pt>
                <c:pt idx="3">
                  <c:v>2011</c:v>
                </c:pt>
                <c:pt idx="4">
                  <c:v>2012</c:v>
                </c:pt>
                <c:pt idx="5">
                  <c:v>2013</c:v>
                </c:pt>
                <c:pt idx="6">
                  <c:v>2014</c:v>
                </c:pt>
                <c:pt idx="7">
                  <c:v>2015</c:v>
                </c:pt>
              </c:numCache>
            </c:numRef>
          </c:xVal>
          <c:yVal>
            <c:numRef>
              <c:f>RUN!$E$11:$E$18</c:f>
              <c:numCache>
                <c:formatCode>0.00</c:formatCode>
                <c:ptCount val="8"/>
                <c:pt idx="0">
                  <c:v>6.63</c:v>
                </c:pt>
                <c:pt idx="1">
                  <c:v>9.3000000000000007</c:v>
                </c:pt>
                <c:pt idx="2">
                  <c:v>6.8</c:v>
                </c:pt>
                <c:pt idx="3">
                  <c:v>7.3</c:v>
                </c:pt>
                <c:pt idx="4">
                  <c:v>6.6</c:v>
                </c:pt>
                <c:pt idx="5">
                  <c:v>6.8</c:v>
                </c:pt>
                <c:pt idx="6">
                  <c:v>6.6</c:v>
                </c:pt>
                <c:pt idx="7">
                  <c:v>9.5</c:v>
                </c:pt>
              </c:numCache>
            </c:numRef>
          </c:yVal>
        </c:ser>
        <c:axId val="117564160"/>
        <c:axId val="117580160"/>
      </c:scatterChart>
      <c:scatterChart>
        <c:scatterStyle val="lineMarker"/>
        <c:ser>
          <c:idx val="0"/>
          <c:order val="0"/>
          <c:tx>
            <c:strRef>
              <c:f>RUN!$C$10</c:f>
              <c:strCache>
                <c:ptCount val="1"/>
                <c:pt idx="0">
                  <c:v>DIVcr</c:v>
                </c:pt>
              </c:strCache>
            </c:strRef>
          </c:tx>
          <c:spPr>
            <a:ln w="19050"/>
          </c:spPr>
          <c:marker>
            <c:spPr>
              <a:ln w="19050"/>
            </c:spPr>
          </c:marker>
          <c:xVal>
            <c:numRef>
              <c:f>RUN!$B$11:$B$18</c:f>
              <c:numCache>
                <c:formatCode>General</c:formatCode>
                <c:ptCount val="8"/>
                <c:pt idx="0">
                  <c:v>2008</c:v>
                </c:pt>
                <c:pt idx="1">
                  <c:v>2009</c:v>
                </c:pt>
                <c:pt idx="2">
                  <c:v>2010</c:v>
                </c:pt>
                <c:pt idx="3">
                  <c:v>2011</c:v>
                </c:pt>
                <c:pt idx="4">
                  <c:v>2012</c:v>
                </c:pt>
                <c:pt idx="5">
                  <c:v>2013</c:v>
                </c:pt>
                <c:pt idx="6">
                  <c:v>2014</c:v>
                </c:pt>
                <c:pt idx="7">
                  <c:v>2015</c:v>
                </c:pt>
              </c:numCache>
            </c:numRef>
          </c:xVal>
          <c:yVal>
            <c:numRef>
              <c:f>RUN!$C$11:$C$18</c:f>
              <c:numCache>
                <c:formatCode>0.000</c:formatCode>
                <c:ptCount val="8"/>
                <c:pt idx="0">
                  <c:v>0.84219999999999995</c:v>
                </c:pt>
                <c:pt idx="1">
                  <c:v>0.83540000000000003</c:v>
                </c:pt>
                <c:pt idx="2">
                  <c:v>0.85510000000000064</c:v>
                </c:pt>
                <c:pt idx="3">
                  <c:v>0.86260000000000303</c:v>
                </c:pt>
                <c:pt idx="4">
                  <c:v>0.86090000000000233</c:v>
                </c:pt>
                <c:pt idx="5">
                  <c:v>0.86780000000000268</c:v>
                </c:pt>
                <c:pt idx="6">
                  <c:v>0.87230000000000063</c:v>
                </c:pt>
                <c:pt idx="7">
                  <c:v>0.86420000000000063</c:v>
                </c:pt>
              </c:numCache>
            </c:numRef>
          </c:yVal>
        </c:ser>
        <c:axId val="117858304"/>
        <c:axId val="117752192"/>
      </c:scatterChart>
      <c:valAx>
        <c:axId val="117564160"/>
        <c:scaling>
          <c:orientation val="minMax"/>
        </c:scaling>
        <c:axPos val="b"/>
        <c:title>
          <c:tx>
            <c:rich>
              <a:bodyPr/>
              <a:lstStyle/>
              <a:p>
                <a:pPr>
                  <a:defRPr/>
                </a:pPr>
                <a:r>
                  <a:rPr lang="en-US" sz="1100" b="0">
                    <a:latin typeface="Times New Roman" pitchFamily="18" charset="0"/>
                    <a:cs typeface="Times New Roman" pitchFamily="18" charset="0"/>
                  </a:rPr>
                  <a:t>Year</a:t>
                </a:r>
                <a:r>
                  <a:rPr lang="en-US" sz="1100" b="0" baseline="0">
                    <a:latin typeface="Times New Roman" pitchFamily="18" charset="0"/>
                    <a:cs typeface="Times New Roman" pitchFamily="18" charset="0"/>
                  </a:rPr>
                  <a:t> (t)</a:t>
                </a:r>
                <a:endParaRPr lang="en-US" sz="1100" b="0">
                  <a:latin typeface="Times New Roman" pitchFamily="18" charset="0"/>
                  <a:cs typeface="Times New Roman" pitchFamily="18" charset="0"/>
                </a:endParaRPr>
              </a:p>
            </c:rich>
          </c:tx>
        </c:title>
        <c:numFmt formatCode="General" sourceLinked="1"/>
        <c:tickLblPos val="nextTo"/>
        <c:txPr>
          <a:bodyPr/>
          <a:lstStyle/>
          <a:p>
            <a:pPr>
              <a:defRPr>
                <a:latin typeface="Times New Roman" pitchFamily="18" charset="0"/>
                <a:cs typeface="Times New Roman" pitchFamily="18" charset="0"/>
              </a:defRPr>
            </a:pPr>
            <a:endParaRPr lang="en-US"/>
          </a:p>
        </c:txPr>
        <c:crossAx val="117580160"/>
        <c:crosses val="autoZero"/>
        <c:crossBetween val="midCat"/>
      </c:valAx>
      <c:valAx>
        <c:axId val="117580160"/>
        <c:scaling>
          <c:orientation val="minMax"/>
        </c:scaling>
        <c:axPos val="l"/>
        <c:majorGridlines/>
        <c:title>
          <c:tx>
            <c:rich>
              <a:bodyPr rot="-5400000" vert="horz"/>
              <a:lstStyle/>
              <a:p>
                <a:pPr>
                  <a:defRPr/>
                </a:pPr>
                <a:r>
                  <a:rPr lang="en-US" sz="1100" b="0">
                    <a:latin typeface="Times New Roman" pitchFamily="18" charset="0"/>
                    <a:cs typeface="Times New Roman" pitchFamily="18" charset="0"/>
                  </a:rPr>
                  <a:t>ROA &amp; AQ</a:t>
                </a:r>
                <a:r>
                  <a:rPr lang="en-US" sz="1100" b="0" baseline="-25000">
                    <a:latin typeface="Times New Roman" pitchFamily="18" charset="0"/>
                    <a:cs typeface="Times New Roman" pitchFamily="18" charset="0"/>
                  </a:rPr>
                  <a:t>t+1</a:t>
                </a:r>
              </a:p>
            </c:rich>
          </c:tx>
        </c:title>
        <c:numFmt formatCode="0.00" sourceLinked="1"/>
        <c:tickLblPos val="nextTo"/>
        <c:txPr>
          <a:bodyPr/>
          <a:lstStyle/>
          <a:p>
            <a:pPr>
              <a:defRPr>
                <a:latin typeface="Times New Roman" pitchFamily="18" charset="0"/>
                <a:cs typeface="Times New Roman" pitchFamily="18" charset="0"/>
              </a:defRPr>
            </a:pPr>
            <a:endParaRPr lang="en-US"/>
          </a:p>
        </c:txPr>
        <c:crossAx val="117564160"/>
        <c:crosses val="autoZero"/>
        <c:crossBetween val="midCat"/>
      </c:valAx>
      <c:valAx>
        <c:axId val="117752192"/>
        <c:scaling>
          <c:orientation val="minMax"/>
        </c:scaling>
        <c:axPos val="r"/>
        <c:title>
          <c:tx>
            <c:rich>
              <a:bodyPr rot="-5400000" vert="horz"/>
              <a:lstStyle/>
              <a:p>
                <a:pPr>
                  <a:defRPr/>
                </a:pPr>
                <a:r>
                  <a:rPr lang="en-US" sz="1100" b="0">
                    <a:latin typeface="Times New Roman" pitchFamily="18" charset="0"/>
                    <a:cs typeface="Times New Roman" pitchFamily="18" charset="0"/>
                  </a:rPr>
                  <a:t>DIV</a:t>
                </a:r>
                <a:r>
                  <a:rPr lang="en-US" sz="1100" b="0" baseline="-25000">
                    <a:latin typeface="Times New Roman" pitchFamily="18" charset="0"/>
                    <a:cs typeface="Times New Roman" pitchFamily="18" charset="0"/>
                  </a:rPr>
                  <a:t>cr</a:t>
                </a:r>
              </a:p>
            </c:rich>
          </c:tx>
        </c:title>
        <c:numFmt formatCode="0.000" sourceLinked="1"/>
        <c:tickLblPos val="nextTo"/>
        <c:txPr>
          <a:bodyPr/>
          <a:lstStyle/>
          <a:p>
            <a:pPr>
              <a:defRPr>
                <a:latin typeface="Times New Roman" pitchFamily="18" charset="0"/>
                <a:cs typeface="Times New Roman" pitchFamily="18" charset="0"/>
              </a:defRPr>
            </a:pPr>
            <a:endParaRPr lang="en-US"/>
          </a:p>
        </c:txPr>
        <c:crossAx val="117858304"/>
        <c:crosses val="max"/>
        <c:crossBetween val="midCat"/>
      </c:valAx>
      <c:valAx>
        <c:axId val="117858304"/>
        <c:scaling>
          <c:orientation val="minMax"/>
        </c:scaling>
        <c:delete val="1"/>
        <c:axPos val="b"/>
        <c:numFmt formatCode="General" sourceLinked="1"/>
        <c:tickLblPos val="nextTo"/>
        <c:crossAx val="117752192"/>
        <c:crosses val="autoZero"/>
        <c:crossBetween val="midCat"/>
      </c:valAx>
    </c:plotArea>
    <c:legend>
      <c:legendPos val="r"/>
      <c:txPr>
        <a:bodyPr/>
        <a:lstStyle/>
        <a:p>
          <a:pPr>
            <a:defRPr>
              <a:latin typeface="Times New Roman" pitchFamily="18" charset="0"/>
              <a:cs typeface="Times New Roman" pitchFamily="18" charset="0"/>
            </a:defRPr>
          </a:pPr>
          <a:endParaRPr lang="en-US"/>
        </a:p>
      </c:txPr>
    </c:legend>
    <c:plotVisOnly val="1"/>
  </c:chart>
  <c:spPr>
    <a:ln w="3175">
      <a:solidFill>
        <a:schemeClr val="tx1"/>
      </a:solidFill>
      <a:prstDash val="dash"/>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1"/>
          <c:order val="1"/>
          <c:tx>
            <c:strRef>
              <c:f>RUN!$D$19</c:f>
              <c:strCache>
                <c:ptCount val="1"/>
                <c:pt idx="0">
                  <c:v>ROA (%)</c:v>
                </c:pt>
              </c:strCache>
            </c:strRef>
          </c:tx>
          <c:spPr>
            <a:ln w="19050"/>
          </c:spPr>
          <c:marker>
            <c:spPr>
              <a:ln w="19050"/>
            </c:spPr>
          </c:marker>
          <c:xVal>
            <c:numRef>
              <c:f>RUN!$B$20:$B$27</c:f>
              <c:numCache>
                <c:formatCode>General</c:formatCode>
                <c:ptCount val="8"/>
                <c:pt idx="0">
                  <c:v>2008</c:v>
                </c:pt>
                <c:pt idx="1">
                  <c:v>2009</c:v>
                </c:pt>
                <c:pt idx="2">
                  <c:v>2010</c:v>
                </c:pt>
                <c:pt idx="3">
                  <c:v>2011</c:v>
                </c:pt>
                <c:pt idx="4">
                  <c:v>2012</c:v>
                </c:pt>
                <c:pt idx="5">
                  <c:v>2013</c:v>
                </c:pt>
                <c:pt idx="6">
                  <c:v>2014</c:v>
                </c:pt>
                <c:pt idx="7">
                  <c:v>2015</c:v>
                </c:pt>
              </c:numCache>
            </c:numRef>
          </c:xVal>
          <c:yVal>
            <c:numRef>
              <c:f>RUN!$D$20:$D$27</c:f>
              <c:numCache>
                <c:formatCode>0.00</c:formatCode>
                <c:ptCount val="8"/>
                <c:pt idx="0">
                  <c:v>2.36</c:v>
                </c:pt>
                <c:pt idx="1">
                  <c:v>0.74000000000000232</c:v>
                </c:pt>
                <c:pt idx="2">
                  <c:v>1.9000000000000001</c:v>
                </c:pt>
                <c:pt idx="3">
                  <c:v>2.2000000000000002</c:v>
                </c:pt>
                <c:pt idx="4">
                  <c:v>2.2000000000000002</c:v>
                </c:pt>
                <c:pt idx="5">
                  <c:v>1.5</c:v>
                </c:pt>
                <c:pt idx="6">
                  <c:v>1.9000000000000001</c:v>
                </c:pt>
                <c:pt idx="7">
                  <c:v>2.7</c:v>
                </c:pt>
              </c:numCache>
            </c:numRef>
          </c:yVal>
        </c:ser>
        <c:ser>
          <c:idx val="2"/>
          <c:order val="2"/>
          <c:tx>
            <c:strRef>
              <c:f>RUN!$E$19</c:f>
              <c:strCache>
                <c:ptCount val="1"/>
                <c:pt idx="0">
                  <c:v>AQt+1</c:v>
                </c:pt>
              </c:strCache>
            </c:strRef>
          </c:tx>
          <c:spPr>
            <a:ln w="19050"/>
          </c:spPr>
          <c:marker>
            <c:spPr>
              <a:ln w="19050"/>
            </c:spPr>
          </c:marker>
          <c:xVal>
            <c:numRef>
              <c:f>RUN!$B$20:$B$27</c:f>
              <c:numCache>
                <c:formatCode>General</c:formatCode>
                <c:ptCount val="8"/>
                <c:pt idx="0">
                  <c:v>2008</c:v>
                </c:pt>
                <c:pt idx="1">
                  <c:v>2009</c:v>
                </c:pt>
                <c:pt idx="2">
                  <c:v>2010</c:v>
                </c:pt>
                <c:pt idx="3">
                  <c:v>2011</c:v>
                </c:pt>
                <c:pt idx="4">
                  <c:v>2012</c:v>
                </c:pt>
                <c:pt idx="5">
                  <c:v>2013</c:v>
                </c:pt>
                <c:pt idx="6">
                  <c:v>2014</c:v>
                </c:pt>
                <c:pt idx="7">
                  <c:v>2015</c:v>
                </c:pt>
              </c:numCache>
            </c:numRef>
          </c:xVal>
          <c:yVal>
            <c:numRef>
              <c:f>RUN!$E$20:$E$27</c:f>
              <c:numCache>
                <c:formatCode>0.00</c:formatCode>
                <c:ptCount val="8"/>
                <c:pt idx="0">
                  <c:v>13.1</c:v>
                </c:pt>
                <c:pt idx="1">
                  <c:v>11.3</c:v>
                </c:pt>
                <c:pt idx="2">
                  <c:v>8</c:v>
                </c:pt>
                <c:pt idx="3">
                  <c:v>6</c:v>
                </c:pt>
                <c:pt idx="4">
                  <c:v>6.9</c:v>
                </c:pt>
                <c:pt idx="5">
                  <c:v>6</c:v>
                </c:pt>
                <c:pt idx="6">
                  <c:v>6.2</c:v>
                </c:pt>
                <c:pt idx="7">
                  <c:v>7</c:v>
                </c:pt>
              </c:numCache>
            </c:numRef>
          </c:yVal>
        </c:ser>
        <c:axId val="134648192"/>
        <c:axId val="134651264"/>
      </c:scatterChart>
      <c:scatterChart>
        <c:scatterStyle val="lineMarker"/>
        <c:ser>
          <c:idx val="0"/>
          <c:order val="0"/>
          <c:tx>
            <c:strRef>
              <c:f>RUN!$C$19</c:f>
              <c:strCache>
                <c:ptCount val="1"/>
                <c:pt idx="0">
                  <c:v>DIVcr</c:v>
                </c:pt>
              </c:strCache>
            </c:strRef>
          </c:tx>
          <c:spPr>
            <a:ln w="19050">
              <a:solidFill>
                <a:schemeClr val="accent1"/>
              </a:solidFill>
            </a:ln>
          </c:spPr>
          <c:marker>
            <c:spPr>
              <a:ln w="19050">
                <a:solidFill>
                  <a:schemeClr val="accent1"/>
                </a:solidFill>
              </a:ln>
            </c:spPr>
          </c:marker>
          <c:xVal>
            <c:numRef>
              <c:f>RUN!$B$20:$B$27</c:f>
              <c:numCache>
                <c:formatCode>General</c:formatCode>
                <c:ptCount val="8"/>
                <c:pt idx="0">
                  <c:v>2008</c:v>
                </c:pt>
                <c:pt idx="1">
                  <c:v>2009</c:v>
                </c:pt>
                <c:pt idx="2">
                  <c:v>2010</c:v>
                </c:pt>
                <c:pt idx="3">
                  <c:v>2011</c:v>
                </c:pt>
                <c:pt idx="4">
                  <c:v>2012</c:v>
                </c:pt>
                <c:pt idx="5">
                  <c:v>2013</c:v>
                </c:pt>
                <c:pt idx="6">
                  <c:v>2014</c:v>
                </c:pt>
                <c:pt idx="7">
                  <c:v>2015</c:v>
                </c:pt>
              </c:numCache>
            </c:numRef>
          </c:xVal>
          <c:yVal>
            <c:numRef>
              <c:f>RUN!$C$20:$C$27</c:f>
              <c:numCache>
                <c:formatCode>0.000</c:formatCode>
                <c:ptCount val="8"/>
                <c:pt idx="0">
                  <c:v>0.73370000000000268</c:v>
                </c:pt>
                <c:pt idx="1">
                  <c:v>0.78400000000000003</c:v>
                </c:pt>
                <c:pt idx="2">
                  <c:v>0.75449999999999995</c:v>
                </c:pt>
                <c:pt idx="3">
                  <c:v>0.76210000000000233</c:v>
                </c:pt>
                <c:pt idx="4">
                  <c:v>0.73900000000000232</c:v>
                </c:pt>
                <c:pt idx="5">
                  <c:v>0.73870000000000291</c:v>
                </c:pt>
                <c:pt idx="6">
                  <c:v>0.75049999999999994</c:v>
                </c:pt>
                <c:pt idx="7">
                  <c:v>0.73320000000000063</c:v>
                </c:pt>
              </c:numCache>
            </c:numRef>
          </c:yVal>
        </c:ser>
        <c:axId val="64678912"/>
        <c:axId val="64676992"/>
      </c:scatterChart>
      <c:valAx>
        <c:axId val="134648192"/>
        <c:scaling>
          <c:orientation val="minMax"/>
        </c:scaling>
        <c:axPos val="b"/>
        <c:title>
          <c:tx>
            <c:rich>
              <a:bodyPr/>
              <a:lstStyle/>
              <a:p>
                <a:pPr>
                  <a:defRPr/>
                </a:pPr>
                <a:r>
                  <a:rPr lang="en-US" sz="1100" b="0">
                    <a:latin typeface="Times New Roman" pitchFamily="18" charset="0"/>
                    <a:cs typeface="Times New Roman" pitchFamily="18" charset="0"/>
                  </a:rPr>
                  <a:t>Yeat (t)</a:t>
                </a:r>
              </a:p>
            </c:rich>
          </c:tx>
        </c:title>
        <c:numFmt formatCode="General" sourceLinked="1"/>
        <c:tickLblPos val="nextTo"/>
        <c:txPr>
          <a:bodyPr/>
          <a:lstStyle/>
          <a:p>
            <a:pPr>
              <a:defRPr>
                <a:latin typeface="Times New Roman" pitchFamily="18" charset="0"/>
                <a:cs typeface="Times New Roman" pitchFamily="18" charset="0"/>
              </a:defRPr>
            </a:pPr>
            <a:endParaRPr lang="en-US"/>
          </a:p>
        </c:txPr>
        <c:crossAx val="134651264"/>
        <c:crosses val="autoZero"/>
        <c:crossBetween val="midCat"/>
      </c:valAx>
      <c:valAx>
        <c:axId val="134651264"/>
        <c:scaling>
          <c:orientation val="minMax"/>
        </c:scaling>
        <c:axPos val="l"/>
        <c:majorGridlines/>
        <c:title>
          <c:tx>
            <c:rich>
              <a:bodyPr rot="-5400000" vert="horz"/>
              <a:lstStyle/>
              <a:p>
                <a:pPr>
                  <a:defRPr/>
                </a:pPr>
                <a:r>
                  <a:rPr lang="en-US" sz="1100" b="0">
                    <a:latin typeface="Times New Roman" pitchFamily="18" charset="0"/>
                    <a:cs typeface="Times New Roman" pitchFamily="18" charset="0"/>
                  </a:rPr>
                  <a:t>ROA &amp; AQ</a:t>
                </a:r>
                <a:r>
                  <a:rPr lang="en-US" sz="1100" b="0" baseline="-25000">
                    <a:latin typeface="Times New Roman" pitchFamily="18" charset="0"/>
                    <a:cs typeface="Times New Roman" pitchFamily="18" charset="0"/>
                  </a:rPr>
                  <a:t>t+1</a:t>
                </a:r>
              </a:p>
            </c:rich>
          </c:tx>
        </c:title>
        <c:numFmt formatCode="0.00" sourceLinked="1"/>
        <c:tickLblPos val="nextTo"/>
        <c:txPr>
          <a:bodyPr/>
          <a:lstStyle/>
          <a:p>
            <a:pPr>
              <a:defRPr>
                <a:latin typeface="Times New Roman" pitchFamily="18" charset="0"/>
                <a:cs typeface="Times New Roman" pitchFamily="18" charset="0"/>
              </a:defRPr>
            </a:pPr>
            <a:endParaRPr lang="en-US"/>
          </a:p>
        </c:txPr>
        <c:crossAx val="134648192"/>
        <c:crosses val="autoZero"/>
        <c:crossBetween val="midCat"/>
      </c:valAx>
      <c:valAx>
        <c:axId val="64676992"/>
        <c:scaling>
          <c:orientation val="minMax"/>
        </c:scaling>
        <c:axPos val="r"/>
        <c:title>
          <c:tx>
            <c:rich>
              <a:bodyPr rot="-5400000" vert="horz"/>
              <a:lstStyle/>
              <a:p>
                <a:pPr>
                  <a:defRPr/>
                </a:pPr>
                <a:r>
                  <a:rPr lang="en-US" sz="1100" b="0">
                    <a:latin typeface="Times New Roman" pitchFamily="18" charset="0"/>
                    <a:cs typeface="Times New Roman" pitchFamily="18" charset="0"/>
                  </a:rPr>
                  <a:t>DIV</a:t>
                </a:r>
                <a:r>
                  <a:rPr lang="en-US" sz="1100" b="0" baseline="-25000">
                    <a:latin typeface="Times New Roman" pitchFamily="18" charset="0"/>
                    <a:cs typeface="Times New Roman" pitchFamily="18" charset="0"/>
                  </a:rPr>
                  <a:t>cr</a:t>
                </a:r>
              </a:p>
            </c:rich>
          </c:tx>
        </c:title>
        <c:numFmt formatCode="0.000" sourceLinked="1"/>
        <c:tickLblPos val="nextTo"/>
        <c:txPr>
          <a:bodyPr/>
          <a:lstStyle/>
          <a:p>
            <a:pPr>
              <a:defRPr>
                <a:latin typeface="Times New Roman" pitchFamily="18" charset="0"/>
                <a:cs typeface="Times New Roman" pitchFamily="18" charset="0"/>
              </a:defRPr>
            </a:pPr>
            <a:endParaRPr lang="en-US"/>
          </a:p>
        </c:txPr>
        <c:crossAx val="64678912"/>
        <c:crosses val="max"/>
        <c:crossBetween val="midCat"/>
      </c:valAx>
      <c:valAx>
        <c:axId val="64678912"/>
        <c:scaling>
          <c:orientation val="minMax"/>
        </c:scaling>
        <c:delete val="1"/>
        <c:axPos val="b"/>
        <c:numFmt formatCode="General" sourceLinked="1"/>
        <c:tickLblPos val="nextTo"/>
        <c:crossAx val="64676992"/>
        <c:crosses val="autoZero"/>
        <c:crossBetween val="midCat"/>
      </c:valAx>
      <c:spPr>
        <a:ln>
          <a:solidFill>
            <a:schemeClr val="tx1"/>
          </a:solidFill>
          <a:prstDash val="dashDot"/>
        </a:ln>
      </c:spPr>
    </c:plotArea>
    <c:legend>
      <c:legendPos val="r"/>
      <c:txPr>
        <a:bodyPr/>
        <a:lstStyle/>
        <a:p>
          <a:pPr>
            <a:defRPr>
              <a:latin typeface="Times New Roman" pitchFamily="18" charset="0"/>
              <a:cs typeface="Times New Roman" pitchFamily="18" charset="0"/>
            </a:defRPr>
          </a:pPr>
          <a:endParaRPr lang="en-US"/>
        </a:p>
      </c:txPr>
    </c:legend>
    <c:plotVisOnly val="1"/>
  </c:chart>
  <c:spPr>
    <a:ln w="3175">
      <a:solidFill>
        <a:srgbClr val="002060"/>
      </a:solidFill>
      <a:prstDash val="dash"/>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C6B1B-6F54-4C85-99A5-A4118288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TotalTime>
  <Pages>17</Pages>
  <Words>6615</Words>
  <Characters>37706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MWAU</dc:creator>
  <cp:lastModifiedBy>MWAU</cp:lastModifiedBy>
  <cp:revision>66</cp:revision>
  <dcterms:created xsi:type="dcterms:W3CDTF">2017-06-10T11:11:00Z</dcterms:created>
  <dcterms:modified xsi:type="dcterms:W3CDTF">2017-11-02T18:03:00Z</dcterms:modified>
</cp:coreProperties>
</file>