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047B" w14:textId="77777777" w:rsidR="00A12E23" w:rsidRPr="00266246" w:rsidRDefault="00A12E23" w:rsidP="00A12E23">
      <w:pPr>
        <w:spacing w:line="276" w:lineRule="auto"/>
        <w:ind w:firstLine="720"/>
        <w:jc w:val="center"/>
        <w:rPr>
          <w:b/>
          <w:bCs/>
          <w:color w:val="000000"/>
          <w:sz w:val="28"/>
          <w:szCs w:val="28"/>
        </w:rPr>
      </w:pPr>
      <w:bookmarkStart w:id="0" w:name="_Toc77341293"/>
      <w:r>
        <w:rPr>
          <w:b/>
          <w:bCs/>
          <w:color w:val="000000"/>
          <w:sz w:val="28"/>
          <w:szCs w:val="28"/>
        </w:rPr>
        <w:t>COVID-19 effects on</w:t>
      </w:r>
      <w:r w:rsidRPr="00266246">
        <w:rPr>
          <w:b/>
          <w:bCs/>
          <w:color w:val="000000"/>
          <w:sz w:val="28"/>
          <w:szCs w:val="28"/>
        </w:rPr>
        <w:t xml:space="preserve"> reward</w:t>
      </w:r>
      <w:r>
        <w:rPr>
          <w:b/>
          <w:bCs/>
          <w:color w:val="000000"/>
          <w:sz w:val="28"/>
          <w:szCs w:val="28"/>
        </w:rPr>
        <w:t xml:space="preserve">-based </w:t>
      </w:r>
      <w:r w:rsidRPr="00266246">
        <w:rPr>
          <w:b/>
          <w:bCs/>
          <w:color w:val="000000"/>
          <w:sz w:val="28"/>
          <w:szCs w:val="28"/>
        </w:rPr>
        <w:t>crowdfunding campaigns</w:t>
      </w:r>
    </w:p>
    <w:p w14:paraId="7BA5A1B7" w14:textId="77777777" w:rsidR="00266246" w:rsidRPr="00266246" w:rsidRDefault="00266246" w:rsidP="00266246">
      <w:pPr>
        <w:spacing w:line="276" w:lineRule="auto"/>
        <w:ind w:firstLine="720"/>
        <w:jc w:val="both"/>
        <w:rPr>
          <w:color w:val="000000"/>
        </w:rPr>
      </w:pPr>
    </w:p>
    <w:p w14:paraId="1C39EF75" w14:textId="77777777" w:rsidR="00266246" w:rsidRPr="00266246" w:rsidRDefault="00266246" w:rsidP="00266246">
      <w:pPr>
        <w:spacing w:line="276" w:lineRule="auto"/>
        <w:ind w:firstLine="720"/>
        <w:jc w:val="center"/>
        <w:rPr>
          <w:b/>
          <w:bCs/>
          <w:color w:val="000000"/>
        </w:rPr>
      </w:pPr>
      <w:r w:rsidRPr="00266246">
        <w:rPr>
          <w:b/>
          <w:bCs/>
          <w:color w:val="000000"/>
        </w:rPr>
        <w:t>Abstract</w:t>
      </w:r>
    </w:p>
    <w:p w14:paraId="75A41D5D" w14:textId="77777777" w:rsidR="00266246" w:rsidRPr="00266246" w:rsidRDefault="00266246" w:rsidP="00266246">
      <w:pPr>
        <w:spacing w:line="276" w:lineRule="auto"/>
        <w:ind w:firstLine="720"/>
        <w:jc w:val="both"/>
        <w:rPr>
          <w:color w:val="000000"/>
        </w:rPr>
      </w:pPr>
    </w:p>
    <w:p w14:paraId="3C0A3564" w14:textId="572C69CE" w:rsidR="00E74787" w:rsidRPr="00E74787" w:rsidRDefault="003B549C" w:rsidP="003B549C">
      <w:pPr>
        <w:spacing w:line="276" w:lineRule="auto"/>
        <w:jc w:val="both"/>
        <w:rPr>
          <w:color w:val="000000"/>
        </w:rPr>
      </w:pPr>
      <w:r w:rsidRPr="00E74787">
        <w:rPr>
          <w:color w:val="000000"/>
        </w:rPr>
        <w:t>T</w:t>
      </w:r>
      <w:r w:rsidR="00266246" w:rsidRPr="00E74787">
        <w:rPr>
          <w:color w:val="000000"/>
        </w:rPr>
        <w:t>his paper investigate</w:t>
      </w:r>
      <w:r w:rsidRPr="00E74787">
        <w:rPr>
          <w:color w:val="000000"/>
        </w:rPr>
        <w:t>s</w:t>
      </w:r>
      <w:r w:rsidR="00266246" w:rsidRPr="00E74787">
        <w:rPr>
          <w:color w:val="000000"/>
        </w:rPr>
        <w:t xml:space="preserve"> the </w:t>
      </w:r>
      <w:r w:rsidR="00E74787">
        <w:rPr>
          <w:color w:val="000000"/>
        </w:rPr>
        <w:t>effects of the COVID-19 pandemic on reward-based crowdfunding campaigns. Using data from the Kickstarter platform, I compare the number and success rates of the reward-based crowdfunding campaigns before and during the pandemic</w:t>
      </w:r>
      <w:r w:rsidR="004A6EF0">
        <w:rPr>
          <w:color w:val="000000"/>
        </w:rPr>
        <w:t>, for 16 different sectors</w:t>
      </w:r>
      <w:r w:rsidR="00E74787">
        <w:rPr>
          <w:color w:val="000000"/>
        </w:rPr>
        <w:t>. I find that the number of campaigns</w:t>
      </w:r>
      <w:r w:rsidR="004A6EF0">
        <w:rPr>
          <w:color w:val="000000"/>
        </w:rPr>
        <w:t xml:space="preserve"> generally reduced during the pandemic period, but their success rates increased. I also find that the success rate differences are statistically significant for 6 out of the 16 sectors, and that this difference is positive for all 6 sectors, showing a robust result of better performance in terms of success rates. </w:t>
      </w:r>
    </w:p>
    <w:p w14:paraId="32A4DCB7" w14:textId="79B422F5" w:rsidR="0045325B" w:rsidRDefault="0045325B" w:rsidP="00266246">
      <w:pPr>
        <w:spacing w:line="276" w:lineRule="auto"/>
        <w:ind w:firstLine="720"/>
        <w:jc w:val="both"/>
        <w:rPr>
          <w:color w:val="000000"/>
        </w:rPr>
      </w:pPr>
    </w:p>
    <w:p w14:paraId="0EADFFFA" w14:textId="77777777" w:rsidR="0045325B" w:rsidRPr="00266246" w:rsidRDefault="0045325B" w:rsidP="00266246">
      <w:pPr>
        <w:spacing w:line="276" w:lineRule="auto"/>
        <w:ind w:firstLine="720"/>
        <w:jc w:val="both"/>
        <w:rPr>
          <w:color w:val="000000"/>
        </w:rPr>
      </w:pPr>
    </w:p>
    <w:p w14:paraId="6FA564B5" w14:textId="35C0858F" w:rsidR="00CC3D48" w:rsidRDefault="00266246" w:rsidP="00CC3D48">
      <w:pPr>
        <w:spacing w:line="276" w:lineRule="auto"/>
        <w:jc w:val="both"/>
        <w:rPr>
          <w:color w:val="000000"/>
        </w:rPr>
      </w:pPr>
      <w:r w:rsidRPr="00266246">
        <w:rPr>
          <w:color w:val="000000"/>
        </w:rPr>
        <w:t xml:space="preserve">Keywords: </w:t>
      </w:r>
      <w:r w:rsidR="00CC3D48">
        <w:rPr>
          <w:color w:val="000000"/>
        </w:rPr>
        <w:t xml:space="preserve">reward-based crowdfunding, </w:t>
      </w:r>
      <w:r w:rsidR="004A6EF0">
        <w:rPr>
          <w:color w:val="000000"/>
        </w:rPr>
        <w:t xml:space="preserve">COVID-19, </w:t>
      </w:r>
      <w:r w:rsidR="00CC3D48">
        <w:rPr>
          <w:color w:val="000000"/>
        </w:rPr>
        <w:t>success factors</w:t>
      </w:r>
      <w:r w:rsidR="004A6EF0">
        <w:rPr>
          <w:color w:val="000000"/>
        </w:rPr>
        <w:t>.</w:t>
      </w:r>
    </w:p>
    <w:p w14:paraId="6759E13E" w14:textId="36E99262" w:rsidR="00266246" w:rsidRDefault="00266246" w:rsidP="00266246">
      <w:pPr>
        <w:spacing w:line="276" w:lineRule="auto"/>
        <w:ind w:firstLine="720"/>
        <w:jc w:val="both"/>
        <w:rPr>
          <w:color w:val="000000"/>
        </w:rPr>
      </w:pPr>
    </w:p>
    <w:p w14:paraId="39A1844E" w14:textId="045D81DA" w:rsidR="000504F3" w:rsidRDefault="000504F3" w:rsidP="00266246">
      <w:pPr>
        <w:spacing w:line="276" w:lineRule="auto"/>
        <w:ind w:firstLine="720"/>
        <w:jc w:val="both"/>
        <w:rPr>
          <w:color w:val="000000"/>
        </w:rPr>
      </w:pPr>
    </w:p>
    <w:p w14:paraId="7E22F5D0" w14:textId="77777777" w:rsidR="00266246" w:rsidRPr="00266246" w:rsidRDefault="00266246" w:rsidP="00266246">
      <w:pPr>
        <w:spacing w:line="276" w:lineRule="auto"/>
        <w:ind w:firstLine="720"/>
        <w:jc w:val="both"/>
        <w:rPr>
          <w:color w:val="000000"/>
        </w:rPr>
      </w:pPr>
    </w:p>
    <w:p w14:paraId="1E3D3B27" w14:textId="77777777" w:rsidR="00266246" w:rsidRPr="00266246" w:rsidRDefault="00266246" w:rsidP="003B549C">
      <w:pPr>
        <w:spacing w:line="360" w:lineRule="auto"/>
        <w:jc w:val="both"/>
        <w:rPr>
          <w:b/>
          <w:bCs/>
          <w:color w:val="000000"/>
          <w:sz w:val="28"/>
          <w:szCs w:val="28"/>
        </w:rPr>
      </w:pPr>
      <w:r w:rsidRPr="00266246">
        <w:rPr>
          <w:b/>
          <w:bCs/>
          <w:color w:val="000000"/>
          <w:sz w:val="28"/>
          <w:szCs w:val="28"/>
        </w:rPr>
        <w:t>1. Introduction</w:t>
      </w:r>
    </w:p>
    <w:p w14:paraId="5602A281" w14:textId="3E0676D9" w:rsidR="00A12E23" w:rsidRDefault="00A12E23" w:rsidP="003B549C">
      <w:pPr>
        <w:spacing w:line="360" w:lineRule="auto"/>
        <w:ind w:firstLine="284"/>
        <w:jc w:val="both"/>
        <w:rPr>
          <w:bCs/>
        </w:rPr>
      </w:pPr>
      <w:r>
        <w:rPr>
          <w:bCs/>
        </w:rPr>
        <w:t xml:space="preserve">The COVID-19 pandemic has had important and severe implications in the entire economic, financial and social systems, globally. </w:t>
      </w:r>
      <w:r w:rsidR="005878B8">
        <w:rPr>
          <w:bCs/>
        </w:rPr>
        <w:t>Academics and researchers have done substantial work at trying to analyze the effects of the pandemic phenomenon in a plethora of economic areas, such as in trade (Baldwin and Tomiura, 2020</w:t>
      </w:r>
      <w:r w:rsidR="007D7A06">
        <w:rPr>
          <w:bCs/>
        </w:rPr>
        <w:t>; Bas et al., 2023</w:t>
      </w:r>
      <w:r w:rsidR="005878B8">
        <w:rPr>
          <w:bCs/>
        </w:rPr>
        <w:t>), in monetary policy (</w:t>
      </w:r>
      <w:r w:rsidR="00C15CE9">
        <w:rPr>
          <w:bCs/>
        </w:rPr>
        <w:t xml:space="preserve">Bhar and Malliaris, 2021; </w:t>
      </w:r>
      <w:r w:rsidR="005878B8">
        <w:rPr>
          <w:bCs/>
        </w:rPr>
        <w:t>Cochrane, 2020) and of course in finance (</w:t>
      </w:r>
      <w:r w:rsidR="007D7A06" w:rsidRPr="007D7A06">
        <w:rPr>
          <w:bCs/>
        </w:rPr>
        <w:t xml:space="preserve">Akhtaruzzaman </w:t>
      </w:r>
      <w:r w:rsidR="007D7A06">
        <w:rPr>
          <w:bCs/>
        </w:rPr>
        <w:t xml:space="preserve">et al., 2021; </w:t>
      </w:r>
      <w:r w:rsidR="005878B8">
        <w:rPr>
          <w:bCs/>
        </w:rPr>
        <w:t>Beck; 2020, Mann, 2020</w:t>
      </w:r>
      <w:r w:rsidR="007D7A06">
        <w:rPr>
          <w:bCs/>
        </w:rPr>
        <w:t>; Zhang et al., 2020</w:t>
      </w:r>
      <w:r w:rsidR="005878B8">
        <w:rPr>
          <w:bCs/>
        </w:rPr>
        <w:t>)</w:t>
      </w:r>
      <w:r w:rsidR="005878B8" w:rsidRPr="005878B8">
        <w:rPr>
          <w:bCs/>
        </w:rPr>
        <w:t xml:space="preserve">. </w:t>
      </w:r>
      <w:r>
        <w:rPr>
          <w:bCs/>
        </w:rPr>
        <w:t>On 5 May</w:t>
      </w:r>
      <w:r w:rsidR="00E8373B">
        <w:rPr>
          <w:bCs/>
        </w:rPr>
        <w:t xml:space="preserve"> 2023</w:t>
      </w:r>
      <w:r>
        <w:rPr>
          <w:bCs/>
        </w:rPr>
        <w:t>, the World Health Organization officially declared the end of pandemic</w:t>
      </w:r>
      <w:r>
        <w:rPr>
          <w:rStyle w:val="FootnoteReference"/>
          <w:bCs/>
        </w:rPr>
        <w:footnoteReference w:id="1"/>
      </w:r>
      <w:r>
        <w:rPr>
          <w:bCs/>
        </w:rPr>
        <w:t xml:space="preserve">, so that academic and research communities can start looking at </w:t>
      </w:r>
      <w:r w:rsidR="005878B8">
        <w:rPr>
          <w:bCs/>
        </w:rPr>
        <w:t xml:space="preserve">the pandemic as a past event, </w:t>
      </w:r>
      <w:r>
        <w:rPr>
          <w:bCs/>
        </w:rPr>
        <w:t>to measure its implications in a series of social and economic fields.</w:t>
      </w:r>
    </w:p>
    <w:p w14:paraId="694771A8" w14:textId="57D05B10" w:rsidR="002E0950" w:rsidRDefault="005878B8" w:rsidP="003B549C">
      <w:pPr>
        <w:spacing w:line="360" w:lineRule="auto"/>
        <w:ind w:firstLine="284"/>
        <w:jc w:val="both"/>
        <w:rPr>
          <w:bCs/>
        </w:rPr>
      </w:pPr>
      <w:r>
        <w:rPr>
          <w:bCs/>
        </w:rPr>
        <w:t>One of the area</w:t>
      </w:r>
      <w:r w:rsidR="002E0950">
        <w:rPr>
          <w:bCs/>
        </w:rPr>
        <w:t>s</w:t>
      </w:r>
      <w:r>
        <w:rPr>
          <w:bCs/>
        </w:rPr>
        <w:t xml:space="preserve"> that is worth looking at what effects the pandemic brought upon, is the crowdfunding area, because it is supposed to be an alternative way of financing, that was mainly developed and flourished in the context of another crisis, mainly the global financial crisis of 2008 (</w:t>
      </w:r>
      <w:r w:rsidR="00620817">
        <w:rPr>
          <w:bCs/>
        </w:rPr>
        <w:t>Daskalakis and Karpouzis, 2021</w:t>
      </w:r>
      <w:r>
        <w:rPr>
          <w:bCs/>
        </w:rPr>
        <w:t>)</w:t>
      </w:r>
      <w:r w:rsidRPr="005878B8">
        <w:rPr>
          <w:bCs/>
        </w:rPr>
        <w:t xml:space="preserve">. </w:t>
      </w:r>
      <w:r w:rsidR="002E0950">
        <w:rPr>
          <w:bCs/>
        </w:rPr>
        <w:t xml:space="preserve">Therefore, it would be interesting to observe how the COVID-19 crisis affected the area of crowdfunding, given its past </w:t>
      </w:r>
      <w:r w:rsidR="00620817">
        <w:rPr>
          <w:bCs/>
        </w:rPr>
        <w:t>which shows that it flourishes</w:t>
      </w:r>
      <w:r w:rsidR="002E0950">
        <w:rPr>
          <w:bCs/>
        </w:rPr>
        <w:t xml:space="preserve"> during crises. Crowdfunding however is a vast area; it spreads from donation-based campaigns where ethical and social </w:t>
      </w:r>
      <w:r w:rsidR="002E0950">
        <w:rPr>
          <w:bCs/>
        </w:rPr>
        <w:lastRenderedPageBreak/>
        <w:t>considerations are the main drivers for funders</w:t>
      </w:r>
      <w:r w:rsidR="002E0950" w:rsidRPr="002E0950">
        <w:rPr>
          <w:bCs/>
        </w:rPr>
        <w:t xml:space="preserve">, </w:t>
      </w:r>
      <w:r w:rsidR="002E0950">
        <w:rPr>
          <w:bCs/>
        </w:rPr>
        <w:t xml:space="preserve">to reward-based projects where funders are mainly attracted by their interest and excitement to fund a project, and to equity- and lending-based crowdfunding where the notion of financial returns is central, but not unique (Daskalakis and Yue, 2018). </w:t>
      </w:r>
      <w:r w:rsidR="00613178">
        <w:rPr>
          <w:bCs/>
        </w:rPr>
        <w:t xml:space="preserve">Researchers have long realized that there are severe differences across these </w:t>
      </w:r>
      <w:r w:rsidR="006E00F5">
        <w:rPr>
          <w:bCs/>
        </w:rPr>
        <w:t>various types of crowdfunding, so that not universal study for all types would make sense.</w:t>
      </w:r>
    </w:p>
    <w:p w14:paraId="6F6DF982" w14:textId="1436A8B4" w:rsidR="003B549C" w:rsidRPr="00F00C3B" w:rsidRDefault="002E0950" w:rsidP="006E00F5">
      <w:pPr>
        <w:spacing w:line="360" w:lineRule="auto"/>
        <w:ind w:firstLine="284"/>
        <w:jc w:val="both"/>
      </w:pPr>
      <w:r>
        <w:rPr>
          <w:bCs/>
        </w:rPr>
        <w:t xml:space="preserve">In this paper, I focus on the effects of the pandemic crisis </w:t>
      </w:r>
      <w:r w:rsidR="00613178" w:rsidRPr="00613178">
        <w:rPr>
          <w:bCs/>
          <w:color w:val="00000A"/>
        </w:rPr>
        <w:t>on reward-based crowdfunding campaigns</w:t>
      </w:r>
      <w:r w:rsidR="006E00F5">
        <w:rPr>
          <w:bCs/>
        </w:rPr>
        <w:t xml:space="preserve">. Following </w:t>
      </w:r>
      <w:r w:rsidR="007A2CAB">
        <w:rPr>
          <w:bCs/>
        </w:rPr>
        <w:t xml:space="preserve">the rationale of </w:t>
      </w:r>
      <w:r w:rsidR="006E00F5">
        <w:rPr>
          <w:bCs/>
        </w:rPr>
        <w:t xml:space="preserve">Daskalakis et al. (2023), I </w:t>
      </w:r>
      <w:r w:rsidR="007A2CAB">
        <w:rPr>
          <w:bCs/>
        </w:rPr>
        <w:t>choose</w:t>
      </w:r>
      <w:r w:rsidR="006E00F5">
        <w:rPr>
          <w:bCs/>
        </w:rPr>
        <w:t xml:space="preserve"> this </w:t>
      </w:r>
      <w:r w:rsidR="00E8373B">
        <w:rPr>
          <w:bCs/>
        </w:rPr>
        <w:t>particular</w:t>
      </w:r>
      <w:r w:rsidR="006E00F5">
        <w:rPr>
          <w:bCs/>
        </w:rPr>
        <w:t xml:space="preserve"> type of crowdfunding </w:t>
      </w:r>
      <w:r w:rsidR="003B549C">
        <w:t xml:space="preserve">for the three following reasons: i) </w:t>
      </w:r>
      <w:r w:rsidR="003B549C" w:rsidRPr="00A97974">
        <w:t xml:space="preserve">this is the model that applies in a broader type of </w:t>
      </w:r>
      <w:r w:rsidR="0045325B">
        <w:t>entrepreneurial ventures</w:t>
      </w:r>
      <w:r w:rsidR="003B549C">
        <w:t>, ii)</w:t>
      </w:r>
      <w:r w:rsidR="003B549C" w:rsidRPr="00A97974">
        <w:t xml:space="preserve"> it is simple</w:t>
      </w:r>
      <w:r w:rsidR="003B549C">
        <w:t>st</w:t>
      </w:r>
      <w:r w:rsidR="003B549C" w:rsidRPr="00A97974">
        <w:t xml:space="preserve"> model to be used </w:t>
      </w:r>
      <w:r w:rsidR="003B549C">
        <w:t>as it</w:t>
      </w:r>
      <w:r w:rsidR="003B549C" w:rsidRPr="00A97974">
        <w:t xml:space="preserve"> does not impose complicated regulations</w:t>
      </w:r>
      <w:r w:rsidR="003B549C">
        <w:t>, and iii) it does not require any financial return to the backer, which makes it unique when compared with the traditional financing methods</w:t>
      </w:r>
      <w:r w:rsidR="003B549C" w:rsidRPr="00A97974">
        <w:t>.</w:t>
      </w:r>
      <w:r w:rsidR="003B549C">
        <w:t xml:space="preserve"> </w:t>
      </w:r>
      <w:r w:rsidR="007A2CAB">
        <w:rPr>
          <w:bCs/>
        </w:rPr>
        <w:t xml:space="preserve">To my knowledge, this is the first study to assess the effects of the pandemic crisis </w:t>
      </w:r>
      <w:r w:rsidR="007A2CAB" w:rsidRPr="00613178">
        <w:rPr>
          <w:bCs/>
          <w:color w:val="00000A"/>
        </w:rPr>
        <w:t>on reward-based crowdfunding campaigns</w:t>
      </w:r>
      <w:r w:rsidR="007A2CAB">
        <w:rPr>
          <w:bCs/>
        </w:rPr>
        <w:t xml:space="preserve">. I find that </w:t>
      </w:r>
      <w:r w:rsidR="00FC337F">
        <w:rPr>
          <w:bCs/>
        </w:rPr>
        <w:t xml:space="preserve">the pandemic has influenced </w:t>
      </w:r>
      <w:r w:rsidR="0025201A" w:rsidRPr="00613178">
        <w:rPr>
          <w:bCs/>
          <w:color w:val="00000A"/>
        </w:rPr>
        <w:t>reward-based crowdfunding campaigns</w:t>
      </w:r>
      <w:r w:rsidR="0025201A">
        <w:rPr>
          <w:bCs/>
          <w:color w:val="00000A"/>
        </w:rPr>
        <w:t>, decreasing their number but increasing their success rates.</w:t>
      </w:r>
      <w:r w:rsidR="007A2CAB">
        <w:rPr>
          <w:bCs/>
        </w:rPr>
        <w:t xml:space="preserve"> These are important findings that build our understanding of how a major global crisis affects entrepreneurial crowdfunding campaigns, so that we know what to expect in similar future events.</w:t>
      </w:r>
    </w:p>
    <w:p w14:paraId="3AF53954" w14:textId="551CDE95" w:rsidR="003B549C" w:rsidRDefault="003B549C" w:rsidP="003B549C">
      <w:pPr>
        <w:pStyle w:val="Default"/>
        <w:spacing w:line="360" w:lineRule="auto"/>
        <w:ind w:firstLine="360"/>
        <w:jc w:val="both"/>
        <w:rPr>
          <w:b/>
          <w:lang w:val="en-US"/>
        </w:rPr>
      </w:pPr>
      <w:r>
        <w:rPr>
          <w:bCs/>
        </w:rPr>
        <w:t xml:space="preserve">The </w:t>
      </w:r>
      <w:r w:rsidR="007A2CAB">
        <w:rPr>
          <w:bCs/>
        </w:rPr>
        <w:t>remainder of the</w:t>
      </w:r>
      <w:r>
        <w:rPr>
          <w:bCs/>
        </w:rPr>
        <w:t xml:space="preserve"> paper is </w:t>
      </w:r>
      <w:r w:rsidR="007347D4">
        <w:rPr>
          <w:bCs/>
        </w:rPr>
        <w:t>structured</w:t>
      </w:r>
      <w:r w:rsidR="007A2CAB">
        <w:rPr>
          <w:bCs/>
        </w:rPr>
        <w:t xml:space="preserve"> as follows</w:t>
      </w:r>
      <w:r>
        <w:rPr>
          <w:bCs/>
        </w:rPr>
        <w:t xml:space="preserve">. Section 2 </w:t>
      </w:r>
      <w:r w:rsidR="007A2CAB">
        <w:rPr>
          <w:bCs/>
        </w:rPr>
        <w:t>briefly describes reward-based crowdfunding as a financing tool and refers to the current literature of COVID-19 and crowdfunding</w:t>
      </w:r>
      <w:r w:rsidR="00656872">
        <w:rPr>
          <w:bCs/>
        </w:rPr>
        <w:t>.</w:t>
      </w:r>
      <w:r>
        <w:rPr>
          <w:bCs/>
        </w:rPr>
        <w:t xml:space="preserve"> </w:t>
      </w:r>
      <w:r w:rsidRPr="00D353C3">
        <w:rPr>
          <w:bCs/>
        </w:rPr>
        <w:t>Section 3 introduces</w:t>
      </w:r>
      <w:r>
        <w:rPr>
          <w:bCs/>
        </w:rPr>
        <w:t xml:space="preserve"> the methodology, the </w:t>
      </w:r>
      <w:r w:rsidRPr="00D353C3">
        <w:rPr>
          <w:bCs/>
        </w:rPr>
        <w:t xml:space="preserve">dataset, the variables </w:t>
      </w:r>
      <w:r>
        <w:rPr>
          <w:bCs/>
        </w:rPr>
        <w:t xml:space="preserve">and the </w:t>
      </w:r>
      <w:r w:rsidRPr="00D353C3">
        <w:rPr>
          <w:bCs/>
        </w:rPr>
        <w:t>research questions.</w:t>
      </w:r>
      <w:r>
        <w:rPr>
          <w:bCs/>
        </w:rPr>
        <w:t xml:space="preserve"> </w:t>
      </w:r>
      <w:r w:rsidRPr="00D353C3">
        <w:rPr>
          <w:bCs/>
        </w:rPr>
        <w:t xml:space="preserve">Section 4 </w:t>
      </w:r>
      <w:r w:rsidR="007A2CAB">
        <w:rPr>
          <w:bCs/>
        </w:rPr>
        <w:t>presents</w:t>
      </w:r>
      <w:r w:rsidRPr="00D353C3">
        <w:rPr>
          <w:bCs/>
        </w:rPr>
        <w:t xml:space="preserve"> the results</w:t>
      </w:r>
      <w:r w:rsidR="007A2CAB">
        <w:rPr>
          <w:bCs/>
        </w:rPr>
        <w:t xml:space="preserve"> and</w:t>
      </w:r>
      <w:r w:rsidRPr="00D353C3">
        <w:rPr>
          <w:bCs/>
        </w:rPr>
        <w:t xml:space="preserve"> </w:t>
      </w:r>
      <w:r>
        <w:rPr>
          <w:bCs/>
        </w:rPr>
        <w:t>Section 5</w:t>
      </w:r>
      <w:r w:rsidRPr="00D353C3">
        <w:rPr>
          <w:bCs/>
        </w:rPr>
        <w:t xml:space="preserve"> </w:t>
      </w:r>
      <w:r w:rsidR="007A2CAB">
        <w:rPr>
          <w:bCs/>
        </w:rPr>
        <w:t>co</w:t>
      </w:r>
      <w:r w:rsidR="00E8373B">
        <w:rPr>
          <w:bCs/>
        </w:rPr>
        <w:t>n</w:t>
      </w:r>
      <w:r w:rsidR="007A2CAB">
        <w:rPr>
          <w:bCs/>
        </w:rPr>
        <w:t>cludes the paper</w:t>
      </w:r>
      <w:r w:rsidRPr="00D353C3">
        <w:rPr>
          <w:bCs/>
        </w:rPr>
        <w:t>.</w:t>
      </w:r>
    </w:p>
    <w:p w14:paraId="5DF607F2" w14:textId="77777777" w:rsidR="00266246" w:rsidRPr="00266246" w:rsidRDefault="00266246" w:rsidP="003B549C">
      <w:pPr>
        <w:spacing w:line="360" w:lineRule="auto"/>
        <w:ind w:firstLine="720"/>
        <w:jc w:val="both"/>
        <w:rPr>
          <w:color w:val="000000"/>
        </w:rPr>
      </w:pPr>
    </w:p>
    <w:p w14:paraId="429BC6E0" w14:textId="110FFAF4" w:rsidR="00266246" w:rsidRPr="00266246" w:rsidRDefault="00266246" w:rsidP="003B549C">
      <w:pPr>
        <w:spacing w:line="360" w:lineRule="auto"/>
        <w:jc w:val="both"/>
        <w:rPr>
          <w:b/>
          <w:bCs/>
          <w:color w:val="000000"/>
          <w:sz w:val="28"/>
          <w:szCs w:val="28"/>
        </w:rPr>
      </w:pPr>
      <w:r w:rsidRPr="00266246">
        <w:rPr>
          <w:b/>
          <w:bCs/>
          <w:color w:val="000000"/>
          <w:sz w:val="28"/>
          <w:szCs w:val="28"/>
        </w:rPr>
        <w:t xml:space="preserve">2. Crowdfunding </w:t>
      </w:r>
      <w:r w:rsidR="007347D4">
        <w:rPr>
          <w:b/>
          <w:bCs/>
          <w:color w:val="000000"/>
          <w:sz w:val="28"/>
          <w:szCs w:val="28"/>
        </w:rPr>
        <w:t>and COVID-19</w:t>
      </w:r>
    </w:p>
    <w:p w14:paraId="4CB38389" w14:textId="70F19DB1" w:rsidR="00656872" w:rsidRDefault="00620817" w:rsidP="00656872">
      <w:pPr>
        <w:spacing w:line="360" w:lineRule="auto"/>
        <w:ind w:firstLine="360"/>
        <w:jc w:val="both"/>
      </w:pPr>
      <w:r>
        <w:t>Raising finance from the crowd is not a new idea.</w:t>
      </w:r>
      <w:r w:rsidR="00656872" w:rsidRPr="00311030">
        <w:t xml:space="preserve"> One </w:t>
      </w:r>
      <w:r>
        <w:t xml:space="preserve">of the most well-known crowdfunded projects was </w:t>
      </w:r>
      <w:r w:rsidR="00656872" w:rsidRPr="00311030">
        <w:t>the funding of the pedestal for the Statue of Liberty in New York.</w:t>
      </w:r>
      <w:r>
        <w:t xml:space="preserve"> T</w:t>
      </w:r>
      <w:r w:rsidR="00656872" w:rsidRPr="00311030">
        <w:t xml:space="preserve">he rapid rise of crowdfunding </w:t>
      </w:r>
      <w:r>
        <w:t xml:space="preserve">however took place </w:t>
      </w:r>
      <w:r w:rsidR="00656872">
        <w:t>in the aftermath of the financial crisis of 2008</w:t>
      </w:r>
      <w:r>
        <w:t xml:space="preserve">, mainly due </w:t>
      </w:r>
      <w:r w:rsidR="00656872" w:rsidRPr="00311030">
        <w:t xml:space="preserve">to </w:t>
      </w:r>
      <w:r>
        <w:t xml:space="preserve">the following </w:t>
      </w:r>
      <w:r w:rsidR="00656872" w:rsidRPr="00311030">
        <w:t xml:space="preserve">two main reasons: (a) the development and commercialisation of the Internet and (b) the </w:t>
      </w:r>
      <w:r w:rsidR="00656872">
        <w:t xml:space="preserve">acute funding shortage that the 2008 </w:t>
      </w:r>
      <w:r w:rsidR="00656872" w:rsidRPr="00311030">
        <w:t xml:space="preserve">financial crisis </w:t>
      </w:r>
      <w:r w:rsidR="00656872">
        <w:t>resulted in</w:t>
      </w:r>
      <w:r w:rsidR="00656872" w:rsidRPr="00311030">
        <w:t xml:space="preserve"> (Kirby and Worner, 2014). </w:t>
      </w:r>
      <w:r>
        <w:t>This</w:t>
      </w:r>
      <w:r w:rsidR="00656872" w:rsidRPr="00311030">
        <w:t xml:space="preserve"> </w:t>
      </w:r>
      <w:r>
        <w:t>second</w:t>
      </w:r>
      <w:r w:rsidR="00656872" w:rsidRPr="00311030">
        <w:t xml:space="preserve"> factor </w:t>
      </w:r>
      <w:r>
        <w:t>was the fuel that</w:t>
      </w:r>
      <w:r w:rsidR="00656872" w:rsidRPr="00311030">
        <w:t xml:space="preserve"> triggered enormous growth in this infant industry</w:t>
      </w:r>
      <w:r w:rsidR="00656872">
        <w:t xml:space="preserve"> in its early years</w:t>
      </w:r>
      <w:r w:rsidR="00656872" w:rsidRPr="00311030">
        <w:t>.</w:t>
      </w:r>
      <w:r w:rsidR="00656872">
        <w:t xml:space="preserve"> Crowdfunding expanded very quickly and very broadly during 2009-2015, and </w:t>
      </w:r>
      <w:r w:rsidR="00656872">
        <w:lastRenderedPageBreak/>
        <w:t xml:space="preserve">gradually took its place as an alternative tool of financing. </w:t>
      </w:r>
      <w:r w:rsidR="00656872" w:rsidRPr="00311030">
        <w:t xml:space="preserve">Wardrop et al. (2015) </w:t>
      </w:r>
      <w:r w:rsidR="00656872">
        <w:t xml:space="preserve">wrote back in 2015 that </w:t>
      </w:r>
      <w:r w:rsidR="00656872" w:rsidRPr="00311030">
        <w:t>access to finance remain</w:t>
      </w:r>
      <w:r w:rsidR="00656872">
        <w:t>ed</w:t>
      </w:r>
      <w:r w:rsidR="00656872" w:rsidRPr="00311030">
        <w:t xml:space="preserve"> one of the most pressing challenges facing European SMEs</w:t>
      </w:r>
      <w:r w:rsidR="00656872">
        <w:t xml:space="preserve">, </w:t>
      </w:r>
      <w:r w:rsidR="00656872" w:rsidRPr="00311030">
        <w:t xml:space="preserve">and crowdfunding </w:t>
      </w:r>
      <w:r w:rsidR="00656872">
        <w:t>was</w:t>
      </w:r>
      <w:r w:rsidR="00656872" w:rsidRPr="00311030">
        <w:t xml:space="preserve"> widely seen to play a complementary role to traditional finance</w:t>
      </w:r>
      <w:r w:rsidR="00656872">
        <w:t xml:space="preserve">. One year later, </w:t>
      </w:r>
      <w:r w:rsidR="00656872" w:rsidRPr="00311030">
        <w:t xml:space="preserve">Zhang et al. (2016) </w:t>
      </w:r>
      <w:r w:rsidR="00656872">
        <w:t xml:space="preserve">added that </w:t>
      </w:r>
      <w:r w:rsidR="00656872" w:rsidRPr="00311030">
        <w:t>“</w:t>
      </w:r>
      <w:r w:rsidR="00656872" w:rsidRPr="00311030">
        <w:rPr>
          <w:i/>
        </w:rPr>
        <w:t>2016 will be the year that so called ‘alternative Finance’ becomes mainstream</w:t>
      </w:r>
      <w:r w:rsidR="00656872" w:rsidRPr="00311030">
        <w:t>”</w:t>
      </w:r>
      <w:r w:rsidR="00656872">
        <w:t>.</w:t>
      </w:r>
    </w:p>
    <w:p w14:paraId="2341066A" w14:textId="77777777" w:rsidR="005C4D7B" w:rsidRDefault="00656872" w:rsidP="005C4D7B">
      <w:pPr>
        <w:spacing w:line="360" w:lineRule="auto"/>
        <w:ind w:firstLine="360"/>
        <w:jc w:val="both"/>
      </w:pPr>
      <w:r>
        <w:t xml:space="preserve">Crowdfunding therefore emerged and flourished </w:t>
      </w:r>
      <w:r w:rsidR="00E8373B">
        <w:t>in the aftermath of</w:t>
      </w:r>
      <w:r>
        <w:t xml:space="preserve"> a crisis, took its place as a financing alternative, and grew steadily until the COVID-19 pandemic stroke. It would </w:t>
      </w:r>
      <w:r w:rsidR="00E8373B">
        <w:t xml:space="preserve">thus </w:t>
      </w:r>
      <w:r>
        <w:t xml:space="preserve">be </w:t>
      </w:r>
      <w:r w:rsidR="00E8373B">
        <w:t>interesting to explore how it performed during another crisis, that may not have been financial in its origin, but did have tremendous financial consequences, namely the COVID-19 pandemic crisis. Bearing in mind that the pandemic officially ended on 5 May 2023, the academic community can now start looking at this area, as a past event; in this context, not a lot of papers have, to date, explored the effect of the pandemic crisis in crowdfunding</w:t>
      </w:r>
      <w:r w:rsidR="005C4D7B">
        <w:t xml:space="preserve">. </w:t>
      </w:r>
    </w:p>
    <w:p w14:paraId="3FE3E2C6" w14:textId="603BD563" w:rsidR="00656872" w:rsidRDefault="005C4D7B" w:rsidP="005C4D7B">
      <w:pPr>
        <w:spacing w:line="360" w:lineRule="auto"/>
        <w:ind w:firstLine="360"/>
        <w:jc w:val="both"/>
      </w:pPr>
      <w:r>
        <w:t>It is worth looking at these handful academic efforts, to explore the approaches researchers have taken when exploring the link between crowdfunding and the pandemic</w:t>
      </w:r>
      <w:r w:rsidR="00E8373B">
        <w:t xml:space="preserve">. </w:t>
      </w:r>
      <w:r>
        <w:t>For example, Igra et al. (2021) look at charitable crowdfunding, examining the COVID-19 related campaigns in the early months of the pandemic and assess how existing social and health inequities shaped crowdfunding use and outcomes. They mention that during the first seven months of the COVID-19 pandemic, more than 175,000 crowdfunding campaigns were established in the US for coronavirus-related needs (data from the GoFundMe platform). They show that crowdfunding provides substantially higher benefits in wealthier counties with higher levels of education, concluding that there are inequalities of how crowdfunding is used in periods of crisis.</w:t>
      </w:r>
      <w:r w:rsidR="002015A9">
        <w:t xml:space="preserve"> Farhoud et al. (2021) also approach the pandemic-crowdfunding link from a social perspective, exploring the challenges for social enterprise crowdfunding during the pandemic (data from the UpEffect platform). They concluded that the government support schemes effectively froze the economy</w:t>
      </w:r>
      <w:r w:rsidR="00991215">
        <w:t xml:space="preserve"> in the short-term, bringing negative effects on the social enterprise crowdfunding field, affecting the campaigns flows to platforms as well. </w:t>
      </w:r>
    </w:p>
    <w:p w14:paraId="4221BFCB" w14:textId="55F17213" w:rsidR="00991215" w:rsidRDefault="009E2C9F" w:rsidP="005C4D7B">
      <w:pPr>
        <w:spacing w:line="360" w:lineRule="auto"/>
        <w:ind w:firstLine="360"/>
        <w:jc w:val="both"/>
      </w:pPr>
      <w:r>
        <w:t xml:space="preserve">Focusing on the entrepreneurial crowdfunding area, Battaglia et al. (2022) </w:t>
      </w:r>
      <w:r w:rsidRPr="00991215">
        <w:t xml:space="preserve">investigate whether and to what extent the key drivers </w:t>
      </w:r>
      <w:r>
        <w:t xml:space="preserve">for equity crowdfunding </w:t>
      </w:r>
      <w:r w:rsidRPr="00991215">
        <w:t>backers to finance a specific project before COVID-19</w:t>
      </w:r>
      <w:r>
        <w:t>,</w:t>
      </w:r>
      <w:r w:rsidRPr="00991215">
        <w:t xml:space="preserve"> are the same </w:t>
      </w:r>
      <w:r>
        <w:t>during the pandemic</w:t>
      </w:r>
      <w:r w:rsidRPr="00991215">
        <w:t>, and which type of backers are more prone to finance via equity crowdfunding in the aftermath of the crisis.</w:t>
      </w:r>
      <w:r>
        <w:t xml:space="preserve"> They use a dataset of </w:t>
      </w:r>
      <w:r w:rsidRPr="00991215">
        <w:t xml:space="preserve">437 Italian equity </w:t>
      </w:r>
      <w:r w:rsidRPr="00991215">
        <w:lastRenderedPageBreak/>
        <w:t xml:space="preserve">crowdfunding campaigns over the period 2014–2020 and focus on a sub-sample of 79 projects posted on the websites </w:t>
      </w:r>
      <w:r>
        <w:t xml:space="preserve">during the pandemic. They find that </w:t>
      </w:r>
      <w:r w:rsidRPr="00991215">
        <w:t xml:space="preserve">the strength of the effect of </w:t>
      </w:r>
      <w:r>
        <w:t>their</w:t>
      </w:r>
      <w:r w:rsidRPr="00991215">
        <w:t xml:space="preserve"> key variables on the campaign’s success has changed during the COVID-19 crisis</w:t>
      </w:r>
      <w:r>
        <w:t xml:space="preserve"> and </w:t>
      </w:r>
      <w:r w:rsidRPr="00991215">
        <w:t>that backers are more prone to finance companies with a high level of R&amp;D expenditure and technological projects.</w:t>
      </w:r>
      <w:r>
        <w:t xml:space="preserve"> </w:t>
      </w:r>
    </w:p>
    <w:p w14:paraId="4D89BE4E" w14:textId="021DFABC" w:rsidR="003F60BD" w:rsidRPr="00E75B2A" w:rsidRDefault="003F60BD" w:rsidP="005C4D7B">
      <w:pPr>
        <w:spacing w:line="360" w:lineRule="auto"/>
        <w:ind w:firstLine="360"/>
        <w:jc w:val="both"/>
      </w:pPr>
      <w:r>
        <w:t xml:space="preserve">The above papers are, to my knowledge, the </w:t>
      </w:r>
      <w:r w:rsidR="00950551">
        <w:t>only ones</w:t>
      </w:r>
      <w:r>
        <w:t xml:space="preserve"> that link the COVID-19 pandemic and crowdfunding, exploring how the former influenced the latter. Here lies the contribution of this paper; namely to shed light on the effects of the pandemic to crowdfunding, focusing on the rewards-based crowdfunding area. </w:t>
      </w:r>
    </w:p>
    <w:p w14:paraId="6EEAF770" w14:textId="77777777" w:rsidR="00B1125A" w:rsidRPr="00B1125A" w:rsidRDefault="00B1125A" w:rsidP="00D3755C">
      <w:pPr>
        <w:spacing w:line="360" w:lineRule="auto"/>
        <w:rPr>
          <w:b/>
          <w:bCs/>
        </w:rPr>
      </w:pPr>
    </w:p>
    <w:p w14:paraId="47237C9F" w14:textId="72F8AF34" w:rsidR="00A617B3" w:rsidRPr="007347D4" w:rsidRDefault="00753522" w:rsidP="007347D4">
      <w:pPr>
        <w:spacing w:line="360" w:lineRule="auto"/>
        <w:jc w:val="both"/>
        <w:rPr>
          <w:b/>
          <w:bCs/>
          <w:color w:val="000000"/>
          <w:sz w:val="28"/>
          <w:szCs w:val="28"/>
        </w:rPr>
      </w:pPr>
      <w:r w:rsidRPr="007347D4">
        <w:rPr>
          <w:b/>
          <w:bCs/>
          <w:color w:val="000000"/>
          <w:sz w:val="28"/>
          <w:szCs w:val="28"/>
        </w:rPr>
        <w:t xml:space="preserve">3. </w:t>
      </w:r>
      <w:bookmarkEnd w:id="0"/>
      <w:r w:rsidR="007347D4" w:rsidRPr="007347D4">
        <w:rPr>
          <w:b/>
          <w:bCs/>
          <w:color w:val="000000"/>
          <w:sz w:val="28"/>
          <w:szCs w:val="28"/>
        </w:rPr>
        <w:t>Data</w:t>
      </w:r>
      <w:r w:rsidR="00D90E50">
        <w:rPr>
          <w:b/>
          <w:bCs/>
          <w:color w:val="000000"/>
          <w:sz w:val="28"/>
          <w:szCs w:val="28"/>
        </w:rPr>
        <w:t>, the Model and Results</w:t>
      </w:r>
    </w:p>
    <w:p w14:paraId="3770C032" w14:textId="440F2CC7" w:rsidR="00A617B3" w:rsidRPr="00753522" w:rsidRDefault="00753522" w:rsidP="00D3755C">
      <w:pPr>
        <w:spacing w:line="360" w:lineRule="auto"/>
        <w:rPr>
          <w:b/>
          <w:bCs/>
        </w:rPr>
      </w:pPr>
      <w:bookmarkStart w:id="2" w:name="_Toc77341294"/>
      <w:r w:rsidRPr="00753522">
        <w:rPr>
          <w:b/>
          <w:bCs/>
        </w:rPr>
        <w:t xml:space="preserve">3.1. </w:t>
      </w:r>
      <w:r w:rsidR="007347D4">
        <w:rPr>
          <w:b/>
          <w:bCs/>
        </w:rPr>
        <w:t xml:space="preserve">The </w:t>
      </w:r>
      <w:r w:rsidR="00A617B3" w:rsidRPr="00753522">
        <w:rPr>
          <w:b/>
          <w:bCs/>
        </w:rPr>
        <w:t>Dataset</w:t>
      </w:r>
      <w:bookmarkEnd w:id="2"/>
      <w:r w:rsidR="00A617B3" w:rsidRPr="00753522">
        <w:rPr>
          <w:b/>
          <w:bCs/>
        </w:rPr>
        <w:t xml:space="preserve"> </w:t>
      </w:r>
    </w:p>
    <w:p w14:paraId="0B2CB3B1" w14:textId="5C205DAD" w:rsidR="00DA44E3" w:rsidRPr="00753522" w:rsidRDefault="007A2CAB" w:rsidP="00732571">
      <w:pPr>
        <w:autoSpaceDE w:val="0"/>
        <w:autoSpaceDN w:val="0"/>
        <w:adjustRightInd w:val="0"/>
        <w:spacing w:line="360" w:lineRule="auto"/>
        <w:ind w:firstLine="720"/>
        <w:jc w:val="both"/>
        <w:rPr>
          <w:b/>
          <w:bCs/>
        </w:rPr>
      </w:pPr>
      <w:r>
        <w:t>The dataset used i</w:t>
      </w:r>
      <w:r w:rsidR="0087616C" w:rsidRPr="00B1125A">
        <w:t xml:space="preserve">n this paper </w:t>
      </w:r>
      <w:r>
        <w:t>comprises of</w:t>
      </w:r>
      <w:r w:rsidR="0087616C" w:rsidRPr="00B1125A">
        <w:t xml:space="preserve"> reward-based projects</w:t>
      </w:r>
      <w:r w:rsidR="00B234CF" w:rsidRPr="00B1125A">
        <w:t xml:space="preserve"> uploaded on </w:t>
      </w:r>
      <w:r>
        <w:t xml:space="preserve">the </w:t>
      </w:r>
      <w:r w:rsidR="00B234CF" w:rsidRPr="00B1125A">
        <w:t>Kickstarter</w:t>
      </w:r>
      <w:r>
        <w:t xml:space="preserve"> platform, one of the most famous reward-based crowdfunding platforms worldwide. </w:t>
      </w:r>
      <w:r w:rsidRPr="00B1125A">
        <w:t xml:space="preserve">Several studies have </w:t>
      </w:r>
      <w:r>
        <w:t xml:space="preserve">already </w:t>
      </w:r>
      <w:r w:rsidRPr="00B1125A">
        <w:t xml:space="preserve">used data from Kickstarter </w:t>
      </w:r>
      <w:r>
        <w:t xml:space="preserve">(e.g., </w:t>
      </w:r>
      <w:r w:rsidRPr="001339A3">
        <w:t>Agrawal, et al.</w:t>
      </w:r>
      <w:r w:rsidR="00950551">
        <w:t xml:space="preserve">, </w:t>
      </w:r>
      <w:r w:rsidRPr="001339A3">
        <w:t>2011</w:t>
      </w:r>
      <w:r>
        <w:t>;</w:t>
      </w:r>
      <w:r w:rsidRPr="00B1125A">
        <w:t xml:space="preserve"> Mollick</w:t>
      </w:r>
      <w:r w:rsidR="00950551">
        <w:t xml:space="preserve">, </w:t>
      </w:r>
      <w:r w:rsidRPr="00B1125A">
        <w:t>2014)</w:t>
      </w:r>
      <w:r>
        <w:t xml:space="preserve">, </w:t>
      </w:r>
      <w:r w:rsidR="00D54AB7">
        <w:t>while</w:t>
      </w:r>
      <w:r>
        <w:t xml:space="preserve"> </w:t>
      </w:r>
      <w:r w:rsidR="00B234CF" w:rsidRPr="00B1125A">
        <w:t xml:space="preserve">projects on </w:t>
      </w:r>
      <w:r>
        <w:t>this</w:t>
      </w:r>
      <w:r w:rsidR="00B234CF" w:rsidRPr="00B1125A">
        <w:t xml:space="preserve"> platform tend to </w:t>
      </w:r>
      <w:r w:rsidR="00FF0F0F">
        <w:t>show</w:t>
      </w:r>
      <w:r w:rsidR="00B234CF" w:rsidRPr="00B1125A">
        <w:t xml:space="preserve"> the best outcomes (Cox</w:t>
      </w:r>
      <w:r w:rsidR="007F1429">
        <w:t xml:space="preserve"> and</w:t>
      </w:r>
      <w:r w:rsidR="00B234CF" w:rsidRPr="00B1125A">
        <w:t xml:space="preserve"> Nguyen, 2017). </w:t>
      </w:r>
      <w:r w:rsidR="00A617B3" w:rsidRPr="00B1125A">
        <w:t xml:space="preserve">In </w:t>
      </w:r>
      <w:r w:rsidR="00D54AB7">
        <w:t>this</w:t>
      </w:r>
      <w:r w:rsidR="00A617B3" w:rsidRPr="00B1125A">
        <w:t xml:space="preserve"> study </w:t>
      </w:r>
      <w:r w:rsidR="00D54AB7">
        <w:t>I</w:t>
      </w:r>
      <w:r w:rsidR="00A617B3" w:rsidRPr="00B1125A">
        <w:t xml:space="preserve"> </w:t>
      </w:r>
      <w:r w:rsidR="0090234B" w:rsidRPr="00B1125A">
        <w:t>use publicly available data from</w:t>
      </w:r>
      <w:r w:rsidR="00A617B3" w:rsidRPr="00B1125A">
        <w:t xml:space="preserve"> Kickstarter</w:t>
      </w:r>
      <w:sdt>
        <w:sdtPr>
          <w:id w:val="-295608889"/>
          <w:citation/>
        </w:sdtPr>
        <w:sdtContent>
          <w:r w:rsidR="00A617B3" w:rsidRPr="00B1125A">
            <w:fldChar w:fldCharType="begin"/>
          </w:r>
          <w:r w:rsidR="00A617B3" w:rsidRPr="00B1125A">
            <w:instrText xml:space="preserve"> CITATION Web21 \l 1033 </w:instrText>
          </w:r>
          <w:r w:rsidR="00A617B3" w:rsidRPr="00B1125A">
            <w:fldChar w:fldCharType="separate"/>
          </w:r>
          <w:r w:rsidR="00A617B3" w:rsidRPr="00B1125A">
            <w:t xml:space="preserve"> (WebRobots, 2021)</w:t>
          </w:r>
          <w:r w:rsidR="00A617B3" w:rsidRPr="00B1125A">
            <w:fldChar w:fldCharType="end"/>
          </w:r>
        </w:sdtContent>
      </w:sdt>
      <w:r w:rsidR="00D54AB7">
        <w:t xml:space="preserve"> from December 2018 to March 2021; this period is evenly split between the following two </w:t>
      </w:r>
      <w:r w:rsidR="001646A0">
        <w:t xml:space="preserve">14-months </w:t>
      </w:r>
      <w:r w:rsidR="00D54AB7">
        <w:t>periods: pre-COVID</w:t>
      </w:r>
      <w:r w:rsidR="001646A0">
        <w:t xml:space="preserve"> December 2018 to January 2020, and during-COVID February 2020 to March 2021; this implies that the cut-off date is at 31 January 2020, which is the date when Centers for Disease Control and Prevention (CDC) of United States announced as the first day of quarantine</w:t>
      </w:r>
      <w:r w:rsidR="001646A0">
        <w:rPr>
          <w:rStyle w:val="FootnoteReference"/>
        </w:rPr>
        <w:footnoteReference w:id="2"/>
      </w:r>
      <w:r w:rsidR="001646A0">
        <w:t xml:space="preserve">. The final full sample consists of 53,528 campaigns, 28,308 of which are pre-covid, while the remaining 25,220 are during-covid. </w:t>
      </w:r>
    </w:p>
    <w:p w14:paraId="72BACE28" w14:textId="228C3037" w:rsidR="00D134EE" w:rsidRPr="001646A0" w:rsidRDefault="00DA44E3" w:rsidP="00DA44E3">
      <w:pPr>
        <w:autoSpaceDE w:val="0"/>
        <w:autoSpaceDN w:val="0"/>
        <w:adjustRightInd w:val="0"/>
        <w:spacing w:line="360" w:lineRule="auto"/>
        <w:ind w:firstLine="720"/>
        <w:jc w:val="both"/>
      </w:pPr>
      <w:r>
        <w:t xml:space="preserve">Table 1 shows the full sample descriptives of pre- and during- covid campaigns per category (industry). </w:t>
      </w:r>
      <w:r w:rsidR="00D134EE">
        <w:t>Looking at the relative allocation of the campaigns before and during the pandemic we can observe that the categories/sectors that showed an increase in their percentage during the covid period were the following: comics, design, games, publishing, technology and other, out of which the conics and games sector showed a significant increase. This finding can be considered as an expected outcome of the crisis, since the outputs of these particular two sectors can easily be put in a pandemic context where movement restrictions were introduced.</w:t>
      </w:r>
    </w:p>
    <w:p w14:paraId="0863FD41" w14:textId="77777777" w:rsidR="00D54AB7" w:rsidRDefault="00D54AB7" w:rsidP="00C82777">
      <w:pPr>
        <w:autoSpaceDE w:val="0"/>
        <w:autoSpaceDN w:val="0"/>
        <w:adjustRightInd w:val="0"/>
        <w:spacing w:line="360" w:lineRule="auto"/>
        <w:ind w:firstLine="720"/>
        <w:jc w:val="both"/>
      </w:pPr>
    </w:p>
    <w:p w14:paraId="7E31104A" w14:textId="13D03060" w:rsidR="00365AC0" w:rsidRPr="00365AC0" w:rsidRDefault="00365AC0" w:rsidP="00365AC0">
      <w:pPr>
        <w:autoSpaceDE w:val="0"/>
        <w:autoSpaceDN w:val="0"/>
        <w:adjustRightInd w:val="0"/>
        <w:spacing w:line="360" w:lineRule="auto"/>
        <w:ind w:firstLine="720"/>
        <w:jc w:val="center"/>
      </w:pPr>
      <w:r w:rsidRPr="001646A0">
        <w:rPr>
          <w:color w:val="000000"/>
          <w:sz w:val="22"/>
          <w:szCs w:val="22"/>
        </w:rPr>
        <w:t>Table 1: Full sample</w:t>
      </w:r>
      <w:r>
        <w:rPr>
          <w:color w:val="000000"/>
          <w:sz w:val="22"/>
          <w:szCs w:val="22"/>
        </w:rPr>
        <w:t xml:space="preserve"> descriptives</w:t>
      </w:r>
    </w:p>
    <w:tbl>
      <w:tblPr>
        <w:tblW w:w="5000" w:type="pct"/>
        <w:tblLook w:val="04A0" w:firstRow="1" w:lastRow="0" w:firstColumn="1" w:lastColumn="0" w:noHBand="0" w:noVBand="1"/>
      </w:tblPr>
      <w:tblGrid>
        <w:gridCol w:w="2028"/>
        <w:gridCol w:w="326"/>
        <w:gridCol w:w="1377"/>
        <w:gridCol w:w="1544"/>
        <w:gridCol w:w="326"/>
        <w:gridCol w:w="1377"/>
        <w:gridCol w:w="1544"/>
      </w:tblGrid>
      <w:tr w:rsidR="00D54AB7" w:rsidRPr="001646A0" w14:paraId="59D90E8A" w14:textId="77777777" w:rsidTr="00B3190C">
        <w:trPr>
          <w:trHeight w:val="300"/>
        </w:trPr>
        <w:tc>
          <w:tcPr>
            <w:tcW w:w="1190" w:type="pct"/>
            <w:tcBorders>
              <w:top w:val="nil"/>
              <w:left w:val="nil"/>
              <w:bottom w:val="nil"/>
              <w:right w:val="nil"/>
            </w:tcBorders>
            <w:shd w:val="clear" w:color="auto" w:fill="auto"/>
            <w:noWrap/>
            <w:vAlign w:val="center"/>
            <w:hideMark/>
          </w:tcPr>
          <w:p w14:paraId="1529395F" w14:textId="77777777" w:rsidR="00D54AB7" w:rsidRPr="001646A0" w:rsidRDefault="00D54AB7" w:rsidP="00B3190C">
            <w:pPr>
              <w:jc w:val="center"/>
              <w:rPr>
                <w:color w:val="000000"/>
              </w:rPr>
            </w:pPr>
          </w:p>
        </w:tc>
        <w:tc>
          <w:tcPr>
            <w:tcW w:w="191" w:type="pct"/>
            <w:tcBorders>
              <w:top w:val="nil"/>
              <w:left w:val="nil"/>
              <w:bottom w:val="nil"/>
              <w:right w:val="nil"/>
            </w:tcBorders>
            <w:shd w:val="clear" w:color="auto" w:fill="auto"/>
            <w:noWrap/>
            <w:vAlign w:val="center"/>
            <w:hideMark/>
          </w:tcPr>
          <w:p w14:paraId="698ABD69" w14:textId="77777777" w:rsidR="00D54AB7" w:rsidRPr="001646A0" w:rsidRDefault="00D54AB7" w:rsidP="00B3190C">
            <w:pPr>
              <w:jc w:val="center"/>
            </w:pPr>
          </w:p>
        </w:tc>
        <w:tc>
          <w:tcPr>
            <w:tcW w:w="1714" w:type="pct"/>
            <w:gridSpan w:val="2"/>
            <w:tcBorders>
              <w:top w:val="double" w:sz="6" w:space="0" w:color="auto"/>
              <w:left w:val="nil"/>
              <w:bottom w:val="nil"/>
              <w:right w:val="nil"/>
            </w:tcBorders>
            <w:shd w:val="clear" w:color="auto" w:fill="auto"/>
            <w:noWrap/>
            <w:vAlign w:val="center"/>
            <w:hideMark/>
          </w:tcPr>
          <w:p w14:paraId="0A91656D" w14:textId="77777777" w:rsidR="00D54AB7" w:rsidRPr="001646A0" w:rsidRDefault="00D54AB7" w:rsidP="00B3190C">
            <w:pPr>
              <w:jc w:val="center"/>
              <w:rPr>
                <w:color w:val="000000"/>
              </w:rPr>
            </w:pPr>
            <w:r w:rsidRPr="001646A0">
              <w:rPr>
                <w:color w:val="000000"/>
                <w:sz w:val="22"/>
                <w:szCs w:val="22"/>
              </w:rPr>
              <w:t>Pre-Covid</w:t>
            </w:r>
          </w:p>
        </w:tc>
        <w:tc>
          <w:tcPr>
            <w:tcW w:w="191" w:type="pct"/>
            <w:tcBorders>
              <w:top w:val="nil"/>
              <w:left w:val="nil"/>
              <w:bottom w:val="nil"/>
              <w:right w:val="nil"/>
            </w:tcBorders>
            <w:shd w:val="clear" w:color="auto" w:fill="auto"/>
            <w:noWrap/>
            <w:vAlign w:val="bottom"/>
            <w:hideMark/>
          </w:tcPr>
          <w:p w14:paraId="06ECB8E1" w14:textId="77777777" w:rsidR="00D54AB7" w:rsidRPr="001646A0" w:rsidRDefault="00D54AB7" w:rsidP="00B3190C">
            <w:pPr>
              <w:jc w:val="center"/>
              <w:rPr>
                <w:color w:val="000000"/>
              </w:rPr>
            </w:pPr>
          </w:p>
        </w:tc>
        <w:tc>
          <w:tcPr>
            <w:tcW w:w="1714" w:type="pct"/>
            <w:gridSpan w:val="2"/>
            <w:tcBorders>
              <w:top w:val="double" w:sz="6" w:space="0" w:color="auto"/>
              <w:left w:val="nil"/>
              <w:bottom w:val="nil"/>
              <w:right w:val="nil"/>
            </w:tcBorders>
            <w:shd w:val="clear" w:color="auto" w:fill="auto"/>
            <w:noWrap/>
            <w:vAlign w:val="bottom"/>
            <w:hideMark/>
          </w:tcPr>
          <w:p w14:paraId="427D3EA5" w14:textId="77777777" w:rsidR="00D54AB7" w:rsidRPr="001646A0" w:rsidRDefault="00D54AB7" w:rsidP="00B3190C">
            <w:pPr>
              <w:jc w:val="center"/>
              <w:rPr>
                <w:color w:val="000000"/>
              </w:rPr>
            </w:pPr>
            <w:r w:rsidRPr="001646A0">
              <w:rPr>
                <w:color w:val="000000"/>
                <w:sz w:val="22"/>
                <w:szCs w:val="22"/>
              </w:rPr>
              <w:t>Covid</w:t>
            </w:r>
          </w:p>
        </w:tc>
      </w:tr>
      <w:tr w:rsidR="00D54AB7" w:rsidRPr="001646A0" w14:paraId="4DD45870" w14:textId="77777777" w:rsidTr="00B3190C">
        <w:trPr>
          <w:trHeight w:val="288"/>
        </w:trPr>
        <w:tc>
          <w:tcPr>
            <w:tcW w:w="1190" w:type="pct"/>
            <w:tcBorders>
              <w:top w:val="nil"/>
              <w:left w:val="nil"/>
              <w:bottom w:val="single" w:sz="4" w:space="0" w:color="auto"/>
              <w:right w:val="nil"/>
            </w:tcBorders>
            <w:shd w:val="clear" w:color="auto" w:fill="auto"/>
            <w:noWrap/>
            <w:vAlign w:val="center"/>
            <w:hideMark/>
          </w:tcPr>
          <w:p w14:paraId="770FB2B9" w14:textId="77777777" w:rsidR="00D54AB7" w:rsidRPr="001646A0" w:rsidRDefault="00D54AB7" w:rsidP="00B3190C">
            <w:pPr>
              <w:jc w:val="center"/>
              <w:rPr>
                <w:color w:val="000000"/>
              </w:rPr>
            </w:pPr>
            <w:r w:rsidRPr="001646A0">
              <w:rPr>
                <w:color w:val="000000"/>
                <w:sz w:val="22"/>
                <w:szCs w:val="22"/>
              </w:rPr>
              <w:t>Category</w:t>
            </w:r>
          </w:p>
        </w:tc>
        <w:tc>
          <w:tcPr>
            <w:tcW w:w="191" w:type="pct"/>
            <w:tcBorders>
              <w:top w:val="nil"/>
              <w:left w:val="nil"/>
              <w:bottom w:val="nil"/>
              <w:right w:val="nil"/>
            </w:tcBorders>
            <w:shd w:val="clear" w:color="auto" w:fill="auto"/>
            <w:noWrap/>
            <w:vAlign w:val="center"/>
            <w:hideMark/>
          </w:tcPr>
          <w:p w14:paraId="3048674F" w14:textId="77777777" w:rsidR="00D54AB7" w:rsidRPr="001646A0" w:rsidRDefault="00D54AB7" w:rsidP="00B3190C">
            <w:pPr>
              <w:jc w:val="center"/>
              <w:rPr>
                <w:color w:val="000000"/>
              </w:rPr>
            </w:pPr>
          </w:p>
        </w:tc>
        <w:tc>
          <w:tcPr>
            <w:tcW w:w="808" w:type="pct"/>
            <w:tcBorders>
              <w:top w:val="nil"/>
              <w:left w:val="nil"/>
              <w:bottom w:val="single" w:sz="4" w:space="0" w:color="auto"/>
              <w:right w:val="nil"/>
            </w:tcBorders>
            <w:shd w:val="clear" w:color="auto" w:fill="auto"/>
            <w:noWrap/>
            <w:vAlign w:val="center"/>
            <w:hideMark/>
          </w:tcPr>
          <w:p w14:paraId="64AFFE2A" w14:textId="77777777" w:rsidR="00D54AB7" w:rsidRPr="001646A0" w:rsidRDefault="00D54AB7" w:rsidP="00B3190C">
            <w:pPr>
              <w:jc w:val="center"/>
              <w:rPr>
                <w:color w:val="000000"/>
              </w:rPr>
            </w:pPr>
            <w:r w:rsidRPr="001646A0">
              <w:rPr>
                <w:color w:val="000000"/>
                <w:sz w:val="22"/>
                <w:szCs w:val="22"/>
              </w:rPr>
              <w:t>Freq.</w:t>
            </w:r>
          </w:p>
        </w:tc>
        <w:tc>
          <w:tcPr>
            <w:tcW w:w="906" w:type="pct"/>
            <w:tcBorders>
              <w:top w:val="nil"/>
              <w:left w:val="nil"/>
              <w:bottom w:val="single" w:sz="4" w:space="0" w:color="auto"/>
              <w:right w:val="nil"/>
            </w:tcBorders>
            <w:shd w:val="clear" w:color="auto" w:fill="auto"/>
            <w:noWrap/>
            <w:vAlign w:val="center"/>
            <w:hideMark/>
          </w:tcPr>
          <w:p w14:paraId="4EB68180" w14:textId="77777777" w:rsidR="00D54AB7" w:rsidRPr="001646A0" w:rsidRDefault="00D54AB7" w:rsidP="00B3190C">
            <w:pPr>
              <w:jc w:val="center"/>
              <w:rPr>
                <w:color w:val="000000"/>
              </w:rPr>
            </w:pPr>
            <w:r w:rsidRPr="001646A0">
              <w:rPr>
                <w:color w:val="000000"/>
                <w:sz w:val="22"/>
                <w:szCs w:val="22"/>
              </w:rPr>
              <w:t>Percent</w:t>
            </w:r>
          </w:p>
        </w:tc>
        <w:tc>
          <w:tcPr>
            <w:tcW w:w="191" w:type="pct"/>
            <w:tcBorders>
              <w:top w:val="nil"/>
              <w:left w:val="nil"/>
              <w:bottom w:val="nil"/>
              <w:right w:val="nil"/>
            </w:tcBorders>
            <w:shd w:val="clear" w:color="auto" w:fill="auto"/>
            <w:noWrap/>
            <w:vAlign w:val="bottom"/>
            <w:hideMark/>
          </w:tcPr>
          <w:p w14:paraId="4A92E916" w14:textId="77777777" w:rsidR="00D54AB7" w:rsidRPr="001646A0" w:rsidRDefault="00D54AB7" w:rsidP="00B3190C">
            <w:pPr>
              <w:jc w:val="center"/>
              <w:rPr>
                <w:color w:val="000000"/>
              </w:rPr>
            </w:pPr>
          </w:p>
        </w:tc>
        <w:tc>
          <w:tcPr>
            <w:tcW w:w="808" w:type="pct"/>
            <w:tcBorders>
              <w:top w:val="nil"/>
              <w:left w:val="nil"/>
              <w:bottom w:val="single" w:sz="4" w:space="0" w:color="auto"/>
              <w:right w:val="nil"/>
            </w:tcBorders>
            <w:shd w:val="clear" w:color="auto" w:fill="auto"/>
            <w:noWrap/>
            <w:vAlign w:val="center"/>
            <w:hideMark/>
          </w:tcPr>
          <w:p w14:paraId="0104C5D1" w14:textId="77777777" w:rsidR="00D54AB7" w:rsidRPr="001646A0" w:rsidRDefault="00D54AB7" w:rsidP="00B3190C">
            <w:pPr>
              <w:jc w:val="center"/>
              <w:rPr>
                <w:color w:val="000000"/>
              </w:rPr>
            </w:pPr>
            <w:r w:rsidRPr="001646A0">
              <w:rPr>
                <w:color w:val="000000"/>
                <w:sz w:val="22"/>
                <w:szCs w:val="22"/>
              </w:rPr>
              <w:t>Freq.</w:t>
            </w:r>
          </w:p>
        </w:tc>
        <w:tc>
          <w:tcPr>
            <w:tcW w:w="906" w:type="pct"/>
            <w:tcBorders>
              <w:top w:val="nil"/>
              <w:left w:val="nil"/>
              <w:bottom w:val="single" w:sz="4" w:space="0" w:color="auto"/>
              <w:right w:val="nil"/>
            </w:tcBorders>
            <w:shd w:val="clear" w:color="auto" w:fill="auto"/>
            <w:noWrap/>
            <w:vAlign w:val="center"/>
            <w:hideMark/>
          </w:tcPr>
          <w:p w14:paraId="2F2587B8" w14:textId="77777777" w:rsidR="00D54AB7" w:rsidRPr="001646A0" w:rsidRDefault="00D54AB7" w:rsidP="00B3190C">
            <w:pPr>
              <w:jc w:val="center"/>
              <w:rPr>
                <w:color w:val="000000"/>
              </w:rPr>
            </w:pPr>
            <w:r w:rsidRPr="001646A0">
              <w:rPr>
                <w:color w:val="000000"/>
                <w:sz w:val="22"/>
                <w:szCs w:val="22"/>
              </w:rPr>
              <w:t>Percent</w:t>
            </w:r>
          </w:p>
        </w:tc>
      </w:tr>
      <w:tr w:rsidR="00D54AB7" w:rsidRPr="001646A0" w14:paraId="4CA5AC67" w14:textId="77777777" w:rsidTr="00B3190C">
        <w:trPr>
          <w:trHeight w:val="288"/>
        </w:trPr>
        <w:tc>
          <w:tcPr>
            <w:tcW w:w="1190" w:type="pct"/>
            <w:tcBorders>
              <w:top w:val="nil"/>
              <w:left w:val="nil"/>
              <w:bottom w:val="nil"/>
              <w:right w:val="nil"/>
            </w:tcBorders>
            <w:shd w:val="clear" w:color="auto" w:fill="auto"/>
            <w:noWrap/>
            <w:vAlign w:val="bottom"/>
            <w:hideMark/>
          </w:tcPr>
          <w:p w14:paraId="6651A7AD" w14:textId="77777777" w:rsidR="00D54AB7" w:rsidRPr="001646A0" w:rsidRDefault="00D54AB7" w:rsidP="00B3190C">
            <w:pPr>
              <w:rPr>
                <w:color w:val="000000"/>
              </w:rPr>
            </w:pPr>
            <w:r w:rsidRPr="001646A0">
              <w:rPr>
                <w:color w:val="000000"/>
                <w:sz w:val="22"/>
                <w:szCs w:val="22"/>
              </w:rPr>
              <w:t>Art</w:t>
            </w:r>
          </w:p>
        </w:tc>
        <w:tc>
          <w:tcPr>
            <w:tcW w:w="191" w:type="pct"/>
            <w:tcBorders>
              <w:top w:val="nil"/>
              <w:left w:val="nil"/>
              <w:bottom w:val="nil"/>
              <w:right w:val="nil"/>
            </w:tcBorders>
            <w:shd w:val="clear" w:color="auto" w:fill="auto"/>
            <w:noWrap/>
            <w:vAlign w:val="bottom"/>
            <w:hideMark/>
          </w:tcPr>
          <w:p w14:paraId="659A780E" w14:textId="77777777" w:rsidR="00D54AB7" w:rsidRPr="001646A0" w:rsidRDefault="00D54AB7" w:rsidP="00B3190C">
            <w:pPr>
              <w:rPr>
                <w:color w:val="000000"/>
              </w:rPr>
            </w:pPr>
          </w:p>
        </w:tc>
        <w:tc>
          <w:tcPr>
            <w:tcW w:w="808" w:type="pct"/>
            <w:tcBorders>
              <w:top w:val="nil"/>
              <w:left w:val="nil"/>
              <w:bottom w:val="nil"/>
              <w:right w:val="nil"/>
            </w:tcBorders>
            <w:shd w:val="clear" w:color="auto" w:fill="auto"/>
            <w:noWrap/>
            <w:vAlign w:val="center"/>
            <w:hideMark/>
          </w:tcPr>
          <w:p w14:paraId="71FC939D" w14:textId="5923F6CB" w:rsidR="00D54AB7" w:rsidRPr="001646A0" w:rsidRDefault="00D54AB7" w:rsidP="00B3190C">
            <w:pPr>
              <w:jc w:val="center"/>
              <w:rPr>
                <w:color w:val="000000"/>
              </w:rPr>
            </w:pPr>
            <w:r w:rsidRPr="001646A0">
              <w:rPr>
                <w:color w:val="000000"/>
                <w:sz w:val="22"/>
                <w:szCs w:val="22"/>
              </w:rPr>
              <w:t>2</w:t>
            </w:r>
            <w:r w:rsidR="00746DDB">
              <w:rPr>
                <w:color w:val="000000"/>
                <w:sz w:val="22"/>
                <w:szCs w:val="22"/>
              </w:rPr>
              <w:t>,</w:t>
            </w:r>
            <w:r w:rsidRPr="001646A0">
              <w:rPr>
                <w:color w:val="000000"/>
                <w:sz w:val="22"/>
                <w:szCs w:val="22"/>
              </w:rPr>
              <w:t>359</w:t>
            </w:r>
          </w:p>
        </w:tc>
        <w:tc>
          <w:tcPr>
            <w:tcW w:w="906" w:type="pct"/>
            <w:tcBorders>
              <w:top w:val="nil"/>
              <w:left w:val="nil"/>
              <w:bottom w:val="nil"/>
              <w:right w:val="nil"/>
            </w:tcBorders>
            <w:shd w:val="clear" w:color="auto" w:fill="auto"/>
            <w:noWrap/>
            <w:vAlign w:val="center"/>
            <w:hideMark/>
          </w:tcPr>
          <w:p w14:paraId="01B7E8C6" w14:textId="06DC4263" w:rsidR="00D54AB7" w:rsidRPr="001646A0" w:rsidRDefault="00D54AB7" w:rsidP="00B3190C">
            <w:pPr>
              <w:jc w:val="center"/>
              <w:rPr>
                <w:color w:val="000000"/>
              </w:rPr>
            </w:pPr>
            <w:r w:rsidRPr="001646A0">
              <w:rPr>
                <w:color w:val="000000"/>
                <w:sz w:val="22"/>
                <w:szCs w:val="22"/>
              </w:rPr>
              <w:t>8</w:t>
            </w:r>
            <w:r w:rsidR="00746DDB">
              <w:rPr>
                <w:color w:val="000000"/>
                <w:sz w:val="22"/>
                <w:szCs w:val="22"/>
              </w:rPr>
              <w:t>.</w:t>
            </w:r>
            <w:r w:rsidRPr="001646A0">
              <w:rPr>
                <w:color w:val="000000"/>
                <w:sz w:val="22"/>
                <w:szCs w:val="22"/>
              </w:rPr>
              <w:t>33%</w:t>
            </w:r>
          </w:p>
        </w:tc>
        <w:tc>
          <w:tcPr>
            <w:tcW w:w="191" w:type="pct"/>
            <w:tcBorders>
              <w:top w:val="nil"/>
              <w:left w:val="nil"/>
              <w:bottom w:val="nil"/>
              <w:right w:val="nil"/>
            </w:tcBorders>
            <w:shd w:val="clear" w:color="auto" w:fill="auto"/>
            <w:noWrap/>
            <w:vAlign w:val="bottom"/>
            <w:hideMark/>
          </w:tcPr>
          <w:p w14:paraId="0769956D" w14:textId="77777777" w:rsidR="00D54AB7" w:rsidRPr="001646A0" w:rsidRDefault="00D54AB7" w:rsidP="00B3190C">
            <w:pPr>
              <w:jc w:val="center"/>
              <w:rPr>
                <w:color w:val="000000"/>
              </w:rPr>
            </w:pPr>
          </w:p>
        </w:tc>
        <w:tc>
          <w:tcPr>
            <w:tcW w:w="808" w:type="pct"/>
            <w:tcBorders>
              <w:top w:val="nil"/>
              <w:left w:val="nil"/>
              <w:bottom w:val="nil"/>
              <w:right w:val="nil"/>
            </w:tcBorders>
            <w:shd w:val="clear" w:color="auto" w:fill="auto"/>
            <w:noWrap/>
            <w:vAlign w:val="center"/>
            <w:hideMark/>
          </w:tcPr>
          <w:p w14:paraId="7896317E" w14:textId="0E155BC8" w:rsidR="00D54AB7" w:rsidRPr="001646A0" w:rsidRDefault="00D54AB7" w:rsidP="00B3190C">
            <w:pPr>
              <w:jc w:val="center"/>
              <w:rPr>
                <w:color w:val="000000"/>
              </w:rPr>
            </w:pPr>
            <w:r w:rsidRPr="001646A0">
              <w:rPr>
                <w:color w:val="000000"/>
                <w:sz w:val="22"/>
                <w:szCs w:val="22"/>
              </w:rPr>
              <w:t>2</w:t>
            </w:r>
            <w:r w:rsidR="00746DDB">
              <w:rPr>
                <w:color w:val="000000"/>
                <w:sz w:val="22"/>
                <w:szCs w:val="22"/>
              </w:rPr>
              <w:t>,</w:t>
            </w:r>
            <w:r w:rsidRPr="001646A0">
              <w:rPr>
                <w:color w:val="000000"/>
                <w:sz w:val="22"/>
                <w:szCs w:val="22"/>
              </w:rPr>
              <w:t>048</w:t>
            </w:r>
          </w:p>
        </w:tc>
        <w:tc>
          <w:tcPr>
            <w:tcW w:w="906" w:type="pct"/>
            <w:tcBorders>
              <w:top w:val="nil"/>
              <w:left w:val="nil"/>
              <w:bottom w:val="nil"/>
              <w:right w:val="nil"/>
            </w:tcBorders>
            <w:shd w:val="clear" w:color="auto" w:fill="auto"/>
            <w:noWrap/>
            <w:vAlign w:val="center"/>
            <w:hideMark/>
          </w:tcPr>
          <w:p w14:paraId="34F596C4" w14:textId="7E938501" w:rsidR="00D54AB7" w:rsidRPr="001646A0" w:rsidRDefault="00D54AB7" w:rsidP="00B3190C">
            <w:pPr>
              <w:jc w:val="center"/>
              <w:rPr>
                <w:color w:val="000000"/>
              </w:rPr>
            </w:pPr>
            <w:r w:rsidRPr="001646A0">
              <w:rPr>
                <w:color w:val="000000"/>
                <w:sz w:val="22"/>
                <w:szCs w:val="22"/>
              </w:rPr>
              <w:t>8</w:t>
            </w:r>
            <w:r w:rsidR="00746DDB">
              <w:rPr>
                <w:color w:val="000000"/>
                <w:sz w:val="22"/>
                <w:szCs w:val="22"/>
              </w:rPr>
              <w:t>.</w:t>
            </w:r>
            <w:r w:rsidRPr="001646A0">
              <w:rPr>
                <w:color w:val="000000"/>
                <w:sz w:val="22"/>
                <w:szCs w:val="22"/>
              </w:rPr>
              <w:t>12%</w:t>
            </w:r>
          </w:p>
        </w:tc>
      </w:tr>
      <w:tr w:rsidR="00D54AB7" w:rsidRPr="001646A0" w14:paraId="764161C9" w14:textId="77777777" w:rsidTr="00B3190C">
        <w:trPr>
          <w:trHeight w:val="288"/>
        </w:trPr>
        <w:tc>
          <w:tcPr>
            <w:tcW w:w="1190" w:type="pct"/>
            <w:tcBorders>
              <w:top w:val="nil"/>
              <w:left w:val="nil"/>
              <w:bottom w:val="nil"/>
              <w:right w:val="nil"/>
            </w:tcBorders>
            <w:shd w:val="clear" w:color="auto" w:fill="auto"/>
            <w:noWrap/>
            <w:vAlign w:val="bottom"/>
            <w:hideMark/>
          </w:tcPr>
          <w:p w14:paraId="0AD3C509" w14:textId="77777777" w:rsidR="00D54AB7" w:rsidRPr="001646A0" w:rsidRDefault="00D54AB7" w:rsidP="00B3190C">
            <w:pPr>
              <w:rPr>
                <w:color w:val="000000"/>
              </w:rPr>
            </w:pPr>
            <w:r w:rsidRPr="001646A0">
              <w:rPr>
                <w:color w:val="000000"/>
                <w:sz w:val="22"/>
                <w:szCs w:val="22"/>
              </w:rPr>
              <w:t>Comics</w:t>
            </w:r>
          </w:p>
        </w:tc>
        <w:tc>
          <w:tcPr>
            <w:tcW w:w="191" w:type="pct"/>
            <w:tcBorders>
              <w:top w:val="nil"/>
              <w:left w:val="nil"/>
              <w:bottom w:val="nil"/>
              <w:right w:val="nil"/>
            </w:tcBorders>
            <w:shd w:val="clear" w:color="auto" w:fill="auto"/>
            <w:noWrap/>
            <w:vAlign w:val="bottom"/>
            <w:hideMark/>
          </w:tcPr>
          <w:p w14:paraId="793AA709" w14:textId="77777777" w:rsidR="00D54AB7" w:rsidRPr="001646A0" w:rsidRDefault="00D54AB7" w:rsidP="00B3190C">
            <w:pPr>
              <w:rPr>
                <w:color w:val="000000"/>
              </w:rPr>
            </w:pPr>
          </w:p>
        </w:tc>
        <w:tc>
          <w:tcPr>
            <w:tcW w:w="808" w:type="pct"/>
            <w:tcBorders>
              <w:top w:val="nil"/>
              <w:left w:val="nil"/>
              <w:bottom w:val="nil"/>
              <w:right w:val="nil"/>
            </w:tcBorders>
            <w:shd w:val="clear" w:color="auto" w:fill="auto"/>
            <w:noWrap/>
            <w:vAlign w:val="center"/>
            <w:hideMark/>
          </w:tcPr>
          <w:p w14:paraId="5A26EA05" w14:textId="79A306C8" w:rsidR="00D54AB7" w:rsidRPr="001646A0" w:rsidRDefault="00D54AB7" w:rsidP="00B3190C">
            <w:pPr>
              <w:jc w:val="center"/>
              <w:rPr>
                <w:color w:val="000000"/>
              </w:rPr>
            </w:pPr>
            <w:r w:rsidRPr="001646A0">
              <w:rPr>
                <w:color w:val="000000"/>
                <w:sz w:val="22"/>
                <w:szCs w:val="22"/>
              </w:rPr>
              <w:t>1</w:t>
            </w:r>
            <w:r w:rsidR="00746DDB">
              <w:rPr>
                <w:color w:val="000000"/>
                <w:sz w:val="22"/>
                <w:szCs w:val="22"/>
              </w:rPr>
              <w:t>,</w:t>
            </w:r>
            <w:r w:rsidRPr="001646A0">
              <w:rPr>
                <w:color w:val="000000"/>
                <w:sz w:val="22"/>
                <w:szCs w:val="22"/>
              </w:rPr>
              <w:t>684</w:t>
            </w:r>
          </w:p>
        </w:tc>
        <w:tc>
          <w:tcPr>
            <w:tcW w:w="906" w:type="pct"/>
            <w:tcBorders>
              <w:top w:val="nil"/>
              <w:left w:val="nil"/>
              <w:bottom w:val="nil"/>
              <w:right w:val="nil"/>
            </w:tcBorders>
            <w:shd w:val="clear" w:color="auto" w:fill="auto"/>
            <w:noWrap/>
            <w:vAlign w:val="center"/>
            <w:hideMark/>
          </w:tcPr>
          <w:p w14:paraId="21ECB56F" w14:textId="4AD8D84C" w:rsidR="00D54AB7" w:rsidRPr="001646A0" w:rsidRDefault="00D54AB7" w:rsidP="00B3190C">
            <w:pPr>
              <w:jc w:val="center"/>
              <w:rPr>
                <w:color w:val="000000"/>
              </w:rPr>
            </w:pPr>
            <w:r w:rsidRPr="001646A0">
              <w:rPr>
                <w:color w:val="000000"/>
                <w:sz w:val="22"/>
                <w:szCs w:val="22"/>
              </w:rPr>
              <w:t>5</w:t>
            </w:r>
            <w:r w:rsidR="00746DDB">
              <w:rPr>
                <w:color w:val="000000"/>
                <w:sz w:val="22"/>
                <w:szCs w:val="22"/>
              </w:rPr>
              <w:t>.</w:t>
            </w:r>
            <w:r w:rsidRPr="001646A0">
              <w:rPr>
                <w:color w:val="000000"/>
                <w:sz w:val="22"/>
                <w:szCs w:val="22"/>
              </w:rPr>
              <w:t>95%</w:t>
            </w:r>
          </w:p>
        </w:tc>
        <w:tc>
          <w:tcPr>
            <w:tcW w:w="191" w:type="pct"/>
            <w:tcBorders>
              <w:top w:val="nil"/>
              <w:left w:val="nil"/>
              <w:bottom w:val="nil"/>
              <w:right w:val="nil"/>
            </w:tcBorders>
            <w:shd w:val="clear" w:color="auto" w:fill="auto"/>
            <w:noWrap/>
            <w:vAlign w:val="bottom"/>
            <w:hideMark/>
          </w:tcPr>
          <w:p w14:paraId="10F92138" w14:textId="77777777" w:rsidR="00D54AB7" w:rsidRPr="001646A0" w:rsidRDefault="00D54AB7" w:rsidP="00B3190C">
            <w:pPr>
              <w:jc w:val="center"/>
              <w:rPr>
                <w:color w:val="000000"/>
              </w:rPr>
            </w:pPr>
          </w:p>
        </w:tc>
        <w:tc>
          <w:tcPr>
            <w:tcW w:w="808" w:type="pct"/>
            <w:tcBorders>
              <w:top w:val="nil"/>
              <w:left w:val="nil"/>
              <w:bottom w:val="nil"/>
              <w:right w:val="nil"/>
            </w:tcBorders>
            <w:shd w:val="clear" w:color="auto" w:fill="auto"/>
            <w:noWrap/>
            <w:vAlign w:val="center"/>
            <w:hideMark/>
          </w:tcPr>
          <w:p w14:paraId="407C162B" w14:textId="054D6D34" w:rsidR="00D54AB7" w:rsidRPr="001646A0" w:rsidRDefault="00D54AB7" w:rsidP="00B3190C">
            <w:pPr>
              <w:jc w:val="center"/>
              <w:rPr>
                <w:color w:val="000000"/>
              </w:rPr>
            </w:pPr>
            <w:r w:rsidRPr="001646A0">
              <w:rPr>
                <w:color w:val="000000"/>
                <w:sz w:val="22"/>
                <w:szCs w:val="22"/>
              </w:rPr>
              <w:t>1</w:t>
            </w:r>
            <w:r w:rsidR="00746DDB">
              <w:rPr>
                <w:color w:val="000000"/>
                <w:sz w:val="22"/>
                <w:szCs w:val="22"/>
              </w:rPr>
              <w:t>,</w:t>
            </w:r>
            <w:r w:rsidRPr="001646A0">
              <w:rPr>
                <w:color w:val="000000"/>
                <w:sz w:val="22"/>
                <w:szCs w:val="22"/>
              </w:rPr>
              <w:t>769</w:t>
            </w:r>
          </w:p>
        </w:tc>
        <w:tc>
          <w:tcPr>
            <w:tcW w:w="906" w:type="pct"/>
            <w:tcBorders>
              <w:top w:val="nil"/>
              <w:left w:val="nil"/>
              <w:bottom w:val="nil"/>
              <w:right w:val="nil"/>
            </w:tcBorders>
            <w:shd w:val="clear" w:color="auto" w:fill="auto"/>
            <w:noWrap/>
            <w:vAlign w:val="center"/>
            <w:hideMark/>
          </w:tcPr>
          <w:p w14:paraId="736B4BA1" w14:textId="66390286" w:rsidR="00D54AB7" w:rsidRPr="001646A0" w:rsidRDefault="00D54AB7" w:rsidP="00B3190C">
            <w:pPr>
              <w:jc w:val="center"/>
              <w:rPr>
                <w:color w:val="000000"/>
              </w:rPr>
            </w:pPr>
            <w:r w:rsidRPr="001646A0">
              <w:rPr>
                <w:color w:val="000000"/>
                <w:sz w:val="22"/>
                <w:szCs w:val="22"/>
              </w:rPr>
              <w:t>7</w:t>
            </w:r>
            <w:r w:rsidR="00746DDB">
              <w:rPr>
                <w:color w:val="000000"/>
                <w:sz w:val="22"/>
                <w:szCs w:val="22"/>
              </w:rPr>
              <w:t>.</w:t>
            </w:r>
            <w:r w:rsidRPr="001646A0">
              <w:rPr>
                <w:color w:val="000000"/>
                <w:sz w:val="22"/>
                <w:szCs w:val="22"/>
              </w:rPr>
              <w:t>01%</w:t>
            </w:r>
          </w:p>
        </w:tc>
      </w:tr>
      <w:tr w:rsidR="00D54AB7" w:rsidRPr="001646A0" w14:paraId="19BBDA29" w14:textId="77777777" w:rsidTr="00B3190C">
        <w:trPr>
          <w:trHeight w:val="288"/>
        </w:trPr>
        <w:tc>
          <w:tcPr>
            <w:tcW w:w="1190" w:type="pct"/>
            <w:tcBorders>
              <w:top w:val="nil"/>
              <w:left w:val="nil"/>
              <w:bottom w:val="nil"/>
              <w:right w:val="nil"/>
            </w:tcBorders>
            <w:shd w:val="clear" w:color="auto" w:fill="auto"/>
            <w:noWrap/>
            <w:vAlign w:val="bottom"/>
            <w:hideMark/>
          </w:tcPr>
          <w:p w14:paraId="4551576D" w14:textId="77777777" w:rsidR="00D54AB7" w:rsidRPr="001646A0" w:rsidRDefault="00D54AB7" w:rsidP="00B3190C">
            <w:pPr>
              <w:rPr>
                <w:color w:val="000000"/>
              </w:rPr>
            </w:pPr>
            <w:r w:rsidRPr="001646A0">
              <w:rPr>
                <w:color w:val="000000"/>
                <w:sz w:val="22"/>
                <w:szCs w:val="22"/>
              </w:rPr>
              <w:t>Crafts</w:t>
            </w:r>
          </w:p>
        </w:tc>
        <w:tc>
          <w:tcPr>
            <w:tcW w:w="191" w:type="pct"/>
            <w:tcBorders>
              <w:top w:val="nil"/>
              <w:left w:val="nil"/>
              <w:bottom w:val="nil"/>
              <w:right w:val="nil"/>
            </w:tcBorders>
            <w:shd w:val="clear" w:color="auto" w:fill="auto"/>
            <w:noWrap/>
            <w:vAlign w:val="bottom"/>
            <w:hideMark/>
          </w:tcPr>
          <w:p w14:paraId="5C93D0BB" w14:textId="77777777" w:rsidR="00D54AB7" w:rsidRPr="001646A0" w:rsidRDefault="00D54AB7" w:rsidP="00B3190C">
            <w:pPr>
              <w:rPr>
                <w:color w:val="000000"/>
              </w:rPr>
            </w:pPr>
          </w:p>
        </w:tc>
        <w:tc>
          <w:tcPr>
            <w:tcW w:w="808" w:type="pct"/>
            <w:tcBorders>
              <w:top w:val="nil"/>
              <w:left w:val="nil"/>
              <w:bottom w:val="nil"/>
              <w:right w:val="nil"/>
            </w:tcBorders>
            <w:shd w:val="clear" w:color="auto" w:fill="auto"/>
            <w:noWrap/>
            <w:vAlign w:val="center"/>
            <w:hideMark/>
          </w:tcPr>
          <w:p w14:paraId="2DBB717F" w14:textId="77777777" w:rsidR="00D54AB7" w:rsidRPr="001646A0" w:rsidRDefault="00D54AB7" w:rsidP="00B3190C">
            <w:pPr>
              <w:jc w:val="center"/>
              <w:rPr>
                <w:color w:val="000000"/>
              </w:rPr>
            </w:pPr>
            <w:r w:rsidRPr="001646A0">
              <w:rPr>
                <w:color w:val="000000"/>
                <w:sz w:val="22"/>
                <w:szCs w:val="22"/>
              </w:rPr>
              <w:t>514</w:t>
            </w:r>
          </w:p>
        </w:tc>
        <w:tc>
          <w:tcPr>
            <w:tcW w:w="906" w:type="pct"/>
            <w:tcBorders>
              <w:top w:val="nil"/>
              <w:left w:val="nil"/>
              <w:bottom w:val="nil"/>
              <w:right w:val="nil"/>
            </w:tcBorders>
            <w:shd w:val="clear" w:color="auto" w:fill="auto"/>
            <w:noWrap/>
            <w:vAlign w:val="center"/>
            <w:hideMark/>
          </w:tcPr>
          <w:p w14:paraId="0AFDEDA1" w14:textId="0F0A3615" w:rsidR="00D54AB7" w:rsidRPr="001646A0" w:rsidRDefault="00D54AB7" w:rsidP="00B3190C">
            <w:pPr>
              <w:jc w:val="center"/>
              <w:rPr>
                <w:color w:val="000000"/>
              </w:rPr>
            </w:pPr>
            <w:r w:rsidRPr="001646A0">
              <w:rPr>
                <w:color w:val="000000"/>
                <w:sz w:val="22"/>
                <w:szCs w:val="22"/>
              </w:rPr>
              <w:t>1</w:t>
            </w:r>
            <w:r w:rsidR="00746DDB">
              <w:rPr>
                <w:color w:val="000000"/>
                <w:sz w:val="22"/>
                <w:szCs w:val="22"/>
              </w:rPr>
              <w:t>.</w:t>
            </w:r>
            <w:r w:rsidRPr="001646A0">
              <w:rPr>
                <w:color w:val="000000"/>
                <w:sz w:val="22"/>
                <w:szCs w:val="22"/>
              </w:rPr>
              <w:t>82%</w:t>
            </w:r>
          </w:p>
        </w:tc>
        <w:tc>
          <w:tcPr>
            <w:tcW w:w="191" w:type="pct"/>
            <w:tcBorders>
              <w:top w:val="nil"/>
              <w:left w:val="nil"/>
              <w:bottom w:val="nil"/>
              <w:right w:val="nil"/>
            </w:tcBorders>
            <w:shd w:val="clear" w:color="auto" w:fill="auto"/>
            <w:noWrap/>
            <w:vAlign w:val="bottom"/>
            <w:hideMark/>
          </w:tcPr>
          <w:p w14:paraId="4A9200D2" w14:textId="77777777" w:rsidR="00D54AB7" w:rsidRPr="001646A0" w:rsidRDefault="00D54AB7" w:rsidP="00B3190C">
            <w:pPr>
              <w:jc w:val="center"/>
              <w:rPr>
                <w:color w:val="000000"/>
              </w:rPr>
            </w:pPr>
          </w:p>
        </w:tc>
        <w:tc>
          <w:tcPr>
            <w:tcW w:w="808" w:type="pct"/>
            <w:tcBorders>
              <w:top w:val="nil"/>
              <w:left w:val="nil"/>
              <w:bottom w:val="nil"/>
              <w:right w:val="nil"/>
            </w:tcBorders>
            <w:shd w:val="clear" w:color="auto" w:fill="auto"/>
            <w:noWrap/>
            <w:vAlign w:val="center"/>
            <w:hideMark/>
          </w:tcPr>
          <w:p w14:paraId="5E364F21" w14:textId="77777777" w:rsidR="00D54AB7" w:rsidRPr="001646A0" w:rsidRDefault="00D54AB7" w:rsidP="00B3190C">
            <w:pPr>
              <w:jc w:val="center"/>
              <w:rPr>
                <w:color w:val="000000"/>
              </w:rPr>
            </w:pPr>
            <w:r w:rsidRPr="001646A0">
              <w:rPr>
                <w:color w:val="000000"/>
                <w:sz w:val="22"/>
                <w:szCs w:val="22"/>
              </w:rPr>
              <w:t>393</w:t>
            </w:r>
          </w:p>
        </w:tc>
        <w:tc>
          <w:tcPr>
            <w:tcW w:w="906" w:type="pct"/>
            <w:tcBorders>
              <w:top w:val="nil"/>
              <w:left w:val="nil"/>
              <w:bottom w:val="nil"/>
              <w:right w:val="nil"/>
            </w:tcBorders>
            <w:shd w:val="clear" w:color="auto" w:fill="auto"/>
            <w:noWrap/>
            <w:vAlign w:val="center"/>
            <w:hideMark/>
          </w:tcPr>
          <w:p w14:paraId="648692D5" w14:textId="354812B5" w:rsidR="00D54AB7" w:rsidRPr="001646A0" w:rsidRDefault="00D54AB7" w:rsidP="00B3190C">
            <w:pPr>
              <w:jc w:val="center"/>
              <w:rPr>
                <w:color w:val="000000"/>
              </w:rPr>
            </w:pPr>
            <w:r w:rsidRPr="001646A0">
              <w:rPr>
                <w:color w:val="000000"/>
                <w:sz w:val="22"/>
                <w:szCs w:val="22"/>
              </w:rPr>
              <w:t>1</w:t>
            </w:r>
            <w:r w:rsidR="00746DDB">
              <w:rPr>
                <w:color w:val="000000"/>
                <w:sz w:val="22"/>
                <w:szCs w:val="22"/>
              </w:rPr>
              <w:t>.</w:t>
            </w:r>
            <w:r w:rsidRPr="001646A0">
              <w:rPr>
                <w:color w:val="000000"/>
                <w:sz w:val="22"/>
                <w:szCs w:val="22"/>
              </w:rPr>
              <w:t>56%</w:t>
            </w:r>
          </w:p>
        </w:tc>
      </w:tr>
      <w:tr w:rsidR="00D54AB7" w:rsidRPr="001646A0" w14:paraId="4B7544FF" w14:textId="77777777" w:rsidTr="00B3190C">
        <w:trPr>
          <w:trHeight w:val="288"/>
        </w:trPr>
        <w:tc>
          <w:tcPr>
            <w:tcW w:w="1190" w:type="pct"/>
            <w:tcBorders>
              <w:top w:val="nil"/>
              <w:left w:val="nil"/>
              <w:bottom w:val="nil"/>
              <w:right w:val="nil"/>
            </w:tcBorders>
            <w:shd w:val="clear" w:color="auto" w:fill="auto"/>
            <w:noWrap/>
            <w:vAlign w:val="bottom"/>
            <w:hideMark/>
          </w:tcPr>
          <w:p w14:paraId="56AD1622" w14:textId="77777777" w:rsidR="00D54AB7" w:rsidRPr="001646A0" w:rsidRDefault="00D54AB7" w:rsidP="00B3190C">
            <w:pPr>
              <w:rPr>
                <w:color w:val="000000"/>
              </w:rPr>
            </w:pPr>
            <w:r w:rsidRPr="001646A0">
              <w:rPr>
                <w:color w:val="000000"/>
                <w:sz w:val="22"/>
                <w:szCs w:val="22"/>
              </w:rPr>
              <w:t>Dance</w:t>
            </w:r>
          </w:p>
        </w:tc>
        <w:tc>
          <w:tcPr>
            <w:tcW w:w="191" w:type="pct"/>
            <w:tcBorders>
              <w:top w:val="nil"/>
              <w:left w:val="nil"/>
              <w:bottom w:val="nil"/>
              <w:right w:val="nil"/>
            </w:tcBorders>
            <w:shd w:val="clear" w:color="auto" w:fill="auto"/>
            <w:noWrap/>
            <w:vAlign w:val="bottom"/>
            <w:hideMark/>
          </w:tcPr>
          <w:p w14:paraId="4936FBE1" w14:textId="77777777" w:rsidR="00D54AB7" w:rsidRPr="001646A0" w:rsidRDefault="00D54AB7" w:rsidP="00B3190C">
            <w:pPr>
              <w:rPr>
                <w:color w:val="000000"/>
              </w:rPr>
            </w:pPr>
          </w:p>
        </w:tc>
        <w:tc>
          <w:tcPr>
            <w:tcW w:w="808" w:type="pct"/>
            <w:tcBorders>
              <w:top w:val="nil"/>
              <w:left w:val="nil"/>
              <w:bottom w:val="nil"/>
              <w:right w:val="nil"/>
            </w:tcBorders>
            <w:shd w:val="clear" w:color="auto" w:fill="auto"/>
            <w:noWrap/>
            <w:vAlign w:val="center"/>
            <w:hideMark/>
          </w:tcPr>
          <w:p w14:paraId="5D69C54C" w14:textId="77777777" w:rsidR="00D54AB7" w:rsidRPr="001646A0" w:rsidRDefault="00D54AB7" w:rsidP="00B3190C">
            <w:pPr>
              <w:jc w:val="center"/>
              <w:rPr>
                <w:color w:val="000000"/>
              </w:rPr>
            </w:pPr>
            <w:r w:rsidRPr="001646A0">
              <w:rPr>
                <w:color w:val="000000"/>
                <w:sz w:val="22"/>
                <w:szCs w:val="22"/>
              </w:rPr>
              <w:t>135</w:t>
            </w:r>
          </w:p>
        </w:tc>
        <w:tc>
          <w:tcPr>
            <w:tcW w:w="906" w:type="pct"/>
            <w:tcBorders>
              <w:top w:val="nil"/>
              <w:left w:val="nil"/>
              <w:bottom w:val="nil"/>
              <w:right w:val="nil"/>
            </w:tcBorders>
            <w:shd w:val="clear" w:color="auto" w:fill="auto"/>
            <w:noWrap/>
            <w:vAlign w:val="center"/>
            <w:hideMark/>
          </w:tcPr>
          <w:p w14:paraId="3DC2D74A" w14:textId="6ECE02C0" w:rsidR="00D54AB7" w:rsidRPr="001646A0" w:rsidRDefault="00D54AB7" w:rsidP="00B3190C">
            <w:pPr>
              <w:jc w:val="center"/>
              <w:rPr>
                <w:color w:val="000000"/>
              </w:rPr>
            </w:pPr>
            <w:r w:rsidRPr="001646A0">
              <w:rPr>
                <w:color w:val="000000"/>
                <w:sz w:val="22"/>
                <w:szCs w:val="22"/>
              </w:rPr>
              <w:t>0</w:t>
            </w:r>
            <w:r w:rsidR="00746DDB">
              <w:rPr>
                <w:color w:val="000000"/>
                <w:sz w:val="22"/>
                <w:szCs w:val="22"/>
              </w:rPr>
              <w:t>.</w:t>
            </w:r>
            <w:r w:rsidRPr="001646A0">
              <w:rPr>
                <w:color w:val="000000"/>
                <w:sz w:val="22"/>
                <w:szCs w:val="22"/>
              </w:rPr>
              <w:t>48%</w:t>
            </w:r>
          </w:p>
        </w:tc>
        <w:tc>
          <w:tcPr>
            <w:tcW w:w="191" w:type="pct"/>
            <w:tcBorders>
              <w:top w:val="nil"/>
              <w:left w:val="nil"/>
              <w:bottom w:val="nil"/>
              <w:right w:val="nil"/>
            </w:tcBorders>
            <w:shd w:val="clear" w:color="auto" w:fill="auto"/>
            <w:noWrap/>
            <w:vAlign w:val="bottom"/>
            <w:hideMark/>
          </w:tcPr>
          <w:p w14:paraId="76CA1430" w14:textId="77777777" w:rsidR="00D54AB7" w:rsidRPr="001646A0" w:rsidRDefault="00D54AB7" w:rsidP="00B3190C">
            <w:pPr>
              <w:jc w:val="center"/>
              <w:rPr>
                <w:color w:val="000000"/>
              </w:rPr>
            </w:pPr>
          </w:p>
        </w:tc>
        <w:tc>
          <w:tcPr>
            <w:tcW w:w="808" w:type="pct"/>
            <w:tcBorders>
              <w:top w:val="nil"/>
              <w:left w:val="nil"/>
              <w:bottom w:val="nil"/>
              <w:right w:val="nil"/>
            </w:tcBorders>
            <w:shd w:val="clear" w:color="auto" w:fill="auto"/>
            <w:noWrap/>
            <w:vAlign w:val="center"/>
            <w:hideMark/>
          </w:tcPr>
          <w:p w14:paraId="41755B44" w14:textId="77777777" w:rsidR="00D54AB7" w:rsidRPr="001646A0" w:rsidRDefault="00D54AB7" w:rsidP="00B3190C">
            <w:pPr>
              <w:jc w:val="center"/>
              <w:rPr>
                <w:color w:val="000000"/>
              </w:rPr>
            </w:pPr>
            <w:r w:rsidRPr="001646A0">
              <w:rPr>
                <w:color w:val="000000"/>
                <w:sz w:val="22"/>
                <w:szCs w:val="22"/>
              </w:rPr>
              <w:t>46</w:t>
            </w:r>
          </w:p>
        </w:tc>
        <w:tc>
          <w:tcPr>
            <w:tcW w:w="906" w:type="pct"/>
            <w:tcBorders>
              <w:top w:val="nil"/>
              <w:left w:val="nil"/>
              <w:bottom w:val="nil"/>
              <w:right w:val="nil"/>
            </w:tcBorders>
            <w:shd w:val="clear" w:color="auto" w:fill="auto"/>
            <w:noWrap/>
            <w:vAlign w:val="center"/>
            <w:hideMark/>
          </w:tcPr>
          <w:p w14:paraId="4E3B13D9" w14:textId="5EF281BC" w:rsidR="00D54AB7" w:rsidRPr="001646A0" w:rsidRDefault="00D54AB7" w:rsidP="00B3190C">
            <w:pPr>
              <w:jc w:val="center"/>
              <w:rPr>
                <w:color w:val="000000"/>
              </w:rPr>
            </w:pPr>
            <w:r w:rsidRPr="001646A0">
              <w:rPr>
                <w:color w:val="000000"/>
                <w:sz w:val="22"/>
                <w:szCs w:val="22"/>
              </w:rPr>
              <w:t>0</w:t>
            </w:r>
            <w:r w:rsidR="00746DDB">
              <w:rPr>
                <w:color w:val="000000"/>
                <w:sz w:val="22"/>
                <w:szCs w:val="22"/>
              </w:rPr>
              <w:t>.</w:t>
            </w:r>
            <w:r w:rsidRPr="001646A0">
              <w:rPr>
                <w:color w:val="000000"/>
                <w:sz w:val="22"/>
                <w:szCs w:val="22"/>
              </w:rPr>
              <w:t>18%</w:t>
            </w:r>
          </w:p>
        </w:tc>
      </w:tr>
      <w:tr w:rsidR="00D54AB7" w:rsidRPr="001646A0" w14:paraId="071CA16B" w14:textId="77777777" w:rsidTr="00B3190C">
        <w:trPr>
          <w:trHeight w:val="288"/>
        </w:trPr>
        <w:tc>
          <w:tcPr>
            <w:tcW w:w="1190" w:type="pct"/>
            <w:tcBorders>
              <w:top w:val="nil"/>
              <w:left w:val="nil"/>
              <w:bottom w:val="nil"/>
              <w:right w:val="nil"/>
            </w:tcBorders>
            <w:shd w:val="clear" w:color="auto" w:fill="auto"/>
            <w:noWrap/>
            <w:vAlign w:val="bottom"/>
            <w:hideMark/>
          </w:tcPr>
          <w:p w14:paraId="6CE4CA51" w14:textId="77777777" w:rsidR="00D54AB7" w:rsidRPr="001646A0" w:rsidRDefault="00D54AB7" w:rsidP="00B3190C">
            <w:pPr>
              <w:rPr>
                <w:color w:val="000000"/>
              </w:rPr>
            </w:pPr>
            <w:r w:rsidRPr="001646A0">
              <w:rPr>
                <w:color w:val="000000"/>
                <w:sz w:val="22"/>
                <w:szCs w:val="22"/>
              </w:rPr>
              <w:t>Design</w:t>
            </w:r>
          </w:p>
        </w:tc>
        <w:tc>
          <w:tcPr>
            <w:tcW w:w="191" w:type="pct"/>
            <w:tcBorders>
              <w:top w:val="nil"/>
              <w:left w:val="nil"/>
              <w:bottom w:val="nil"/>
              <w:right w:val="nil"/>
            </w:tcBorders>
            <w:shd w:val="clear" w:color="auto" w:fill="auto"/>
            <w:noWrap/>
            <w:vAlign w:val="bottom"/>
            <w:hideMark/>
          </w:tcPr>
          <w:p w14:paraId="203283E8" w14:textId="77777777" w:rsidR="00D54AB7" w:rsidRPr="001646A0" w:rsidRDefault="00D54AB7" w:rsidP="00B3190C">
            <w:pPr>
              <w:rPr>
                <w:color w:val="000000"/>
              </w:rPr>
            </w:pPr>
          </w:p>
        </w:tc>
        <w:tc>
          <w:tcPr>
            <w:tcW w:w="808" w:type="pct"/>
            <w:tcBorders>
              <w:top w:val="nil"/>
              <w:left w:val="nil"/>
              <w:bottom w:val="nil"/>
              <w:right w:val="nil"/>
            </w:tcBorders>
            <w:shd w:val="clear" w:color="auto" w:fill="auto"/>
            <w:noWrap/>
            <w:vAlign w:val="center"/>
            <w:hideMark/>
          </w:tcPr>
          <w:p w14:paraId="4CFB2622" w14:textId="3101D7EE" w:rsidR="00D54AB7" w:rsidRPr="001646A0" w:rsidRDefault="00D54AB7" w:rsidP="00B3190C">
            <w:pPr>
              <w:jc w:val="center"/>
              <w:rPr>
                <w:color w:val="000000"/>
              </w:rPr>
            </w:pPr>
            <w:r w:rsidRPr="001646A0">
              <w:rPr>
                <w:color w:val="000000"/>
                <w:sz w:val="22"/>
                <w:szCs w:val="22"/>
              </w:rPr>
              <w:t>2</w:t>
            </w:r>
            <w:r w:rsidR="00746DDB">
              <w:rPr>
                <w:color w:val="000000"/>
                <w:sz w:val="22"/>
                <w:szCs w:val="22"/>
              </w:rPr>
              <w:t>,</w:t>
            </w:r>
            <w:r w:rsidRPr="001646A0">
              <w:rPr>
                <w:color w:val="000000"/>
                <w:sz w:val="22"/>
                <w:szCs w:val="22"/>
              </w:rPr>
              <w:t>185</w:t>
            </w:r>
          </w:p>
        </w:tc>
        <w:tc>
          <w:tcPr>
            <w:tcW w:w="906" w:type="pct"/>
            <w:tcBorders>
              <w:top w:val="nil"/>
              <w:left w:val="nil"/>
              <w:bottom w:val="nil"/>
              <w:right w:val="nil"/>
            </w:tcBorders>
            <w:shd w:val="clear" w:color="auto" w:fill="auto"/>
            <w:noWrap/>
            <w:vAlign w:val="center"/>
            <w:hideMark/>
          </w:tcPr>
          <w:p w14:paraId="59F2D1CC" w14:textId="417F4944" w:rsidR="00D54AB7" w:rsidRPr="001646A0" w:rsidRDefault="00D54AB7" w:rsidP="00B3190C">
            <w:pPr>
              <w:jc w:val="center"/>
              <w:rPr>
                <w:color w:val="000000"/>
              </w:rPr>
            </w:pPr>
            <w:r w:rsidRPr="001646A0">
              <w:rPr>
                <w:color w:val="000000"/>
                <w:sz w:val="22"/>
                <w:szCs w:val="22"/>
              </w:rPr>
              <w:t>7</w:t>
            </w:r>
            <w:r w:rsidR="00746DDB">
              <w:rPr>
                <w:color w:val="000000"/>
                <w:sz w:val="22"/>
                <w:szCs w:val="22"/>
              </w:rPr>
              <w:t>.</w:t>
            </w:r>
            <w:r w:rsidRPr="001646A0">
              <w:rPr>
                <w:color w:val="000000"/>
                <w:sz w:val="22"/>
                <w:szCs w:val="22"/>
              </w:rPr>
              <w:t>72%</w:t>
            </w:r>
          </w:p>
        </w:tc>
        <w:tc>
          <w:tcPr>
            <w:tcW w:w="191" w:type="pct"/>
            <w:tcBorders>
              <w:top w:val="nil"/>
              <w:left w:val="nil"/>
              <w:bottom w:val="nil"/>
              <w:right w:val="nil"/>
            </w:tcBorders>
            <w:shd w:val="clear" w:color="auto" w:fill="auto"/>
            <w:noWrap/>
            <w:vAlign w:val="bottom"/>
            <w:hideMark/>
          </w:tcPr>
          <w:p w14:paraId="53676B15" w14:textId="77777777" w:rsidR="00D54AB7" w:rsidRPr="001646A0" w:rsidRDefault="00D54AB7" w:rsidP="00B3190C">
            <w:pPr>
              <w:jc w:val="center"/>
              <w:rPr>
                <w:color w:val="000000"/>
              </w:rPr>
            </w:pPr>
          </w:p>
        </w:tc>
        <w:tc>
          <w:tcPr>
            <w:tcW w:w="808" w:type="pct"/>
            <w:tcBorders>
              <w:top w:val="nil"/>
              <w:left w:val="nil"/>
              <w:bottom w:val="nil"/>
              <w:right w:val="nil"/>
            </w:tcBorders>
            <w:shd w:val="clear" w:color="auto" w:fill="auto"/>
            <w:noWrap/>
            <w:vAlign w:val="center"/>
            <w:hideMark/>
          </w:tcPr>
          <w:p w14:paraId="4183D4A7" w14:textId="210E93A3" w:rsidR="00D54AB7" w:rsidRPr="001646A0" w:rsidRDefault="00D54AB7" w:rsidP="00B3190C">
            <w:pPr>
              <w:jc w:val="center"/>
              <w:rPr>
                <w:color w:val="000000"/>
              </w:rPr>
            </w:pPr>
            <w:r w:rsidRPr="001646A0">
              <w:rPr>
                <w:color w:val="000000"/>
                <w:sz w:val="22"/>
                <w:szCs w:val="22"/>
              </w:rPr>
              <w:t>2</w:t>
            </w:r>
            <w:r w:rsidR="00746DDB">
              <w:rPr>
                <w:color w:val="000000"/>
                <w:sz w:val="22"/>
                <w:szCs w:val="22"/>
              </w:rPr>
              <w:t>,</w:t>
            </w:r>
            <w:r w:rsidRPr="001646A0">
              <w:rPr>
                <w:color w:val="000000"/>
                <w:sz w:val="22"/>
                <w:szCs w:val="22"/>
              </w:rPr>
              <w:t>039</w:t>
            </w:r>
          </w:p>
        </w:tc>
        <w:tc>
          <w:tcPr>
            <w:tcW w:w="906" w:type="pct"/>
            <w:tcBorders>
              <w:top w:val="nil"/>
              <w:left w:val="nil"/>
              <w:bottom w:val="nil"/>
              <w:right w:val="nil"/>
            </w:tcBorders>
            <w:shd w:val="clear" w:color="auto" w:fill="auto"/>
            <w:noWrap/>
            <w:vAlign w:val="center"/>
            <w:hideMark/>
          </w:tcPr>
          <w:p w14:paraId="7981E434" w14:textId="2F8357A3" w:rsidR="00D54AB7" w:rsidRPr="001646A0" w:rsidRDefault="00D54AB7" w:rsidP="00B3190C">
            <w:pPr>
              <w:jc w:val="center"/>
              <w:rPr>
                <w:color w:val="000000"/>
              </w:rPr>
            </w:pPr>
            <w:r w:rsidRPr="001646A0">
              <w:rPr>
                <w:color w:val="000000"/>
                <w:sz w:val="22"/>
                <w:szCs w:val="22"/>
              </w:rPr>
              <w:t>8</w:t>
            </w:r>
            <w:r w:rsidR="00746DDB">
              <w:rPr>
                <w:color w:val="000000"/>
                <w:sz w:val="22"/>
                <w:szCs w:val="22"/>
              </w:rPr>
              <w:t>.</w:t>
            </w:r>
            <w:r w:rsidRPr="001646A0">
              <w:rPr>
                <w:color w:val="000000"/>
                <w:sz w:val="22"/>
                <w:szCs w:val="22"/>
              </w:rPr>
              <w:t>08%</w:t>
            </w:r>
          </w:p>
        </w:tc>
      </w:tr>
      <w:tr w:rsidR="00D54AB7" w:rsidRPr="001646A0" w14:paraId="4D112FCD" w14:textId="77777777" w:rsidTr="00B3190C">
        <w:trPr>
          <w:trHeight w:val="288"/>
        </w:trPr>
        <w:tc>
          <w:tcPr>
            <w:tcW w:w="1190" w:type="pct"/>
            <w:tcBorders>
              <w:top w:val="nil"/>
              <w:left w:val="nil"/>
              <w:bottom w:val="nil"/>
              <w:right w:val="nil"/>
            </w:tcBorders>
            <w:shd w:val="clear" w:color="auto" w:fill="auto"/>
            <w:noWrap/>
            <w:vAlign w:val="bottom"/>
            <w:hideMark/>
          </w:tcPr>
          <w:p w14:paraId="70694987" w14:textId="77777777" w:rsidR="00D54AB7" w:rsidRPr="001646A0" w:rsidRDefault="00D54AB7" w:rsidP="00B3190C">
            <w:pPr>
              <w:rPr>
                <w:color w:val="000000"/>
              </w:rPr>
            </w:pPr>
            <w:r w:rsidRPr="001646A0">
              <w:rPr>
                <w:color w:val="000000"/>
                <w:sz w:val="22"/>
                <w:szCs w:val="22"/>
              </w:rPr>
              <w:t>Fashion</w:t>
            </w:r>
          </w:p>
        </w:tc>
        <w:tc>
          <w:tcPr>
            <w:tcW w:w="191" w:type="pct"/>
            <w:tcBorders>
              <w:top w:val="nil"/>
              <w:left w:val="nil"/>
              <w:bottom w:val="nil"/>
              <w:right w:val="nil"/>
            </w:tcBorders>
            <w:shd w:val="clear" w:color="auto" w:fill="auto"/>
            <w:noWrap/>
            <w:vAlign w:val="bottom"/>
            <w:hideMark/>
          </w:tcPr>
          <w:p w14:paraId="1236C113" w14:textId="77777777" w:rsidR="00D54AB7" w:rsidRPr="001646A0" w:rsidRDefault="00D54AB7" w:rsidP="00B3190C">
            <w:pPr>
              <w:rPr>
                <w:color w:val="000000"/>
              </w:rPr>
            </w:pPr>
          </w:p>
        </w:tc>
        <w:tc>
          <w:tcPr>
            <w:tcW w:w="808" w:type="pct"/>
            <w:tcBorders>
              <w:top w:val="nil"/>
              <w:left w:val="nil"/>
              <w:bottom w:val="nil"/>
              <w:right w:val="nil"/>
            </w:tcBorders>
            <w:shd w:val="clear" w:color="auto" w:fill="auto"/>
            <w:noWrap/>
            <w:vAlign w:val="center"/>
            <w:hideMark/>
          </w:tcPr>
          <w:p w14:paraId="5999A149" w14:textId="6AF68740" w:rsidR="00D54AB7" w:rsidRPr="001646A0" w:rsidRDefault="00D54AB7" w:rsidP="00B3190C">
            <w:pPr>
              <w:jc w:val="center"/>
              <w:rPr>
                <w:color w:val="000000"/>
              </w:rPr>
            </w:pPr>
            <w:r w:rsidRPr="001646A0">
              <w:rPr>
                <w:color w:val="000000"/>
                <w:sz w:val="22"/>
                <w:szCs w:val="22"/>
              </w:rPr>
              <w:t>2</w:t>
            </w:r>
            <w:r w:rsidR="00746DDB">
              <w:rPr>
                <w:color w:val="000000"/>
                <w:sz w:val="22"/>
                <w:szCs w:val="22"/>
              </w:rPr>
              <w:t>,</w:t>
            </w:r>
            <w:r w:rsidRPr="001646A0">
              <w:rPr>
                <w:color w:val="000000"/>
                <w:sz w:val="22"/>
                <w:szCs w:val="22"/>
              </w:rPr>
              <w:t>136</w:t>
            </w:r>
          </w:p>
        </w:tc>
        <w:tc>
          <w:tcPr>
            <w:tcW w:w="906" w:type="pct"/>
            <w:tcBorders>
              <w:top w:val="nil"/>
              <w:left w:val="nil"/>
              <w:bottom w:val="nil"/>
              <w:right w:val="nil"/>
            </w:tcBorders>
            <w:shd w:val="clear" w:color="auto" w:fill="auto"/>
            <w:noWrap/>
            <w:vAlign w:val="center"/>
            <w:hideMark/>
          </w:tcPr>
          <w:p w14:paraId="75CD4DE0" w14:textId="3D163F0B" w:rsidR="00D54AB7" w:rsidRPr="001646A0" w:rsidRDefault="00D54AB7" w:rsidP="00B3190C">
            <w:pPr>
              <w:jc w:val="center"/>
              <w:rPr>
                <w:color w:val="000000"/>
              </w:rPr>
            </w:pPr>
            <w:r w:rsidRPr="001646A0">
              <w:rPr>
                <w:color w:val="000000"/>
                <w:sz w:val="22"/>
                <w:szCs w:val="22"/>
              </w:rPr>
              <w:t>7</w:t>
            </w:r>
            <w:r w:rsidR="00746DDB">
              <w:rPr>
                <w:color w:val="000000"/>
                <w:sz w:val="22"/>
                <w:szCs w:val="22"/>
              </w:rPr>
              <w:t>.</w:t>
            </w:r>
            <w:r w:rsidRPr="001646A0">
              <w:rPr>
                <w:color w:val="000000"/>
                <w:sz w:val="22"/>
                <w:szCs w:val="22"/>
              </w:rPr>
              <w:t>55%</w:t>
            </w:r>
          </w:p>
        </w:tc>
        <w:tc>
          <w:tcPr>
            <w:tcW w:w="191" w:type="pct"/>
            <w:tcBorders>
              <w:top w:val="nil"/>
              <w:left w:val="nil"/>
              <w:bottom w:val="nil"/>
              <w:right w:val="nil"/>
            </w:tcBorders>
            <w:shd w:val="clear" w:color="auto" w:fill="auto"/>
            <w:noWrap/>
            <w:vAlign w:val="bottom"/>
            <w:hideMark/>
          </w:tcPr>
          <w:p w14:paraId="60317AD7" w14:textId="77777777" w:rsidR="00D54AB7" w:rsidRPr="001646A0" w:rsidRDefault="00D54AB7" w:rsidP="00B3190C">
            <w:pPr>
              <w:jc w:val="center"/>
              <w:rPr>
                <w:color w:val="000000"/>
              </w:rPr>
            </w:pPr>
          </w:p>
        </w:tc>
        <w:tc>
          <w:tcPr>
            <w:tcW w:w="808" w:type="pct"/>
            <w:tcBorders>
              <w:top w:val="nil"/>
              <w:left w:val="nil"/>
              <w:bottom w:val="nil"/>
              <w:right w:val="nil"/>
            </w:tcBorders>
            <w:shd w:val="clear" w:color="auto" w:fill="auto"/>
            <w:noWrap/>
            <w:vAlign w:val="center"/>
            <w:hideMark/>
          </w:tcPr>
          <w:p w14:paraId="65427CAB" w14:textId="5E176613" w:rsidR="00D54AB7" w:rsidRPr="001646A0" w:rsidRDefault="00D54AB7" w:rsidP="00B3190C">
            <w:pPr>
              <w:jc w:val="center"/>
              <w:rPr>
                <w:color w:val="000000"/>
              </w:rPr>
            </w:pPr>
            <w:r w:rsidRPr="001646A0">
              <w:rPr>
                <w:color w:val="000000"/>
                <w:sz w:val="22"/>
                <w:szCs w:val="22"/>
              </w:rPr>
              <w:t>1</w:t>
            </w:r>
            <w:r w:rsidR="00746DDB">
              <w:rPr>
                <w:color w:val="000000"/>
                <w:sz w:val="22"/>
                <w:szCs w:val="22"/>
              </w:rPr>
              <w:t>,</w:t>
            </w:r>
            <w:r w:rsidRPr="001646A0">
              <w:rPr>
                <w:color w:val="000000"/>
                <w:sz w:val="22"/>
                <w:szCs w:val="22"/>
              </w:rPr>
              <w:t>711</w:t>
            </w:r>
          </w:p>
        </w:tc>
        <w:tc>
          <w:tcPr>
            <w:tcW w:w="906" w:type="pct"/>
            <w:tcBorders>
              <w:top w:val="nil"/>
              <w:left w:val="nil"/>
              <w:bottom w:val="nil"/>
              <w:right w:val="nil"/>
            </w:tcBorders>
            <w:shd w:val="clear" w:color="auto" w:fill="auto"/>
            <w:noWrap/>
            <w:vAlign w:val="center"/>
            <w:hideMark/>
          </w:tcPr>
          <w:p w14:paraId="42B5A1E9" w14:textId="2B4DA97D" w:rsidR="00D54AB7" w:rsidRPr="001646A0" w:rsidRDefault="00D54AB7" w:rsidP="00B3190C">
            <w:pPr>
              <w:jc w:val="center"/>
              <w:rPr>
                <w:color w:val="000000"/>
              </w:rPr>
            </w:pPr>
            <w:r w:rsidRPr="001646A0">
              <w:rPr>
                <w:color w:val="000000"/>
                <w:sz w:val="22"/>
                <w:szCs w:val="22"/>
              </w:rPr>
              <w:t>6</w:t>
            </w:r>
            <w:r w:rsidR="00746DDB">
              <w:rPr>
                <w:color w:val="000000"/>
                <w:sz w:val="22"/>
                <w:szCs w:val="22"/>
              </w:rPr>
              <w:t>.</w:t>
            </w:r>
            <w:r w:rsidRPr="001646A0">
              <w:rPr>
                <w:color w:val="000000"/>
                <w:sz w:val="22"/>
                <w:szCs w:val="22"/>
              </w:rPr>
              <w:t>78%</w:t>
            </w:r>
          </w:p>
        </w:tc>
      </w:tr>
      <w:tr w:rsidR="00D54AB7" w:rsidRPr="001646A0" w14:paraId="67222677" w14:textId="77777777" w:rsidTr="00365AC0">
        <w:trPr>
          <w:trHeight w:val="288"/>
        </w:trPr>
        <w:tc>
          <w:tcPr>
            <w:tcW w:w="1381" w:type="pct"/>
            <w:gridSpan w:val="2"/>
            <w:tcBorders>
              <w:top w:val="nil"/>
              <w:left w:val="nil"/>
              <w:bottom w:val="nil"/>
              <w:right w:val="nil"/>
            </w:tcBorders>
            <w:shd w:val="clear" w:color="auto" w:fill="auto"/>
            <w:noWrap/>
            <w:vAlign w:val="bottom"/>
            <w:hideMark/>
          </w:tcPr>
          <w:p w14:paraId="2763A23E" w14:textId="77777777" w:rsidR="00D54AB7" w:rsidRPr="001646A0" w:rsidRDefault="00D54AB7" w:rsidP="00B3190C">
            <w:pPr>
              <w:rPr>
                <w:color w:val="000000"/>
              </w:rPr>
            </w:pPr>
            <w:r w:rsidRPr="001646A0">
              <w:rPr>
                <w:color w:val="000000"/>
                <w:sz w:val="22"/>
                <w:szCs w:val="22"/>
              </w:rPr>
              <w:t>Film &amp; Video</w:t>
            </w:r>
          </w:p>
        </w:tc>
        <w:tc>
          <w:tcPr>
            <w:tcW w:w="808" w:type="pct"/>
            <w:tcBorders>
              <w:top w:val="nil"/>
              <w:left w:val="nil"/>
              <w:bottom w:val="nil"/>
              <w:right w:val="nil"/>
            </w:tcBorders>
            <w:shd w:val="clear" w:color="auto" w:fill="auto"/>
            <w:noWrap/>
            <w:vAlign w:val="center"/>
            <w:hideMark/>
          </w:tcPr>
          <w:p w14:paraId="3453E50A" w14:textId="015A2084" w:rsidR="00D54AB7" w:rsidRPr="001646A0" w:rsidRDefault="00D54AB7" w:rsidP="00B3190C">
            <w:pPr>
              <w:jc w:val="center"/>
              <w:rPr>
                <w:color w:val="000000"/>
              </w:rPr>
            </w:pPr>
            <w:r w:rsidRPr="001646A0">
              <w:rPr>
                <w:color w:val="000000"/>
                <w:sz w:val="22"/>
                <w:szCs w:val="22"/>
              </w:rPr>
              <w:t>2</w:t>
            </w:r>
            <w:r w:rsidR="00746DDB">
              <w:rPr>
                <w:color w:val="000000"/>
                <w:sz w:val="22"/>
                <w:szCs w:val="22"/>
              </w:rPr>
              <w:t>,</w:t>
            </w:r>
            <w:r w:rsidRPr="001646A0">
              <w:rPr>
                <w:color w:val="000000"/>
                <w:sz w:val="22"/>
                <w:szCs w:val="22"/>
              </w:rPr>
              <w:t>590</w:t>
            </w:r>
          </w:p>
        </w:tc>
        <w:tc>
          <w:tcPr>
            <w:tcW w:w="906" w:type="pct"/>
            <w:tcBorders>
              <w:top w:val="nil"/>
              <w:left w:val="nil"/>
              <w:bottom w:val="nil"/>
              <w:right w:val="nil"/>
            </w:tcBorders>
            <w:shd w:val="clear" w:color="auto" w:fill="auto"/>
            <w:noWrap/>
            <w:vAlign w:val="center"/>
            <w:hideMark/>
          </w:tcPr>
          <w:p w14:paraId="1186732C" w14:textId="7BEEEA45" w:rsidR="00D54AB7" w:rsidRPr="001646A0" w:rsidRDefault="00D54AB7" w:rsidP="00B3190C">
            <w:pPr>
              <w:jc w:val="center"/>
              <w:rPr>
                <w:color w:val="000000"/>
              </w:rPr>
            </w:pPr>
            <w:r w:rsidRPr="001646A0">
              <w:rPr>
                <w:color w:val="000000"/>
                <w:sz w:val="22"/>
                <w:szCs w:val="22"/>
              </w:rPr>
              <w:t>9</w:t>
            </w:r>
            <w:r w:rsidR="00746DDB">
              <w:rPr>
                <w:color w:val="000000"/>
                <w:sz w:val="22"/>
                <w:szCs w:val="22"/>
              </w:rPr>
              <w:t>.</w:t>
            </w:r>
            <w:r w:rsidRPr="001646A0">
              <w:rPr>
                <w:color w:val="000000"/>
                <w:sz w:val="22"/>
                <w:szCs w:val="22"/>
              </w:rPr>
              <w:t>15%</w:t>
            </w:r>
          </w:p>
        </w:tc>
        <w:tc>
          <w:tcPr>
            <w:tcW w:w="191" w:type="pct"/>
            <w:tcBorders>
              <w:top w:val="nil"/>
              <w:left w:val="nil"/>
              <w:bottom w:val="nil"/>
              <w:right w:val="nil"/>
            </w:tcBorders>
            <w:shd w:val="clear" w:color="auto" w:fill="auto"/>
            <w:noWrap/>
            <w:vAlign w:val="bottom"/>
            <w:hideMark/>
          </w:tcPr>
          <w:p w14:paraId="6DFD1DD9" w14:textId="77777777" w:rsidR="00D54AB7" w:rsidRPr="001646A0" w:rsidRDefault="00D54AB7" w:rsidP="00B3190C">
            <w:pPr>
              <w:jc w:val="center"/>
              <w:rPr>
                <w:color w:val="000000"/>
              </w:rPr>
            </w:pPr>
          </w:p>
        </w:tc>
        <w:tc>
          <w:tcPr>
            <w:tcW w:w="808" w:type="pct"/>
            <w:tcBorders>
              <w:top w:val="nil"/>
              <w:left w:val="nil"/>
              <w:bottom w:val="nil"/>
              <w:right w:val="nil"/>
            </w:tcBorders>
            <w:shd w:val="clear" w:color="auto" w:fill="auto"/>
            <w:noWrap/>
            <w:vAlign w:val="center"/>
            <w:hideMark/>
          </w:tcPr>
          <w:p w14:paraId="226EF6E2" w14:textId="0837A532" w:rsidR="00D54AB7" w:rsidRPr="001646A0" w:rsidRDefault="00D54AB7" w:rsidP="00B3190C">
            <w:pPr>
              <w:jc w:val="center"/>
              <w:rPr>
                <w:color w:val="000000"/>
              </w:rPr>
            </w:pPr>
            <w:r w:rsidRPr="001646A0">
              <w:rPr>
                <w:color w:val="000000"/>
                <w:sz w:val="22"/>
                <w:szCs w:val="22"/>
              </w:rPr>
              <w:t>1</w:t>
            </w:r>
            <w:r w:rsidR="00746DDB">
              <w:rPr>
                <w:color w:val="000000"/>
                <w:sz w:val="22"/>
                <w:szCs w:val="22"/>
              </w:rPr>
              <w:t>,</w:t>
            </w:r>
            <w:r w:rsidRPr="001646A0">
              <w:rPr>
                <w:color w:val="000000"/>
                <w:sz w:val="22"/>
                <w:szCs w:val="22"/>
              </w:rPr>
              <w:t>651</w:t>
            </w:r>
          </w:p>
        </w:tc>
        <w:tc>
          <w:tcPr>
            <w:tcW w:w="906" w:type="pct"/>
            <w:tcBorders>
              <w:top w:val="nil"/>
              <w:left w:val="nil"/>
              <w:bottom w:val="nil"/>
              <w:right w:val="nil"/>
            </w:tcBorders>
            <w:shd w:val="clear" w:color="auto" w:fill="auto"/>
            <w:noWrap/>
            <w:vAlign w:val="center"/>
            <w:hideMark/>
          </w:tcPr>
          <w:p w14:paraId="1602090E" w14:textId="0F869C4B" w:rsidR="00D54AB7" w:rsidRPr="001646A0" w:rsidRDefault="00D54AB7" w:rsidP="00B3190C">
            <w:pPr>
              <w:jc w:val="center"/>
              <w:rPr>
                <w:color w:val="000000"/>
              </w:rPr>
            </w:pPr>
            <w:r w:rsidRPr="001646A0">
              <w:rPr>
                <w:color w:val="000000"/>
                <w:sz w:val="22"/>
                <w:szCs w:val="22"/>
              </w:rPr>
              <w:t>6</w:t>
            </w:r>
            <w:r w:rsidR="00746DDB">
              <w:rPr>
                <w:color w:val="000000"/>
                <w:sz w:val="22"/>
                <w:szCs w:val="22"/>
              </w:rPr>
              <w:t>.</w:t>
            </w:r>
            <w:r w:rsidRPr="001646A0">
              <w:rPr>
                <w:color w:val="000000"/>
                <w:sz w:val="22"/>
                <w:szCs w:val="22"/>
              </w:rPr>
              <w:t>55%</w:t>
            </w:r>
          </w:p>
        </w:tc>
      </w:tr>
      <w:tr w:rsidR="00D54AB7" w:rsidRPr="001646A0" w14:paraId="2197C1A8" w14:textId="77777777" w:rsidTr="00B3190C">
        <w:trPr>
          <w:trHeight w:val="288"/>
        </w:trPr>
        <w:tc>
          <w:tcPr>
            <w:tcW w:w="1190" w:type="pct"/>
            <w:tcBorders>
              <w:top w:val="nil"/>
              <w:left w:val="nil"/>
              <w:bottom w:val="nil"/>
              <w:right w:val="nil"/>
            </w:tcBorders>
            <w:shd w:val="clear" w:color="auto" w:fill="auto"/>
            <w:noWrap/>
            <w:vAlign w:val="bottom"/>
            <w:hideMark/>
          </w:tcPr>
          <w:p w14:paraId="242A8EE8" w14:textId="77777777" w:rsidR="00D54AB7" w:rsidRPr="001646A0" w:rsidRDefault="00D54AB7" w:rsidP="00B3190C">
            <w:pPr>
              <w:rPr>
                <w:color w:val="000000"/>
              </w:rPr>
            </w:pPr>
            <w:r w:rsidRPr="001646A0">
              <w:rPr>
                <w:color w:val="000000"/>
                <w:sz w:val="22"/>
                <w:szCs w:val="22"/>
              </w:rPr>
              <w:t>Food</w:t>
            </w:r>
          </w:p>
        </w:tc>
        <w:tc>
          <w:tcPr>
            <w:tcW w:w="191" w:type="pct"/>
            <w:tcBorders>
              <w:top w:val="nil"/>
              <w:left w:val="nil"/>
              <w:bottom w:val="nil"/>
              <w:right w:val="nil"/>
            </w:tcBorders>
            <w:shd w:val="clear" w:color="auto" w:fill="auto"/>
            <w:noWrap/>
            <w:vAlign w:val="bottom"/>
            <w:hideMark/>
          </w:tcPr>
          <w:p w14:paraId="0FB90E6F" w14:textId="77777777" w:rsidR="00D54AB7" w:rsidRPr="001646A0" w:rsidRDefault="00D54AB7" w:rsidP="00B3190C">
            <w:pPr>
              <w:rPr>
                <w:color w:val="000000"/>
              </w:rPr>
            </w:pPr>
          </w:p>
        </w:tc>
        <w:tc>
          <w:tcPr>
            <w:tcW w:w="808" w:type="pct"/>
            <w:tcBorders>
              <w:top w:val="nil"/>
              <w:left w:val="nil"/>
              <w:bottom w:val="nil"/>
              <w:right w:val="nil"/>
            </w:tcBorders>
            <w:shd w:val="clear" w:color="auto" w:fill="auto"/>
            <w:noWrap/>
            <w:vAlign w:val="center"/>
            <w:hideMark/>
          </w:tcPr>
          <w:p w14:paraId="496B7BFC" w14:textId="3F7B548F" w:rsidR="00D54AB7" w:rsidRPr="001646A0" w:rsidRDefault="00D54AB7" w:rsidP="00B3190C">
            <w:pPr>
              <w:jc w:val="center"/>
              <w:rPr>
                <w:color w:val="000000"/>
              </w:rPr>
            </w:pPr>
            <w:r w:rsidRPr="001646A0">
              <w:rPr>
                <w:color w:val="000000"/>
                <w:sz w:val="22"/>
                <w:szCs w:val="22"/>
              </w:rPr>
              <w:t>1</w:t>
            </w:r>
            <w:r w:rsidR="00746DDB">
              <w:rPr>
                <w:color w:val="000000"/>
                <w:sz w:val="22"/>
                <w:szCs w:val="22"/>
              </w:rPr>
              <w:t>,</w:t>
            </w:r>
            <w:r w:rsidRPr="001646A0">
              <w:rPr>
                <w:color w:val="000000"/>
                <w:sz w:val="22"/>
                <w:szCs w:val="22"/>
              </w:rPr>
              <w:t>478</w:t>
            </w:r>
          </w:p>
        </w:tc>
        <w:tc>
          <w:tcPr>
            <w:tcW w:w="906" w:type="pct"/>
            <w:tcBorders>
              <w:top w:val="nil"/>
              <w:left w:val="nil"/>
              <w:bottom w:val="nil"/>
              <w:right w:val="nil"/>
            </w:tcBorders>
            <w:shd w:val="clear" w:color="auto" w:fill="auto"/>
            <w:noWrap/>
            <w:vAlign w:val="center"/>
            <w:hideMark/>
          </w:tcPr>
          <w:p w14:paraId="3B804D36" w14:textId="3157B7DE" w:rsidR="00D54AB7" w:rsidRPr="001646A0" w:rsidRDefault="00D54AB7" w:rsidP="00B3190C">
            <w:pPr>
              <w:jc w:val="center"/>
              <w:rPr>
                <w:color w:val="000000"/>
              </w:rPr>
            </w:pPr>
            <w:r w:rsidRPr="001646A0">
              <w:rPr>
                <w:color w:val="000000"/>
                <w:sz w:val="22"/>
                <w:szCs w:val="22"/>
              </w:rPr>
              <w:t>5</w:t>
            </w:r>
            <w:r w:rsidR="00746DDB">
              <w:rPr>
                <w:color w:val="000000"/>
                <w:sz w:val="22"/>
                <w:szCs w:val="22"/>
              </w:rPr>
              <w:t>.</w:t>
            </w:r>
            <w:r w:rsidRPr="001646A0">
              <w:rPr>
                <w:color w:val="000000"/>
                <w:sz w:val="22"/>
                <w:szCs w:val="22"/>
              </w:rPr>
              <w:t>22%</w:t>
            </w:r>
          </w:p>
        </w:tc>
        <w:tc>
          <w:tcPr>
            <w:tcW w:w="191" w:type="pct"/>
            <w:tcBorders>
              <w:top w:val="nil"/>
              <w:left w:val="nil"/>
              <w:bottom w:val="nil"/>
              <w:right w:val="nil"/>
            </w:tcBorders>
            <w:shd w:val="clear" w:color="auto" w:fill="auto"/>
            <w:noWrap/>
            <w:vAlign w:val="bottom"/>
            <w:hideMark/>
          </w:tcPr>
          <w:p w14:paraId="441EE237" w14:textId="77777777" w:rsidR="00D54AB7" w:rsidRPr="001646A0" w:rsidRDefault="00D54AB7" w:rsidP="00B3190C">
            <w:pPr>
              <w:jc w:val="center"/>
              <w:rPr>
                <w:color w:val="000000"/>
              </w:rPr>
            </w:pPr>
          </w:p>
        </w:tc>
        <w:tc>
          <w:tcPr>
            <w:tcW w:w="808" w:type="pct"/>
            <w:tcBorders>
              <w:top w:val="nil"/>
              <w:left w:val="nil"/>
              <w:bottom w:val="nil"/>
              <w:right w:val="nil"/>
            </w:tcBorders>
            <w:shd w:val="clear" w:color="auto" w:fill="auto"/>
            <w:noWrap/>
            <w:vAlign w:val="center"/>
            <w:hideMark/>
          </w:tcPr>
          <w:p w14:paraId="6FD92A66" w14:textId="77777777" w:rsidR="00D54AB7" w:rsidRPr="001646A0" w:rsidRDefault="00D54AB7" w:rsidP="00B3190C">
            <w:pPr>
              <w:jc w:val="center"/>
              <w:rPr>
                <w:color w:val="000000"/>
              </w:rPr>
            </w:pPr>
            <w:r w:rsidRPr="001646A0">
              <w:rPr>
                <w:color w:val="000000"/>
                <w:sz w:val="22"/>
                <w:szCs w:val="22"/>
              </w:rPr>
              <w:t>979</w:t>
            </w:r>
          </w:p>
        </w:tc>
        <w:tc>
          <w:tcPr>
            <w:tcW w:w="906" w:type="pct"/>
            <w:tcBorders>
              <w:top w:val="nil"/>
              <w:left w:val="nil"/>
              <w:bottom w:val="nil"/>
              <w:right w:val="nil"/>
            </w:tcBorders>
            <w:shd w:val="clear" w:color="auto" w:fill="auto"/>
            <w:noWrap/>
            <w:vAlign w:val="center"/>
            <w:hideMark/>
          </w:tcPr>
          <w:p w14:paraId="793C83C3" w14:textId="74A24A89" w:rsidR="00D54AB7" w:rsidRPr="001646A0" w:rsidRDefault="00D54AB7" w:rsidP="00B3190C">
            <w:pPr>
              <w:jc w:val="center"/>
              <w:rPr>
                <w:color w:val="000000"/>
              </w:rPr>
            </w:pPr>
            <w:r w:rsidRPr="001646A0">
              <w:rPr>
                <w:color w:val="000000"/>
                <w:sz w:val="22"/>
                <w:szCs w:val="22"/>
              </w:rPr>
              <w:t>3</w:t>
            </w:r>
            <w:r w:rsidR="00746DDB">
              <w:rPr>
                <w:color w:val="000000"/>
                <w:sz w:val="22"/>
                <w:szCs w:val="22"/>
              </w:rPr>
              <w:t>.</w:t>
            </w:r>
            <w:r w:rsidRPr="001646A0">
              <w:rPr>
                <w:color w:val="000000"/>
                <w:sz w:val="22"/>
                <w:szCs w:val="22"/>
              </w:rPr>
              <w:t>88%</w:t>
            </w:r>
          </w:p>
        </w:tc>
      </w:tr>
      <w:tr w:rsidR="00D54AB7" w:rsidRPr="001646A0" w14:paraId="54443715" w14:textId="77777777" w:rsidTr="00B3190C">
        <w:trPr>
          <w:trHeight w:val="288"/>
        </w:trPr>
        <w:tc>
          <w:tcPr>
            <w:tcW w:w="1190" w:type="pct"/>
            <w:tcBorders>
              <w:top w:val="nil"/>
              <w:left w:val="nil"/>
              <w:bottom w:val="nil"/>
              <w:right w:val="nil"/>
            </w:tcBorders>
            <w:shd w:val="clear" w:color="auto" w:fill="auto"/>
            <w:noWrap/>
            <w:vAlign w:val="bottom"/>
            <w:hideMark/>
          </w:tcPr>
          <w:p w14:paraId="55ED2093" w14:textId="77777777" w:rsidR="00D54AB7" w:rsidRPr="001646A0" w:rsidRDefault="00D54AB7" w:rsidP="00B3190C">
            <w:pPr>
              <w:rPr>
                <w:color w:val="000000"/>
              </w:rPr>
            </w:pPr>
            <w:r w:rsidRPr="001646A0">
              <w:rPr>
                <w:color w:val="000000"/>
                <w:sz w:val="22"/>
                <w:szCs w:val="22"/>
              </w:rPr>
              <w:t>Games</w:t>
            </w:r>
          </w:p>
        </w:tc>
        <w:tc>
          <w:tcPr>
            <w:tcW w:w="191" w:type="pct"/>
            <w:tcBorders>
              <w:top w:val="nil"/>
              <w:left w:val="nil"/>
              <w:bottom w:val="nil"/>
              <w:right w:val="nil"/>
            </w:tcBorders>
            <w:shd w:val="clear" w:color="auto" w:fill="auto"/>
            <w:noWrap/>
            <w:vAlign w:val="bottom"/>
            <w:hideMark/>
          </w:tcPr>
          <w:p w14:paraId="05077961" w14:textId="77777777" w:rsidR="00D54AB7" w:rsidRPr="001646A0" w:rsidRDefault="00D54AB7" w:rsidP="00B3190C">
            <w:pPr>
              <w:rPr>
                <w:color w:val="000000"/>
              </w:rPr>
            </w:pPr>
          </w:p>
        </w:tc>
        <w:tc>
          <w:tcPr>
            <w:tcW w:w="808" w:type="pct"/>
            <w:tcBorders>
              <w:top w:val="nil"/>
              <w:left w:val="nil"/>
              <w:bottom w:val="nil"/>
              <w:right w:val="nil"/>
            </w:tcBorders>
            <w:shd w:val="clear" w:color="auto" w:fill="auto"/>
            <w:noWrap/>
            <w:vAlign w:val="center"/>
            <w:hideMark/>
          </w:tcPr>
          <w:p w14:paraId="0AC826C7" w14:textId="1EF34B32" w:rsidR="00D54AB7" w:rsidRPr="001646A0" w:rsidRDefault="00D54AB7" w:rsidP="00B3190C">
            <w:pPr>
              <w:jc w:val="center"/>
              <w:rPr>
                <w:color w:val="000000"/>
              </w:rPr>
            </w:pPr>
            <w:r w:rsidRPr="001646A0">
              <w:rPr>
                <w:color w:val="000000"/>
                <w:sz w:val="22"/>
                <w:szCs w:val="22"/>
              </w:rPr>
              <w:t>3</w:t>
            </w:r>
            <w:r w:rsidR="00746DDB">
              <w:rPr>
                <w:color w:val="000000"/>
                <w:sz w:val="22"/>
                <w:szCs w:val="22"/>
              </w:rPr>
              <w:t>,</w:t>
            </w:r>
            <w:r w:rsidRPr="001646A0">
              <w:rPr>
                <w:color w:val="000000"/>
                <w:sz w:val="22"/>
                <w:szCs w:val="22"/>
              </w:rPr>
              <w:t>745</w:t>
            </w:r>
          </w:p>
        </w:tc>
        <w:tc>
          <w:tcPr>
            <w:tcW w:w="906" w:type="pct"/>
            <w:tcBorders>
              <w:top w:val="nil"/>
              <w:left w:val="nil"/>
              <w:bottom w:val="nil"/>
              <w:right w:val="nil"/>
            </w:tcBorders>
            <w:shd w:val="clear" w:color="auto" w:fill="auto"/>
            <w:noWrap/>
            <w:vAlign w:val="center"/>
            <w:hideMark/>
          </w:tcPr>
          <w:p w14:paraId="3B845E09" w14:textId="57DEB52A" w:rsidR="00D54AB7" w:rsidRPr="001646A0" w:rsidRDefault="00D54AB7" w:rsidP="00B3190C">
            <w:pPr>
              <w:jc w:val="center"/>
              <w:rPr>
                <w:color w:val="000000"/>
              </w:rPr>
            </w:pPr>
            <w:r w:rsidRPr="001646A0">
              <w:rPr>
                <w:color w:val="000000"/>
                <w:sz w:val="22"/>
                <w:szCs w:val="22"/>
              </w:rPr>
              <w:t>13</w:t>
            </w:r>
            <w:r w:rsidR="00746DDB">
              <w:rPr>
                <w:color w:val="000000"/>
                <w:sz w:val="22"/>
                <w:szCs w:val="22"/>
              </w:rPr>
              <w:t>.</w:t>
            </w:r>
            <w:r w:rsidRPr="001646A0">
              <w:rPr>
                <w:color w:val="000000"/>
                <w:sz w:val="22"/>
                <w:szCs w:val="22"/>
              </w:rPr>
              <w:t>23%</w:t>
            </w:r>
          </w:p>
        </w:tc>
        <w:tc>
          <w:tcPr>
            <w:tcW w:w="191" w:type="pct"/>
            <w:tcBorders>
              <w:top w:val="nil"/>
              <w:left w:val="nil"/>
              <w:bottom w:val="nil"/>
              <w:right w:val="nil"/>
            </w:tcBorders>
            <w:shd w:val="clear" w:color="auto" w:fill="auto"/>
            <w:noWrap/>
            <w:vAlign w:val="bottom"/>
            <w:hideMark/>
          </w:tcPr>
          <w:p w14:paraId="60184C85" w14:textId="77777777" w:rsidR="00D54AB7" w:rsidRPr="001646A0" w:rsidRDefault="00D54AB7" w:rsidP="00B3190C">
            <w:pPr>
              <w:jc w:val="center"/>
              <w:rPr>
                <w:color w:val="000000"/>
              </w:rPr>
            </w:pPr>
          </w:p>
        </w:tc>
        <w:tc>
          <w:tcPr>
            <w:tcW w:w="808" w:type="pct"/>
            <w:tcBorders>
              <w:top w:val="nil"/>
              <w:left w:val="nil"/>
              <w:bottom w:val="nil"/>
              <w:right w:val="nil"/>
            </w:tcBorders>
            <w:shd w:val="clear" w:color="auto" w:fill="auto"/>
            <w:noWrap/>
            <w:vAlign w:val="center"/>
            <w:hideMark/>
          </w:tcPr>
          <w:p w14:paraId="1F3C6E93" w14:textId="13514A1E" w:rsidR="00D54AB7" w:rsidRPr="001646A0" w:rsidRDefault="00D54AB7" w:rsidP="00B3190C">
            <w:pPr>
              <w:jc w:val="center"/>
              <w:rPr>
                <w:color w:val="000000"/>
              </w:rPr>
            </w:pPr>
            <w:r w:rsidRPr="001646A0">
              <w:rPr>
                <w:color w:val="000000"/>
                <w:sz w:val="22"/>
                <w:szCs w:val="22"/>
              </w:rPr>
              <w:t>5</w:t>
            </w:r>
            <w:r w:rsidR="00746DDB">
              <w:rPr>
                <w:color w:val="000000"/>
                <w:sz w:val="22"/>
                <w:szCs w:val="22"/>
              </w:rPr>
              <w:t>,</w:t>
            </w:r>
            <w:r w:rsidRPr="001646A0">
              <w:rPr>
                <w:color w:val="000000"/>
                <w:sz w:val="22"/>
                <w:szCs w:val="22"/>
              </w:rPr>
              <w:t>009</w:t>
            </w:r>
          </w:p>
        </w:tc>
        <w:tc>
          <w:tcPr>
            <w:tcW w:w="906" w:type="pct"/>
            <w:tcBorders>
              <w:top w:val="nil"/>
              <w:left w:val="nil"/>
              <w:bottom w:val="nil"/>
              <w:right w:val="nil"/>
            </w:tcBorders>
            <w:shd w:val="clear" w:color="auto" w:fill="auto"/>
            <w:noWrap/>
            <w:vAlign w:val="center"/>
            <w:hideMark/>
          </w:tcPr>
          <w:p w14:paraId="6C6AB239" w14:textId="068A3479" w:rsidR="00D54AB7" w:rsidRPr="001646A0" w:rsidRDefault="00D54AB7" w:rsidP="00B3190C">
            <w:pPr>
              <w:jc w:val="center"/>
              <w:rPr>
                <w:color w:val="000000"/>
              </w:rPr>
            </w:pPr>
            <w:r w:rsidRPr="001646A0">
              <w:rPr>
                <w:color w:val="000000"/>
                <w:sz w:val="22"/>
                <w:szCs w:val="22"/>
              </w:rPr>
              <w:t>19</w:t>
            </w:r>
            <w:r w:rsidR="00746DDB">
              <w:rPr>
                <w:color w:val="000000"/>
                <w:sz w:val="22"/>
                <w:szCs w:val="22"/>
              </w:rPr>
              <w:t>.</w:t>
            </w:r>
            <w:r w:rsidRPr="001646A0">
              <w:rPr>
                <w:color w:val="000000"/>
                <w:sz w:val="22"/>
                <w:szCs w:val="22"/>
              </w:rPr>
              <w:t>86%</w:t>
            </w:r>
          </w:p>
        </w:tc>
      </w:tr>
      <w:tr w:rsidR="00D54AB7" w:rsidRPr="001646A0" w14:paraId="1623024B" w14:textId="77777777" w:rsidTr="00365AC0">
        <w:trPr>
          <w:trHeight w:val="288"/>
        </w:trPr>
        <w:tc>
          <w:tcPr>
            <w:tcW w:w="1381" w:type="pct"/>
            <w:gridSpan w:val="2"/>
            <w:tcBorders>
              <w:top w:val="nil"/>
              <w:left w:val="nil"/>
              <w:bottom w:val="nil"/>
              <w:right w:val="nil"/>
            </w:tcBorders>
            <w:shd w:val="clear" w:color="auto" w:fill="auto"/>
            <w:noWrap/>
            <w:vAlign w:val="bottom"/>
            <w:hideMark/>
          </w:tcPr>
          <w:p w14:paraId="5801FC91" w14:textId="77777777" w:rsidR="00D54AB7" w:rsidRPr="001646A0" w:rsidRDefault="00D54AB7" w:rsidP="00B3190C">
            <w:pPr>
              <w:rPr>
                <w:color w:val="000000"/>
              </w:rPr>
            </w:pPr>
            <w:r w:rsidRPr="001646A0">
              <w:rPr>
                <w:color w:val="000000"/>
                <w:sz w:val="22"/>
                <w:szCs w:val="22"/>
              </w:rPr>
              <w:t>Journalism</w:t>
            </w:r>
          </w:p>
        </w:tc>
        <w:tc>
          <w:tcPr>
            <w:tcW w:w="808" w:type="pct"/>
            <w:tcBorders>
              <w:top w:val="nil"/>
              <w:left w:val="nil"/>
              <w:bottom w:val="nil"/>
              <w:right w:val="nil"/>
            </w:tcBorders>
            <w:shd w:val="clear" w:color="auto" w:fill="auto"/>
            <w:noWrap/>
            <w:vAlign w:val="center"/>
            <w:hideMark/>
          </w:tcPr>
          <w:p w14:paraId="5F431BA5" w14:textId="77777777" w:rsidR="00D54AB7" w:rsidRPr="001646A0" w:rsidRDefault="00D54AB7" w:rsidP="00B3190C">
            <w:pPr>
              <w:jc w:val="center"/>
              <w:rPr>
                <w:color w:val="000000"/>
              </w:rPr>
            </w:pPr>
            <w:r w:rsidRPr="001646A0">
              <w:rPr>
                <w:color w:val="000000"/>
                <w:sz w:val="22"/>
                <w:szCs w:val="22"/>
              </w:rPr>
              <w:t>286</w:t>
            </w:r>
          </w:p>
        </w:tc>
        <w:tc>
          <w:tcPr>
            <w:tcW w:w="906" w:type="pct"/>
            <w:tcBorders>
              <w:top w:val="nil"/>
              <w:left w:val="nil"/>
              <w:bottom w:val="nil"/>
              <w:right w:val="nil"/>
            </w:tcBorders>
            <w:shd w:val="clear" w:color="auto" w:fill="auto"/>
            <w:noWrap/>
            <w:vAlign w:val="center"/>
            <w:hideMark/>
          </w:tcPr>
          <w:p w14:paraId="2C886208" w14:textId="3F6A22F3" w:rsidR="00D54AB7" w:rsidRPr="001646A0" w:rsidRDefault="00D54AB7" w:rsidP="00B3190C">
            <w:pPr>
              <w:jc w:val="center"/>
              <w:rPr>
                <w:color w:val="000000"/>
              </w:rPr>
            </w:pPr>
            <w:r w:rsidRPr="001646A0">
              <w:rPr>
                <w:color w:val="000000"/>
                <w:sz w:val="22"/>
                <w:szCs w:val="22"/>
              </w:rPr>
              <w:t>1</w:t>
            </w:r>
            <w:r w:rsidR="00746DDB">
              <w:rPr>
                <w:color w:val="000000"/>
                <w:sz w:val="22"/>
                <w:szCs w:val="22"/>
              </w:rPr>
              <w:t>.</w:t>
            </w:r>
            <w:r w:rsidRPr="001646A0">
              <w:rPr>
                <w:color w:val="000000"/>
                <w:sz w:val="22"/>
                <w:szCs w:val="22"/>
              </w:rPr>
              <w:t>01%</w:t>
            </w:r>
          </w:p>
        </w:tc>
        <w:tc>
          <w:tcPr>
            <w:tcW w:w="191" w:type="pct"/>
            <w:tcBorders>
              <w:top w:val="nil"/>
              <w:left w:val="nil"/>
              <w:bottom w:val="nil"/>
              <w:right w:val="nil"/>
            </w:tcBorders>
            <w:shd w:val="clear" w:color="auto" w:fill="auto"/>
            <w:noWrap/>
            <w:vAlign w:val="bottom"/>
            <w:hideMark/>
          </w:tcPr>
          <w:p w14:paraId="0725A5A0" w14:textId="77777777" w:rsidR="00D54AB7" w:rsidRPr="001646A0" w:rsidRDefault="00D54AB7" w:rsidP="00B3190C">
            <w:pPr>
              <w:jc w:val="center"/>
              <w:rPr>
                <w:color w:val="000000"/>
              </w:rPr>
            </w:pPr>
          </w:p>
        </w:tc>
        <w:tc>
          <w:tcPr>
            <w:tcW w:w="808" w:type="pct"/>
            <w:tcBorders>
              <w:top w:val="nil"/>
              <w:left w:val="nil"/>
              <w:bottom w:val="nil"/>
              <w:right w:val="nil"/>
            </w:tcBorders>
            <w:shd w:val="clear" w:color="auto" w:fill="auto"/>
            <w:noWrap/>
            <w:vAlign w:val="center"/>
            <w:hideMark/>
          </w:tcPr>
          <w:p w14:paraId="4A4FA100" w14:textId="77777777" w:rsidR="00D54AB7" w:rsidRPr="001646A0" w:rsidRDefault="00D54AB7" w:rsidP="00B3190C">
            <w:pPr>
              <w:jc w:val="center"/>
              <w:rPr>
                <w:color w:val="000000"/>
              </w:rPr>
            </w:pPr>
            <w:r w:rsidRPr="001646A0">
              <w:rPr>
                <w:color w:val="000000"/>
                <w:sz w:val="22"/>
                <w:szCs w:val="22"/>
              </w:rPr>
              <w:t>169</w:t>
            </w:r>
          </w:p>
        </w:tc>
        <w:tc>
          <w:tcPr>
            <w:tcW w:w="906" w:type="pct"/>
            <w:tcBorders>
              <w:top w:val="nil"/>
              <w:left w:val="nil"/>
              <w:bottom w:val="nil"/>
              <w:right w:val="nil"/>
            </w:tcBorders>
            <w:shd w:val="clear" w:color="auto" w:fill="auto"/>
            <w:noWrap/>
            <w:vAlign w:val="center"/>
            <w:hideMark/>
          </w:tcPr>
          <w:p w14:paraId="6BE0477A" w14:textId="7E7F9862" w:rsidR="00D54AB7" w:rsidRPr="001646A0" w:rsidRDefault="00D54AB7" w:rsidP="00B3190C">
            <w:pPr>
              <w:jc w:val="center"/>
              <w:rPr>
                <w:color w:val="000000"/>
              </w:rPr>
            </w:pPr>
            <w:r w:rsidRPr="001646A0">
              <w:rPr>
                <w:color w:val="000000"/>
                <w:sz w:val="22"/>
                <w:szCs w:val="22"/>
              </w:rPr>
              <w:t>0</w:t>
            </w:r>
            <w:r w:rsidR="00746DDB">
              <w:rPr>
                <w:color w:val="000000"/>
                <w:sz w:val="22"/>
                <w:szCs w:val="22"/>
              </w:rPr>
              <w:t>.</w:t>
            </w:r>
            <w:r w:rsidRPr="001646A0">
              <w:rPr>
                <w:color w:val="000000"/>
                <w:sz w:val="22"/>
                <w:szCs w:val="22"/>
              </w:rPr>
              <w:t>67%</w:t>
            </w:r>
          </w:p>
        </w:tc>
      </w:tr>
      <w:tr w:rsidR="00D54AB7" w:rsidRPr="001646A0" w14:paraId="1C334FB5" w14:textId="77777777" w:rsidTr="00B3190C">
        <w:trPr>
          <w:trHeight w:val="288"/>
        </w:trPr>
        <w:tc>
          <w:tcPr>
            <w:tcW w:w="1190" w:type="pct"/>
            <w:tcBorders>
              <w:top w:val="nil"/>
              <w:left w:val="nil"/>
              <w:bottom w:val="nil"/>
              <w:right w:val="nil"/>
            </w:tcBorders>
            <w:shd w:val="clear" w:color="auto" w:fill="auto"/>
            <w:noWrap/>
            <w:vAlign w:val="bottom"/>
            <w:hideMark/>
          </w:tcPr>
          <w:p w14:paraId="581BAB2C" w14:textId="77777777" w:rsidR="00D54AB7" w:rsidRPr="001646A0" w:rsidRDefault="00D54AB7" w:rsidP="00B3190C">
            <w:pPr>
              <w:rPr>
                <w:color w:val="000000"/>
              </w:rPr>
            </w:pPr>
            <w:r w:rsidRPr="001646A0">
              <w:rPr>
                <w:color w:val="000000"/>
                <w:sz w:val="22"/>
                <w:szCs w:val="22"/>
              </w:rPr>
              <w:t>Music</w:t>
            </w:r>
          </w:p>
        </w:tc>
        <w:tc>
          <w:tcPr>
            <w:tcW w:w="191" w:type="pct"/>
            <w:tcBorders>
              <w:top w:val="nil"/>
              <w:left w:val="nil"/>
              <w:bottom w:val="nil"/>
              <w:right w:val="nil"/>
            </w:tcBorders>
            <w:shd w:val="clear" w:color="auto" w:fill="auto"/>
            <w:noWrap/>
            <w:vAlign w:val="bottom"/>
            <w:hideMark/>
          </w:tcPr>
          <w:p w14:paraId="38828C1B" w14:textId="77777777" w:rsidR="00D54AB7" w:rsidRPr="001646A0" w:rsidRDefault="00D54AB7" w:rsidP="00B3190C">
            <w:pPr>
              <w:rPr>
                <w:color w:val="000000"/>
              </w:rPr>
            </w:pPr>
          </w:p>
        </w:tc>
        <w:tc>
          <w:tcPr>
            <w:tcW w:w="808" w:type="pct"/>
            <w:tcBorders>
              <w:top w:val="nil"/>
              <w:left w:val="nil"/>
              <w:bottom w:val="nil"/>
              <w:right w:val="nil"/>
            </w:tcBorders>
            <w:shd w:val="clear" w:color="auto" w:fill="auto"/>
            <w:noWrap/>
            <w:vAlign w:val="center"/>
            <w:hideMark/>
          </w:tcPr>
          <w:p w14:paraId="0345A87A" w14:textId="11944B4E" w:rsidR="00D54AB7" w:rsidRPr="001646A0" w:rsidRDefault="00D54AB7" w:rsidP="00B3190C">
            <w:pPr>
              <w:jc w:val="center"/>
              <w:rPr>
                <w:color w:val="000000"/>
              </w:rPr>
            </w:pPr>
            <w:r w:rsidRPr="001646A0">
              <w:rPr>
                <w:color w:val="000000"/>
                <w:sz w:val="22"/>
                <w:szCs w:val="22"/>
              </w:rPr>
              <w:t>1</w:t>
            </w:r>
            <w:r w:rsidR="00746DDB">
              <w:rPr>
                <w:color w:val="000000"/>
                <w:sz w:val="22"/>
                <w:szCs w:val="22"/>
              </w:rPr>
              <w:t>,</w:t>
            </w:r>
            <w:r w:rsidRPr="001646A0">
              <w:rPr>
                <w:color w:val="000000"/>
                <w:sz w:val="22"/>
                <w:szCs w:val="22"/>
              </w:rPr>
              <w:t>890</w:t>
            </w:r>
          </w:p>
        </w:tc>
        <w:tc>
          <w:tcPr>
            <w:tcW w:w="906" w:type="pct"/>
            <w:tcBorders>
              <w:top w:val="nil"/>
              <w:left w:val="nil"/>
              <w:bottom w:val="nil"/>
              <w:right w:val="nil"/>
            </w:tcBorders>
            <w:shd w:val="clear" w:color="auto" w:fill="auto"/>
            <w:noWrap/>
            <w:vAlign w:val="center"/>
            <w:hideMark/>
          </w:tcPr>
          <w:p w14:paraId="225CFA6F" w14:textId="4EDF9DAF" w:rsidR="00D54AB7" w:rsidRPr="001646A0" w:rsidRDefault="00D54AB7" w:rsidP="00B3190C">
            <w:pPr>
              <w:jc w:val="center"/>
              <w:rPr>
                <w:color w:val="000000"/>
              </w:rPr>
            </w:pPr>
            <w:r w:rsidRPr="001646A0">
              <w:rPr>
                <w:color w:val="000000"/>
                <w:sz w:val="22"/>
                <w:szCs w:val="22"/>
              </w:rPr>
              <w:t>6</w:t>
            </w:r>
            <w:r w:rsidR="00746DDB">
              <w:rPr>
                <w:color w:val="000000"/>
                <w:sz w:val="22"/>
                <w:szCs w:val="22"/>
              </w:rPr>
              <w:t>.</w:t>
            </w:r>
            <w:r w:rsidRPr="001646A0">
              <w:rPr>
                <w:color w:val="000000"/>
                <w:sz w:val="22"/>
                <w:szCs w:val="22"/>
              </w:rPr>
              <w:t>68%</w:t>
            </w:r>
          </w:p>
        </w:tc>
        <w:tc>
          <w:tcPr>
            <w:tcW w:w="191" w:type="pct"/>
            <w:tcBorders>
              <w:top w:val="nil"/>
              <w:left w:val="nil"/>
              <w:bottom w:val="nil"/>
              <w:right w:val="nil"/>
            </w:tcBorders>
            <w:shd w:val="clear" w:color="auto" w:fill="auto"/>
            <w:noWrap/>
            <w:vAlign w:val="bottom"/>
            <w:hideMark/>
          </w:tcPr>
          <w:p w14:paraId="64002AF3" w14:textId="77777777" w:rsidR="00D54AB7" w:rsidRPr="001646A0" w:rsidRDefault="00D54AB7" w:rsidP="00B3190C">
            <w:pPr>
              <w:jc w:val="center"/>
              <w:rPr>
                <w:color w:val="000000"/>
              </w:rPr>
            </w:pPr>
          </w:p>
        </w:tc>
        <w:tc>
          <w:tcPr>
            <w:tcW w:w="808" w:type="pct"/>
            <w:tcBorders>
              <w:top w:val="nil"/>
              <w:left w:val="nil"/>
              <w:bottom w:val="nil"/>
              <w:right w:val="nil"/>
            </w:tcBorders>
            <w:shd w:val="clear" w:color="auto" w:fill="auto"/>
            <w:noWrap/>
            <w:vAlign w:val="center"/>
            <w:hideMark/>
          </w:tcPr>
          <w:p w14:paraId="757C86B6" w14:textId="624CB7C5" w:rsidR="00D54AB7" w:rsidRPr="001646A0" w:rsidRDefault="00D54AB7" w:rsidP="00B3190C">
            <w:pPr>
              <w:jc w:val="center"/>
              <w:rPr>
                <w:color w:val="000000"/>
              </w:rPr>
            </w:pPr>
            <w:r w:rsidRPr="001646A0">
              <w:rPr>
                <w:color w:val="000000"/>
                <w:sz w:val="22"/>
                <w:szCs w:val="22"/>
              </w:rPr>
              <w:t>1</w:t>
            </w:r>
            <w:r w:rsidR="00746DDB">
              <w:rPr>
                <w:color w:val="000000"/>
                <w:sz w:val="22"/>
                <w:szCs w:val="22"/>
              </w:rPr>
              <w:t>,</w:t>
            </w:r>
            <w:r w:rsidRPr="001646A0">
              <w:rPr>
                <w:color w:val="000000"/>
                <w:sz w:val="22"/>
                <w:szCs w:val="22"/>
              </w:rPr>
              <w:t>155</w:t>
            </w:r>
          </w:p>
        </w:tc>
        <w:tc>
          <w:tcPr>
            <w:tcW w:w="906" w:type="pct"/>
            <w:tcBorders>
              <w:top w:val="nil"/>
              <w:left w:val="nil"/>
              <w:bottom w:val="nil"/>
              <w:right w:val="nil"/>
            </w:tcBorders>
            <w:shd w:val="clear" w:color="auto" w:fill="auto"/>
            <w:noWrap/>
            <w:vAlign w:val="center"/>
            <w:hideMark/>
          </w:tcPr>
          <w:p w14:paraId="4548FD89" w14:textId="7C4D2A95" w:rsidR="00D54AB7" w:rsidRPr="001646A0" w:rsidRDefault="00D54AB7" w:rsidP="00B3190C">
            <w:pPr>
              <w:jc w:val="center"/>
              <w:rPr>
                <w:color w:val="000000"/>
              </w:rPr>
            </w:pPr>
            <w:r w:rsidRPr="001646A0">
              <w:rPr>
                <w:color w:val="000000"/>
                <w:sz w:val="22"/>
                <w:szCs w:val="22"/>
              </w:rPr>
              <w:t>4</w:t>
            </w:r>
            <w:r w:rsidR="00746DDB">
              <w:rPr>
                <w:color w:val="000000"/>
                <w:sz w:val="22"/>
                <w:szCs w:val="22"/>
              </w:rPr>
              <w:t>.</w:t>
            </w:r>
            <w:r w:rsidRPr="001646A0">
              <w:rPr>
                <w:color w:val="000000"/>
                <w:sz w:val="22"/>
                <w:szCs w:val="22"/>
              </w:rPr>
              <w:t>58%</w:t>
            </w:r>
          </w:p>
        </w:tc>
      </w:tr>
      <w:tr w:rsidR="00D54AB7" w:rsidRPr="001646A0" w14:paraId="3EF63658" w14:textId="77777777" w:rsidTr="00365AC0">
        <w:trPr>
          <w:trHeight w:val="288"/>
        </w:trPr>
        <w:tc>
          <w:tcPr>
            <w:tcW w:w="1381" w:type="pct"/>
            <w:gridSpan w:val="2"/>
            <w:tcBorders>
              <w:top w:val="nil"/>
              <w:left w:val="nil"/>
              <w:bottom w:val="nil"/>
              <w:right w:val="nil"/>
            </w:tcBorders>
            <w:shd w:val="clear" w:color="auto" w:fill="auto"/>
            <w:noWrap/>
            <w:vAlign w:val="bottom"/>
            <w:hideMark/>
          </w:tcPr>
          <w:p w14:paraId="77858B8C" w14:textId="77777777" w:rsidR="00D54AB7" w:rsidRPr="001646A0" w:rsidRDefault="00D54AB7" w:rsidP="00B3190C">
            <w:pPr>
              <w:rPr>
                <w:color w:val="000000"/>
              </w:rPr>
            </w:pPr>
            <w:r w:rsidRPr="001646A0">
              <w:rPr>
                <w:color w:val="000000"/>
                <w:sz w:val="22"/>
                <w:szCs w:val="22"/>
              </w:rPr>
              <w:t>Photography</w:t>
            </w:r>
          </w:p>
        </w:tc>
        <w:tc>
          <w:tcPr>
            <w:tcW w:w="808" w:type="pct"/>
            <w:tcBorders>
              <w:top w:val="nil"/>
              <w:left w:val="nil"/>
              <w:bottom w:val="nil"/>
              <w:right w:val="nil"/>
            </w:tcBorders>
            <w:shd w:val="clear" w:color="auto" w:fill="auto"/>
            <w:noWrap/>
            <w:vAlign w:val="center"/>
            <w:hideMark/>
          </w:tcPr>
          <w:p w14:paraId="59476DEC" w14:textId="77777777" w:rsidR="00D54AB7" w:rsidRPr="001646A0" w:rsidRDefault="00D54AB7" w:rsidP="00B3190C">
            <w:pPr>
              <w:jc w:val="center"/>
              <w:rPr>
                <w:color w:val="000000"/>
              </w:rPr>
            </w:pPr>
            <w:r w:rsidRPr="001646A0">
              <w:rPr>
                <w:color w:val="000000"/>
                <w:sz w:val="22"/>
                <w:szCs w:val="22"/>
              </w:rPr>
              <w:t>475</w:t>
            </w:r>
          </w:p>
        </w:tc>
        <w:tc>
          <w:tcPr>
            <w:tcW w:w="906" w:type="pct"/>
            <w:tcBorders>
              <w:top w:val="nil"/>
              <w:left w:val="nil"/>
              <w:bottom w:val="nil"/>
              <w:right w:val="nil"/>
            </w:tcBorders>
            <w:shd w:val="clear" w:color="auto" w:fill="auto"/>
            <w:noWrap/>
            <w:vAlign w:val="center"/>
            <w:hideMark/>
          </w:tcPr>
          <w:p w14:paraId="2450DE83" w14:textId="6C038708" w:rsidR="00D54AB7" w:rsidRPr="001646A0" w:rsidRDefault="00D54AB7" w:rsidP="00B3190C">
            <w:pPr>
              <w:jc w:val="center"/>
              <w:rPr>
                <w:color w:val="000000"/>
              </w:rPr>
            </w:pPr>
            <w:r w:rsidRPr="001646A0">
              <w:rPr>
                <w:color w:val="000000"/>
                <w:sz w:val="22"/>
                <w:szCs w:val="22"/>
              </w:rPr>
              <w:t>1</w:t>
            </w:r>
            <w:r w:rsidR="00746DDB">
              <w:rPr>
                <w:color w:val="000000"/>
                <w:sz w:val="22"/>
                <w:szCs w:val="22"/>
              </w:rPr>
              <w:t>.</w:t>
            </w:r>
            <w:r w:rsidRPr="001646A0">
              <w:rPr>
                <w:color w:val="000000"/>
                <w:sz w:val="22"/>
                <w:szCs w:val="22"/>
              </w:rPr>
              <w:t>68%</w:t>
            </w:r>
          </w:p>
        </w:tc>
        <w:tc>
          <w:tcPr>
            <w:tcW w:w="191" w:type="pct"/>
            <w:tcBorders>
              <w:top w:val="nil"/>
              <w:left w:val="nil"/>
              <w:bottom w:val="nil"/>
              <w:right w:val="nil"/>
            </w:tcBorders>
            <w:shd w:val="clear" w:color="auto" w:fill="auto"/>
            <w:noWrap/>
            <w:vAlign w:val="bottom"/>
            <w:hideMark/>
          </w:tcPr>
          <w:p w14:paraId="4D751105" w14:textId="77777777" w:rsidR="00D54AB7" w:rsidRPr="001646A0" w:rsidRDefault="00D54AB7" w:rsidP="00B3190C">
            <w:pPr>
              <w:jc w:val="center"/>
              <w:rPr>
                <w:color w:val="000000"/>
              </w:rPr>
            </w:pPr>
          </w:p>
        </w:tc>
        <w:tc>
          <w:tcPr>
            <w:tcW w:w="808" w:type="pct"/>
            <w:tcBorders>
              <w:top w:val="nil"/>
              <w:left w:val="nil"/>
              <w:bottom w:val="nil"/>
              <w:right w:val="nil"/>
            </w:tcBorders>
            <w:shd w:val="clear" w:color="auto" w:fill="auto"/>
            <w:noWrap/>
            <w:vAlign w:val="center"/>
            <w:hideMark/>
          </w:tcPr>
          <w:p w14:paraId="1F1AC6F5" w14:textId="77777777" w:rsidR="00D54AB7" w:rsidRPr="001646A0" w:rsidRDefault="00D54AB7" w:rsidP="00B3190C">
            <w:pPr>
              <w:jc w:val="center"/>
              <w:rPr>
                <w:color w:val="000000"/>
              </w:rPr>
            </w:pPr>
            <w:r w:rsidRPr="001646A0">
              <w:rPr>
                <w:color w:val="000000"/>
                <w:sz w:val="22"/>
                <w:szCs w:val="22"/>
              </w:rPr>
              <w:t>366</w:t>
            </w:r>
          </w:p>
        </w:tc>
        <w:tc>
          <w:tcPr>
            <w:tcW w:w="906" w:type="pct"/>
            <w:tcBorders>
              <w:top w:val="nil"/>
              <w:left w:val="nil"/>
              <w:bottom w:val="nil"/>
              <w:right w:val="nil"/>
            </w:tcBorders>
            <w:shd w:val="clear" w:color="auto" w:fill="auto"/>
            <w:noWrap/>
            <w:vAlign w:val="center"/>
            <w:hideMark/>
          </w:tcPr>
          <w:p w14:paraId="614F6C2F" w14:textId="19DFD2EF" w:rsidR="00D54AB7" w:rsidRPr="001646A0" w:rsidRDefault="00D54AB7" w:rsidP="00B3190C">
            <w:pPr>
              <w:jc w:val="center"/>
              <w:rPr>
                <w:color w:val="000000"/>
              </w:rPr>
            </w:pPr>
            <w:r w:rsidRPr="001646A0">
              <w:rPr>
                <w:color w:val="000000"/>
                <w:sz w:val="22"/>
                <w:szCs w:val="22"/>
              </w:rPr>
              <w:t>1</w:t>
            </w:r>
            <w:r w:rsidR="00746DDB">
              <w:rPr>
                <w:color w:val="000000"/>
                <w:sz w:val="22"/>
                <w:szCs w:val="22"/>
              </w:rPr>
              <w:t>.</w:t>
            </w:r>
            <w:r w:rsidRPr="001646A0">
              <w:rPr>
                <w:color w:val="000000"/>
                <w:sz w:val="22"/>
                <w:szCs w:val="22"/>
              </w:rPr>
              <w:t>45%</w:t>
            </w:r>
          </w:p>
        </w:tc>
      </w:tr>
      <w:tr w:rsidR="00D54AB7" w:rsidRPr="001646A0" w14:paraId="31BDA1C5" w14:textId="77777777" w:rsidTr="00B3190C">
        <w:trPr>
          <w:trHeight w:val="288"/>
        </w:trPr>
        <w:tc>
          <w:tcPr>
            <w:tcW w:w="1190" w:type="pct"/>
            <w:tcBorders>
              <w:top w:val="nil"/>
              <w:left w:val="nil"/>
              <w:bottom w:val="nil"/>
              <w:right w:val="nil"/>
            </w:tcBorders>
            <w:shd w:val="clear" w:color="auto" w:fill="auto"/>
            <w:noWrap/>
            <w:vAlign w:val="bottom"/>
            <w:hideMark/>
          </w:tcPr>
          <w:p w14:paraId="068F9DB2" w14:textId="77777777" w:rsidR="00D54AB7" w:rsidRPr="001646A0" w:rsidRDefault="00D54AB7" w:rsidP="00B3190C">
            <w:pPr>
              <w:rPr>
                <w:color w:val="000000"/>
              </w:rPr>
            </w:pPr>
            <w:r w:rsidRPr="001646A0">
              <w:rPr>
                <w:color w:val="000000"/>
                <w:sz w:val="22"/>
                <w:szCs w:val="22"/>
              </w:rPr>
              <w:t>Publishing</w:t>
            </w:r>
          </w:p>
        </w:tc>
        <w:tc>
          <w:tcPr>
            <w:tcW w:w="191" w:type="pct"/>
            <w:tcBorders>
              <w:top w:val="nil"/>
              <w:left w:val="nil"/>
              <w:bottom w:val="nil"/>
              <w:right w:val="nil"/>
            </w:tcBorders>
            <w:shd w:val="clear" w:color="auto" w:fill="auto"/>
            <w:noWrap/>
            <w:vAlign w:val="bottom"/>
            <w:hideMark/>
          </w:tcPr>
          <w:p w14:paraId="4EA17354" w14:textId="77777777" w:rsidR="00D54AB7" w:rsidRPr="001646A0" w:rsidRDefault="00D54AB7" w:rsidP="00B3190C">
            <w:pPr>
              <w:rPr>
                <w:color w:val="000000"/>
              </w:rPr>
            </w:pPr>
          </w:p>
        </w:tc>
        <w:tc>
          <w:tcPr>
            <w:tcW w:w="808" w:type="pct"/>
            <w:tcBorders>
              <w:top w:val="nil"/>
              <w:left w:val="nil"/>
              <w:bottom w:val="nil"/>
              <w:right w:val="nil"/>
            </w:tcBorders>
            <w:shd w:val="clear" w:color="auto" w:fill="auto"/>
            <w:noWrap/>
            <w:vAlign w:val="center"/>
            <w:hideMark/>
          </w:tcPr>
          <w:p w14:paraId="22D24A2A" w14:textId="4EE11EBC" w:rsidR="00D54AB7" w:rsidRPr="001646A0" w:rsidRDefault="00D54AB7" w:rsidP="00B3190C">
            <w:pPr>
              <w:jc w:val="center"/>
              <w:rPr>
                <w:color w:val="000000"/>
              </w:rPr>
            </w:pPr>
            <w:r w:rsidRPr="001646A0">
              <w:rPr>
                <w:color w:val="000000"/>
                <w:sz w:val="22"/>
                <w:szCs w:val="22"/>
              </w:rPr>
              <w:t>2</w:t>
            </w:r>
            <w:r w:rsidR="00746DDB">
              <w:rPr>
                <w:color w:val="000000"/>
                <w:sz w:val="22"/>
                <w:szCs w:val="22"/>
              </w:rPr>
              <w:t>,</w:t>
            </w:r>
            <w:r w:rsidRPr="001646A0">
              <w:rPr>
                <w:color w:val="000000"/>
                <w:sz w:val="22"/>
                <w:szCs w:val="22"/>
              </w:rPr>
              <w:t>186</w:t>
            </w:r>
          </w:p>
        </w:tc>
        <w:tc>
          <w:tcPr>
            <w:tcW w:w="906" w:type="pct"/>
            <w:tcBorders>
              <w:top w:val="nil"/>
              <w:left w:val="nil"/>
              <w:bottom w:val="nil"/>
              <w:right w:val="nil"/>
            </w:tcBorders>
            <w:shd w:val="clear" w:color="auto" w:fill="auto"/>
            <w:noWrap/>
            <w:vAlign w:val="center"/>
            <w:hideMark/>
          </w:tcPr>
          <w:p w14:paraId="7873EF44" w14:textId="2B69DEDF" w:rsidR="00D54AB7" w:rsidRPr="001646A0" w:rsidRDefault="00D54AB7" w:rsidP="00B3190C">
            <w:pPr>
              <w:jc w:val="center"/>
              <w:rPr>
                <w:color w:val="000000"/>
              </w:rPr>
            </w:pPr>
            <w:r w:rsidRPr="001646A0">
              <w:rPr>
                <w:color w:val="000000"/>
                <w:sz w:val="22"/>
                <w:szCs w:val="22"/>
              </w:rPr>
              <w:t>7</w:t>
            </w:r>
            <w:r w:rsidR="00746DDB">
              <w:rPr>
                <w:color w:val="000000"/>
                <w:sz w:val="22"/>
                <w:szCs w:val="22"/>
              </w:rPr>
              <w:t>.</w:t>
            </w:r>
            <w:r w:rsidRPr="001646A0">
              <w:rPr>
                <w:color w:val="000000"/>
                <w:sz w:val="22"/>
                <w:szCs w:val="22"/>
              </w:rPr>
              <w:t>72%</w:t>
            </w:r>
          </w:p>
        </w:tc>
        <w:tc>
          <w:tcPr>
            <w:tcW w:w="191" w:type="pct"/>
            <w:tcBorders>
              <w:top w:val="nil"/>
              <w:left w:val="nil"/>
              <w:bottom w:val="nil"/>
              <w:right w:val="nil"/>
            </w:tcBorders>
            <w:shd w:val="clear" w:color="auto" w:fill="auto"/>
            <w:noWrap/>
            <w:vAlign w:val="bottom"/>
            <w:hideMark/>
          </w:tcPr>
          <w:p w14:paraId="12AF04E2" w14:textId="77777777" w:rsidR="00D54AB7" w:rsidRPr="001646A0" w:rsidRDefault="00D54AB7" w:rsidP="00B3190C">
            <w:pPr>
              <w:jc w:val="center"/>
              <w:rPr>
                <w:color w:val="000000"/>
              </w:rPr>
            </w:pPr>
          </w:p>
        </w:tc>
        <w:tc>
          <w:tcPr>
            <w:tcW w:w="808" w:type="pct"/>
            <w:tcBorders>
              <w:top w:val="nil"/>
              <w:left w:val="nil"/>
              <w:bottom w:val="nil"/>
              <w:right w:val="nil"/>
            </w:tcBorders>
            <w:shd w:val="clear" w:color="auto" w:fill="auto"/>
            <w:noWrap/>
            <w:vAlign w:val="center"/>
            <w:hideMark/>
          </w:tcPr>
          <w:p w14:paraId="5F5B0B45" w14:textId="1FEB82B2" w:rsidR="00D54AB7" w:rsidRPr="001646A0" w:rsidRDefault="00D54AB7" w:rsidP="00B3190C">
            <w:pPr>
              <w:jc w:val="center"/>
              <w:rPr>
                <w:color w:val="000000"/>
              </w:rPr>
            </w:pPr>
            <w:r w:rsidRPr="001646A0">
              <w:rPr>
                <w:color w:val="000000"/>
                <w:sz w:val="22"/>
                <w:szCs w:val="22"/>
              </w:rPr>
              <w:t>2</w:t>
            </w:r>
            <w:r w:rsidR="00746DDB">
              <w:rPr>
                <w:color w:val="000000"/>
                <w:sz w:val="22"/>
                <w:szCs w:val="22"/>
              </w:rPr>
              <w:t>,</w:t>
            </w:r>
            <w:r w:rsidRPr="001646A0">
              <w:rPr>
                <w:color w:val="000000"/>
                <w:sz w:val="22"/>
                <w:szCs w:val="22"/>
              </w:rPr>
              <w:t>075</w:t>
            </w:r>
          </w:p>
        </w:tc>
        <w:tc>
          <w:tcPr>
            <w:tcW w:w="906" w:type="pct"/>
            <w:tcBorders>
              <w:top w:val="nil"/>
              <w:left w:val="nil"/>
              <w:bottom w:val="nil"/>
              <w:right w:val="nil"/>
            </w:tcBorders>
            <w:shd w:val="clear" w:color="auto" w:fill="auto"/>
            <w:noWrap/>
            <w:vAlign w:val="center"/>
            <w:hideMark/>
          </w:tcPr>
          <w:p w14:paraId="42CC469C" w14:textId="6C864C99" w:rsidR="00D54AB7" w:rsidRPr="001646A0" w:rsidRDefault="00D54AB7" w:rsidP="00B3190C">
            <w:pPr>
              <w:jc w:val="center"/>
              <w:rPr>
                <w:color w:val="000000"/>
              </w:rPr>
            </w:pPr>
            <w:r w:rsidRPr="001646A0">
              <w:rPr>
                <w:color w:val="000000"/>
                <w:sz w:val="22"/>
                <w:szCs w:val="22"/>
              </w:rPr>
              <w:t>8</w:t>
            </w:r>
            <w:r w:rsidR="00746DDB">
              <w:rPr>
                <w:color w:val="000000"/>
                <w:sz w:val="22"/>
                <w:szCs w:val="22"/>
              </w:rPr>
              <w:t>.</w:t>
            </w:r>
            <w:r w:rsidRPr="001646A0">
              <w:rPr>
                <w:color w:val="000000"/>
                <w:sz w:val="22"/>
                <w:szCs w:val="22"/>
              </w:rPr>
              <w:t>23%</w:t>
            </w:r>
          </w:p>
        </w:tc>
      </w:tr>
      <w:tr w:rsidR="00D54AB7" w:rsidRPr="001646A0" w14:paraId="5515427A" w14:textId="77777777" w:rsidTr="00365AC0">
        <w:trPr>
          <w:trHeight w:val="288"/>
        </w:trPr>
        <w:tc>
          <w:tcPr>
            <w:tcW w:w="1381" w:type="pct"/>
            <w:gridSpan w:val="2"/>
            <w:tcBorders>
              <w:top w:val="nil"/>
              <w:left w:val="nil"/>
              <w:bottom w:val="nil"/>
              <w:right w:val="nil"/>
            </w:tcBorders>
            <w:shd w:val="clear" w:color="auto" w:fill="auto"/>
            <w:noWrap/>
            <w:vAlign w:val="bottom"/>
            <w:hideMark/>
          </w:tcPr>
          <w:p w14:paraId="52F3C6E6" w14:textId="77777777" w:rsidR="00D54AB7" w:rsidRPr="001646A0" w:rsidRDefault="00D54AB7" w:rsidP="00B3190C">
            <w:pPr>
              <w:rPr>
                <w:color w:val="000000"/>
              </w:rPr>
            </w:pPr>
            <w:r w:rsidRPr="001646A0">
              <w:rPr>
                <w:color w:val="000000"/>
                <w:sz w:val="22"/>
                <w:szCs w:val="22"/>
              </w:rPr>
              <w:t>Technology</w:t>
            </w:r>
          </w:p>
        </w:tc>
        <w:tc>
          <w:tcPr>
            <w:tcW w:w="808" w:type="pct"/>
            <w:tcBorders>
              <w:top w:val="nil"/>
              <w:left w:val="nil"/>
              <w:bottom w:val="nil"/>
              <w:right w:val="nil"/>
            </w:tcBorders>
            <w:shd w:val="clear" w:color="auto" w:fill="auto"/>
            <w:noWrap/>
            <w:vAlign w:val="center"/>
            <w:hideMark/>
          </w:tcPr>
          <w:p w14:paraId="6D225891" w14:textId="1505C95F" w:rsidR="00D54AB7" w:rsidRPr="001646A0" w:rsidRDefault="00D54AB7" w:rsidP="00B3190C">
            <w:pPr>
              <w:jc w:val="center"/>
              <w:rPr>
                <w:color w:val="000000"/>
              </w:rPr>
            </w:pPr>
            <w:r w:rsidRPr="001646A0">
              <w:rPr>
                <w:color w:val="000000"/>
                <w:sz w:val="22"/>
                <w:szCs w:val="22"/>
              </w:rPr>
              <w:t>2</w:t>
            </w:r>
            <w:r w:rsidR="00746DDB">
              <w:rPr>
                <w:color w:val="000000"/>
                <w:sz w:val="22"/>
                <w:szCs w:val="22"/>
              </w:rPr>
              <w:t>,</w:t>
            </w:r>
            <w:r w:rsidRPr="001646A0">
              <w:rPr>
                <w:color w:val="000000"/>
                <w:sz w:val="22"/>
                <w:szCs w:val="22"/>
              </w:rPr>
              <w:t>880</w:t>
            </w:r>
          </w:p>
        </w:tc>
        <w:tc>
          <w:tcPr>
            <w:tcW w:w="906" w:type="pct"/>
            <w:tcBorders>
              <w:top w:val="nil"/>
              <w:left w:val="nil"/>
              <w:bottom w:val="nil"/>
              <w:right w:val="nil"/>
            </w:tcBorders>
            <w:shd w:val="clear" w:color="auto" w:fill="auto"/>
            <w:noWrap/>
            <w:vAlign w:val="center"/>
            <w:hideMark/>
          </w:tcPr>
          <w:p w14:paraId="59ACABE9" w14:textId="73048573" w:rsidR="00D54AB7" w:rsidRPr="001646A0" w:rsidRDefault="00D54AB7" w:rsidP="00B3190C">
            <w:pPr>
              <w:jc w:val="center"/>
              <w:rPr>
                <w:color w:val="000000"/>
              </w:rPr>
            </w:pPr>
            <w:r w:rsidRPr="001646A0">
              <w:rPr>
                <w:color w:val="000000"/>
                <w:sz w:val="22"/>
                <w:szCs w:val="22"/>
              </w:rPr>
              <w:t>10</w:t>
            </w:r>
            <w:r w:rsidR="00746DDB">
              <w:rPr>
                <w:color w:val="000000"/>
                <w:sz w:val="22"/>
                <w:szCs w:val="22"/>
              </w:rPr>
              <w:t>.</w:t>
            </w:r>
            <w:r w:rsidRPr="001646A0">
              <w:rPr>
                <w:color w:val="000000"/>
                <w:sz w:val="22"/>
                <w:szCs w:val="22"/>
              </w:rPr>
              <w:t>17%</w:t>
            </w:r>
          </w:p>
        </w:tc>
        <w:tc>
          <w:tcPr>
            <w:tcW w:w="191" w:type="pct"/>
            <w:tcBorders>
              <w:top w:val="nil"/>
              <w:left w:val="nil"/>
              <w:bottom w:val="nil"/>
              <w:right w:val="nil"/>
            </w:tcBorders>
            <w:shd w:val="clear" w:color="auto" w:fill="auto"/>
            <w:noWrap/>
            <w:vAlign w:val="bottom"/>
            <w:hideMark/>
          </w:tcPr>
          <w:p w14:paraId="504BDF96" w14:textId="77777777" w:rsidR="00D54AB7" w:rsidRPr="001646A0" w:rsidRDefault="00D54AB7" w:rsidP="00B3190C">
            <w:pPr>
              <w:jc w:val="center"/>
              <w:rPr>
                <w:color w:val="000000"/>
              </w:rPr>
            </w:pPr>
          </w:p>
        </w:tc>
        <w:tc>
          <w:tcPr>
            <w:tcW w:w="808" w:type="pct"/>
            <w:tcBorders>
              <w:top w:val="nil"/>
              <w:left w:val="nil"/>
              <w:bottom w:val="nil"/>
              <w:right w:val="nil"/>
            </w:tcBorders>
            <w:shd w:val="clear" w:color="auto" w:fill="auto"/>
            <w:noWrap/>
            <w:vAlign w:val="center"/>
            <w:hideMark/>
          </w:tcPr>
          <w:p w14:paraId="09CD6473" w14:textId="3DFBE352" w:rsidR="00D54AB7" w:rsidRPr="001646A0" w:rsidRDefault="00D54AB7" w:rsidP="00B3190C">
            <w:pPr>
              <w:jc w:val="center"/>
              <w:rPr>
                <w:color w:val="000000"/>
              </w:rPr>
            </w:pPr>
            <w:r w:rsidRPr="001646A0">
              <w:rPr>
                <w:color w:val="000000"/>
                <w:sz w:val="22"/>
                <w:szCs w:val="22"/>
              </w:rPr>
              <w:t>2</w:t>
            </w:r>
            <w:r w:rsidR="00746DDB">
              <w:rPr>
                <w:color w:val="000000"/>
                <w:sz w:val="22"/>
                <w:szCs w:val="22"/>
              </w:rPr>
              <w:t>,</w:t>
            </w:r>
            <w:r w:rsidRPr="001646A0">
              <w:rPr>
                <w:color w:val="000000"/>
                <w:sz w:val="22"/>
                <w:szCs w:val="22"/>
              </w:rPr>
              <w:t>678</w:t>
            </w:r>
          </w:p>
        </w:tc>
        <w:tc>
          <w:tcPr>
            <w:tcW w:w="906" w:type="pct"/>
            <w:tcBorders>
              <w:top w:val="nil"/>
              <w:left w:val="nil"/>
              <w:bottom w:val="nil"/>
              <w:right w:val="nil"/>
            </w:tcBorders>
            <w:shd w:val="clear" w:color="auto" w:fill="auto"/>
            <w:noWrap/>
            <w:vAlign w:val="center"/>
            <w:hideMark/>
          </w:tcPr>
          <w:p w14:paraId="279332EC" w14:textId="5ACBA303" w:rsidR="00D54AB7" w:rsidRPr="001646A0" w:rsidRDefault="00D54AB7" w:rsidP="00B3190C">
            <w:pPr>
              <w:jc w:val="center"/>
              <w:rPr>
                <w:color w:val="000000"/>
              </w:rPr>
            </w:pPr>
            <w:r w:rsidRPr="001646A0">
              <w:rPr>
                <w:color w:val="000000"/>
                <w:sz w:val="22"/>
                <w:szCs w:val="22"/>
              </w:rPr>
              <w:t>10</w:t>
            </w:r>
            <w:r w:rsidR="00746DDB">
              <w:rPr>
                <w:color w:val="000000"/>
                <w:sz w:val="22"/>
                <w:szCs w:val="22"/>
              </w:rPr>
              <w:t>.</w:t>
            </w:r>
            <w:r w:rsidRPr="001646A0">
              <w:rPr>
                <w:color w:val="000000"/>
                <w:sz w:val="22"/>
                <w:szCs w:val="22"/>
              </w:rPr>
              <w:t>62%</w:t>
            </w:r>
          </w:p>
        </w:tc>
      </w:tr>
      <w:tr w:rsidR="00D54AB7" w:rsidRPr="001646A0" w14:paraId="3553A3C7" w14:textId="77777777" w:rsidTr="00B3190C">
        <w:trPr>
          <w:trHeight w:val="288"/>
        </w:trPr>
        <w:tc>
          <w:tcPr>
            <w:tcW w:w="1190" w:type="pct"/>
            <w:tcBorders>
              <w:top w:val="nil"/>
              <w:left w:val="nil"/>
              <w:bottom w:val="nil"/>
              <w:right w:val="nil"/>
            </w:tcBorders>
            <w:shd w:val="clear" w:color="auto" w:fill="auto"/>
            <w:noWrap/>
            <w:vAlign w:val="bottom"/>
            <w:hideMark/>
          </w:tcPr>
          <w:p w14:paraId="2BA42BBF" w14:textId="77777777" w:rsidR="00D54AB7" w:rsidRPr="001646A0" w:rsidRDefault="00D54AB7" w:rsidP="00B3190C">
            <w:pPr>
              <w:rPr>
                <w:color w:val="000000"/>
              </w:rPr>
            </w:pPr>
            <w:r w:rsidRPr="001646A0">
              <w:rPr>
                <w:color w:val="000000"/>
                <w:sz w:val="22"/>
                <w:szCs w:val="22"/>
              </w:rPr>
              <w:t>Theater</w:t>
            </w:r>
          </w:p>
        </w:tc>
        <w:tc>
          <w:tcPr>
            <w:tcW w:w="191" w:type="pct"/>
            <w:tcBorders>
              <w:top w:val="nil"/>
              <w:left w:val="nil"/>
              <w:bottom w:val="nil"/>
              <w:right w:val="nil"/>
            </w:tcBorders>
            <w:shd w:val="clear" w:color="auto" w:fill="auto"/>
            <w:noWrap/>
            <w:vAlign w:val="bottom"/>
            <w:hideMark/>
          </w:tcPr>
          <w:p w14:paraId="542F07AA" w14:textId="77777777" w:rsidR="00D54AB7" w:rsidRPr="001646A0" w:rsidRDefault="00D54AB7" w:rsidP="00B3190C">
            <w:pPr>
              <w:rPr>
                <w:color w:val="000000"/>
              </w:rPr>
            </w:pPr>
          </w:p>
        </w:tc>
        <w:tc>
          <w:tcPr>
            <w:tcW w:w="808" w:type="pct"/>
            <w:tcBorders>
              <w:top w:val="nil"/>
              <w:left w:val="nil"/>
              <w:bottom w:val="nil"/>
              <w:right w:val="nil"/>
            </w:tcBorders>
            <w:shd w:val="clear" w:color="auto" w:fill="auto"/>
            <w:noWrap/>
            <w:vAlign w:val="center"/>
            <w:hideMark/>
          </w:tcPr>
          <w:p w14:paraId="2B45F753" w14:textId="77777777" w:rsidR="00D54AB7" w:rsidRPr="001646A0" w:rsidRDefault="00D54AB7" w:rsidP="00B3190C">
            <w:pPr>
              <w:jc w:val="center"/>
              <w:rPr>
                <w:color w:val="000000"/>
              </w:rPr>
            </w:pPr>
            <w:r w:rsidRPr="001646A0">
              <w:rPr>
                <w:color w:val="000000"/>
                <w:sz w:val="22"/>
                <w:szCs w:val="22"/>
              </w:rPr>
              <w:t>463</w:t>
            </w:r>
          </w:p>
        </w:tc>
        <w:tc>
          <w:tcPr>
            <w:tcW w:w="906" w:type="pct"/>
            <w:tcBorders>
              <w:top w:val="nil"/>
              <w:left w:val="nil"/>
              <w:bottom w:val="nil"/>
              <w:right w:val="nil"/>
            </w:tcBorders>
            <w:shd w:val="clear" w:color="auto" w:fill="auto"/>
            <w:noWrap/>
            <w:vAlign w:val="center"/>
            <w:hideMark/>
          </w:tcPr>
          <w:p w14:paraId="362DFA94" w14:textId="50293C50" w:rsidR="00D54AB7" w:rsidRPr="001646A0" w:rsidRDefault="00D54AB7" w:rsidP="00B3190C">
            <w:pPr>
              <w:jc w:val="center"/>
              <w:rPr>
                <w:color w:val="000000"/>
              </w:rPr>
            </w:pPr>
            <w:r w:rsidRPr="001646A0">
              <w:rPr>
                <w:color w:val="000000"/>
                <w:sz w:val="22"/>
                <w:szCs w:val="22"/>
              </w:rPr>
              <w:t>1</w:t>
            </w:r>
            <w:r w:rsidR="00746DDB">
              <w:rPr>
                <w:color w:val="000000"/>
                <w:sz w:val="22"/>
                <w:szCs w:val="22"/>
              </w:rPr>
              <w:t>.</w:t>
            </w:r>
            <w:r w:rsidRPr="001646A0">
              <w:rPr>
                <w:color w:val="000000"/>
                <w:sz w:val="22"/>
                <w:szCs w:val="22"/>
              </w:rPr>
              <w:t>64%</w:t>
            </w:r>
          </w:p>
        </w:tc>
        <w:tc>
          <w:tcPr>
            <w:tcW w:w="191" w:type="pct"/>
            <w:tcBorders>
              <w:top w:val="nil"/>
              <w:left w:val="nil"/>
              <w:bottom w:val="nil"/>
              <w:right w:val="nil"/>
            </w:tcBorders>
            <w:shd w:val="clear" w:color="auto" w:fill="auto"/>
            <w:noWrap/>
            <w:vAlign w:val="bottom"/>
            <w:hideMark/>
          </w:tcPr>
          <w:p w14:paraId="1CF2C7ED" w14:textId="77777777" w:rsidR="00D54AB7" w:rsidRPr="001646A0" w:rsidRDefault="00D54AB7" w:rsidP="00B3190C">
            <w:pPr>
              <w:jc w:val="center"/>
              <w:rPr>
                <w:color w:val="000000"/>
              </w:rPr>
            </w:pPr>
          </w:p>
        </w:tc>
        <w:tc>
          <w:tcPr>
            <w:tcW w:w="808" w:type="pct"/>
            <w:tcBorders>
              <w:top w:val="nil"/>
              <w:left w:val="nil"/>
              <w:bottom w:val="nil"/>
              <w:right w:val="nil"/>
            </w:tcBorders>
            <w:shd w:val="clear" w:color="auto" w:fill="auto"/>
            <w:noWrap/>
            <w:vAlign w:val="center"/>
            <w:hideMark/>
          </w:tcPr>
          <w:p w14:paraId="28EC7F81" w14:textId="77777777" w:rsidR="00D54AB7" w:rsidRPr="001646A0" w:rsidRDefault="00D54AB7" w:rsidP="00B3190C">
            <w:pPr>
              <w:jc w:val="center"/>
              <w:rPr>
                <w:color w:val="000000"/>
              </w:rPr>
            </w:pPr>
            <w:r w:rsidRPr="001646A0">
              <w:rPr>
                <w:color w:val="000000"/>
                <w:sz w:val="22"/>
                <w:szCs w:val="22"/>
              </w:rPr>
              <w:t>119</w:t>
            </w:r>
          </w:p>
        </w:tc>
        <w:tc>
          <w:tcPr>
            <w:tcW w:w="906" w:type="pct"/>
            <w:tcBorders>
              <w:top w:val="nil"/>
              <w:left w:val="nil"/>
              <w:bottom w:val="nil"/>
              <w:right w:val="nil"/>
            </w:tcBorders>
            <w:shd w:val="clear" w:color="auto" w:fill="auto"/>
            <w:noWrap/>
            <w:vAlign w:val="center"/>
            <w:hideMark/>
          </w:tcPr>
          <w:p w14:paraId="13E43861" w14:textId="26D78F83" w:rsidR="00D54AB7" w:rsidRPr="001646A0" w:rsidRDefault="00D54AB7" w:rsidP="00B3190C">
            <w:pPr>
              <w:jc w:val="center"/>
              <w:rPr>
                <w:color w:val="000000"/>
              </w:rPr>
            </w:pPr>
            <w:r w:rsidRPr="001646A0">
              <w:rPr>
                <w:color w:val="000000"/>
                <w:sz w:val="22"/>
                <w:szCs w:val="22"/>
              </w:rPr>
              <w:t>0</w:t>
            </w:r>
            <w:r w:rsidR="00746DDB">
              <w:rPr>
                <w:color w:val="000000"/>
                <w:sz w:val="22"/>
                <w:szCs w:val="22"/>
              </w:rPr>
              <w:t>.</w:t>
            </w:r>
            <w:r w:rsidRPr="001646A0">
              <w:rPr>
                <w:color w:val="000000"/>
                <w:sz w:val="22"/>
                <w:szCs w:val="22"/>
              </w:rPr>
              <w:t>47%</w:t>
            </w:r>
          </w:p>
        </w:tc>
      </w:tr>
      <w:tr w:rsidR="00D54AB7" w:rsidRPr="001646A0" w14:paraId="7AA52C5F" w14:textId="77777777" w:rsidTr="00B3190C">
        <w:trPr>
          <w:trHeight w:val="288"/>
        </w:trPr>
        <w:tc>
          <w:tcPr>
            <w:tcW w:w="1190" w:type="pct"/>
            <w:tcBorders>
              <w:top w:val="nil"/>
              <w:left w:val="nil"/>
              <w:bottom w:val="single" w:sz="4" w:space="0" w:color="auto"/>
              <w:right w:val="nil"/>
            </w:tcBorders>
            <w:shd w:val="clear" w:color="auto" w:fill="auto"/>
            <w:noWrap/>
            <w:vAlign w:val="bottom"/>
            <w:hideMark/>
          </w:tcPr>
          <w:p w14:paraId="64BEC828" w14:textId="77777777" w:rsidR="00D54AB7" w:rsidRPr="001646A0" w:rsidRDefault="00D54AB7" w:rsidP="00B3190C">
            <w:pPr>
              <w:rPr>
                <w:color w:val="000000"/>
              </w:rPr>
            </w:pPr>
            <w:r w:rsidRPr="001646A0">
              <w:rPr>
                <w:color w:val="000000"/>
                <w:sz w:val="22"/>
                <w:szCs w:val="22"/>
              </w:rPr>
              <w:t>Other</w:t>
            </w:r>
          </w:p>
        </w:tc>
        <w:tc>
          <w:tcPr>
            <w:tcW w:w="191" w:type="pct"/>
            <w:tcBorders>
              <w:top w:val="nil"/>
              <w:left w:val="nil"/>
              <w:bottom w:val="nil"/>
              <w:right w:val="nil"/>
            </w:tcBorders>
            <w:shd w:val="clear" w:color="auto" w:fill="auto"/>
            <w:noWrap/>
            <w:vAlign w:val="bottom"/>
            <w:hideMark/>
          </w:tcPr>
          <w:p w14:paraId="06118F96" w14:textId="77777777" w:rsidR="00D54AB7" w:rsidRPr="001646A0" w:rsidRDefault="00D54AB7" w:rsidP="00B3190C">
            <w:pPr>
              <w:rPr>
                <w:color w:val="000000"/>
              </w:rPr>
            </w:pPr>
          </w:p>
        </w:tc>
        <w:tc>
          <w:tcPr>
            <w:tcW w:w="808" w:type="pct"/>
            <w:tcBorders>
              <w:top w:val="nil"/>
              <w:left w:val="nil"/>
              <w:bottom w:val="single" w:sz="4" w:space="0" w:color="auto"/>
              <w:right w:val="nil"/>
            </w:tcBorders>
            <w:shd w:val="clear" w:color="auto" w:fill="auto"/>
            <w:noWrap/>
            <w:vAlign w:val="center"/>
            <w:hideMark/>
          </w:tcPr>
          <w:p w14:paraId="6ABE13EE" w14:textId="2FF29044" w:rsidR="00D54AB7" w:rsidRPr="001646A0" w:rsidRDefault="00D54AB7" w:rsidP="00B3190C">
            <w:pPr>
              <w:jc w:val="center"/>
              <w:rPr>
                <w:color w:val="000000"/>
              </w:rPr>
            </w:pPr>
            <w:r w:rsidRPr="001646A0">
              <w:rPr>
                <w:color w:val="000000"/>
                <w:sz w:val="22"/>
                <w:szCs w:val="22"/>
              </w:rPr>
              <w:t>3</w:t>
            </w:r>
            <w:r w:rsidR="00746DDB">
              <w:rPr>
                <w:color w:val="000000"/>
                <w:sz w:val="22"/>
                <w:szCs w:val="22"/>
              </w:rPr>
              <w:t>,</w:t>
            </w:r>
            <w:r w:rsidRPr="001646A0">
              <w:rPr>
                <w:color w:val="000000"/>
                <w:sz w:val="22"/>
                <w:szCs w:val="22"/>
              </w:rPr>
              <w:t>302</w:t>
            </w:r>
          </w:p>
        </w:tc>
        <w:tc>
          <w:tcPr>
            <w:tcW w:w="906" w:type="pct"/>
            <w:tcBorders>
              <w:top w:val="nil"/>
              <w:left w:val="nil"/>
              <w:bottom w:val="single" w:sz="4" w:space="0" w:color="auto"/>
              <w:right w:val="nil"/>
            </w:tcBorders>
            <w:shd w:val="clear" w:color="auto" w:fill="auto"/>
            <w:noWrap/>
            <w:vAlign w:val="center"/>
            <w:hideMark/>
          </w:tcPr>
          <w:p w14:paraId="190F7245" w14:textId="4B76C921" w:rsidR="00D54AB7" w:rsidRPr="001646A0" w:rsidRDefault="00D54AB7" w:rsidP="00B3190C">
            <w:pPr>
              <w:jc w:val="center"/>
              <w:rPr>
                <w:color w:val="000000"/>
              </w:rPr>
            </w:pPr>
            <w:r w:rsidRPr="001646A0">
              <w:rPr>
                <w:color w:val="000000"/>
                <w:sz w:val="22"/>
                <w:szCs w:val="22"/>
              </w:rPr>
              <w:t>11</w:t>
            </w:r>
            <w:r w:rsidR="00746DDB">
              <w:rPr>
                <w:color w:val="000000"/>
                <w:sz w:val="22"/>
                <w:szCs w:val="22"/>
              </w:rPr>
              <w:t>.</w:t>
            </w:r>
            <w:r w:rsidRPr="001646A0">
              <w:rPr>
                <w:color w:val="000000"/>
                <w:sz w:val="22"/>
                <w:szCs w:val="22"/>
              </w:rPr>
              <w:t>66%</w:t>
            </w:r>
          </w:p>
        </w:tc>
        <w:tc>
          <w:tcPr>
            <w:tcW w:w="191" w:type="pct"/>
            <w:tcBorders>
              <w:top w:val="nil"/>
              <w:left w:val="nil"/>
              <w:bottom w:val="nil"/>
              <w:right w:val="nil"/>
            </w:tcBorders>
            <w:shd w:val="clear" w:color="auto" w:fill="auto"/>
            <w:noWrap/>
            <w:vAlign w:val="bottom"/>
            <w:hideMark/>
          </w:tcPr>
          <w:p w14:paraId="009F8E9F" w14:textId="77777777" w:rsidR="00D54AB7" w:rsidRPr="001646A0" w:rsidRDefault="00D54AB7" w:rsidP="00B3190C">
            <w:pPr>
              <w:jc w:val="center"/>
              <w:rPr>
                <w:color w:val="000000"/>
              </w:rPr>
            </w:pPr>
          </w:p>
        </w:tc>
        <w:tc>
          <w:tcPr>
            <w:tcW w:w="808" w:type="pct"/>
            <w:tcBorders>
              <w:top w:val="nil"/>
              <w:left w:val="nil"/>
              <w:bottom w:val="single" w:sz="4" w:space="0" w:color="auto"/>
              <w:right w:val="nil"/>
            </w:tcBorders>
            <w:shd w:val="clear" w:color="auto" w:fill="auto"/>
            <w:noWrap/>
            <w:vAlign w:val="center"/>
            <w:hideMark/>
          </w:tcPr>
          <w:p w14:paraId="042F1D2B" w14:textId="29D286D2" w:rsidR="00D54AB7" w:rsidRPr="001646A0" w:rsidRDefault="00D54AB7" w:rsidP="00B3190C">
            <w:pPr>
              <w:jc w:val="center"/>
              <w:rPr>
                <w:color w:val="000000"/>
              </w:rPr>
            </w:pPr>
            <w:r w:rsidRPr="001646A0">
              <w:rPr>
                <w:color w:val="000000"/>
                <w:sz w:val="22"/>
                <w:szCs w:val="22"/>
              </w:rPr>
              <w:t>3</w:t>
            </w:r>
            <w:r w:rsidR="00746DDB">
              <w:rPr>
                <w:color w:val="000000"/>
                <w:sz w:val="22"/>
                <w:szCs w:val="22"/>
              </w:rPr>
              <w:t>,</w:t>
            </w:r>
            <w:r w:rsidRPr="001646A0">
              <w:rPr>
                <w:color w:val="000000"/>
                <w:sz w:val="22"/>
                <w:szCs w:val="22"/>
              </w:rPr>
              <w:t>013</w:t>
            </w:r>
          </w:p>
        </w:tc>
        <w:tc>
          <w:tcPr>
            <w:tcW w:w="906" w:type="pct"/>
            <w:tcBorders>
              <w:top w:val="nil"/>
              <w:left w:val="nil"/>
              <w:bottom w:val="single" w:sz="4" w:space="0" w:color="auto"/>
              <w:right w:val="nil"/>
            </w:tcBorders>
            <w:shd w:val="clear" w:color="auto" w:fill="auto"/>
            <w:noWrap/>
            <w:vAlign w:val="center"/>
            <w:hideMark/>
          </w:tcPr>
          <w:p w14:paraId="1E7E9EF7" w14:textId="1CE184EE" w:rsidR="00D54AB7" w:rsidRPr="001646A0" w:rsidRDefault="00D54AB7" w:rsidP="00B3190C">
            <w:pPr>
              <w:jc w:val="center"/>
              <w:rPr>
                <w:color w:val="000000"/>
              </w:rPr>
            </w:pPr>
            <w:r w:rsidRPr="001646A0">
              <w:rPr>
                <w:color w:val="000000"/>
                <w:sz w:val="22"/>
                <w:szCs w:val="22"/>
              </w:rPr>
              <w:t>11</w:t>
            </w:r>
            <w:r w:rsidR="00746DDB">
              <w:rPr>
                <w:color w:val="000000"/>
                <w:sz w:val="22"/>
                <w:szCs w:val="22"/>
              </w:rPr>
              <w:t>.</w:t>
            </w:r>
            <w:r w:rsidRPr="001646A0">
              <w:rPr>
                <w:color w:val="000000"/>
                <w:sz w:val="22"/>
                <w:szCs w:val="22"/>
              </w:rPr>
              <w:t>95%</w:t>
            </w:r>
          </w:p>
        </w:tc>
      </w:tr>
      <w:tr w:rsidR="00D54AB7" w:rsidRPr="001646A0" w14:paraId="69760269" w14:textId="77777777" w:rsidTr="00B3190C">
        <w:trPr>
          <w:trHeight w:val="300"/>
        </w:trPr>
        <w:tc>
          <w:tcPr>
            <w:tcW w:w="1190" w:type="pct"/>
            <w:tcBorders>
              <w:top w:val="nil"/>
              <w:left w:val="nil"/>
              <w:bottom w:val="double" w:sz="6" w:space="0" w:color="auto"/>
              <w:right w:val="nil"/>
            </w:tcBorders>
            <w:shd w:val="clear" w:color="auto" w:fill="auto"/>
            <w:noWrap/>
            <w:vAlign w:val="center"/>
            <w:hideMark/>
          </w:tcPr>
          <w:p w14:paraId="2DA433BC" w14:textId="77777777" w:rsidR="00D54AB7" w:rsidRPr="001646A0" w:rsidRDefault="00D54AB7" w:rsidP="00B3190C">
            <w:pPr>
              <w:rPr>
                <w:b/>
                <w:bCs/>
                <w:color w:val="000000"/>
              </w:rPr>
            </w:pPr>
            <w:r w:rsidRPr="001646A0">
              <w:rPr>
                <w:b/>
                <w:bCs/>
                <w:color w:val="000000"/>
                <w:sz w:val="22"/>
                <w:szCs w:val="22"/>
              </w:rPr>
              <w:t>Total</w:t>
            </w:r>
          </w:p>
        </w:tc>
        <w:tc>
          <w:tcPr>
            <w:tcW w:w="191" w:type="pct"/>
            <w:tcBorders>
              <w:top w:val="nil"/>
              <w:left w:val="nil"/>
              <w:bottom w:val="double" w:sz="6" w:space="0" w:color="auto"/>
              <w:right w:val="nil"/>
            </w:tcBorders>
            <w:shd w:val="clear" w:color="auto" w:fill="auto"/>
            <w:noWrap/>
            <w:vAlign w:val="center"/>
            <w:hideMark/>
          </w:tcPr>
          <w:p w14:paraId="0F616EDE" w14:textId="77777777" w:rsidR="00D54AB7" w:rsidRPr="001646A0" w:rsidRDefault="00D54AB7" w:rsidP="00B3190C">
            <w:pPr>
              <w:rPr>
                <w:b/>
                <w:bCs/>
                <w:color w:val="000000"/>
              </w:rPr>
            </w:pPr>
            <w:r w:rsidRPr="001646A0">
              <w:rPr>
                <w:b/>
                <w:bCs/>
                <w:color w:val="000000"/>
                <w:sz w:val="22"/>
                <w:szCs w:val="22"/>
              </w:rPr>
              <w:t> </w:t>
            </w:r>
          </w:p>
        </w:tc>
        <w:tc>
          <w:tcPr>
            <w:tcW w:w="808" w:type="pct"/>
            <w:tcBorders>
              <w:top w:val="nil"/>
              <w:left w:val="nil"/>
              <w:bottom w:val="double" w:sz="6" w:space="0" w:color="auto"/>
              <w:right w:val="nil"/>
            </w:tcBorders>
            <w:shd w:val="clear" w:color="auto" w:fill="auto"/>
            <w:noWrap/>
            <w:vAlign w:val="center"/>
            <w:hideMark/>
          </w:tcPr>
          <w:p w14:paraId="27E6FDA3" w14:textId="1AA64991" w:rsidR="00D54AB7" w:rsidRPr="001646A0" w:rsidRDefault="00D54AB7" w:rsidP="00B3190C">
            <w:pPr>
              <w:jc w:val="center"/>
              <w:rPr>
                <w:b/>
                <w:bCs/>
                <w:color w:val="000000"/>
              </w:rPr>
            </w:pPr>
            <w:r w:rsidRPr="001646A0">
              <w:rPr>
                <w:b/>
                <w:bCs/>
                <w:color w:val="000000"/>
                <w:sz w:val="22"/>
                <w:szCs w:val="22"/>
              </w:rPr>
              <w:t>28</w:t>
            </w:r>
            <w:r w:rsidR="00746DDB">
              <w:rPr>
                <w:b/>
                <w:bCs/>
                <w:color w:val="000000"/>
                <w:sz w:val="22"/>
                <w:szCs w:val="22"/>
              </w:rPr>
              <w:t>,</w:t>
            </w:r>
            <w:r w:rsidRPr="001646A0">
              <w:rPr>
                <w:b/>
                <w:bCs/>
                <w:color w:val="000000"/>
                <w:sz w:val="22"/>
                <w:szCs w:val="22"/>
              </w:rPr>
              <w:t>308</w:t>
            </w:r>
          </w:p>
        </w:tc>
        <w:tc>
          <w:tcPr>
            <w:tcW w:w="906" w:type="pct"/>
            <w:tcBorders>
              <w:top w:val="nil"/>
              <w:left w:val="nil"/>
              <w:bottom w:val="double" w:sz="6" w:space="0" w:color="auto"/>
              <w:right w:val="nil"/>
            </w:tcBorders>
            <w:shd w:val="clear" w:color="auto" w:fill="auto"/>
            <w:noWrap/>
            <w:vAlign w:val="center"/>
            <w:hideMark/>
          </w:tcPr>
          <w:p w14:paraId="639D1886" w14:textId="77777777" w:rsidR="00D54AB7" w:rsidRPr="001646A0" w:rsidRDefault="00D54AB7" w:rsidP="00B3190C">
            <w:pPr>
              <w:jc w:val="center"/>
              <w:rPr>
                <w:b/>
                <w:bCs/>
                <w:color w:val="000000"/>
              </w:rPr>
            </w:pPr>
            <w:r w:rsidRPr="001646A0">
              <w:rPr>
                <w:b/>
                <w:bCs/>
                <w:color w:val="000000"/>
                <w:sz w:val="22"/>
                <w:szCs w:val="22"/>
              </w:rPr>
              <w:t>100%</w:t>
            </w:r>
          </w:p>
        </w:tc>
        <w:tc>
          <w:tcPr>
            <w:tcW w:w="191" w:type="pct"/>
            <w:tcBorders>
              <w:top w:val="nil"/>
              <w:left w:val="nil"/>
              <w:bottom w:val="double" w:sz="6" w:space="0" w:color="auto"/>
              <w:right w:val="nil"/>
            </w:tcBorders>
            <w:shd w:val="clear" w:color="auto" w:fill="auto"/>
            <w:noWrap/>
            <w:vAlign w:val="bottom"/>
            <w:hideMark/>
          </w:tcPr>
          <w:p w14:paraId="1CC2C35E" w14:textId="77777777" w:rsidR="00D54AB7" w:rsidRPr="001646A0" w:rsidRDefault="00D54AB7" w:rsidP="00B3190C">
            <w:pPr>
              <w:rPr>
                <w:b/>
                <w:bCs/>
                <w:color w:val="000000"/>
              </w:rPr>
            </w:pPr>
            <w:r w:rsidRPr="001646A0">
              <w:rPr>
                <w:b/>
                <w:bCs/>
                <w:color w:val="000000"/>
                <w:sz w:val="22"/>
                <w:szCs w:val="22"/>
              </w:rPr>
              <w:t> </w:t>
            </w:r>
          </w:p>
        </w:tc>
        <w:tc>
          <w:tcPr>
            <w:tcW w:w="808" w:type="pct"/>
            <w:tcBorders>
              <w:top w:val="nil"/>
              <w:left w:val="nil"/>
              <w:bottom w:val="double" w:sz="6" w:space="0" w:color="auto"/>
              <w:right w:val="nil"/>
            </w:tcBorders>
            <w:shd w:val="clear" w:color="auto" w:fill="auto"/>
            <w:noWrap/>
            <w:vAlign w:val="center"/>
            <w:hideMark/>
          </w:tcPr>
          <w:p w14:paraId="76CDBC32" w14:textId="4A492968" w:rsidR="00D54AB7" w:rsidRPr="001646A0" w:rsidRDefault="00D54AB7" w:rsidP="00B3190C">
            <w:pPr>
              <w:jc w:val="center"/>
              <w:rPr>
                <w:b/>
                <w:bCs/>
                <w:color w:val="000000"/>
              </w:rPr>
            </w:pPr>
            <w:r w:rsidRPr="001646A0">
              <w:rPr>
                <w:b/>
                <w:bCs/>
                <w:color w:val="000000"/>
                <w:sz w:val="22"/>
                <w:szCs w:val="22"/>
              </w:rPr>
              <w:t>25</w:t>
            </w:r>
            <w:r w:rsidR="00746DDB">
              <w:rPr>
                <w:b/>
                <w:bCs/>
                <w:color w:val="000000"/>
                <w:sz w:val="22"/>
                <w:szCs w:val="22"/>
              </w:rPr>
              <w:t>,</w:t>
            </w:r>
            <w:r w:rsidRPr="001646A0">
              <w:rPr>
                <w:b/>
                <w:bCs/>
                <w:color w:val="000000"/>
                <w:sz w:val="22"/>
                <w:szCs w:val="22"/>
              </w:rPr>
              <w:t>220</w:t>
            </w:r>
          </w:p>
        </w:tc>
        <w:tc>
          <w:tcPr>
            <w:tcW w:w="906" w:type="pct"/>
            <w:tcBorders>
              <w:top w:val="nil"/>
              <w:left w:val="nil"/>
              <w:bottom w:val="double" w:sz="6" w:space="0" w:color="auto"/>
              <w:right w:val="nil"/>
            </w:tcBorders>
            <w:shd w:val="clear" w:color="auto" w:fill="auto"/>
            <w:noWrap/>
            <w:vAlign w:val="center"/>
            <w:hideMark/>
          </w:tcPr>
          <w:p w14:paraId="4DB9BC34" w14:textId="77777777" w:rsidR="00D54AB7" w:rsidRPr="001646A0" w:rsidRDefault="00D54AB7" w:rsidP="00B3190C">
            <w:pPr>
              <w:jc w:val="center"/>
              <w:rPr>
                <w:b/>
                <w:bCs/>
                <w:color w:val="000000"/>
              </w:rPr>
            </w:pPr>
            <w:r w:rsidRPr="001646A0">
              <w:rPr>
                <w:b/>
                <w:bCs/>
                <w:color w:val="000000"/>
                <w:sz w:val="22"/>
                <w:szCs w:val="22"/>
              </w:rPr>
              <w:t>100%</w:t>
            </w:r>
          </w:p>
        </w:tc>
      </w:tr>
    </w:tbl>
    <w:p w14:paraId="71CC5B96" w14:textId="77777777" w:rsidR="00D54AB7" w:rsidRPr="00B1125A" w:rsidRDefault="00D54AB7" w:rsidP="00C82777">
      <w:pPr>
        <w:autoSpaceDE w:val="0"/>
        <w:autoSpaceDN w:val="0"/>
        <w:adjustRightInd w:val="0"/>
        <w:spacing w:line="360" w:lineRule="auto"/>
        <w:ind w:firstLine="720"/>
        <w:jc w:val="both"/>
      </w:pPr>
    </w:p>
    <w:p w14:paraId="64F5F8F2" w14:textId="57935A85" w:rsidR="00753522" w:rsidRPr="00D90E50" w:rsidRDefault="00DA44E3" w:rsidP="00D90E50">
      <w:pPr>
        <w:spacing w:line="360" w:lineRule="auto"/>
        <w:rPr>
          <w:b/>
          <w:bCs/>
        </w:rPr>
      </w:pPr>
      <w:r w:rsidRPr="00D90E50">
        <w:rPr>
          <w:b/>
          <w:bCs/>
        </w:rPr>
        <w:t>3.</w:t>
      </w:r>
      <w:r w:rsidR="00732571">
        <w:rPr>
          <w:b/>
          <w:bCs/>
        </w:rPr>
        <w:t>2</w:t>
      </w:r>
      <w:r w:rsidRPr="00D90E50">
        <w:rPr>
          <w:b/>
          <w:bCs/>
        </w:rPr>
        <w:t>. The effect of Covid</w:t>
      </w:r>
    </w:p>
    <w:p w14:paraId="40A474C5" w14:textId="716EEE88" w:rsidR="0088116B" w:rsidRDefault="00DA44E3" w:rsidP="00732571">
      <w:pPr>
        <w:autoSpaceDE w:val="0"/>
        <w:autoSpaceDN w:val="0"/>
        <w:adjustRightInd w:val="0"/>
        <w:spacing w:line="360" w:lineRule="auto"/>
        <w:ind w:firstLine="720"/>
        <w:jc w:val="both"/>
      </w:pPr>
      <w:r>
        <w:t xml:space="preserve">I </w:t>
      </w:r>
      <w:r w:rsidR="00732571">
        <w:t>first</w:t>
      </w:r>
      <w:r>
        <w:t xml:space="preserve"> test whether Covid had a statistically significant effect on the success rate of the reward-based crowdfunding campaigns. To do so, I follow the rationale of Daskalakis et al. (2023)</w:t>
      </w:r>
      <w:r w:rsidR="00966488">
        <w:rPr>
          <w:rStyle w:val="FootnoteReference"/>
        </w:rPr>
        <w:footnoteReference w:id="3"/>
      </w:r>
      <w:r>
        <w:t xml:space="preserve"> who run </w:t>
      </w:r>
      <w:r w:rsidRPr="00DA44E3">
        <w:t xml:space="preserve">probit and logit regressions to identify the success factors </w:t>
      </w:r>
      <w:r>
        <w:t>of the reward-based crowdfunding campaigns, using a huge dataset of 179,066 campaigns covering the period of 2009-2021</w:t>
      </w:r>
      <w:r w:rsidRPr="00DA44E3">
        <w:t>.</w:t>
      </w:r>
      <w:r>
        <w:t xml:space="preserve"> Specifically, I use their logit and probit regressions, adding a Covid dummy, which takes the value of 0 for campaigns that took place during December 2018 to January 2020 and the value of 1 for campaigns that took place </w:t>
      </w:r>
      <w:r w:rsidR="0088116B">
        <w:t xml:space="preserve">during February 2020 to March 2021. </w:t>
      </w:r>
      <w:r w:rsidR="00EE5E59">
        <w:t xml:space="preserve">By doing so, I isolate the effect of the covid variable, by controlling for the other success factors. </w:t>
      </w:r>
      <w:r w:rsidR="0088116B">
        <w:t>Thus, the model is the following:</w:t>
      </w:r>
    </w:p>
    <w:p w14:paraId="08C9C4A4" w14:textId="77777777" w:rsidR="00F13114" w:rsidRDefault="00F13114" w:rsidP="00732571">
      <w:pPr>
        <w:autoSpaceDE w:val="0"/>
        <w:autoSpaceDN w:val="0"/>
        <w:adjustRightInd w:val="0"/>
        <w:spacing w:line="360" w:lineRule="auto"/>
        <w:ind w:firstLine="720"/>
        <w:jc w:val="both"/>
      </w:pPr>
    </w:p>
    <w:p w14:paraId="3D40FA1A" w14:textId="706A24C6" w:rsidR="0088116B" w:rsidRPr="0088116B" w:rsidRDefault="0088116B" w:rsidP="0088116B">
      <w:pPr>
        <w:autoSpaceDE w:val="0"/>
        <w:autoSpaceDN w:val="0"/>
        <w:adjustRightInd w:val="0"/>
        <w:spacing w:line="360" w:lineRule="auto"/>
        <w:ind w:left="-180"/>
        <w:jc w:val="both"/>
        <w:rPr>
          <w:rFonts w:eastAsiaTheme="minorEastAsia"/>
          <w:sz w:val="22"/>
          <w:szCs w:val="22"/>
        </w:rPr>
      </w:pPr>
      <m:oMathPara>
        <m:oMath>
          <m:r>
            <w:rPr>
              <w:rFonts w:ascii="Cambria Math" w:eastAsiaTheme="minorHAnsi" w:hAnsi="Cambria Math"/>
              <w:sz w:val="22"/>
              <w:szCs w:val="22"/>
            </w:rPr>
            <m:t>logit(p</m:t>
          </m:r>
          <m:d>
            <m:dPr>
              <m:ctrlPr>
                <w:rPr>
                  <w:rFonts w:ascii="Cambria Math" w:eastAsiaTheme="minorHAnsi" w:hAnsi="Cambria Math"/>
                  <w:i/>
                  <w:sz w:val="22"/>
                  <w:szCs w:val="22"/>
                </w:rPr>
              </m:ctrlPr>
            </m:dPr>
            <m:e>
              <m:r>
                <w:rPr>
                  <w:rFonts w:ascii="Cambria Math" w:eastAsiaTheme="minorHAnsi" w:hAnsi="Cambria Math"/>
                  <w:sz w:val="22"/>
                  <w:szCs w:val="22"/>
                </w:rPr>
                <m:t>Success</m:t>
              </m:r>
            </m:e>
          </m:d>
          <m:r>
            <w:rPr>
              <w:rFonts w:ascii="Cambria Math" w:eastAsiaTheme="minorHAnsi" w:hAnsi="Cambria Math"/>
              <w:sz w:val="22"/>
              <w:szCs w:val="22"/>
            </w:rPr>
            <m:t>)=f(W</m:t>
          </m:r>
          <w:bookmarkStart w:id="3" w:name="_Hlk127995518"/>
          <m:r>
            <w:rPr>
              <w:rFonts w:ascii="Cambria Math" w:eastAsiaTheme="minorHAnsi" w:hAnsi="Cambria Math"/>
              <w:sz w:val="22"/>
              <w:szCs w:val="22"/>
            </w:rPr>
            <m:t>ords, Backers, Country, LnAvg</m:t>
          </m:r>
          <w:bookmarkEnd w:id="3"/>
          <m:r>
            <w:rPr>
              <w:rFonts w:ascii="Cambria Math" w:eastAsiaTheme="minorHAnsi" w:hAnsi="Cambria Math"/>
              <w:sz w:val="22"/>
              <w:szCs w:val="22"/>
            </w:rPr>
            <m:t>Raised, Goal,CovidDummy)</m:t>
          </m:r>
        </m:oMath>
      </m:oMathPara>
    </w:p>
    <w:p w14:paraId="00C78959" w14:textId="6942A11C" w:rsidR="0088116B" w:rsidRPr="0088116B" w:rsidRDefault="0088116B" w:rsidP="001216B9">
      <w:pPr>
        <w:autoSpaceDE w:val="0"/>
        <w:autoSpaceDN w:val="0"/>
        <w:adjustRightInd w:val="0"/>
        <w:spacing w:line="360" w:lineRule="auto"/>
        <w:ind w:left="-360"/>
        <w:jc w:val="both"/>
        <w:rPr>
          <w:rFonts w:eastAsiaTheme="minorEastAsia"/>
          <w:sz w:val="22"/>
          <w:szCs w:val="22"/>
        </w:rPr>
      </w:pPr>
      <m:oMathPara>
        <m:oMath>
          <m:r>
            <w:rPr>
              <w:rFonts w:ascii="Cambria Math" w:eastAsiaTheme="minorHAnsi" w:hAnsi="Cambria Math"/>
              <w:sz w:val="22"/>
              <w:szCs w:val="22"/>
            </w:rPr>
            <m:t>probit(p</m:t>
          </m:r>
          <m:d>
            <m:dPr>
              <m:ctrlPr>
                <w:rPr>
                  <w:rFonts w:ascii="Cambria Math" w:eastAsiaTheme="minorHAnsi" w:hAnsi="Cambria Math"/>
                  <w:i/>
                  <w:sz w:val="22"/>
                  <w:szCs w:val="22"/>
                </w:rPr>
              </m:ctrlPr>
            </m:dPr>
            <m:e>
              <m:r>
                <w:rPr>
                  <w:rFonts w:ascii="Cambria Math" w:eastAsiaTheme="minorHAnsi" w:hAnsi="Cambria Math"/>
                  <w:sz w:val="22"/>
                  <w:szCs w:val="22"/>
                </w:rPr>
                <m:t>Success</m:t>
              </m:r>
            </m:e>
          </m:d>
          <m:r>
            <w:rPr>
              <w:rFonts w:ascii="Cambria Math" w:eastAsiaTheme="minorHAnsi" w:hAnsi="Cambria Math"/>
              <w:sz w:val="22"/>
              <w:szCs w:val="22"/>
            </w:rPr>
            <m:t>)=f(Words,Backers,Country,LnAvgRaised, Goal,CovidDummy)</m:t>
          </m:r>
        </m:oMath>
      </m:oMathPara>
    </w:p>
    <w:p w14:paraId="01ECBCE7" w14:textId="7894AF35" w:rsidR="0088116B" w:rsidRPr="00B1125A" w:rsidRDefault="0088116B" w:rsidP="0088116B">
      <w:pPr>
        <w:spacing w:line="360" w:lineRule="auto"/>
        <w:jc w:val="both"/>
      </w:pPr>
    </w:p>
    <w:p w14:paraId="6448B9A2" w14:textId="738B3E70" w:rsidR="0088116B" w:rsidRDefault="00D90E50" w:rsidP="00DA44E3">
      <w:pPr>
        <w:spacing w:line="360" w:lineRule="auto"/>
        <w:jc w:val="both"/>
      </w:pPr>
      <w:r>
        <w:lastRenderedPageBreak/>
        <w:t>While</w:t>
      </w:r>
      <w:r w:rsidR="0088116B">
        <w:t xml:space="preserve"> the variables description is as follows:</w:t>
      </w:r>
    </w:p>
    <w:tbl>
      <w:tblPr>
        <w:tblW w:w="4921" w:type="pct"/>
        <w:tblLayout w:type="fixed"/>
        <w:tblLook w:val="04A0" w:firstRow="1" w:lastRow="0" w:firstColumn="1" w:lastColumn="0" w:noHBand="0" w:noVBand="1"/>
      </w:tblPr>
      <w:tblGrid>
        <w:gridCol w:w="1818"/>
        <w:gridCol w:w="6569"/>
      </w:tblGrid>
      <w:tr w:rsidR="00D90E50" w:rsidRPr="00B1125A" w14:paraId="2A7153A1" w14:textId="77777777" w:rsidTr="00D90E50">
        <w:trPr>
          <w:trHeight w:val="300"/>
        </w:trPr>
        <w:tc>
          <w:tcPr>
            <w:tcW w:w="5000" w:type="pct"/>
            <w:gridSpan w:val="2"/>
            <w:tcBorders>
              <w:top w:val="nil"/>
              <w:left w:val="nil"/>
              <w:bottom w:val="double" w:sz="6" w:space="0" w:color="auto"/>
              <w:right w:val="nil"/>
            </w:tcBorders>
            <w:shd w:val="clear" w:color="auto" w:fill="auto"/>
            <w:noWrap/>
            <w:vAlign w:val="center"/>
            <w:hideMark/>
          </w:tcPr>
          <w:p w14:paraId="13186898" w14:textId="149B4150" w:rsidR="00D90E50" w:rsidRPr="00B1125A" w:rsidRDefault="00D90E50" w:rsidP="00D36A4F">
            <w:pPr>
              <w:jc w:val="center"/>
              <w:rPr>
                <w:color w:val="000000"/>
              </w:rPr>
            </w:pPr>
            <w:bookmarkStart w:id="4" w:name="_Hlk128573470"/>
            <w:r w:rsidRPr="00B1125A">
              <w:rPr>
                <w:color w:val="000000"/>
              </w:rPr>
              <w:t xml:space="preserve">Table </w:t>
            </w:r>
            <w:r w:rsidR="00732571">
              <w:rPr>
                <w:color w:val="000000"/>
              </w:rPr>
              <w:t>2</w:t>
            </w:r>
          </w:p>
        </w:tc>
      </w:tr>
      <w:tr w:rsidR="00D90E50" w:rsidRPr="00B1125A" w14:paraId="609366E6" w14:textId="77777777" w:rsidTr="00D90E50">
        <w:trPr>
          <w:trHeight w:val="300"/>
        </w:trPr>
        <w:tc>
          <w:tcPr>
            <w:tcW w:w="1084" w:type="pct"/>
            <w:tcBorders>
              <w:top w:val="nil"/>
              <w:left w:val="nil"/>
              <w:bottom w:val="single" w:sz="4" w:space="0" w:color="auto"/>
              <w:right w:val="nil"/>
            </w:tcBorders>
            <w:shd w:val="clear" w:color="auto" w:fill="auto"/>
            <w:noWrap/>
            <w:vAlign w:val="center"/>
            <w:hideMark/>
          </w:tcPr>
          <w:p w14:paraId="58A21B1B" w14:textId="77777777" w:rsidR="00D90E50" w:rsidRPr="00D90E50" w:rsidRDefault="00D90E50" w:rsidP="00D36A4F">
            <w:pPr>
              <w:rPr>
                <w:b/>
                <w:bCs/>
                <w:color w:val="000000"/>
              </w:rPr>
            </w:pPr>
            <w:r w:rsidRPr="00D90E50">
              <w:rPr>
                <w:b/>
                <w:bCs/>
                <w:color w:val="000000"/>
              </w:rPr>
              <w:t>Variable Name</w:t>
            </w:r>
          </w:p>
        </w:tc>
        <w:tc>
          <w:tcPr>
            <w:tcW w:w="3916" w:type="pct"/>
            <w:tcBorders>
              <w:top w:val="nil"/>
              <w:left w:val="nil"/>
              <w:bottom w:val="single" w:sz="4" w:space="0" w:color="auto"/>
              <w:right w:val="nil"/>
            </w:tcBorders>
            <w:shd w:val="clear" w:color="auto" w:fill="auto"/>
            <w:noWrap/>
            <w:vAlign w:val="center"/>
            <w:hideMark/>
          </w:tcPr>
          <w:p w14:paraId="5DF6CFEC" w14:textId="77777777" w:rsidR="00D90E50" w:rsidRPr="00D90E50" w:rsidRDefault="00D90E50" w:rsidP="00D36A4F">
            <w:pPr>
              <w:rPr>
                <w:b/>
                <w:bCs/>
                <w:color w:val="000000"/>
              </w:rPr>
            </w:pPr>
            <w:r w:rsidRPr="00D90E50">
              <w:rPr>
                <w:b/>
                <w:bCs/>
                <w:color w:val="000000"/>
              </w:rPr>
              <w:t>Description</w:t>
            </w:r>
          </w:p>
        </w:tc>
      </w:tr>
      <w:tr w:rsidR="00D90E50" w:rsidRPr="00FE5536" w14:paraId="7DDECE88" w14:textId="77777777" w:rsidTr="00D90E50">
        <w:trPr>
          <w:trHeight w:val="288"/>
        </w:trPr>
        <w:tc>
          <w:tcPr>
            <w:tcW w:w="1084" w:type="pct"/>
            <w:tcBorders>
              <w:top w:val="single" w:sz="4" w:space="0" w:color="auto"/>
              <w:left w:val="nil"/>
              <w:bottom w:val="single" w:sz="4" w:space="0" w:color="auto"/>
              <w:right w:val="nil"/>
            </w:tcBorders>
            <w:shd w:val="clear" w:color="auto" w:fill="auto"/>
            <w:noWrap/>
            <w:vAlign w:val="center"/>
            <w:hideMark/>
          </w:tcPr>
          <w:p w14:paraId="11DF816A" w14:textId="07ACF3D6" w:rsidR="00D90E50" w:rsidRPr="00B1125A" w:rsidRDefault="00D90E50" w:rsidP="00D36A4F">
            <w:pPr>
              <w:rPr>
                <w:color w:val="000000"/>
              </w:rPr>
            </w:pPr>
            <w:r>
              <w:rPr>
                <w:color w:val="000000"/>
              </w:rPr>
              <w:t>Success</w:t>
            </w:r>
          </w:p>
        </w:tc>
        <w:tc>
          <w:tcPr>
            <w:tcW w:w="3916" w:type="pct"/>
            <w:tcBorders>
              <w:top w:val="single" w:sz="4" w:space="0" w:color="auto"/>
              <w:left w:val="nil"/>
              <w:bottom w:val="single" w:sz="4" w:space="0" w:color="auto"/>
              <w:right w:val="nil"/>
            </w:tcBorders>
            <w:shd w:val="clear" w:color="auto" w:fill="auto"/>
            <w:noWrap/>
            <w:vAlign w:val="center"/>
            <w:hideMark/>
          </w:tcPr>
          <w:p w14:paraId="46747CA6" w14:textId="77777777" w:rsidR="00D90E50" w:rsidRPr="00B1125A" w:rsidRDefault="00D90E50" w:rsidP="00D36A4F">
            <w:pPr>
              <w:rPr>
                <w:color w:val="000000"/>
              </w:rPr>
            </w:pPr>
            <w:r w:rsidRPr="00B1125A">
              <w:rPr>
                <w:color w:val="000000"/>
              </w:rPr>
              <w:t>Equals 1 if the raised amount is higher than the initial "Goal" and 0 otherwise.</w:t>
            </w:r>
          </w:p>
        </w:tc>
      </w:tr>
      <w:tr w:rsidR="00D90E50" w:rsidRPr="00FE5536" w14:paraId="543BD8C6" w14:textId="77777777" w:rsidTr="00D90E50">
        <w:trPr>
          <w:trHeight w:val="288"/>
        </w:trPr>
        <w:tc>
          <w:tcPr>
            <w:tcW w:w="1084" w:type="pct"/>
            <w:tcBorders>
              <w:top w:val="single" w:sz="4" w:space="0" w:color="auto"/>
              <w:left w:val="nil"/>
              <w:bottom w:val="single" w:sz="4" w:space="0" w:color="auto"/>
              <w:right w:val="nil"/>
            </w:tcBorders>
            <w:shd w:val="clear" w:color="auto" w:fill="auto"/>
            <w:noWrap/>
            <w:vAlign w:val="center"/>
            <w:hideMark/>
          </w:tcPr>
          <w:p w14:paraId="67A63CA0" w14:textId="77777777" w:rsidR="00D90E50" w:rsidRPr="00B1125A" w:rsidRDefault="00D90E50" w:rsidP="00D36A4F">
            <w:pPr>
              <w:rPr>
                <w:color w:val="000000"/>
              </w:rPr>
            </w:pPr>
            <w:r w:rsidRPr="00B1125A">
              <w:rPr>
                <w:color w:val="000000"/>
              </w:rPr>
              <w:t>Words</w:t>
            </w:r>
          </w:p>
        </w:tc>
        <w:tc>
          <w:tcPr>
            <w:tcW w:w="3916" w:type="pct"/>
            <w:tcBorders>
              <w:top w:val="single" w:sz="4" w:space="0" w:color="auto"/>
              <w:left w:val="nil"/>
              <w:bottom w:val="single" w:sz="4" w:space="0" w:color="auto"/>
              <w:right w:val="nil"/>
            </w:tcBorders>
            <w:shd w:val="clear" w:color="auto" w:fill="auto"/>
            <w:noWrap/>
            <w:vAlign w:val="center"/>
            <w:hideMark/>
          </w:tcPr>
          <w:p w14:paraId="6F70C4D3" w14:textId="77777777" w:rsidR="00D90E50" w:rsidRPr="00B1125A" w:rsidRDefault="00D90E50" w:rsidP="00D36A4F">
            <w:pPr>
              <w:rPr>
                <w:color w:val="000000"/>
              </w:rPr>
            </w:pPr>
            <w:r w:rsidRPr="00B1125A">
              <w:rPr>
                <w:color w:val="000000"/>
              </w:rPr>
              <w:t>The total number of words used to describe a campaign.</w:t>
            </w:r>
          </w:p>
        </w:tc>
      </w:tr>
      <w:tr w:rsidR="00D90E50" w:rsidRPr="00FE5536" w14:paraId="27AE05AE" w14:textId="77777777" w:rsidTr="00D90E50">
        <w:trPr>
          <w:trHeight w:val="288"/>
        </w:trPr>
        <w:tc>
          <w:tcPr>
            <w:tcW w:w="1084" w:type="pct"/>
            <w:tcBorders>
              <w:top w:val="single" w:sz="4" w:space="0" w:color="auto"/>
              <w:left w:val="nil"/>
              <w:bottom w:val="single" w:sz="4" w:space="0" w:color="auto"/>
              <w:right w:val="nil"/>
            </w:tcBorders>
            <w:shd w:val="clear" w:color="auto" w:fill="auto"/>
            <w:noWrap/>
            <w:vAlign w:val="center"/>
            <w:hideMark/>
          </w:tcPr>
          <w:p w14:paraId="16F8032B" w14:textId="77777777" w:rsidR="00D90E50" w:rsidRPr="00B1125A" w:rsidRDefault="00D90E50" w:rsidP="00D36A4F">
            <w:pPr>
              <w:rPr>
                <w:color w:val="000000"/>
              </w:rPr>
            </w:pPr>
            <w:r w:rsidRPr="00B1125A">
              <w:rPr>
                <w:color w:val="000000"/>
              </w:rPr>
              <w:t>Backers</w:t>
            </w:r>
          </w:p>
        </w:tc>
        <w:tc>
          <w:tcPr>
            <w:tcW w:w="3916" w:type="pct"/>
            <w:tcBorders>
              <w:top w:val="single" w:sz="4" w:space="0" w:color="auto"/>
              <w:left w:val="nil"/>
              <w:bottom w:val="single" w:sz="4" w:space="0" w:color="auto"/>
              <w:right w:val="nil"/>
            </w:tcBorders>
            <w:shd w:val="clear" w:color="auto" w:fill="auto"/>
            <w:noWrap/>
            <w:vAlign w:val="center"/>
            <w:hideMark/>
          </w:tcPr>
          <w:p w14:paraId="439E36ED" w14:textId="77777777" w:rsidR="00D90E50" w:rsidRPr="00B1125A" w:rsidRDefault="00D90E50" w:rsidP="00D36A4F">
            <w:pPr>
              <w:rPr>
                <w:color w:val="000000"/>
              </w:rPr>
            </w:pPr>
            <w:r w:rsidRPr="00B1125A">
              <w:rPr>
                <w:color w:val="000000"/>
              </w:rPr>
              <w:t xml:space="preserve">The </w:t>
            </w:r>
            <w:bookmarkStart w:id="5" w:name="_Hlk127994286"/>
            <w:r w:rsidRPr="00B1125A">
              <w:rPr>
                <w:color w:val="000000"/>
              </w:rPr>
              <w:t>total number of funders</w:t>
            </w:r>
            <w:bookmarkEnd w:id="5"/>
            <w:r w:rsidRPr="00B1125A">
              <w:rPr>
                <w:color w:val="000000"/>
              </w:rPr>
              <w:t>.</w:t>
            </w:r>
          </w:p>
        </w:tc>
      </w:tr>
      <w:tr w:rsidR="00D90E50" w:rsidRPr="00FE5536" w14:paraId="1CF761A6" w14:textId="77777777" w:rsidTr="00D90E50">
        <w:trPr>
          <w:trHeight w:val="288"/>
        </w:trPr>
        <w:tc>
          <w:tcPr>
            <w:tcW w:w="1084" w:type="pct"/>
            <w:tcBorders>
              <w:top w:val="single" w:sz="4" w:space="0" w:color="auto"/>
              <w:left w:val="nil"/>
              <w:bottom w:val="single" w:sz="4" w:space="0" w:color="auto"/>
              <w:right w:val="nil"/>
            </w:tcBorders>
            <w:shd w:val="clear" w:color="auto" w:fill="auto"/>
            <w:noWrap/>
            <w:vAlign w:val="center"/>
            <w:hideMark/>
          </w:tcPr>
          <w:p w14:paraId="5A1CA70C" w14:textId="77777777" w:rsidR="00D90E50" w:rsidRPr="00B1125A" w:rsidRDefault="00D90E50" w:rsidP="00D36A4F">
            <w:pPr>
              <w:rPr>
                <w:color w:val="000000"/>
              </w:rPr>
            </w:pPr>
            <w:r w:rsidRPr="00B1125A">
              <w:rPr>
                <w:color w:val="000000"/>
              </w:rPr>
              <w:t>Country</w:t>
            </w:r>
          </w:p>
        </w:tc>
        <w:tc>
          <w:tcPr>
            <w:tcW w:w="3916" w:type="pct"/>
            <w:tcBorders>
              <w:top w:val="single" w:sz="4" w:space="0" w:color="auto"/>
              <w:left w:val="nil"/>
              <w:bottom w:val="single" w:sz="4" w:space="0" w:color="auto"/>
              <w:right w:val="nil"/>
            </w:tcBorders>
            <w:shd w:val="clear" w:color="auto" w:fill="auto"/>
            <w:noWrap/>
            <w:vAlign w:val="center"/>
            <w:hideMark/>
          </w:tcPr>
          <w:p w14:paraId="1841521A" w14:textId="77777777" w:rsidR="00D90E50" w:rsidRPr="00B1125A" w:rsidRDefault="00D90E50" w:rsidP="00D36A4F">
            <w:pPr>
              <w:rPr>
                <w:color w:val="000000"/>
              </w:rPr>
            </w:pPr>
            <w:r w:rsidRPr="00B1125A">
              <w:rPr>
                <w:color w:val="000000"/>
              </w:rPr>
              <w:t>Equals 1 if the country is US and 0 otherwise.</w:t>
            </w:r>
          </w:p>
        </w:tc>
      </w:tr>
      <w:tr w:rsidR="00D90E50" w:rsidRPr="00FE5536" w14:paraId="0CBD36C4" w14:textId="77777777" w:rsidTr="00D90E50">
        <w:trPr>
          <w:trHeight w:val="288"/>
        </w:trPr>
        <w:tc>
          <w:tcPr>
            <w:tcW w:w="1084" w:type="pct"/>
            <w:tcBorders>
              <w:top w:val="single" w:sz="4" w:space="0" w:color="auto"/>
              <w:left w:val="nil"/>
              <w:bottom w:val="single" w:sz="4" w:space="0" w:color="auto"/>
              <w:right w:val="nil"/>
            </w:tcBorders>
            <w:shd w:val="clear" w:color="auto" w:fill="auto"/>
            <w:noWrap/>
            <w:vAlign w:val="center"/>
          </w:tcPr>
          <w:p w14:paraId="5969EB9B" w14:textId="4B4E9D04" w:rsidR="00D90E50" w:rsidRPr="00B1125A" w:rsidRDefault="00D90E50" w:rsidP="00D36A4F">
            <w:pPr>
              <w:rPr>
                <w:color w:val="000000"/>
              </w:rPr>
            </w:pPr>
            <w:r w:rsidRPr="00B1125A">
              <w:rPr>
                <w:color w:val="000000"/>
              </w:rPr>
              <w:t>Ln</w:t>
            </w:r>
            <w:r w:rsidR="001216B9">
              <w:rPr>
                <w:color w:val="000000"/>
              </w:rPr>
              <w:t>AvgRaised</w:t>
            </w:r>
          </w:p>
        </w:tc>
        <w:tc>
          <w:tcPr>
            <w:tcW w:w="3916" w:type="pct"/>
            <w:tcBorders>
              <w:top w:val="single" w:sz="4" w:space="0" w:color="auto"/>
              <w:left w:val="nil"/>
              <w:bottom w:val="single" w:sz="4" w:space="0" w:color="auto"/>
              <w:right w:val="nil"/>
            </w:tcBorders>
            <w:shd w:val="clear" w:color="auto" w:fill="auto"/>
            <w:noWrap/>
            <w:vAlign w:val="center"/>
          </w:tcPr>
          <w:p w14:paraId="4F806C07" w14:textId="2509A975" w:rsidR="00D90E50" w:rsidRPr="00B1125A" w:rsidRDefault="00D90E50" w:rsidP="00D36A4F">
            <w:pPr>
              <w:rPr>
                <w:color w:val="000000"/>
              </w:rPr>
            </w:pPr>
            <w:r w:rsidRPr="00B1125A">
              <w:rPr>
                <w:color w:val="000000"/>
              </w:rPr>
              <w:t>The logarithm of the average amount per backer pledged in a project</w:t>
            </w:r>
            <w:r w:rsidR="001216B9">
              <w:rPr>
                <w:color w:val="000000"/>
              </w:rPr>
              <w:t>.</w:t>
            </w:r>
          </w:p>
        </w:tc>
      </w:tr>
      <w:tr w:rsidR="00D90E50" w:rsidRPr="00FE5536" w14:paraId="4896AEAB" w14:textId="77777777" w:rsidTr="00D90E50">
        <w:trPr>
          <w:trHeight w:val="288"/>
        </w:trPr>
        <w:tc>
          <w:tcPr>
            <w:tcW w:w="1084" w:type="pct"/>
            <w:tcBorders>
              <w:top w:val="single" w:sz="4" w:space="0" w:color="auto"/>
              <w:left w:val="nil"/>
              <w:bottom w:val="single" w:sz="4" w:space="0" w:color="auto"/>
              <w:right w:val="nil"/>
            </w:tcBorders>
            <w:shd w:val="clear" w:color="auto" w:fill="auto"/>
            <w:noWrap/>
            <w:vAlign w:val="center"/>
          </w:tcPr>
          <w:p w14:paraId="51EAB819" w14:textId="1AD3B160" w:rsidR="00D90E50" w:rsidRPr="00B1125A" w:rsidRDefault="00D90E50" w:rsidP="00D36A4F">
            <w:pPr>
              <w:rPr>
                <w:color w:val="000000"/>
              </w:rPr>
            </w:pPr>
            <w:r>
              <w:rPr>
                <w:color w:val="000000"/>
              </w:rPr>
              <w:t>Goal</w:t>
            </w:r>
            <w:r w:rsidR="00966488">
              <w:rPr>
                <w:color w:val="000000"/>
              </w:rPr>
              <w:t>PerDays</w:t>
            </w:r>
            <w:r w:rsidR="00966488">
              <w:rPr>
                <w:rStyle w:val="FootnoteReference"/>
                <w:color w:val="000000"/>
              </w:rPr>
              <w:footnoteReference w:id="4"/>
            </w:r>
          </w:p>
        </w:tc>
        <w:tc>
          <w:tcPr>
            <w:tcW w:w="3916" w:type="pct"/>
            <w:tcBorders>
              <w:top w:val="single" w:sz="4" w:space="0" w:color="auto"/>
              <w:left w:val="nil"/>
              <w:bottom w:val="single" w:sz="4" w:space="0" w:color="auto"/>
              <w:right w:val="nil"/>
            </w:tcBorders>
            <w:shd w:val="clear" w:color="auto" w:fill="auto"/>
            <w:noWrap/>
            <w:vAlign w:val="center"/>
          </w:tcPr>
          <w:p w14:paraId="34A56815" w14:textId="2A1D2A7A" w:rsidR="00D90E50" w:rsidRPr="00B1125A" w:rsidRDefault="001216B9" w:rsidP="00D36A4F">
            <w:pPr>
              <w:rPr>
                <w:color w:val="000000"/>
              </w:rPr>
            </w:pPr>
            <w:r>
              <w:rPr>
                <w:color w:val="000000"/>
              </w:rPr>
              <w:t xml:space="preserve">The funding goal each campaign </w:t>
            </w:r>
            <w:r w:rsidR="00966488">
              <w:rPr>
                <w:color w:val="000000"/>
              </w:rPr>
              <w:t>had set divided by the campaign duration in days</w:t>
            </w:r>
            <w:r>
              <w:rPr>
                <w:color w:val="000000"/>
              </w:rPr>
              <w:t>.</w:t>
            </w:r>
          </w:p>
        </w:tc>
      </w:tr>
      <w:tr w:rsidR="00D90E50" w:rsidRPr="00FE5536" w14:paraId="51312DD4" w14:textId="77777777" w:rsidTr="00D90E50">
        <w:trPr>
          <w:trHeight w:val="300"/>
        </w:trPr>
        <w:tc>
          <w:tcPr>
            <w:tcW w:w="1084" w:type="pct"/>
            <w:tcBorders>
              <w:top w:val="single" w:sz="4" w:space="0" w:color="auto"/>
              <w:left w:val="nil"/>
              <w:bottom w:val="double" w:sz="6" w:space="0" w:color="auto"/>
              <w:right w:val="nil"/>
            </w:tcBorders>
            <w:shd w:val="clear" w:color="auto" w:fill="auto"/>
            <w:noWrap/>
            <w:vAlign w:val="center"/>
          </w:tcPr>
          <w:p w14:paraId="57B7A312" w14:textId="4AADC4CA" w:rsidR="00D90E50" w:rsidRPr="00B1125A" w:rsidRDefault="00D90E50" w:rsidP="00D90E50">
            <w:pPr>
              <w:rPr>
                <w:color w:val="000000"/>
              </w:rPr>
            </w:pPr>
            <w:r>
              <w:rPr>
                <w:color w:val="000000"/>
              </w:rPr>
              <w:t>CovidDummy</w:t>
            </w:r>
          </w:p>
        </w:tc>
        <w:tc>
          <w:tcPr>
            <w:tcW w:w="3916" w:type="pct"/>
            <w:tcBorders>
              <w:top w:val="single" w:sz="4" w:space="0" w:color="auto"/>
              <w:left w:val="nil"/>
              <w:bottom w:val="double" w:sz="6" w:space="0" w:color="auto"/>
              <w:right w:val="nil"/>
            </w:tcBorders>
            <w:shd w:val="clear" w:color="auto" w:fill="auto"/>
            <w:noWrap/>
            <w:vAlign w:val="center"/>
          </w:tcPr>
          <w:p w14:paraId="3AF7D849" w14:textId="07634E6E" w:rsidR="00D90E50" w:rsidRPr="00B1125A" w:rsidRDefault="00D90E50" w:rsidP="00D90E50">
            <w:pPr>
              <w:rPr>
                <w:color w:val="000000"/>
              </w:rPr>
            </w:pPr>
            <w:r w:rsidRPr="00B1125A">
              <w:rPr>
                <w:color w:val="000000"/>
              </w:rPr>
              <w:t xml:space="preserve">Equals 1 </w:t>
            </w:r>
            <w:r>
              <w:rPr>
                <w:color w:val="000000"/>
              </w:rPr>
              <w:t xml:space="preserve">for campaigns that took place during February 2020-March 2021 and </w:t>
            </w:r>
            <w:r w:rsidRPr="00B1125A">
              <w:rPr>
                <w:color w:val="000000"/>
              </w:rPr>
              <w:t xml:space="preserve">0 </w:t>
            </w:r>
            <w:r>
              <w:rPr>
                <w:color w:val="000000"/>
              </w:rPr>
              <w:t>for campaigns that took place during December 2018-January 2020</w:t>
            </w:r>
            <w:r w:rsidRPr="00B1125A">
              <w:rPr>
                <w:color w:val="000000"/>
              </w:rPr>
              <w:t>.</w:t>
            </w:r>
          </w:p>
        </w:tc>
      </w:tr>
      <w:bookmarkEnd w:id="4"/>
    </w:tbl>
    <w:p w14:paraId="561AE8BA" w14:textId="17EDA67B" w:rsidR="00D90E50" w:rsidRDefault="00D90E50" w:rsidP="00DA44E3">
      <w:pPr>
        <w:spacing w:line="360" w:lineRule="auto"/>
        <w:jc w:val="both"/>
      </w:pPr>
    </w:p>
    <w:p w14:paraId="165CBCED" w14:textId="0DDF593A" w:rsidR="00DA44E3" w:rsidRDefault="0088116B" w:rsidP="00FC6F45">
      <w:pPr>
        <w:spacing w:line="360" w:lineRule="auto"/>
        <w:jc w:val="both"/>
      </w:pPr>
      <w:r>
        <w:t xml:space="preserve">  </w:t>
      </w:r>
      <w:r w:rsidR="00EE5E59">
        <w:t>The results are the following:</w:t>
      </w:r>
    </w:p>
    <w:tbl>
      <w:tblPr>
        <w:tblW w:w="7412" w:type="dxa"/>
        <w:jc w:val="center"/>
        <w:tblLook w:val="04A0" w:firstRow="1" w:lastRow="0" w:firstColumn="1" w:lastColumn="0" w:noHBand="0" w:noVBand="1"/>
      </w:tblPr>
      <w:tblGrid>
        <w:gridCol w:w="1911"/>
        <w:gridCol w:w="1659"/>
        <w:gridCol w:w="1323"/>
        <w:gridCol w:w="1188"/>
        <w:gridCol w:w="1331"/>
      </w:tblGrid>
      <w:tr w:rsidR="00EE5E59" w:rsidRPr="00FE5536" w14:paraId="7D1D5ABF" w14:textId="77777777" w:rsidTr="002D1122">
        <w:trPr>
          <w:trHeight w:val="445"/>
          <w:jc w:val="center"/>
        </w:trPr>
        <w:tc>
          <w:tcPr>
            <w:tcW w:w="7412" w:type="dxa"/>
            <w:gridSpan w:val="5"/>
            <w:tcBorders>
              <w:top w:val="nil"/>
              <w:left w:val="nil"/>
              <w:bottom w:val="double" w:sz="6" w:space="0" w:color="auto"/>
              <w:right w:val="nil"/>
            </w:tcBorders>
            <w:shd w:val="clear" w:color="auto" w:fill="auto"/>
            <w:vAlign w:val="center"/>
            <w:hideMark/>
          </w:tcPr>
          <w:p w14:paraId="16EC2A3E" w14:textId="6D132B26" w:rsidR="00EE5E59" w:rsidRPr="00F32F43" w:rsidRDefault="00EE5E59" w:rsidP="00732571">
            <w:pPr>
              <w:jc w:val="center"/>
              <w:rPr>
                <w:b/>
                <w:bCs/>
                <w:color w:val="000000"/>
              </w:rPr>
            </w:pPr>
            <w:r w:rsidRPr="00C551F2">
              <w:rPr>
                <w:b/>
                <w:bCs/>
                <w:color w:val="000000"/>
              </w:rPr>
              <w:t xml:space="preserve">Table </w:t>
            </w:r>
            <w:r w:rsidR="00732571">
              <w:rPr>
                <w:b/>
                <w:bCs/>
                <w:color w:val="000000"/>
              </w:rPr>
              <w:t>3</w:t>
            </w:r>
            <w:r w:rsidRPr="00C551F2">
              <w:rPr>
                <w:b/>
                <w:bCs/>
                <w:color w:val="000000"/>
              </w:rPr>
              <w:t xml:space="preserve">: </w:t>
            </w:r>
            <w:r w:rsidRPr="00C551F2">
              <w:rPr>
                <w:color w:val="000000"/>
              </w:rPr>
              <w:t xml:space="preserve">Summary of Logistic and Probit Regression Analysis for Variables Predicting success in </w:t>
            </w:r>
            <w:r w:rsidRPr="00B1125A">
              <w:rPr>
                <w:color w:val="000000"/>
              </w:rPr>
              <w:t>crowdfunding</w:t>
            </w:r>
            <w:r w:rsidRPr="00C551F2">
              <w:rPr>
                <w:color w:val="000000"/>
              </w:rPr>
              <w:t xml:space="preserve"> projects</w:t>
            </w:r>
          </w:p>
        </w:tc>
      </w:tr>
      <w:tr w:rsidR="00EE5E59" w:rsidRPr="00B1125A" w14:paraId="1241F6A1" w14:textId="77777777" w:rsidTr="002D1122">
        <w:trPr>
          <w:trHeight w:val="179"/>
          <w:jc w:val="center"/>
        </w:trPr>
        <w:tc>
          <w:tcPr>
            <w:tcW w:w="1911" w:type="dxa"/>
            <w:tcBorders>
              <w:top w:val="nil"/>
              <w:left w:val="nil"/>
              <w:bottom w:val="single" w:sz="8" w:space="0" w:color="auto"/>
              <w:right w:val="nil"/>
            </w:tcBorders>
            <w:shd w:val="clear" w:color="auto" w:fill="auto"/>
            <w:vAlign w:val="center"/>
            <w:hideMark/>
          </w:tcPr>
          <w:p w14:paraId="6A2F4380" w14:textId="77777777" w:rsidR="00EE5E59" w:rsidRPr="00C551F2" w:rsidRDefault="00EE5E59" w:rsidP="00D36A4F">
            <w:pPr>
              <w:rPr>
                <w:color w:val="000000"/>
              </w:rPr>
            </w:pPr>
            <w:r w:rsidRPr="00C551F2">
              <w:rPr>
                <w:color w:val="000000"/>
              </w:rPr>
              <w:t>VARIABLES</w:t>
            </w:r>
          </w:p>
        </w:tc>
        <w:tc>
          <w:tcPr>
            <w:tcW w:w="1659" w:type="dxa"/>
            <w:tcBorders>
              <w:top w:val="nil"/>
              <w:left w:val="nil"/>
              <w:bottom w:val="nil"/>
              <w:right w:val="nil"/>
            </w:tcBorders>
            <w:shd w:val="clear" w:color="auto" w:fill="auto"/>
            <w:vAlign w:val="center"/>
            <w:hideMark/>
          </w:tcPr>
          <w:p w14:paraId="323D77EB" w14:textId="77777777" w:rsidR="00EE5E59" w:rsidRPr="00C551F2" w:rsidRDefault="00EE5E59" w:rsidP="00D36A4F">
            <w:pPr>
              <w:rPr>
                <w:color w:val="000000"/>
              </w:rPr>
            </w:pPr>
          </w:p>
        </w:tc>
        <w:tc>
          <w:tcPr>
            <w:tcW w:w="1323" w:type="dxa"/>
            <w:tcBorders>
              <w:top w:val="nil"/>
              <w:left w:val="nil"/>
              <w:bottom w:val="single" w:sz="8" w:space="0" w:color="auto"/>
              <w:right w:val="nil"/>
            </w:tcBorders>
            <w:shd w:val="clear" w:color="auto" w:fill="auto"/>
            <w:vAlign w:val="center"/>
            <w:hideMark/>
          </w:tcPr>
          <w:p w14:paraId="7B2E33DB" w14:textId="77777777" w:rsidR="00EE5E59" w:rsidRPr="00C551F2" w:rsidRDefault="00EE5E59" w:rsidP="00D36A4F">
            <w:pPr>
              <w:jc w:val="center"/>
              <w:rPr>
                <w:color w:val="000000"/>
              </w:rPr>
            </w:pPr>
            <w:r w:rsidRPr="00C551F2">
              <w:rPr>
                <w:color w:val="000000"/>
              </w:rPr>
              <w:t>Logit</w:t>
            </w:r>
          </w:p>
        </w:tc>
        <w:tc>
          <w:tcPr>
            <w:tcW w:w="1188" w:type="dxa"/>
            <w:tcBorders>
              <w:top w:val="nil"/>
              <w:left w:val="nil"/>
              <w:bottom w:val="nil"/>
              <w:right w:val="nil"/>
            </w:tcBorders>
            <w:shd w:val="clear" w:color="auto" w:fill="auto"/>
            <w:vAlign w:val="center"/>
            <w:hideMark/>
          </w:tcPr>
          <w:p w14:paraId="36884F52" w14:textId="77777777" w:rsidR="00EE5E59" w:rsidRPr="00C551F2" w:rsidRDefault="00EE5E59" w:rsidP="00D36A4F">
            <w:pPr>
              <w:jc w:val="center"/>
              <w:rPr>
                <w:color w:val="000000"/>
              </w:rPr>
            </w:pPr>
          </w:p>
        </w:tc>
        <w:tc>
          <w:tcPr>
            <w:tcW w:w="1331" w:type="dxa"/>
            <w:tcBorders>
              <w:top w:val="nil"/>
              <w:left w:val="nil"/>
              <w:bottom w:val="single" w:sz="8" w:space="0" w:color="auto"/>
              <w:right w:val="nil"/>
            </w:tcBorders>
            <w:shd w:val="clear" w:color="auto" w:fill="auto"/>
            <w:vAlign w:val="center"/>
            <w:hideMark/>
          </w:tcPr>
          <w:p w14:paraId="2657D2E2" w14:textId="77777777" w:rsidR="00EE5E59" w:rsidRPr="004E26D7" w:rsidRDefault="00EE5E59" w:rsidP="00D36A4F">
            <w:pPr>
              <w:jc w:val="center"/>
              <w:rPr>
                <w:color w:val="000000"/>
              </w:rPr>
            </w:pPr>
            <w:r w:rsidRPr="004E26D7">
              <w:rPr>
                <w:color w:val="000000"/>
              </w:rPr>
              <w:t>Probit</w:t>
            </w:r>
          </w:p>
        </w:tc>
      </w:tr>
      <w:tr w:rsidR="00EE5E59" w:rsidRPr="00B1125A" w14:paraId="0AD0B189" w14:textId="77777777" w:rsidTr="002D1122">
        <w:trPr>
          <w:trHeight w:val="168"/>
          <w:jc w:val="center"/>
        </w:trPr>
        <w:tc>
          <w:tcPr>
            <w:tcW w:w="1911" w:type="dxa"/>
            <w:tcBorders>
              <w:top w:val="nil"/>
              <w:left w:val="nil"/>
              <w:bottom w:val="nil"/>
              <w:right w:val="nil"/>
            </w:tcBorders>
            <w:shd w:val="clear" w:color="auto" w:fill="auto"/>
            <w:vAlign w:val="center"/>
            <w:hideMark/>
          </w:tcPr>
          <w:p w14:paraId="079F3FC1" w14:textId="77777777" w:rsidR="00EE5E59" w:rsidRPr="00C551F2" w:rsidRDefault="00EE5E59" w:rsidP="00D36A4F">
            <w:pPr>
              <w:jc w:val="center"/>
              <w:rPr>
                <w:color w:val="000000"/>
              </w:rPr>
            </w:pPr>
          </w:p>
        </w:tc>
        <w:tc>
          <w:tcPr>
            <w:tcW w:w="1659" w:type="dxa"/>
            <w:tcBorders>
              <w:top w:val="nil"/>
              <w:left w:val="nil"/>
              <w:bottom w:val="nil"/>
              <w:right w:val="nil"/>
            </w:tcBorders>
            <w:shd w:val="clear" w:color="auto" w:fill="auto"/>
            <w:vAlign w:val="center"/>
            <w:hideMark/>
          </w:tcPr>
          <w:p w14:paraId="035D8A9C" w14:textId="77777777" w:rsidR="00EE5E59" w:rsidRPr="00C551F2" w:rsidRDefault="00EE5E59" w:rsidP="00D36A4F"/>
        </w:tc>
        <w:tc>
          <w:tcPr>
            <w:tcW w:w="1323" w:type="dxa"/>
            <w:tcBorders>
              <w:top w:val="nil"/>
              <w:left w:val="nil"/>
              <w:bottom w:val="nil"/>
              <w:right w:val="nil"/>
            </w:tcBorders>
            <w:shd w:val="clear" w:color="auto" w:fill="auto"/>
            <w:vAlign w:val="center"/>
            <w:hideMark/>
          </w:tcPr>
          <w:p w14:paraId="369B3EB1" w14:textId="77777777" w:rsidR="00EE5E59" w:rsidRPr="00C551F2" w:rsidRDefault="00EE5E59" w:rsidP="00D36A4F"/>
        </w:tc>
        <w:tc>
          <w:tcPr>
            <w:tcW w:w="1188" w:type="dxa"/>
            <w:tcBorders>
              <w:top w:val="nil"/>
              <w:left w:val="nil"/>
              <w:bottom w:val="nil"/>
              <w:right w:val="nil"/>
            </w:tcBorders>
            <w:shd w:val="clear" w:color="auto" w:fill="auto"/>
            <w:vAlign w:val="center"/>
            <w:hideMark/>
          </w:tcPr>
          <w:p w14:paraId="7CC0D2BB" w14:textId="77777777" w:rsidR="00EE5E59" w:rsidRPr="00C551F2" w:rsidRDefault="00EE5E59" w:rsidP="00D36A4F"/>
        </w:tc>
        <w:tc>
          <w:tcPr>
            <w:tcW w:w="1331" w:type="dxa"/>
            <w:tcBorders>
              <w:top w:val="nil"/>
              <w:left w:val="nil"/>
              <w:bottom w:val="nil"/>
              <w:right w:val="nil"/>
            </w:tcBorders>
            <w:shd w:val="clear" w:color="auto" w:fill="auto"/>
            <w:vAlign w:val="center"/>
            <w:hideMark/>
          </w:tcPr>
          <w:p w14:paraId="0C614640" w14:textId="77777777" w:rsidR="00EE5E59" w:rsidRPr="004E26D7" w:rsidRDefault="00EE5E59" w:rsidP="004E26D7">
            <w:pPr>
              <w:jc w:val="center"/>
              <w:rPr>
                <w:color w:val="000000"/>
              </w:rPr>
            </w:pPr>
          </w:p>
        </w:tc>
      </w:tr>
      <w:tr w:rsidR="00EE5E59" w:rsidRPr="00B1125A" w14:paraId="09CD3ED5" w14:textId="77777777" w:rsidTr="002D1122">
        <w:trPr>
          <w:trHeight w:val="168"/>
          <w:jc w:val="center"/>
        </w:trPr>
        <w:tc>
          <w:tcPr>
            <w:tcW w:w="1911" w:type="dxa"/>
            <w:tcBorders>
              <w:top w:val="nil"/>
              <w:left w:val="nil"/>
              <w:bottom w:val="nil"/>
              <w:right w:val="nil"/>
            </w:tcBorders>
            <w:shd w:val="clear" w:color="auto" w:fill="auto"/>
            <w:vAlign w:val="center"/>
            <w:hideMark/>
          </w:tcPr>
          <w:p w14:paraId="033795A9" w14:textId="77777777" w:rsidR="00EE5E59" w:rsidRPr="00C551F2" w:rsidRDefault="00EE5E59" w:rsidP="00D36A4F">
            <w:pPr>
              <w:rPr>
                <w:color w:val="000000"/>
              </w:rPr>
            </w:pPr>
            <w:r w:rsidRPr="00C551F2">
              <w:rPr>
                <w:color w:val="000000"/>
              </w:rPr>
              <w:t>Constant</w:t>
            </w:r>
          </w:p>
        </w:tc>
        <w:tc>
          <w:tcPr>
            <w:tcW w:w="1659" w:type="dxa"/>
            <w:tcBorders>
              <w:top w:val="nil"/>
              <w:left w:val="nil"/>
              <w:bottom w:val="nil"/>
              <w:right w:val="nil"/>
            </w:tcBorders>
            <w:shd w:val="clear" w:color="auto" w:fill="auto"/>
            <w:vAlign w:val="center"/>
            <w:hideMark/>
          </w:tcPr>
          <w:p w14:paraId="0675336A" w14:textId="77777777" w:rsidR="00EE5E59" w:rsidRPr="00C551F2" w:rsidRDefault="00EE5E59" w:rsidP="00D36A4F">
            <w:pPr>
              <w:rPr>
                <w:color w:val="000000"/>
              </w:rPr>
            </w:pPr>
          </w:p>
        </w:tc>
        <w:tc>
          <w:tcPr>
            <w:tcW w:w="1323" w:type="dxa"/>
            <w:tcBorders>
              <w:top w:val="nil"/>
              <w:left w:val="nil"/>
              <w:bottom w:val="nil"/>
              <w:right w:val="nil"/>
            </w:tcBorders>
            <w:shd w:val="clear" w:color="auto" w:fill="auto"/>
            <w:vAlign w:val="center"/>
            <w:hideMark/>
          </w:tcPr>
          <w:p w14:paraId="594213C5" w14:textId="50425A41" w:rsidR="00EE5E59" w:rsidRPr="00EE5E59" w:rsidRDefault="00EE5E59" w:rsidP="00D36A4F">
            <w:pPr>
              <w:jc w:val="center"/>
              <w:rPr>
                <w:color w:val="000000"/>
              </w:rPr>
            </w:pPr>
            <w:r w:rsidRPr="00EE5E59">
              <w:rPr>
                <w:color w:val="000000"/>
              </w:rPr>
              <w:t>-6.</w:t>
            </w:r>
            <w:r w:rsidR="00966488">
              <w:rPr>
                <w:color w:val="000000"/>
              </w:rPr>
              <w:t>140</w:t>
            </w:r>
            <w:r w:rsidRPr="00EE5E59">
              <w:rPr>
                <w:color w:val="000000"/>
              </w:rPr>
              <w:t>***</w:t>
            </w:r>
          </w:p>
        </w:tc>
        <w:tc>
          <w:tcPr>
            <w:tcW w:w="1188" w:type="dxa"/>
            <w:tcBorders>
              <w:top w:val="nil"/>
              <w:left w:val="nil"/>
              <w:bottom w:val="nil"/>
              <w:right w:val="nil"/>
            </w:tcBorders>
            <w:shd w:val="clear" w:color="auto" w:fill="auto"/>
            <w:vAlign w:val="center"/>
            <w:hideMark/>
          </w:tcPr>
          <w:p w14:paraId="56FD481E" w14:textId="77777777" w:rsidR="00EE5E59" w:rsidRPr="00EE5E59" w:rsidRDefault="00EE5E59" w:rsidP="00D36A4F">
            <w:pPr>
              <w:jc w:val="center"/>
              <w:rPr>
                <w:color w:val="000000"/>
              </w:rPr>
            </w:pPr>
          </w:p>
        </w:tc>
        <w:tc>
          <w:tcPr>
            <w:tcW w:w="1331" w:type="dxa"/>
            <w:tcBorders>
              <w:top w:val="nil"/>
              <w:left w:val="nil"/>
              <w:bottom w:val="nil"/>
              <w:right w:val="nil"/>
            </w:tcBorders>
            <w:shd w:val="clear" w:color="auto" w:fill="auto"/>
            <w:vAlign w:val="center"/>
            <w:hideMark/>
          </w:tcPr>
          <w:p w14:paraId="4DC49677" w14:textId="09F2D475" w:rsidR="00EE5E59" w:rsidRPr="004E26D7" w:rsidRDefault="00EE5E59" w:rsidP="00D36A4F">
            <w:pPr>
              <w:jc w:val="center"/>
              <w:rPr>
                <w:color w:val="000000"/>
              </w:rPr>
            </w:pPr>
            <w:r w:rsidRPr="004E26D7">
              <w:rPr>
                <w:color w:val="000000"/>
              </w:rPr>
              <w:t>-</w:t>
            </w:r>
            <w:r w:rsidR="004E26D7">
              <w:rPr>
                <w:color w:val="000000"/>
              </w:rPr>
              <w:t>3</w:t>
            </w:r>
            <w:r w:rsidRPr="004E26D7">
              <w:rPr>
                <w:color w:val="000000"/>
              </w:rPr>
              <w:t>.</w:t>
            </w:r>
            <w:r w:rsidR="004E26D7">
              <w:rPr>
                <w:color w:val="000000"/>
              </w:rPr>
              <w:t>302</w:t>
            </w:r>
            <w:r w:rsidRPr="004E26D7">
              <w:rPr>
                <w:color w:val="000000"/>
              </w:rPr>
              <w:t>***</w:t>
            </w:r>
          </w:p>
        </w:tc>
      </w:tr>
      <w:tr w:rsidR="00EE5E59" w:rsidRPr="00B1125A" w14:paraId="0A0AF39D" w14:textId="77777777" w:rsidTr="002D1122">
        <w:trPr>
          <w:trHeight w:val="168"/>
          <w:jc w:val="center"/>
        </w:trPr>
        <w:tc>
          <w:tcPr>
            <w:tcW w:w="1911" w:type="dxa"/>
            <w:tcBorders>
              <w:top w:val="nil"/>
              <w:left w:val="nil"/>
              <w:bottom w:val="nil"/>
              <w:right w:val="nil"/>
            </w:tcBorders>
            <w:shd w:val="clear" w:color="auto" w:fill="auto"/>
            <w:vAlign w:val="center"/>
            <w:hideMark/>
          </w:tcPr>
          <w:p w14:paraId="21F01E90" w14:textId="77777777" w:rsidR="00EE5E59" w:rsidRPr="00C551F2" w:rsidRDefault="00EE5E59" w:rsidP="00D36A4F">
            <w:pPr>
              <w:jc w:val="center"/>
              <w:rPr>
                <w:color w:val="000000"/>
              </w:rPr>
            </w:pPr>
          </w:p>
        </w:tc>
        <w:tc>
          <w:tcPr>
            <w:tcW w:w="1659" w:type="dxa"/>
            <w:tcBorders>
              <w:top w:val="nil"/>
              <w:left w:val="nil"/>
              <w:bottom w:val="nil"/>
              <w:right w:val="nil"/>
            </w:tcBorders>
            <w:shd w:val="clear" w:color="auto" w:fill="auto"/>
            <w:vAlign w:val="center"/>
            <w:hideMark/>
          </w:tcPr>
          <w:p w14:paraId="13D14219" w14:textId="77777777" w:rsidR="00EE5E59" w:rsidRPr="00C551F2" w:rsidRDefault="00EE5E59" w:rsidP="00D36A4F"/>
        </w:tc>
        <w:tc>
          <w:tcPr>
            <w:tcW w:w="1323" w:type="dxa"/>
            <w:tcBorders>
              <w:top w:val="nil"/>
              <w:left w:val="nil"/>
              <w:bottom w:val="nil"/>
              <w:right w:val="nil"/>
            </w:tcBorders>
            <w:shd w:val="clear" w:color="auto" w:fill="auto"/>
            <w:vAlign w:val="center"/>
            <w:hideMark/>
          </w:tcPr>
          <w:p w14:paraId="5DE16D01" w14:textId="1B3B304F" w:rsidR="00EE5E59" w:rsidRPr="00EE5E59" w:rsidRDefault="00EE5E59" w:rsidP="00D36A4F">
            <w:pPr>
              <w:jc w:val="center"/>
              <w:rPr>
                <w:color w:val="000000"/>
              </w:rPr>
            </w:pPr>
            <w:r w:rsidRPr="00EE5E59">
              <w:rPr>
                <w:color w:val="000000"/>
              </w:rPr>
              <w:t>(0.1</w:t>
            </w:r>
            <w:r w:rsidR="00966488">
              <w:rPr>
                <w:color w:val="000000"/>
              </w:rPr>
              <w:t>02</w:t>
            </w:r>
            <w:r w:rsidRPr="00EE5E59">
              <w:rPr>
                <w:color w:val="000000"/>
              </w:rPr>
              <w:t>)</w:t>
            </w:r>
          </w:p>
        </w:tc>
        <w:tc>
          <w:tcPr>
            <w:tcW w:w="1188" w:type="dxa"/>
            <w:tcBorders>
              <w:top w:val="nil"/>
              <w:left w:val="nil"/>
              <w:bottom w:val="nil"/>
              <w:right w:val="nil"/>
            </w:tcBorders>
            <w:shd w:val="clear" w:color="auto" w:fill="auto"/>
            <w:vAlign w:val="center"/>
            <w:hideMark/>
          </w:tcPr>
          <w:p w14:paraId="2C1FBAD9" w14:textId="77777777" w:rsidR="00EE5E59" w:rsidRPr="00EE5E59" w:rsidRDefault="00EE5E59" w:rsidP="00D36A4F">
            <w:pPr>
              <w:jc w:val="center"/>
              <w:rPr>
                <w:color w:val="000000"/>
              </w:rPr>
            </w:pPr>
          </w:p>
        </w:tc>
        <w:tc>
          <w:tcPr>
            <w:tcW w:w="1331" w:type="dxa"/>
            <w:tcBorders>
              <w:top w:val="nil"/>
              <w:left w:val="nil"/>
              <w:bottom w:val="nil"/>
              <w:right w:val="nil"/>
            </w:tcBorders>
            <w:shd w:val="clear" w:color="auto" w:fill="auto"/>
            <w:vAlign w:val="center"/>
            <w:hideMark/>
          </w:tcPr>
          <w:p w14:paraId="584FD77E" w14:textId="5946A8BB" w:rsidR="00EE5E59" w:rsidRPr="004E26D7" w:rsidRDefault="00EE5E59" w:rsidP="00D36A4F">
            <w:pPr>
              <w:jc w:val="center"/>
              <w:rPr>
                <w:color w:val="000000"/>
              </w:rPr>
            </w:pPr>
            <w:r w:rsidRPr="004E26D7">
              <w:rPr>
                <w:color w:val="000000"/>
              </w:rPr>
              <w:t>(0.0</w:t>
            </w:r>
            <w:r w:rsidR="004E26D7">
              <w:rPr>
                <w:color w:val="000000"/>
              </w:rPr>
              <w:t>49</w:t>
            </w:r>
            <w:r w:rsidRPr="004E26D7">
              <w:rPr>
                <w:color w:val="000000"/>
              </w:rPr>
              <w:t>)</w:t>
            </w:r>
          </w:p>
        </w:tc>
      </w:tr>
      <w:tr w:rsidR="00EE5E59" w:rsidRPr="00B1125A" w14:paraId="2131095B" w14:textId="77777777" w:rsidTr="002D1122">
        <w:trPr>
          <w:trHeight w:val="168"/>
          <w:jc w:val="center"/>
        </w:trPr>
        <w:tc>
          <w:tcPr>
            <w:tcW w:w="1911" w:type="dxa"/>
            <w:tcBorders>
              <w:top w:val="nil"/>
              <w:left w:val="nil"/>
              <w:bottom w:val="nil"/>
              <w:right w:val="nil"/>
            </w:tcBorders>
            <w:shd w:val="clear" w:color="auto" w:fill="auto"/>
            <w:vAlign w:val="center"/>
            <w:hideMark/>
          </w:tcPr>
          <w:p w14:paraId="613084A8" w14:textId="77777777" w:rsidR="00EE5E59" w:rsidRPr="00C551F2" w:rsidRDefault="00EE5E59" w:rsidP="00D36A4F">
            <w:pPr>
              <w:rPr>
                <w:color w:val="000000"/>
              </w:rPr>
            </w:pPr>
            <w:r w:rsidRPr="00C551F2">
              <w:rPr>
                <w:color w:val="000000"/>
              </w:rPr>
              <w:t>Words</w:t>
            </w:r>
          </w:p>
        </w:tc>
        <w:tc>
          <w:tcPr>
            <w:tcW w:w="1659" w:type="dxa"/>
            <w:tcBorders>
              <w:top w:val="nil"/>
              <w:left w:val="nil"/>
              <w:bottom w:val="nil"/>
              <w:right w:val="nil"/>
            </w:tcBorders>
            <w:shd w:val="clear" w:color="auto" w:fill="auto"/>
            <w:vAlign w:val="center"/>
            <w:hideMark/>
          </w:tcPr>
          <w:p w14:paraId="1D5E0AD5" w14:textId="77777777" w:rsidR="00EE5E59" w:rsidRPr="00C551F2" w:rsidRDefault="00EE5E59" w:rsidP="00D36A4F">
            <w:pPr>
              <w:rPr>
                <w:color w:val="000000"/>
              </w:rPr>
            </w:pPr>
          </w:p>
        </w:tc>
        <w:tc>
          <w:tcPr>
            <w:tcW w:w="1323" w:type="dxa"/>
            <w:tcBorders>
              <w:top w:val="nil"/>
              <w:left w:val="nil"/>
              <w:bottom w:val="nil"/>
              <w:right w:val="nil"/>
            </w:tcBorders>
            <w:shd w:val="clear" w:color="auto" w:fill="auto"/>
            <w:vAlign w:val="center"/>
            <w:hideMark/>
          </w:tcPr>
          <w:p w14:paraId="3BD25323" w14:textId="48B907E3" w:rsidR="00EE5E59" w:rsidRPr="00EE5E59" w:rsidRDefault="00EE5E59" w:rsidP="00D36A4F">
            <w:pPr>
              <w:jc w:val="center"/>
              <w:rPr>
                <w:color w:val="000000"/>
              </w:rPr>
            </w:pPr>
            <w:r w:rsidRPr="00EE5E59">
              <w:rPr>
                <w:color w:val="000000"/>
              </w:rPr>
              <w:t>0.005*</w:t>
            </w:r>
            <w:r w:rsidR="00966488">
              <w:rPr>
                <w:color w:val="000000"/>
              </w:rPr>
              <w:t>*</w:t>
            </w:r>
          </w:p>
        </w:tc>
        <w:tc>
          <w:tcPr>
            <w:tcW w:w="1188" w:type="dxa"/>
            <w:tcBorders>
              <w:top w:val="nil"/>
              <w:left w:val="nil"/>
              <w:bottom w:val="nil"/>
              <w:right w:val="nil"/>
            </w:tcBorders>
            <w:shd w:val="clear" w:color="auto" w:fill="auto"/>
            <w:vAlign w:val="center"/>
            <w:hideMark/>
          </w:tcPr>
          <w:p w14:paraId="0ECC43AE" w14:textId="77777777" w:rsidR="00EE5E59" w:rsidRPr="00EE5E59" w:rsidRDefault="00EE5E59" w:rsidP="00D36A4F">
            <w:pPr>
              <w:jc w:val="center"/>
              <w:rPr>
                <w:color w:val="000000"/>
              </w:rPr>
            </w:pPr>
          </w:p>
        </w:tc>
        <w:tc>
          <w:tcPr>
            <w:tcW w:w="1331" w:type="dxa"/>
            <w:tcBorders>
              <w:top w:val="nil"/>
              <w:left w:val="nil"/>
              <w:bottom w:val="nil"/>
              <w:right w:val="nil"/>
            </w:tcBorders>
            <w:shd w:val="clear" w:color="auto" w:fill="auto"/>
            <w:vAlign w:val="center"/>
            <w:hideMark/>
          </w:tcPr>
          <w:p w14:paraId="4D4D1525" w14:textId="64A9E794" w:rsidR="00EE5E59" w:rsidRPr="004E26D7" w:rsidRDefault="004E26D7" w:rsidP="00D36A4F">
            <w:pPr>
              <w:jc w:val="center"/>
              <w:rPr>
                <w:color w:val="000000"/>
              </w:rPr>
            </w:pPr>
            <w:r>
              <w:rPr>
                <w:color w:val="000000"/>
              </w:rPr>
              <w:t>0</w:t>
            </w:r>
            <w:r w:rsidR="00EE5E59" w:rsidRPr="004E26D7">
              <w:rPr>
                <w:color w:val="000000"/>
              </w:rPr>
              <w:t>.00</w:t>
            </w:r>
            <w:r>
              <w:rPr>
                <w:color w:val="000000"/>
              </w:rPr>
              <w:t>3**</w:t>
            </w:r>
          </w:p>
        </w:tc>
      </w:tr>
      <w:tr w:rsidR="00EE5E59" w:rsidRPr="00B1125A" w14:paraId="1F0A8C04" w14:textId="77777777" w:rsidTr="002D1122">
        <w:trPr>
          <w:trHeight w:val="168"/>
          <w:jc w:val="center"/>
        </w:trPr>
        <w:tc>
          <w:tcPr>
            <w:tcW w:w="1911" w:type="dxa"/>
            <w:tcBorders>
              <w:top w:val="nil"/>
              <w:left w:val="nil"/>
              <w:bottom w:val="nil"/>
              <w:right w:val="nil"/>
            </w:tcBorders>
            <w:shd w:val="clear" w:color="auto" w:fill="auto"/>
            <w:vAlign w:val="center"/>
            <w:hideMark/>
          </w:tcPr>
          <w:p w14:paraId="7140A486" w14:textId="77777777" w:rsidR="00EE5E59" w:rsidRPr="00C551F2" w:rsidRDefault="00EE5E59" w:rsidP="00D36A4F">
            <w:pPr>
              <w:jc w:val="center"/>
              <w:rPr>
                <w:color w:val="000000"/>
              </w:rPr>
            </w:pPr>
          </w:p>
        </w:tc>
        <w:tc>
          <w:tcPr>
            <w:tcW w:w="1659" w:type="dxa"/>
            <w:tcBorders>
              <w:top w:val="nil"/>
              <w:left w:val="nil"/>
              <w:bottom w:val="nil"/>
              <w:right w:val="nil"/>
            </w:tcBorders>
            <w:shd w:val="clear" w:color="auto" w:fill="auto"/>
            <w:vAlign w:val="center"/>
            <w:hideMark/>
          </w:tcPr>
          <w:p w14:paraId="57F498EC" w14:textId="77777777" w:rsidR="00EE5E59" w:rsidRPr="00C551F2" w:rsidRDefault="00EE5E59" w:rsidP="00D36A4F"/>
        </w:tc>
        <w:tc>
          <w:tcPr>
            <w:tcW w:w="1323" w:type="dxa"/>
            <w:tcBorders>
              <w:top w:val="nil"/>
              <w:left w:val="nil"/>
              <w:bottom w:val="nil"/>
              <w:right w:val="nil"/>
            </w:tcBorders>
            <w:shd w:val="clear" w:color="auto" w:fill="auto"/>
            <w:vAlign w:val="center"/>
            <w:hideMark/>
          </w:tcPr>
          <w:p w14:paraId="5D9B7378" w14:textId="27CF2706" w:rsidR="00EE5E59" w:rsidRPr="00EE5E59" w:rsidRDefault="00EE5E59" w:rsidP="00D36A4F">
            <w:pPr>
              <w:jc w:val="center"/>
              <w:rPr>
                <w:color w:val="000000"/>
              </w:rPr>
            </w:pPr>
            <w:r w:rsidRPr="00EE5E59">
              <w:rPr>
                <w:color w:val="000000"/>
              </w:rPr>
              <w:t>(0.003)</w:t>
            </w:r>
          </w:p>
        </w:tc>
        <w:tc>
          <w:tcPr>
            <w:tcW w:w="1188" w:type="dxa"/>
            <w:tcBorders>
              <w:top w:val="nil"/>
              <w:left w:val="nil"/>
              <w:bottom w:val="nil"/>
              <w:right w:val="nil"/>
            </w:tcBorders>
            <w:shd w:val="clear" w:color="auto" w:fill="auto"/>
            <w:vAlign w:val="center"/>
            <w:hideMark/>
          </w:tcPr>
          <w:p w14:paraId="2FA9A55A" w14:textId="77777777" w:rsidR="00EE5E59" w:rsidRPr="00EE5E59" w:rsidRDefault="00EE5E59" w:rsidP="00D36A4F">
            <w:pPr>
              <w:jc w:val="center"/>
              <w:rPr>
                <w:color w:val="000000"/>
              </w:rPr>
            </w:pPr>
          </w:p>
        </w:tc>
        <w:tc>
          <w:tcPr>
            <w:tcW w:w="1331" w:type="dxa"/>
            <w:tcBorders>
              <w:top w:val="nil"/>
              <w:left w:val="nil"/>
              <w:bottom w:val="nil"/>
              <w:right w:val="nil"/>
            </w:tcBorders>
            <w:shd w:val="clear" w:color="auto" w:fill="auto"/>
            <w:vAlign w:val="center"/>
            <w:hideMark/>
          </w:tcPr>
          <w:p w14:paraId="1A39309C" w14:textId="4A95114A" w:rsidR="00EE5E59" w:rsidRPr="004E26D7" w:rsidRDefault="00EE5E59" w:rsidP="00D36A4F">
            <w:pPr>
              <w:jc w:val="center"/>
              <w:rPr>
                <w:color w:val="000000"/>
              </w:rPr>
            </w:pPr>
            <w:r w:rsidRPr="004E26D7">
              <w:rPr>
                <w:color w:val="000000"/>
              </w:rPr>
              <w:t>(0.00</w:t>
            </w:r>
            <w:r w:rsidR="004E26D7">
              <w:rPr>
                <w:color w:val="000000"/>
              </w:rPr>
              <w:t>1</w:t>
            </w:r>
            <w:r w:rsidRPr="004E26D7">
              <w:rPr>
                <w:color w:val="000000"/>
              </w:rPr>
              <w:t>)</w:t>
            </w:r>
          </w:p>
        </w:tc>
      </w:tr>
      <w:tr w:rsidR="00EE5E59" w:rsidRPr="00B1125A" w14:paraId="31124095" w14:textId="77777777" w:rsidTr="002D1122">
        <w:trPr>
          <w:trHeight w:val="168"/>
          <w:jc w:val="center"/>
        </w:trPr>
        <w:tc>
          <w:tcPr>
            <w:tcW w:w="1911" w:type="dxa"/>
            <w:tcBorders>
              <w:top w:val="nil"/>
              <w:left w:val="nil"/>
              <w:bottom w:val="nil"/>
              <w:right w:val="nil"/>
            </w:tcBorders>
            <w:shd w:val="clear" w:color="auto" w:fill="auto"/>
            <w:vAlign w:val="center"/>
            <w:hideMark/>
          </w:tcPr>
          <w:p w14:paraId="72AA49E5" w14:textId="77777777" w:rsidR="00EE5E59" w:rsidRPr="00C551F2" w:rsidRDefault="00EE5E59" w:rsidP="00D36A4F">
            <w:pPr>
              <w:rPr>
                <w:color w:val="000000"/>
              </w:rPr>
            </w:pPr>
            <w:r w:rsidRPr="00C551F2">
              <w:rPr>
                <w:color w:val="000000"/>
              </w:rPr>
              <w:t>Backers</w:t>
            </w:r>
          </w:p>
        </w:tc>
        <w:tc>
          <w:tcPr>
            <w:tcW w:w="1659" w:type="dxa"/>
            <w:tcBorders>
              <w:top w:val="nil"/>
              <w:left w:val="nil"/>
              <w:bottom w:val="nil"/>
              <w:right w:val="nil"/>
            </w:tcBorders>
            <w:shd w:val="clear" w:color="auto" w:fill="auto"/>
            <w:vAlign w:val="center"/>
            <w:hideMark/>
          </w:tcPr>
          <w:p w14:paraId="09E1CB3C" w14:textId="77777777" w:rsidR="00EE5E59" w:rsidRPr="00C551F2" w:rsidRDefault="00EE5E59" w:rsidP="00D36A4F">
            <w:pPr>
              <w:rPr>
                <w:color w:val="000000"/>
              </w:rPr>
            </w:pPr>
          </w:p>
        </w:tc>
        <w:tc>
          <w:tcPr>
            <w:tcW w:w="1323" w:type="dxa"/>
            <w:tcBorders>
              <w:top w:val="nil"/>
              <w:left w:val="nil"/>
              <w:bottom w:val="nil"/>
              <w:right w:val="nil"/>
            </w:tcBorders>
            <w:shd w:val="clear" w:color="auto" w:fill="auto"/>
            <w:vAlign w:val="center"/>
            <w:hideMark/>
          </w:tcPr>
          <w:p w14:paraId="363E65C9" w14:textId="626422A5" w:rsidR="00EE5E59" w:rsidRPr="00EE5E59" w:rsidRDefault="00EE5E59" w:rsidP="00D36A4F">
            <w:pPr>
              <w:jc w:val="center"/>
              <w:rPr>
                <w:color w:val="000000"/>
              </w:rPr>
            </w:pPr>
            <w:r w:rsidRPr="00EE5E59">
              <w:rPr>
                <w:color w:val="000000"/>
              </w:rPr>
              <w:t>0.0</w:t>
            </w:r>
            <w:r>
              <w:rPr>
                <w:color w:val="000000"/>
              </w:rPr>
              <w:t>1</w:t>
            </w:r>
            <w:r w:rsidR="00966488">
              <w:rPr>
                <w:color w:val="000000"/>
              </w:rPr>
              <w:t>3</w:t>
            </w:r>
            <w:r>
              <w:rPr>
                <w:color w:val="000000"/>
              </w:rPr>
              <w:t>*</w:t>
            </w:r>
            <w:r w:rsidRPr="00EE5E59">
              <w:rPr>
                <w:color w:val="000000"/>
              </w:rPr>
              <w:t>**</w:t>
            </w:r>
          </w:p>
        </w:tc>
        <w:tc>
          <w:tcPr>
            <w:tcW w:w="1188" w:type="dxa"/>
            <w:tcBorders>
              <w:top w:val="nil"/>
              <w:left w:val="nil"/>
              <w:bottom w:val="nil"/>
              <w:right w:val="nil"/>
            </w:tcBorders>
            <w:shd w:val="clear" w:color="auto" w:fill="auto"/>
            <w:vAlign w:val="center"/>
            <w:hideMark/>
          </w:tcPr>
          <w:p w14:paraId="12D39136" w14:textId="77777777" w:rsidR="00EE5E59" w:rsidRPr="00EE5E59" w:rsidRDefault="00EE5E59" w:rsidP="00D36A4F">
            <w:pPr>
              <w:jc w:val="center"/>
              <w:rPr>
                <w:color w:val="000000"/>
              </w:rPr>
            </w:pPr>
          </w:p>
        </w:tc>
        <w:tc>
          <w:tcPr>
            <w:tcW w:w="1331" w:type="dxa"/>
            <w:tcBorders>
              <w:top w:val="nil"/>
              <w:left w:val="nil"/>
              <w:bottom w:val="nil"/>
              <w:right w:val="nil"/>
            </w:tcBorders>
            <w:shd w:val="clear" w:color="auto" w:fill="auto"/>
            <w:vAlign w:val="center"/>
            <w:hideMark/>
          </w:tcPr>
          <w:p w14:paraId="59767924" w14:textId="77E7789D" w:rsidR="00EE5E59" w:rsidRPr="004E26D7" w:rsidRDefault="00EE5E59" w:rsidP="00D36A4F">
            <w:pPr>
              <w:jc w:val="center"/>
              <w:rPr>
                <w:color w:val="000000"/>
              </w:rPr>
            </w:pPr>
            <w:r w:rsidRPr="004E26D7">
              <w:rPr>
                <w:color w:val="000000"/>
              </w:rPr>
              <w:t>0.0</w:t>
            </w:r>
            <w:r w:rsidR="004E26D7">
              <w:rPr>
                <w:color w:val="000000"/>
              </w:rPr>
              <w:t>04</w:t>
            </w:r>
            <w:r w:rsidRPr="004E26D7">
              <w:rPr>
                <w:color w:val="000000"/>
              </w:rPr>
              <w:t>***</w:t>
            </w:r>
          </w:p>
        </w:tc>
      </w:tr>
      <w:tr w:rsidR="00EE5E59" w:rsidRPr="00B1125A" w14:paraId="2CD95C94" w14:textId="77777777" w:rsidTr="002D1122">
        <w:trPr>
          <w:trHeight w:val="168"/>
          <w:jc w:val="center"/>
        </w:trPr>
        <w:tc>
          <w:tcPr>
            <w:tcW w:w="1911" w:type="dxa"/>
            <w:tcBorders>
              <w:top w:val="nil"/>
              <w:left w:val="nil"/>
              <w:bottom w:val="nil"/>
              <w:right w:val="nil"/>
            </w:tcBorders>
            <w:shd w:val="clear" w:color="auto" w:fill="auto"/>
            <w:vAlign w:val="center"/>
            <w:hideMark/>
          </w:tcPr>
          <w:p w14:paraId="24445A30" w14:textId="77777777" w:rsidR="00EE5E59" w:rsidRPr="00C551F2" w:rsidRDefault="00EE5E59" w:rsidP="00D36A4F">
            <w:pPr>
              <w:jc w:val="center"/>
              <w:rPr>
                <w:color w:val="000000"/>
              </w:rPr>
            </w:pPr>
          </w:p>
        </w:tc>
        <w:tc>
          <w:tcPr>
            <w:tcW w:w="1659" w:type="dxa"/>
            <w:tcBorders>
              <w:top w:val="nil"/>
              <w:left w:val="nil"/>
              <w:bottom w:val="nil"/>
              <w:right w:val="nil"/>
            </w:tcBorders>
            <w:shd w:val="clear" w:color="auto" w:fill="auto"/>
            <w:vAlign w:val="center"/>
            <w:hideMark/>
          </w:tcPr>
          <w:p w14:paraId="6D44B6E8" w14:textId="77777777" w:rsidR="00EE5E59" w:rsidRPr="00C551F2" w:rsidRDefault="00EE5E59" w:rsidP="00D36A4F"/>
        </w:tc>
        <w:tc>
          <w:tcPr>
            <w:tcW w:w="1323" w:type="dxa"/>
            <w:tcBorders>
              <w:top w:val="nil"/>
              <w:left w:val="nil"/>
              <w:bottom w:val="nil"/>
              <w:right w:val="nil"/>
            </w:tcBorders>
            <w:shd w:val="clear" w:color="auto" w:fill="auto"/>
            <w:vAlign w:val="center"/>
            <w:hideMark/>
          </w:tcPr>
          <w:p w14:paraId="0029C976" w14:textId="77777777" w:rsidR="00EE5E59" w:rsidRPr="00EE5E59" w:rsidRDefault="00EE5E59" w:rsidP="00D36A4F">
            <w:pPr>
              <w:jc w:val="center"/>
              <w:rPr>
                <w:color w:val="000000"/>
              </w:rPr>
            </w:pPr>
            <w:r w:rsidRPr="00EE5E59">
              <w:rPr>
                <w:color w:val="000000"/>
              </w:rPr>
              <w:t>(0.000)</w:t>
            </w:r>
          </w:p>
        </w:tc>
        <w:tc>
          <w:tcPr>
            <w:tcW w:w="1188" w:type="dxa"/>
            <w:tcBorders>
              <w:top w:val="nil"/>
              <w:left w:val="nil"/>
              <w:bottom w:val="nil"/>
              <w:right w:val="nil"/>
            </w:tcBorders>
            <w:shd w:val="clear" w:color="auto" w:fill="auto"/>
            <w:vAlign w:val="center"/>
            <w:hideMark/>
          </w:tcPr>
          <w:p w14:paraId="5E226BFD" w14:textId="77777777" w:rsidR="00EE5E59" w:rsidRPr="00EE5E59" w:rsidRDefault="00EE5E59" w:rsidP="00D36A4F">
            <w:pPr>
              <w:jc w:val="center"/>
              <w:rPr>
                <w:color w:val="000000"/>
              </w:rPr>
            </w:pPr>
          </w:p>
        </w:tc>
        <w:tc>
          <w:tcPr>
            <w:tcW w:w="1331" w:type="dxa"/>
            <w:tcBorders>
              <w:top w:val="nil"/>
              <w:left w:val="nil"/>
              <w:bottom w:val="nil"/>
              <w:right w:val="nil"/>
            </w:tcBorders>
            <w:shd w:val="clear" w:color="auto" w:fill="auto"/>
            <w:vAlign w:val="center"/>
            <w:hideMark/>
          </w:tcPr>
          <w:p w14:paraId="6995A49F" w14:textId="77777777" w:rsidR="00EE5E59" w:rsidRPr="004E26D7" w:rsidRDefault="00EE5E59" w:rsidP="00D36A4F">
            <w:pPr>
              <w:jc w:val="center"/>
              <w:rPr>
                <w:color w:val="000000"/>
              </w:rPr>
            </w:pPr>
            <w:r w:rsidRPr="004E26D7">
              <w:rPr>
                <w:color w:val="000000"/>
              </w:rPr>
              <w:t>(0.000)</w:t>
            </w:r>
          </w:p>
        </w:tc>
      </w:tr>
      <w:tr w:rsidR="00EE5E59" w:rsidRPr="00B1125A" w14:paraId="7487C7E3" w14:textId="77777777" w:rsidTr="002D1122">
        <w:trPr>
          <w:trHeight w:val="168"/>
          <w:jc w:val="center"/>
        </w:trPr>
        <w:tc>
          <w:tcPr>
            <w:tcW w:w="1911" w:type="dxa"/>
            <w:tcBorders>
              <w:top w:val="nil"/>
              <w:left w:val="nil"/>
              <w:bottom w:val="nil"/>
              <w:right w:val="nil"/>
            </w:tcBorders>
            <w:shd w:val="clear" w:color="auto" w:fill="auto"/>
            <w:vAlign w:val="center"/>
            <w:hideMark/>
          </w:tcPr>
          <w:p w14:paraId="29C15410" w14:textId="77777777" w:rsidR="00EE5E59" w:rsidRPr="00C551F2" w:rsidRDefault="00EE5E59" w:rsidP="00D36A4F">
            <w:pPr>
              <w:rPr>
                <w:color w:val="000000"/>
              </w:rPr>
            </w:pPr>
            <w:r w:rsidRPr="00C551F2">
              <w:rPr>
                <w:color w:val="000000"/>
              </w:rPr>
              <w:t>Country</w:t>
            </w:r>
          </w:p>
        </w:tc>
        <w:tc>
          <w:tcPr>
            <w:tcW w:w="1659" w:type="dxa"/>
            <w:tcBorders>
              <w:top w:val="nil"/>
              <w:left w:val="nil"/>
              <w:bottom w:val="nil"/>
              <w:right w:val="nil"/>
            </w:tcBorders>
            <w:shd w:val="clear" w:color="auto" w:fill="auto"/>
            <w:vAlign w:val="center"/>
            <w:hideMark/>
          </w:tcPr>
          <w:p w14:paraId="78C2A96C" w14:textId="77777777" w:rsidR="00EE5E59" w:rsidRPr="00C551F2" w:rsidRDefault="00EE5E59" w:rsidP="00D36A4F">
            <w:pPr>
              <w:rPr>
                <w:color w:val="000000"/>
              </w:rPr>
            </w:pPr>
          </w:p>
        </w:tc>
        <w:tc>
          <w:tcPr>
            <w:tcW w:w="1323" w:type="dxa"/>
            <w:tcBorders>
              <w:top w:val="nil"/>
              <w:left w:val="nil"/>
              <w:bottom w:val="nil"/>
              <w:right w:val="nil"/>
            </w:tcBorders>
            <w:shd w:val="clear" w:color="auto" w:fill="auto"/>
            <w:vAlign w:val="center"/>
            <w:hideMark/>
          </w:tcPr>
          <w:p w14:paraId="5EEA9C9A" w14:textId="686F41E9" w:rsidR="00EE5E59" w:rsidRPr="00EE5E59" w:rsidRDefault="00EE5E59" w:rsidP="00D36A4F">
            <w:pPr>
              <w:jc w:val="center"/>
              <w:rPr>
                <w:color w:val="000000"/>
              </w:rPr>
            </w:pPr>
            <w:r>
              <w:rPr>
                <w:color w:val="000000"/>
              </w:rPr>
              <w:t>1</w:t>
            </w:r>
            <w:r w:rsidRPr="00EE5E59">
              <w:rPr>
                <w:color w:val="000000"/>
              </w:rPr>
              <w:t>.</w:t>
            </w:r>
            <w:r w:rsidR="00966488">
              <w:rPr>
                <w:color w:val="000000"/>
              </w:rPr>
              <w:t>011</w:t>
            </w:r>
            <w:r w:rsidRPr="00EE5E59">
              <w:rPr>
                <w:color w:val="000000"/>
              </w:rPr>
              <w:t>***</w:t>
            </w:r>
          </w:p>
        </w:tc>
        <w:tc>
          <w:tcPr>
            <w:tcW w:w="1188" w:type="dxa"/>
            <w:tcBorders>
              <w:top w:val="nil"/>
              <w:left w:val="nil"/>
              <w:bottom w:val="nil"/>
              <w:right w:val="nil"/>
            </w:tcBorders>
            <w:shd w:val="clear" w:color="auto" w:fill="auto"/>
            <w:vAlign w:val="center"/>
            <w:hideMark/>
          </w:tcPr>
          <w:p w14:paraId="6986B043" w14:textId="77777777" w:rsidR="00EE5E59" w:rsidRPr="00EE5E59" w:rsidRDefault="00EE5E59" w:rsidP="00D36A4F">
            <w:pPr>
              <w:jc w:val="center"/>
              <w:rPr>
                <w:color w:val="000000"/>
              </w:rPr>
            </w:pPr>
          </w:p>
        </w:tc>
        <w:tc>
          <w:tcPr>
            <w:tcW w:w="1331" w:type="dxa"/>
            <w:tcBorders>
              <w:top w:val="nil"/>
              <w:left w:val="nil"/>
              <w:bottom w:val="nil"/>
              <w:right w:val="nil"/>
            </w:tcBorders>
            <w:shd w:val="clear" w:color="auto" w:fill="auto"/>
            <w:vAlign w:val="center"/>
            <w:hideMark/>
          </w:tcPr>
          <w:p w14:paraId="6F24DEE4" w14:textId="514E5CCF" w:rsidR="00EE5E59" w:rsidRPr="004E26D7" w:rsidRDefault="00EE5E59" w:rsidP="00D36A4F">
            <w:pPr>
              <w:jc w:val="center"/>
              <w:rPr>
                <w:color w:val="000000"/>
              </w:rPr>
            </w:pPr>
            <w:r w:rsidRPr="004E26D7">
              <w:rPr>
                <w:color w:val="000000"/>
              </w:rPr>
              <w:t>0.</w:t>
            </w:r>
            <w:r w:rsidR="004E26D7">
              <w:rPr>
                <w:color w:val="000000"/>
              </w:rPr>
              <w:t>534***</w:t>
            </w:r>
          </w:p>
        </w:tc>
      </w:tr>
      <w:tr w:rsidR="00EE5E59" w:rsidRPr="00B1125A" w14:paraId="07387976" w14:textId="77777777" w:rsidTr="002D1122">
        <w:trPr>
          <w:trHeight w:val="168"/>
          <w:jc w:val="center"/>
        </w:trPr>
        <w:tc>
          <w:tcPr>
            <w:tcW w:w="1911" w:type="dxa"/>
            <w:tcBorders>
              <w:top w:val="nil"/>
              <w:left w:val="nil"/>
              <w:bottom w:val="nil"/>
              <w:right w:val="nil"/>
            </w:tcBorders>
            <w:shd w:val="clear" w:color="auto" w:fill="auto"/>
            <w:vAlign w:val="center"/>
            <w:hideMark/>
          </w:tcPr>
          <w:p w14:paraId="180C416F" w14:textId="77777777" w:rsidR="00EE5E59" w:rsidRPr="00C551F2" w:rsidRDefault="00EE5E59" w:rsidP="00D36A4F">
            <w:pPr>
              <w:jc w:val="center"/>
              <w:rPr>
                <w:color w:val="000000"/>
              </w:rPr>
            </w:pPr>
          </w:p>
        </w:tc>
        <w:tc>
          <w:tcPr>
            <w:tcW w:w="1659" w:type="dxa"/>
            <w:tcBorders>
              <w:top w:val="nil"/>
              <w:left w:val="nil"/>
              <w:bottom w:val="nil"/>
              <w:right w:val="nil"/>
            </w:tcBorders>
            <w:shd w:val="clear" w:color="auto" w:fill="auto"/>
            <w:vAlign w:val="center"/>
            <w:hideMark/>
          </w:tcPr>
          <w:p w14:paraId="2936FD71" w14:textId="77777777" w:rsidR="00EE5E59" w:rsidRPr="00C551F2" w:rsidRDefault="00EE5E59" w:rsidP="00D36A4F"/>
        </w:tc>
        <w:tc>
          <w:tcPr>
            <w:tcW w:w="1323" w:type="dxa"/>
            <w:tcBorders>
              <w:top w:val="nil"/>
              <w:left w:val="nil"/>
              <w:bottom w:val="nil"/>
              <w:right w:val="nil"/>
            </w:tcBorders>
            <w:shd w:val="clear" w:color="auto" w:fill="auto"/>
            <w:vAlign w:val="center"/>
            <w:hideMark/>
          </w:tcPr>
          <w:p w14:paraId="3DA5A1C8" w14:textId="36BD0321" w:rsidR="00EE5E59" w:rsidRPr="00EE5E59" w:rsidRDefault="00EE5E59" w:rsidP="00D36A4F">
            <w:pPr>
              <w:jc w:val="center"/>
              <w:rPr>
                <w:color w:val="000000"/>
              </w:rPr>
            </w:pPr>
            <w:r w:rsidRPr="00EE5E59">
              <w:rPr>
                <w:color w:val="000000"/>
              </w:rPr>
              <w:t>(0.</w:t>
            </w:r>
            <w:r w:rsidR="002D1122">
              <w:rPr>
                <w:color w:val="000000"/>
              </w:rPr>
              <w:t>03</w:t>
            </w:r>
            <w:r w:rsidR="00966488">
              <w:rPr>
                <w:color w:val="000000"/>
              </w:rPr>
              <w:t>0</w:t>
            </w:r>
            <w:r w:rsidRPr="00EE5E59">
              <w:rPr>
                <w:color w:val="000000"/>
              </w:rPr>
              <w:t>)</w:t>
            </w:r>
          </w:p>
        </w:tc>
        <w:tc>
          <w:tcPr>
            <w:tcW w:w="1188" w:type="dxa"/>
            <w:tcBorders>
              <w:top w:val="nil"/>
              <w:left w:val="nil"/>
              <w:bottom w:val="nil"/>
              <w:right w:val="nil"/>
            </w:tcBorders>
            <w:shd w:val="clear" w:color="auto" w:fill="auto"/>
            <w:vAlign w:val="center"/>
            <w:hideMark/>
          </w:tcPr>
          <w:p w14:paraId="163C454F" w14:textId="77777777" w:rsidR="00EE5E59" w:rsidRPr="00EE5E59" w:rsidRDefault="00EE5E59" w:rsidP="00D36A4F">
            <w:pPr>
              <w:jc w:val="center"/>
              <w:rPr>
                <w:color w:val="000000"/>
              </w:rPr>
            </w:pPr>
          </w:p>
        </w:tc>
        <w:tc>
          <w:tcPr>
            <w:tcW w:w="1331" w:type="dxa"/>
            <w:tcBorders>
              <w:top w:val="nil"/>
              <w:left w:val="nil"/>
              <w:bottom w:val="nil"/>
              <w:right w:val="nil"/>
            </w:tcBorders>
            <w:shd w:val="clear" w:color="auto" w:fill="auto"/>
            <w:vAlign w:val="center"/>
            <w:hideMark/>
          </w:tcPr>
          <w:p w14:paraId="213B9E66" w14:textId="5895E4E6" w:rsidR="00EE5E59" w:rsidRPr="004E26D7" w:rsidRDefault="00EE5E59" w:rsidP="00D36A4F">
            <w:pPr>
              <w:jc w:val="center"/>
              <w:rPr>
                <w:color w:val="000000"/>
              </w:rPr>
            </w:pPr>
            <w:r w:rsidRPr="004E26D7">
              <w:rPr>
                <w:color w:val="000000"/>
              </w:rPr>
              <w:t>(0.0</w:t>
            </w:r>
            <w:r w:rsidR="004E26D7">
              <w:rPr>
                <w:color w:val="000000"/>
              </w:rPr>
              <w:t>15</w:t>
            </w:r>
            <w:r w:rsidRPr="004E26D7">
              <w:rPr>
                <w:color w:val="000000"/>
              </w:rPr>
              <w:t>)</w:t>
            </w:r>
          </w:p>
        </w:tc>
      </w:tr>
      <w:tr w:rsidR="00EE5E59" w:rsidRPr="00B1125A" w14:paraId="5FD8D6CA" w14:textId="77777777" w:rsidTr="002D1122">
        <w:trPr>
          <w:trHeight w:val="168"/>
          <w:jc w:val="center"/>
        </w:trPr>
        <w:tc>
          <w:tcPr>
            <w:tcW w:w="1911" w:type="dxa"/>
            <w:tcBorders>
              <w:top w:val="nil"/>
              <w:left w:val="nil"/>
              <w:bottom w:val="nil"/>
              <w:right w:val="nil"/>
            </w:tcBorders>
            <w:shd w:val="clear" w:color="auto" w:fill="auto"/>
            <w:vAlign w:val="center"/>
            <w:hideMark/>
          </w:tcPr>
          <w:p w14:paraId="1C986582" w14:textId="3718A348" w:rsidR="00EE5E59" w:rsidRPr="00C551F2" w:rsidRDefault="00EE5E59" w:rsidP="00D36A4F">
            <w:pPr>
              <w:rPr>
                <w:color w:val="000000"/>
              </w:rPr>
            </w:pPr>
            <w:r w:rsidRPr="00C551F2">
              <w:rPr>
                <w:color w:val="000000"/>
              </w:rPr>
              <w:t>LnAvg</w:t>
            </w:r>
            <w:r w:rsidR="002D1122">
              <w:rPr>
                <w:color w:val="000000"/>
              </w:rPr>
              <w:t>Raised</w:t>
            </w:r>
          </w:p>
        </w:tc>
        <w:tc>
          <w:tcPr>
            <w:tcW w:w="1659" w:type="dxa"/>
            <w:tcBorders>
              <w:top w:val="nil"/>
              <w:left w:val="nil"/>
              <w:bottom w:val="nil"/>
              <w:right w:val="nil"/>
            </w:tcBorders>
            <w:shd w:val="clear" w:color="auto" w:fill="auto"/>
            <w:vAlign w:val="center"/>
            <w:hideMark/>
          </w:tcPr>
          <w:p w14:paraId="1D7AE433" w14:textId="77777777" w:rsidR="00EE5E59" w:rsidRPr="00C551F2" w:rsidRDefault="00EE5E59" w:rsidP="00D36A4F">
            <w:pPr>
              <w:rPr>
                <w:color w:val="000000"/>
              </w:rPr>
            </w:pPr>
          </w:p>
        </w:tc>
        <w:tc>
          <w:tcPr>
            <w:tcW w:w="1323" w:type="dxa"/>
            <w:tcBorders>
              <w:top w:val="nil"/>
              <w:left w:val="nil"/>
              <w:bottom w:val="nil"/>
              <w:right w:val="nil"/>
            </w:tcBorders>
            <w:shd w:val="clear" w:color="auto" w:fill="auto"/>
            <w:vAlign w:val="center"/>
            <w:hideMark/>
          </w:tcPr>
          <w:p w14:paraId="0E91464E" w14:textId="75BBA932" w:rsidR="00EE5E59" w:rsidRPr="00EE5E59" w:rsidRDefault="00EE5E59" w:rsidP="00D36A4F">
            <w:pPr>
              <w:jc w:val="center"/>
              <w:rPr>
                <w:color w:val="000000"/>
              </w:rPr>
            </w:pPr>
            <w:r w:rsidRPr="00EE5E59">
              <w:rPr>
                <w:color w:val="000000"/>
              </w:rPr>
              <w:t>0.</w:t>
            </w:r>
            <w:r w:rsidR="00966488">
              <w:rPr>
                <w:color w:val="000000"/>
              </w:rPr>
              <w:t>859</w:t>
            </w:r>
            <w:r w:rsidRPr="00EE5E59">
              <w:rPr>
                <w:color w:val="000000"/>
              </w:rPr>
              <w:t>***</w:t>
            </w:r>
          </w:p>
        </w:tc>
        <w:tc>
          <w:tcPr>
            <w:tcW w:w="1188" w:type="dxa"/>
            <w:tcBorders>
              <w:top w:val="nil"/>
              <w:left w:val="nil"/>
              <w:bottom w:val="nil"/>
              <w:right w:val="nil"/>
            </w:tcBorders>
            <w:shd w:val="clear" w:color="auto" w:fill="auto"/>
            <w:vAlign w:val="center"/>
            <w:hideMark/>
          </w:tcPr>
          <w:p w14:paraId="7642E6A4" w14:textId="77777777" w:rsidR="00EE5E59" w:rsidRPr="00EE5E59" w:rsidRDefault="00EE5E59" w:rsidP="00D36A4F">
            <w:pPr>
              <w:jc w:val="center"/>
              <w:rPr>
                <w:color w:val="000000"/>
              </w:rPr>
            </w:pPr>
          </w:p>
        </w:tc>
        <w:tc>
          <w:tcPr>
            <w:tcW w:w="1331" w:type="dxa"/>
            <w:tcBorders>
              <w:top w:val="nil"/>
              <w:left w:val="nil"/>
              <w:bottom w:val="nil"/>
              <w:right w:val="nil"/>
            </w:tcBorders>
            <w:shd w:val="clear" w:color="auto" w:fill="auto"/>
            <w:vAlign w:val="center"/>
            <w:hideMark/>
          </w:tcPr>
          <w:p w14:paraId="7F970647" w14:textId="2DE216D2" w:rsidR="00EE5E59" w:rsidRPr="004E26D7" w:rsidRDefault="00EE5E59" w:rsidP="00D36A4F">
            <w:pPr>
              <w:jc w:val="center"/>
              <w:rPr>
                <w:color w:val="000000"/>
              </w:rPr>
            </w:pPr>
            <w:r w:rsidRPr="004E26D7">
              <w:rPr>
                <w:color w:val="000000"/>
              </w:rPr>
              <w:t>0.</w:t>
            </w:r>
            <w:r w:rsidR="004E26D7">
              <w:rPr>
                <w:color w:val="000000"/>
              </w:rPr>
              <w:t>453</w:t>
            </w:r>
            <w:r w:rsidRPr="004E26D7">
              <w:rPr>
                <w:color w:val="000000"/>
              </w:rPr>
              <w:t>***</w:t>
            </w:r>
          </w:p>
        </w:tc>
      </w:tr>
      <w:tr w:rsidR="00EE5E59" w:rsidRPr="00B1125A" w14:paraId="0DB00705" w14:textId="77777777" w:rsidTr="002D1122">
        <w:trPr>
          <w:trHeight w:val="168"/>
          <w:jc w:val="center"/>
        </w:trPr>
        <w:tc>
          <w:tcPr>
            <w:tcW w:w="1911" w:type="dxa"/>
            <w:tcBorders>
              <w:top w:val="nil"/>
              <w:left w:val="nil"/>
              <w:bottom w:val="nil"/>
              <w:right w:val="nil"/>
            </w:tcBorders>
            <w:shd w:val="clear" w:color="auto" w:fill="auto"/>
            <w:vAlign w:val="center"/>
            <w:hideMark/>
          </w:tcPr>
          <w:p w14:paraId="1CB4ED1C" w14:textId="77777777" w:rsidR="00EE5E59" w:rsidRPr="00C551F2" w:rsidRDefault="00EE5E59" w:rsidP="00D36A4F">
            <w:pPr>
              <w:jc w:val="center"/>
              <w:rPr>
                <w:color w:val="000000"/>
              </w:rPr>
            </w:pPr>
          </w:p>
        </w:tc>
        <w:tc>
          <w:tcPr>
            <w:tcW w:w="1659" w:type="dxa"/>
            <w:tcBorders>
              <w:top w:val="nil"/>
              <w:left w:val="nil"/>
              <w:bottom w:val="nil"/>
              <w:right w:val="nil"/>
            </w:tcBorders>
            <w:shd w:val="clear" w:color="auto" w:fill="auto"/>
            <w:vAlign w:val="center"/>
            <w:hideMark/>
          </w:tcPr>
          <w:p w14:paraId="63F909F6" w14:textId="77777777" w:rsidR="00EE5E59" w:rsidRPr="00C551F2" w:rsidRDefault="00EE5E59" w:rsidP="00D36A4F"/>
        </w:tc>
        <w:tc>
          <w:tcPr>
            <w:tcW w:w="1323" w:type="dxa"/>
            <w:tcBorders>
              <w:top w:val="nil"/>
              <w:left w:val="nil"/>
              <w:bottom w:val="nil"/>
              <w:right w:val="nil"/>
            </w:tcBorders>
            <w:shd w:val="clear" w:color="auto" w:fill="auto"/>
            <w:vAlign w:val="center"/>
            <w:hideMark/>
          </w:tcPr>
          <w:p w14:paraId="64000472" w14:textId="7D86D41D" w:rsidR="00EE5E59" w:rsidRPr="00EE5E59" w:rsidRDefault="00EE5E59" w:rsidP="00D36A4F">
            <w:pPr>
              <w:jc w:val="center"/>
              <w:rPr>
                <w:color w:val="000000"/>
              </w:rPr>
            </w:pPr>
            <w:r w:rsidRPr="00EE5E59">
              <w:rPr>
                <w:color w:val="000000"/>
              </w:rPr>
              <w:t>(0.0</w:t>
            </w:r>
            <w:r w:rsidR="00966488">
              <w:rPr>
                <w:color w:val="000000"/>
              </w:rPr>
              <w:t>13</w:t>
            </w:r>
            <w:r w:rsidRPr="00EE5E59">
              <w:rPr>
                <w:color w:val="000000"/>
              </w:rPr>
              <w:t>)</w:t>
            </w:r>
          </w:p>
        </w:tc>
        <w:tc>
          <w:tcPr>
            <w:tcW w:w="1188" w:type="dxa"/>
            <w:tcBorders>
              <w:top w:val="nil"/>
              <w:left w:val="nil"/>
              <w:bottom w:val="nil"/>
              <w:right w:val="nil"/>
            </w:tcBorders>
            <w:shd w:val="clear" w:color="auto" w:fill="auto"/>
            <w:vAlign w:val="center"/>
            <w:hideMark/>
          </w:tcPr>
          <w:p w14:paraId="6FB780B3" w14:textId="77777777" w:rsidR="00EE5E59" w:rsidRPr="00EE5E59" w:rsidRDefault="00EE5E59" w:rsidP="00D36A4F">
            <w:pPr>
              <w:jc w:val="center"/>
              <w:rPr>
                <w:color w:val="000000"/>
              </w:rPr>
            </w:pPr>
          </w:p>
        </w:tc>
        <w:tc>
          <w:tcPr>
            <w:tcW w:w="1331" w:type="dxa"/>
            <w:tcBorders>
              <w:top w:val="nil"/>
              <w:left w:val="nil"/>
              <w:bottom w:val="nil"/>
              <w:right w:val="nil"/>
            </w:tcBorders>
            <w:shd w:val="clear" w:color="auto" w:fill="auto"/>
            <w:vAlign w:val="center"/>
            <w:hideMark/>
          </w:tcPr>
          <w:p w14:paraId="6DD13375" w14:textId="6638F4C4" w:rsidR="00EE5E59" w:rsidRPr="004E26D7" w:rsidRDefault="00EE5E59" w:rsidP="00D36A4F">
            <w:pPr>
              <w:jc w:val="center"/>
              <w:rPr>
                <w:color w:val="000000"/>
              </w:rPr>
            </w:pPr>
            <w:r w:rsidRPr="004E26D7">
              <w:rPr>
                <w:color w:val="000000"/>
              </w:rPr>
              <w:t>(0.00</w:t>
            </w:r>
            <w:r w:rsidR="004E26D7">
              <w:rPr>
                <w:color w:val="000000"/>
              </w:rPr>
              <w:t>6</w:t>
            </w:r>
            <w:r w:rsidRPr="004E26D7">
              <w:rPr>
                <w:color w:val="000000"/>
              </w:rPr>
              <w:t>)</w:t>
            </w:r>
          </w:p>
        </w:tc>
      </w:tr>
      <w:tr w:rsidR="00EE5E59" w:rsidRPr="00B1125A" w14:paraId="76CFD1FC" w14:textId="77777777" w:rsidTr="002D1122">
        <w:trPr>
          <w:trHeight w:val="168"/>
          <w:jc w:val="center"/>
        </w:trPr>
        <w:tc>
          <w:tcPr>
            <w:tcW w:w="1911" w:type="dxa"/>
            <w:tcBorders>
              <w:top w:val="nil"/>
              <w:left w:val="nil"/>
              <w:bottom w:val="nil"/>
              <w:right w:val="nil"/>
            </w:tcBorders>
            <w:shd w:val="clear" w:color="auto" w:fill="auto"/>
            <w:vAlign w:val="center"/>
            <w:hideMark/>
          </w:tcPr>
          <w:p w14:paraId="3509F381" w14:textId="22C9F88C" w:rsidR="00EE5E59" w:rsidRPr="00C551F2" w:rsidRDefault="00EE5E59" w:rsidP="00D36A4F">
            <w:pPr>
              <w:rPr>
                <w:color w:val="000000"/>
              </w:rPr>
            </w:pPr>
            <w:r w:rsidRPr="00C551F2">
              <w:rPr>
                <w:color w:val="000000"/>
              </w:rPr>
              <w:t>Goal</w:t>
            </w:r>
            <w:r w:rsidR="00966488">
              <w:rPr>
                <w:color w:val="000000"/>
              </w:rPr>
              <w:t>PerDays</w:t>
            </w:r>
          </w:p>
        </w:tc>
        <w:tc>
          <w:tcPr>
            <w:tcW w:w="1659" w:type="dxa"/>
            <w:tcBorders>
              <w:top w:val="nil"/>
              <w:left w:val="nil"/>
              <w:bottom w:val="nil"/>
              <w:right w:val="nil"/>
            </w:tcBorders>
            <w:shd w:val="clear" w:color="auto" w:fill="auto"/>
            <w:vAlign w:val="center"/>
            <w:hideMark/>
          </w:tcPr>
          <w:p w14:paraId="59CF678A" w14:textId="77777777" w:rsidR="00EE5E59" w:rsidRPr="00C551F2" w:rsidRDefault="00EE5E59" w:rsidP="00D36A4F">
            <w:pPr>
              <w:rPr>
                <w:color w:val="000000"/>
              </w:rPr>
            </w:pPr>
          </w:p>
        </w:tc>
        <w:tc>
          <w:tcPr>
            <w:tcW w:w="1323" w:type="dxa"/>
            <w:tcBorders>
              <w:top w:val="nil"/>
              <w:left w:val="nil"/>
              <w:bottom w:val="nil"/>
              <w:right w:val="nil"/>
            </w:tcBorders>
            <w:shd w:val="clear" w:color="auto" w:fill="auto"/>
            <w:vAlign w:val="center"/>
            <w:hideMark/>
          </w:tcPr>
          <w:p w14:paraId="04C40482" w14:textId="40F1C9B8" w:rsidR="00EE5E59" w:rsidRPr="00EE5E59" w:rsidRDefault="00966488" w:rsidP="002D1122">
            <w:pPr>
              <w:jc w:val="center"/>
            </w:pPr>
            <w:r>
              <w:t>-0</w:t>
            </w:r>
            <w:r w:rsidR="002D1122">
              <w:t>.00</w:t>
            </w:r>
            <w:r>
              <w:t>4</w:t>
            </w:r>
            <w:r w:rsidR="002D1122">
              <w:t>***</w:t>
            </w:r>
          </w:p>
        </w:tc>
        <w:tc>
          <w:tcPr>
            <w:tcW w:w="1188" w:type="dxa"/>
            <w:tcBorders>
              <w:top w:val="nil"/>
              <w:left w:val="nil"/>
              <w:bottom w:val="nil"/>
              <w:right w:val="nil"/>
            </w:tcBorders>
            <w:shd w:val="clear" w:color="auto" w:fill="auto"/>
            <w:vAlign w:val="center"/>
            <w:hideMark/>
          </w:tcPr>
          <w:p w14:paraId="6EEDADDD" w14:textId="77777777" w:rsidR="00EE5E59" w:rsidRPr="00EE5E59" w:rsidRDefault="00EE5E59" w:rsidP="00D36A4F">
            <w:pPr>
              <w:jc w:val="center"/>
            </w:pPr>
          </w:p>
        </w:tc>
        <w:tc>
          <w:tcPr>
            <w:tcW w:w="1331" w:type="dxa"/>
            <w:tcBorders>
              <w:top w:val="nil"/>
              <w:left w:val="nil"/>
              <w:bottom w:val="nil"/>
              <w:right w:val="nil"/>
            </w:tcBorders>
            <w:shd w:val="clear" w:color="auto" w:fill="auto"/>
            <w:vAlign w:val="center"/>
            <w:hideMark/>
          </w:tcPr>
          <w:p w14:paraId="2F33F1CB" w14:textId="1ACD36D9" w:rsidR="00EE5E59" w:rsidRPr="004E26D7" w:rsidRDefault="004E26D7" w:rsidP="004E26D7">
            <w:pPr>
              <w:jc w:val="center"/>
              <w:rPr>
                <w:color w:val="000000"/>
              </w:rPr>
            </w:pPr>
            <w:r>
              <w:rPr>
                <w:color w:val="000000"/>
              </w:rPr>
              <w:t>-0.001***</w:t>
            </w:r>
          </w:p>
        </w:tc>
      </w:tr>
      <w:tr w:rsidR="002D1122" w:rsidRPr="00B1125A" w14:paraId="1DBA191B" w14:textId="77777777" w:rsidTr="002D1122">
        <w:trPr>
          <w:trHeight w:val="168"/>
          <w:jc w:val="center"/>
        </w:trPr>
        <w:tc>
          <w:tcPr>
            <w:tcW w:w="1911" w:type="dxa"/>
            <w:tcBorders>
              <w:top w:val="nil"/>
              <w:left w:val="nil"/>
              <w:bottom w:val="nil"/>
              <w:right w:val="nil"/>
            </w:tcBorders>
            <w:shd w:val="clear" w:color="auto" w:fill="auto"/>
            <w:vAlign w:val="center"/>
          </w:tcPr>
          <w:p w14:paraId="5EA32DB6" w14:textId="77777777" w:rsidR="002D1122" w:rsidRPr="00C551F2" w:rsidRDefault="002D1122" w:rsidP="00D36A4F">
            <w:pPr>
              <w:rPr>
                <w:color w:val="000000"/>
              </w:rPr>
            </w:pPr>
          </w:p>
        </w:tc>
        <w:tc>
          <w:tcPr>
            <w:tcW w:w="1659" w:type="dxa"/>
            <w:tcBorders>
              <w:top w:val="nil"/>
              <w:left w:val="nil"/>
              <w:bottom w:val="nil"/>
              <w:right w:val="nil"/>
            </w:tcBorders>
            <w:shd w:val="clear" w:color="auto" w:fill="auto"/>
            <w:vAlign w:val="center"/>
          </w:tcPr>
          <w:p w14:paraId="351D967B" w14:textId="77777777" w:rsidR="002D1122" w:rsidRPr="00C551F2" w:rsidRDefault="002D1122" w:rsidP="00D36A4F">
            <w:pPr>
              <w:rPr>
                <w:color w:val="000000"/>
              </w:rPr>
            </w:pPr>
          </w:p>
        </w:tc>
        <w:tc>
          <w:tcPr>
            <w:tcW w:w="1323" w:type="dxa"/>
            <w:tcBorders>
              <w:top w:val="nil"/>
              <w:left w:val="nil"/>
              <w:bottom w:val="nil"/>
              <w:right w:val="nil"/>
            </w:tcBorders>
            <w:shd w:val="clear" w:color="auto" w:fill="auto"/>
            <w:vAlign w:val="center"/>
          </w:tcPr>
          <w:p w14:paraId="4B22ADB9" w14:textId="2AA778C2" w:rsidR="002D1122" w:rsidRPr="00EE5E59" w:rsidRDefault="002D1122" w:rsidP="002D1122">
            <w:pPr>
              <w:jc w:val="center"/>
            </w:pPr>
            <w:r>
              <w:t>(0.000)</w:t>
            </w:r>
          </w:p>
        </w:tc>
        <w:tc>
          <w:tcPr>
            <w:tcW w:w="1188" w:type="dxa"/>
            <w:tcBorders>
              <w:top w:val="nil"/>
              <w:left w:val="nil"/>
              <w:bottom w:val="nil"/>
              <w:right w:val="nil"/>
            </w:tcBorders>
            <w:shd w:val="clear" w:color="auto" w:fill="auto"/>
            <w:vAlign w:val="center"/>
          </w:tcPr>
          <w:p w14:paraId="0C6F5F29" w14:textId="77777777" w:rsidR="002D1122" w:rsidRPr="00EE5E59" w:rsidRDefault="002D1122" w:rsidP="00D36A4F">
            <w:pPr>
              <w:jc w:val="center"/>
            </w:pPr>
          </w:p>
        </w:tc>
        <w:tc>
          <w:tcPr>
            <w:tcW w:w="1331" w:type="dxa"/>
            <w:tcBorders>
              <w:top w:val="nil"/>
              <w:left w:val="nil"/>
              <w:bottom w:val="nil"/>
              <w:right w:val="nil"/>
            </w:tcBorders>
            <w:shd w:val="clear" w:color="auto" w:fill="auto"/>
            <w:vAlign w:val="center"/>
          </w:tcPr>
          <w:p w14:paraId="27A27047" w14:textId="2F3EF8DE" w:rsidR="002D1122" w:rsidRPr="004E26D7" w:rsidRDefault="004E26D7" w:rsidP="004E26D7">
            <w:pPr>
              <w:jc w:val="center"/>
              <w:rPr>
                <w:color w:val="000000"/>
              </w:rPr>
            </w:pPr>
            <w:r>
              <w:rPr>
                <w:color w:val="000000"/>
              </w:rPr>
              <w:t>(0.000)</w:t>
            </w:r>
          </w:p>
        </w:tc>
      </w:tr>
      <w:tr w:rsidR="002D1122" w:rsidRPr="00B1125A" w14:paraId="45C23314" w14:textId="77777777" w:rsidTr="002D1122">
        <w:trPr>
          <w:trHeight w:val="168"/>
          <w:jc w:val="center"/>
        </w:trPr>
        <w:tc>
          <w:tcPr>
            <w:tcW w:w="1911" w:type="dxa"/>
            <w:tcBorders>
              <w:top w:val="nil"/>
              <w:left w:val="nil"/>
              <w:bottom w:val="nil"/>
              <w:right w:val="nil"/>
            </w:tcBorders>
            <w:shd w:val="clear" w:color="auto" w:fill="auto"/>
            <w:vAlign w:val="center"/>
          </w:tcPr>
          <w:p w14:paraId="31621B48" w14:textId="0748A75E" w:rsidR="002D1122" w:rsidRPr="00F13114" w:rsidRDefault="002D1122" w:rsidP="00D36A4F">
            <w:pPr>
              <w:rPr>
                <w:b/>
                <w:bCs/>
                <w:color w:val="000000"/>
              </w:rPr>
            </w:pPr>
            <w:r w:rsidRPr="00F13114">
              <w:rPr>
                <w:b/>
                <w:bCs/>
                <w:color w:val="000000"/>
              </w:rPr>
              <w:t>CovidDummy</w:t>
            </w:r>
          </w:p>
        </w:tc>
        <w:tc>
          <w:tcPr>
            <w:tcW w:w="1659" w:type="dxa"/>
            <w:tcBorders>
              <w:top w:val="nil"/>
              <w:left w:val="nil"/>
              <w:bottom w:val="nil"/>
              <w:right w:val="nil"/>
            </w:tcBorders>
            <w:shd w:val="clear" w:color="auto" w:fill="auto"/>
            <w:vAlign w:val="center"/>
          </w:tcPr>
          <w:p w14:paraId="1BBD6A4E" w14:textId="77777777" w:rsidR="002D1122" w:rsidRPr="00F13114" w:rsidRDefault="002D1122" w:rsidP="00D36A4F">
            <w:pPr>
              <w:rPr>
                <w:b/>
                <w:bCs/>
                <w:color w:val="000000"/>
              </w:rPr>
            </w:pPr>
          </w:p>
        </w:tc>
        <w:tc>
          <w:tcPr>
            <w:tcW w:w="1323" w:type="dxa"/>
            <w:tcBorders>
              <w:top w:val="nil"/>
              <w:left w:val="nil"/>
              <w:bottom w:val="nil"/>
              <w:right w:val="nil"/>
            </w:tcBorders>
            <w:shd w:val="clear" w:color="auto" w:fill="auto"/>
            <w:vAlign w:val="center"/>
          </w:tcPr>
          <w:p w14:paraId="4CA4014F" w14:textId="10D5FB6F" w:rsidR="002D1122" w:rsidRPr="00F13114" w:rsidRDefault="002D1122" w:rsidP="002D1122">
            <w:pPr>
              <w:jc w:val="center"/>
              <w:rPr>
                <w:b/>
                <w:bCs/>
              </w:rPr>
            </w:pPr>
            <w:r w:rsidRPr="00F13114">
              <w:rPr>
                <w:b/>
                <w:bCs/>
              </w:rPr>
              <w:t>0.1</w:t>
            </w:r>
            <w:r w:rsidR="00966488" w:rsidRPr="00F13114">
              <w:rPr>
                <w:b/>
                <w:bCs/>
              </w:rPr>
              <w:t>62</w:t>
            </w:r>
            <w:r w:rsidR="00EE143D" w:rsidRPr="00F13114">
              <w:rPr>
                <w:b/>
                <w:bCs/>
              </w:rPr>
              <w:t>***</w:t>
            </w:r>
          </w:p>
        </w:tc>
        <w:tc>
          <w:tcPr>
            <w:tcW w:w="1188" w:type="dxa"/>
            <w:tcBorders>
              <w:top w:val="nil"/>
              <w:left w:val="nil"/>
              <w:bottom w:val="nil"/>
              <w:right w:val="nil"/>
            </w:tcBorders>
            <w:shd w:val="clear" w:color="auto" w:fill="auto"/>
            <w:vAlign w:val="center"/>
          </w:tcPr>
          <w:p w14:paraId="4AD31EC5" w14:textId="77777777" w:rsidR="002D1122" w:rsidRPr="00F13114" w:rsidRDefault="002D1122" w:rsidP="00D36A4F">
            <w:pPr>
              <w:jc w:val="center"/>
              <w:rPr>
                <w:b/>
                <w:bCs/>
              </w:rPr>
            </w:pPr>
          </w:p>
        </w:tc>
        <w:tc>
          <w:tcPr>
            <w:tcW w:w="1331" w:type="dxa"/>
            <w:tcBorders>
              <w:top w:val="nil"/>
              <w:left w:val="nil"/>
              <w:bottom w:val="nil"/>
              <w:right w:val="nil"/>
            </w:tcBorders>
            <w:shd w:val="clear" w:color="auto" w:fill="auto"/>
            <w:vAlign w:val="center"/>
          </w:tcPr>
          <w:p w14:paraId="20505B10" w14:textId="5708687D" w:rsidR="002D1122" w:rsidRPr="00F13114" w:rsidRDefault="004E26D7" w:rsidP="004E26D7">
            <w:pPr>
              <w:jc w:val="center"/>
              <w:rPr>
                <w:b/>
                <w:bCs/>
                <w:color w:val="000000"/>
              </w:rPr>
            </w:pPr>
            <w:r w:rsidRPr="00F13114">
              <w:rPr>
                <w:b/>
                <w:bCs/>
                <w:color w:val="000000"/>
              </w:rPr>
              <w:t>0.111***</w:t>
            </w:r>
          </w:p>
        </w:tc>
      </w:tr>
      <w:tr w:rsidR="002D1122" w:rsidRPr="00B1125A" w14:paraId="6E9FC8DC" w14:textId="77777777" w:rsidTr="002D1122">
        <w:trPr>
          <w:trHeight w:val="168"/>
          <w:jc w:val="center"/>
        </w:trPr>
        <w:tc>
          <w:tcPr>
            <w:tcW w:w="1911" w:type="dxa"/>
            <w:tcBorders>
              <w:top w:val="nil"/>
              <w:left w:val="nil"/>
              <w:bottom w:val="nil"/>
              <w:right w:val="nil"/>
            </w:tcBorders>
            <w:shd w:val="clear" w:color="auto" w:fill="auto"/>
            <w:vAlign w:val="center"/>
          </w:tcPr>
          <w:p w14:paraId="0B6DAA64" w14:textId="77777777" w:rsidR="002D1122" w:rsidRPr="00F13114" w:rsidRDefault="002D1122" w:rsidP="00D36A4F">
            <w:pPr>
              <w:rPr>
                <w:b/>
                <w:bCs/>
                <w:color w:val="000000"/>
              </w:rPr>
            </w:pPr>
          </w:p>
        </w:tc>
        <w:tc>
          <w:tcPr>
            <w:tcW w:w="1659" w:type="dxa"/>
            <w:tcBorders>
              <w:top w:val="nil"/>
              <w:left w:val="nil"/>
              <w:bottom w:val="nil"/>
              <w:right w:val="nil"/>
            </w:tcBorders>
            <w:shd w:val="clear" w:color="auto" w:fill="auto"/>
            <w:vAlign w:val="center"/>
          </w:tcPr>
          <w:p w14:paraId="092E76AE" w14:textId="77777777" w:rsidR="002D1122" w:rsidRPr="00F13114" w:rsidRDefault="002D1122" w:rsidP="00D36A4F">
            <w:pPr>
              <w:rPr>
                <w:b/>
                <w:bCs/>
                <w:color w:val="000000"/>
              </w:rPr>
            </w:pPr>
          </w:p>
        </w:tc>
        <w:tc>
          <w:tcPr>
            <w:tcW w:w="1323" w:type="dxa"/>
            <w:tcBorders>
              <w:top w:val="nil"/>
              <w:left w:val="nil"/>
              <w:bottom w:val="nil"/>
              <w:right w:val="nil"/>
            </w:tcBorders>
            <w:shd w:val="clear" w:color="auto" w:fill="auto"/>
            <w:vAlign w:val="center"/>
          </w:tcPr>
          <w:p w14:paraId="568B951A" w14:textId="45E2483B" w:rsidR="002D1122" w:rsidRPr="00F13114" w:rsidRDefault="002D1122" w:rsidP="002D1122">
            <w:pPr>
              <w:jc w:val="center"/>
              <w:rPr>
                <w:b/>
                <w:bCs/>
              </w:rPr>
            </w:pPr>
            <w:r w:rsidRPr="00F13114">
              <w:rPr>
                <w:b/>
                <w:bCs/>
              </w:rPr>
              <w:t>(0.03</w:t>
            </w:r>
            <w:r w:rsidR="00966488" w:rsidRPr="00F13114">
              <w:rPr>
                <w:b/>
                <w:bCs/>
              </w:rPr>
              <w:t>0</w:t>
            </w:r>
            <w:r w:rsidRPr="00F13114">
              <w:rPr>
                <w:b/>
                <w:bCs/>
              </w:rPr>
              <w:t>)</w:t>
            </w:r>
          </w:p>
        </w:tc>
        <w:tc>
          <w:tcPr>
            <w:tcW w:w="1188" w:type="dxa"/>
            <w:tcBorders>
              <w:top w:val="nil"/>
              <w:left w:val="nil"/>
              <w:bottom w:val="nil"/>
              <w:right w:val="nil"/>
            </w:tcBorders>
            <w:shd w:val="clear" w:color="auto" w:fill="auto"/>
            <w:vAlign w:val="center"/>
          </w:tcPr>
          <w:p w14:paraId="43E3E082" w14:textId="77777777" w:rsidR="002D1122" w:rsidRPr="00F13114" w:rsidRDefault="002D1122" w:rsidP="00D36A4F">
            <w:pPr>
              <w:jc w:val="center"/>
              <w:rPr>
                <w:b/>
                <w:bCs/>
              </w:rPr>
            </w:pPr>
          </w:p>
        </w:tc>
        <w:tc>
          <w:tcPr>
            <w:tcW w:w="1331" w:type="dxa"/>
            <w:tcBorders>
              <w:top w:val="nil"/>
              <w:left w:val="nil"/>
              <w:bottom w:val="nil"/>
              <w:right w:val="nil"/>
            </w:tcBorders>
            <w:shd w:val="clear" w:color="auto" w:fill="auto"/>
            <w:vAlign w:val="center"/>
          </w:tcPr>
          <w:p w14:paraId="1828C1CE" w14:textId="7D697207" w:rsidR="002D1122" w:rsidRPr="00F13114" w:rsidRDefault="004E26D7" w:rsidP="004E26D7">
            <w:pPr>
              <w:jc w:val="center"/>
              <w:rPr>
                <w:b/>
                <w:bCs/>
                <w:color w:val="000000"/>
              </w:rPr>
            </w:pPr>
            <w:r w:rsidRPr="00F13114">
              <w:rPr>
                <w:b/>
                <w:bCs/>
                <w:color w:val="000000"/>
              </w:rPr>
              <w:t>(0.016)</w:t>
            </w:r>
          </w:p>
        </w:tc>
      </w:tr>
      <w:tr w:rsidR="00EE5E59" w:rsidRPr="00B1125A" w14:paraId="0A382FD2" w14:textId="77777777" w:rsidTr="002D1122">
        <w:trPr>
          <w:trHeight w:val="161"/>
          <w:jc w:val="center"/>
        </w:trPr>
        <w:tc>
          <w:tcPr>
            <w:tcW w:w="1911" w:type="dxa"/>
            <w:tcBorders>
              <w:top w:val="nil"/>
              <w:left w:val="nil"/>
              <w:bottom w:val="double" w:sz="6" w:space="0" w:color="auto"/>
              <w:right w:val="nil"/>
            </w:tcBorders>
            <w:shd w:val="clear" w:color="auto" w:fill="auto"/>
            <w:vAlign w:val="center"/>
            <w:hideMark/>
          </w:tcPr>
          <w:p w14:paraId="0E3DF2CB" w14:textId="2653145E" w:rsidR="00EE5E59" w:rsidRPr="00C551F2" w:rsidRDefault="00905642" w:rsidP="00D36A4F">
            <w:pPr>
              <w:rPr>
                <w:color w:val="000000"/>
              </w:rPr>
            </w:pPr>
            <w:r>
              <w:rPr>
                <w:color w:val="000000"/>
              </w:rPr>
              <w:t>Model chi-square</w:t>
            </w:r>
          </w:p>
        </w:tc>
        <w:tc>
          <w:tcPr>
            <w:tcW w:w="1659" w:type="dxa"/>
            <w:tcBorders>
              <w:top w:val="nil"/>
              <w:left w:val="nil"/>
              <w:bottom w:val="double" w:sz="6" w:space="0" w:color="auto"/>
              <w:right w:val="nil"/>
            </w:tcBorders>
            <w:shd w:val="clear" w:color="auto" w:fill="auto"/>
            <w:vAlign w:val="center"/>
            <w:hideMark/>
          </w:tcPr>
          <w:p w14:paraId="799811E9" w14:textId="77777777" w:rsidR="00EE5E59" w:rsidRPr="00C551F2" w:rsidRDefault="00EE5E59" w:rsidP="00D36A4F">
            <w:pPr>
              <w:rPr>
                <w:color w:val="000000"/>
              </w:rPr>
            </w:pPr>
            <w:r w:rsidRPr="00C551F2">
              <w:rPr>
                <w:color w:val="000000"/>
              </w:rPr>
              <w:t> </w:t>
            </w:r>
          </w:p>
        </w:tc>
        <w:tc>
          <w:tcPr>
            <w:tcW w:w="1323" w:type="dxa"/>
            <w:tcBorders>
              <w:top w:val="nil"/>
              <w:left w:val="nil"/>
              <w:bottom w:val="double" w:sz="6" w:space="0" w:color="auto"/>
              <w:right w:val="nil"/>
            </w:tcBorders>
            <w:shd w:val="clear" w:color="auto" w:fill="auto"/>
            <w:vAlign w:val="center"/>
            <w:hideMark/>
          </w:tcPr>
          <w:p w14:paraId="072FE48A" w14:textId="77777777" w:rsidR="00EE5E59" w:rsidRDefault="00905642" w:rsidP="00D36A4F">
            <w:pPr>
              <w:jc w:val="center"/>
              <w:rPr>
                <w:color w:val="000000"/>
              </w:rPr>
            </w:pPr>
            <w:r>
              <w:rPr>
                <w:color w:val="000000"/>
              </w:rPr>
              <w:t>29384.518</w:t>
            </w:r>
          </w:p>
          <w:p w14:paraId="59F41260" w14:textId="73F73EA9" w:rsidR="00905642" w:rsidRPr="00C551F2" w:rsidRDefault="00905642" w:rsidP="00D36A4F">
            <w:pPr>
              <w:jc w:val="center"/>
              <w:rPr>
                <w:color w:val="000000"/>
              </w:rPr>
            </w:pPr>
            <w:r>
              <w:rPr>
                <w:color w:val="000000"/>
              </w:rPr>
              <w:t>(&lt;0.001)</w:t>
            </w:r>
          </w:p>
        </w:tc>
        <w:tc>
          <w:tcPr>
            <w:tcW w:w="1188" w:type="dxa"/>
            <w:tcBorders>
              <w:top w:val="nil"/>
              <w:left w:val="nil"/>
              <w:bottom w:val="double" w:sz="6" w:space="0" w:color="auto"/>
              <w:right w:val="nil"/>
            </w:tcBorders>
            <w:shd w:val="clear" w:color="auto" w:fill="auto"/>
            <w:vAlign w:val="center"/>
            <w:hideMark/>
          </w:tcPr>
          <w:p w14:paraId="0371DB19" w14:textId="6F2BD746" w:rsidR="00EE5E59" w:rsidRPr="00C551F2" w:rsidRDefault="00EE5E59" w:rsidP="00D36A4F">
            <w:pPr>
              <w:jc w:val="center"/>
              <w:rPr>
                <w:color w:val="000000"/>
              </w:rPr>
            </w:pPr>
            <w:r w:rsidRPr="00C551F2">
              <w:rPr>
                <w:color w:val="000000"/>
              </w:rPr>
              <w:t> </w:t>
            </w:r>
          </w:p>
        </w:tc>
        <w:tc>
          <w:tcPr>
            <w:tcW w:w="1331" w:type="dxa"/>
            <w:tcBorders>
              <w:top w:val="nil"/>
              <w:left w:val="nil"/>
              <w:bottom w:val="double" w:sz="6" w:space="0" w:color="auto"/>
              <w:right w:val="nil"/>
            </w:tcBorders>
            <w:shd w:val="clear" w:color="auto" w:fill="auto"/>
            <w:vAlign w:val="center"/>
            <w:hideMark/>
          </w:tcPr>
          <w:p w14:paraId="752DA49D" w14:textId="77777777" w:rsidR="00EE5E59" w:rsidRDefault="00EE5E59" w:rsidP="00D36A4F">
            <w:pPr>
              <w:jc w:val="center"/>
              <w:rPr>
                <w:color w:val="000000"/>
              </w:rPr>
            </w:pPr>
            <w:r w:rsidRPr="00C551F2">
              <w:rPr>
                <w:color w:val="000000"/>
              </w:rPr>
              <w:t xml:space="preserve"> </w:t>
            </w:r>
            <w:r w:rsidR="00905642">
              <w:rPr>
                <w:color w:val="000000"/>
              </w:rPr>
              <w:t>34667.002</w:t>
            </w:r>
          </w:p>
          <w:p w14:paraId="41EF08FA" w14:textId="392AD434" w:rsidR="00905642" w:rsidRPr="00C551F2" w:rsidRDefault="00905642" w:rsidP="00D36A4F">
            <w:pPr>
              <w:jc w:val="center"/>
              <w:rPr>
                <w:color w:val="000000"/>
              </w:rPr>
            </w:pPr>
            <w:r>
              <w:rPr>
                <w:color w:val="000000"/>
              </w:rPr>
              <w:t>(&lt;0.001)</w:t>
            </w:r>
          </w:p>
        </w:tc>
      </w:tr>
      <w:tr w:rsidR="00EE5E59" w:rsidRPr="00FE5536" w14:paraId="1C6FFF78" w14:textId="77777777" w:rsidTr="002D1122">
        <w:trPr>
          <w:trHeight w:val="517"/>
          <w:jc w:val="center"/>
        </w:trPr>
        <w:tc>
          <w:tcPr>
            <w:tcW w:w="7412" w:type="dxa"/>
            <w:gridSpan w:val="5"/>
            <w:tcBorders>
              <w:top w:val="double" w:sz="6" w:space="0" w:color="auto"/>
              <w:left w:val="nil"/>
              <w:bottom w:val="nil"/>
              <w:right w:val="nil"/>
            </w:tcBorders>
            <w:shd w:val="clear" w:color="auto" w:fill="auto"/>
            <w:vAlign w:val="center"/>
            <w:hideMark/>
          </w:tcPr>
          <w:p w14:paraId="288F4C54" w14:textId="3D1A9CF6" w:rsidR="00EE5E59" w:rsidRPr="00C551F2" w:rsidRDefault="00EE5E59" w:rsidP="00D36A4F">
            <w:pPr>
              <w:jc w:val="both"/>
              <w:rPr>
                <w:i/>
                <w:iCs/>
                <w:color w:val="000000"/>
              </w:rPr>
            </w:pPr>
            <w:r w:rsidRPr="00C551F2">
              <w:rPr>
                <w:i/>
                <w:iCs/>
                <w:color w:val="000000"/>
                <w:sz w:val="22"/>
                <w:szCs w:val="22"/>
              </w:rPr>
              <w:t xml:space="preserve">Note: </w:t>
            </w:r>
            <w:r w:rsidRPr="00B84886">
              <w:rPr>
                <w:i/>
                <w:iCs/>
                <w:color w:val="000000"/>
                <w:sz w:val="22"/>
                <w:szCs w:val="22"/>
              </w:rPr>
              <w:t>S</w:t>
            </w:r>
            <w:r w:rsidRPr="00C551F2">
              <w:rPr>
                <w:i/>
                <w:iCs/>
                <w:color w:val="000000"/>
                <w:sz w:val="22"/>
                <w:szCs w:val="22"/>
              </w:rPr>
              <w:t>tandard errors in parentheses</w:t>
            </w:r>
            <w:r>
              <w:rPr>
                <w:i/>
                <w:iCs/>
                <w:color w:val="000000"/>
                <w:sz w:val="22"/>
                <w:szCs w:val="22"/>
              </w:rPr>
              <w:t xml:space="preserve">. </w:t>
            </w:r>
            <w:r w:rsidRPr="00EF3D58">
              <w:rPr>
                <w:i/>
                <w:iCs/>
                <w:color w:val="000000"/>
                <w:sz w:val="22"/>
                <w:szCs w:val="22"/>
              </w:rPr>
              <w:t>***</w:t>
            </w:r>
            <w:r>
              <w:rPr>
                <w:i/>
                <w:iCs/>
                <w:color w:val="000000"/>
                <w:sz w:val="22"/>
                <w:szCs w:val="22"/>
              </w:rPr>
              <w:t xml:space="preserve"> and *</w:t>
            </w:r>
            <w:r w:rsidR="00966488">
              <w:rPr>
                <w:i/>
                <w:iCs/>
                <w:color w:val="000000"/>
                <w:sz w:val="22"/>
                <w:szCs w:val="22"/>
              </w:rPr>
              <w:t>*</w:t>
            </w:r>
            <w:r w:rsidRPr="00EF3D58">
              <w:rPr>
                <w:i/>
                <w:iCs/>
                <w:color w:val="000000"/>
                <w:sz w:val="22"/>
                <w:szCs w:val="22"/>
              </w:rPr>
              <w:t xml:space="preserve"> denote statistical significance at 0.01</w:t>
            </w:r>
            <w:r>
              <w:rPr>
                <w:i/>
                <w:iCs/>
                <w:color w:val="000000"/>
                <w:sz w:val="22"/>
                <w:szCs w:val="22"/>
              </w:rPr>
              <w:t xml:space="preserve"> and 0.</w:t>
            </w:r>
            <w:r w:rsidR="00966488">
              <w:rPr>
                <w:i/>
                <w:iCs/>
                <w:color w:val="000000"/>
                <w:sz w:val="22"/>
                <w:szCs w:val="22"/>
              </w:rPr>
              <w:t>05</w:t>
            </w:r>
            <w:r>
              <w:rPr>
                <w:i/>
                <w:iCs/>
                <w:color w:val="000000"/>
                <w:sz w:val="22"/>
                <w:szCs w:val="22"/>
              </w:rPr>
              <w:t xml:space="preserve"> respectively.</w:t>
            </w:r>
          </w:p>
        </w:tc>
      </w:tr>
    </w:tbl>
    <w:p w14:paraId="0FA866FA" w14:textId="77777777" w:rsidR="00EE5E59" w:rsidRPr="00B1125A" w:rsidRDefault="00EE5E59" w:rsidP="00EE5E59">
      <w:pPr>
        <w:spacing w:line="360" w:lineRule="auto"/>
      </w:pPr>
    </w:p>
    <w:p w14:paraId="1F82F5EB" w14:textId="099CC635" w:rsidR="00732571" w:rsidRDefault="00966488" w:rsidP="00732571">
      <w:pPr>
        <w:autoSpaceDE w:val="0"/>
        <w:autoSpaceDN w:val="0"/>
        <w:adjustRightInd w:val="0"/>
        <w:spacing w:line="360" w:lineRule="auto"/>
        <w:ind w:firstLine="720"/>
        <w:jc w:val="both"/>
      </w:pPr>
      <w:r>
        <w:t xml:space="preserve">The control variables results are consistent with the literature in the sense that they show the expected signs (namely relationships with success) as in Daskalakis et al. (2023). The only difference with their study is that the “Words” variable is </w:t>
      </w:r>
      <w:r>
        <w:lastRenderedPageBreak/>
        <w:t xml:space="preserve">statistically significant and positive in our study (it was insignificant in their study), implying that the higher number of words per campaign, the higher the </w:t>
      </w:r>
      <w:r w:rsidR="00732571">
        <w:t xml:space="preserve">probability of success. Turning our focus on our “covid” variable, this is statistically significant at 1% and positive, showing that success rates during the pandemic where higher, when compared with the pre-covid period. This is an interesting result that deserves further exploring.  </w:t>
      </w:r>
    </w:p>
    <w:p w14:paraId="792832B9" w14:textId="1335AB2C" w:rsidR="00732571" w:rsidRDefault="00732571" w:rsidP="00732571">
      <w:pPr>
        <w:autoSpaceDE w:val="0"/>
        <w:autoSpaceDN w:val="0"/>
        <w:adjustRightInd w:val="0"/>
        <w:spacing w:line="360" w:lineRule="auto"/>
        <w:ind w:firstLine="720"/>
        <w:jc w:val="both"/>
      </w:pPr>
      <w:r>
        <w:t xml:space="preserve">Given that the covid dummy variable was found to be positive and significant, I then dig deeper in exploring sector differentiations. Table 4 presents the change rates in the number of campaigns and the success rates pre- and during-covid for all categories/sectors. </w:t>
      </w:r>
    </w:p>
    <w:p w14:paraId="162ECEA8" w14:textId="3B312B85" w:rsidR="00732571" w:rsidRPr="00365AC0" w:rsidRDefault="00732571" w:rsidP="00732571">
      <w:pPr>
        <w:autoSpaceDE w:val="0"/>
        <w:autoSpaceDN w:val="0"/>
        <w:adjustRightInd w:val="0"/>
        <w:spacing w:line="360" w:lineRule="auto"/>
        <w:ind w:firstLine="720"/>
        <w:jc w:val="center"/>
        <w:rPr>
          <w:sz w:val="22"/>
          <w:szCs w:val="22"/>
        </w:rPr>
      </w:pPr>
      <w:r w:rsidRPr="005E7939">
        <w:rPr>
          <w:color w:val="000000"/>
          <w:sz w:val="22"/>
          <w:szCs w:val="22"/>
        </w:rPr>
        <w:t xml:space="preserve">Table </w:t>
      </w:r>
      <w:r>
        <w:rPr>
          <w:color w:val="000000"/>
          <w:sz w:val="22"/>
          <w:szCs w:val="22"/>
        </w:rPr>
        <w:t>4</w:t>
      </w:r>
      <w:r w:rsidRPr="005E7939">
        <w:rPr>
          <w:color w:val="000000"/>
          <w:sz w:val="22"/>
          <w:szCs w:val="22"/>
        </w:rPr>
        <w:t>: Successful projects</w:t>
      </w:r>
    </w:p>
    <w:tbl>
      <w:tblPr>
        <w:tblW w:w="8185" w:type="dxa"/>
        <w:tblInd w:w="108" w:type="dxa"/>
        <w:tblLook w:val="04A0" w:firstRow="1" w:lastRow="0" w:firstColumn="1" w:lastColumn="0" w:noHBand="0" w:noVBand="1"/>
      </w:tblPr>
      <w:tblGrid>
        <w:gridCol w:w="1158"/>
        <w:gridCol w:w="960"/>
        <w:gridCol w:w="1135"/>
        <w:gridCol w:w="821"/>
        <w:gridCol w:w="271"/>
        <w:gridCol w:w="1408"/>
        <w:gridCol w:w="320"/>
        <w:gridCol w:w="1217"/>
        <w:gridCol w:w="889"/>
        <w:gridCol w:w="6"/>
      </w:tblGrid>
      <w:tr w:rsidR="00732571" w:rsidRPr="00A42CCE" w14:paraId="2412289B" w14:textId="77777777" w:rsidTr="00D36A4F">
        <w:trPr>
          <w:gridAfter w:val="1"/>
          <w:wAfter w:w="6" w:type="dxa"/>
          <w:trHeight w:val="312"/>
        </w:trPr>
        <w:tc>
          <w:tcPr>
            <w:tcW w:w="1158" w:type="dxa"/>
            <w:vMerge w:val="restart"/>
            <w:tcBorders>
              <w:left w:val="nil"/>
              <w:right w:val="nil"/>
            </w:tcBorders>
            <w:shd w:val="clear" w:color="auto" w:fill="auto"/>
            <w:noWrap/>
            <w:vAlign w:val="center"/>
            <w:hideMark/>
          </w:tcPr>
          <w:p w14:paraId="1CBAC8CB" w14:textId="77777777" w:rsidR="00732571" w:rsidRPr="00A42CCE" w:rsidRDefault="00732571" w:rsidP="00D36A4F">
            <w:pPr>
              <w:jc w:val="center"/>
              <w:rPr>
                <w:color w:val="000000"/>
              </w:rPr>
            </w:pPr>
            <w:bookmarkStart w:id="6" w:name="_Hlk139631204"/>
            <w:r w:rsidRPr="00A42CCE">
              <w:rPr>
                <w:color w:val="000000"/>
                <w:sz w:val="22"/>
                <w:szCs w:val="22"/>
              </w:rPr>
              <w:t>Category</w:t>
            </w:r>
          </w:p>
        </w:tc>
        <w:tc>
          <w:tcPr>
            <w:tcW w:w="960" w:type="dxa"/>
            <w:tcBorders>
              <w:left w:val="nil"/>
              <w:right w:val="nil"/>
            </w:tcBorders>
            <w:shd w:val="clear" w:color="auto" w:fill="auto"/>
            <w:noWrap/>
            <w:vAlign w:val="center"/>
            <w:hideMark/>
          </w:tcPr>
          <w:p w14:paraId="44B5CB58" w14:textId="77777777" w:rsidR="00732571" w:rsidRPr="00A42CCE" w:rsidRDefault="00732571" w:rsidP="00D36A4F">
            <w:pPr>
              <w:jc w:val="center"/>
              <w:rPr>
                <w:color w:val="000000"/>
              </w:rPr>
            </w:pPr>
          </w:p>
        </w:tc>
        <w:tc>
          <w:tcPr>
            <w:tcW w:w="3635" w:type="dxa"/>
            <w:gridSpan w:val="4"/>
            <w:tcBorders>
              <w:top w:val="nil"/>
              <w:left w:val="nil"/>
              <w:bottom w:val="nil"/>
              <w:right w:val="nil"/>
            </w:tcBorders>
            <w:shd w:val="clear" w:color="auto" w:fill="auto"/>
            <w:noWrap/>
            <w:vAlign w:val="bottom"/>
            <w:hideMark/>
          </w:tcPr>
          <w:p w14:paraId="0D46C045" w14:textId="77777777" w:rsidR="00732571" w:rsidRPr="00A42CCE" w:rsidRDefault="00732571" w:rsidP="00D36A4F">
            <w:pPr>
              <w:jc w:val="center"/>
              <w:rPr>
                <w:color w:val="000000"/>
              </w:rPr>
            </w:pPr>
            <w:r w:rsidRPr="00A42CCE">
              <w:rPr>
                <w:color w:val="000000"/>
                <w:sz w:val="22"/>
                <w:szCs w:val="22"/>
              </w:rPr>
              <w:t>Numbers of campaigns</w:t>
            </w:r>
          </w:p>
        </w:tc>
        <w:tc>
          <w:tcPr>
            <w:tcW w:w="320" w:type="dxa"/>
            <w:tcBorders>
              <w:top w:val="nil"/>
              <w:left w:val="nil"/>
              <w:bottom w:val="nil"/>
              <w:right w:val="nil"/>
            </w:tcBorders>
            <w:shd w:val="clear" w:color="auto" w:fill="auto"/>
            <w:noWrap/>
            <w:vAlign w:val="bottom"/>
            <w:hideMark/>
          </w:tcPr>
          <w:p w14:paraId="6E4ACD9D" w14:textId="77777777" w:rsidR="00732571" w:rsidRPr="00A42CCE" w:rsidRDefault="00732571" w:rsidP="00D36A4F">
            <w:pPr>
              <w:jc w:val="center"/>
              <w:rPr>
                <w:color w:val="000000"/>
              </w:rPr>
            </w:pPr>
          </w:p>
        </w:tc>
        <w:tc>
          <w:tcPr>
            <w:tcW w:w="2106" w:type="dxa"/>
            <w:gridSpan w:val="2"/>
            <w:tcBorders>
              <w:top w:val="nil"/>
              <w:left w:val="nil"/>
              <w:bottom w:val="double" w:sz="6" w:space="0" w:color="auto"/>
              <w:right w:val="nil"/>
            </w:tcBorders>
            <w:shd w:val="clear" w:color="auto" w:fill="auto"/>
            <w:noWrap/>
            <w:vAlign w:val="bottom"/>
            <w:hideMark/>
          </w:tcPr>
          <w:p w14:paraId="46BEE2DE" w14:textId="77777777" w:rsidR="00732571" w:rsidRPr="00A42CCE" w:rsidRDefault="00732571" w:rsidP="00D36A4F">
            <w:pPr>
              <w:jc w:val="center"/>
              <w:rPr>
                <w:color w:val="000000"/>
              </w:rPr>
            </w:pPr>
            <w:r w:rsidRPr="00A42CCE">
              <w:rPr>
                <w:color w:val="000000"/>
                <w:sz w:val="22"/>
                <w:szCs w:val="22"/>
              </w:rPr>
              <w:t>Success rates</w:t>
            </w:r>
          </w:p>
        </w:tc>
      </w:tr>
      <w:tr w:rsidR="00732571" w:rsidRPr="00A42CCE" w14:paraId="317761F4" w14:textId="77777777" w:rsidTr="00D36A4F">
        <w:trPr>
          <w:trHeight w:val="300"/>
        </w:trPr>
        <w:tc>
          <w:tcPr>
            <w:tcW w:w="1158" w:type="dxa"/>
            <w:vMerge/>
            <w:tcBorders>
              <w:left w:val="nil"/>
              <w:bottom w:val="single" w:sz="4" w:space="0" w:color="auto"/>
              <w:right w:val="nil"/>
            </w:tcBorders>
            <w:vAlign w:val="center"/>
            <w:hideMark/>
          </w:tcPr>
          <w:p w14:paraId="67AC807F" w14:textId="77777777" w:rsidR="00732571" w:rsidRPr="00A42CCE" w:rsidRDefault="00732571" w:rsidP="00D36A4F">
            <w:pPr>
              <w:rPr>
                <w:color w:val="000000"/>
              </w:rPr>
            </w:pPr>
          </w:p>
        </w:tc>
        <w:tc>
          <w:tcPr>
            <w:tcW w:w="960" w:type="dxa"/>
            <w:tcBorders>
              <w:left w:val="nil"/>
              <w:bottom w:val="single" w:sz="4" w:space="0" w:color="auto"/>
              <w:right w:val="nil"/>
            </w:tcBorders>
            <w:shd w:val="clear" w:color="auto" w:fill="auto"/>
            <w:noWrap/>
            <w:vAlign w:val="center"/>
            <w:hideMark/>
          </w:tcPr>
          <w:p w14:paraId="5FCA7F32" w14:textId="77777777" w:rsidR="00732571" w:rsidRPr="00A42CCE" w:rsidRDefault="00732571" w:rsidP="00D36A4F">
            <w:pPr>
              <w:jc w:val="center"/>
              <w:rPr>
                <w:color w:val="000000"/>
              </w:rPr>
            </w:pPr>
          </w:p>
        </w:tc>
        <w:tc>
          <w:tcPr>
            <w:tcW w:w="1135" w:type="dxa"/>
            <w:tcBorders>
              <w:top w:val="double" w:sz="6" w:space="0" w:color="auto"/>
              <w:left w:val="nil"/>
              <w:bottom w:val="single" w:sz="4" w:space="0" w:color="auto"/>
              <w:right w:val="nil"/>
            </w:tcBorders>
            <w:shd w:val="clear" w:color="auto" w:fill="auto"/>
            <w:noWrap/>
            <w:vAlign w:val="center"/>
            <w:hideMark/>
          </w:tcPr>
          <w:p w14:paraId="767E930D" w14:textId="77777777" w:rsidR="00732571" w:rsidRPr="00A42CCE" w:rsidRDefault="00732571" w:rsidP="00D36A4F">
            <w:pPr>
              <w:rPr>
                <w:color w:val="000000"/>
              </w:rPr>
            </w:pPr>
            <w:r w:rsidRPr="00A42CCE">
              <w:rPr>
                <w:color w:val="000000"/>
                <w:sz w:val="22"/>
                <w:szCs w:val="22"/>
              </w:rPr>
              <w:t>Pre-Covid</w:t>
            </w:r>
          </w:p>
        </w:tc>
        <w:tc>
          <w:tcPr>
            <w:tcW w:w="821" w:type="dxa"/>
            <w:tcBorders>
              <w:top w:val="double" w:sz="6" w:space="0" w:color="auto"/>
              <w:left w:val="nil"/>
              <w:bottom w:val="single" w:sz="4" w:space="0" w:color="auto"/>
              <w:right w:val="nil"/>
            </w:tcBorders>
            <w:shd w:val="clear" w:color="auto" w:fill="auto"/>
            <w:noWrap/>
            <w:vAlign w:val="bottom"/>
            <w:hideMark/>
          </w:tcPr>
          <w:p w14:paraId="70DC5D85" w14:textId="77777777" w:rsidR="00732571" w:rsidRPr="00A42CCE" w:rsidRDefault="00732571" w:rsidP="00D36A4F">
            <w:pPr>
              <w:jc w:val="center"/>
              <w:rPr>
                <w:color w:val="000000"/>
              </w:rPr>
            </w:pPr>
            <w:r w:rsidRPr="00A42CCE">
              <w:rPr>
                <w:color w:val="000000"/>
                <w:sz w:val="22"/>
                <w:szCs w:val="22"/>
              </w:rPr>
              <w:t>Covid</w:t>
            </w:r>
          </w:p>
        </w:tc>
        <w:tc>
          <w:tcPr>
            <w:tcW w:w="271" w:type="dxa"/>
            <w:tcBorders>
              <w:top w:val="nil"/>
              <w:left w:val="nil"/>
              <w:bottom w:val="nil"/>
              <w:right w:val="nil"/>
            </w:tcBorders>
            <w:shd w:val="clear" w:color="auto" w:fill="auto"/>
            <w:noWrap/>
            <w:vAlign w:val="bottom"/>
            <w:hideMark/>
          </w:tcPr>
          <w:p w14:paraId="50FCA4A3" w14:textId="77777777" w:rsidR="00732571" w:rsidRPr="00A42CCE" w:rsidRDefault="00732571" w:rsidP="00D36A4F">
            <w:pPr>
              <w:jc w:val="center"/>
              <w:rPr>
                <w:color w:val="000000"/>
              </w:rPr>
            </w:pPr>
          </w:p>
        </w:tc>
        <w:tc>
          <w:tcPr>
            <w:tcW w:w="1408" w:type="dxa"/>
            <w:tcBorders>
              <w:top w:val="double" w:sz="6" w:space="0" w:color="auto"/>
              <w:left w:val="nil"/>
              <w:bottom w:val="single" w:sz="4" w:space="0" w:color="auto"/>
              <w:right w:val="nil"/>
            </w:tcBorders>
            <w:shd w:val="clear" w:color="auto" w:fill="auto"/>
            <w:noWrap/>
            <w:vAlign w:val="bottom"/>
            <w:hideMark/>
          </w:tcPr>
          <w:p w14:paraId="0744DBA8" w14:textId="77777777" w:rsidR="00732571" w:rsidRPr="00A42CCE" w:rsidRDefault="00732571" w:rsidP="00D36A4F">
            <w:pPr>
              <w:rPr>
                <w:color w:val="000000"/>
              </w:rPr>
            </w:pPr>
            <w:r w:rsidRPr="00A42CCE">
              <w:rPr>
                <w:color w:val="000000"/>
                <w:sz w:val="22"/>
                <w:szCs w:val="22"/>
              </w:rPr>
              <w:t>Change rate</w:t>
            </w:r>
          </w:p>
        </w:tc>
        <w:tc>
          <w:tcPr>
            <w:tcW w:w="320" w:type="dxa"/>
            <w:tcBorders>
              <w:top w:val="nil"/>
              <w:left w:val="nil"/>
              <w:bottom w:val="nil"/>
              <w:right w:val="nil"/>
            </w:tcBorders>
            <w:shd w:val="clear" w:color="auto" w:fill="auto"/>
            <w:noWrap/>
            <w:vAlign w:val="bottom"/>
            <w:hideMark/>
          </w:tcPr>
          <w:p w14:paraId="77AB78B8" w14:textId="77777777" w:rsidR="00732571" w:rsidRPr="00A42CCE" w:rsidRDefault="00732571" w:rsidP="00D36A4F">
            <w:pPr>
              <w:rPr>
                <w:color w:val="000000"/>
              </w:rPr>
            </w:pPr>
          </w:p>
        </w:tc>
        <w:tc>
          <w:tcPr>
            <w:tcW w:w="1217" w:type="dxa"/>
            <w:tcBorders>
              <w:top w:val="nil"/>
              <w:left w:val="nil"/>
              <w:bottom w:val="single" w:sz="4" w:space="0" w:color="auto"/>
              <w:right w:val="nil"/>
            </w:tcBorders>
            <w:shd w:val="clear" w:color="auto" w:fill="auto"/>
            <w:noWrap/>
            <w:vAlign w:val="bottom"/>
            <w:hideMark/>
          </w:tcPr>
          <w:p w14:paraId="08432FFF" w14:textId="77777777" w:rsidR="00732571" w:rsidRPr="00A42CCE" w:rsidRDefault="00732571" w:rsidP="00D36A4F">
            <w:pPr>
              <w:rPr>
                <w:color w:val="000000"/>
              </w:rPr>
            </w:pPr>
            <w:r w:rsidRPr="00A42CCE">
              <w:rPr>
                <w:color w:val="000000"/>
                <w:sz w:val="22"/>
                <w:szCs w:val="22"/>
              </w:rPr>
              <w:t>Pre-Covid</w:t>
            </w:r>
          </w:p>
        </w:tc>
        <w:tc>
          <w:tcPr>
            <w:tcW w:w="895" w:type="dxa"/>
            <w:gridSpan w:val="2"/>
            <w:tcBorders>
              <w:top w:val="nil"/>
              <w:left w:val="nil"/>
              <w:bottom w:val="single" w:sz="4" w:space="0" w:color="auto"/>
              <w:right w:val="nil"/>
            </w:tcBorders>
            <w:shd w:val="clear" w:color="auto" w:fill="auto"/>
            <w:noWrap/>
            <w:vAlign w:val="bottom"/>
            <w:hideMark/>
          </w:tcPr>
          <w:p w14:paraId="1494F493" w14:textId="77777777" w:rsidR="00732571" w:rsidRPr="00A42CCE" w:rsidRDefault="00732571" w:rsidP="00D36A4F">
            <w:pPr>
              <w:rPr>
                <w:color w:val="000000"/>
              </w:rPr>
            </w:pPr>
            <w:r w:rsidRPr="00A42CCE">
              <w:rPr>
                <w:color w:val="000000"/>
                <w:sz w:val="22"/>
                <w:szCs w:val="22"/>
              </w:rPr>
              <w:t>Covid</w:t>
            </w:r>
          </w:p>
        </w:tc>
      </w:tr>
      <w:tr w:rsidR="00732571" w:rsidRPr="00A42CCE" w14:paraId="701AE0BD" w14:textId="77777777" w:rsidTr="00D36A4F">
        <w:trPr>
          <w:trHeight w:val="288"/>
        </w:trPr>
        <w:tc>
          <w:tcPr>
            <w:tcW w:w="1158" w:type="dxa"/>
            <w:tcBorders>
              <w:top w:val="single" w:sz="4" w:space="0" w:color="auto"/>
              <w:left w:val="nil"/>
              <w:bottom w:val="nil"/>
              <w:right w:val="nil"/>
            </w:tcBorders>
            <w:shd w:val="clear" w:color="auto" w:fill="auto"/>
            <w:noWrap/>
            <w:vAlign w:val="bottom"/>
            <w:hideMark/>
          </w:tcPr>
          <w:p w14:paraId="4BF58A1B" w14:textId="77777777" w:rsidR="00732571" w:rsidRPr="00A42CCE" w:rsidRDefault="00732571" w:rsidP="00D36A4F">
            <w:pPr>
              <w:rPr>
                <w:color w:val="000000"/>
              </w:rPr>
            </w:pPr>
            <w:r w:rsidRPr="00A42CCE">
              <w:rPr>
                <w:color w:val="000000"/>
                <w:sz w:val="22"/>
                <w:szCs w:val="22"/>
              </w:rPr>
              <w:t>Art</w:t>
            </w:r>
          </w:p>
        </w:tc>
        <w:tc>
          <w:tcPr>
            <w:tcW w:w="960" w:type="dxa"/>
            <w:tcBorders>
              <w:top w:val="single" w:sz="4" w:space="0" w:color="auto"/>
              <w:left w:val="nil"/>
              <w:bottom w:val="nil"/>
              <w:right w:val="nil"/>
            </w:tcBorders>
            <w:shd w:val="clear" w:color="auto" w:fill="auto"/>
            <w:noWrap/>
            <w:vAlign w:val="bottom"/>
            <w:hideMark/>
          </w:tcPr>
          <w:p w14:paraId="25C01E0E" w14:textId="77777777" w:rsidR="00732571" w:rsidRPr="00A42CCE" w:rsidRDefault="00732571" w:rsidP="00D36A4F">
            <w:pPr>
              <w:rPr>
                <w:color w:val="000000"/>
              </w:rPr>
            </w:pPr>
          </w:p>
        </w:tc>
        <w:tc>
          <w:tcPr>
            <w:tcW w:w="1135" w:type="dxa"/>
            <w:tcBorders>
              <w:top w:val="nil"/>
              <w:left w:val="nil"/>
              <w:bottom w:val="nil"/>
              <w:right w:val="nil"/>
            </w:tcBorders>
            <w:shd w:val="clear" w:color="auto" w:fill="auto"/>
            <w:noWrap/>
            <w:vAlign w:val="center"/>
            <w:hideMark/>
          </w:tcPr>
          <w:p w14:paraId="564DB64F" w14:textId="77777777" w:rsidR="00732571" w:rsidRPr="00A42CCE" w:rsidRDefault="00732571" w:rsidP="00D36A4F">
            <w:pPr>
              <w:jc w:val="center"/>
              <w:rPr>
                <w:color w:val="000000"/>
              </w:rPr>
            </w:pPr>
            <w:r w:rsidRPr="00A42CCE">
              <w:rPr>
                <w:color w:val="000000"/>
                <w:sz w:val="22"/>
                <w:szCs w:val="22"/>
              </w:rPr>
              <w:t>2.359</w:t>
            </w:r>
          </w:p>
        </w:tc>
        <w:tc>
          <w:tcPr>
            <w:tcW w:w="821" w:type="dxa"/>
            <w:tcBorders>
              <w:top w:val="nil"/>
              <w:left w:val="nil"/>
              <w:bottom w:val="nil"/>
              <w:right w:val="nil"/>
            </w:tcBorders>
            <w:shd w:val="clear" w:color="auto" w:fill="auto"/>
            <w:noWrap/>
            <w:vAlign w:val="center"/>
            <w:hideMark/>
          </w:tcPr>
          <w:p w14:paraId="7E57C984" w14:textId="77777777" w:rsidR="00732571" w:rsidRPr="00A42CCE" w:rsidRDefault="00732571" w:rsidP="00D36A4F">
            <w:pPr>
              <w:jc w:val="center"/>
              <w:rPr>
                <w:color w:val="000000"/>
              </w:rPr>
            </w:pPr>
            <w:r w:rsidRPr="00A42CCE">
              <w:rPr>
                <w:color w:val="000000"/>
                <w:sz w:val="22"/>
                <w:szCs w:val="22"/>
              </w:rPr>
              <w:t>2.048</w:t>
            </w:r>
          </w:p>
        </w:tc>
        <w:tc>
          <w:tcPr>
            <w:tcW w:w="271" w:type="dxa"/>
            <w:tcBorders>
              <w:top w:val="nil"/>
              <w:left w:val="nil"/>
              <w:bottom w:val="nil"/>
              <w:right w:val="nil"/>
            </w:tcBorders>
            <w:shd w:val="clear" w:color="auto" w:fill="auto"/>
            <w:noWrap/>
            <w:vAlign w:val="bottom"/>
            <w:hideMark/>
          </w:tcPr>
          <w:p w14:paraId="08DABE79" w14:textId="77777777" w:rsidR="00732571" w:rsidRPr="00A42CCE" w:rsidRDefault="00732571" w:rsidP="00D36A4F">
            <w:pPr>
              <w:jc w:val="center"/>
              <w:rPr>
                <w:color w:val="000000"/>
              </w:rPr>
            </w:pPr>
          </w:p>
        </w:tc>
        <w:tc>
          <w:tcPr>
            <w:tcW w:w="1408" w:type="dxa"/>
            <w:tcBorders>
              <w:top w:val="nil"/>
              <w:left w:val="nil"/>
              <w:bottom w:val="nil"/>
              <w:right w:val="nil"/>
            </w:tcBorders>
            <w:shd w:val="clear" w:color="auto" w:fill="auto"/>
            <w:noWrap/>
            <w:vAlign w:val="bottom"/>
            <w:hideMark/>
          </w:tcPr>
          <w:p w14:paraId="4AC9E2A0" w14:textId="77777777" w:rsidR="00732571" w:rsidRPr="00A42CCE" w:rsidRDefault="00732571" w:rsidP="00D36A4F">
            <w:pPr>
              <w:jc w:val="right"/>
              <w:rPr>
                <w:color w:val="000000"/>
              </w:rPr>
            </w:pPr>
            <w:r w:rsidRPr="00A42CCE">
              <w:rPr>
                <w:color w:val="000000"/>
                <w:sz w:val="22"/>
                <w:szCs w:val="22"/>
              </w:rPr>
              <w:t>-13,18%</w:t>
            </w:r>
          </w:p>
        </w:tc>
        <w:tc>
          <w:tcPr>
            <w:tcW w:w="320" w:type="dxa"/>
            <w:tcBorders>
              <w:top w:val="nil"/>
              <w:left w:val="nil"/>
              <w:bottom w:val="nil"/>
              <w:right w:val="nil"/>
            </w:tcBorders>
            <w:shd w:val="clear" w:color="auto" w:fill="auto"/>
            <w:noWrap/>
            <w:vAlign w:val="bottom"/>
            <w:hideMark/>
          </w:tcPr>
          <w:p w14:paraId="3E07F695" w14:textId="77777777" w:rsidR="00732571" w:rsidRPr="00A42CCE" w:rsidRDefault="00732571" w:rsidP="00D36A4F">
            <w:pPr>
              <w:jc w:val="right"/>
              <w:rPr>
                <w:color w:val="000000"/>
              </w:rPr>
            </w:pPr>
          </w:p>
        </w:tc>
        <w:tc>
          <w:tcPr>
            <w:tcW w:w="1217" w:type="dxa"/>
            <w:tcBorders>
              <w:top w:val="nil"/>
              <w:left w:val="nil"/>
              <w:bottom w:val="nil"/>
              <w:right w:val="nil"/>
            </w:tcBorders>
            <w:shd w:val="clear" w:color="auto" w:fill="auto"/>
            <w:noWrap/>
            <w:vAlign w:val="bottom"/>
            <w:hideMark/>
          </w:tcPr>
          <w:p w14:paraId="528B7F87" w14:textId="77777777" w:rsidR="00732571" w:rsidRPr="00A42CCE" w:rsidRDefault="00732571" w:rsidP="00D36A4F">
            <w:pPr>
              <w:jc w:val="right"/>
              <w:rPr>
                <w:color w:val="000000"/>
              </w:rPr>
            </w:pPr>
            <w:r w:rsidRPr="00A42CCE">
              <w:rPr>
                <w:color w:val="000000"/>
                <w:sz w:val="22"/>
                <w:szCs w:val="22"/>
              </w:rPr>
              <w:t>66,55%</w:t>
            </w:r>
          </w:p>
        </w:tc>
        <w:tc>
          <w:tcPr>
            <w:tcW w:w="895" w:type="dxa"/>
            <w:gridSpan w:val="2"/>
            <w:tcBorders>
              <w:top w:val="nil"/>
              <w:left w:val="nil"/>
              <w:bottom w:val="nil"/>
              <w:right w:val="nil"/>
            </w:tcBorders>
            <w:shd w:val="clear" w:color="auto" w:fill="auto"/>
            <w:noWrap/>
            <w:vAlign w:val="bottom"/>
            <w:hideMark/>
          </w:tcPr>
          <w:p w14:paraId="4CA8503C" w14:textId="77777777" w:rsidR="00732571" w:rsidRPr="00A42CCE" w:rsidRDefault="00732571" w:rsidP="00D36A4F">
            <w:pPr>
              <w:jc w:val="right"/>
              <w:rPr>
                <w:color w:val="000000"/>
              </w:rPr>
            </w:pPr>
            <w:r w:rsidRPr="00A42CCE">
              <w:rPr>
                <w:color w:val="000000"/>
                <w:sz w:val="22"/>
                <w:szCs w:val="22"/>
              </w:rPr>
              <w:t>75,93%</w:t>
            </w:r>
          </w:p>
        </w:tc>
      </w:tr>
      <w:tr w:rsidR="00732571" w:rsidRPr="00A42CCE" w14:paraId="468445E1" w14:textId="77777777" w:rsidTr="00D36A4F">
        <w:trPr>
          <w:trHeight w:val="288"/>
        </w:trPr>
        <w:tc>
          <w:tcPr>
            <w:tcW w:w="1158" w:type="dxa"/>
            <w:tcBorders>
              <w:top w:val="nil"/>
              <w:left w:val="nil"/>
              <w:bottom w:val="nil"/>
              <w:right w:val="nil"/>
            </w:tcBorders>
            <w:shd w:val="clear" w:color="auto" w:fill="auto"/>
            <w:noWrap/>
            <w:vAlign w:val="bottom"/>
            <w:hideMark/>
          </w:tcPr>
          <w:p w14:paraId="522CB5C9" w14:textId="77777777" w:rsidR="00732571" w:rsidRPr="00A42CCE" w:rsidRDefault="00732571" w:rsidP="00D36A4F">
            <w:pPr>
              <w:rPr>
                <w:color w:val="000000"/>
              </w:rPr>
            </w:pPr>
            <w:r w:rsidRPr="00A42CCE">
              <w:rPr>
                <w:color w:val="000000"/>
                <w:sz w:val="22"/>
                <w:szCs w:val="22"/>
              </w:rPr>
              <w:t>Comics</w:t>
            </w:r>
          </w:p>
        </w:tc>
        <w:tc>
          <w:tcPr>
            <w:tcW w:w="960" w:type="dxa"/>
            <w:tcBorders>
              <w:top w:val="nil"/>
              <w:left w:val="nil"/>
              <w:bottom w:val="nil"/>
              <w:right w:val="nil"/>
            </w:tcBorders>
            <w:shd w:val="clear" w:color="auto" w:fill="auto"/>
            <w:noWrap/>
            <w:vAlign w:val="bottom"/>
            <w:hideMark/>
          </w:tcPr>
          <w:p w14:paraId="1846B511" w14:textId="77777777" w:rsidR="00732571" w:rsidRPr="00A42CCE" w:rsidRDefault="00732571" w:rsidP="00D36A4F">
            <w:pPr>
              <w:rPr>
                <w:color w:val="000000"/>
              </w:rPr>
            </w:pPr>
          </w:p>
        </w:tc>
        <w:tc>
          <w:tcPr>
            <w:tcW w:w="1135" w:type="dxa"/>
            <w:tcBorders>
              <w:top w:val="nil"/>
              <w:left w:val="nil"/>
              <w:bottom w:val="nil"/>
              <w:right w:val="nil"/>
            </w:tcBorders>
            <w:shd w:val="clear" w:color="auto" w:fill="auto"/>
            <w:noWrap/>
            <w:vAlign w:val="center"/>
            <w:hideMark/>
          </w:tcPr>
          <w:p w14:paraId="6B9D06DE" w14:textId="77777777" w:rsidR="00732571" w:rsidRPr="00A42CCE" w:rsidRDefault="00732571" w:rsidP="00D36A4F">
            <w:pPr>
              <w:jc w:val="center"/>
              <w:rPr>
                <w:color w:val="000000"/>
              </w:rPr>
            </w:pPr>
            <w:r w:rsidRPr="00A42CCE">
              <w:rPr>
                <w:color w:val="000000"/>
                <w:sz w:val="22"/>
                <w:szCs w:val="22"/>
              </w:rPr>
              <w:t>1.684</w:t>
            </w:r>
          </w:p>
        </w:tc>
        <w:tc>
          <w:tcPr>
            <w:tcW w:w="821" w:type="dxa"/>
            <w:tcBorders>
              <w:top w:val="nil"/>
              <w:left w:val="nil"/>
              <w:bottom w:val="nil"/>
              <w:right w:val="nil"/>
            </w:tcBorders>
            <w:shd w:val="clear" w:color="auto" w:fill="auto"/>
            <w:noWrap/>
            <w:vAlign w:val="center"/>
            <w:hideMark/>
          </w:tcPr>
          <w:p w14:paraId="021D6D9C" w14:textId="77777777" w:rsidR="00732571" w:rsidRPr="00A42CCE" w:rsidRDefault="00732571" w:rsidP="00D36A4F">
            <w:pPr>
              <w:jc w:val="center"/>
              <w:rPr>
                <w:color w:val="000000"/>
              </w:rPr>
            </w:pPr>
            <w:r w:rsidRPr="00A42CCE">
              <w:rPr>
                <w:color w:val="000000"/>
                <w:sz w:val="22"/>
                <w:szCs w:val="22"/>
              </w:rPr>
              <w:t>1.769</w:t>
            </w:r>
          </w:p>
        </w:tc>
        <w:tc>
          <w:tcPr>
            <w:tcW w:w="271" w:type="dxa"/>
            <w:tcBorders>
              <w:top w:val="nil"/>
              <w:left w:val="nil"/>
              <w:bottom w:val="nil"/>
              <w:right w:val="nil"/>
            </w:tcBorders>
            <w:shd w:val="clear" w:color="auto" w:fill="auto"/>
            <w:noWrap/>
            <w:vAlign w:val="bottom"/>
            <w:hideMark/>
          </w:tcPr>
          <w:p w14:paraId="3E02AFFF" w14:textId="77777777" w:rsidR="00732571" w:rsidRPr="00A42CCE" w:rsidRDefault="00732571" w:rsidP="00D36A4F">
            <w:pPr>
              <w:jc w:val="center"/>
              <w:rPr>
                <w:color w:val="000000"/>
              </w:rPr>
            </w:pPr>
          </w:p>
        </w:tc>
        <w:tc>
          <w:tcPr>
            <w:tcW w:w="1408" w:type="dxa"/>
            <w:tcBorders>
              <w:top w:val="nil"/>
              <w:left w:val="nil"/>
              <w:bottom w:val="nil"/>
              <w:right w:val="nil"/>
            </w:tcBorders>
            <w:shd w:val="clear" w:color="auto" w:fill="auto"/>
            <w:noWrap/>
            <w:vAlign w:val="bottom"/>
            <w:hideMark/>
          </w:tcPr>
          <w:p w14:paraId="08269791" w14:textId="77777777" w:rsidR="00732571" w:rsidRPr="00A42CCE" w:rsidRDefault="00732571" w:rsidP="00D36A4F">
            <w:pPr>
              <w:jc w:val="right"/>
              <w:rPr>
                <w:color w:val="000000"/>
              </w:rPr>
            </w:pPr>
            <w:r w:rsidRPr="00A42CCE">
              <w:rPr>
                <w:color w:val="000000"/>
                <w:sz w:val="22"/>
                <w:szCs w:val="22"/>
              </w:rPr>
              <w:t>5,05%</w:t>
            </w:r>
          </w:p>
        </w:tc>
        <w:tc>
          <w:tcPr>
            <w:tcW w:w="320" w:type="dxa"/>
            <w:tcBorders>
              <w:top w:val="nil"/>
              <w:left w:val="nil"/>
              <w:bottom w:val="nil"/>
              <w:right w:val="nil"/>
            </w:tcBorders>
            <w:shd w:val="clear" w:color="auto" w:fill="auto"/>
            <w:noWrap/>
            <w:vAlign w:val="bottom"/>
            <w:hideMark/>
          </w:tcPr>
          <w:p w14:paraId="4B915C8F" w14:textId="77777777" w:rsidR="00732571" w:rsidRPr="00A42CCE" w:rsidRDefault="00732571" w:rsidP="00D36A4F">
            <w:pPr>
              <w:jc w:val="right"/>
              <w:rPr>
                <w:color w:val="000000"/>
              </w:rPr>
            </w:pPr>
          </w:p>
        </w:tc>
        <w:tc>
          <w:tcPr>
            <w:tcW w:w="1217" w:type="dxa"/>
            <w:tcBorders>
              <w:top w:val="nil"/>
              <w:left w:val="nil"/>
              <w:bottom w:val="nil"/>
              <w:right w:val="nil"/>
            </w:tcBorders>
            <w:shd w:val="clear" w:color="auto" w:fill="auto"/>
            <w:noWrap/>
            <w:vAlign w:val="bottom"/>
            <w:hideMark/>
          </w:tcPr>
          <w:p w14:paraId="2298AD59" w14:textId="77777777" w:rsidR="00732571" w:rsidRPr="00A42CCE" w:rsidRDefault="00732571" w:rsidP="00D36A4F">
            <w:pPr>
              <w:jc w:val="right"/>
              <w:rPr>
                <w:color w:val="000000"/>
              </w:rPr>
            </w:pPr>
            <w:r w:rsidRPr="00A42CCE">
              <w:rPr>
                <w:color w:val="000000"/>
                <w:sz w:val="22"/>
                <w:szCs w:val="22"/>
              </w:rPr>
              <w:t>85,87%</w:t>
            </w:r>
          </w:p>
        </w:tc>
        <w:tc>
          <w:tcPr>
            <w:tcW w:w="895" w:type="dxa"/>
            <w:gridSpan w:val="2"/>
            <w:tcBorders>
              <w:top w:val="nil"/>
              <w:left w:val="nil"/>
              <w:bottom w:val="nil"/>
              <w:right w:val="nil"/>
            </w:tcBorders>
            <w:shd w:val="clear" w:color="auto" w:fill="auto"/>
            <w:noWrap/>
            <w:vAlign w:val="bottom"/>
            <w:hideMark/>
          </w:tcPr>
          <w:p w14:paraId="563EE92D" w14:textId="77777777" w:rsidR="00732571" w:rsidRPr="00A42CCE" w:rsidRDefault="00732571" w:rsidP="00D36A4F">
            <w:pPr>
              <w:jc w:val="right"/>
              <w:rPr>
                <w:color w:val="000000"/>
              </w:rPr>
            </w:pPr>
            <w:r w:rsidRPr="00A42CCE">
              <w:rPr>
                <w:color w:val="000000"/>
                <w:sz w:val="22"/>
                <w:szCs w:val="22"/>
              </w:rPr>
              <w:t>88,58%</w:t>
            </w:r>
          </w:p>
        </w:tc>
      </w:tr>
      <w:tr w:rsidR="00732571" w:rsidRPr="00A42CCE" w14:paraId="36B94863" w14:textId="77777777" w:rsidTr="00D36A4F">
        <w:trPr>
          <w:trHeight w:val="288"/>
        </w:trPr>
        <w:tc>
          <w:tcPr>
            <w:tcW w:w="1158" w:type="dxa"/>
            <w:tcBorders>
              <w:top w:val="nil"/>
              <w:left w:val="nil"/>
              <w:bottom w:val="nil"/>
              <w:right w:val="nil"/>
            </w:tcBorders>
            <w:shd w:val="clear" w:color="auto" w:fill="auto"/>
            <w:noWrap/>
            <w:vAlign w:val="bottom"/>
            <w:hideMark/>
          </w:tcPr>
          <w:p w14:paraId="5B799D1B" w14:textId="77777777" w:rsidR="00732571" w:rsidRPr="00A42CCE" w:rsidRDefault="00732571" w:rsidP="00D36A4F">
            <w:pPr>
              <w:rPr>
                <w:color w:val="000000"/>
              </w:rPr>
            </w:pPr>
            <w:r w:rsidRPr="00A42CCE">
              <w:rPr>
                <w:color w:val="000000"/>
                <w:sz w:val="22"/>
                <w:szCs w:val="22"/>
              </w:rPr>
              <w:t>Crafts</w:t>
            </w:r>
          </w:p>
        </w:tc>
        <w:tc>
          <w:tcPr>
            <w:tcW w:w="960" w:type="dxa"/>
            <w:tcBorders>
              <w:top w:val="nil"/>
              <w:left w:val="nil"/>
              <w:bottom w:val="nil"/>
              <w:right w:val="nil"/>
            </w:tcBorders>
            <w:shd w:val="clear" w:color="auto" w:fill="auto"/>
            <w:noWrap/>
            <w:vAlign w:val="bottom"/>
            <w:hideMark/>
          </w:tcPr>
          <w:p w14:paraId="638D02E0" w14:textId="77777777" w:rsidR="00732571" w:rsidRPr="00A42CCE" w:rsidRDefault="00732571" w:rsidP="00D36A4F">
            <w:pPr>
              <w:rPr>
                <w:color w:val="000000"/>
              </w:rPr>
            </w:pPr>
          </w:p>
        </w:tc>
        <w:tc>
          <w:tcPr>
            <w:tcW w:w="1135" w:type="dxa"/>
            <w:tcBorders>
              <w:top w:val="nil"/>
              <w:left w:val="nil"/>
              <w:bottom w:val="nil"/>
              <w:right w:val="nil"/>
            </w:tcBorders>
            <w:shd w:val="clear" w:color="auto" w:fill="auto"/>
            <w:noWrap/>
            <w:vAlign w:val="center"/>
            <w:hideMark/>
          </w:tcPr>
          <w:p w14:paraId="33B4450F" w14:textId="77777777" w:rsidR="00732571" w:rsidRPr="00A42CCE" w:rsidRDefault="00732571" w:rsidP="00D36A4F">
            <w:pPr>
              <w:jc w:val="center"/>
              <w:rPr>
                <w:color w:val="000000"/>
              </w:rPr>
            </w:pPr>
            <w:r w:rsidRPr="00A42CCE">
              <w:rPr>
                <w:color w:val="000000"/>
                <w:sz w:val="22"/>
                <w:szCs w:val="22"/>
              </w:rPr>
              <w:t>514</w:t>
            </w:r>
          </w:p>
        </w:tc>
        <w:tc>
          <w:tcPr>
            <w:tcW w:w="821" w:type="dxa"/>
            <w:tcBorders>
              <w:top w:val="nil"/>
              <w:left w:val="nil"/>
              <w:bottom w:val="nil"/>
              <w:right w:val="nil"/>
            </w:tcBorders>
            <w:shd w:val="clear" w:color="auto" w:fill="auto"/>
            <w:noWrap/>
            <w:vAlign w:val="center"/>
            <w:hideMark/>
          </w:tcPr>
          <w:p w14:paraId="25CA29B1" w14:textId="77777777" w:rsidR="00732571" w:rsidRPr="00A42CCE" w:rsidRDefault="00732571" w:rsidP="00D36A4F">
            <w:pPr>
              <w:jc w:val="center"/>
              <w:rPr>
                <w:color w:val="000000"/>
              </w:rPr>
            </w:pPr>
            <w:r w:rsidRPr="00A42CCE">
              <w:rPr>
                <w:color w:val="000000"/>
                <w:sz w:val="22"/>
                <w:szCs w:val="22"/>
              </w:rPr>
              <w:t>393</w:t>
            </w:r>
          </w:p>
        </w:tc>
        <w:tc>
          <w:tcPr>
            <w:tcW w:w="271" w:type="dxa"/>
            <w:tcBorders>
              <w:top w:val="nil"/>
              <w:left w:val="nil"/>
              <w:bottom w:val="nil"/>
              <w:right w:val="nil"/>
            </w:tcBorders>
            <w:shd w:val="clear" w:color="auto" w:fill="auto"/>
            <w:noWrap/>
            <w:vAlign w:val="bottom"/>
            <w:hideMark/>
          </w:tcPr>
          <w:p w14:paraId="57AE2B97" w14:textId="77777777" w:rsidR="00732571" w:rsidRPr="00A42CCE" w:rsidRDefault="00732571" w:rsidP="00D36A4F">
            <w:pPr>
              <w:jc w:val="center"/>
              <w:rPr>
                <w:color w:val="000000"/>
              </w:rPr>
            </w:pPr>
          </w:p>
        </w:tc>
        <w:tc>
          <w:tcPr>
            <w:tcW w:w="1408" w:type="dxa"/>
            <w:tcBorders>
              <w:top w:val="nil"/>
              <w:left w:val="nil"/>
              <w:bottom w:val="nil"/>
              <w:right w:val="nil"/>
            </w:tcBorders>
            <w:shd w:val="clear" w:color="auto" w:fill="auto"/>
            <w:noWrap/>
            <w:vAlign w:val="bottom"/>
            <w:hideMark/>
          </w:tcPr>
          <w:p w14:paraId="4FCB13D9" w14:textId="77777777" w:rsidR="00732571" w:rsidRPr="00A42CCE" w:rsidRDefault="00732571" w:rsidP="00D36A4F">
            <w:pPr>
              <w:jc w:val="right"/>
              <w:rPr>
                <w:color w:val="000000"/>
              </w:rPr>
            </w:pPr>
            <w:r w:rsidRPr="00A42CCE">
              <w:rPr>
                <w:color w:val="000000"/>
                <w:sz w:val="22"/>
                <w:szCs w:val="22"/>
              </w:rPr>
              <w:t>-23,54%</w:t>
            </w:r>
          </w:p>
        </w:tc>
        <w:tc>
          <w:tcPr>
            <w:tcW w:w="320" w:type="dxa"/>
            <w:tcBorders>
              <w:top w:val="nil"/>
              <w:left w:val="nil"/>
              <w:bottom w:val="nil"/>
              <w:right w:val="nil"/>
            </w:tcBorders>
            <w:shd w:val="clear" w:color="auto" w:fill="auto"/>
            <w:noWrap/>
            <w:vAlign w:val="bottom"/>
            <w:hideMark/>
          </w:tcPr>
          <w:p w14:paraId="3CC55D6D" w14:textId="77777777" w:rsidR="00732571" w:rsidRPr="00A42CCE" w:rsidRDefault="00732571" w:rsidP="00D36A4F">
            <w:pPr>
              <w:jc w:val="right"/>
              <w:rPr>
                <w:color w:val="000000"/>
              </w:rPr>
            </w:pPr>
          </w:p>
        </w:tc>
        <w:tc>
          <w:tcPr>
            <w:tcW w:w="1217" w:type="dxa"/>
            <w:tcBorders>
              <w:top w:val="nil"/>
              <w:left w:val="nil"/>
              <w:bottom w:val="nil"/>
              <w:right w:val="nil"/>
            </w:tcBorders>
            <w:shd w:val="clear" w:color="auto" w:fill="auto"/>
            <w:noWrap/>
            <w:vAlign w:val="bottom"/>
            <w:hideMark/>
          </w:tcPr>
          <w:p w14:paraId="7A9DE028" w14:textId="77777777" w:rsidR="00732571" w:rsidRPr="00A42CCE" w:rsidRDefault="00732571" w:rsidP="00D36A4F">
            <w:pPr>
              <w:jc w:val="right"/>
              <w:rPr>
                <w:color w:val="000000"/>
              </w:rPr>
            </w:pPr>
            <w:r w:rsidRPr="00A42CCE">
              <w:rPr>
                <w:color w:val="000000"/>
                <w:sz w:val="22"/>
                <w:szCs w:val="22"/>
              </w:rPr>
              <w:t>32,49%</w:t>
            </w:r>
          </w:p>
        </w:tc>
        <w:tc>
          <w:tcPr>
            <w:tcW w:w="895" w:type="dxa"/>
            <w:gridSpan w:val="2"/>
            <w:tcBorders>
              <w:top w:val="nil"/>
              <w:left w:val="nil"/>
              <w:bottom w:val="nil"/>
              <w:right w:val="nil"/>
            </w:tcBorders>
            <w:shd w:val="clear" w:color="auto" w:fill="auto"/>
            <w:noWrap/>
            <w:vAlign w:val="bottom"/>
            <w:hideMark/>
          </w:tcPr>
          <w:p w14:paraId="15AD5C44" w14:textId="77777777" w:rsidR="00732571" w:rsidRPr="00A42CCE" w:rsidRDefault="00732571" w:rsidP="00D36A4F">
            <w:pPr>
              <w:jc w:val="right"/>
              <w:rPr>
                <w:color w:val="000000"/>
              </w:rPr>
            </w:pPr>
            <w:r w:rsidRPr="00A42CCE">
              <w:rPr>
                <w:color w:val="000000"/>
                <w:sz w:val="22"/>
                <w:szCs w:val="22"/>
              </w:rPr>
              <w:t>40,71%</w:t>
            </w:r>
          </w:p>
        </w:tc>
      </w:tr>
      <w:tr w:rsidR="00732571" w:rsidRPr="00A42CCE" w14:paraId="11445BFE" w14:textId="77777777" w:rsidTr="00D36A4F">
        <w:trPr>
          <w:trHeight w:val="288"/>
        </w:trPr>
        <w:tc>
          <w:tcPr>
            <w:tcW w:w="1158" w:type="dxa"/>
            <w:tcBorders>
              <w:top w:val="nil"/>
              <w:left w:val="nil"/>
              <w:bottom w:val="nil"/>
              <w:right w:val="nil"/>
            </w:tcBorders>
            <w:shd w:val="clear" w:color="auto" w:fill="auto"/>
            <w:noWrap/>
            <w:vAlign w:val="bottom"/>
            <w:hideMark/>
          </w:tcPr>
          <w:p w14:paraId="7D1AD3D4" w14:textId="77777777" w:rsidR="00732571" w:rsidRPr="00A42CCE" w:rsidRDefault="00732571" w:rsidP="00D36A4F">
            <w:pPr>
              <w:rPr>
                <w:color w:val="000000"/>
              </w:rPr>
            </w:pPr>
            <w:r w:rsidRPr="00A42CCE">
              <w:rPr>
                <w:color w:val="000000"/>
                <w:sz w:val="22"/>
                <w:szCs w:val="22"/>
              </w:rPr>
              <w:t>Dance</w:t>
            </w:r>
          </w:p>
        </w:tc>
        <w:tc>
          <w:tcPr>
            <w:tcW w:w="960" w:type="dxa"/>
            <w:tcBorders>
              <w:top w:val="nil"/>
              <w:left w:val="nil"/>
              <w:bottom w:val="nil"/>
              <w:right w:val="nil"/>
            </w:tcBorders>
            <w:shd w:val="clear" w:color="auto" w:fill="auto"/>
            <w:noWrap/>
            <w:vAlign w:val="bottom"/>
            <w:hideMark/>
          </w:tcPr>
          <w:p w14:paraId="093D725E" w14:textId="77777777" w:rsidR="00732571" w:rsidRPr="00A42CCE" w:rsidRDefault="00732571" w:rsidP="00D36A4F">
            <w:pPr>
              <w:rPr>
                <w:color w:val="000000"/>
              </w:rPr>
            </w:pPr>
          </w:p>
        </w:tc>
        <w:tc>
          <w:tcPr>
            <w:tcW w:w="1135" w:type="dxa"/>
            <w:tcBorders>
              <w:top w:val="nil"/>
              <w:left w:val="nil"/>
              <w:bottom w:val="nil"/>
              <w:right w:val="nil"/>
            </w:tcBorders>
            <w:shd w:val="clear" w:color="auto" w:fill="auto"/>
            <w:noWrap/>
            <w:vAlign w:val="center"/>
            <w:hideMark/>
          </w:tcPr>
          <w:p w14:paraId="1559277D" w14:textId="77777777" w:rsidR="00732571" w:rsidRPr="00A42CCE" w:rsidRDefault="00732571" w:rsidP="00D36A4F">
            <w:pPr>
              <w:jc w:val="center"/>
              <w:rPr>
                <w:color w:val="000000"/>
              </w:rPr>
            </w:pPr>
            <w:r w:rsidRPr="00A42CCE">
              <w:rPr>
                <w:color w:val="000000"/>
                <w:sz w:val="22"/>
                <w:szCs w:val="22"/>
              </w:rPr>
              <w:t>135</w:t>
            </w:r>
          </w:p>
        </w:tc>
        <w:tc>
          <w:tcPr>
            <w:tcW w:w="821" w:type="dxa"/>
            <w:tcBorders>
              <w:top w:val="nil"/>
              <w:left w:val="nil"/>
              <w:bottom w:val="nil"/>
              <w:right w:val="nil"/>
            </w:tcBorders>
            <w:shd w:val="clear" w:color="auto" w:fill="auto"/>
            <w:noWrap/>
            <w:vAlign w:val="center"/>
            <w:hideMark/>
          </w:tcPr>
          <w:p w14:paraId="184CA7C0" w14:textId="77777777" w:rsidR="00732571" w:rsidRPr="00A42CCE" w:rsidRDefault="00732571" w:rsidP="00D36A4F">
            <w:pPr>
              <w:jc w:val="center"/>
              <w:rPr>
                <w:color w:val="000000"/>
              </w:rPr>
            </w:pPr>
            <w:r w:rsidRPr="00A42CCE">
              <w:rPr>
                <w:color w:val="000000"/>
                <w:sz w:val="22"/>
                <w:szCs w:val="22"/>
              </w:rPr>
              <w:t>46</w:t>
            </w:r>
          </w:p>
        </w:tc>
        <w:tc>
          <w:tcPr>
            <w:tcW w:w="271" w:type="dxa"/>
            <w:tcBorders>
              <w:top w:val="nil"/>
              <w:left w:val="nil"/>
              <w:bottom w:val="nil"/>
              <w:right w:val="nil"/>
            </w:tcBorders>
            <w:shd w:val="clear" w:color="auto" w:fill="auto"/>
            <w:noWrap/>
            <w:vAlign w:val="bottom"/>
            <w:hideMark/>
          </w:tcPr>
          <w:p w14:paraId="4FCC3336" w14:textId="77777777" w:rsidR="00732571" w:rsidRPr="00A42CCE" w:rsidRDefault="00732571" w:rsidP="00D36A4F">
            <w:pPr>
              <w:jc w:val="center"/>
              <w:rPr>
                <w:color w:val="000000"/>
              </w:rPr>
            </w:pPr>
          </w:p>
        </w:tc>
        <w:tc>
          <w:tcPr>
            <w:tcW w:w="1408" w:type="dxa"/>
            <w:tcBorders>
              <w:top w:val="nil"/>
              <w:left w:val="nil"/>
              <w:bottom w:val="nil"/>
              <w:right w:val="nil"/>
            </w:tcBorders>
            <w:shd w:val="clear" w:color="auto" w:fill="auto"/>
            <w:noWrap/>
            <w:vAlign w:val="bottom"/>
            <w:hideMark/>
          </w:tcPr>
          <w:p w14:paraId="67D57CE0" w14:textId="77777777" w:rsidR="00732571" w:rsidRPr="00A42CCE" w:rsidRDefault="00732571" w:rsidP="00D36A4F">
            <w:pPr>
              <w:jc w:val="right"/>
              <w:rPr>
                <w:color w:val="000000"/>
              </w:rPr>
            </w:pPr>
            <w:r w:rsidRPr="00A42CCE">
              <w:rPr>
                <w:color w:val="000000"/>
                <w:sz w:val="22"/>
                <w:szCs w:val="22"/>
              </w:rPr>
              <w:t>-65,93%</w:t>
            </w:r>
          </w:p>
        </w:tc>
        <w:tc>
          <w:tcPr>
            <w:tcW w:w="320" w:type="dxa"/>
            <w:tcBorders>
              <w:top w:val="nil"/>
              <w:left w:val="nil"/>
              <w:bottom w:val="nil"/>
              <w:right w:val="nil"/>
            </w:tcBorders>
            <w:shd w:val="clear" w:color="auto" w:fill="auto"/>
            <w:noWrap/>
            <w:vAlign w:val="bottom"/>
            <w:hideMark/>
          </w:tcPr>
          <w:p w14:paraId="04248A8D" w14:textId="77777777" w:rsidR="00732571" w:rsidRPr="00A42CCE" w:rsidRDefault="00732571" w:rsidP="00D36A4F">
            <w:pPr>
              <w:jc w:val="right"/>
              <w:rPr>
                <w:color w:val="000000"/>
              </w:rPr>
            </w:pPr>
          </w:p>
        </w:tc>
        <w:tc>
          <w:tcPr>
            <w:tcW w:w="1217" w:type="dxa"/>
            <w:tcBorders>
              <w:top w:val="nil"/>
              <w:left w:val="nil"/>
              <w:bottom w:val="nil"/>
              <w:right w:val="nil"/>
            </w:tcBorders>
            <w:shd w:val="clear" w:color="auto" w:fill="auto"/>
            <w:noWrap/>
            <w:vAlign w:val="bottom"/>
            <w:hideMark/>
          </w:tcPr>
          <w:p w14:paraId="08E3E94A" w14:textId="77777777" w:rsidR="00732571" w:rsidRPr="00A42CCE" w:rsidRDefault="00732571" w:rsidP="00D36A4F">
            <w:pPr>
              <w:jc w:val="right"/>
              <w:rPr>
                <w:color w:val="000000"/>
              </w:rPr>
            </w:pPr>
            <w:r w:rsidRPr="00A42CCE">
              <w:rPr>
                <w:color w:val="000000"/>
                <w:sz w:val="22"/>
                <w:szCs w:val="22"/>
              </w:rPr>
              <w:t>65,19%</w:t>
            </w:r>
          </w:p>
        </w:tc>
        <w:tc>
          <w:tcPr>
            <w:tcW w:w="895" w:type="dxa"/>
            <w:gridSpan w:val="2"/>
            <w:tcBorders>
              <w:top w:val="nil"/>
              <w:left w:val="nil"/>
              <w:bottom w:val="nil"/>
              <w:right w:val="nil"/>
            </w:tcBorders>
            <w:shd w:val="clear" w:color="auto" w:fill="auto"/>
            <w:noWrap/>
            <w:vAlign w:val="bottom"/>
            <w:hideMark/>
          </w:tcPr>
          <w:p w14:paraId="2A7979DA" w14:textId="77777777" w:rsidR="00732571" w:rsidRPr="00A42CCE" w:rsidRDefault="00732571" w:rsidP="00D36A4F">
            <w:pPr>
              <w:jc w:val="right"/>
              <w:rPr>
                <w:color w:val="000000"/>
              </w:rPr>
            </w:pPr>
            <w:r w:rsidRPr="00A42CCE">
              <w:rPr>
                <w:color w:val="000000"/>
                <w:sz w:val="22"/>
                <w:szCs w:val="22"/>
              </w:rPr>
              <w:t>60,87%</w:t>
            </w:r>
          </w:p>
        </w:tc>
      </w:tr>
      <w:tr w:rsidR="00732571" w:rsidRPr="00A42CCE" w14:paraId="7A00C268" w14:textId="77777777" w:rsidTr="00D36A4F">
        <w:trPr>
          <w:trHeight w:val="288"/>
        </w:trPr>
        <w:tc>
          <w:tcPr>
            <w:tcW w:w="1158" w:type="dxa"/>
            <w:tcBorders>
              <w:top w:val="nil"/>
              <w:left w:val="nil"/>
              <w:bottom w:val="nil"/>
              <w:right w:val="nil"/>
            </w:tcBorders>
            <w:shd w:val="clear" w:color="auto" w:fill="auto"/>
            <w:noWrap/>
            <w:vAlign w:val="bottom"/>
            <w:hideMark/>
          </w:tcPr>
          <w:p w14:paraId="0689D0CE" w14:textId="77777777" w:rsidR="00732571" w:rsidRPr="00A42CCE" w:rsidRDefault="00732571" w:rsidP="00D36A4F">
            <w:pPr>
              <w:rPr>
                <w:color w:val="000000"/>
              </w:rPr>
            </w:pPr>
            <w:r w:rsidRPr="00A42CCE">
              <w:rPr>
                <w:color w:val="000000"/>
                <w:sz w:val="22"/>
                <w:szCs w:val="22"/>
              </w:rPr>
              <w:t>Design</w:t>
            </w:r>
          </w:p>
        </w:tc>
        <w:tc>
          <w:tcPr>
            <w:tcW w:w="960" w:type="dxa"/>
            <w:tcBorders>
              <w:top w:val="nil"/>
              <w:left w:val="nil"/>
              <w:bottom w:val="nil"/>
              <w:right w:val="nil"/>
            </w:tcBorders>
            <w:shd w:val="clear" w:color="auto" w:fill="auto"/>
            <w:noWrap/>
            <w:vAlign w:val="bottom"/>
            <w:hideMark/>
          </w:tcPr>
          <w:p w14:paraId="701C24C8" w14:textId="77777777" w:rsidR="00732571" w:rsidRPr="00A42CCE" w:rsidRDefault="00732571" w:rsidP="00D36A4F">
            <w:pPr>
              <w:rPr>
                <w:color w:val="000000"/>
              </w:rPr>
            </w:pPr>
          </w:p>
        </w:tc>
        <w:tc>
          <w:tcPr>
            <w:tcW w:w="1135" w:type="dxa"/>
            <w:tcBorders>
              <w:top w:val="nil"/>
              <w:left w:val="nil"/>
              <w:bottom w:val="nil"/>
              <w:right w:val="nil"/>
            </w:tcBorders>
            <w:shd w:val="clear" w:color="auto" w:fill="auto"/>
            <w:noWrap/>
            <w:vAlign w:val="center"/>
            <w:hideMark/>
          </w:tcPr>
          <w:p w14:paraId="02BC0478" w14:textId="77777777" w:rsidR="00732571" w:rsidRPr="00A42CCE" w:rsidRDefault="00732571" w:rsidP="00D36A4F">
            <w:pPr>
              <w:jc w:val="center"/>
              <w:rPr>
                <w:color w:val="000000"/>
              </w:rPr>
            </w:pPr>
            <w:r w:rsidRPr="00A42CCE">
              <w:rPr>
                <w:color w:val="000000"/>
                <w:sz w:val="22"/>
                <w:szCs w:val="22"/>
              </w:rPr>
              <w:t>2.185</w:t>
            </w:r>
          </w:p>
        </w:tc>
        <w:tc>
          <w:tcPr>
            <w:tcW w:w="821" w:type="dxa"/>
            <w:tcBorders>
              <w:top w:val="nil"/>
              <w:left w:val="nil"/>
              <w:bottom w:val="nil"/>
              <w:right w:val="nil"/>
            </w:tcBorders>
            <w:shd w:val="clear" w:color="auto" w:fill="auto"/>
            <w:noWrap/>
            <w:vAlign w:val="center"/>
            <w:hideMark/>
          </w:tcPr>
          <w:p w14:paraId="02043428" w14:textId="77777777" w:rsidR="00732571" w:rsidRPr="00A42CCE" w:rsidRDefault="00732571" w:rsidP="00D36A4F">
            <w:pPr>
              <w:jc w:val="center"/>
              <w:rPr>
                <w:color w:val="000000"/>
              </w:rPr>
            </w:pPr>
            <w:r w:rsidRPr="00A42CCE">
              <w:rPr>
                <w:color w:val="000000"/>
                <w:sz w:val="22"/>
                <w:szCs w:val="22"/>
              </w:rPr>
              <w:t>2.039</w:t>
            </w:r>
          </w:p>
        </w:tc>
        <w:tc>
          <w:tcPr>
            <w:tcW w:w="271" w:type="dxa"/>
            <w:tcBorders>
              <w:top w:val="nil"/>
              <w:left w:val="nil"/>
              <w:bottom w:val="nil"/>
              <w:right w:val="nil"/>
            </w:tcBorders>
            <w:shd w:val="clear" w:color="auto" w:fill="auto"/>
            <w:noWrap/>
            <w:vAlign w:val="bottom"/>
            <w:hideMark/>
          </w:tcPr>
          <w:p w14:paraId="76519DB9" w14:textId="77777777" w:rsidR="00732571" w:rsidRPr="00A42CCE" w:rsidRDefault="00732571" w:rsidP="00D36A4F">
            <w:pPr>
              <w:jc w:val="center"/>
              <w:rPr>
                <w:color w:val="000000"/>
              </w:rPr>
            </w:pPr>
          </w:p>
        </w:tc>
        <w:tc>
          <w:tcPr>
            <w:tcW w:w="1408" w:type="dxa"/>
            <w:tcBorders>
              <w:top w:val="nil"/>
              <w:left w:val="nil"/>
              <w:bottom w:val="nil"/>
              <w:right w:val="nil"/>
            </w:tcBorders>
            <w:shd w:val="clear" w:color="auto" w:fill="auto"/>
            <w:noWrap/>
            <w:vAlign w:val="bottom"/>
            <w:hideMark/>
          </w:tcPr>
          <w:p w14:paraId="341CC614" w14:textId="77777777" w:rsidR="00732571" w:rsidRPr="00A42CCE" w:rsidRDefault="00732571" w:rsidP="00D36A4F">
            <w:pPr>
              <w:jc w:val="right"/>
              <w:rPr>
                <w:color w:val="000000"/>
              </w:rPr>
            </w:pPr>
            <w:r w:rsidRPr="00A42CCE">
              <w:rPr>
                <w:color w:val="000000"/>
                <w:sz w:val="22"/>
                <w:szCs w:val="22"/>
              </w:rPr>
              <w:t>-6,68%</w:t>
            </w:r>
          </w:p>
        </w:tc>
        <w:tc>
          <w:tcPr>
            <w:tcW w:w="320" w:type="dxa"/>
            <w:tcBorders>
              <w:top w:val="nil"/>
              <w:left w:val="nil"/>
              <w:bottom w:val="nil"/>
              <w:right w:val="nil"/>
            </w:tcBorders>
            <w:shd w:val="clear" w:color="auto" w:fill="auto"/>
            <w:noWrap/>
            <w:vAlign w:val="bottom"/>
            <w:hideMark/>
          </w:tcPr>
          <w:p w14:paraId="4EE7B39F" w14:textId="77777777" w:rsidR="00732571" w:rsidRPr="00A42CCE" w:rsidRDefault="00732571" w:rsidP="00D36A4F">
            <w:pPr>
              <w:jc w:val="right"/>
              <w:rPr>
                <w:color w:val="000000"/>
              </w:rPr>
            </w:pPr>
          </w:p>
        </w:tc>
        <w:tc>
          <w:tcPr>
            <w:tcW w:w="1217" w:type="dxa"/>
            <w:tcBorders>
              <w:top w:val="nil"/>
              <w:left w:val="nil"/>
              <w:bottom w:val="nil"/>
              <w:right w:val="nil"/>
            </w:tcBorders>
            <w:shd w:val="clear" w:color="auto" w:fill="auto"/>
            <w:noWrap/>
            <w:vAlign w:val="bottom"/>
            <w:hideMark/>
          </w:tcPr>
          <w:p w14:paraId="29E2CA1B" w14:textId="77777777" w:rsidR="00732571" w:rsidRPr="00A42CCE" w:rsidRDefault="00732571" w:rsidP="00D36A4F">
            <w:pPr>
              <w:jc w:val="right"/>
              <w:rPr>
                <w:color w:val="000000"/>
              </w:rPr>
            </w:pPr>
            <w:r w:rsidRPr="00A42CCE">
              <w:rPr>
                <w:color w:val="000000"/>
                <w:sz w:val="22"/>
                <w:szCs w:val="22"/>
              </w:rPr>
              <w:t>91,90%</w:t>
            </w:r>
          </w:p>
        </w:tc>
        <w:tc>
          <w:tcPr>
            <w:tcW w:w="895" w:type="dxa"/>
            <w:gridSpan w:val="2"/>
            <w:tcBorders>
              <w:top w:val="nil"/>
              <w:left w:val="nil"/>
              <w:bottom w:val="nil"/>
              <w:right w:val="nil"/>
            </w:tcBorders>
            <w:shd w:val="clear" w:color="auto" w:fill="auto"/>
            <w:noWrap/>
            <w:vAlign w:val="bottom"/>
            <w:hideMark/>
          </w:tcPr>
          <w:p w14:paraId="7C70447F" w14:textId="77777777" w:rsidR="00732571" w:rsidRPr="00A42CCE" w:rsidRDefault="00732571" w:rsidP="00D36A4F">
            <w:pPr>
              <w:jc w:val="right"/>
              <w:rPr>
                <w:color w:val="000000"/>
              </w:rPr>
            </w:pPr>
            <w:r w:rsidRPr="00A42CCE">
              <w:rPr>
                <w:color w:val="000000"/>
                <w:sz w:val="22"/>
                <w:szCs w:val="22"/>
              </w:rPr>
              <w:t>90,73%</w:t>
            </w:r>
          </w:p>
        </w:tc>
      </w:tr>
      <w:tr w:rsidR="00732571" w:rsidRPr="00A42CCE" w14:paraId="1DFB2ED1" w14:textId="77777777" w:rsidTr="00D36A4F">
        <w:trPr>
          <w:trHeight w:val="288"/>
        </w:trPr>
        <w:tc>
          <w:tcPr>
            <w:tcW w:w="1158" w:type="dxa"/>
            <w:tcBorders>
              <w:top w:val="nil"/>
              <w:left w:val="nil"/>
              <w:bottom w:val="nil"/>
              <w:right w:val="nil"/>
            </w:tcBorders>
            <w:shd w:val="clear" w:color="auto" w:fill="auto"/>
            <w:noWrap/>
            <w:vAlign w:val="bottom"/>
            <w:hideMark/>
          </w:tcPr>
          <w:p w14:paraId="0A2EFCCE" w14:textId="77777777" w:rsidR="00732571" w:rsidRPr="00A42CCE" w:rsidRDefault="00732571" w:rsidP="00D36A4F">
            <w:pPr>
              <w:rPr>
                <w:color w:val="000000"/>
              </w:rPr>
            </w:pPr>
            <w:r w:rsidRPr="00A42CCE">
              <w:rPr>
                <w:color w:val="000000"/>
                <w:sz w:val="22"/>
                <w:szCs w:val="22"/>
              </w:rPr>
              <w:t>Fashion</w:t>
            </w:r>
          </w:p>
        </w:tc>
        <w:tc>
          <w:tcPr>
            <w:tcW w:w="960" w:type="dxa"/>
            <w:tcBorders>
              <w:top w:val="nil"/>
              <w:left w:val="nil"/>
              <w:bottom w:val="nil"/>
              <w:right w:val="nil"/>
            </w:tcBorders>
            <w:shd w:val="clear" w:color="auto" w:fill="auto"/>
            <w:noWrap/>
            <w:vAlign w:val="bottom"/>
            <w:hideMark/>
          </w:tcPr>
          <w:p w14:paraId="47A52967" w14:textId="77777777" w:rsidR="00732571" w:rsidRPr="00A42CCE" w:rsidRDefault="00732571" w:rsidP="00D36A4F">
            <w:pPr>
              <w:rPr>
                <w:color w:val="000000"/>
              </w:rPr>
            </w:pPr>
          </w:p>
        </w:tc>
        <w:tc>
          <w:tcPr>
            <w:tcW w:w="1135" w:type="dxa"/>
            <w:tcBorders>
              <w:top w:val="nil"/>
              <w:left w:val="nil"/>
              <w:bottom w:val="nil"/>
              <w:right w:val="nil"/>
            </w:tcBorders>
            <w:shd w:val="clear" w:color="auto" w:fill="auto"/>
            <w:noWrap/>
            <w:vAlign w:val="center"/>
            <w:hideMark/>
          </w:tcPr>
          <w:p w14:paraId="26322199" w14:textId="77777777" w:rsidR="00732571" w:rsidRPr="00A42CCE" w:rsidRDefault="00732571" w:rsidP="00D36A4F">
            <w:pPr>
              <w:jc w:val="center"/>
              <w:rPr>
                <w:color w:val="000000"/>
              </w:rPr>
            </w:pPr>
            <w:r w:rsidRPr="00A42CCE">
              <w:rPr>
                <w:color w:val="000000"/>
                <w:sz w:val="22"/>
                <w:szCs w:val="22"/>
              </w:rPr>
              <w:t>2.136</w:t>
            </w:r>
          </w:p>
        </w:tc>
        <w:tc>
          <w:tcPr>
            <w:tcW w:w="821" w:type="dxa"/>
            <w:tcBorders>
              <w:top w:val="nil"/>
              <w:left w:val="nil"/>
              <w:bottom w:val="nil"/>
              <w:right w:val="nil"/>
            </w:tcBorders>
            <w:shd w:val="clear" w:color="auto" w:fill="auto"/>
            <w:noWrap/>
            <w:vAlign w:val="center"/>
            <w:hideMark/>
          </w:tcPr>
          <w:p w14:paraId="6C3FA181" w14:textId="77777777" w:rsidR="00732571" w:rsidRPr="00A42CCE" w:rsidRDefault="00732571" w:rsidP="00D36A4F">
            <w:pPr>
              <w:jc w:val="center"/>
              <w:rPr>
                <w:color w:val="000000"/>
              </w:rPr>
            </w:pPr>
            <w:r w:rsidRPr="00A42CCE">
              <w:rPr>
                <w:color w:val="000000"/>
                <w:sz w:val="22"/>
                <w:szCs w:val="22"/>
              </w:rPr>
              <w:t>1.711</w:t>
            </w:r>
          </w:p>
        </w:tc>
        <w:tc>
          <w:tcPr>
            <w:tcW w:w="271" w:type="dxa"/>
            <w:tcBorders>
              <w:top w:val="nil"/>
              <w:left w:val="nil"/>
              <w:bottom w:val="nil"/>
              <w:right w:val="nil"/>
            </w:tcBorders>
            <w:shd w:val="clear" w:color="auto" w:fill="auto"/>
            <w:noWrap/>
            <w:vAlign w:val="bottom"/>
            <w:hideMark/>
          </w:tcPr>
          <w:p w14:paraId="6023B12C" w14:textId="77777777" w:rsidR="00732571" w:rsidRPr="00A42CCE" w:rsidRDefault="00732571" w:rsidP="00D36A4F">
            <w:pPr>
              <w:jc w:val="center"/>
              <w:rPr>
                <w:color w:val="000000"/>
              </w:rPr>
            </w:pPr>
          </w:p>
        </w:tc>
        <w:tc>
          <w:tcPr>
            <w:tcW w:w="1408" w:type="dxa"/>
            <w:tcBorders>
              <w:top w:val="nil"/>
              <w:left w:val="nil"/>
              <w:bottom w:val="nil"/>
              <w:right w:val="nil"/>
            </w:tcBorders>
            <w:shd w:val="clear" w:color="auto" w:fill="auto"/>
            <w:noWrap/>
            <w:vAlign w:val="bottom"/>
            <w:hideMark/>
          </w:tcPr>
          <w:p w14:paraId="5450C09F" w14:textId="77777777" w:rsidR="00732571" w:rsidRPr="00A42CCE" w:rsidRDefault="00732571" w:rsidP="00D36A4F">
            <w:pPr>
              <w:jc w:val="right"/>
              <w:rPr>
                <w:color w:val="000000"/>
              </w:rPr>
            </w:pPr>
            <w:r w:rsidRPr="00A42CCE">
              <w:rPr>
                <w:color w:val="000000"/>
                <w:sz w:val="22"/>
                <w:szCs w:val="22"/>
              </w:rPr>
              <w:t>-19,90%</w:t>
            </w:r>
          </w:p>
        </w:tc>
        <w:tc>
          <w:tcPr>
            <w:tcW w:w="320" w:type="dxa"/>
            <w:tcBorders>
              <w:top w:val="nil"/>
              <w:left w:val="nil"/>
              <w:bottom w:val="nil"/>
              <w:right w:val="nil"/>
            </w:tcBorders>
            <w:shd w:val="clear" w:color="auto" w:fill="auto"/>
            <w:noWrap/>
            <w:vAlign w:val="bottom"/>
            <w:hideMark/>
          </w:tcPr>
          <w:p w14:paraId="38FA7339" w14:textId="77777777" w:rsidR="00732571" w:rsidRPr="00A42CCE" w:rsidRDefault="00732571" w:rsidP="00D36A4F">
            <w:pPr>
              <w:jc w:val="right"/>
              <w:rPr>
                <w:color w:val="000000"/>
              </w:rPr>
            </w:pPr>
          </w:p>
        </w:tc>
        <w:tc>
          <w:tcPr>
            <w:tcW w:w="1217" w:type="dxa"/>
            <w:tcBorders>
              <w:top w:val="nil"/>
              <w:left w:val="nil"/>
              <w:bottom w:val="nil"/>
              <w:right w:val="nil"/>
            </w:tcBorders>
            <w:shd w:val="clear" w:color="auto" w:fill="auto"/>
            <w:noWrap/>
            <w:vAlign w:val="bottom"/>
            <w:hideMark/>
          </w:tcPr>
          <w:p w14:paraId="7B2314EA" w14:textId="77777777" w:rsidR="00732571" w:rsidRPr="00A42CCE" w:rsidRDefault="00732571" w:rsidP="00D36A4F">
            <w:pPr>
              <w:jc w:val="right"/>
              <w:rPr>
                <w:color w:val="000000"/>
              </w:rPr>
            </w:pPr>
            <w:r w:rsidRPr="00A42CCE">
              <w:rPr>
                <w:color w:val="000000"/>
                <w:sz w:val="22"/>
                <w:szCs w:val="22"/>
              </w:rPr>
              <w:t>64,09%</w:t>
            </w:r>
          </w:p>
        </w:tc>
        <w:tc>
          <w:tcPr>
            <w:tcW w:w="895" w:type="dxa"/>
            <w:gridSpan w:val="2"/>
            <w:tcBorders>
              <w:top w:val="nil"/>
              <w:left w:val="nil"/>
              <w:bottom w:val="nil"/>
              <w:right w:val="nil"/>
            </w:tcBorders>
            <w:shd w:val="clear" w:color="auto" w:fill="auto"/>
            <w:noWrap/>
            <w:vAlign w:val="bottom"/>
            <w:hideMark/>
          </w:tcPr>
          <w:p w14:paraId="0BE65297" w14:textId="77777777" w:rsidR="00732571" w:rsidRPr="00A42CCE" w:rsidRDefault="00732571" w:rsidP="00D36A4F">
            <w:pPr>
              <w:jc w:val="right"/>
              <w:rPr>
                <w:color w:val="000000"/>
              </w:rPr>
            </w:pPr>
            <w:r w:rsidRPr="00A42CCE">
              <w:rPr>
                <w:color w:val="000000"/>
                <w:sz w:val="22"/>
                <w:szCs w:val="22"/>
              </w:rPr>
              <w:t>65,17%</w:t>
            </w:r>
          </w:p>
        </w:tc>
      </w:tr>
      <w:tr w:rsidR="00732571" w:rsidRPr="00A42CCE" w14:paraId="1A36FFEC" w14:textId="77777777" w:rsidTr="00D36A4F">
        <w:trPr>
          <w:trHeight w:val="288"/>
        </w:trPr>
        <w:tc>
          <w:tcPr>
            <w:tcW w:w="2118" w:type="dxa"/>
            <w:gridSpan w:val="2"/>
            <w:tcBorders>
              <w:top w:val="nil"/>
              <w:left w:val="nil"/>
              <w:bottom w:val="nil"/>
              <w:right w:val="nil"/>
            </w:tcBorders>
            <w:shd w:val="clear" w:color="auto" w:fill="auto"/>
            <w:noWrap/>
            <w:vAlign w:val="bottom"/>
            <w:hideMark/>
          </w:tcPr>
          <w:p w14:paraId="483FD819" w14:textId="77777777" w:rsidR="00732571" w:rsidRPr="00A42CCE" w:rsidRDefault="00732571" w:rsidP="00D36A4F">
            <w:pPr>
              <w:rPr>
                <w:color w:val="000000"/>
              </w:rPr>
            </w:pPr>
            <w:r w:rsidRPr="00A42CCE">
              <w:rPr>
                <w:color w:val="000000"/>
                <w:sz w:val="22"/>
                <w:szCs w:val="22"/>
              </w:rPr>
              <w:t>Film &amp; Video</w:t>
            </w:r>
          </w:p>
        </w:tc>
        <w:tc>
          <w:tcPr>
            <w:tcW w:w="1135" w:type="dxa"/>
            <w:tcBorders>
              <w:top w:val="nil"/>
              <w:left w:val="nil"/>
              <w:bottom w:val="nil"/>
              <w:right w:val="nil"/>
            </w:tcBorders>
            <w:shd w:val="clear" w:color="auto" w:fill="auto"/>
            <w:noWrap/>
            <w:vAlign w:val="center"/>
            <w:hideMark/>
          </w:tcPr>
          <w:p w14:paraId="54521E8F" w14:textId="77777777" w:rsidR="00732571" w:rsidRPr="00A42CCE" w:rsidRDefault="00732571" w:rsidP="00D36A4F">
            <w:pPr>
              <w:jc w:val="center"/>
              <w:rPr>
                <w:color w:val="000000"/>
              </w:rPr>
            </w:pPr>
            <w:r w:rsidRPr="00A42CCE">
              <w:rPr>
                <w:color w:val="000000"/>
                <w:sz w:val="22"/>
                <w:szCs w:val="22"/>
              </w:rPr>
              <w:t>2.590</w:t>
            </w:r>
          </w:p>
        </w:tc>
        <w:tc>
          <w:tcPr>
            <w:tcW w:w="821" w:type="dxa"/>
            <w:tcBorders>
              <w:top w:val="nil"/>
              <w:left w:val="nil"/>
              <w:bottom w:val="nil"/>
              <w:right w:val="nil"/>
            </w:tcBorders>
            <w:shd w:val="clear" w:color="auto" w:fill="auto"/>
            <w:noWrap/>
            <w:vAlign w:val="center"/>
            <w:hideMark/>
          </w:tcPr>
          <w:p w14:paraId="6D6B27DE" w14:textId="77777777" w:rsidR="00732571" w:rsidRPr="00A42CCE" w:rsidRDefault="00732571" w:rsidP="00D36A4F">
            <w:pPr>
              <w:jc w:val="center"/>
              <w:rPr>
                <w:color w:val="000000"/>
              </w:rPr>
            </w:pPr>
            <w:r w:rsidRPr="00A42CCE">
              <w:rPr>
                <w:color w:val="000000"/>
                <w:sz w:val="22"/>
                <w:szCs w:val="22"/>
              </w:rPr>
              <w:t>1.651</w:t>
            </w:r>
          </w:p>
        </w:tc>
        <w:tc>
          <w:tcPr>
            <w:tcW w:w="271" w:type="dxa"/>
            <w:tcBorders>
              <w:top w:val="nil"/>
              <w:left w:val="nil"/>
              <w:bottom w:val="nil"/>
              <w:right w:val="nil"/>
            </w:tcBorders>
            <w:shd w:val="clear" w:color="auto" w:fill="auto"/>
            <w:noWrap/>
            <w:vAlign w:val="bottom"/>
            <w:hideMark/>
          </w:tcPr>
          <w:p w14:paraId="42E55A46" w14:textId="77777777" w:rsidR="00732571" w:rsidRPr="00A42CCE" w:rsidRDefault="00732571" w:rsidP="00D36A4F">
            <w:pPr>
              <w:jc w:val="center"/>
              <w:rPr>
                <w:color w:val="000000"/>
              </w:rPr>
            </w:pPr>
          </w:p>
        </w:tc>
        <w:tc>
          <w:tcPr>
            <w:tcW w:w="1408" w:type="dxa"/>
            <w:tcBorders>
              <w:top w:val="nil"/>
              <w:left w:val="nil"/>
              <w:bottom w:val="nil"/>
              <w:right w:val="nil"/>
            </w:tcBorders>
            <w:shd w:val="clear" w:color="auto" w:fill="auto"/>
            <w:noWrap/>
            <w:vAlign w:val="bottom"/>
            <w:hideMark/>
          </w:tcPr>
          <w:p w14:paraId="73C4F52F" w14:textId="77777777" w:rsidR="00732571" w:rsidRPr="00A42CCE" w:rsidRDefault="00732571" w:rsidP="00D36A4F">
            <w:pPr>
              <w:jc w:val="right"/>
              <w:rPr>
                <w:color w:val="000000"/>
              </w:rPr>
            </w:pPr>
            <w:r w:rsidRPr="00A42CCE">
              <w:rPr>
                <w:color w:val="000000"/>
                <w:sz w:val="22"/>
                <w:szCs w:val="22"/>
              </w:rPr>
              <w:t>-36,25%</w:t>
            </w:r>
          </w:p>
        </w:tc>
        <w:tc>
          <w:tcPr>
            <w:tcW w:w="320" w:type="dxa"/>
            <w:tcBorders>
              <w:top w:val="nil"/>
              <w:left w:val="nil"/>
              <w:bottom w:val="nil"/>
              <w:right w:val="nil"/>
            </w:tcBorders>
            <w:shd w:val="clear" w:color="auto" w:fill="auto"/>
            <w:noWrap/>
            <w:vAlign w:val="bottom"/>
            <w:hideMark/>
          </w:tcPr>
          <w:p w14:paraId="65FF1065" w14:textId="77777777" w:rsidR="00732571" w:rsidRPr="00A42CCE" w:rsidRDefault="00732571" w:rsidP="00D36A4F">
            <w:pPr>
              <w:jc w:val="right"/>
              <w:rPr>
                <w:color w:val="000000"/>
              </w:rPr>
            </w:pPr>
          </w:p>
        </w:tc>
        <w:tc>
          <w:tcPr>
            <w:tcW w:w="1217" w:type="dxa"/>
            <w:tcBorders>
              <w:top w:val="nil"/>
              <w:left w:val="nil"/>
              <w:bottom w:val="nil"/>
              <w:right w:val="nil"/>
            </w:tcBorders>
            <w:shd w:val="clear" w:color="auto" w:fill="auto"/>
            <w:noWrap/>
            <w:vAlign w:val="bottom"/>
            <w:hideMark/>
          </w:tcPr>
          <w:p w14:paraId="0524EA81" w14:textId="77777777" w:rsidR="00732571" w:rsidRPr="00A42CCE" w:rsidRDefault="00732571" w:rsidP="00D36A4F">
            <w:pPr>
              <w:jc w:val="right"/>
              <w:rPr>
                <w:color w:val="000000"/>
              </w:rPr>
            </w:pPr>
            <w:r w:rsidRPr="00A42CCE">
              <w:rPr>
                <w:color w:val="000000"/>
                <w:sz w:val="22"/>
                <w:szCs w:val="22"/>
              </w:rPr>
              <w:t>57,57%</w:t>
            </w:r>
          </w:p>
        </w:tc>
        <w:tc>
          <w:tcPr>
            <w:tcW w:w="895" w:type="dxa"/>
            <w:gridSpan w:val="2"/>
            <w:tcBorders>
              <w:top w:val="nil"/>
              <w:left w:val="nil"/>
              <w:bottom w:val="nil"/>
              <w:right w:val="nil"/>
            </w:tcBorders>
            <w:shd w:val="clear" w:color="auto" w:fill="auto"/>
            <w:noWrap/>
            <w:vAlign w:val="bottom"/>
            <w:hideMark/>
          </w:tcPr>
          <w:p w14:paraId="74451B58" w14:textId="77777777" w:rsidR="00732571" w:rsidRPr="00A42CCE" w:rsidRDefault="00732571" w:rsidP="00D36A4F">
            <w:pPr>
              <w:jc w:val="right"/>
              <w:rPr>
                <w:color w:val="000000"/>
              </w:rPr>
            </w:pPr>
            <w:r w:rsidRPr="00A42CCE">
              <w:rPr>
                <w:color w:val="000000"/>
                <w:sz w:val="22"/>
                <w:szCs w:val="22"/>
              </w:rPr>
              <w:t>57,12%</w:t>
            </w:r>
          </w:p>
        </w:tc>
      </w:tr>
      <w:tr w:rsidR="00732571" w:rsidRPr="00A42CCE" w14:paraId="7365FE6B" w14:textId="77777777" w:rsidTr="00D36A4F">
        <w:trPr>
          <w:trHeight w:val="288"/>
        </w:trPr>
        <w:tc>
          <w:tcPr>
            <w:tcW w:w="1158" w:type="dxa"/>
            <w:tcBorders>
              <w:top w:val="nil"/>
              <w:left w:val="nil"/>
              <w:bottom w:val="nil"/>
              <w:right w:val="nil"/>
            </w:tcBorders>
            <w:shd w:val="clear" w:color="auto" w:fill="auto"/>
            <w:noWrap/>
            <w:vAlign w:val="bottom"/>
            <w:hideMark/>
          </w:tcPr>
          <w:p w14:paraId="4B04CB70" w14:textId="77777777" w:rsidR="00732571" w:rsidRPr="00A42CCE" w:rsidRDefault="00732571" w:rsidP="00D36A4F">
            <w:pPr>
              <w:rPr>
                <w:color w:val="000000"/>
              </w:rPr>
            </w:pPr>
            <w:r w:rsidRPr="00A42CCE">
              <w:rPr>
                <w:color w:val="000000"/>
                <w:sz w:val="22"/>
                <w:szCs w:val="22"/>
              </w:rPr>
              <w:t>Food</w:t>
            </w:r>
          </w:p>
        </w:tc>
        <w:tc>
          <w:tcPr>
            <w:tcW w:w="960" w:type="dxa"/>
            <w:tcBorders>
              <w:top w:val="nil"/>
              <w:left w:val="nil"/>
              <w:bottom w:val="nil"/>
              <w:right w:val="nil"/>
            </w:tcBorders>
            <w:shd w:val="clear" w:color="auto" w:fill="auto"/>
            <w:noWrap/>
            <w:vAlign w:val="bottom"/>
            <w:hideMark/>
          </w:tcPr>
          <w:p w14:paraId="11FD6533" w14:textId="77777777" w:rsidR="00732571" w:rsidRPr="00A42CCE" w:rsidRDefault="00732571" w:rsidP="00D36A4F">
            <w:pPr>
              <w:rPr>
                <w:color w:val="000000"/>
              </w:rPr>
            </w:pPr>
          </w:p>
        </w:tc>
        <w:tc>
          <w:tcPr>
            <w:tcW w:w="1135" w:type="dxa"/>
            <w:tcBorders>
              <w:top w:val="nil"/>
              <w:left w:val="nil"/>
              <w:bottom w:val="nil"/>
              <w:right w:val="nil"/>
            </w:tcBorders>
            <w:shd w:val="clear" w:color="auto" w:fill="auto"/>
            <w:noWrap/>
            <w:vAlign w:val="center"/>
            <w:hideMark/>
          </w:tcPr>
          <w:p w14:paraId="41202361" w14:textId="77777777" w:rsidR="00732571" w:rsidRPr="00A42CCE" w:rsidRDefault="00732571" w:rsidP="00D36A4F">
            <w:pPr>
              <w:jc w:val="center"/>
              <w:rPr>
                <w:color w:val="000000"/>
              </w:rPr>
            </w:pPr>
            <w:r w:rsidRPr="00A42CCE">
              <w:rPr>
                <w:color w:val="000000"/>
                <w:sz w:val="22"/>
                <w:szCs w:val="22"/>
              </w:rPr>
              <w:t>1.478</w:t>
            </w:r>
          </w:p>
        </w:tc>
        <w:tc>
          <w:tcPr>
            <w:tcW w:w="821" w:type="dxa"/>
            <w:tcBorders>
              <w:top w:val="nil"/>
              <w:left w:val="nil"/>
              <w:bottom w:val="nil"/>
              <w:right w:val="nil"/>
            </w:tcBorders>
            <w:shd w:val="clear" w:color="auto" w:fill="auto"/>
            <w:noWrap/>
            <w:vAlign w:val="center"/>
            <w:hideMark/>
          </w:tcPr>
          <w:p w14:paraId="08FA0F84" w14:textId="77777777" w:rsidR="00732571" w:rsidRPr="00A42CCE" w:rsidRDefault="00732571" w:rsidP="00D36A4F">
            <w:pPr>
              <w:jc w:val="center"/>
              <w:rPr>
                <w:color w:val="000000"/>
              </w:rPr>
            </w:pPr>
            <w:r w:rsidRPr="00A42CCE">
              <w:rPr>
                <w:color w:val="000000"/>
                <w:sz w:val="22"/>
                <w:szCs w:val="22"/>
              </w:rPr>
              <w:t>979</w:t>
            </w:r>
          </w:p>
        </w:tc>
        <w:tc>
          <w:tcPr>
            <w:tcW w:w="271" w:type="dxa"/>
            <w:tcBorders>
              <w:top w:val="nil"/>
              <w:left w:val="nil"/>
              <w:bottom w:val="nil"/>
              <w:right w:val="nil"/>
            </w:tcBorders>
            <w:shd w:val="clear" w:color="auto" w:fill="auto"/>
            <w:noWrap/>
            <w:vAlign w:val="bottom"/>
            <w:hideMark/>
          </w:tcPr>
          <w:p w14:paraId="7C31F52B" w14:textId="77777777" w:rsidR="00732571" w:rsidRPr="00A42CCE" w:rsidRDefault="00732571" w:rsidP="00D36A4F">
            <w:pPr>
              <w:jc w:val="center"/>
              <w:rPr>
                <w:color w:val="000000"/>
              </w:rPr>
            </w:pPr>
          </w:p>
        </w:tc>
        <w:tc>
          <w:tcPr>
            <w:tcW w:w="1408" w:type="dxa"/>
            <w:tcBorders>
              <w:top w:val="nil"/>
              <w:left w:val="nil"/>
              <w:bottom w:val="nil"/>
              <w:right w:val="nil"/>
            </w:tcBorders>
            <w:shd w:val="clear" w:color="auto" w:fill="auto"/>
            <w:noWrap/>
            <w:vAlign w:val="bottom"/>
            <w:hideMark/>
          </w:tcPr>
          <w:p w14:paraId="239777FF" w14:textId="77777777" w:rsidR="00732571" w:rsidRPr="00A42CCE" w:rsidRDefault="00732571" w:rsidP="00D36A4F">
            <w:pPr>
              <w:jc w:val="right"/>
              <w:rPr>
                <w:color w:val="000000"/>
              </w:rPr>
            </w:pPr>
            <w:r w:rsidRPr="00A42CCE">
              <w:rPr>
                <w:color w:val="000000"/>
                <w:sz w:val="22"/>
                <w:szCs w:val="22"/>
              </w:rPr>
              <w:t>-33,76%</w:t>
            </w:r>
          </w:p>
        </w:tc>
        <w:tc>
          <w:tcPr>
            <w:tcW w:w="320" w:type="dxa"/>
            <w:tcBorders>
              <w:top w:val="nil"/>
              <w:left w:val="nil"/>
              <w:bottom w:val="nil"/>
              <w:right w:val="nil"/>
            </w:tcBorders>
            <w:shd w:val="clear" w:color="auto" w:fill="auto"/>
            <w:noWrap/>
            <w:vAlign w:val="bottom"/>
            <w:hideMark/>
          </w:tcPr>
          <w:p w14:paraId="04E33168" w14:textId="77777777" w:rsidR="00732571" w:rsidRPr="00A42CCE" w:rsidRDefault="00732571" w:rsidP="00D36A4F">
            <w:pPr>
              <w:jc w:val="right"/>
              <w:rPr>
                <w:color w:val="000000"/>
              </w:rPr>
            </w:pPr>
          </w:p>
        </w:tc>
        <w:tc>
          <w:tcPr>
            <w:tcW w:w="1217" w:type="dxa"/>
            <w:tcBorders>
              <w:top w:val="nil"/>
              <w:left w:val="nil"/>
              <w:bottom w:val="nil"/>
              <w:right w:val="nil"/>
            </w:tcBorders>
            <w:shd w:val="clear" w:color="auto" w:fill="auto"/>
            <w:noWrap/>
            <w:vAlign w:val="bottom"/>
            <w:hideMark/>
          </w:tcPr>
          <w:p w14:paraId="1AEB0600" w14:textId="77777777" w:rsidR="00732571" w:rsidRPr="00A42CCE" w:rsidRDefault="00732571" w:rsidP="00D36A4F">
            <w:pPr>
              <w:jc w:val="right"/>
              <w:rPr>
                <w:color w:val="000000"/>
              </w:rPr>
            </w:pPr>
            <w:r w:rsidRPr="00A42CCE">
              <w:rPr>
                <w:color w:val="000000"/>
                <w:sz w:val="22"/>
                <w:szCs w:val="22"/>
              </w:rPr>
              <w:t>30,51%</w:t>
            </w:r>
          </w:p>
        </w:tc>
        <w:tc>
          <w:tcPr>
            <w:tcW w:w="895" w:type="dxa"/>
            <w:gridSpan w:val="2"/>
            <w:tcBorders>
              <w:top w:val="nil"/>
              <w:left w:val="nil"/>
              <w:bottom w:val="nil"/>
              <w:right w:val="nil"/>
            </w:tcBorders>
            <w:shd w:val="clear" w:color="auto" w:fill="auto"/>
            <w:noWrap/>
            <w:vAlign w:val="bottom"/>
            <w:hideMark/>
          </w:tcPr>
          <w:p w14:paraId="4551EFB6" w14:textId="77777777" w:rsidR="00732571" w:rsidRPr="00A42CCE" w:rsidRDefault="00732571" w:rsidP="00D36A4F">
            <w:pPr>
              <w:jc w:val="right"/>
              <w:rPr>
                <w:color w:val="000000"/>
              </w:rPr>
            </w:pPr>
            <w:r w:rsidRPr="00A42CCE">
              <w:rPr>
                <w:color w:val="000000"/>
                <w:sz w:val="22"/>
                <w:szCs w:val="22"/>
              </w:rPr>
              <w:t>36,36%</w:t>
            </w:r>
          </w:p>
        </w:tc>
      </w:tr>
      <w:tr w:rsidR="00732571" w:rsidRPr="00A42CCE" w14:paraId="29FDDAF8" w14:textId="77777777" w:rsidTr="00D36A4F">
        <w:trPr>
          <w:trHeight w:val="288"/>
        </w:trPr>
        <w:tc>
          <w:tcPr>
            <w:tcW w:w="1158" w:type="dxa"/>
            <w:tcBorders>
              <w:top w:val="nil"/>
              <w:left w:val="nil"/>
              <w:bottom w:val="nil"/>
              <w:right w:val="nil"/>
            </w:tcBorders>
            <w:shd w:val="clear" w:color="auto" w:fill="auto"/>
            <w:noWrap/>
            <w:vAlign w:val="bottom"/>
            <w:hideMark/>
          </w:tcPr>
          <w:p w14:paraId="2ADE3EE4" w14:textId="77777777" w:rsidR="00732571" w:rsidRPr="00A42CCE" w:rsidRDefault="00732571" w:rsidP="00D36A4F">
            <w:pPr>
              <w:rPr>
                <w:color w:val="000000"/>
              </w:rPr>
            </w:pPr>
            <w:r w:rsidRPr="00A42CCE">
              <w:rPr>
                <w:color w:val="000000"/>
                <w:sz w:val="22"/>
                <w:szCs w:val="22"/>
              </w:rPr>
              <w:t>Games</w:t>
            </w:r>
          </w:p>
        </w:tc>
        <w:tc>
          <w:tcPr>
            <w:tcW w:w="960" w:type="dxa"/>
            <w:tcBorders>
              <w:top w:val="nil"/>
              <w:left w:val="nil"/>
              <w:bottom w:val="nil"/>
              <w:right w:val="nil"/>
            </w:tcBorders>
            <w:shd w:val="clear" w:color="auto" w:fill="auto"/>
            <w:noWrap/>
            <w:vAlign w:val="bottom"/>
            <w:hideMark/>
          </w:tcPr>
          <w:p w14:paraId="2B1F7996" w14:textId="77777777" w:rsidR="00732571" w:rsidRPr="00A42CCE" w:rsidRDefault="00732571" w:rsidP="00D36A4F">
            <w:pPr>
              <w:rPr>
                <w:color w:val="000000"/>
              </w:rPr>
            </w:pPr>
          </w:p>
        </w:tc>
        <w:tc>
          <w:tcPr>
            <w:tcW w:w="1135" w:type="dxa"/>
            <w:tcBorders>
              <w:top w:val="nil"/>
              <w:left w:val="nil"/>
              <w:bottom w:val="nil"/>
              <w:right w:val="nil"/>
            </w:tcBorders>
            <w:shd w:val="clear" w:color="auto" w:fill="auto"/>
            <w:noWrap/>
            <w:vAlign w:val="center"/>
            <w:hideMark/>
          </w:tcPr>
          <w:p w14:paraId="71883147" w14:textId="77777777" w:rsidR="00732571" w:rsidRPr="00A42CCE" w:rsidRDefault="00732571" w:rsidP="00D36A4F">
            <w:pPr>
              <w:jc w:val="center"/>
              <w:rPr>
                <w:color w:val="000000"/>
              </w:rPr>
            </w:pPr>
            <w:r w:rsidRPr="00A42CCE">
              <w:rPr>
                <w:color w:val="000000"/>
                <w:sz w:val="22"/>
                <w:szCs w:val="22"/>
              </w:rPr>
              <w:t>3.745</w:t>
            </w:r>
          </w:p>
        </w:tc>
        <w:tc>
          <w:tcPr>
            <w:tcW w:w="821" w:type="dxa"/>
            <w:tcBorders>
              <w:top w:val="nil"/>
              <w:left w:val="nil"/>
              <w:bottom w:val="nil"/>
              <w:right w:val="nil"/>
            </w:tcBorders>
            <w:shd w:val="clear" w:color="auto" w:fill="auto"/>
            <w:noWrap/>
            <w:vAlign w:val="center"/>
            <w:hideMark/>
          </w:tcPr>
          <w:p w14:paraId="10D75D11" w14:textId="77777777" w:rsidR="00732571" w:rsidRPr="00A42CCE" w:rsidRDefault="00732571" w:rsidP="00D36A4F">
            <w:pPr>
              <w:jc w:val="center"/>
              <w:rPr>
                <w:color w:val="000000"/>
              </w:rPr>
            </w:pPr>
            <w:r w:rsidRPr="00A42CCE">
              <w:rPr>
                <w:color w:val="000000"/>
                <w:sz w:val="22"/>
                <w:szCs w:val="22"/>
              </w:rPr>
              <w:t>5.009</w:t>
            </w:r>
          </w:p>
        </w:tc>
        <w:tc>
          <w:tcPr>
            <w:tcW w:w="271" w:type="dxa"/>
            <w:tcBorders>
              <w:top w:val="nil"/>
              <w:left w:val="nil"/>
              <w:bottom w:val="nil"/>
              <w:right w:val="nil"/>
            </w:tcBorders>
            <w:shd w:val="clear" w:color="auto" w:fill="auto"/>
            <w:noWrap/>
            <w:vAlign w:val="bottom"/>
            <w:hideMark/>
          </w:tcPr>
          <w:p w14:paraId="311A1AC9" w14:textId="77777777" w:rsidR="00732571" w:rsidRPr="00A42CCE" w:rsidRDefault="00732571" w:rsidP="00D36A4F">
            <w:pPr>
              <w:jc w:val="center"/>
              <w:rPr>
                <w:color w:val="000000"/>
              </w:rPr>
            </w:pPr>
          </w:p>
        </w:tc>
        <w:tc>
          <w:tcPr>
            <w:tcW w:w="1408" w:type="dxa"/>
            <w:tcBorders>
              <w:top w:val="nil"/>
              <w:left w:val="nil"/>
              <w:bottom w:val="nil"/>
              <w:right w:val="nil"/>
            </w:tcBorders>
            <w:shd w:val="clear" w:color="auto" w:fill="auto"/>
            <w:noWrap/>
            <w:vAlign w:val="bottom"/>
            <w:hideMark/>
          </w:tcPr>
          <w:p w14:paraId="5182610B" w14:textId="77777777" w:rsidR="00732571" w:rsidRPr="00A42CCE" w:rsidRDefault="00732571" w:rsidP="00D36A4F">
            <w:pPr>
              <w:jc w:val="right"/>
              <w:rPr>
                <w:color w:val="000000"/>
              </w:rPr>
            </w:pPr>
            <w:r w:rsidRPr="00A42CCE">
              <w:rPr>
                <w:color w:val="000000"/>
                <w:sz w:val="22"/>
                <w:szCs w:val="22"/>
              </w:rPr>
              <w:t>33,75%</w:t>
            </w:r>
          </w:p>
        </w:tc>
        <w:tc>
          <w:tcPr>
            <w:tcW w:w="320" w:type="dxa"/>
            <w:tcBorders>
              <w:top w:val="nil"/>
              <w:left w:val="nil"/>
              <w:bottom w:val="nil"/>
              <w:right w:val="nil"/>
            </w:tcBorders>
            <w:shd w:val="clear" w:color="auto" w:fill="auto"/>
            <w:noWrap/>
            <w:vAlign w:val="bottom"/>
            <w:hideMark/>
          </w:tcPr>
          <w:p w14:paraId="11D1BC8A" w14:textId="77777777" w:rsidR="00732571" w:rsidRPr="00A42CCE" w:rsidRDefault="00732571" w:rsidP="00D36A4F">
            <w:pPr>
              <w:jc w:val="right"/>
              <w:rPr>
                <w:color w:val="000000"/>
              </w:rPr>
            </w:pPr>
          </w:p>
        </w:tc>
        <w:tc>
          <w:tcPr>
            <w:tcW w:w="1217" w:type="dxa"/>
            <w:tcBorders>
              <w:top w:val="nil"/>
              <w:left w:val="nil"/>
              <w:bottom w:val="nil"/>
              <w:right w:val="nil"/>
            </w:tcBorders>
            <w:shd w:val="clear" w:color="auto" w:fill="auto"/>
            <w:noWrap/>
            <w:vAlign w:val="bottom"/>
            <w:hideMark/>
          </w:tcPr>
          <w:p w14:paraId="363AAFEF" w14:textId="77777777" w:rsidR="00732571" w:rsidRPr="00A42CCE" w:rsidRDefault="00732571" w:rsidP="00D36A4F">
            <w:pPr>
              <w:jc w:val="right"/>
              <w:rPr>
                <w:color w:val="000000"/>
              </w:rPr>
            </w:pPr>
            <w:r w:rsidRPr="00A42CCE">
              <w:rPr>
                <w:color w:val="000000"/>
                <w:sz w:val="22"/>
                <w:szCs w:val="22"/>
              </w:rPr>
              <w:t>84,99%</w:t>
            </w:r>
          </w:p>
        </w:tc>
        <w:tc>
          <w:tcPr>
            <w:tcW w:w="895" w:type="dxa"/>
            <w:gridSpan w:val="2"/>
            <w:tcBorders>
              <w:top w:val="nil"/>
              <w:left w:val="nil"/>
              <w:bottom w:val="nil"/>
              <w:right w:val="nil"/>
            </w:tcBorders>
            <w:shd w:val="clear" w:color="auto" w:fill="auto"/>
            <w:noWrap/>
            <w:vAlign w:val="bottom"/>
            <w:hideMark/>
          </w:tcPr>
          <w:p w14:paraId="047C2757" w14:textId="77777777" w:rsidR="00732571" w:rsidRPr="00A42CCE" w:rsidRDefault="00732571" w:rsidP="00D36A4F">
            <w:pPr>
              <w:jc w:val="right"/>
              <w:rPr>
                <w:color w:val="000000"/>
              </w:rPr>
            </w:pPr>
            <w:r w:rsidRPr="00A42CCE">
              <w:rPr>
                <w:color w:val="000000"/>
                <w:sz w:val="22"/>
                <w:szCs w:val="22"/>
              </w:rPr>
              <w:t>90,20%</w:t>
            </w:r>
          </w:p>
        </w:tc>
      </w:tr>
      <w:tr w:rsidR="00732571" w:rsidRPr="00A42CCE" w14:paraId="6BB19AA3" w14:textId="77777777" w:rsidTr="00D36A4F">
        <w:trPr>
          <w:trHeight w:val="288"/>
        </w:trPr>
        <w:tc>
          <w:tcPr>
            <w:tcW w:w="2118" w:type="dxa"/>
            <w:gridSpan w:val="2"/>
            <w:tcBorders>
              <w:top w:val="nil"/>
              <w:left w:val="nil"/>
              <w:bottom w:val="nil"/>
              <w:right w:val="nil"/>
            </w:tcBorders>
            <w:shd w:val="clear" w:color="auto" w:fill="auto"/>
            <w:noWrap/>
            <w:vAlign w:val="bottom"/>
            <w:hideMark/>
          </w:tcPr>
          <w:p w14:paraId="0AC635F0" w14:textId="77777777" w:rsidR="00732571" w:rsidRPr="00A42CCE" w:rsidRDefault="00732571" w:rsidP="00D36A4F">
            <w:pPr>
              <w:rPr>
                <w:color w:val="000000"/>
              </w:rPr>
            </w:pPr>
            <w:r w:rsidRPr="00A42CCE">
              <w:rPr>
                <w:color w:val="000000"/>
                <w:sz w:val="22"/>
                <w:szCs w:val="22"/>
              </w:rPr>
              <w:t>Journalism</w:t>
            </w:r>
          </w:p>
        </w:tc>
        <w:tc>
          <w:tcPr>
            <w:tcW w:w="1135" w:type="dxa"/>
            <w:tcBorders>
              <w:top w:val="nil"/>
              <w:left w:val="nil"/>
              <w:bottom w:val="nil"/>
              <w:right w:val="nil"/>
            </w:tcBorders>
            <w:shd w:val="clear" w:color="auto" w:fill="auto"/>
            <w:noWrap/>
            <w:vAlign w:val="center"/>
            <w:hideMark/>
          </w:tcPr>
          <w:p w14:paraId="710FE37E" w14:textId="77777777" w:rsidR="00732571" w:rsidRPr="00A42CCE" w:rsidRDefault="00732571" w:rsidP="00D36A4F">
            <w:pPr>
              <w:jc w:val="center"/>
              <w:rPr>
                <w:color w:val="000000"/>
              </w:rPr>
            </w:pPr>
            <w:r w:rsidRPr="00A42CCE">
              <w:rPr>
                <w:color w:val="000000"/>
                <w:sz w:val="22"/>
                <w:szCs w:val="22"/>
              </w:rPr>
              <w:t>286</w:t>
            </w:r>
          </w:p>
        </w:tc>
        <w:tc>
          <w:tcPr>
            <w:tcW w:w="821" w:type="dxa"/>
            <w:tcBorders>
              <w:top w:val="nil"/>
              <w:left w:val="nil"/>
              <w:bottom w:val="nil"/>
              <w:right w:val="nil"/>
            </w:tcBorders>
            <w:shd w:val="clear" w:color="auto" w:fill="auto"/>
            <w:noWrap/>
            <w:vAlign w:val="center"/>
            <w:hideMark/>
          </w:tcPr>
          <w:p w14:paraId="09975888" w14:textId="77777777" w:rsidR="00732571" w:rsidRPr="00A42CCE" w:rsidRDefault="00732571" w:rsidP="00D36A4F">
            <w:pPr>
              <w:jc w:val="center"/>
              <w:rPr>
                <w:color w:val="000000"/>
              </w:rPr>
            </w:pPr>
            <w:r w:rsidRPr="00A42CCE">
              <w:rPr>
                <w:color w:val="000000"/>
                <w:sz w:val="22"/>
                <w:szCs w:val="22"/>
              </w:rPr>
              <w:t>169</w:t>
            </w:r>
          </w:p>
        </w:tc>
        <w:tc>
          <w:tcPr>
            <w:tcW w:w="271" w:type="dxa"/>
            <w:tcBorders>
              <w:top w:val="nil"/>
              <w:left w:val="nil"/>
              <w:bottom w:val="nil"/>
              <w:right w:val="nil"/>
            </w:tcBorders>
            <w:shd w:val="clear" w:color="auto" w:fill="auto"/>
            <w:noWrap/>
            <w:vAlign w:val="bottom"/>
            <w:hideMark/>
          </w:tcPr>
          <w:p w14:paraId="0E2C0159" w14:textId="77777777" w:rsidR="00732571" w:rsidRPr="00A42CCE" w:rsidRDefault="00732571" w:rsidP="00D36A4F">
            <w:pPr>
              <w:jc w:val="center"/>
              <w:rPr>
                <w:color w:val="000000"/>
              </w:rPr>
            </w:pPr>
          </w:p>
        </w:tc>
        <w:tc>
          <w:tcPr>
            <w:tcW w:w="1408" w:type="dxa"/>
            <w:tcBorders>
              <w:top w:val="nil"/>
              <w:left w:val="nil"/>
              <w:bottom w:val="nil"/>
              <w:right w:val="nil"/>
            </w:tcBorders>
            <w:shd w:val="clear" w:color="auto" w:fill="auto"/>
            <w:noWrap/>
            <w:vAlign w:val="bottom"/>
            <w:hideMark/>
          </w:tcPr>
          <w:p w14:paraId="493C5FB0" w14:textId="77777777" w:rsidR="00732571" w:rsidRPr="00A42CCE" w:rsidRDefault="00732571" w:rsidP="00D36A4F">
            <w:pPr>
              <w:jc w:val="right"/>
              <w:rPr>
                <w:color w:val="000000"/>
              </w:rPr>
            </w:pPr>
            <w:r w:rsidRPr="00A42CCE">
              <w:rPr>
                <w:color w:val="000000"/>
                <w:sz w:val="22"/>
                <w:szCs w:val="22"/>
              </w:rPr>
              <w:t>-40,91%</w:t>
            </w:r>
          </w:p>
        </w:tc>
        <w:tc>
          <w:tcPr>
            <w:tcW w:w="320" w:type="dxa"/>
            <w:tcBorders>
              <w:top w:val="nil"/>
              <w:left w:val="nil"/>
              <w:bottom w:val="nil"/>
              <w:right w:val="nil"/>
            </w:tcBorders>
            <w:shd w:val="clear" w:color="auto" w:fill="auto"/>
            <w:noWrap/>
            <w:vAlign w:val="bottom"/>
            <w:hideMark/>
          </w:tcPr>
          <w:p w14:paraId="2C2FD129" w14:textId="77777777" w:rsidR="00732571" w:rsidRPr="00A42CCE" w:rsidRDefault="00732571" w:rsidP="00D36A4F">
            <w:pPr>
              <w:jc w:val="right"/>
              <w:rPr>
                <w:color w:val="000000"/>
              </w:rPr>
            </w:pPr>
          </w:p>
        </w:tc>
        <w:tc>
          <w:tcPr>
            <w:tcW w:w="1217" w:type="dxa"/>
            <w:tcBorders>
              <w:top w:val="nil"/>
              <w:left w:val="nil"/>
              <w:bottom w:val="nil"/>
              <w:right w:val="nil"/>
            </w:tcBorders>
            <w:shd w:val="clear" w:color="auto" w:fill="auto"/>
            <w:noWrap/>
            <w:vAlign w:val="bottom"/>
            <w:hideMark/>
          </w:tcPr>
          <w:p w14:paraId="4177CCCA" w14:textId="77777777" w:rsidR="00732571" w:rsidRPr="00A42CCE" w:rsidRDefault="00732571" w:rsidP="00D36A4F">
            <w:pPr>
              <w:jc w:val="right"/>
              <w:rPr>
                <w:color w:val="000000"/>
              </w:rPr>
            </w:pPr>
            <w:r w:rsidRPr="00A42CCE">
              <w:rPr>
                <w:color w:val="000000"/>
                <w:sz w:val="22"/>
                <w:szCs w:val="22"/>
              </w:rPr>
              <w:t>36,36%</w:t>
            </w:r>
          </w:p>
        </w:tc>
        <w:tc>
          <w:tcPr>
            <w:tcW w:w="895" w:type="dxa"/>
            <w:gridSpan w:val="2"/>
            <w:tcBorders>
              <w:top w:val="nil"/>
              <w:left w:val="nil"/>
              <w:bottom w:val="nil"/>
              <w:right w:val="nil"/>
            </w:tcBorders>
            <w:shd w:val="clear" w:color="auto" w:fill="auto"/>
            <w:noWrap/>
            <w:vAlign w:val="bottom"/>
            <w:hideMark/>
          </w:tcPr>
          <w:p w14:paraId="2BF83262" w14:textId="77777777" w:rsidR="00732571" w:rsidRPr="00A42CCE" w:rsidRDefault="00732571" w:rsidP="00D36A4F">
            <w:pPr>
              <w:jc w:val="right"/>
              <w:rPr>
                <w:color w:val="000000"/>
              </w:rPr>
            </w:pPr>
            <w:r w:rsidRPr="00A42CCE">
              <w:rPr>
                <w:color w:val="000000"/>
                <w:sz w:val="22"/>
                <w:szCs w:val="22"/>
              </w:rPr>
              <w:t>40,24%</w:t>
            </w:r>
          </w:p>
        </w:tc>
      </w:tr>
      <w:tr w:rsidR="00732571" w:rsidRPr="00A42CCE" w14:paraId="70EAF7F2" w14:textId="77777777" w:rsidTr="00D36A4F">
        <w:trPr>
          <w:trHeight w:val="288"/>
        </w:trPr>
        <w:tc>
          <w:tcPr>
            <w:tcW w:w="1158" w:type="dxa"/>
            <w:tcBorders>
              <w:top w:val="nil"/>
              <w:left w:val="nil"/>
              <w:bottom w:val="nil"/>
              <w:right w:val="nil"/>
            </w:tcBorders>
            <w:shd w:val="clear" w:color="auto" w:fill="auto"/>
            <w:noWrap/>
            <w:vAlign w:val="bottom"/>
            <w:hideMark/>
          </w:tcPr>
          <w:p w14:paraId="17865288" w14:textId="77777777" w:rsidR="00732571" w:rsidRPr="00A42CCE" w:rsidRDefault="00732571" w:rsidP="00D36A4F">
            <w:pPr>
              <w:rPr>
                <w:color w:val="000000"/>
              </w:rPr>
            </w:pPr>
            <w:r w:rsidRPr="00A42CCE">
              <w:rPr>
                <w:color w:val="000000"/>
                <w:sz w:val="22"/>
                <w:szCs w:val="22"/>
              </w:rPr>
              <w:t>Music</w:t>
            </w:r>
          </w:p>
        </w:tc>
        <w:tc>
          <w:tcPr>
            <w:tcW w:w="960" w:type="dxa"/>
            <w:tcBorders>
              <w:top w:val="nil"/>
              <w:left w:val="nil"/>
              <w:bottom w:val="nil"/>
              <w:right w:val="nil"/>
            </w:tcBorders>
            <w:shd w:val="clear" w:color="auto" w:fill="auto"/>
            <w:noWrap/>
            <w:vAlign w:val="bottom"/>
            <w:hideMark/>
          </w:tcPr>
          <w:p w14:paraId="1718F3DD" w14:textId="77777777" w:rsidR="00732571" w:rsidRPr="00A42CCE" w:rsidRDefault="00732571" w:rsidP="00D36A4F">
            <w:pPr>
              <w:rPr>
                <w:color w:val="000000"/>
              </w:rPr>
            </w:pPr>
          </w:p>
        </w:tc>
        <w:tc>
          <w:tcPr>
            <w:tcW w:w="1135" w:type="dxa"/>
            <w:tcBorders>
              <w:top w:val="nil"/>
              <w:left w:val="nil"/>
              <w:bottom w:val="nil"/>
              <w:right w:val="nil"/>
            </w:tcBorders>
            <w:shd w:val="clear" w:color="auto" w:fill="auto"/>
            <w:noWrap/>
            <w:vAlign w:val="center"/>
            <w:hideMark/>
          </w:tcPr>
          <w:p w14:paraId="33503190" w14:textId="77777777" w:rsidR="00732571" w:rsidRPr="00A42CCE" w:rsidRDefault="00732571" w:rsidP="00D36A4F">
            <w:pPr>
              <w:jc w:val="center"/>
              <w:rPr>
                <w:color w:val="000000"/>
              </w:rPr>
            </w:pPr>
            <w:r w:rsidRPr="00A42CCE">
              <w:rPr>
                <w:color w:val="000000"/>
                <w:sz w:val="22"/>
                <w:szCs w:val="22"/>
              </w:rPr>
              <w:t>1.890</w:t>
            </w:r>
          </w:p>
        </w:tc>
        <w:tc>
          <w:tcPr>
            <w:tcW w:w="821" w:type="dxa"/>
            <w:tcBorders>
              <w:top w:val="nil"/>
              <w:left w:val="nil"/>
              <w:bottom w:val="nil"/>
              <w:right w:val="nil"/>
            </w:tcBorders>
            <w:shd w:val="clear" w:color="auto" w:fill="auto"/>
            <w:noWrap/>
            <w:vAlign w:val="center"/>
            <w:hideMark/>
          </w:tcPr>
          <w:p w14:paraId="268A37B5" w14:textId="77777777" w:rsidR="00732571" w:rsidRPr="00A42CCE" w:rsidRDefault="00732571" w:rsidP="00D36A4F">
            <w:pPr>
              <w:jc w:val="center"/>
              <w:rPr>
                <w:color w:val="000000"/>
              </w:rPr>
            </w:pPr>
            <w:r w:rsidRPr="00A42CCE">
              <w:rPr>
                <w:color w:val="000000"/>
                <w:sz w:val="22"/>
                <w:szCs w:val="22"/>
              </w:rPr>
              <w:t>1.155</w:t>
            </w:r>
          </w:p>
        </w:tc>
        <w:tc>
          <w:tcPr>
            <w:tcW w:w="271" w:type="dxa"/>
            <w:tcBorders>
              <w:top w:val="nil"/>
              <w:left w:val="nil"/>
              <w:bottom w:val="nil"/>
              <w:right w:val="nil"/>
            </w:tcBorders>
            <w:shd w:val="clear" w:color="auto" w:fill="auto"/>
            <w:noWrap/>
            <w:vAlign w:val="bottom"/>
            <w:hideMark/>
          </w:tcPr>
          <w:p w14:paraId="1F87DECB" w14:textId="77777777" w:rsidR="00732571" w:rsidRPr="00A42CCE" w:rsidRDefault="00732571" w:rsidP="00D36A4F">
            <w:pPr>
              <w:jc w:val="center"/>
              <w:rPr>
                <w:color w:val="000000"/>
              </w:rPr>
            </w:pPr>
          </w:p>
        </w:tc>
        <w:tc>
          <w:tcPr>
            <w:tcW w:w="1408" w:type="dxa"/>
            <w:tcBorders>
              <w:top w:val="nil"/>
              <w:left w:val="nil"/>
              <w:bottom w:val="nil"/>
              <w:right w:val="nil"/>
            </w:tcBorders>
            <w:shd w:val="clear" w:color="auto" w:fill="auto"/>
            <w:noWrap/>
            <w:vAlign w:val="bottom"/>
            <w:hideMark/>
          </w:tcPr>
          <w:p w14:paraId="3A7AC286" w14:textId="77777777" w:rsidR="00732571" w:rsidRPr="00A42CCE" w:rsidRDefault="00732571" w:rsidP="00D36A4F">
            <w:pPr>
              <w:jc w:val="right"/>
              <w:rPr>
                <w:color w:val="000000"/>
              </w:rPr>
            </w:pPr>
            <w:r w:rsidRPr="00A42CCE">
              <w:rPr>
                <w:color w:val="000000"/>
                <w:sz w:val="22"/>
                <w:szCs w:val="22"/>
              </w:rPr>
              <w:t>-38,89%</w:t>
            </w:r>
          </w:p>
        </w:tc>
        <w:tc>
          <w:tcPr>
            <w:tcW w:w="320" w:type="dxa"/>
            <w:tcBorders>
              <w:top w:val="nil"/>
              <w:left w:val="nil"/>
              <w:bottom w:val="nil"/>
              <w:right w:val="nil"/>
            </w:tcBorders>
            <w:shd w:val="clear" w:color="auto" w:fill="auto"/>
            <w:noWrap/>
            <w:vAlign w:val="bottom"/>
            <w:hideMark/>
          </w:tcPr>
          <w:p w14:paraId="1285720A" w14:textId="77777777" w:rsidR="00732571" w:rsidRPr="00A42CCE" w:rsidRDefault="00732571" w:rsidP="00D36A4F">
            <w:pPr>
              <w:jc w:val="right"/>
              <w:rPr>
                <w:color w:val="000000"/>
              </w:rPr>
            </w:pPr>
          </w:p>
        </w:tc>
        <w:tc>
          <w:tcPr>
            <w:tcW w:w="1217" w:type="dxa"/>
            <w:tcBorders>
              <w:top w:val="nil"/>
              <w:left w:val="nil"/>
              <w:bottom w:val="nil"/>
              <w:right w:val="nil"/>
            </w:tcBorders>
            <w:shd w:val="clear" w:color="auto" w:fill="auto"/>
            <w:noWrap/>
            <w:vAlign w:val="bottom"/>
            <w:hideMark/>
          </w:tcPr>
          <w:p w14:paraId="24749791" w14:textId="77777777" w:rsidR="00732571" w:rsidRPr="00A42CCE" w:rsidRDefault="00732571" w:rsidP="00D36A4F">
            <w:pPr>
              <w:jc w:val="right"/>
              <w:rPr>
                <w:color w:val="000000"/>
              </w:rPr>
            </w:pPr>
            <w:r w:rsidRPr="00A42CCE">
              <w:rPr>
                <w:color w:val="000000"/>
                <w:sz w:val="22"/>
                <w:szCs w:val="22"/>
              </w:rPr>
              <w:t>67,14%</w:t>
            </w:r>
          </w:p>
        </w:tc>
        <w:tc>
          <w:tcPr>
            <w:tcW w:w="895" w:type="dxa"/>
            <w:gridSpan w:val="2"/>
            <w:tcBorders>
              <w:top w:val="nil"/>
              <w:left w:val="nil"/>
              <w:bottom w:val="nil"/>
              <w:right w:val="nil"/>
            </w:tcBorders>
            <w:shd w:val="clear" w:color="auto" w:fill="auto"/>
            <w:noWrap/>
            <w:vAlign w:val="bottom"/>
            <w:hideMark/>
          </w:tcPr>
          <w:p w14:paraId="27E7566A" w14:textId="77777777" w:rsidR="00732571" w:rsidRPr="00A42CCE" w:rsidRDefault="00732571" w:rsidP="00D36A4F">
            <w:pPr>
              <w:jc w:val="right"/>
              <w:rPr>
                <w:color w:val="000000"/>
              </w:rPr>
            </w:pPr>
            <w:r w:rsidRPr="00A42CCE">
              <w:rPr>
                <w:color w:val="000000"/>
                <w:sz w:val="22"/>
                <w:szCs w:val="22"/>
              </w:rPr>
              <w:t>69,35%</w:t>
            </w:r>
          </w:p>
        </w:tc>
      </w:tr>
      <w:tr w:rsidR="00732571" w:rsidRPr="00A42CCE" w14:paraId="0AD63174" w14:textId="77777777" w:rsidTr="00D36A4F">
        <w:trPr>
          <w:trHeight w:val="288"/>
        </w:trPr>
        <w:tc>
          <w:tcPr>
            <w:tcW w:w="2118" w:type="dxa"/>
            <w:gridSpan w:val="2"/>
            <w:tcBorders>
              <w:top w:val="nil"/>
              <w:left w:val="nil"/>
              <w:bottom w:val="nil"/>
              <w:right w:val="nil"/>
            </w:tcBorders>
            <w:shd w:val="clear" w:color="auto" w:fill="auto"/>
            <w:noWrap/>
            <w:vAlign w:val="bottom"/>
            <w:hideMark/>
          </w:tcPr>
          <w:p w14:paraId="0136FE25" w14:textId="77777777" w:rsidR="00732571" w:rsidRPr="00A42CCE" w:rsidRDefault="00732571" w:rsidP="00D36A4F">
            <w:pPr>
              <w:rPr>
                <w:color w:val="000000"/>
              </w:rPr>
            </w:pPr>
            <w:r w:rsidRPr="00A42CCE">
              <w:rPr>
                <w:color w:val="000000"/>
                <w:sz w:val="22"/>
                <w:szCs w:val="22"/>
              </w:rPr>
              <w:t>Photography</w:t>
            </w:r>
          </w:p>
        </w:tc>
        <w:tc>
          <w:tcPr>
            <w:tcW w:w="1135" w:type="dxa"/>
            <w:tcBorders>
              <w:top w:val="nil"/>
              <w:left w:val="nil"/>
              <w:bottom w:val="nil"/>
              <w:right w:val="nil"/>
            </w:tcBorders>
            <w:shd w:val="clear" w:color="auto" w:fill="auto"/>
            <w:noWrap/>
            <w:vAlign w:val="center"/>
            <w:hideMark/>
          </w:tcPr>
          <w:p w14:paraId="35C09567" w14:textId="77777777" w:rsidR="00732571" w:rsidRPr="00A42CCE" w:rsidRDefault="00732571" w:rsidP="00D36A4F">
            <w:pPr>
              <w:jc w:val="center"/>
              <w:rPr>
                <w:color w:val="000000"/>
              </w:rPr>
            </w:pPr>
            <w:r w:rsidRPr="00A42CCE">
              <w:rPr>
                <w:color w:val="000000"/>
                <w:sz w:val="22"/>
                <w:szCs w:val="22"/>
              </w:rPr>
              <w:t>475</w:t>
            </w:r>
          </w:p>
        </w:tc>
        <w:tc>
          <w:tcPr>
            <w:tcW w:w="821" w:type="dxa"/>
            <w:tcBorders>
              <w:top w:val="nil"/>
              <w:left w:val="nil"/>
              <w:bottom w:val="nil"/>
              <w:right w:val="nil"/>
            </w:tcBorders>
            <w:shd w:val="clear" w:color="auto" w:fill="auto"/>
            <w:noWrap/>
            <w:vAlign w:val="center"/>
            <w:hideMark/>
          </w:tcPr>
          <w:p w14:paraId="38306098" w14:textId="77777777" w:rsidR="00732571" w:rsidRPr="00A42CCE" w:rsidRDefault="00732571" w:rsidP="00D36A4F">
            <w:pPr>
              <w:jc w:val="center"/>
              <w:rPr>
                <w:color w:val="000000"/>
              </w:rPr>
            </w:pPr>
            <w:r w:rsidRPr="00A42CCE">
              <w:rPr>
                <w:color w:val="000000"/>
                <w:sz w:val="22"/>
                <w:szCs w:val="22"/>
              </w:rPr>
              <w:t>366</w:t>
            </w:r>
          </w:p>
        </w:tc>
        <w:tc>
          <w:tcPr>
            <w:tcW w:w="271" w:type="dxa"/>
            <w:tcBorders>
              <w:top w:val="nil"/>
              <w:left w:val="nil"/>
              <w:bottom w:val="nil"/>
              <w:right w:val="nil"/>
            </w:tcBorders>
            <w:shd w:val="clear" w:color="auto" w:fill="auto"/>
            <w:noWrap/>
            <w:vAlign w:val="bottom"/>
            <w:hideMark/>
          </w:tcPr>
          <w:p w14:paraId="32F673CC" w14:textId="77777777" w:rsidR="00732571" w:rsidRPr="00A42CCE" w:rsidRDefault="00732571" w:rsidP="00D36A4F">
            <w:pPr>
              <w:jc w:val="center"/>
              <w:rPr>
                <w:color w:val="000000"/>
              </w:rPr>
            </w:pPr>
          </w:p>
        </w:tc>
        <w:tc>
          <w:tcPr>
            <w:tcW w:w="1408" w:type="dxa"/>
            <w:tcBorders>
              <w:top w:val="nil"/>
              <w:left w:val="nil"/>
              <w:bottom w:val="nil"/>
              <w:right w:val="nil"/>
            </w:tcBorders>
            <w:shd w:val="clear" w:color="auto" w:fill="auto"/>
            <w:noWrap/>
            <w:vAlign w:val="bottom"/>
            <w:hideMark/>
          </w:tcPr>
          <w:p w14:paraId="33C52503" w14:textId="77777777" w:rsidR="00732571" w:rsidRPr="00A42CCE" w:rsidRDefault="00732571" w:rsidP="00D36A4F">
            <w:pPr>
              <w:jc w:val="right"/>
              <w:rPr>
                <w:color w:val="000000"/>
              </w:rPr>
            </w:pPr>
            <w:r w:rsidRPr="00A42CCE">
              <w:rPr>
                <w:color w:val="000000"/>
                <w:sz w:val="22"/>
                <w:szCs w:val="22"/>
              </w:rPr>
              <w:t>-22,95%</w:t>
            </w:r>
          </w:p>
        </w:tc>
        <w:tc>
          <w:tcPr>
            <w:tcW w:w="320" w:type="dxa"/>
            <w:tcBorders>
              <w:top w:val="nil"/>
              <w:left w:val="nil"/>
              <w:bottom w:val="nil"/>
              <w:right w:val="nil"/>
            </w:tcBorders>
            <w:shd w:val="clear" w:color="auto" w:fill="auto"/>
            <w:noWrap/>
            <w:vAlign w:val="bottom"/>
            <w:hideMark/>
          </w:tcPr>
          <w:p w14:paraId="2D29BE01" w14:textId="77777777" w:rsidR="00732571" w:rsidRPr="00A42CCE" w:rsidRDefault="00732571" w:rsidP="00D36A4F">
            <w:pPr>
              <w:jc w:val="right"/>
              <w:rPr>
                <w:color w:val="000000"/>
              </w:rPr>
            </w:pPr>
          </w:p>
        </w:tc>
        <w:tc>
          <w:tcPr>
            <w:tcW w:w="1217" w:type="dxa"/>
            <w:tcBorders>
              <w:top w:val="nil"/>
              <w:left w:val="nil"/>
              <w:bottom w:val="nil"/>
              <w:right w:val="nil"/>
            </w:tcBorders>
            <w:shd w:val="clear" w:color="auto" w:fill="auto"/>
            <w:noWrap/>
            <w:vAlign w:val="bottom"/>
            <w:hideMark/>
          </w:tcPr>
          <w:p w14:paraId="356B0501" w14:textId="77777777" w:rsidR="00732571" w:rsidRPr="00A42CCE" w:rsidRDefault="00732571" w:rsidP="00D36A4F">
            <w:pPr>
              <w:jc w:val="right"/>
              <w:rPr>
                <w:color w:val="000000"/>
              </w:rPr>
            </w:pPr>
            <w:r w:rsidRPr="00A42CCE">
              <w:rPr>
                <w:color w:val="000000"/>
                <w:sz w:val="22"/>
                <w:szCs w:val="22"/>
              </w:rPr>
              <w:t>51,37%</w:t>
            </w:r>
          </w:p>
        </w:tc>
        <w:tc>
          <w:tcPr>
            <w:tcW w:w="895" w:type="dxa"/>
            <w:gridSpan w:val="2"/>
            <w:tcBorders>
              <w:top w:val="nil"/>
              <w:left w:val="nil"/>
              <w:bottom w:val="nil"/>
              <w:right w:val="nil"/>
            </w:tcBorders>
            <w:shd w:val="clear" w:color="auto" w:fill="auto"/>
            <w:noWrap/>
            <w:vAlign w:val="bottom"/>
            <w:hideMark/>
          </w:tcPr>
          <w:p w14:paraId="65ABCCA1" w14:textId="77777777" w:rsidR="00732571" w:rsidRPr="00A42CCE" w:rsidRDefault="00732571" w:rsidP="00D36A4F">
            <w:pPr>
              <w:jc w:val="right"/>
              <w:rPr>
                <w:color w:val="000000"/>
              </w:rPr>
            </w:pPr>
            <w:r w:rsidRPr="00A42CCE">
              <w:rPr>
                <w:color w:val="000000"/>
                <w:sz w:val="22"/>
                <w:szCs w:val="22"/>
              </w:rPr>
              <w:t>62,57%</w:t>
            </w:r>
          </w:p>
        </w:tc>
      </w:tr>
      <w:tr w:rsidR="00732571" w:rsidRPr="00A42CCE" w14:paraId="456C5BB7" w14:textId="77777777" w:rsidTr="00D36A4F">
        <w:trPr>
          <w:trHeight w:val="288"/>
        </w:trPr>
        <w:tc>
          <w:tcPr>
            <w:tcW w:w="1158" w:type="dxa"/>
            <w:tcBorders>
              <w:top w:val="nil"/>
              <w:left w:val="nil"/>
              <w:bottom w:val="nil"/>
              <w:right w:val="nil"/>
            </w:tcBorders>
            <w:shd w:val="clear" w:color="auto" w:fill="auto"/>
            <w:noWrap/>
            <w:vAlign w:val="bottom"/>
            <w:hideMark/>
          </w:tcPr>
          <w:p w14:paraId="5633F75F" w14:textId="77777777" w:rsidR="00732571" w:rsidRPr="00A42CCE" w:rsidRDefault="00732571" w:rsidP="00D36A4F">
            <w:pPr>
              <w:rPr>
                <w:color w:val="000000"/>
              </w:rPr>
            </w:pPr>
            <w:r w:rsidRPr="00A42CCE">
              <w:rPr>
                <w:color w:val="000000"/>
                <w:sz w:val="22"/>
                <w:szCs w:val="22"/>
              </w:rPr>
              <w:t>Publishing</w:t>
            </w:r>
          </w:p>
        </w:tc>
        <w:tc>
          <w:tcPr>
            <w:tcW w:w="960" w:type="dxa"/>
            <w:tcBorders>
              <w:top w:val="nil"/>
              <w:left w:val="nil"/>
              <w:bottom w:val="nil"/>
              <w:right w:val="nil"/>
            </w:tcBorders>
            <w:shd w:val="clear" w:color="auto" w:fill="auto"/>
            <w:noWrap/>
            <w:vAlign w:val="bottom"/>
            <w:hideMark/>
          </w:tcPr>
          <w:p w14:paraId="22A5D540" w14:textId="77777777" w:rsidR="00732571" w:rsidRPr="00A42CCE" w:rsidRDefault="00732571" w:rsidP="00D36A4F">
            <w:pPr>
              <w:rPr>
                <w:color w:val="000000"/>
              </w:rPr>
            </w:pPr>
          </w:p>
        </w:tc>
        <w:tc>
          <w:tcPr>
            <w:tcW w:w="1135" w:type="dxa"/>
            <w:tcBorders>
              <w:top w:val="nil"/>
              <w:left w:val="nil"/>
              <w:bottom w:val="nil"/>
              <w:right w:val="nil"/>
            </w:tcBorders>
            <w:shd w:val="clear" w:color="auto" w:fill="auto"/>
            <w:noWrap/>
            <w:vAlign w:val="center"/>
            <w:hideMark/>
          </w:tcPr>
          <w:p w14:paraId="4EF2B4A4" w14:textId="77777777" w:rsidR="00732571" w:rsidRPr="00A42CCE" w:rsidRDefault="00732571" w:rsidP="00D36A4F">
            <w:pPr>
              <w:jc w:val="center"/>
              <w:rPr>
                <w:color w:val="000000"/>
              </w:rPr>
            </w:pPr>
            <w:r w:rsidRPr="00A42CCE">
              <w:rPr>
                <w:color w:val="000000"/>
                <w:sz w:val="22"/>
                <w:szCs w:val="22"/>
              </w:rPr>
              <w:t>2.186</w:t>
            </w:r>
          </w:p>
        </w:tc>
        <w:tc>
          <w:tcPr>
            <w:tcW w:w="821" w:type="dxa"/>
            <w:tcBorders>
              <w:top w:val="nil"/>
              <w:left w:val="nil"/>
              <w:bottom w:val="nil"/>
              <w:right w:val="nil"/>
            </w:tcBorders>
            <w:shd w:val="clear" w:color="auto" w:fill="auto"/>
            <w:noWrap/>
            <w:vAlign w:val="center"/>
            <w:hideMark/>
          </w:tcPr>
          <w:p w14:paraId="5008E0DA" w14:textId="77777777" w:rsidR="00732571" w:rsidRPr="00A42CCE" w:rsidRDefault="00732571" w:rsidP="00D36A4F">
            <w:pPr>
              <w:jc w:val="center"/>
              <w:rPr>
                <w:color w:val="000000"/>
              </w:rPr>
            </w:pPr>
            <w:r w:rsidRPr="00A42CCE">
              <w:rPr>
                <w:color w:val="000000"/>
                <w:sz w:val="22"/>
                <w:szCs w:val="22"/>
              </w:rPr>
              <w:t>2.075</w:t>
            </w:r>
          </w:p>
        </w:tc>
        <w:tc>
          <w:tcPr>
            <w:tcW w:w="271" w:type="dxa"/>
            <w:tcBorders>
              <w:top w:val="nil"/>
              <w:left w:val="nil"/>
              <w:bottom w:val="nil"/>
              <w:right w:val="nil"/>
            </w:tcBorders>
            <w:shd w:val="clear" w:color="auto" w:fill="auto"/>
            <w:noWrap/>
            <w:vAlign w:val="bottom"/>
            <w:hideMark/>
          </w:tcPr>
          <w:p w14:paraId="7FA6ECE6" w14:textId="77777777" w:rsidR="00732571" w:rsidRPr="00A42CCE" w:rsidRDefault="00732571" w:rsidP="00D36A4F">
            <w:pPr>
              <w:jc w:val="center"/>
              <w:rPr>
                <w:color w:val="000000"/>
              </w:rPr>
            </w:pPr>
          </w:p>
        </w:tc>
        <w:tc>
          <w:tcPr>
            <w:tcW w:w="1408" w:type="dxa"/>
            <w:tcBorders>
              <w:top w:val="nil"/>
              <w:left w:val="nil"/>
              <w:bottom w:val="nil"/>
              <w:right w:val="nil"/>
            </w:tcBorders>
            <w:shd w:val="clear" w:color="auto" w:fill="auto"/>
            <w:noWrap/>
            <w:vAlign w:val="bottom"/>
            <w:hideMark/>
          </w:tcPr>
          <w:p w14:paraId="41DB2E5D" w14:textId="77777777" w:rsidR="00732571" w:rsidRPr="00A42CCE" w:rsidRDefault="00732571" w:rsidP="00D36A4F">
            <w:pPr>
              <w:jc w:val="right"/>
              <w:rPr>
                <w:color w:val="000000"/>
              </w:rPr>
            </w:pPr>
            <w:r w:rsidRPr="00A42CCE">
              <w:rPr>
                <w:color w:val="000000"/>
                <w:sz w:val="22"/>
                <w:szCs w:val="22"/>
              </w:rPr>
              <w:t>-5,08%</w:t>
            </w:r>
          </w:p>
        </w:tc>
        <w:tc>
          <w:tcPr>
            <w:tcW w:w="320" w:type="dxa"/>
            <w:tcBorders>
              <w:top w:val="nil"/>
              <w:left w:val="nil"/>
              <w:bottom w:val="nil"/>
              <w:right w:val="nil"/>
            </w:tcBorders>
            <w:shd w:val="clear" w:color="auto" w:fill="auto"/>
            <w:noWrap/>
            <w:vAlign w:val="bottom"/>
            <w:hideMark/>
          </w:tcPr>
          <w:p w14:paraId="108E748A" w14:textId="77777777" w:rsidR="00732571" w:rsidRPr="00A42CCE" w:rsidRDefault="00732571" w:rsidP="00D36A4F">
            <w:pPr>
              <w:jc w:val="right"/>
              <w:rPr>
                <w:color w:val="000000"/>
              </w:rPr>
            </w:pPr>
          </w:p>
        </w:tc>
        <w:tc>
          <w:tcPr>
            <w:tcW w:w="1217" w:type="dxa"/>
            <w:tcBorders>
              <w:top w:val="nil"/>
              <w:left w:val="nil"/>
              <w:bottom w:val="nil"/>
              <w:right w:val="nil"/>
            </w:tcBorders>
            <w:shd w:val="clear" w:color="auto" w:fill="auto"/>
            <w:noWrap/>
            <w:vAlign w:val="bottom"/>
            <w:hideMark/>
          </w:tcPr>
          <w:p w14:paraId="441981F0" w14:textId="77777777" w:rsidR="00732571" w:rsidRPr="00A42CCE" w:rsidRDefault="00732571" w:rsidP="00D36A4F">
            <w:pPr>
              <w:jc w:val="right"/>
              <w:rPr>
                <w:color w:val="000000"/>
              </w:rPr>
            </w:pPr>
            <w:r w:rsidRPr="00A42CCE">
              <w:rPr>
                <w:color w:val="000000"/>
                <w:sz w:val="22"/>
                <w:szCs w:val="22"/>
              </w:rPr>
              <w:t>74,34%</w:t>
            </w:r>
          </w:p>
        </w:tc>
        <w:tc>
          <w:tcPr>
            <w:tcW w:w="895" w:type="dxa"/>
            <w:gridSpan w:val="2"/>
            <w:tcBorders>
              <w:top w:val="nil"/>
              <w:left w:val="nil"/>
              <w:bottom w:val="nil"/>
              <w:right w:val="nil"/>
            </w:tcBorders>
            <w:shd w:val="clear" w:color="auto" w:fill="auto"/>
            <w:noWrap/>
            <w:vAlign w:val="bottom"/>
            <w:hideMark/>
          </w:tcPr>
          <w:p w14:paraId="219AA9AF" w14:textId="77777777" w:rsidR="00732571" w:rsidRPr="00A42CCE" w:rsidRDefault="00732571" w:rsidP="00D36A4F">
            <w:pPr>
              <w:jc w:val="right"/>
              <w:rPr>
                <w:color w:val="000000"/>
              </w:rPr>
            </w:pPr>
            <w:r w:rsidRPr="00A42CCE">
              <w:rPr>
                <w:color w:val="000000"/>
                <w:sz w:val="22"/>
                <w:szCs w:val="22"/>
              </w:rPr>
              <w:t>80,48%</w:t>
            </w:r>
          </w:p>
        </w:tc>
      </w:tr>
      <w:tr w:rsidR="00732571" w:rsidRPr="00A42CCE" w14:paraId="6BCE0638" w14:textId="77777777" w:rsidTr="00D36A4F">
        <w:trPr>
          <w:trHeight w:val="288"/>
        </w:trPr>
        <w:tc>
          <w:tcPr>
            <w:tcW w:w="2118" w:type="dxa"/>
            <w:gridSpan w:val="2"/>
            <w:tcBorders>
              <w:top w:val="nil"/>
              <w:left w:val="nil"/>
              <w:bottom w:val="nil"/>
              <w:right w:val="nil"/>
            </w:tcBorders>
            <w:shd w:val="clear" w:color="auto" w:fill="auto"/>
            <w:noWrap/>
            <w:vAlign w:val="bottom"/>
            <w:hideMark/>
          </w:tcPr>
          <w:p w14:paraId="69075DB6" w14:textId="77777777" w:rsidR="00732571" w:rsidRPr="00A42CCE" w:rsidRDefault="00732571" w:rsidP="00D36A4F">
            <w:pPr>
              <w:rPr>
                <w:color w:val="000000"/>
              </w:rPr>
            </w:pPr>
            <w:r w:rsidRPr="00A42CCE">
              <w:rPr>
                <w:color w:val="000000"/>
                <w:sz w:val="22"/>
                <w:szCs w:val="22"/>
              </w:rPr>
              <w:t>Technology</w:t>
            </w:r>
          </w:p>
        </w:tc>
        <w:tc>
          <w:tcPr>
            <w:tcW w:w="1135" w:type="dxa"/>
            <w:tcBorders>
              <w:top w:val="nil"/>
              <w:left w:val="nil"/>
              <w:bottom w:val="nil"/>
              <w:right w:val="nil"/>
            </w:tcBorders>
            <w:shd w:val="clear" w:color="auto" w:fill="auto"/>
            <w:noWrap/>
            <w:vAlign w:val="center"/>
            <w:hideMark/>
          </w:tcPr>
          <w:p w14:paraId="5AA2EDFA" w14:textId="77777777" w:rsidR="00732571" w:rsidRPr="00A42CCE" w:rsidRDefault="00732571" w:rsidP="00D36A4F">
            <w:pPr>
              <w:jc w:val="center"/>
              <w:rPr>
                <w:color w:val="000000"/>
              </w:rPr>
            </w:pPr>
            <w:r w:rsidRPr="00A42CCE">
              <w:rPr>
                <w:color w:val="000000"/>
                <w:sz w:val="22"/>
                <w:szCs w:val="22"/>
              </w:rPr>
              <w:t>2.880</w:t>
            </w:r>
          </w:p>
        </w:tc>
        <w:tc>
          <w:tcPr>
            <w:tcW w:w="821" w:type="dxa"/>
            <w:tcBorders>
              <w:top w:val="nil"/>
              <w:left w:val="nil"/>
              <w:bottom w:val="nil"/>
              <w:right w:val="nil"/>
            </w:tcBorders>
            <w:shd w:val="clear" w:color="auto" w:fill="auto"/>
            <w:noWrap/>
            <w:vAlign w:val="center"/>
            <w:hideMark/>
          </w:tcPr>
          <w:p w14:paraId="37906803" w14:textId="77777777" w:rsidR="00732571" w:rsidRPr="00A42CCE" w:rsidRDefault="00732571" w:rsidP="00D36A4F">
            <w:pPr>
              <w:jc w:val="center"/>
              <w:rPr>
                <w:color w:val="000000"/>
              </w:rPr>
            </w:pPr>
            <w:r w:rsidRPr="00A42CCE">
              <w:rPr>
                <w:color w:val="000000"/>
                <w:sz w:val="22"/>
                <w:szCs w:val="22"/>
              </w:rPr>
              <w:t>2.678</w:t>
            </w:r>
          </w:p>
        </w:tc>
        <w:tc>
          <w:tcPr>
            <w:tcW w:w="271" w:type="dxa"/>
            <w:tcBorders>
              <w:top w:val="nil"/>
              <w:left w:val="nil"/>
              <w:bottom w:val="nil"/>
              <w:right w:val="nil"/>
            </w:tcBorders>
            <w:shd w:val="clear" w:color="auto" w:fill="auto"/>
            <w:noWrap/>
            <w:vAlign w:val="bottom"/>
            <w:hideMark/>
          </w:tcPr>
          <w:p w14:paraId="39F30CEA" w14:textId="77777777" w:rsidR="00732571" w:rsidRPr="00A42CCE" w:rsidRDefault="00732571" w:rsidP="00D36A4F">
            <w:pPr>
              <w:jc w:val="center"/>
              <w:rPr>
                <w:color w:val="000000"/>
              </w:rPr>
            </w:pPr>
          </w:p>
        </w:tc>
        <w:tc>
          <w:tcPr>
            <w:tcW w:w="1408" w:type="dxa"/>
            <w:tcBorders>
              <w:top w:val="nil"/>
              <w:left w:val="nil"/>
              <w:bottom w:val="nil"/>
              <w:right w:val="nil"/>
            </w:tcBorders>
            <w:shd w:val="clear" w:color="auto" w:fill="auto"/>
            <w:noWrap/>
            <w:vAlign w:val="bottom"/>
            <w:hideMark/>
          </w:tcPr>
          <w:p w14:paraId="3C432DF9" w14:textId="77777777" w:rsidR="00732571" w:rsidRPr="00A42CCE" w:rsidRDefault="00732571" w:rsidP="00D36A4F">
            <w:pPr>
              <w:jc w:val="right"/>
              <w:rPr>
                <w:color w:val="000000"/>
              </w:rPr>
            </w:pPr>
            <w:r w:rsidRPr="00A42CCE">
              <w:rPr>
                <w:color w:val="000000"/>
                <w:sz w:val="22"/>
                <w:szCs w:val="22"/>
              </w:rPr>
              <w:t>-7,01%</w:t>
            </w:r>
          </w:p>
        </w:tc>
        <w:tc>
          <w:tcPr>
            <w:tcW w:w="320" w:type="dxa"/>
            <w:tcBorders>
              <w:top w:val="nil"/>
              <w:left w:val="nil"/>
              <w:bottom w:val="nil"/>
              <w:right w:val="nil"/>
            </w:tcBorders>
            <w:shd w:val="clear" w:color="auto" w:fill="auto"/>
            <w:noWrap/>
            <w:vAlign w:val="bottom"/>
            <w:hideMark/>
          </w:tcPr>
          <w:p w14:paraId="78476F70" w14:textId="77777777" w:rsidR="00732571" w:rsidRPr="00A42CCE" w:rsidRDefault="00732571" w:rsidP="00D36A4F">
            <w:pPr>
              <w:jc w:val="right"/>
              <w:rPr>
                <w:color w:val="000000"/>
              </w:rPr>
            </w:pPr>
          </w:p>
        </w:tc>
        <w:tc>
          <w:tcPr>
            <w:tcW w:w="1217" w:type="dxa"/>
            <w:tcBorders>
              <w:top w:val="nil"/>
              <w:left w:val="nil"/>
              <w:bottom w:val="nil"/>
              <w:right w:val="nil"/>
            </w:tcBorders>
            <w:shd w:val="clear" w:color="auto" w:fill="auto"/>
            <w:noWrap/>
            <w:vAlign w:val="bottom"/>
            <w:hideMark/>
          </w:tcPr>
          <w:p w14:paraId="678B0E8D" w14:textId="77777777" w:rsidR="00732571" w:rsidRPr="00A42CCE" w:rsidRDefault="00732571" w:rsidP="00D36A4F">
            <w:pPr>
              <w:jc w:val="right"/>
              <w:rPr>
                <w:color w:val="000000"/>
              </w:rPr>
            </w:pPr>
            <w:r w:rsidRPr="00A42CCE">
              <w:rPr>
                <w:color w:val="000000"/>
                <w:sz w:val="22"/>
                <w:szCs w:val="22"/>
              </w:rPr>
              <w:t>29,48%</w:t>
            </w:r>
          </w:p>
        </w:tc>
        <w:tc>
          <w:tcPr>
            <w:tcW w:w="895" w:type="dxa"/>
            <w:gridSpan w:val="2"/>
            <w:tcBorders>
              <w:top w:val="nil"/>
              <w:left w:val="nil"/>
              <w:bottom w:val="nil"/>
              <w:right w:val="nil"/>
            </w:tcBorders>
            <w:shd w:val="clear" w:color="auto" w:fill="auto"/>
            <w:noWrap/>
            <w:vAlign w:val="bottom"/>
            <w:hideMark/>
          </w:tcPr>
          <w:p w14:paraId="5CBA2298" w14:textId="77777777" w:rsidR="00732571" w:rsidRPr="00A42CCE" w:rsidRDefault="00732571" w:rsidP="00D36A4F">
            <w:pPr>
              <w:jc w:val="right"/>
              <w:rPr>
                <w:color w:val="000000"/>
              </w:rPr>
            </w:pPr>
            <w:r w:rsidRPr="00A42CCE">
              <w:rPr>
                <w:color w:val="000000"/>
                <w:sz w:val="22"/>
                <w:szCs w:val="22"/>
              </w:rPr>
              <w:t>32,26%</w:t>
            </w:r>
          </w:p>
        </w:tc>
      </w:tr>
      <w:tr w:rsidR="00732571" w:rsidRPr="00A42CCE" w14:paraId="4C9634B4" w14:textId="77777777" w:rsidTr="00D36A4F">
        <w:trPr>
          <w:trHeight w:val="288"/>
        </w:trPr>
        <w:tc>
          <w:tcPr>
            <w:tcW w:w="1158" w:type="dxa"/>
            <w:tcBorders>
              <w:top w:val="nil"/>
              <w:left w:val="nil"/>
              <w:right w:val="nil"/>
            </w:tcBorders>
            <w:shd w:val="clear" w:color="auto" w:fill="auto"/>
            <w:noWrap/>
            <w:vAlign w:val="bottom"/>
            <w:hideMark/>
          </w:tcPr>
          <w:p w14:paraId="59D18CDA" w14:textId="77777777" w:rsidR="00732571" w:rsidRPr="00A42CCE" w:rsidRDefault="00732571" w:rsidP="00D36A4F">
            <w:pPr>
              <w:rPr>
                <w:color w:val="000000"/>
              </w:rPr>
            </w:pPr>
            <w:r w:rsidRPr="00A42CCE">
              <w:rPr>
                <w:color w:val="000000"/>
                <w:sz w:val="22"/>
                <w:szCs w:val="22"/>
              </w:rPr>
              <w:t>Theater</w:t>
            </w:r>
          </w:p>
        </w:tc>
        <w:tc>
          <w:tcPr>
            <w:tcW w:w="960" w:type="dxa"/>
            <w:tcBorders>
              <w:top w:val="nil"/>
              <w:left w:val="nil"/>
              <w:right w:val="nil"/>
            </w:tcBorders>
            <w:shd w:val="clear" w:color="auto" w:fill="auto"/>
            <w:noWrap/>
            <w:vAlign w:val="bottom"/>
            <w:hideMark/>
          </w:tcPr>
          <w:p w14:paraId="5715606F" w14:textId="77777777" w:rsidR="00732571" w:rsidRPr="00A42CCE" w:rsidRDefault="00732571" w:rsidP="00D36A4F">
            <w:pPr>
              <w:rPr>
                <w:color w:val="000000"/>
              </w:rPr>
            </w:pPr>
          </w:p>
        </w:tc>
        <w:tc>
          <w:tcPr>
            <w:tcW w:w="1135" w:type="dxa"/>
            <w:tcBorders>
              <w:top w:val="nil"/>
              <w:left w:val="nil"/>
              <w:right w:val="nil"/>
            </w:tcBorders>
            <w:shd w:val="clear" w:color="auto" w:fill="auto"/>
            <w:noWrap/>
            <w:vAlign w:val="center"/>
            <w:hideMark/>
          </w:tcPr>
          <w:p w14:paraId="6A2168F9" w14:textId="77777777" w:rsidR="00732571" w:rsidRPr="00A42CCE" w:rsidRDefault="00732571" w:rsidP="00D36A4F">
            <w:pPr>
              <w:jc w:val="center"/>
              <w:rPr>
                <w:color w:val="000000"/>
              </w:rPr>
            </w:pPr>
            <w:r w:rsidRPr="00A42CCE">
              <w:rPr>
                <w:color w:val="000000"/>
                <w:sz w:val="22"/>
                <w:szCs w:val="22"/>
              </w:rPr>
              <w:t>463</w:t>
            </w:r>
          </w:p>
        </w:tc>
        <w:tc>
          <w:tcPr>
            <w:tcW w:w="821" w:type="dxa"/>
            <w:tcBorders>
              <w:top w:val="nil"/>
              <w:left w:val="nil"/>
              <w:right w:val="nil"/>
            </w:tcBorders>
            <w:shd w:val="clear" w:color="auto" w:fill="auto"/>
            <w:noWrap/>
            <w:vAlign w:val="center"/>
            <w:hideMark/>
          </w:tcPr>
          <w:p w14:paraId="1EC512D1" w14:textId="77777777" w:rsidR="00732571" w:rsidRPr="00A42CCE" w:rsidRDefault="00732571" w:rsidP="00D36A4F">
            <w:pPr>
              <w:jc w:val="center"/>
              <w:rPr>
                <w:color w:val="000000"/>
              </w:rPr>
            </w:pPr>
            <w:r w:rsidRPr="00A42CCE">
              <w:rPr>
                <w:color w:val="000000"/>
                <w:sz w:val="22"/>
                <w:szCs w:val="22"/>
              </w:rPr>
              <w:t>119</w:t>
            </w:r>
          </w:p>
        </w:tc>
        <w:tc>
          <w:tcPr>
            <w:tcW w:w="271" w:type="dxa"/>
            <w:tcBorders>
              <w:top w:val="nil"/>
              <w:left w:val="nil"/>
              <w:right w:val="nil"/>
            </w:tcBorders>
            <w:shd w:val="clear" w:color="auto" w:fill="auto"/>
            <w:noWrap/>
            <w:vAlign w:val="bottom"/>
            <w:hideMark/>
          </w:tcPr>
          <w:p w14:paraId="096FA728" w14:textId="77777777" w:rsidR="00732571" w:rsidRPr="00A42CCE" w:rsidRDefault="00732571" w:rsidP="00D36A4F">
            <w:pPr>
              <w:jc w:val="center"/>
              <w:rPr>
                <w:color w:val="000000"/>
              </w:rPr>
            </w:pPr>
          </w:p>
        </w:tc>
        <w:tc>
          <w:tcPr>
            <w:tcW w:w="1408" w:type="dxa"/>
            <w:tcBorders>
              <w:top w:val="nil"/>
              <w:left w:val="nil"/>
              <w:right w:val="nil"/>
            </w:tcBorders>
            <w:shd w:val="clear" w:color="auto" w:fill="auto"/>
            <w:noWrap/>
            <w:vAlign w:val="bottom"/>
            <w:hideMark/>
          </w:tcPr>
          <w:p w14:paraId="1B6C6B19" w14:textId="77777777" w:rsidR="00732571" w:rsidRPr="00A42CCE" w:rsidRDefault="00732571" w:rsidP="00D36A4F">
            <w:pPr>
              <w:jc w:val="right"/>
              <w:rPr>
                <w:color w:val="000000"/>
              </w:rPr>
            </w:pPr>
            <w:r w:rsidRPr="00A42CCE">
              <w:rPr>
                <w:color w:val="000000"/>
                <w:sz w:val="22"/>
                <w:szCs w:val="22"/>
              </w:rPr>
              <w:t>-74,30%</w:t>
            </w:r>
          </w:p>
        </w:tc>
        <w:tc>
          <w:tcPr>
            <w:tcW w:w="320" w:type="dxa"/>
            <w:tcBorders>
              <w:top w:val="nil"/>
              <w:left w:val="nil"/>
              <w:right w:val="nil"/>
            </w:tcBorders>
            <w:shd w:val="clear" w:color="auto" w:fill="auto"/>
            <w:noWrap/>
            <w:vAlign w:val="bottom"/>
            <w:hideMark/>
          </w:tcPr>
          <w:p w14:paraId="29554F16" w14:textId="77777777" w:rsidR="00732571" w:rsidRPr="00A42CCE" w:rsidRDefault="00732571" w:rsidP="00D36A4F">
            <w:pPr>
              <w:jc w:val="right"/>
              <w:rPr>
                <w:color w:val="000000"/>
              </w:rPr>
            </w:pPr>
          </w:p>
        </w:tc>
        <w:tc>
          <w:tcPr>
            <w:tcW w:w="1217" w:type="dxa"/>
            <w:tcBorders>
              <w:top w:val="nil"/>
              <w:left w:val="nil"/>
              <w:right w:val="nil"/>
            </w:tcBorders>
            <w:shd w:val="clear" w:color="auto" w:fill="auto"/>
            <w:noWrap/>
            <w:vAlign w:val="bottom"/>
            <w:hideMark/>
          </w:tcPr>
          <w:p w14:paraId="48C7D0E3" w14:textId="77777777" w:rsidR="00732571" w:rsidRPr="00A42CCE" w:rsidRDefault="00732571" w:rsidP="00D36A4F">
            <w:pPr>
              <w:jc w:val="right"/>
              <w:rPr>
                <w:color w:val="000000"/>
              </w:rPr>
            </w:pPr>
            <w:r w:rsidRPr="00A42CCE">
              <w:rPr>
                <w:color w:val="000000"/>
                <w:sz w:val="22"/>
                <w:szCs w:val="22"/>
              </w:rPr>
              <w:t>68,68%</w:t>
            </w:r>
          </w:p>
        </w:tc>
        <w:tc>
          <w:tcPr>
            <w:tcW w:w="895" w:type="dxa"/>
            <w:gridSpan w:val="2"/>
            <w:tcBorders>
              <w:top w:val="nil"/>
              <w:left w:val="nil"/>
              <w:right w:val="nil"/>
            </w:tcBorders>
            <w:shd w:val="clear" w:color="auto" w:fill="auto"/>
            <w:noWrap/>
            <w:vAlign w:val="bottom"/>
            <w:hideMark/>
          </w:tcPr>
          <w:p w14:paraId="34A582C3" w14:textId="77777777" w:rsidR="00732571" w:rsidRPr="00A42CCE" w:rsidRDefault="00732571" w:rsidP="00D36A4F">
            <w:pPr>
              <w:jc w:val="right"/>
              <w:rPr>
                <w:color w:val="000000"/>
              </w:rPr>
            </w:pPr>
            <w:r w:rsidRPr="00A42CCE">
              <w:rPr>
                <w:color w:val="000000"/>
                <w:sz w:val="22"/>
                <w:szCs w:val="22"/>
              </w:rPr>
              <w:t>62,18%</w:t>
            </w:r>
          </w:p>
        </w:tc>
      </w:tr>
      <w:tr w:rsidR="00732571" w:rsidRPr="00A42CCE" w14:paraId="2931898D" w14:textId="77777777" w:rsidTr="00D36A4F">
        <w:trPr>
          <w:trHeight w:val="288"/>
        </w:trPr>
        <w:tc>
          <w:tcPr>
            <w:tcW w:w="1158" w:type="dxa"/>
            <w:tcBorders>
              <w:top w:val="nil"/>
              <w:left w:val="nil"/>
              <w:bottom w:val="single" w:sz="4" w:space="0" w:color="auto"/>
              <w:right w:val="nil"/>
            </w:tcBorders>
            <w:shd w:val="clear" w:color="auto" w:fill="auto"/>
            <w:noWrap/>
            <w:vAlign w:val="bottom"/>
            <w:hideMark/>
          </w:tcPr>
          <w:p w14:paraId="3970AA45" w14:textId="77777777" w:rsidR="00732571" w:rsidRPr="00A42CCE" w:rsidRDefault="00732571" w:rsidP="00D36A4F">
            <w:pPr>
              <w:rPr>
                <w:color w:val="000000"/>
              </w:rPr>
            </w:pPr>
            <w:r w:rsidRPr="00A42CCE">
              <w:rPr>
                <w:color w:val="000000"/>
                <w:sz w:val="22"/>
                <w:szCs w:val="22"/>
              </w:rPr>
              <w:t>Other</w:t>
            </w:r>
          </w:p>
        </w:tc>
        <w:tc>
          <w:tcPr>
            <w:tcW w:w="960" w:type="dxa"/>
            <w:tcBorders>
              <w:top w:val="nil"/>
              <w:left w:val="nil"/>
              <w:bottom w:val="single" w:sz="4" w:space="0" w:color="auto"/>
              <w:right w:val="nil"/>
            </w:tcBorders>
            <w:shd w:val="clear" w:color="auto" w:fill="auto"/>
            <w:noWrap/>
            <w:vAlign w:val="bottom"/>
            <w:hideMark/>
          </w:tcPr>
          <w:p w14:paraId="3240DA7B" w14:textId="77777777" w:rsidR="00732571" w:rsidRPr="00A42CCE" w:rsidRDefault="00732571" w:rsidP="00D36A4F">
            <w:pPr>
              <w:rPr>
                <w:color w:val="000000"/>
              </w:rPr>
            </w:pPr>
          </w:p>
        </w:tc>
        <w:tc>
          <w:tcPr>
            <w:tcW w:w="1135" w:type="dxa"/>
            <w:tcBorders>
              <w:top w:val="nil"/>
              <w:left w:val="nil"/>
              <w:bottom w:val="single" w:sz="4" w:space="0" w:color="auto"/>
              <w:right w:val="nil"/>
            </w:tcBorders>
            <w:shd w:val="clear" w:color="auto" w:fill="auto"/>
            <w:noWrap/>
            <w:vAlign w:val="center"/>
            <w:hideMark/>
          </w:tcPr>
          <w:p w14:paraId="7D0A6A1C" w14:textId="77777777" w:rsidR="00732571" w:rsidRPr="00A42CCE" w:rsidRDefault="00732571" w:rsidP="00D36A4F">
            <w:pPr>
              <w:jc w:val="center"/>
              <w:rPr>
                <w:color w:val="000000"/>
              </w:rPr>
            </w:pPr>
            <w:r w:rsidRPr="00A42CCE">
              <w:rPr>
                <w:color w:val="000000"/>
                <w:sz w:val="22"/>
                <w:szCs w:val="22"/>
              </w:rPr>
              <w:t>3.302</w:t>
            </w:r>
          </w:p>
        </w:tc>
        <w:tc>
          <w:tcPr>
            <w:tcW w:w="821" w:type="dxa"/>
            <w:tcBorders>
              <w:top w:val="nil"/>
              <w:left w:val="nil"/>
              <w:bottom w:val="single" w:sz="4" w:space="0" w:color="auto"/>
              <w:right w:val="nil"/>
            </w:tcBorders>
            <w:shd w:val="clear" w:color="auto" w:fill="auto"/>
            <w:noWrap/>
            <w:vAlign w:val="center"/>
            <w:hideMark/>
          </w:tcPr>
          <w:p w14:paraId="1395B4AD" w14:textId="77777777" w:rsidR="00732571" w:rsidRPr="00A42CCE" w:rsidRDefault="00732571" w:rsidP="00D36A4F">
            <w:pPr>
              <w:jc w:val="center"/>
              <w:rPr>
                <w:color w:val="000000"/>
              </w:rPr>
            </w:pPr>
            <w:r w:rsidRPr="00A42CCE">
              <w:rPr>
                <w:color w:val="000000"/>
                <w:sz w:val="22"/>
                <w:szCs w:val="22"/>
              </w:rPr>
              <w:t>3.013</w:t>
            </w:r>
          </w:p>
        </w:tc>
        <w:tc>
          <w:tcPr>
            <w:tcW w:w="271" w:type="dxa"/>
            <w:tcBorders>
              <w:top w:val="nil"/>
              <w:left w:val="nil"/>
              <w:bottom w:val="single" w:sz="4" w:space="0" w:color="auto"/>
              <w:right w:val="nil"/>
            </w:tcBorders>
            <w:shd w:val="clear" w:color="auto" w:fill="auto"/>
            <w:noWrap/>
            <w:vAlign w:val="bottom"/>
            <w:hideMark/>
          </w:tcPr>
          <w:p w14:paraId="7141181A" w14:textId="77777777" w:rsidR="00732571" w:rsidRPr="00A42CCE" w:rsidRDefault="00732571" w:rsidP="00D36A4F">
            <w:pPr>
              <w:jc w:val="center"/>
              <w:rPr>
                <w:color w:val="000000"/>
              </w:rPr>
            </w:pPr>
          </w:p>
        </w:tc>
        <w:tc>
          <w:tcPr>
            <w:tcW w:w="1408" w:type="dxa"/>
            <w:tcBorders>
              <w:top w:val="nil"/>
              <w:left w:val="nil"/>
              <w:bottom w:val="single" w:sz="4" w:space="0" w:color="auto"/>
              <w:right w:val="nil"/>
            </w:tcBorders>
            <w:shd w:val="clear" w:color="auto" w:fill="auto"/>
            <w:noWrap/>
            <w:vAlign w:val="bottom"/>
            <w:hideMark/>
          </w:tcPr>
          <w:p w14:paraId="694693AE" w14:textId="77777777" w:rsidR="00732571" w:rsidRPr="00A42CCE" w:rsidRDefault="00732571" w:rsidP="00D36A4F">
            <w:pPr>
              <w:jc w:val="right"/>
              <w:rPr>
                <w:color w:val="000000"/>
              </w:rPr>
            </w:pPr>
            <w:r w:rsidRPr="00A42CCE">
              <w:rPr>
                <w:color w:val="000000"/>
                <w:sz w:val="22"/>
                <w:szCs w:val="22"/>
              </w:rPr>
              <w:t>-8,75%</w:t>
            </w:r>
          </w:p>
        </w:tc>
        <w:tc>
          <w:tcPr>
            <w:tcW w:w="320" w:type="dxa"/>
            <w:tcBorders>
              <w:top w:val="nil"/>
              <w:left w:val="nil"/>
              <w:bottom w:val="single" w:sz="4" w:space="0" w:color="auto"/>
              <w:right w:val="nil"/>
            </w:tcBorders>
            <w:shd w:val="clear" w:color="auto" w:fill="auto"/>
            <w:noWrap/>
            <w:vAlign w:val="bottom"/>
            <w:hideMark/>
          </w:tcPr>
          <w:p w14:paraId="539C6C53" w14:textId="77777777" w:rsidR="00732571" w:rsidRPr="00A42CCE" w:rsidRDefault="00732571" w:rsidP="00D36A4F">
            <w:pPr>
              <w:jc w:val="right"/>
              <w:rPr>
                <w:color w:val="000000"/>
              </w:rPr>
            </w:pPr>
          </w:p>
        </w:tc>
        <w:tc>
          <w:tcPr>
            <w:tcW w:w="1217" w:type="dxa"/>
            <w:tcBorders>
              <w:top w:val="nil"/>
              <w:left w:val="nil"/>
              <w:bottom w:val="single" w:sz="4" w:space="0" w:color="auto"/>
              <w:right w:val="nil"/>
            </w:tcBorders>
            <w:shd w:val="clear" w:color="auto" w:fill="auto"/>
            <w:noWrap/>
            <w:vAlign w:val="bottom"/>
            <w:hideMark/>
          </w:tcPr>
          <w:p w14:paraId="32F49E7E" w14:textId="77777777" w:rsidR="00732571" w:rsidRPr="00A42CCE" w:rsidRDefault="00732571" w:rsidP="00D36A4F">
            <w:pPr>
              <w:jc w:val="right"/>
              <w:rPr>
                <w:color w:val="000000"/>
              </w:rPr>
            </w:pPr>
            <w:r w:rsidRPr="00A42CCE">
              <w:rPr>
                <w:color w:val="000000"/>
                <w:sz w:val="22"/>
                <w:szCs w:val="22"/>
              </w:rPr>
              <w:t>98,82%</w:t>
            </w:r>
          </w:p>
        </w:tc>
        <w:tc>
          <w:tcPr>
            <w:tcW w:w="895" w:type="dxa"/>
            <w:gridSpan w:val="2"/>
            <w:tcBorders>
              <w:top w:val="nil"/>
              <w:left w:val="nil"/>
              <w:bottom w:val="single" w:sz="4" w:space="0" w:color="auto"/>
              <w:right w:val="nil"/>
            </w:tcBorders>
            <w:shd w:val="clear" w:color="auto" w:fill="auto"/>
            <w:noWrap/>
            <w:vAlign w:val="bottom"/>
            <w:hideMark/>
          </w:tcPr>
          <w:p w14:paraId="6D7128A7" w14:textId="77777777" w:rsidR="00732571" w:rsidRPr="00A42CCE" w:rsidRDefault="00732571" w:rsidP="00D36A4F">
            <w:pPr>
              <w:jc w:val="right"/>
              <w:rPr>
                <w:color w:val="000000"/>
              </w:rPr>
            </w:pPr>
            <w:r w:rsidRPr="00A42CCE">
              <w:rPr>
                <w:color w:val="000000"/>
                <w:sz w:val="22"/>
                <w:szCs w:val="22"/>
              </w:rPr>
              <w:t>99,00%</w:t>
            </w:r>
          </w:p>
        </w:tc>
      </w:tr>
      <w:tr w:rsidR="00732571" w:rsidRPr="00A42CCE" w14:paraId="40DE3BB6" w14:textId="77777777" w:rsidTr="00D36A4F">
        <w:trPr>
          <w:trHeight w:val="300"/>
        </w:trPr>
        <w:tc>
          <w:tcPr>
            <w:tcW w:w="1158" w:type="dxa"/>
            <w:tcBorders>
              <w:top w:val="single" w:sz="4" w:space="0" w:color="auto"/>
              <w:left w:val="nil"/>
              <w:bottom w:val="double" w:sz="6" w:space="0" w:color="auto"/>
              <w:right w:val="nil"/>
            </w:tcBorders>
            <w:shd w:val="clear" w:color="auto" w:fill="auto"/>
            <w:noWrap/>
            <w:vAlign w:val="center"/>
            <w:hideMark/>
          </w:tcPr>
          <w:p w14:paraId="6C76BBDD" w14:textId="77777777" w:rsidR="00732571" w:rsidRPr="00A42CCE" w:rsidRDefault="00732571" w:rsidP="00D36A4F">
            <w:pPr>
              <w:rPr>
                <w:color w:val="000000"/>
              </w:rPr>
            </w:pPr>
            <w:r w:rsidRPr="00A42CCE">
              <w:rPr>
                <w:color w:val="000000"/>
                <w:sz w:val="22"/>
                <w:szCs w:val="22"/>
              </w:rPr>
              <w:t>Total</w:t>
            </w:r>
          </w:p>
        </w:tc>
        <w:tc>
          <w:tcPr>
            <w:tcW w:w="960" w:type="dxa"/>
            <w:tcBorders>
              <w:top w:val="single" w:sz="4" w:space="0" w:color="auto"/>
              <w:left w:val="nil"/>
              <w:bottom w:val="double" w:sz="6" w:space="0" w:color="auto"/>
              <w:right w:val="nil"/>
            </w:tcBorders>
            <w:shd w:val="clear" w:color="auto" w:fill="auto"/>
            <w:noWrap/>
            <w:vAlign w:val="center"/>
            <w:hideMark/>
          </w:tcPr>
          <w:p w14:paraId="2211FEBB" w14:textId="77777777" w:rsidR="00732571" w:rsidRPr="00A42CCE" w:rsidRDefault="00732571" w:rsidP="00D36A4F">
            <w:pPr>
              <w:rPr>
                <w:color w:val="000000"/>
              </w:rPr>
            </w:pPr>
            <w:r w:rsidRPr="00A42CCE">
              <w:rPr>
                <w:color w:val="000000"/>
                <w:sz w:val="22"/>
                <w:szCs w:val="22"/>
              </w:rPr>
              <w:t> </w:t>
            </w:r>
          </w:p>
        </w:tc>
        <w:tc>
          <w:tcPr>
            <w:tcW w:w="1135" w:type="dxa"/>
            <w:tcBorders>
              <w:top w:val="single" w:sz="4" w:space="0" w:color="auto"/>
              <w:left w:val="nil"/>
              <w:bottom w:val="double" w:sz="6" w:space="0" w:color="auto"/>
              <w:right w:val="nil"/>
            </w:tcBorders>
            <w:shd w:val="clear" w:color="auto" w:fill="auto"/>
            <w:noWrap/>
            <w:vAlign w:val="center"/>
            <w:hideMark/>
          </w:tcPr>
          <w:p w14:paraId="2765FFB6" w14:textId="77777777" w:rsidR="00732571" w:rsidRPr="00A42CCE" w:rsidRDefault="00732571" w:rsidP="00D36A4F">
            <w:pPr>
              <w:jc w:val="center"/>
              <w:rPr>
                <w:color w:val="000000"/>
              </w:rPr>
            </w:pPr>
            <w:r w:rsidRPr="00A42CCE">
              <w:rPr>
                <w:color w:val="000000"/>
                <w:sz w:val="22"/>
                <w:szCs w:val="22"/>
              </w:rPr>
              <w:t>28.308</w:t>
            </w:r>
          </w:p>
        </w:tc>
        <w:tc>
          <w:tcPr>
            <w:tcW w:w="821" w:type="dxa"/>
            <w:tcBorders>
              <w:top w:val="single" w:sz="4" w:space="0" w:color="auto"/>
              <w:left w:val="nil"/>
              <w:bottom w:val="double" w:sz="6" w:space="0" w:color="auto"/>
              <w:right w:val="nil"/>
            </w:tcBorders>
            <w:shd w:val="clear" w:color="auto" w:fill="auto"/>
            <w:noWrap/>
            <w:vAlign w:val="center"/>
            <w:hideMark/>
          </w:tcPr>
          <w:p w14:paraId="0F0FB04D" w14:textId="77777777" w:rsidR="00732571" w:rsidRPr="00A42CCE" w:rsidRDefault="00732571" w:rsidP="00D36A4F">
            <w:pPr>
              <w:jc w:val="center"/>
              <w:rPr>
                <w:color w:val="000000"/>
              </w:rPr>
            </w:pPr>
            <w:r w:rsidRPr="00A42CCE">
              <w:rPr>
                <w:color w:val="000000"/>
                <w:sz w:val="22"/>
                <w:szCs w:val="22"/>
              </w:rPr>
              <w:t>25.220</w:t>
            </w:r>
          </w:p>
        </w:tc>
        <w:tc>
          <w:tcPr>
            <w:tcW w:w="271" w:type="dxa"/>
            <w:tcBorders>
              <w:top w:val="single" w:sz="4" w:space="0" w:color="auto"/>
              <w:left w:val="nil"/>
              <w:bottom w:val="double" w:sz="6" w:space="0" w:color="auto"/>
              <w:right w:val="nil"/>
            </w:tcBorders>
            <w:shd w:val="clear" w:color="auto" w:fill="auto"/>
            <w:noWrap/>
            <w:vAlign w:val="bottom"/>
            <w:hideMark/>
          </w:tcPr>
          <w:p w14:paraId="67EB42E0" w14:textId="77777777" w:rsidR="00732571" w:rsidRPr="00A42CCE" w:rsidRDefault="00732571" w:rsidP="00D36A4F">
            <w:pPr>
              <w:rPr>
                <w:color w:val="000000"/>
              </w:rPr>
            </w:pPr>
            <w:r w:rsidRPr="00A42CCE">
              <w:rPr>
                <w:color w:val="000000"/>
                <w:sz w:val="22"/>
                <w:szCs w:val="22"/>
              </w:rPr>
              <w:t> </w:t>
            </w:r>
          </w:p>
        </w:tc>
        <w:tc>
          <w:tcPr>
            <w:tcW w:w="1408" w:type="dxa"/>
            <w:tcBorders>
              <w:top w:val="single" w:sz="4" w:space="0" w:color="auto"/>
              <w:left w:val="nil"/>
              <w:bottom w:val="double" w:sz="6" w:space="0" w:color="auto"/>
              <w:right w:val="nil"/>
            </w:tcBorders>
            <w:shd w:val="clear" w:color="auto" w:fill="auto"/>
            <w:noWrap/>
            <w:vAlign w:val="bottom"/>
            <w:hideMark/>
          </w:tcPr>
          <w:p w14:paraId="47718176" w14:textId="77777777" w:rsidR="00732571" w:rsidRPr="00A42CCE" w:rsidRDefault="00732571" w:rsidP="00D36A4F">
            <w:pPr>
              <w:jc w:val="right"/>
              <w:rPr>
                <w:color w:val="000000"/>
              </w:rPr>
            </w:pPr>
            <w:r w:rsidRPr="00A42CCE">
              <w:rPr>
                <w:color w:val="000000"/>
                <w:sz w:val="22"/>
                <w:szCs w:val="22"/>
              </w:rPr>
              <w:t>-10,91%</w:t>
            </w:r>
          </w:p>
        </w:tc>
        <w:tc>
          <w:tcPr>
            <w:tcW w:w="320" w:type="dxa"/>
            <w:tcBorders>
              <w:top w:val="single" w:sz="4" w:space="0" w:color="auto"/>
              <w:left w:val="nil"/>
              <w:bottom w:val="double" w:sz="6" w:space="0" w:color="auto"/>
              <w:right w:val="nil"/>
            </w:tcBorders>
            <w:shd w:val="clear" w:color="auto" w:fill="auto"/>
            <w:noWrap/>
            <w:vAlign w:val="bottom"/>
            <w:hideMark/>
          </w:tcPr>
          <w:p w14:paraId="68806FE5" w14:textId="77777777" w:rsidR="00732571" w:rsidRPr="00A42CCE" w:rsidRDefault="00732571" w:rsidP="00D36A4F">
            <w:pPr>
              <w:rPr>
                <w:color w:val="000000"/>
              </w:rPr>
            </w:pPr>
            <w:r w:rsidRPr="00A42CCE">
              <w:rPr>
                <w:color w:val="000000"/>
                <w:sz w:val="22"/>
                <w:szCs w:val="22"/>
              </w:rPr>
              <w:t> </w:t>
            </w:r>
          </w:p>
        </w:tc>
        <w:tc>
          <w:tcPr>
            <w:tcW w:w="1217" w:type="dxa"/>
            <w:tcBorders>
              <w:top w:val="single" w:sz="4" w:space="0" w:color="auto"/>
              <w:left w:val="nil"/>
              <w:bottom w:val="double" w:sz="6" w:space="0" w:color="auto"/>
              <w:right w:val="nil"/>
            </w:tcBorders>
            <w:shd w:val="clear" w:color="auto" w:fill="auto"/>
            <w:noWrap/>
            <w:vAlign w:val="bottom"/>
            <w:hideMark/>
          </w:tcPr>
          <w:p w14:paraId="225190D7" w14:textId="77777777" w:rsidR="00732571" w:rsidRPr="00A42CCE" w:rsidRDefault="00732571" w:rsidP="00D36A4F">
            <w:pPr>
              <w:jc w:val="right"/>
              <w:rPr>
                <w:color w:val="000000"/>
              </w:rPr>
            </w:pPr>
            <w:r w:rsidRPr="00A42CCE">
              <w:rPr>
                <w:color w:val="000000"/>
                <w:sz w:val="22"/>
                <w:szCs w:val="22"/>
              </w:rPr>
              <w:t>68,69%</w:t>
            </w:r>
          </w:p>
        </w:tc>
        <w:tc>
          <w:tcPr>
            <w:tcW w:w="895" w:type="dxa"/>
            <w:gridSpan w:val="2"/>
            <w:tcBorders>
              <w:top w:val="single" w:sz="4" w:space="0" w:color="auto"/>
              <w:left w:val="nil"/>
              <w:bottom w:val="double" w:sz="6" w:space="0" w:color="auto"/>
              <w:right w:val="nil"/>
            </w:tcBorders>
            <w:shd w:val="clear" w:color="auto" w:fill="auto"/>
            <w:noWrap/>
            <w:vAlign w:val="bottom"/>
            <w:hideMark/>
          </w:tcPr>
          <w:p w14:paraId="2E2E4A1E" w14:textId="77777777" w:rsidR="00732571" w:rsidRPr="00A42CCE" w:rsidRDefault="00732571" w:rsidP="00D36A4F">
            <w:pPr>
              <w:jc w:val="right"/>
              <w:rPr>
                <w:color w:val="000000"/>
              </w:rPr>
            </w:pPr>
            <w:r w:rsidRPr="00A42CCE">
              <w:rPr>
                <w:color w:val="000000"/>
                <w:sz w:val="22"/>
                <w:szCs w:val="22"/>
              </w:rPr>
              <w:t>74,47%</w:t>
            </w:r>
          </w:p>
        </w:tc>
      </w:tr>
      <w:bookmarkEnd w:id="6"/>
    </w:tbl>
    <w:p w14:paraId="28A594A7" w14:textId="77777777" w:rsidR="00732571" w:rsidRPr="00365AC0" w:rsidRDefault="00732571" w:rsidP="00732571">
      <w:pPr>
        <w:spacing w:line="360" w:lineRule="auto"/>
        <w:jc w:val="both"/>
        <w:rPr>
          <w:sz w:val="22"/>
          <w:szCs w:val="22"/>
          <w:vertAlign w:val="superscript"/>
        </w:rPr>
      </w:pPr>
    </w:p>
    <w:p w14:paraId="0CF46F42" w14:textId="77777777" w:rsidR="00F13114" w:rsidRDefault="00F13114" w:rsidP="00F13114">
      <w:pPr>
        <w:autoSpaceDE w:val="0"/>
        <w:autoSpaceDN w:val="0"/>
        <w:adjustRightInd w:val="0"/>
        <w:spacing w:line="360" w:lineRule="auto"/>
        <w:ind w:firstLine="720"/>
        <w:jc w:val="both"/>
      </w:pPr>
      <w:r>
        <w:t>For example, 2,359 art campaigns were uploaded to Kickstarter in the 14-month period before Covid, while the number of the art campaigns uploaded to Kickstarter in the 14-month period during Covid dropped to 2,048, or by 13.18%. Also, 66.55% of the overall 2,359 art projects uploaded in the Kickstarter platform before the 31</w:t>
      </w:r>
      <w:r w:rsidRPr="00746DDB">
        <w:rPr>
          <w:vertAlign w:val="superscript"/>
        </w:rPr>
        <w:t>st</w:t>
      </w:r>
      <w:r>
        <w:t xml:space="preserve"> of January 2020 (pre-Covid period) were successful, while the respective success rate during Covid was 75.93%. Several interesting results can be derived when looking at Table 2. First, there were fewer campaigns overall during the 14-months Covid period of the study (25,220) when compared with the 14-months </w:t>
      </w:r>
      <w:r>
        <w:lastRenderedPageBreak/>
        <w:t>pre-covid period (28,308), showing a drop rate of 10.91% respectively, which can be considered a significant drop. However, if we look at the individual numbers of the categories, we observe that there were two specific sectors, those of Comics and Games, where the number of campaigns increased, by 5.05% and 33.75% respectively. This implies that Covid brought an overall drop in the number of campaigns, but favoured specific sectors that are mainly linked with staying home, which is an expected outcome.</w:t>
      </w:r>
    </w:p>
    <w:p w14:paraId="43AF3DDF" w14:textId="22AF57A8" w:rsidR="00732571" w:rsidRPr="00B1125A" w:rsidRDefault="00732571" w:rsidP="00732571">
      <w:pPr>
        <w:autoSpaceDE w:val="0"/>
        <w:autoSpaceDN w:val="0"/>
        <w:adjustRightInd w:val="0"/>
        <w:spacing w:line="360" w:lineRule="auto"/>
        <w:ind w:firstLine="720"/>
        <w:jc w:val="both"/>
      </w:pPr>
      <w:r>
        <w:t xml:space="preserve">Turning to the success rates, an interesting finding is that there are significant differences across categories for both periods. The highest rates are observed for Design, Comics, Games and Other, while the lowest rates are shown in Technology, Crafts and Journalism. This implies that there are inherent characteristics across sectors/categories that determine success. Focusing on the comparison between pre- and during-covid, a striking result is that the success rate for all projects is higher in the during-covid period when compared to the pre-covid period (74.47% vs 68.69% respectively). Looking at the individual categories, there are only four categories that success rates are lower during the covid period (Dance, Design, Film &amp; Video and Theater).  Last, I run a mean differences test to explore whether the success rates between pre- and during-Covid differ significantly across (at 95% level) for each category (Table 5). </w:t>
      </w:r>
    </w:p>
    <w:p w14:paraId="34E567A2" w14:textId="03672B75" w:rsidR="00732571" w:rsidRPr="00B1125A" w:rsidRDefault="00732571" w:rsidP="00732571">
      <w:pPr>
        <w:autoSpaceDE w:val="0"/>
        <w:autoSpaceDN w:val="0"/>
        <w:adjustRightInd w:val="0"/>
        <w:spacing w:line="360" w:lineRule="auto"/>
        <w:ind w:firstLine="720"/>
        <w:jc w:val="center"/>
      </w:pPr>
      <w:r w:rsidRPr="00365AC0">
        <w:rPr>
          <w:color w:val="00000A"/>
        </w:rPr>
        <w:t xml:space="preserve">Table </w:t>
      </w:r>
      <w:r>
        <w:t>5</w:t>
      </w:r>
      <w:r w:rsidRPr="00365AC0">
        <w:rPr>
          <w:color w:val="00000A"/>
        </w:rPr>
        <w:t>: Mean Differences</w:t>
      </w:r>
    </w:p>
    <w:tbl>
      <w:tblPr>
        <w:tblW w:w="6791" w:type="dxa"/>
        <w:jc w:val="center"/>
        <w:tblLook w:val="04A0" w:firstRow="1" w:lastRow="0" w:firstColumn="1" w:lastColumn="0" w:noHBand="0" w:noVBand="1"/>
      </w:tblPr>
      <w:tblGrid>
        <w:gridCol w:w="1991"/>
        <w:gridCol w:w="1215"/>
        <w:gridCol w:w="852"/>
        <w:gridCol w:w="813"/>
        <w:gridCol w:w="960"/>
        <w:gridCol w:w="960"/>
      </w:tblGrid>
      <w:tr w:rsidR="00732571" w:rsidRPr="00365AC0" w14:paraId="5D730E97" w14:textId="77777777" w:rsidTr="00D36A4F">
        <w:trPr>
          <w:trHeight w:val="288"/>
          <w:jc w:val="center"/>
        </w:trPr>
        <w:tc>
          <w:tcPr>
            <w:tcW w:w="1991" w:type="dxa"/>
            <w:vMerge w:val="restart"/>
            <w:tcBorders>
              <w:top w:val="nil"/>
              <w:left w:val="nil"/>
              <w:bottom w:val="nil"/>
              <w:right w:val="nil"/>
            </w:tcBorders>
            <w:shd w:val="clear" w:color="auto" w:fill="auto"/>
            <w:noWrap/>
            <w:vAlign w:val="center"/>
            <w:hideMark/>
          </w:tcPr>
          <w:p w14:paraId="5FC58099" w14:textId="77777777" w:rsidR="00732571" w:rsidRPr="00365AC0" w:rsidRDefault="00732571" w:rsidP="00D36A4F">
            <w:pPr>
              <w:jc w:val="center"/>
              <w:rPr>
                <w:color w:val="000000"/>
              </w:rPr>
            </w:pPr>
            <w:r>
              <w:rPr>
                <w:color w:val="000000"/>
                <w:sz w:val="22"/>
                <w:szCs w:val="22"/>
              </w:rPr>
              <w:t>Category</w:t>
            </w:r>
          </w:p>
        </w:tc>
        <w:tc>
          <w:tcPr>
            <w:tcW w:w="2880" w:type="dxa"/>
            <w:gridSpan w:val="3"/>
            <w:tcBorders>
              <w:top w:val="nil"/>
              <w:left w:val="nil"/>
              <w:bottom w:val="nil"/>
              <w:right w:val="nil"/>
            </w:tcBorders>
            <w:shd w:val="clear" w:color="auto" w:fill="auto"/>
            <w:noWrap/>
            <w:vAlign w:val="center"/>
            <w:hideMark/>
          </w:tcPr>
          <w:p w14:paraId="36E36A1D" w14:textId="77777777" w:rsidR="00732571" w:rsidRPr="00365AC0" w:rsidRDefault="00732571" w:rsidP="00D36A4F">
            <w:pPr>
              <w:jc w:val="center"/>
              <w:rPr>
                <w:color w:val="000000"/>
              </w:rPr>
            </w:pPr>
            <w:r w:rsidRPr="00365AC0">
              <w:rPr>
                <w:color w:val="000000"/>
                <w:sz w:val="22"/>
                <w:szCs w:val="22"/>
              </w:rPr>
              <w:t>Mean</w:t>
            </w:r>
          </w:p>
        </w:tc>
        <w:tc>
          <w:tcPr>
            <w:tcW w:w="960" w:type="dxa"/>
            <w:vMerge w:val="restart"/>
            <w:tcBorders>
              <w:top w:val="nil"/>
              <w:left w:val="nil"/>
              <w:bottom w:val="nil"/>
              <w:right w:val="nil"/>
            </w:tcBorders>
            <w:shd w:val="clear" w:color="auto" w:fill="auto"/>
            <w:noWrap/>
            <w:vAlign w:val="center"/>
            <w:hideMark/>
          </w:tcPr>
          <w:p w14:paraId="4D6AB007" w14:textId="77777777" w:rsidR="00732571" w:rsidRPr="00365AC0" w:rsidRDefault="00732571" w:rsidP="00D36A4F">
            <w:pPr>
              <w:jc w:val="center"/>
              <w:rPr>
                <w:color w:val="000000"/>
              </w:rPr>
            </w:pPr>
            <w:r w:rsidRPr="00365AC0">
              <w:rPr>
                <w:color w:val="000000"/>
                <w:sz w:val="22"/>
                <w:szCs w:val="22"/>
              </w:rPr>
              <w:t>t-value</w:t>
            </w:r>
          </w:p>
        </w:tc>
        <w:tc>
          <w:tcPr>
            <w:tcW w:w="960" w:type="dxa"/>
            <w:vMerge w:val="restart"/>
            <w:tcBorders>
              <w:top w:val="nil"/>
              <w:left w:val="nil"/>
              <w:bottom w:val="nil"/>
              <w:right w:val="nil"/>
            </w:tcBorders>
            <w:shd w:val="clear" w:color="auto" w:fill="auto"/>
            <w:noWrap/>
            <w:vAlign w:val="center"/>
            <w:hideMark/>
          </w:tcPr>
          <w:p w14:paraId="10EFE00D" w14:textId="77777777" w:rsidR="00732571" w:rsidRPr="00365AC0" w:rsidRDefault="00732571" w:rsidP="00D36A4F">
            <w:pPr>
              <w:jc w:val="center"/>
              <w:rPr>
                <w:color w:val="000000"/>
              </w:rPr>
            </w:pPr>
            <w:r w:rsidRPr="00365AC0">
              <w:rPr>
                <w:color w:val="000000"/>
                <w:sz w:val="22"/>
                <w:szCs w:val="22"/>
              </w:rPr>
              <w:t>p-value</w:t>
            </w:r>
          </w:p>
        </w:tc>
      </w:tr>
      <w:tr w:rsidR="00732571" w:rsidRPr="00365AC0" w14:paraId="0CEB7DDF" w14:textId="77777777" w:rsidTr="00D36A4F">
        <w:trPr>
          <w:trHeight w:val="288"/>
          <w:jc w:val="center"/>
        </w:trPr>
        <w:tc>
          <w:tcPr>
            <w:tcW w:w="1991" w:type="dxa"/>
            <w:vMerge/>
            <w:tcBorders>
              <w:top w:val="nil"/>
              <w:left w:val="nil"/>
              <w:bottom w:val="nil"/>
              <w:right w:val="nil"/>
            </w:tcBorders>
            <w:vAlign w:val="center"/>
            <w:hideMark/>
          </w:tcPr>
          <w:p w14:paraId="220395B8" w14:textId="77777777" w:rsidR="00732571" w:rsidRPr="00365AC0" w:rsidRDefault="00732571" w:rsidP="00D36A4F">
            <w:pPr>
              <w:rPr>
                <w:color w:val="000000"/>
              </w:rPr>
            </w:pPr>
          </w:p>
        </w:tc>
        <w:tc>
          <w:tcPr>
            <w:tcW w:w="1215" w:type="dxa"/>
            <w:tcBorders>
              <w:top w:val="nil"/>
              <w:left w:val="nil"/>
              <w:bottom w:val="nil"/>
              <w:right w:val="nil"/>
            </w:tcBorders>
            <w:shd w:val="clear" w:color="auto" w:fill="auto"/>
            <w:noWrap/>
            <w:vAlign w:val="center"/>
            <w:hideMark/>
          </w:tcPr>
          <w:p w14:paraId="7E9365AB" w14:textId="77777777" w:rsidR="00732571" w:rsidRPr="00365AC0" w:rsidRDefault="00732571" w:rsidP="00D36A4F">
            <w:pPr>
              <w:jc w:val="center"/>
              <w:rPr>
                <w:color w:val="000000"/>
              </w:rPr>
            </w:pPr>
            <w:r w:rsidRPr="00365AC0">
              <w:rPr>
                <w:color w:val="000000"/>
                <w:sz w:val="22"/>
                <w:szCs w:val="22"/>
              </w:rPr>
              <w:t>Pre-Covid</w:t>
            </w:r>
          </w:p>
        </w:tc>
        <w:tc>
          <w:tcPr>
            <w:tcW w:w="852" w:type="dxa"/>
            <w:tcBorders>
              <w:top w:val="nil"/>
              <w:left w:val="nil"/>
              <w:bottom w:val="nil"/>
              <w:right w:val="nil"/>
            </w:tcBorders>
            <w:shd w:val="clear" w:color="auto" w:fill="auto"/>
            <w:noWrap/>
            <w:vAlign w:val="center"/>
            <w:hideMark/>
          </w:tcPr>
          <w:p w14:paraId="77B0494E" w14:textId="77777777" w:rsidR="00732571" w:rsidRPr="00365AC0" w:rsidRDefault="00732571" w:rsidP="00D36A4F">
            <w:pPr>
              <w:jc w:val="center"/>
              <w:rPr>
                <w:color w:val="000000"/>
              </w:rPr>
            </w:pPr>
            <w:r w:rsidRPr="00365AC0">
              <w:rPr>
                <w:color w:val="000000"/>
                <w:sz w:val="22"/>
                <w:szCs w:val="22"/>
              </w:rPr>
              <w:t>During</w:t>
            </w:r>
          </w:p>
        </w:tc>
        <w:tc>
          <w:tcPr>
            <w:tcW w:w="813" w:type="dxa"/>
            <w:tcBorders>
              <w:top w:val="nil"/>
              <w:left w:val="nil"/>
              <w:bottom w:val="nil"/>
              <w:right w:val="nil"/>
            </w:tcBorders>
            <w:shd w:val="clear" w:color="auto" w:fill="auto"/>
            <w:noWrap/>
            <w:vAlign w:val="center"/>
            <w:hideMark/>
          </w:tcPr>
          <w:p w14:paraId="40F91CAA" w14:textId="77777777" w:rsidR="00732571" w:rsidRPr="00365AC0" w:rsidRDefault="00732571" w:rsidP="00D36A4F">
            <w:pPr>
              <w:jc w:val="center"/>
              <w:rPr>
                <w:color w:val="000000"/>
              </w:rPr>
            </w:pPr>
            <w:r w:rsidRPr="00365AC0">
              <w:rPr>
                <w:color w:val="000000"/>
                <w:sz w:val="22"/>
                <w:szCs w:val="22"/>
              </w:rPr>
              <w:t>Dif</w:t>
            </w:r>
          </w:p>
        </w:tc>
        <w:tc>
          <w:tcPr>
            <w:tcW w:w="960" w:type="dxa"/>
            <w:vMerge/>
            <w:tcBorders>
              <w:top w:val="nil"/>
              <w:left w:val="nil"/>
              <w:bottom w:val="nil"/>
              <w:right w:val="nil"/>
            </w:tcBorders>
            <w:vAlign w:val="center"/>
            <w:hideMark/>
          </w:tcPr>
          <w:p w14:paraId="2FCD6BD1" w14:textId="77777777" w:rsidR="00732571" w:rsidRPr="00365AC0" w:rsidRDefault="00732571" w:rsidP="00D36A4F">
            <w:pPr>
              <w:rPr>
                <w:color w:val="000000"/>
              </w:rPr>
            </w:pPr>
          </w:p>
        </w:tc>
        <w:tc>
          <w:tcPr>
            <w:tcW w:w="960" w:type="dxa"/>
            <w:vMerge/>
            <w:tcBorders>
              <w:top w:val="nil"/>
              <w:left w:val="nil"/>
              <w:bottom w:val="nil"/>
              <w:right w:val="nil"/>
            </w:tcBorders>
            <w:vAlign w:val="center"/>
            <w:hideMark/>
          </w:tcPr>
          <w:p w14:paraId="76AE0465" w14:textId="77777777" w:rsidR="00732571" w:rsidRPr="00365AC0" w:rsidRDefault="00732571" w:rsidP="00D36A4F">
            <w:pPr>
              <w:rPr>
                <w:color w:val="000000"/>
              </w:rPr>
            </w:pPr>
          </w:p>
        </w:tc>
      </w:tr>
      <w:tr w:rsidR="00732571" w:rsidRPr="00365AC0" w14:paraId="48F55D07"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41488C22" w14:textId="77777777" w:rsidR="00732571" w:rsidRPr="00F90152" w:rsidRDefault="00732571" w:rsidP="00D36A4F">
            <w:pPr>
              <w:rPr>
                <w:b/>
                <w:bCs/>
                <w:color w:val="000000"/>
              </w:rPr>
            </w:pPr>
            <w:r w:rsidRPr="00F90152">
              <w:rPr>
                <w:b/>
                <w:bCs/>
                <w:color w:val="000000"/>
                <w:sz w:val="22"/>
                <w:szCs w:val="22"/>
              </w:rPr>
              <w:t>Full sample</w:t>
            </w:r>
          </w:p>
        </w:tc>
        <w:tc>
          <w:tcPr>
            <w:tcW w:w="1215" w:type="dxa"/>
            <w:tcBorders>
              <w:top w:val="nil"/>
              <w:left w:val="nil"/>
              <w:bottom w:val="nil"/>
              <w:right w:val="nil"/>
            </w:tcBorders>
            <w:shd w:val="clear" w:color="auto" w:fill="auto"/>
            <w:noWrap/>
            <w:vAlign w:val="center"/>
            <w:hideMark/>
          </w:tcPr>
          <w:p w14:paraId="1734D011" w14:textId="77777777" w:rsidR="00732571" w:rsidRPr="00F90152" w:rsidRDefault="00732571" w:rsidP="00D36A4F">
            <w:pPr>
              <w:jc w:val="center"/>
              <w:rPr>
                <w:b/>
                <w:bCs/>
                <w:color w:val="000000"/>
              </w:rPr>
            </w:pPr>
            <w:r w:rsidRPr="00F90152">
              <w:rPr>
                <w:b/>
                <w:bCs/>
                <w:color w:val="000000"/>
                <w:sz w:val="22"/>
                <w:szCs w:val="22"/>
              </w:rPr>
              <w:t>0,687</w:t>
            </w:r>
          </w:p>
        </w:tc>
        <w:tc>
          <w:tcPr>
            <w:tcW w:w="852" w:type="dxa"/>
            <w:tcBorders>
              <w:top w:val="nil"/>
              <w:left w:val="nil"/>
              <w:bottom w:val="nil"/>
              <w:right w:val="nil"/>
            </w:tcBorders>
            <w:shd w:val="clear" w:color="auto" w:fill="auto"/>
            <w:noWrap/>
            <w:vAlign w:val="center"/>
            <w:hideMark/>
          </w:tcPr>
          <w:p w14:paraId="601EDC3D" w14:textId="77777777" w:rsidR="00732571" w:rsidRPr="00F90152" w:rsidRDefault="00732571" w:rsidP="00D36A4F">
            <w:pPr>
              <w:jc w:val="center"/>
              <w:rPr>
                <w:b/>
                <w:bCs/>
                <w:color w:val="000000"/>
              </w:rPr>
            </w:pPr>
            <w:r w:rsidRPr="00F90152">
              <w:rPr>
                <w:b/>
                <w:bCs/>
                <w:color w:val="000000"/>
                <w:sz w:val="22"/>
                <w:szCs w:val="22"/>
              </w:rPr>
              <w:t>0,745</w:t>
            </w:r>
          </w:p>
        </w:tc>
        <w:tc>
          <w:tcPr>
            <w:tcW w:w="813" w:type="dxa"/>
            <w:tcBorders>
              <w:top w:val="nil"/>
              <w:left w:val="nil"/>
              <w:bottom w:val="nil"/>
              <w:right w:val="nil"/>
            </w:tcBorders>
            <w:shd w:val="clear" w:color="auto" w:fill="auto"/>
            <w:noWrap/>
            <w:vAlign w:val="center"/>
            <w:hideMark/>
          </w:tcPr>
          <w:p w14:paraId="1AF3F59E" w14:textId="77777777" w:rsidR="00732571" w:rsidRPr="00F90152" w:rsidRDefault="00732571" w:rsidP="00D36A4F">
            <w:pPr>
              <w:jc w:val="center"/>
              <w:rPr>
                <w:b/>
                <w:bCs/>
                <w:color w:val="000000"/>
              </w:rPr>
            </w:pPr>
            <w:r w:rsidRPr="00F90152">
              <w:rPr>
                <w:b/>
                <w:bCs/>
                <w:color w:val="000000"/>
                <w:sz w:val="22"/>
                <w:szCs w:val="22"/>
              </w:rPr>
              <w:t>-0,058</w:t>
            </w:r>
          </w:p>
        </w:tc>
        <w:tc>
          <w:tcPr>
            <w:tcW w:w="960" w:type="dxa"/>
            <w:tcBorders>
              <w:top w:val="nil"/>
              <w:left w:val="nil"/>
              <w:bottom w:val="nil"/>
              <w:right w:val="nil"/>
            </w:tcBorders>
            <w:shd w:val="clear" w:color="auto" w:fill="auto"/>
            <w:noWrap/>
            <w:vAlign w:val="center"/>
            <w:hideMark/>
          </w:tcPr>
          <w:p w14:paraId="1C225FA1" w14:textId="77777777" w:rsidR="00732571" w:rsidRPr="00F90152" w:rsidRDefault="00732571" w:rsidP="00D36A4F">
            <w:pPr>
              <w:jc w:val="center"/>
              <w:rPr>
                <w:b/>
                <w:bCs/>
                <w:color w:val="000000"/>
              </w:rPr>
            </w:pPr>
            <w:r w:rsidRPr="00F90152">
              <w:rPr>
                <w:b/>
                <w:bCs/>
                <w:color w:val="000000"/>
                <w:sz w:val="22"/>
                <w:szCs w:val="22"/>
              </w:rPr>
              <w:t>-14,798</w:t>
            </w:r>
          </w:p>
        </w:tc>
        <w:tc>
          <w:tcPr>
            <w:tcW w:w="960" w:type="dxa"/>
            <w:tcBorders>
              <w:top w:val="nil"/>
              <w:left w:val="nil"/>
              <w:bottom w:val="nil"/>
              <w:right w:val="nil"/>
            </w:tcBorders>
            <w:shd w:val="clear" w:color="auto" w:fill="auto"/>
            <w:noWrap/>
            <w:vAlign w:val="center"/>
            <w:hideMark/>
          </w:tcPr>
          <w:p w14:paraId="6DBB63ED" w14:textId="77777777" w:rsidR="00732571" w:rsidRPr="00F90152" w:rsidRDefault="00732571" w:rsidP="00D36A4F">
            <w:pPr>
              <w:jc w:val="center"/>
              <w:rPr>
                <w:b/>
                <w:bCs/>
                <w:color w:val="000000"/>
              </w:rPr>
            </w:pPr>
            <w:r w:rsidRPr="00F90152">
              <w:rPr>
                <w:b/>
                <w:bCs/>
                <w:color w:val="000000"/>
                <w:sz w:val="22"/>
                <w:szCs w:val="22"/>
              </w:rPr>
              <w:t>0,000</w:t>
            </w:r>
          </w:p>
        </w:tc>
      </w:tr>
      <w:tr w:rsidR="00732571" w:rsidRPr="00365AC0" w14:paraId="1AAFB529"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07FEBEF9" w14:textId="77777777" w:rsidR="00732571" w:rsidRPr="00F90152" w:rsidRDefault="00732571" w:rsidP="00D36A4F">
            <w:pPr>
              <w:rPr>
                <w:b/>
                <w:bCs/>
                <w:color w:val="000000"/>
              </w:rPr>
            </w:pPr>
            <w:r w:rsidRPr="00F90152">
              <w:rPr>
                <w:b/>
                <w:bCs/>
                <w:color w:val="000000"/>
                <w:sz w:val="22"/>
                <w:szCs w:val="22"/>
              </w:rPr>
              <w:t>Art</w:t>
            </w:r>
          </w:p>
        </w:tc>
        <w:tc>
          <w:tcPr>
            <w:tcW w:w="1215" w:type="dxa"/>
            <w:tcBorders>
              <w:top w:val="nil"/>
              <w:left w:val="nil"/>
              <w:bottom w:val="nil"/>
              <w:right w:val="nil"/>
            </w:tcBorders>
            <w:shd w:val="clear" w:color="auto" w:fill="auto"/>
            <w:noWrap/>
            <w:vAlign w:val="center"/>
            <w:hideMark/>
          </w:tcPr>
          <w:p w14:paraId="52F0F95F" w14:textId="77777777" w:rsidR="00732571" w:rsidRPr="00F90152" w:rsidRDefault="00732571" w:rsidP="00D36A4F">
            <w:pPr>
              <w:jc w:val="center"/>
              <w:rPr>
                <w:b/>
                <w:bCs/>
                <w:color w:val="000000"/>
              </w:rPr>
            </w:pPr>
            <w:r w:rsidRPr="00F90152">
              <w:rPr>
                <w:b/>
                <w:bCs/>
                <w:color w:val="000000"/>
                <w:sz w:val="22"/>
                <w:szCs w:val="22"/>
              </w:rPr>
              <w:t>0,666</w:t>
            </w:r>
          </w:p>
        </w:tc>
        <w:tc>
          <w:tcPr>
            <w:tcW w:w="852" w:type="dxa"/>
            <w:tcBorders>
              <w:top w:val="nil"/>
              <w:left w:val="nil"/>
              <w:bottom w:val="nil"/>
              <w:right w:val="nil"/>
            </w:tcBorders>
            <w:shd w:val="clear" w:color="auto" w:fill="auto"/>
            <w:noWrap/>
            <w:vAlign w:val="center"/>
            <w:hideMark/>
          </w:tcPr>
          <w:p w14:paraId="019BA415" w14:textId="77777777" w:rsidR="00732571" w:rsidRPr="00F90152" w:rsidRDefault="00732571" w:rsidP="00D36A4F">
            <w:pPr>
              <w:jc w:val="center"/>
              <w:rPr>
                <w:b/>
                <w:bCs/>
                <w:color w:val="000000"/>
              </w:rPr>
            </w:pPr>
            <w:r w:rsidRPr="00F90152">
              <w:rPr>
                <w:b/>
                <w:bCs/>
                <w:color w:val="000000"/>
                <w:sz w:val="22"/>
                <w:szCs w:val="22"/>
              </w:rPr>
              <w:t>0,759</w:t>
            </w:r>
          </w:p>
        </w:tc>
        <w:tc>
          <w:tcPr>
            <w:tcW w:w="813" w:type="dxa"/>
            <w:tcBorders>
              <w:top w:val="nil"/>
              <w:left w:val="nil"/>
              <w:bottom w:val="nil"/>
              <w:right w:val="nil"/>
            </w:tcBorders>
            <w:shd w:val="clear" w:color="auto" w:fill="auto"/>
            <w:noWrap/>
            <w:vAlign w:val="center"/>
            <w:hideMark/>
          </w:tcPr>
          <w:p w14:paraId="4AF262B0" w14:textId="77777777" w:rsidR="00732571" w:rsidRPr="00F90152" w:rsidRDefault="00732571" w:rsidP="00D36A4F">
            <w:pPr>
              <w:jc w:val="center"/>
              <w:rPr>
                <w:b/>
                <w:bCs/>
                <w:color w:val="000000"/>
              </w:rPr>
            </w:pPr>
            <w:r w:rsidRPr="00F90152">
              <w:rPr>
                <w:b/>
                <w:bCs/>
                <w:color w:val="000000"/>
                <w:sz w:val="22"/>
                <w:szCs w:val="22"/>
              </w:rPr>
              <w:t>-0,094</w:t>
            </w:r>
          </w:p>
        </w:tc>
        <w:tc>
          <w:tcPr>
            <w:tcW w:w="960" w:type="dxa"/>
            <w:tcBorders>
              <w:top w:val="nil"/>
              <w:left w:val="nil"/>
              <w:bottom w:val="nil"/>
              <w:right w:val="nil"/>
            </w:tcBorders>
            <w:shd w:val="clear" w:color="auto" w:fill="auto"/>
            <w:noWrap/>
            <w:vAlign w:val="center"/>
            <w:hideMark/>
          </w:tcPr>
          <w:p w14:paraId="4FC0E875" w14:textId="77777777" w:rsidR="00732571" w:rsidRPr="00F90152" w:rsidRDefault="00732571" w:rsidP="00D36A4F">
            <w:pPr>
              <w:jc w:val="center"/>
              <w:rPr>
                <w:b/>
                <w:bCs/>
                <w:color w:val="000000"/>
              </w:rPr>
            </w:pPr>
            <w:r w:rsidRPr="00F90152">
              <w:rPr>
                <w:b/>
                <w:bCs/>
                <w:color w:val="000000"/>
                <w:sz w:val="22"/>
                <w:szCs w:val="22"/>
              </w:rPr>
              <w:t>-6,869</w:t>
            </w:r>
          </w:p>
        </w:tc>
        <w:tc>
          <w:tcPr>
            <w:tcW w:w="960" w:type="dxa"/>
            <w:tcBorders>
              <w:top w:val="nil"/>
              <w:left w:val="nil"/>
              <w:bottom w:val="nil"/>
              <w:right w:val="nil"/>
            </w:tcBorders>
            <w:shd w:val="clear" w:color="auto" w:fill="auto"/>
            <w:noWrap/>
            <w:vAlign w:val="center"/>
            <w:hideMark/>
          </w:tcPr>
          <w:p w14:paraId="36A2B2BC" w14:textId="77777777" w:rsidR="00732571" w:rsidRPr="00F90152" w:rsidRDefault="00732571" w:rsidP="00D36A4F">
            <w:pPr>
              <w:jc w:val="center"/>
              <w:rPr>
                <w:b/>
                <w:bCs/>
                <w:color w:val="000000"/>
              </w:rPr>
            </w:pPr>
            <w:r w:rsidRPr="00F90152">
              <w:rPr>
                <w:b/>
                <w:bCs/>
                <w:color w:val="000000"/>
                <w:sz w:val="22"/>
                <w:szCs w:val="22"/>
              </w:rPr>
              <w:t>0,000</w:t>
            </w:r>
          </w:p>
        </w:tc>
      </w:tr>
      <w:tr w:rsidR="00732571" w:rsidRPr="00365AC0" w14:paraId="169AFF55"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61C597B8" w14:textId="77777777" w:rsidR="00732571" w:rsidRPr="00F90152" w:rsidRDefault="00732571" w:rsidP="00D36A4F">
            <w:pPr>
              <w:rPr>
                <w:b/>
                <w:bCs/>
                <w:color w:val="000000"/>
              </w:rPr>
            </w:pPr>
            <w:r w:rsidRPr="00F90152">
              <w:rPr>
                <w:b/>
                <w:bCs/>
                <w:color w:val="000000"/>
                <w:sz w:val="22"/>
                <w:szCs w:val="22"/>
              </w:rPr>
              <w:t>Comics</w:t>
            </w:r>
          </w:p>
        </w:tc>
        <w:tc>
          <w:tcPr>
            <w:tcW w:w="1215" w:type="dxa"/>
            <w:tcBorders>
              <w:top w:val="nil"/>
              <w:left w:val="nil"/>
              <w:bottom w:val="nil"/>
              <w:right w:val="nil"/>
            </w:tcBorders>
            <w:shd w:val="clear" w:color="auto" w:fill="auto"/>
            <w:noWrap/>
            <w:vAlign w:val="center"/>
            <w:hideMark/>
          </w:tcPr>
          <w:p w14:paraId="745A6607" w14:textId="77777777" w:rsidR="00732571" w:rsidRPr="00F90152" w:rsidRDefault="00732571" w:rsidP="00D36A4F">
            <w:pPr>
              <w:jc w:val="center"/>
              <w:rPr>
                <w:b/>
                <w:bCs/>
                <w:color w:val="000000"/>
              </w:rPr>
            </w:pPr>
            <w:r w:rsidRPr="00F90152">
              <w:rPr>
                <w:b/>
                <w:bCs/>
                <w:color w:val="000000"/>
                <w:sz w:val="22"/>
                <w:szCs w:val="22"/>
              </w:rPr>
              <w:t>0,859</w:t>
            </w:r>
          </w:p>
        </w:tc>
        <w:tc>
          <w:tcPr>
            <w:tcW w:w="852" w:type="dxa"/>
            <w:tcBorders>
              <w:top w:val="nil"/>
              <w:left w:val="nil"/>
              <w:bottom w:val="nil"/>
              <w:right w:val="nil"/>
            </w:tcBorders>
            <w:shd w:val="clear" w:color="auto" w:fill="auto"/>
            <w:noWrap/>
            <w:vAlign w:val="center"/>
            <w:hideMark/>
          </w:tcPr>
          <w:p w14:paraId="4B0901DE" w14:textId="77777777" w:rsidR="00732571" w:rsidRPr="00F90152" w:rsidRDefault="00732571" w:rsidP="00D36A4F">
            <w:pPr>
              <w:jc w:val="center"/>
              <w:rPr>
                <w:b/>
                <w:bCs/>
                <w:color w:val="000000"/>
              </w:rPr>
            </w:pPr>
            <w:r w:rsidRPr="00F90152">
              <w:rPr>
                <w:b/>
                <w:bCs/>
                <w:color w:val="000000"/>
                <w:sz w:val="22"/>
                <w:szCs w:val="22"/>
              </w:rPr>
              <w:t>0,886</w:t>
            </w:r>
          </w:p>
        </w:tc>
        <w:tc>
          <w:tcPr>
            <w:tcW w:w="813" w:type="dxa"/>
            <w:tcBorders>
              <w:top w:val="nil"/>
              <w:left w:val="nil"/>
              <w:bottom w:val="nil"/>
              <w:right w:val="nil"/>
            </w:tcBorders>
            <w:shd w:val="clear" w:color="auto" w:fill="auto"/>
            <w:noWrap/>
            <w:vAlign w:val="center"/>
            <w:hideMark/>
          </w:tcPr>
          <w:p w14:paraId="33998E12" w14:textId="77777777" w:rsidR="00732571" w:rsidRPr="00F90152" w:rsidRDefault="00732571" w:rsidP="00D36A4F">
            <w:pPr>
              <w:jc w:val="center"/>
              <w:rPr>
                <w:b/>
                <w:bCs/>
                <w:color w:val="000000"/>
              </w:rPr>
            </w:pPr>
            <w:r w:rsidRPr="00F90152">
              <w:rPr>
                <w:b/>
                <w:bCs/>
                <w:color w:val="000000"/>
                <w:sz w:val="22"/>
                <w:szCs w:val="22"/>
              </w:rPr>
              <w:t>-0,027</w:t>
            </w:r>
          </w:p>
        </w:tc>
        <w:tc>
          <w:tcPr>
            <w:tcW w:w="960" w:type="dxa"/>
            <w:tcBorders>
              <w:top w:val="nil"/>
              <w:left w:val="nil"/>
              <w:bottom w:val="nil"/>
              <w:right w:val="nil"/>
            </w:tcBorders>
            <w:shd w:val="clear" w:color="auto" w:fill="auto"/>
            <w:noWrap/>
            <w:vAlign w:val="center"/>
            <w:hideMark/>
          </w:tcPr>
          <w:p w14:paraId="24EC1C03" w14:textId="77777777" w:rsidR="00732571" w:rsidRPr="00F90152" w:rsidRDefault="00732571" w:rsidP="00D36A4F">
            <w:pPr>
              <w:jc w:val="center"/>
              <w:rPr>
                <w:b/>
                <w:bCs/>
                <w:color w:val="000000"/>
              </w:rPr>
            </w:pPr>
            <w:r w:rsidRPr="00F90152">
              <w:rPr>
                <w:b/>
                <w:bCs/>
                <w:color w:val="000000"/>
                <w:sz w:val="22"/>
                <w:szCs w:val="22"/>
              </w:rPr>
              <w:t>-2,392</w:t>
            </w:r>
          </w:p>
        </w:tc>
        <w:tc>
          <w:tcPr>
            <w:tcW w:w="960" w:type="dxa"/>
            <w:tcBorders>
              <w:top w:val="nil"/>
              <w:left w:val="nil"/>
              <w:bottom w:val="nil"/>
              <w:right w:val="nil"/>
            </w:tcBorders>
            <w:shd w:val="clear" w:color="auto" w:fill="auto"/>
            <w:noWrap/>
            <w:vAlign w:val="center"/>
            <w:hideMark/>
          </w:tcPr>
          <w:p w14:paraId="10FB5FE8" w14:textId="77777777" w:rsidR="00732571" w:rsidRPr="00F90152" w:rsidRDefault="00732571" w:rsidP="00D36A4F">
            <w:pPr>
              <w:jc w:val="center"/>
              <w:rPr>
                <w:b/>
                <w:bCs/>
                <w:color w:val="000000"/>
              </w:rPr>
            </w:pPr>
            <w:r w:rsidRPr="00F90152">
              <w:rPr>
                <w:b/>
                <w:bCs/>
                <w:color w:val="000000"/>
                <w:sz w:val="22"/>
                <w:szCs w:val="22"/>
              </w:rPr>
              <w:t>0,008</w:t>
            </w:r>
          </w:p>
        </w:tc>
      </w:tr>
      <w:tr w:rsidR="00732571" w:rsidRPr="00365AC0" w14:paraId="5DC7B180"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53420E42" w14:textId="77777777" w:rsidR="00732571" w:rsidRPr="00F90152" w:rsidRDefault="00732571" w:rsidP="00D36A4F">
            <w:pPr>
              <w:rPr>
                <w:b/>
                <w:bCs/>
                <w:color w:val="000000"/>
              </w:rPr>
            </w:pPr>
            <w:r w:rsidRPr="00F90152">
              <w:rPr>
                <w:b/>
                <w:bCs/>
                <w:color w:val="000000"/>
                <w:sz w:val="22"/>
                <w:szCs w:val="22"/>
              </w:rPr>
              <w:t>Crafts</w:t>
            </w:r>
          </w:p>
        </w:tc>
        <w:tc>
          <w:tcPr>
            <w:tcW w:w="1215" w:type="dxa"/>
            <w:tcBorders>
              <w:top w:val="nil"/>
              <w:left w:val="nil"/>
              <w:bottom w:val="nil"/>
              <w:right w:val="nil"/>
            </w:tcBorders>
            <w:shd w:val="clear" w:color="auto" w:fill="auto"/>
            <w:noWrap/>
            <w:vAlign w:val="center"/>
            <w:hideMark/>
          </w:tcPr>
          <w:p w14:paraId="2829E487" w14:textId="77777777" w:rsidR="00732571" w:rsidRPr="00F90152" w:rsidRDefault="00732571" w:rsidP="00D36A4F">
            <w:pPr>
              <w:jc w:val="center"/>
              <w:rPr>
                <w:b/>
                <w:bCs/>
                <w:color w:val="000000"/>
              </w:rPr>
            </w:pPr>
            <w:r w:rsidRPr="00F90152">
              <w:rPr>
                <w:b/>
                <w:bCs/>
                <w:color w:val="000000"/>
                <w:sz w:val="22"/>
                <w:szCs w:val="22"/>
              </w:rPr>
              <w:t>0,325</w:t>
            </w:r>
          </w:p>
        </w:tc>
        <w:tc>
          <w:tcPr>
            <w:tcW w:w="852" w:type="dxa"/>
            <w:tcBorders>
              <w:top w:val="nil"/>
              <w:left w:val="nil"/>
              <w:bottom w:val="nil"/>
              <w:right w:val="nil"/>
            </w:tcBorders>
            <w:shd w:val="clear" w:color="auto" w:fill="auto"/>
            <w:noWrap/>
            <w:vAlign w:val="center"/>
            <w:hideMark/>
          </w:tcPr>
          <w:p w14:paraId="6A30CDC1" w14:textId="77777777" w:rsidR="00732571" w:rsidRPr="00F90152" w:rsidRDefault="00732571" w:rsidP="00D36A4F">
            <w:pPr>
              <w:jc w:val="center"/>
              <w:rPr>
                <w:b/>
                <w:bCs/>
                <w:color w:val="000000"/>
              </w:rPr>
            </w:pPr>
            <w:r w:rsidRPr="00F90152">
              <w:rPr>
                <w:b/>
                <w:bCs/>
                <w:color w:val="000000"/>
                <w:sz w:val="22"/>
                <w:szCs w:val="22"/>
              </w:rPr>
              <w:t>0,407</w:t>
            </w:r>
          </w:p>
        </w:tc>
        <w:tc>
          <w:tcPr>
            <w:tcW w:w="813" w:type="dxa"/>
            <w:tcBorders>
              <w:top w:val="nil"/>
              <w:left w:val="nil"/>
              <w:bottom w:val="nil"/>
              <w:right w:val="nil"/>
            </w:tcBorders>
            <w:shd w:val="clear" w:color="auto" w:fill="auto"/>
            <w:noWrap/>
            <w:vAlign w:val="center"/>
            <w:hideMark/>
          </w:tcPr>
          <w:p w14:paraId="6D526696" w14:textId="77777777" w:rsidR="00732571" w:rsidRPr="00F90152" w:rsidRDefault="00732571" w:rsidP="00D36A4F">
            <w:pPr>
              <w:jc w:val="center"/>
              <w:rPr>
                <w:b/>
                <w:bCs/>
                <w:color w:val="000000"/>
              </w:rPr>
            </w:pPr>
            <w:r w:rsidRPr="00F90152">
              <w:rPr>
                <w:b/>
                <w:bCs/>
                <w:color w:val="000000"/>
                <w:sz w:val="22"/>
                <w:szCs w:val="22"/>
              </w:rPr>
              <w:t>-0,082</w:t>
            </w:r>
          </w:p>
        </w:tc>
        <w:tc>
          <w:tcPr>
            <w:tcW w:w="960" w:type="dxa"/>
            <w:tcBorders>
              <w:top w:val="nil"/>
              <w:left w:val="nil"/>
              <w:bottom w:val="nil"/>
              <w:right w:val="nil"/>
            </w:tcBorders>
            <w:shd w:val="clear" w:color="auto" w:fill="auto"/>
            <w:noWrap/>
            <w:vAlign w:val="center"/>
            <w:hideMark/>
          </w:tcPr>
          <w:p w14:paraId="0D3683E7" w14:textId="77777777" w:rsidR="00732571" w:rsidRPr="00F90152" w:rsidRDefault="00732571" w:rsidP="00D36A4F">
            <w:pPr>
              <w:jc w:val="center"/>
              <w:rPr>
                <w:b/>
                <w:bCs/>
                <w:color w:val="000000"/>
              </w:rPr>
            </w:pPr>
            <w:r w:rsidRPr="00F90152">
              <w:rPr>
                <w:b/>
                <w:bCs/>
                <w:color w:val="000000"/>
                <w:sz w:val="22"/>
                <w:szCs w:val="22"/>
              </w:rPr>
              <w:t>-2,562</w:t>
            </w:r>
          </w:p>
        </w:tc>
        <w:tc>
          <w:tcPr>
            <w:tcW w:w="960" w:type="dxa"/>
            <w:tcBorders>
              <w:top w:val="nil"/>
              <w:left w:val="nil"/>
              <w:bottom w:val="nil"/>
              <w:right w:val="nil"/>
            </w:tcBorders>
            <w:shd w:val="clear" w:color="auto" w:fill="auto"/>
            <w:noWrap/>
            <w:vAlign w:val="center"/>
            <w:hideMark/>
          </w:tcPr>
          <w:p w14:paraId="7F6EEEAF" w14:textId="77777777" w:rsidR="00732571" w:rsidRPr="00F90152" w:rsidRDefault="00732571" w:rsidP="00D36A4F">
            <w:pPr>
              <w:jc w:val="center"/>
              <w:rPr>
                <w:b/>
                <w:bCs/>
                <w:color w:val="000000"/>
              </w:rPr>
            </w:pPr>
            <w:r w:rsidRPr="00F90152">
              <w:rPr>
                <w:b/>
                <w:bCs/>
                <w:color w:val="000000"/>
                <w:sz w:val="22"/>
                <w:szCs w:val="22"/>
              </w:rPr>
              <w:t>0,005</w:t>
            </w:r>
          </w:p>
        </w:tc>
      </w:tr>
      <w:tr w:rsidR="00732571" w:rsidRPr="00365AC0" w14:paraId="21A20B46"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50F15424" w14:textId="77777777" w:rsidR="00732571" w:rsidRPr="00365AC0" w:rsidRDefault="00732571" w:rsidP="00D36A4F">
            <w:pPr>
              <w:rPr>
                <w:color w:val="000000"/>
              </w:rPr>
            </w:pPr>
            <w:r w:rsidRPr="00365AC0">
              <w:rPr>
                <w:color w:val="000000"/>
                <w:sz w:val="22"/>
                <w:szCs w:val="22"/>
              </w:rPr>
              <w:t>Dance</w:t>
            </w:r>
          </w:p>
        </w:tc>
        <w:tc>
          <w:tcPr>
            <w:tcW w:w="1215" w:type="dxa"/>
            <w:tcBorders>
              <w:top w:val="nil"/>
              <w:left w:val="nil"/>
              <w:bottom w:val="nil"/>
              <w:right w:val="nil"/>
            </w:tcBorders>
            <w:shd w:val="clear" w:color="auto" w:fill="auto"/>
            <w:noWrap/>
            <w:vAlign w:val="center"/>
            <w:hideMark/>
          </w:tcPr>
          <w:p w14:paraId="5535BE58" w14:textId="77777777" w:rsidR="00732571" w:rsidRPr="00365AC0" w:rsidRDefault="00732571" w:rsidP="00D36A4F">
            <w:pPr>
              <w:jc w:val="center"/>
              <w:rPr>
                <w:color w:val="000000"/>
              </w:rPr>
            </w:pPr>
            <w:r w:rsidRPr="00365AC0">
              <w:rPr>
                <w:color w:val="000000"/>
                <w:sz w:val="22"/>
                <w:szCs w:val="22"/>
              </w:rPr>
              <w:t>0,652</w:t>
            </w:r>
          </w:p>
        </w:tc>
        <w:tc>
          <w:tcPr>
            <w:tcW w:w="852" w:type="dxa"/>
            <w:tcBorders>
              <w:top w:val="nil"/>
              <w:left w:val="nil"/>
              <w:bottom w:val="nil"/>
              <w:right w:val="nil"/>
            </w:tcBorders>
            <w:shd w:val="clear" w:color="auto" w:fill="auto"/>
            <w:noWrap/>
            <w:vAlign w:val="center"/>
            <w:hideMark/>
          </w:tcPr>
          <w:p w14:paraId="09D42AEF" w14:textId="77777777" w:rsidR="00732571" w:rsidRPr="00365AC0" w:rsidRDefault="00732571" w:rsidP="00D36A4F">
            <w:pPr>
              <w:jc w:val="center"/>
              <w:rPr>
                <w:color w:val="000000"/>
              </w:rPr>
            </w:pPr>
            <w:r w:rsidRPr="00365AC0">
              <w:rPr>
                <w:color w:val="000000"/>
                <w:sz w:val="22"/>
                <w:szCs w:val="22"/>
              </w:rPr>
              <w:t>0,609</w:t>
            </w:r>
          </w:p>
        </w:tc>
        <w:tc>
          <w:tcPr>
            <w:tcW w:w="813" w:type="dxa"/>
            <w:tcBorders>
              <w:top w:val="nil"/>
              <w:left w:val="nil"/>
              <w:bottom w:val="nil"/>
              <w:right w:val="nil"/>
            </w:tcBorders>
            <w:shd w:val="clear" w:color="auto" w:fill="auto"/>
            <w:noWrap/>
            <w:vAlign w:val="center"/>
            <w:hideMark/>
          </w:tcPr>
          <w:p w14:paraId="2B7FDB0F" w14:textId="77777777" w:rsidR="00732571" w:rsidRPr="00365AC0" w:rsidRDefault="00732571" w:rsidP="00D36A4F">
            <w:pPr>
              <w:jc w:val="center"/>
              <w:rPr>
                <w:color w:val="000000"/>
              </w:rPr>
            </w:pPr>
            <w:r w:rsidRPr="00365AC0">
              <w:rPr>
                <w:color w:val="000000"/>
                <w:sz w:val="22"/>
                <w:szCs w:val="22"/>
              </w:rPr>
              <w:t>0,043</w:t>
            </w:r>
          </w:p>
        </w:tc>
        <w:tc>
          <w:tcPr>
            <w:tcW w:w="960" w:type="dxa"/>
            <w:tcBorders>
              <w:top w:val="nil"/>
              <w:left w:val="nil"/>
              <w:bottom w:val="nil"/>
              <w:right w:val="nil"/>
            </w:tcBorders>
            <w:shd w:val="clear" w:color="auto" w:fill="auto"/>
            <w:noWrap/>
            <w:vAlign w:val="center"/>
            <w:hideMark/>
          </w:tcPr>
          <w:p w14:paraId="630385D2" w14:textId="77777777" w:rsidR="00732571" w:rsidRPr="00365AC0" w:rsidRDefault="00732571" w:rsidP="00D36A4F">
            <w:pPr>
              <w:jc w:val="center"/>
              <w:rPr>
                <w:color w:val="000000"/>
              </w:rPr>
            </w:pPr>
            <w:r w:rsidRPr="00365AC0">
              <w:rPr>
                <w:color w:val="000000"/>
                <w:sz w:val="22"/>
                <w:szCs w:val="22"/>
              </w:rPr>
              <w:t>0,524</w:t>
            </w:r>
          </w:p>
        </w:tc>
        <w:tc>
          <w:tcPr>
            <w:tcW w:w="960" w:type="dxa"/>
            <w:tcBorders>
              <w:top w:val="nil"/>
              <w:left w:val="nil"/>
              <w:bottom w:val="nil"/>
              <w:right w:val="nil"/>
            </w:tcBorders>
            <w:shd w:val="clear" w:color="auto" w:fill="auto"/>
            <w:noWrap/>
            <w:vAlign w:val="center"/>
            <w:hideMark/>
          </w:tcPr>
          <w:p w14:paraId="1931AC0C" w14:textId="77777777" w:rsidR="00732571" w:rsidRPr="00365AC0" w:rsidRDefault="00732571" w:rsidP="00D36A4F">
            <w:pPr>
              <w:jc w:val="center"/>
              <w:rPr>
                <w:color w:val="000000"/>
              </w:rPr>
            </w:pPr>
            <w:r w:rsidRPr="00365AC0">
              <w:rPr>
                <w:color w:val="000000"/>
                <w:sz w:val="22"/>
                <w:szCs w:val="22"/>
              </w:rPr>
              <w:t>0,699</w:t>
            </w:r>
          </w:p>
        </w:tc>
      </w:tr>
      <w:tr w:rsidR="00732571" w:rsidRPr="00365AC0" w14:paraId="308E061F"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609737C5" w14:textId="77777777" w:rsidR="00732571" w:rsidRPr="00365AC0" w:rsidRDefault="00732571" w:rsidP="00D36A4F">
            <w:pPr>
              <w:rPr>
                <w:color w:val="000000"/>
              </w:rPr>
            </w:pPr>
            <w:r w:rsidRPr="00365AC0">
              <w:rPr>
                <w:color w:val="000000"/>
                <w:sz w:val="22"/>
                <w:szCs w:val="22"/>
              </w:rPr>
              <w:t>Design</w:t>
            </w:r>
          </w:p>
        </w:tc>
        <w:tc>
          <w:tcPr>
            <w:tcW w:w="1215" w:type="dxa"/>
            <w:tcBorders>
              <w:top w:val="nil"/>
              <w:left w:val="nil"/>
              <w:bottom w:val="nil"/>
              <w:right w:val="nil"/>
            </w:tcBorders>
            <w:shd w:val="clear" w:color="auto" w:fill="auto"/>
            <w:noWrap/>
            <w:vAlign w:val="center"/>
            <w:hideMark/>
          </w:tcPr>
          <w:p w14:paraId="24437B60" w14:textId="77777777" w:rsidR="00732571" w:rsidRPr="00365AC0" w:rsidRDefault="00732571" w:rsidP="00D36A4F">
            <w:pPr>
              <w:jc w:val="center"/>
              <w:rPr>
                <w:color w:val="000000"/>
              </w:rPr>
            </w:pPr>
            <w:r w:rsidRPr="00365AC0">
              <w:rPr>
                <w:color w:val="000000"/>
                <w:sz w:val="22"/>
                <w:szCs w:val="22"/>
              </w:rPr>
              <w:t>0,919</w:t>
            </w:r>
          </w:p>
        </w:tc>
        <w:tc>
          <w:tcPr>
            <w:tcW w:w="852" w:type="dxa"/>
            <w:tcBorders>
              <w:top w:val="nil"/>
              <w:left w:val="nil"/>
              <w:bottom w:val="nil"/>
              <w:right w:val="nil"/>
            </w:tcBorders>
            <w:shd w:val="clear" w:color="auto" w:fill="auto"/>
            <w:noWrap/>
            <w:vAlign w:val="center"/>
            <w:hideMark/>
          </w:tcPr>
          <w:p w14:paraId="4BE0E08D" w14:textId="77777777" w:rsidR="00732571" w:rsidRPr="00365AC0" w:rsidRDefault="00732571" w:rsidP="00D36A4F">
            <w:pPr>
              <w:jc w:val="center"/>
              <w:rPr>
                <w:color w:val="000000"/>
              </w:rPr>
            </w:pPr>
            <w:r w:rsidRPr="00365AC0">
              <w:rPr>
                <w:color w:val="000000"/>
                <w:sz w:val="22"/>
                <w:szCs w:val="22"/>
              </w:rPr>
              <w:t>0,907</w:t>
            </w:r>
          </w:p>
        </w:tc>
        <w:tc>
          <w:tcPr>
            <w:tcW w:w="813" w:type="dxa"/>
            <w:tcBorders>
              <w:top w:val="nil"/>
              <w:left w:val="nil"/>
              <w:bottom w:val="nil"/>
              <w:right w:val="nil"/>
            </w:tcBorders>
            <w:shd w:val="clear" w:color="auto" w:fill="auto"/>
            <w:noWrap/>
            <w:vAlign w:val="center"/>
            <w:hideMark/>
          </w:tcPr>
          <w:p w14:paraId="0D13506D" w14:textId="77777777" w:rsidR="00732571" w:rsidRPr="00365AC0" w:rsidRDefault="00732571" w:rsidP="00D36A4F">
            <w:pPr>
              <w:jc w:val="center"/>
              <w:rPr>
                <w:color w:val="000000"/>
              </w:rPr>
            </w:pPr>
            <w:r w:rsidRPr="00365AC0">
              <w:rPr>
                <w:color w:val="000000"/>
                <w:sz w:val="22"/>
                <w:szCs w:val="22"/>
              </w:rPr>
              <w:t>0,012</w:t>
            </w:r>
          </w:p>
        </w:tc>
        <w:tc>
          <w:tcPr>
            <w:tcW w:w="960" w:type="dxa"/>
            <w:tcBorders>
              <w:top w:val="nil"/>
              <w:left w:val="nil"/>
              <w:bottom w:val="nil"/>
              <w:right w:val="nil"/>
            </w:tcBorders>
            <w:shd w:val="clear" w:color="auto" w:fill="auto"/>
            <w:noWrap/>
            <w:vAlign w:val="center"/>
            <w:hideMark/>
          </w:tcPr>
          <w:p w14:paraId="390118D9" w14:textId="77777777" w:rsidR="00732571" w:rsidRPr="00365AC0" w:rsidRDefault="00732571" w:rsidP="00D36A4F">
            <w:pPr>
              <w:jc w:val="center"/>
              <w:rPr>
                <w:color w:val="000000"/>
              </w:rPr>
            </w:pPr>
            <w:r w:rsidRPr="00365AC0">
              <w:rPr>
                <w:color w:val="000000"/>
                <w:sz w:val="22"/>
                <w:szCs w:val="22"/>
              </w:rPr>
              <w:t>1,349</w:t>
            </w:r>
          </w:p>
        </w:tc>
        <w:tc>
          <w:tcPr>
            <w:tcW w:w="960" w:type="dxa"/>
            <w:tcBorders>
              <w:top w:val="nil"/>
              <w:left w:val="nil"/>
              <w:bottom w:val="nil"/>
              <w:right w:val="nil"/>
            </w:tcBorders>
            <w:shd w:val="clear" w:color="auto" w:fill="auto"/>
            <w:noWrap/>
            <w:vAlign w:val="center"/>
            <w:hideMark/>
          </w:tcPr>
          <w:p w14:paraId="7A231FF5" w14:textId="77777777" w:rsidR="00732571" w:rsidRPr="00365AC0" w:rsidRDefault="00732571" w:rsidP="00D36A4F">
            <w:pPr>
              <w:jc w:val="center"/>
              <w:rPr>
                <w:color w:val="000000"/>
              </w:rPr>
            </w:pPr>
            <w:r w:rsidRPr="00365AC0">
              <w:rPr>
                <w:color w:val="000000"/>
                <w:sz w:val="22"/>
                <w:szCs w:val="22"/>
              </w:rPr>
              <w:t>0,911</w:t>
            </w:r>
          </w:p>
        </w:tc>
      </w:tr>
      <w:tr w:rsidR="00732571" w:rsidRPr="00365AC0" w14:paraId="557E460A"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538DA083" w14:textId="77777777" w:rsidR="00732571" w:rsidRPr="00365AC0" w:rsidRDefault="00732571" w:rsidP="00D36A4F">
            <w:pPr>
              <w:rPr>
                <w:color w:val="000000"/>
              </w:rPr>
            </w:pPr>
            <w:r w:rsidRPr="00365AC0">
              <w:rPr>
                <w:color w:val="000000"/>
                <w:sz w:val="22"/>
                <w:szCs w:val="22"/>
              </w:rPr>
              <w:t>Fashion</w:t>
            </w:r>
          </w:p>
        </w:tc>
        <w:tc>
          <w:tcPr>
            <w:tcW w:w="1215" w:type="dxa"/>
            <w:tcBorders>
              <w:top w:val="nil"/>
              <w:left w:val="nil"/>
              <w:bottom w:val="nil"/>
              <w:right w:val="nil"/>
            </w:tcBorders>
            <w:shd w:val="clear" w:color="auto" w:fill="auto"/>
            <w:noWrap/>
            <w:vAlign w:val="center"/>
            <w:hideMark/>
          </w:tcPr>
          <w:p w14:paraId="7B53A5D7" w14:textId="77777777" w:rsidR="00732571" w:rsidRPr="00365AC0" w:rsidRDefault="00732571" w:rsidP="00D36A4F">
            <w:pPr>
              <w:jc w:val="center"/>
              <w:rPr>
                <w:color w:val="000000"/>
              </w:rPr>
            </w:pPr>
            <w:r w:rsidRPr="00365AC0">
              <w:rPr>
                <w:color w:val="000000"/>
                <w:sz w:val="22"/>
                <w:szCs w:val="22"/>
              </w:rPr>
              <w:t>0,641</w:t>
            </w:r>
          </w:p>
        </w:tc>
        <w:tc>
          <w:tcPr>
            <w:tcW w:w="852" w:type="dxa"/>
            <w:tcBorders>
              <w:top w:val="nil"/>
              <w:left w:val="nil"/>
              <w:bottom w:val="nil"/>
              <w:right w:val="nil"/>
            </w:tcBorders>
            <w:shd w:val="clear" w:color="auto" w:fill="auto"/>
            <w:noWrap/>
            <w:vAlign w:val="center"/>
            <w:hideMark/>
          </w:tcPr>
          <w:p w14:paraId="530E2AA8" w14:textId="77777777" w:rsidR="00732571" w:rsidRPr="00365AC0" w:rsidRDefault="00732571" w:rsidP="00D36A4F">
            <w:pPr>
              <w:jc w:val="center"/>
              <w:rPr>
                <w:color w:val="000000"/>
              </w:rPr>
            </w:pPr>
            <w:r w:rsidRPr="00365AC0">
              <w:rPr>
                <w:color w:val="000000"/>
                <w:sz w:val="22"/>
                <w:szCs w:val="22"/>
              </w:rPr>
              <w:t>0,652</w:t>
            </w:r>
          </w:p>
        </w:tc>
        <w:tc>
          <w:tcPr>
            <w:tcW w:w="813" w:type="dxa"/>
            <w:tcBorders>
              <w:top w:val="nil"/>
              <w:left w:val="nil"/>
              <w:bottom w:val="nil"/>
              <w:right w:val="nil"/>
            </w:tcBorders>
            <w:shd w:val="clear" w:color="auto" w:fill="auto"/>
            <w:noWrap/>
            <w:vAlign w:val="center"/>
            <w:hideMark/>
          </w:tcPr>
          <w:p w14:paraId="61874B1E" w14:textId="77777777" w:rsidR="00732571" w:rsidRPr="00365AC0" w:rsidRDefault="00732571" w:rsidP="00D36A4F">
            <w:pPr>
              <w:jc w:val="center"/>
              <w:rPr>
                <w:color w:val="000000"/>
              </w:rPr>
            </w:pPr>
            <w:r w:rsidRPr="00365AC0">
              <w:rPr>
                <w:color w:val="000000"/>
                <w:sz w:val="22"/>
                <w:szCs w:val="22"/>
              </w:rPr>
              <w:t>-0,011</w:t>
            </w:r>
          </w:p>
        </w:tc>
        <w:tc>
          <w:tcPr>
            <w:tcW w:w="960" w:type="dxa"/>
            <w:tcBorders>
              <w:top w:val="nil"/>
              <w:left w:val="nil"/>
              <w:bottom w:val="nil"/>
              <w:right w:val="nil"/>
            </w:tcBorders>
            <w:shd w:val="clear" w:color="auto" w:fill="auto"/>
            <w:noWrap/>
            <w:vAlign w:val="center"/>
            <w:hideMark/>
          </w:tcPr>
          <w:p w14:paraId="1E59A0CE" w14:textId="77777777" w:rsidR="00732571" w:rsidRPr="00365AC0" w:rsidRDefault="00732571" w:rsidP="00D36A4F">
            <w:pPr>
              <w:jc w:val="center"/>
              <w:rPr>
                <w:color w:val="000000"/>
              </w:rPr>
            </w:pPr>
            <w:r w:rsidRPr="00365AC0">
              <w:rPr>
                <w:color w:val="000000"/>
                <w:sz w:val="22"/>
                <w:szCs w:val="22"/>
              </w:rPr>
              <w:t>-0,693</w:t>
            </w:r>
          </w:p>
        </w:tc>
        <w:tc>
          <w:tcPr>
            <w:tcW w:w="960" w:type="dxa"/>
            <w:tcBorders>
              <w:top w:val="nil"/>
              <w:left w:val="nil"/>
              <w:bottom w:val="nil"/>
              <w:right w:val="nil"/>
            </w:tcBorders>
            <w:shd w:val="clear" w:color="auto" w:fill="auto"/>
            <w:noWrap/>
            <w:vAlign w:val="center"/>
            <w:hideMark/>
          </w:tcPr>
          <w:p w14:paraId="6F7ACFAE" w14:textId="77777777" w:rsidR="00732571" w:rsidRPr="00365AC0" w:rsidRDefault="00732571" w:rsidP="00D36A4F">
            <w:pPr>
              <w:jc w:val="center"/>
              <w:rPr>
                <w:color w:val="000000"/>
              </w:rPr>
            </w:pPr>
            <w:r w:rsidRPr="00365AC0">
              <w:rPr>
                <w:color w:val="000000"/>
                <w:sz w:val="22"/>
                <w:szCs w:val="22"/>
              </w:rPr>
              <w:t>0,244</w:t>
            </w:r>
          </w:p>
        </w:tc>
      </w:tr>
      <w:tr w:rsidR="00732571" w:rsidRPr="00365AC0" w14:paraId="02E1C9CC"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6851C2F9" w14:textId="77777777" w:rsidR="00732571" w:rsidRPr="00365AC0" w:rsidRDefault="00732571" w:rsidP="00D36A4F">
            <w:pPr>
              <w:rPr>
                <w:color w:val="000000"/>
              </w:rPr>
            </w:pPr>
            <w:r w:rsidRPr="00365AC0">
              <w:rPr>
                <w:color w:val="000000"/>
                <w:sz w:val="22"/>
                <w:szCs w:val="22"/>
              </w:rPr>
              <w:t>Film &amp; Video</w:t>
            </w:r>
          </w:p>
        </w:tc>
        <w:tc>
          <w:tcPr>
            <w:tcW w:w="1215" w:type="dxa"/>
            <w:tcBorders>
              <w:top w:val="nil"/>
              <w:left w:val="nil"/>
              <w:bottom w:val="nil"/>
              <w:right w:val="nil"/>
            </w:tcBorders>
            <w:shd w:val="clear" w:color="auto" w:fill="auto"/>
            <w:noWrap/>
            <w:vAlign w:val="center"/>
            <w:hideMark/>
          </w:tcPr>
          <w:p w14:paraId="23B1C664" w14:textId="77777777" w:rsidR="00732571" w:rsidRPr="00365AC0" w:rsidRDefault="00732571" w:rsidP="00D36A4F">
            <w:pPr>
              <w:jc w:val="center"/>
              <w:rPr>
                <w:color w:val="000000"/>
              </w:rPr>
            </w:pPr>
            <w:r w:rsidRPr="00365AC0">
              <w:rPr>
                <w:color w:val="000000"/>
                <w:sz w:val="22"/>
                <w:szCs w:val="22"/>
              </w:rPr>
              <w:t>0,576</w:t>
            </w:r>
          </w:p>
        </w:tc>
        <w:tc>
          <w:tcPr>
            <w:tcW w:w="852" w:type="dxa"/>
            <w:tcBorders>
              <w:top w:val="nil"/>
              <w:left w:val="nil"/>
              <w:bottom w:val="nil"/>
              <w:right w:val="nil"/>
            </w:tcBorders>
            <w:shd w:val="clear" w:color="auto" w:fill="auto"/>
            <w:noWrap/>
            <w:vAlign w:val="center"/>
            <w:hideMark/>
          </w:tcPr>
          <w:p w14:paraId="7614AE6F" w14:textId="77777777" w:rsidR="00732571" w:rsidRPr="00365AC0" w:rsidRDefault="00732571" w:rsidP="00D36A4F">
            <w:pPr>
              <w:jc w:val="center"/>
              <w:rPr>
                <w:color w:val="000000"/>
              </w:rPr>
            </w:pPr>
            <w:r w:rsidRPr="00365AC0">
              <w:rPr>
                <w:color w:val="000000"/>
                <w:sz w:val="22"/>
                <w:szCs w:val="22"/>
              </w:rPr>
              <w:t>0,571</w:t>
            </w:r>
          </w:p>
        </w:tc>
        <w:tc>
          <w:tcPr>
            <w:tcW w:w="813" w:type="dxa"/>
            <w:tcBorders>
              <w:top w:val="nil"/>
              <w:left w:val="nil"/>
              <w:bottom w:val="nil"/>
              <w:right w:val="nil"/>
            </w:tcBorders>
            <w:shd w:val="clear" w:color="auto" w:fill="auto"/>
            <w:noWrap/>
            <w:vAlign w:val="center"/>
            <w:hideMark/>
          </w:tcPr>
          <w:p w14:paraId="1274DCCD" w14:textId="77777777" w:rsidR="00732571" w:rsidRPr="00365AC0" w:rsidRDefault="00732571" w:rsidP="00D36A4F">
            <w:pPr>
              <w:jc w:val="center"/>
              <w:rPr>
                <w:color w:val="000000"/>
              </w:rPr>
            </w:pPr>
            <w:r w:rsidRPr="00365AC0">
              <w:rPr>
                <w:color w:val="000000"/>
                <w:sz w:val="22"/>
                <w:szCs w:val="22"/>
              </w:rPr>
              <w:t>0,005</w:t>
            </w:r>
          </w:p>
        </w:tc>
        <w:tc>
          <w:tcPr>
            <w:tcW w:w="960" w:type="dxa"/>
            <w:tcBorders>
              <w:top w:val="nil"/>
              <w:left w:val="nil"/>
              <w:bottom w:val="nil"/>
              <w:right w:val="nil"/>
            </w:tcBorders>
            <w:shd w:val="clear" w:color="auto" w:fill="auto"/>
            <w:noWrap/>
            <w:vAlign w:val="center"/>
            <w:hideMark/>
          </w:tcPr>
          <w:p w14:paraId="28475D58" w14:textId="77777777" w:rsidR="00732571" w:rsidRPr="00365AC0" w:rsidRDefault="00732571" w:rsidP="00D36A4F">
            <w:pPr>
              <w:jc w:val="center"/>
              <w:rPr>
                <w:color w:val="000000"/>
              </w:rPr>
            </w:pPr>
            <w:r w:rsidRPr="00365AC0">
              <w:rPr>
                <w:color w:val="000000"/>
                <w:sz w:val="22"/>
                <w:szCs w:val="22"/>
              </w:rPr>
              <w:t>0,026</w:t>
            </w:r>
          </w:p>
        </w:tc>
        <w:tc>
          <w:tcPr>
            <w:tcW w:w="960" w:type="dxa"/>
            <w:tcBorders>
              <w:top w:val="nil"/>
              <w:left w:val="nil"/>
              <w:bottom w:val="nil"/>
              <w:right w:val="nil"/>
            </w:tcBorders>
            <w:shd w:val="clear" w:color="auto" w:fill="auto"/>
            <w:noWrap/>
            <w:vAlign w:val="center"/>
            <w:hideMark/>
          </w:tcPr>
          <w:p w14:paraId="54D4CDA3" w14:textId="77777777" w:rsidR="00732571" w:rsidRPr="00365AC0" w:rsidRDefault="00732571" w:rsidP="00D36A4F">
            <w:pPr>
              <w:jc w:val="center"/>
              <w:rPr>
                <w:color w:val="000000"/>
              </w:rPr>
            </w:pPr>
            <w:r w:rsidRPr="00365AC0">
              <w:rPr>
                <w:color w:val="000000"/>
                <w:sz w:val="22"/>
                <w:szCs w:val="22"/>
              </w:rPr>
              <w:t>0,614</w:t>
            </w:r>
          </w:p>
        </w:tc>
      </w:tr>
      <w:tr w:rsidR="00732571" w:rsidRPr="00365AC0" w14:paraId="169156FE"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2B0759F2" w14:textId="77777777" w:rsidR="00732571" w:rsidRPr="00F90152" w:rsidRDefault="00732571" w:rsidP="00D36A4F">
            <w:pPr>
              <w:rPr>
                <w:b/>
                <w:bCs/>
                <w:color w:val="000000"/>
              </w:rPr>
            </w:pPr>
            <w:r w:rsidRPr="00F90152">
              <w:rPr>
                <w:b/>
                <w:bCs/>
                <w:color w:val="000000"/>
                <w:sz w:val="22"/>
                <w:szCs w:val="22"/>
              </w:rPr>
              <w:t>Food</w:t>
            </w:r>
          </w:p>
        </w:tc>
        <w:tc>
          <w:tcPr>
            <w:tcW w:w="1215" w:type="dxa"/>
            <w:tcBorders>
              <w:top w:val="nil"/>
              <w:left w:val="nil"/>
              <w:bottom w:val="nil"/>
              <w:right w:val="nil"/>
            </w:tcBorders>
            <w:shd w:val="clear" w:color="auto" w:fill="auto"/>
            <w:noWrap/>
            <w:vAlign w:val="center"/>
            <w:hideMark/>
          </w:tcPr>
          <w:p w14:paraId="541273A7" w14:textId="77777777" w:rsidR="00732571" w:rsidRPr="00F90152" w:rsidRDefault="00732571" w:rsidP="00D36A4F">
            <w:pPr>
              <w:jc w:val="center"/>
              <w:rPr>
                <w:b/>
                <w:bCs/>
                <w:color w:val="000000"/>
              </w:rPr>
            </w:pPr>
            <w:r w:rsidRPr="00F90152">
              <w:rPr>
                <w:b/>
                <w:bCs/>
                <w:color w:val="000000"/>
                <w:sz w:val="22"/>
                <w:szCs w:val="22"/>
              </w:rPr>
              <w:t>0,305</w:t>
            </w:r>
          </w:p>
        </w:tc>
        <w:tc>
          <w:tcPr>
            <w:tcW w:w="852" w:type="dxa"/>
            <w:tcBorders>
              <w:top w:val="nil"/>
              <w:left w:val="nil"/>
              <w:bottom w:val="nil"/>
              <w:right w:val="nil"/>
            </w:tcBorders>
            <w:shd w:val="clear" w:color="auto" w:fill="auto"/>
            <w:noWrap/>
            <w:vAlign w:val="center"/>
            <w:hideMark/>
          </w:tcPr>
          <w:p w14:paraId="62EBBD3C" w14:textId="77777777" w:rsidR="00732571" w:rsidRPr="00F90152" w:rsidRDefault="00732571" w:rsidP="00D36A4F">
            <w:pPr>
              <w:jc w:val="center"/>
              <w:rPr>
                <w:b/>
                <w:bCs/>
                <w:color w:val="000000"/>
              </w:rPr>
            </w:pPr>
            <w:r w:rsidRPr="00F90152">
              <w:rPr>
                <w:b/>
                <w:bCs/>
                <w:color w:val="000000"/>
                <w:sz w:val="22"/>
                <w:szCs w:val="22"/>
              </w:rPr>
              <w:t>0,364</w:t>
            </w:r>
          </w:p>
        </w:tc>
        <w:tc>
          <w:tcPr>
            <w:tcW w:w="813" w:type="dxa"/>
            <w:tcBorders>
              <w:top w:val="nil"/>
              <w:left w:val="nil"/>
              <w:bottom w:val="nil"/>
              <w:right w:val="nil"/>
            </w:tcBorders>
            <w:shd w:val="clear" w:color="auto" w:fill="auto"/>
            <w:noWrap/>
            <w:vAlign w:val="center"/>
            <w:hideMark/>
          </w:tcPr>
          <w:p w14:paraId="08C79266" w14:textId="77777777" w:rsidR="00732571" w:rsidRPr="00F90152" w:rsidRDefault="00732571" w:rsidP="00D36A4F">
            <w:pPr>
              <w:jc w:val="center"/>
              <w:rPr>
                <w:b/>
                <w:bCs/>
                <w:color w:val="000000"/>
              </w:rPr>
            </w:pPr>
            <w:r w:rsidRPr="00F90152">
              <w:rPr>
                <w:b/>
                <w:bCs/>
                <w:color w:val="000000"/>
                <w:sz w:val="22"/>
                <w:szCs w:val="22"/>
              </w:rPr>
              <w:t>-0,059</w:t>
            </w:r>
          </w:p>
        </w:tc>
        <w:tc>
          <w:tcPr>
            <w:tcW w:w="960" w:type="dxa"/>
            <w:tcBorders>
              <w:top w:val="nil"/>
              <w:left w:val="nil"/>
              <w:bottom w:val="nil"/>
              <w:right w:val="nil"/>
            </w:tcBorders>
            <w:shd w:val="clear" w:color="auto" w:fill="auto"/>
            <w:noWrap/>
            <w:vAlign w:val="center"/>
            <w:hideMark/>
          </w:tcPr>
          <w:p w14:paraId="6B48003C" w14:textId="77777777" w:rsidR="00732571" w:rsidRPr="00F90152" w:rsidRDefault="00732571" w:rsidP="00D36A4F">
            <w:pPr>
              <w:jc w:val="center"/>
              <w:rPr>
                <w:b/>
                <w:bCs/>
                <w:color w:val="000000"/>
              </w:rPr>
            </w:pPr>
            <w:r w:rsidRPr="00F90152">
              <w:rPr>
                <w:b/>
                <w:bCs/>
                <w:color w:val="000000"/>
                <w:sz w:val="22"/>
                <w:szCs w:val="22"/>
              </w:rPr>
              <w:t>-3,027</w:t>
            </w:r>
          </w:p>
        </w:tc>
        <w:tc>
          <w:tcPr>
            <w:tcW w:w="960" w:type="dxa"/>
            <w:tcBorders>
              <w:top w:val="nil"/>
              <w:left w:val="nil"/>
              <w:bottom w:val="nil"/>
              <w:right w:val="nil"/>
            </w:tcBorders>
            <w:shd w:val="clear" w:color="auto" w:fill="auto"/>
            <w:noWrap/>
            <w:vAlign w:val="center"/>
            <w:hideMark/>
          </w:tcPr>
          <w:p w14:paraId="443DEBF1" w14:textId="77777777" w:rsidR="00732571" w:rsidRPr="00F90152" w:rsidRDefault="00732571" w:rsidP="00D36A4F">
            <w:pPr>
              <w:jc w:val="center"/>
              <w:rPr>
                <w:b/>
                <w:bCs/>
                <w:color w:val="000000"/>
              </w:rPr>
            </w:pPr>
            <w:r w:rsidRPr="00F90152">
              <w:rPr>
                <w:b/>
                <w:bCs/>
                <w:color w:val="000000"/>
                <w:sz w:val="22"/>
                <w:szCs w:val="22"/>
              </w:rPr>
              <w:t>0,001</w:t>
            </w:r>
          </w:p>
        </w:tc>
      </w:tr>
      <w:tr w:rsidR="00732571" w:rsidRPr="00365AC0" w14:paraId="1C0286FF"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60C30AF7" w14:textId="77777777" w:rsidR="00732571" w:rsidRPr="00F90152" w:rsidRDefault="00732571" w:rsidP="00D36A4F">
            <w:pPr>
              <w:rPr>
                <w:b/>
                <w:bCs/>
                <w:color w:val="000000"/>
              </w:rPr>
            </w:pPr>
            <w:r w:rsidRPr="00F90152">
              <w:rPr>
                <w:b/>
                <w:bCs/>
                <w:color w:val="000000"/>
                <w:sz w:val="22"/>
                <w:szCs w:val="22"/>
              </w:rPr>
              <w:t>Games</w:t>
            </w:r>
          </w:p>
        </w:tc>
        <w:tc>
          <w:tcPr>
            <w:tcW w:w="1215" w:type="dxa"/>
            <w:tcBorders>
              <w:top w:val="nil"/>
              <w:left w:val="nil"/>
              <w:bottom w:val="nil"/>
              <w:right w:val="nil"/>
            </w:tcBorders>
            <w:shd w:val="clear" w:color="auto" w:fill="auto"/>
            <w:noWrap/>
            <w:vAlign w:val="center"/>
            <w:hideMark/>
          </w:tcPr>
          <w:p w14:paraId="35888484" w14:textId="77777777" w:rsidR="00732571" w:rsidRPr="00F90152" w:rsidRDefault="00732571" w:rsidP="00D36A4F">
            <w:pPr>
              <w:jc w:val="center"/>
              <w:rPr>
                <w:b/>
                <w:bCs/>
                <w:color w:val="000000"/>
              </w:rPr>
            </w:pPr>
            <w:r w:rsidRPr="00F90152">
              <w:rPr>
                <w:b/>
                <w:bCs/>
                <w:color w:val="000000"/>
                <w:sz w:val="22"/>
                <w:szCs w:val="22"/>
              </w:rPr>
              <w:t>0,850</w:t>
            </w:r>
          </w:p>
        </w:tc>
        <w:tc>
          <w:tcPr>
            <w:tcW w:w="852" w:type="dxa"/>
            <w:tcBorders>
              <w:top w:val="nil"/>
              <w:left w:val="nil"/>
              <w:bottom w:val="nil"/>
              <w:right w:val="nil"/>
            </w:tcBorders>
            <w:shd w:val="clear" w:color="auto" w:fill="auto"/>
            <w:noWrap/>
            <w:vAlign w:val="center"/>
            <w:hideMark/>
          </w:tcPr>
          <w:p w14:paraId="51508D2D" w14:textId="77777777" w:rsidR="00732571" w:rsidRPr="00F90152" w:rsidRDefault="00732571" w:rsidP="00D36A4F">
            <w:pPr>
              <w:jc w:val="center"/>
              <w:rPr>
                <w:b/>
                <w:bCs/>
                <w:color w:val="000000"/>
              </w:rPr>
            </w:pPr>
            <w:r w:rsidRPr="00F90152">
              <w:rPr>
                <w:b/>
                <w:bCs/>
                <w:color w:val="000000"/>
                <w:sz w:val="22"/>
                <w:szCs w:val="22"/>
              </w:rPr>
              <w:t>0,902</w:t>
            </w:r>
          </w:p>
        </w:tc>
        <w:tc>
          <w:tcPr>
            <w:tcW w:w="813" w:type="dxa"/>
            <w:tcBorders>
              <w:top w:val="nil"/>
              <w:left w:val="nil"/>
              <w:bottom w:val="nil"/>
              <w:right w:val="nil"/>
            </w:tcBorders>
            <w:shd w:val="clear" w:color="auto" w:fill="auto"/>
            <w:noWrap/>
            <w:vAlign w:val="center"/>
            <w:hideMark/>
          </w:tcPr>
          <w:p w14:paraId="1A44CD4B" w14:textId="77777777" w:rsidR="00732571" w:rsidRPr="00F90152" w:rsidRDefault="00732571" w:rsidP="00D36A4F">
            <w:pPr>
              <w:jc w:val="center"/>
              <w:rPr>
                <w:b/>
                <w:bCs/>
                <w:color w:val="000000"/>
              </w:rPr>
            </w:pPr>
            <w:r w:rsidRPr="00F90152">
              <w:rPr>
                <w:b/>
                <w:bCs/>
                <w:color w:val="000000"/>
                <w:sz w:val="22"/>
                <w:szCs w:val="22"/>
              </w:rPr>
              <w:t>-0,052</w:t>
            </w:r>
          </w:p>
        </w:tc>
        <w:tc>
          <w:tcPr>
            <w:tcW w:w="960" w:type="dxa"/>
            <w:tcBorders>
              <w:top w:val="nil"/>
              <w:left w:val="nil"/>
              <w:bottom w:val="nil"/>
              <w:right w:val="nil"/>
            </w:tcBorders>
            <w:shd w:val="clear" w:color="auto" w:fill="auto"/>
            <w:noWrap/>
            <w:vAlign w:val="center"/>
            <w:hideMark/>
          </w:tcPr>
          <w:p w14:paraId="5C8476D5" w14:textId="77777777" w:rsidR="00732571" w:rsidRPr="00F90152" w:rsidRDefault="00732571" w:rsidP="00D36A4F">
            <w:pPr>
              <w:jc w:val="center"/>
              <w:rPr>
                <w:b/>
                <w:bCs/>
                <w:color w:val="000000"/>
              </w:rPr>
            </w:pPr>
            <w:r w:rsidRPr="00F90152">
              <w:rPr>
                <w:b/>
                <w:bCs/>
                <w:color w:val="000000"/>
                <w:sz w:val="22"/>
                <w:szCs w:val="22"/>
              </w:rPr>
              <w:t>-7,428</w:t>
            </w:r>
          </w:p>
        </w:tc>
        <w:tc>
          <w:tcPr>
            <w:tcW w:w="960" w:type="dxa"/>
            <w:tcBorders>
              <w:top w:val="nil"/>
              <w:left w:val="nil"/>
              <w:bottom w:val="nil"/>
              <w:right w:val="nil"/>
            </w:tcBorders>
            <w:shd w:val="clear" w:color="auto" w:fill="auto"/>
            <w:noWrap/>
            <w:vAlign w:val="center"/>
            <w:hideMark/>
          </w:tcPr>
          <w:p w14:paraId="60CFB93F" w14:textId="77777777" w:rsidR="00732571" w:rsidRPr="00F90152" w:rsidRDefault="00732571" w:rsidP="00D36A4F">
            <w:pPr>
              <w:jc w:val="center"/>
              <w:rPr>
                <w:b/>
                <w:bCs/>
                <w:color w:val="000000"/>
              </w:rPr>
            </w:pPr>
            <w:r w:rsidRPr="00F90152">
              <w:rPr>
                <w:b/>
                <w:bCs/>
                <w:color w:val="000000"/>
                <w:sz w:val="22"/>
                <w:szCs w:val="22"/>
              </w:rPr>
              <w:t>0,000</w:t>
            </w:r>
          </w:p>
        </w:tc>
      </w:tr>
      <w:tr w:rsidR="00732571" w:rsidRPr="00365AC0" w14:paraId="037F9335"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2801A7B3" w14:textId="77777777" w:rsidR="00732571" w:rsidRPr="00365AC0" w:rsidRDefault="00732571" w:rsidP="00D36A4F">
            <w:pPr>
              <w:rPr>
                <w:color w:val="000000"/>
              </w:rPr>
            </w:pPr>
            <w:r w:rsidRPr="00365AC0">
              <w:rPr>
                <w:color w:val="000000"/>
                <w:sz w:val="22"/>
                <w:szCs w:val="22"/>
              </w:rPr>
              <w:t>Journalism</w:t>
            </w:r>
          </w:p>
        </w:tc>
        <w:tc>
          <w:tcPr>
            <w:tcW w:w="1215" w:type="dxa"/>
            <w:tcBorders>
              <w:top w:val="nil"/>
              <w:left w:val="nil"/>
              <w:bottom w:val="nil"/>
              <w:right w:val="nil"/>
            </w:tcBorders>
            <w:shd w:val="clear" w:color="auto" w:fill="auto"/>
            <w:noWrap/>
            <w:vAlign w:val="center"/>
            <w:hideMark/>
          </w:tcPr>
          <w:p w14:paraId="628B474E" w14:textId="77777777" w:rsidR="00732571" w:rsidRPr="00365AC0" w:rsidRDefault="00732571" w:rsidP="00D36A4F">
            <w:pPr>
              <w:jc w:val="center"/>
              <w:rPr>
                <w:color w:val="000000"/>
              </w:rPr>
            </w:pPr>
            <w:r w:rsidRPr="00365AC0">
              <w:rPr>
                <w:color w:val="000000"/>
                <w:sz w:val="22"/>
                <w:szCs w:val="22"/>
              </w:rPr>
              <w:t>0,364</w:t>
            </w:r>
          </w:p>
        </w:tc>
        <w:tc>
          <w:tcPr>
            <w:tcW w:w="852" w:type="dxa"/>
            <w:tcBorders>
              <w:top w:val="nil"/>
              <w:left w:val="nil"/>
              <w:bottom w:val="nil"/>
              <w:right w:val="nil"/>
            </w:tcBorders>
            <w:shd w:val="clear" w:color="auto" w:fill="auto"/>
            <w:noWrap/>
            <w:vAlign w:val="center"/>
            <w:hideMark/>
          </w:tcPr>
          <w:p w14:paraId="143B6DE7" w14:textId="77777777" w:rsidR="00732571" w:rsidRPr="00365AC0" w:rsidRDefault="00732571" w:rsidP="00D36A4F">
            <w:pPr>
              <w:jc w:val="center"/>
              <w:rPr>
                <w:color w:val="000000"/>
              </w:rPr>
            </w:pPr>
            <w:r w:rsidRPr="00365AC0">
              <w:rPr>
                <w:color w:val="000000"/>
                <w:sz w:val="22"/>
                <w:szCs w:val="22"/>
              </w:rPr>
              <w:t>0,402</w:t>
            </w:r>
          </w:p>
        </w:tc>
        <w:tc>
          <w:tcPr>
            <w:tcW w:w="813" w:type="dxa"/>
            <w:tcBorders>
              <w:top w:val="nil"/>
              <w:left w:val="nil"/>
              <w:bottom w:val="nil"/>
              <w:right w:val="nil"/>
            </w:tcBorders>
            <w:shd w:val="clear" w:color="auto" w:fill="auto"/>
            <w:noWrap/>
            <w:vAlign w:val="center"/>
            <w:hideMark/>
          </w:tcPr>
          <w:p w14:paraId="46F40658" w14:textId="77777777" w:rsidR="00732571" w:rsidRPr="00365AC0" w:rsidRDefault="00732571" w:rsidP="00D36A4F">
            <w:pPr>
              <w:jc w:val="center"/>
              <w:rPr>
                <w:color w:val="000000"/>
              </w:rPr>
            </w:pPr>
            <w:r w:rsidRPr="00365AC0">
              <w:rPr>
                <w:color w:val="000000"/>
                <w:sz w:val="22"/>
                <w:szCs w:val="22"/>
              </w:rPr>
              <w:t>-0,038</w:t>
            </w:r>
          </w:p>
        </w:tc>
        <w:tc>
          <w:tcPr>
            <w:tcW w:w="960" w:type="dxa"/>
            <w:tcBorders>
              <w:top w:val="nil"/>
              <w:left w:val="nil"/>
              <w:bottom w:val="nil"/>
              <w:right w:val="nil"/>
            </w:tcBorders>
            <w:shd w:val="clear" w:color="auto" w:fill="auto"/>
            <w:noWrap/>
            <w:vAlign w:val="center"/>
            <w:hideMark/>
          </w:tcPr>
          <w:p w14:paraId="1AA42621" w14:textId="77777777" w:rsidR="00732571" w:rsidRPr="00365AC0" w:rsidRDefault="00732571" w:rsidP="00D36A4F">
            <w:pPr>
              <w:jc w:val="center"/>
              <w:rPr>
                <w:color w:val="000000"/>
              </w:rPr>
            </w:pPr>
            <w:r w:rsidRPr="00365AC0">
              <w:rPr>
                <w:color w:val="000000"/>
                <w:sz w:val="22"/>
                <w:szCs w:val="22"/>
              </w:rPr>
              <w:t>-0,822</w:t>
            </w:r>
          </w:p>
        </w:tc>
        <w:tc>
          <w:tcPr>
            <w:tcW w:w="960" w:type="dxa"/>
            <w:tcBorders>
              <w:top w:val="nil"/>
              <w:left w:val="nil"/>
              <w:bottom w:val="nil"/>
              <w:right w:val="nil"/>
            </w:tcBorders>
            <w:shd w:val="clear" w:color="auto" w:fill="auto"/>
            <w:noWrap/>
            <w:vAlign w:val="center"/>
            <w:hideMark/>
          </w:tcPr>
          <w:p w14:paraId="26577065" w14:textId="77777777" w:rsidR="00732571" w:rsidRPr="00365AC0" w:rsidRDefault="00732571" w:rsidP="00D36A4F">
            <w:pPr>
              <w:jc w:val="center"/>
              <w:rPr>
                <w:color w:val="000000"/>
              </w:rPr>
            </w:pPr>
            <w:r w:rsidRPr="00365AC0">
              <w:rPr>
                <w:color w:val="000000"/>
                <w:sz w:val="22"/>
                <w:szCs w:val="22"/>
              </w:rPr>
              <w:t>0,206</w:t>
            </w:r>
          </w:p>
        </w:tc>
      </w:tr>
      <w:tr w:rsidR="00732571" w:rsidRPr="00365AC0" w14:paraId="7AF4FC8D"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503F1ACA" w14:textId="77777777" w:rsidR="00732571" w:rsidRPr="00365AC0" w:rsidRDefault="00732571" w:rsidP="00D36A4F">
            <w:pPr>
              <w:rPr>
                <w:color w:val="000000"/>
              </w:rPr>
            </w:pPr>
            <w:r w:rsidRPr="00365AC0">
              <w:rPr>
                <w:color w:val="000000"/>
                <w:sz w:val="22"/>
                <w:szCs w:val="22"/>
              </w:rPr>
              <w:t>Music</w:t>
            </w:r>
          </w:p>
        </w:tc>
        <w:tc>
          <w:tcPr>
            <w:tcW w:w="1215" w:type="dxa"/>
            <w:tcBorders>
              <w:top w:val="nil"/>
              <w:left w:val="nil"/>
              <w:bottom w:val="nil"/>
              <w:right w:val="nil"/>
            </w:tcBorders>
            <w:shd w:val="clear" w:color="auto" w:fill="auto"/>
            <w:noWrap/>
            <w:vAlign w:val="center"/>
            <w:hideMark/>
          </w:tcPr>
          <w:p w14:paraId="1FF39C9D" w14:textId="77777777" w:rsidR="00732571" w:rsidRPr="00365AC0" w:rsidRDefault="00732571" w:rsidP="00D36A4F">
            <w:pPr>
              <w:jc w:val="center"/>
              <w:rPr>
                <w:color w:val="000000"/>
              </w:rPr>
            </w:pPr>
            <w:r w:rsidRPr="00365AC0">
              <w:rPr>
                <w:color w:val="000000"/>
                <w:sz w:val="22"/>
                <w:szCs w:val="22"/>
              </w:rPr>
              <w:t>0,671</w:t>
            </w:r>
          </w:p>
        </w:tc>
        <w:tc>
          <w:tcPr>
            <w:tcW w:w="852" w:type="dxa"/>
            <w:tcBorders>
              <w:top w:val="nil"/>
              <w:left w:val="nil"/>
              <w:bottom w:val="nil"/>
              <w:right w:val="nil"/>
            </w:tcBorders>
            <w:shd w:val="clear" w:color="auto" w:fill="auto"/>
            <w:noWrap/>
            <w:vAlign w:val="center"/>
            <w:hideMark/>
          </w:tcPr>
          <w:p w14:paraId="5FCBF5B8" w14:textId="77777777" w:rsidR="00732571" w:rsidRPr="00365AC0" w:rsidRDefault="00732571" w:rsidP="00D36A4F">
            <w:pPr>
              <w:jc w:val="center"/>
              <w:rPr>
                <w:color w:val="000000"/>
              </w:rPr>
            </w:pPr>
            <w:r w:rsidRPr="00365AC0">
              <w:rPr>
                <w:color w:val="000000"/>
                <w:sz w:val="22"/>
                <w:szCs w:val="22"/>
              </w:rPr>
              <w:t>0,694</w:t>
            </w:r>
          </w:p>
        </w:tc>
        <w:tc>
          <w:tcPr>
            <w:tcW w:w="813" w:type="dxa"/>
            <w:tcBorders>
              <w:top w:val="nil"/>
              <w:left w:val="nil"/>
              <w:bottom w:val="nil"/>
              <w:right w:val="nil"/>
            </w:tcBorders>
            <w:shd w:val="clear" w:color="auto" w:fill="auto"/>
            <w:noWrap/>
            <w:vAlign w:val="center"/>
            <w:hideMark/>
          </w:tcPr>
          <w:p w14:paraId="2E9E8703" w14:textId="77777777" w:rsidR="00732571" w:rsidRPr="00365AC0" w:rsidRDefault="00732571" w:rsidP="00D36A4F">
            <w:pPr>
              <w:jc w:val="center"/>
              <w:rPr>
                <w:color w:val="000000"/>
              </w:rPr>
            </w:pPr>
            <w:r w:rsidRPr="00365AC0">
              <w:rPr>
                <w:color w:val="000000"/>
                <w:sz w:val="22"/>
                <w:szCs w:val="22"/>
              </w:rPr>
              <w:t>-0,023</w:t>
            </w:r>
          </w:p>
        </w:tc>
        <w:tc>
          <w:tcPr>
            <w:tcW w:w="960" w:type="dxa"/>
            <w:tcBorders>
              <w:top w:val="nil"/>
              <w:left w:val="nil"/>
              <w:bottom w:val="nil"/>
              <w:right w:val="nil"/>
            </w:tcBorders>
            <w:shd w:val="clear" w:color="auto" w:fill="auto"/>
            <w:noWrap/>
            <w:vAlign w:val="center"/>
            <w:hideMark/>
          </w:tcPr>
          <w:p w14:paraId="12AE3889" w14:textId="77777777" w:rsidR="00732571" w:rsidRPr="00365AC0" w:rsidRDefault="00732571" w:rsidP="00D36A4F">
            <w:pPr>
              <w:jc w:val="center"/>
              <w:rPr>
                <w:color w:val="000000"/>
              </w:rPr>
            </w:pPr>
            <w:r w:rsidRPr="00365AC0">
              <w:rPr>
                <w:color w:val="000000"/>
                <w:sz w:val="22"/>
                <w:szCs w:val="22"/>
              </w:rPr>
              <w:t>-1,267</w:t>
            </w:r>
          </w:p>
        </w:tc>
        <w:tc>
          <w:tcPr>
            <w:tcW w:w="960" w:type="dxa"/>
            <w:tcBorders>
              <w:top w:val="nil"/>
              <w:left w:val="nil"/>
              <w:bottom w:val="nil"/>
              <w:right w:val="nil"/>
            </w:tcBorders>
            <w:shd w:val="clear" w:color="auto" w:fill="auto"/>
            <w:noWrap/>
            <w:vAlign w:val="center"/>
            <w:hideMark/>
          </w:tcPr>
          <w:p w14:paraId="40BBAD52" w14:textId="77777777" w:rsidR="00732571" w:rsidRPr="00365AC0" w:rsidRDefault="00732571" w:rsidP="00D36A4F">
            <w:pPr>
              <w:jc w:val="center"/>
              <w:rPr>
                <w:color w:val="000000"/>
              </w:rPr>
            </w:pPr>
            <w:r w:rsidRPr="00365AC0">
              <w:rPr>
                <w:color w:val="000000"/>
                <w:sz w:val="22"/>
                <w:szCs w:val="22"/>
              </w:rPr>
              <w:t>0,103</w:t>
            </w:r>
          </w:p>
        </w:tc>
      </w:tr>
      <w:tr w:rsidR="00732571" w:rsidRPr="00365AC0" w14:paraId="20DAEB6A"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23899E4B" w14:textId="77777777" w:rsidR="00732571" w:rsidRPr="00F90152" w:rsidRDefault="00732571" w:rsidP="00D36A4F">
            <w:pPr>
              <w:rPr>
                <w:b/>
                <w:bCs/>
                <w:color w:val="000000"/>
              </w:rPr>
            </w:pPr>
            <w:r w:rsidRPr="00F90152">
              <w:rPr>
                <w:b/>
                <w:bCs/>
                <w:color w:val="000000"/>
                <w:sz w:val="22"/>
                <w:szCs w:val="22"/>
              </w:rPr>
              <w:t>Photography</w:t>
            </w:r>
          </w:p>
        </w:tc>
        <w:tc>
          <w:tcPr>
            <w:tcW w:w="1215" w:type="dxa"/>
            <w:tcBorders>
              <w:top w:val="nil"/>
              <w:left w:val="nil"/>
              <w:bottom w:val="nil"/>
              <w:right w:val="nil"/>
            </w:tcBorders>
            <w:shd w:val="clear" w:color="auto" w:fill="auto"/>
            <w:noWrap/>
            <w:vAlign w:val="center"/>
            <w:hideMark/>
          </w:tcPr>
          <w:p w14:paraId="718A5A77" w14:textId="77777777" w:rsidR="00732571" w:rsidRPr="00F90152" w:rsidRDefault="00732571" w:rsidP="00D36A4F">
            <w:pPr>
              <w:jc w:val="center"/>
              <w:rPr>
                <w:b/>
                <w:bCs/>
                <w:color w:val="000000"/>
              </w:rPr>
            </w:pPr>
            <w:r w:rsidRPr="00F90152">
              <w:rPr>
                <w:b/>
                <w:bCs/>
                <w:color w:val="000000"/>
                <w:sz w:val="22"/>
                <w:szCs w:val="22"/>
              </w:rPr>
              <w:t>0,514</w:t>
            </w:r>
          </w:p>
        </w:tc>
        <w:tc>
          <w:tcPr>
            <w:tcW w:w="852" w:type="dxa"/>
            <w:tcBorders>
              <w:top w:val="nil"/>
              <w:left w:val="nil"/>
              <w:bottom w:val="nil"/>
              <w:right w:val="nil"/>
            </w:tcBorders>
            <w:shd w:val="clear" w:color="auto" w:fill="auto"/>
            <w:noWrap/>
            <w:vAlign w:val="center"/>
            <w:hideMark/>
          </w:tcPr>
          <w:p w14:paraId="63BD8269" w14:textId="77777777" w:rsidR="00732571" w:rsidRPr="00F90152" w:rsidRDefault="00732571" w:rsidP="00D36A4F">
            <w:pPr>
              <w:jc w:val="center"/>
              <w:rPr>
                <w:b/>
                <w:bCs/>
                <w:color w:val="000000"/>
              </w:rPr>
            </w:pPr>
            <w:r w:rsidRPr="00F90152">
              <w:rPr>
                <w:b/>
                <w:bCs/>
                <w:color w:val="000000"/>
                <w:sz w:val="22"/>
                <w:szCs w:val="22"/>
              </w:rPr>
              <w:t>0,626</w:t>
            </w:r>
          </w:p>
        </w:tc>
        <w:tc>
          <w:tcPr>
            <w:tcW w:w="813" w:type="dxa"/>
            <w:tcBorders>
              <w:top w:val="nil"/>
              <w:left w:val="nil"/>
              <w:bottom w:val="nil"/>
              <w:right w:val="nil"/>
            </w:tcBorders>
            <w:shd w:val="clear" w:color="auto" w:fill="auto"/>
            <w:noWrap/>
            <w:vAlign w:val="center"/>
            <w:hideMark/>
          </w:tcPr>
          <w:p w14:paraId="7840E7A8" w14:textId="77777777" w:rsidR="00732571" w:rsidRPr="00F90152" w:rsidRDefault="00732571" w:rsidP="00D36A4F">
            <w:pPr>
              <w:jc w:val="center"/>
              <w:rPr>
                <w:b/>
                <w:bCs/>
                <w:color w:val="000000"/>
              </w:rPr>
            </w:pPr>
            <w:r w:rsidRPr="00F90152">
              <w:rPr>
                <w:b/>
                <w:bCs/>
                <w:color w:val="000000"/>
                <w:sz w:val="22"/>
                <w:szCs w:val="22"/>
              </w:rPr>
              <w:t>-0,112</w:t>
            </w:r>
          </w:p>
        </w:tc>
        <w:tc>
          <w:tcPr>
            <w:tcW w:w="960" w:type="dxa"/>
            <w:tcBorders>
              <w:top w:val="nil"/>
              <w:left w:val="nil"/>
              <w:bottom w:val="nil"/>
              <w:right w:val="nil"/>
            </w:tcBorders>
            <w:shd w:val="clear" w:color="auto" w:fill="auto"/>
            <w:noWrap/>
            <w:vAlign w:val="center"/>
            <w:hideMark/>
          </w:tcPr>
          <w:p w14:paraId="6D041F59" w14:textId="77777777" w:rsidR="00732571" w:rsidRPr="00F90152" w:rsidRDefault="00732571" w:rsidP="00D36A4F">
            <w:pPr>
              <w:jc w:val="center"/>
              <w:rPr>
                <w:b/>
                <w:bCs/>
                <w:color w:val="000000"/>
              </w:rPr>
            </w:pPr>
            <w:r w:rsidRPr="00F90152">
              <w:rPr>
                <w:b/>
                <w:bCs/>
                <w:color w:val="000000"/>
                <w:sz w:val="22"/>
                <w:szCs w:val="22"/>
              </w:rPr>
              <w:t>-3,263</w:t>
            </w:r>
          </w:p>
        </w:tc>
        <w:tc>
          <w:tcPr>
            <w:tcW w:w="960" w:type="dxa"/>
            <w:tcBorders>
              <w:top w:val="nil"/>
              <w:left w:val="nil"/>
              <w:bottom w:val="nil"/>
              <w:right w:val="nil"/>
            </w:tcBorders>
            <w:shd w:val="clear" w:color="auto" w:fill="auto"/>
            <w:noWrap/>
            <w:vAlign w:val="center"/>
            <w:hideMark/>
          </w:tcPr>
          <w:p w14:paraId="52339B55" w14:textId="77777777" w:rsidR="00732571" w:rsidRPr="00F90152" w:rsidRDefault="00732571" w:rsidP="00D36A4F">
            <w:pPr>
              <w:jc w:val="center"/>
              <w:rPr>
                <w:b/>
                <w:bCs/>
                <w:color w:val="000000"/>
              </w:rPr>
            </w:pPr>
            <w:r w:rsidRPr="00F90152">
              <w:rPr>
                <w:b/>
                <w:bCs/>
                <w:color w:val="000000"/>
                <w:sz w:val="22"/>
                <w:szCs w:val="22"/>
              </w:rPr>
              <w:t>0,001</w:t>
            </w:r>
          </w:p>
        </w:tc>
      </w:tr>
      <w:tr w:rsidR="00732571" w:rsidRPr="00365AC0" w14:paraId="23B68D8C"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09860BB1" w14:textId="77777777" w:rsidR="00732571" w:rsidRPr="00F90152" w:rsidRDefault="00732571" w:rsidP="00D36A4F">
            <w:pPr>
              <w:rPr>
                <w:b/>
                <w:bCs/>
                <w:color w:val="000000"/>
              </w:rPr>
            </w:pPr>
            <w:r w:rsidRPr="00F90152">
              <w:rPr>
                <w:b/>
                <w:bCs/>
                <w:color w:val="000000"/>
                <w:sz w:val="22"/>
                <w:szCs w:val="22"/>
              </w:rPr>
              <w:t>Publishing</w:t>
            </w:r>
          </w:p>
        </w:tc>
        <w:tc>
          <w:tcPr>
            <w:tcW w:w="1215" w:type="dxa"/>
            <w:tcBorders>
              <w:top w:val="nil"/>
              <w:left w:val="nil"/>
              <w:bottom w:val="nil"/>
              <w:right w:val="nil"/>
            </w:tcBorders>
            <w:shd w:val="clear" w:color="auto" w:fill="auto"/>
            <w:noWrap/>
            <w:vAlign w:val="center"/>
            <w:hideMark/>
          </w:tcPr>
          <w:p w14:paraId="767B3208" w14:textId="77777777" w:rsidR="00732571" w:rsidRPr="00F90152" w:rsidRDefault="00732571" w:rsidP="00D36A4F">
            <w:pPr>
              <w:jc w:val="center"/>
              <w:rPr>
                <w:b/>
                <w:bCs/>
                <w:color w:val="000000"/>
              </w:rPr>
            </w:pPr>
            <w:r w:rsidRPr="00F90152">
              <w:rPr>
                <w:b/>
                <w:bCs/>
                <w:color w:val="000000"/>
                <w:sz w:val="22"/>
                <w:szCs w:val="22"/>
              </w:rPr>
              <w:t>0,743</w:t>
            </w:r>
          </w:p>
        </w:tc>
        <w:tc>
          <w:tcPr>
            <w:tcW w:w="852" w:type="dxa"/>
            <w:tcBorders>
              <w:top w:val="nil"/>
              <w:left w:val="nil"/>
              <w:bottom w:val="nil"/>
              <w:right w:val="nil"/>
            </w:tcBorders>
            <w:shd w:val="clear" w:color="auto" w:fill="auto"/>
            <w:noWrap/>
            <w:vAlign w:val="center"/>
            <w:hideMark/>
          </w:tcPr>
          <w:p w14:paraId="6F3B479A" w14:textId="77777777" w:rsidR="00732571" w:rsidRPr="00F90152" w:rsidRDefault="00732571" w:rsidP="00D36A4F">
            <w:pPr>
              <w:jc w:val="center"/>
              <w:rPr>
                <w:b/>
                <w:bCs/>
                <w:color w:val="000000"/>
              </w:rPr>
            </w:pPr>
            <w:r w:rsidRPr="00F90152">
              <w:rPr>
                <w:b/>
                <w:bCs/>
                <w:color w:val="000000"/>
                <w:sz w:val="22"/>
                <w:szCs w:val="22"/>
              </w:rPr>
              <w:t>0,804</w:t>
            </w:r>
          </w:p>
        </w:tc>
        <w:tc>
          <w:tcPr>
            <w:tcW w:w="813" w:type="dxa"/>
            <w:tcBorders>
              <w:top w:val="nil"/>
              <w:left w:val="nil"/>
              <w:bottom w:val="nil"/>
              <w:right w:val="nil"/>
            </w:tcBorders>
            <w:shd w:val="clear" w:color="auto" w:fill="auto"/>
            <w:noWrap/>
            <w:vAlign w:val="center"/>
            <w:hideMark/>
          </w:tcPr>
          <w:p w14:paraId="5036D1F6" w14:textId="77777777" w:rsidR="00732571" w:rsidRPr="00F90152" w:rsidRDefault="00732571" w:rsidP="00D36A4F">
            <w:pPr>
              <w:jc w:val="center"/>
              <w:rPr>
                <w:b/>
                <w:bCs/>
                <w:color w:val="000000"/>
              </w:rPr>
            </w:pPr>
            <w:r w:rsidRPr="00F90152">
              <w:rPr>
                <w:b/>
                <w:bCs/>
                <w:color w:val="000000"/>
                <w:sz w:val="22"/>
                <w:szCs w:val="22"/>
              </w:rPr>
              <w:t>-0,061</w:t>
            </w:r>
          </w:p>
        </w:tc>
        <w:tc>
          <w:tcPr>
            <w:tcW w:w="960" w:type="dxa"/>
            <w:tcBorders>
              <w:top w:val="nil"/>
              <w:left w:val="nil"/>
              <w:bottom w:val="nil"/>
              <w:right w:val="nil"/>
            </w:tcBorders>
            <w:shd w:val="clear" w:color="auto" w:fill="auto"/>
            <w:noWrap/>
            <w:vAlign w:val="center"/>
            <w:hideMark/>
          </w:tcPr>
          <w:p w14:paraId="62219D50" w14:textId="77777777" w:rsidR="00732571" w:rsidRPr="00F90152" w:rsidRDefault="00732571" w:rsidP="00D36A4F">
            <w:pPr>
              <w:jc w:val="center"/>
              <w:rPr>
                <w:b/>
                <w:bCs/>
                <w:color w:val="000000"/>
              </w:rPr>
            </w:pPr>
            <w:r w:rsidRPr="00F90152">
              <w:rPr>
                <w:b/>
                <w:bCs/>
                <w:color w:val="000000"/>
                <w:sz w:val="22"/>
                <w:szCs w:val="22"/>
              </w:rPr>
              <w:t>-4,801</w:t>
            </w:r>
          </w:p>
        </w:tc>
        <w:tc>
          <w:tcPr>
            <w:tcW w:w="960" w:type="dxa"/>
            <w:tcBorders>
              <w:top w:val="nil"/>
              <w:left w:val="nil"/>
              <w:bottom w:val="nil"/>
              <w:right w:val="nil"/>
            </w:tcBorders>
            <w:shd w:val="clear" w:color="auto" w:fill="auto"/>
            <w:noWrap/>
            <w:vAlign w:val="center"/>
            <w:hideMark/>
          </w:tcPr>
          <w:p w14:paraId="3E9CE2D3" w14:textId="77777777" w:rsidR="00732571" w:rsidRPr="00F90152" w:rsidRDefault="00732571" w:rsidP="00D36A4F">
            <w:pPr>
              <w:jc w:val="center"/>
              <w:rPr>
                <w:b/>
                <w:bCs/>
                <w:color w:val="000000"/>
              </w:rPr>
            </w:pPr>
            <w:r w:rsidRPr="00F90152">
              <w:rPr>
                <w:b/>
                <w:bCs/>
                <w:color w:val="000000"/>
                <w:sz w:val="22"/>
                <w:szCs w:val="22"/>
              </w:rPr>
              <w:t>0,000</w:t>
            </w:r>
          </w:p>
        </w:tc>
      </w:tr>
      <w:tr w:rsidR="00732571" w:rsidRPr="00365AC0" w14:paraId="26F3891D"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2D6105FB" w14:textId="77777777" w:rsidR="00732571" w:rsidRPr="00F90152" w:rsidRDefault="00732571" w:rsidP="00D36A4F">
            <w:pPr>
              <w:rPr>
                <w:b/>
                <w:bCs/>
                <w:color w:val="000000"/>
              </w:rPr>
            </w:pPr>
            <w:r w:rsidRPr="00F90152">
              <w:rPr>
                <w:b/>
                <w:bCs/>
                <w:color w:val="000000"/>
                <w:sz w:val="22"/>
                <w:szCs w:val="22"/>
              </w:rPr>
              <w:t>Technology</w:t>
            </w:r>
          </w:p>
        </w:tc>
        <w:tc>
          <w:tcPr>
            <w:tcW w:w="1215" w:type="dxa"/>
            <w:tcBorders>
              <w:top w:val="nil"/>
              <w:left w:val="nil"/>
              <w:bottom w:val="nil"/>
              <w:right w:val="nil"/>
            </w:tcBorders>
            <w:shd w:val="clear" w:color="auto" w:fill="auto"/>
            <w:noWrap/>
            <w:vAlign w:val="center"/>
            <w:hideMark/>
          </w:tcPr>
          <w:p w14:paraId="7E2F4B04" w14:textId="77777777" w:rsidR="00732571" w:rsidRPr="00F90152" w:rsidRDefault="00732571" w:rsidP="00D36A4F">
            <w:pPr>
              <w:jc w:val="center"/>
              <w:rPr>
                <w:b/>
                <w:bCs/>
                <w:color w:val="000000"/>
              </w:rPr>
            </w:pPr>
            <w:r w:rsidRPr="00F90152">
              <w:rPr>
                <w:b/>
                <w:bCs/>
                <w:color w:val="000000"/>
                <w:sz w:val="22"/>
                <w:szCs w:val="22"/>
              </w:rPr>
              <w:t>0,295</w:t>
            </w:r>
          </w:p>
        </w:tc>
        <w:tc>
          <w:tcPr>
            <w:tcW w:w="852" w:type="dxa"/>
            <w:tcBorders>
              <w:top w:val="nil"/>
              <w:left w:val="nil"/>
              <w:bottom w:val="nil"/>
              <w:right w:val="nil"/>
            </w:tcBorders>
            <w:shd w:val="clear" w:color="auto" w:fill="auto"/>
            <w:noWrap/>
            <w:vAlign w:val="center"/>
            <w:hideMark/>
          </w:tcPr>
          <w:p w14:paraId="775DDAAD" w14:textId="77777777" w:rsidR="00732571" w:rsidRPr="00F90152" w:rsidRDefault="00732571" w:rsidP="00D36A4F">
            <w:pPr>
              <w:jc w:val="center"/>
              <w:rPr>
                <w:b/>
                <w:bCs/>
                <w:color w:val="000000"/>
              </w:rPr>
            </w:pPr>
            <w:r w:rsidRPr="00F90152">
              <w:rPr>
                <w:b/>
                <w:bCs/>
                <w:color w:val="000000"/>
                <w:sz w:val="22"/>
                <w:szCs w:val="22"/>
              </w:rPr>
              <w:t>0,323</w:t>
            </w:r>
          </w:p>
        </w:tc>
        <w:tc>
          <w:tcPr>
            <w:tcW w:w="813" w:type="dxa"/>
            <w:tcBorders>
              <w:top w:val="nil"/>
              <w:left w:val="nil"/>
              <w:bottom w:val="nil"/>
              <w:right w:val="nil"/>
            </w:tcBorders>
            <w:shd w:val="clear" w:color="auto" w:fill="auto"/>
            <w:noWrap/>
            <w:vAlign w:val="center"/>
            <w:hideMark/>
          </w:tcPr>
          <w:p w14:paraId="669B135C" w14:textId="77777777" w:rsidR="00732571" w:rsidRPr="00F90152" w:rsidRDefault="00732571" w:rsidP="00D36A4F">
            <w:pPr>
              <w:jc w:val="center"/>
              <w:rPr>
                <w:b/>
                <w:bCs/>
                <w:color w:val="000000"/>
              </w:rPr>
            </w:pPr>
            <w:r w:rsidRPr="00F90152">
              <w:rPr>
                <w:b/>
                <w:bCs/>
                <w:color w:val="000000"/>
                <w:sz w:val="22"/>
                <w:szCs w:val="22"/>
              </w:rPr>
              <w:t>-0,028</w:t>
            </w:r>
          </w:p>
        </w:tc>
        <w:tc>
          <w:tcPr>
            <w:tcW w:w="960" w:type="dxa"/>
            <w:tcBorders>
              <w:top w:val="nil"/>
              <w:left w:val="nil"/>
              <w:bottom w:val="nil"/>
              <w:right w:val="nil"/>
            </w:tcBorders>
            <w:shd w:val="clear" w:color="auto" w:fill="auto"/>
            <w:noWrap/>
            <w:vAlign w:val="center"/>
            <w:hideMark/>
          </w:tcPr>
          <w:p w14:paraId="66429BA4" w14:textId="77777777" w:rsidR="00732571" w:rsidRPr="00F90152" w:rsidRDefault="00732571" w:rsidP="00D36A4F">
            <w:pPr>
              <w:jc w:val="center"/>
              <w:rPr>
                <w:b/>
                <w:bCs/>
                <w:color w:val="000000"/>
              </w:rPr>
            </w:pPr>
            <w:r w:rsidRPr="00F90152">
              <w:rPr>
                <w:b/>
                <w:bCs/>
                <w:color w:val="000000"/>
                <w:sz w:val="22"/>
                <w:szCs w:val="22"/>
              </w:rPr>
              <w:t>-2,246</w:t>
            </w:r>
          </w:p>
        </w:tc>
        <w:tc>
          <w:tcPr>
            <w:tcW w:w="960" w:type="dxa"/>
            <w:tcBorders>
              <w:top w:val="nil"/>
              <w:left w:val="nil"/>
              <w:bottom w:val="nil"/>
              <w:right w:val="nil"/>
            </w:tcBorders>
            <w:shd w:val="clear" w:color="auto" w:fill="auto"/>
            <w:noWrap/>
            <w:vAlign w:val="center"/>
            <w:hideMark/>
          </w:tcPr>
          <w:p w14:paraId="2459E003" w14:textId="77777777" w:rsidR="00732571" w:rsidRPr="00F90152" w:rsidRDefault="00732571" w:rsidP="00D36A4F">
            <w:pPr>
              <w:jc w:val="center"/>
              <w:rPr>
                <w:b/>
                <w:bCs/>
                <w:color w:val="000000"/>
              </w:rPr>
            </w:pPr>
            <w:r w:rsidRPr="00F90152">
              <w:rPr>
                <w:b/>
                <w:bCs/>
                <w:color w:val="000000"/>
                <w:sz w:val="22"/>
                <w:szCs w:val="22"/>
              </w:rPr>
              <w:t>0,012</w:t>
            </w:r>
          </w:p>
        </w:tc>
      </w:tr>
      <w:tr w:rsidR="00732571" w:rsidRPr="00365AC0" w14:paraId="1A4F3773"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67DFF5F3" w14:textId="77777777" w:rsidR="00732571" w:rsidRPr="00365AC0" w:rsidRDefault="00732571" w:rsidP="00D36A4F">
            <w:pPr>
              <w:rPr>
                <w:color w:val="000000"/>
              </w:rPr>
            </w:pPr>
            <w:r w:rsidRPr="00365AC0">
              <w:rPr>
                <w:color w:val="000000"/>
                <w:sz w:val="22"/>
                <w:szCs w:val="22"/>
              </w:rPr>
              <w:t>Theater</w:t>
            </w:r>
          </w:p>
        </w:tc>
        <w:tc>
          <w:tcPr>
            <w:tcW w:w="1215" w:type="dxa"/>
            <w:tcBorders>
              <w:top w:val="nil"/>
              <w:left w:val="nil"/>
              <w:bottom w:val="nil"/>
              <w:right w:val="nil"/>
            </w:tcBorders>
            <w:shd w:val="clear" w:color="auto" w:fill="auto"/>
            <w:noWrap/>
            <w:vAlign w:val="center"/>
            <w:hideMark/>
          </w:tcPr>
          <w:p w14:paraId="15EB5202" w14:textId="77777777" w:rsidR="00732571" w:rsidRPr="00365AC0" w:rsidRDefault="00732571" w:rsidP="00D36A4F">
            <w:pPr>
              <w:jc w:val="center"/>
              <w:rPr>
                <w:color w:val="000000"/>
              </w:rPr>
            </w:pPr>
            <w:r w:rsidRPr="00365AC0">
              <w:rPr>
                <w:color w:val="000000"/>
                <w:sz w:val="22"/>
                <w:szCs w:val="22"/>
              </w:rPr>
              <w:t>0,687</w:t>
            </w:r>
          </w:p>
        </w:tc>
        <w:tc>
          <w:tcPr>
            <w:tcW w:w="852" w:type="dxa"/>
            <w:tcBorders>
              <w:top w:val="nil"/>
              <w:left w:val="nil"/>
              <w:bottom w:val="nil"/>
              <w:right w:val="nil"/>
            </w:tcBorders>
            <w:shd w:val="clear" w:color="auto" w:fill="auto"/>
            <w:noWrap/>
            <w:vAlign w:val="center"/>
            <w:hideMark/>
          </w:tcPr>
          <w:p w14:paraId="7FB5CB53" w14:textId="77777777" w:rsidR="00732571" w:rsidRPr="00365AC0" w:rsidRDefault="00732571" w:rsidP="00D36A4F">
            <w:pPr>
              <w:jc w:val="center"/>
              <w:rPr>
                <w:color w:val="000000"/>
              </w:rPr>
            </w:pPr>
            <w:r w:rsidRPr="00365AC0">
              <w:rPr>
                <w:color w:val="000000"/>
                <w:sz w:val="22"/>
                <w:szCs w:val="22"/>
              </w:rPr>
              <w:t>0,622</w:t>
            </w:r>
          </w:p>
        </w:tc>
        <w:tc>
          <w:tcPr>
            <w:tcW w:w="813" w:type="dxa"/>
            <w:tcBorders>
              <w:top w:val="nil"/>
              <w:left w:val="nil"/>
              <w:bottom w:val="nil"/>
              <w:right w:val="nil"/>
            </w:tcBorders>
            <w:shd w:val="clear" w:color="auto" w:fill="auto"/>
            <w:noWrap/>
            <w:vAlign w:val="center"/>
            <w:hideMark/>
          </w:tcPr>
          <w:p w14:paraId="7C461C9F" w14:textId="77777777" w:rsidR="00732571" w:rsidRPr="00365AC0" w:rsidRDefault="00732571" w:rsidP="00D36A4F">
            <w:pPr>
              <w:jc w:val="center"/>
              <w:rPr>
                <w:color w:val="000000"/>
              </w:rPr>
            </w:pPr>
            <w:r w:rsidRPr="00365AC0">
              <w:rPr>
                <w:color w:val="000000"/>
                <w:sz w:val="22"/>
                <w:szCs w:val="22"/>
              </w:rPr>
              <w:t>0,065</w:t>
            </w:r>
          </w:p>
        </w:tc>
        <w:tc>
          <w:tcPr>
            <w:tcW w:w="960" w:type="dxa"/>
            <w:tcBorders>
              <w:top w:val="nil"/>
              <w:left w:val="nil"/>
              <w:bottom w:val="nil"/>
              <w:right w:val="nil"/>
            </w:tcBorders>
            <w:shd w:val="clear" w:color="auto" w:fill="auto"/>
            <w:noWrap/>
            <w:vAlign w:val="center"/>
            <w:hideMark/>
          </w:tcPr>
          <w:p w14:paraId="28C4E823" w14:textId="77777777" w:rsidR="00732571" w:rsidRPr="00365AC0" w:rsidRDefault="00732571" w:rsidP="00D36A4F">
            <w:pPr>
              <w:jc w:val="center"/>
              <w:rPr>
                <w:color w:val="000000"/>
              </w:rPr>
            </w:pPr>
            <w:r w:rsidRPr="00365AC0">
              <w:rPr>
                <w:color w:val="000000"/>
                <w:sz w:val="22"/>
                <w:szCs w:val="22"/>
              </w:rPr>
              <w:t>1,348</w:t>
            </w:r>
          </w:p>
        </w:tc>
        <w:tc>
          <w:tcPr>
            <w:tcW w:w="960" w:type="dxa"/>
            <w:tcBorders>
              <w:top w:val="nil"/>
              <w:left w:val="nil"/>
              <w:bottom w:val="nil"/>
              <w:right w:val="nil"/>
            </w:tcBorders>
            <w:shd w:val="clear" w:color="auto" w:fill="auto"/>
            <w:noWrap/>
            <w:vAlign w:val="center"/>
            <w:hideMark/>
          </w:tcPr>
          <w:p w14:paraId="250A619B" w14:textId="77777777" w:rsidR="00732571" w:rsidRPr="00365AC0" w:rsidRDefault="00732571" w:rsidP="00D36A4F">
            <w:pPr>
              <w:jc w:val="center"/>
              <w:rPr>
                <w:color w:val="000000"/>
              </w:rPr>
            </w:pPr>
            <w:r w:rsidRPr="00365AC0">
              <w:rPr>
                <w:color w:val="000000"/>
                <w:sz w:val="22"/>
                <w:szCs w:val="22"/>
              </w:rPr>
              <w:t>0,911</w:t>
            </w:r>
          </w:p>
        </w:tc>
      </w:tr>
      <w:tr w:rsidR="00732571" w:rsidRPr="00365AC0" w14:paraId="20C06D82" w14:textId="77777777" w:rsidTr="00D36A4F">
        <w:trPr>
          <w:trHeight w:val="288"/>
          <w:jc w:val="center"/>
        </w:trPr>
        <w:tc>
          <w:tcPr>
            <w:tcW w:w="1991" w:type="dxa"/>
            <w:tcBorders>
              <w:top w:val="nil"/>
              <w:left w:val="nil"/>
              <w:bottom w:val="nil"/>
              <w:right w:val="nil"/>
            </w:tcBorders>
            <w:shd w:val="clear" w:color="auto" w:fill="auto"/>
            <w:noWrap/>
            <w:vAlign w:val="bottom"/>
            <w:hideMark/>
          </w:tcPr>
          <w:p w14:paraId="6C0EFCD5" w14:textId="77777777" w:rsidR="00732571" w:rsidRPr="00365AC0" w:rsidRDefault="00732571" w:rsidP="00D36A4F">
            <w:pPr>
              <w:rPr>
                <w:color w:val="000000"/>
              </w:rPr>
            </w:pPr>
            <w:r w:rsidRPr="00365AC0">
              <w:rPr>
                <w:color w:val="000000"/>
                <w:sz w:val="22"/>
                <w:szCs w:val="22"/>
              </w:rPr>
              <w:t>Other</w:t>
            </w:r>
          </w:p>
        </w:tc>
        <w:tc>
          <w:tcPr>
            <w:tcW w:w="1215" w:type="dxa"/>
            <w:tcBorders>
              <w:top w:val="nil"/>
              <w:left w:val="nil"/>
              <w:bottom w:val="nil"/>
              <w:right w:val="nil"/>
            </w:tcBorders>
            <w:shd w:val="clear" w:color="auto" w:fill="auto"/>
            <w:noWrap/>
            <w:vAlign w:val="center"/>
            <w:hideMark/>
          </w:tcPr>
          <w:p w14:paraId="16067137" w14:textId="77777777" w:rsidR="00732571" w:rsidRPr="00365AC0" w:rsidRDefault="00732571" w:rsidP="00D36A4F">
            <w:pPr>
              <w:jc w:val="center"/>
              <w:rPr>
                <w:color w:val="000000"/>
              </w:rPr>
            </w:pPr>
            <w:r w:rsidRPr="00365AC0">
              <w:rPr>
                <w:color w:val="000000"/>
                <w:sz w:val="22"/>
                <w:szCs w:val="22"/>
              </w:rPr>
              <w:t>0,988</w:t>
            </w:r>
          </w:p>
        </w:tc>
        <w:tc>
          <w:tcPr>
            <w:tcW w:w="852" w:type="dxa"/>
            <w:tcBorders>
              <w:top w:val="nil"/>
              <w:left w:val="nil"/>
              <w:bottom w:val="nil"/>
              <w:right w:val="nil"/>
            </w:tcBorders>
            <w:shd w:val="clear" w:color="auto" w:fill="auto"/>
            <w:noWrap/>
            <w:vAlign w:val="center"/>
            <w:hideMark/>
          </w:tcPr>
          <w:p w14:paraId="10320BF2" w14:textId="77777777" w:rsidR="00732571" w:rsidRPr="00365AC0" w:rsidRDefault="00732571" w:rsidP="00D36A4F">
            <w:pPr>
              <w:jc w:val="center"/>
              <w:rPr>
                <w:color w:val="000000"/>
              </w:rPr>
            </w:pPr>
            <w:r w:rsidRPr="00365AC0">
              <w:rPr>
                <w:color w:val="000000"/>
                <w:sz w:val="22"/>
                <w:szCs w:val="22"/>
              </w:rPr>
              <w:t>0,99</w:t>
            </w:r>
          </w:p>
        </w:tc>
        <w:tc>
          <w:tcPr>
            <w:tcW w:w="813" w:type="dxa"/>
            <w:tcBorders>
              <w:top w:val="nil"/>
              <w:left w:val="nil"/>
              <w:bottom w:val="nil"/>
              <w:right w:val="nil"/>
            </w:tcBorders>
            <w:shd w:val="clear" w:color="auto" w:fill="auto"/>
            <w:noWrap/>
            <w:vAlign w:val="center"/>
            <w:hideMark/>
          </w:tcPr>
          <w:p w14:paraId="6B0108E5" w14:textId="77777777" w:rsidR="00732571" w:rsidRPr="00365AC0" w:rsidRDefault="00732571" w:rsidP="00D36A4F">
            <w:pPr>
              <w:jc w:val="center"/>
              <w:rPr>
                <w:color w:val="000000"/>
              </w:rPr>
            </w:pPr>
            <w:r w:rsidRPr="00365AC0">
              <w:rPr>
                <w:color w:val="000000"/>
                <w:sz w:val="22"/>
                <w:szCs w:val="22"/>
              </w:rPr>
              <w:t>-0,002</w:t>
            </w:r>
          </w:p>
        </w:tc>
        <w:tc>
          <w:tcPr>
            <w:tcW w:w="960" w:type="dxa"/>
            <w:tcBorders>
              <w:top w:val="nil"/>
              <w:left w:val="nil"/>
              <w:bottom w:val="nil"/>
              <w:right w:val="nil"/>
            </w:tcBorders>
            <w:shd w:val="clear" w:color="auto" w:fill="auto"/>
            <w:noWrap/>
            <w:vAlign w:val="center"/>
            <w:hideMark/>
          </w:tcPr>
          <w:p w14:paraId="21BF2C0F" w14:textId="77777777" w:rsidR="00732571" w:rsidRPr="00365AC0" w:rsidRDefault="00732571" w:rsidP="00D36A4F">
            <w:pPr>
              <w:jc w:val="center"/>
              <w:rPr>
                <w:color w:val="000000"/>
              </w:rPr>
            </w:pPr>
            <w:r w:rsidRPr="00365AC0">
              <w:rPr>
                <w:color w:val="000000"/>
                <w:sz w:val="22"/>
                <w:szCs w:val="22"/>
              </w:rPr>
              <w:t>-0,708</w:t>
            </w:r>
          </w:p>
        </w:tc>
        <w:tc>
          <w:tcPr>
            <w:tcW w:w="960" w:type="dxa"/>
            <w:tcBorders>
              <w:top w:val="nil"/>
              <w:left w:val="nil"/>
              <w:bottom w:val="nil"/>
              <w:right w:val="nil"/>
            </w:tcBorders>
            <w:shd w:val="clear" w:color="auto" w:fill="auto"/>
            <w:noWrap/>
            <w:vAlign w:val="center"/>
            <w:hideMark/>
          </w:tcPr>
          <w:p w14:paraId="3E0A0075" w14:textId="77777777" w:rsidR="00732571" w:rsidRPr="00365AC0" w:rsidRDefault="00732571" w:rsidP="00D36A4F">
            <w:pPr>
              <w:jc w:val="center"/>
              <w:rPr>
                <w:color w:val="000000"/>
              </w:rPr>
            </w:pPr>
            <w:r w:rsidRPr="00365AC0">
              <w:rPr>
                <w:color w:val="000000"/>
                <w:sz w:val="22"/>
                <w:szCs w:val="22"/>
              </w:rPr>
              <w:t>0,240</w:t>
            </w:r>
          </w:p>
        </w:tc>
      </w:tr>
    </w:tbl>
    <w:p w14:paraId="4CAA8AA6" w14:textId="77777777" w:rsidR="00F13114" w:rsidRDefault="00F13114" w:rsidP="00F13114">
      <w:pPr>
        <w:autoSpaceDE w:val="0"/>
        <w:autoSpaceDN w:val="0"/>
        <w:adjustRightInd w:val="0"/>
        <w:spacing w:line="360" w:lineRule="auto"/>
        <w:ind w:firstLine="720"/>
        <w:jc w:val="both"/>
      </w:pPr>
      <w:r>
        <w:lastRenderedPageBreak/>
        <w:t>A first result is that the overall success rates for the full sub-samples (68.69% vs 74.47%) do differ significantly, leading to the conclusion that, in general, campaigns that were uploaded during the pandemic period had higher chances of success than the ones that were uploaded before Covid. This is an important finding, since it seems that the crowdfunding tool displayed higher levels of performance during the pandemic. Looking at the results for each category, we observe that statistically significant differences in success rates were displayed for 6 out of the total 16 categories and that for all these 6 categories the success rate was (significantly) higher during the pandemic. It should also be noted that for both sectors that showed a significant higher percentage (comics and games), as highlighted in the previous section, their success rate increase was also significant.</w:t>
      </w:r>
    </w:p>
    <w:p w14:paraId="4595E642" w14:textId="77777777" w:rsidR="00F13114" w:rsidRPr="00B1125A" w:rsidRDefault="00F13114" w:rsidP="00F13114">
      <w:pPr>
        <w:autoSpaceDE w:val="0"/>
        <w:autoSpaceDN w:val="0"/>
        <w:adjustRightInd w:val="0"/>
        <w:spacing w:line="360" w:lineRule="auto"/>
        <w:ind w:firstLine="720"/>
        <w:jc w:val="both"/>
      </w:pPr>
    </w:p>
    <w:p w14:paraId="50E4EB6A" w14:textId="77777777" w:rsidR="00732571" w:rsidRDefault="00732571" w:rsidP="00FC6F45">
      <w:pPr>
        <w:spacing w:line="360" w:lineRule="auto"/>
        <w:jc w:val="both"/>
      </w:pPr>
    </w:p>
    <w:p w14:paraId="5B50B344" w14:textId="271B7BC8" w:rsidR="00787EE7" w:rsidRPr="00B84886" w:rsidRDefault="00B84886" w:rsidP="00D3755C">
      <w:pPr>
        <w:spacing w:line="360" w:lineRule="auto"/>
        <w:rPr>
          <w:b/>
          <w:bCs/>
          <w:sz w:val="28"/>
          <w:szCs w:val="28"/>
        </w:rPr>
      </w:pPr>
      <w:bookmarkStart w:id="7" w:name="_Hlk128345080"/>
      <w:r w:rsidRPr="00B84886">
        <w:rPr>
          <w:b/>
          <w:bCs/>
          <w:sz w:val="28"/>
          <w:szCs w:val="28"/>
        </w:rPr>
        <w:t>5. Conclusion</w:t>
      </w:r>
      <w:r w:rsidR="00F05908">
        <w:rPr>
          <w:b/>
          <w:bCs/>
          <w:sz w:val="28"/>
          <w:szCs w:val="28"/>
        </w:rPr>
        <w:t>s</w:t>
      </w:r>
    </w:p>
    <w:bookmarkEnd w:id="7"/>
    <w:p w14:paraId="038D045C" w14:textId="51A576D7" w:rsidR="00F90152" w:rsidRDefault="00B84886" w:rsidP="00F90152">
      <w:pPr>
        <w:autoSpaceDE w:val="0"/>
        <w:autoSpaceDN w:val="0"/>
        <w:adjustRightInd w:val="0"/>
        <w:spacing w:line="360" w:lineRule="auto"/>
        <w:ind w:firstLine="720"/>
        <w:jc w:val="both"/>
      </w:pPr>
      <w:r>
        <w:t xml:space="preserve">In this study </w:t>
      </w:r>
      <w:r w:rsidR="00FC337F">
        <w:t>I</w:t>
      </w:r>
      <w:r>
        <w:t xml:space="preserve"> </w:t>
      </w:r>
      <w:r w:rsidRPr="00B84886">
        <w:t xml:space="preserve">investigate </w:t>
      </w:r>
      <w:r w:rsidR="00F90152">
        <w:t xml:space="preserve">whether COVID-19 affected reward-based </w:t>
      </w:r>
      <w:r w:rsidR="00F90152" w:rsidRPr="00B84886">
        <w:t>crowdfunding campaigns</w:t>
      </w:r>
      <w:r w:rsidR="00F90152">
        <w:t>.</w:t>
      </w:r>
      <w:r w:rsidRPr="00B84886">
        <w:t xml:space="preserve"> </w:t>
      </w:r>
      <w:r w:rsidR="00F90152">
        <w:t xml:space="preserve">Specifically, </w:t>
      </w:r>
      <w:r w:rsidR="00732571">
        <w:t xml:space="preserve">I </w:t>
      </w:r>
      <w:r w:rsidR="009E5646">
        <w:t xml:space="preserve">first </w:t>
      </w:r>
      <w:r w:rsidR="00732571">
        <w:t>run a logit and a probit regression, using a set of control variables plus a covid dummy</w:t>
      </w:r>
      <w:r w:rsidR="009E5646">
        <w:t>,</w:t>
      </w:r>
      <w:r w:rsidR="00732571">
        <w:t xml:space="preserve"> to test whether </w:t>
      </w:r>
      <w:r w:rsidR="009E5646">
        <w:t xml:space="preserve">there are different success probabilities between campaigns that ran before and during covid, and then I </w:t>
      </w:r>
      <w:r w:rsidR="00F90152">
        <w:t>compare a. whether the number of campaigns was higher/lower before and during the pandemic</w:t>
      </w:r>
      <w:r w:rsidR="009E5646">
        <w:t xml:space="preserve"> per sector</w:t>
      </w:r>
      <w:r w:rsidR="00F90152">
        <w:t xml:space="preserve">, and b. </w:t>
      </w:r>
      <w:r w:rsidR="009E5646">
        <w:t>whether</w:t>
      </w:r>
      <w:r w:rsidR="00F90152">
        <w:t xml:space="preserve"> the campaign success rates </w:t>
      </w:r>
      <w:r w:rsidR="009E5646">
        <w:t xml:space="preserve">were different </w:t>
      </w:r>
      <w:r w:rsidR="00F90152">
        <w:t>before and during the pandemic</w:t>
      </w:r>
      <w:r w:rsidR="009E5646" w:rsidRPr="009E5646">
        <w:t xml:space="preserve"> </w:t>
      </w:r>
      <w:r w:rsidR="009E5646">
        <w:t>per sector</w:t>
      </w:r>
      <w:r w:rsidR="00F90152">
        <w:t xml:space="preserve">. </w:t>
      </w:r>
      <w:r w:rsidR="00FC337F">
        <w:t>The main findings are</w:t>
      </w:r>
      <w:r w:rsidR="00F90152">
        <w:t xml:space="preserve"> that</w:t>
      </w:r>
      <w:r w:rsidR="009E5646">
        <w:t>, indeed campaigns that were launched during covid had higher chances of success and that</w:t>
      </w:r>
      <w:r w:rsidR="00F90152">
        <w:t xml:space="preserve"> </w:t>
      </w:r>
      <w:r w:rsidR="009E5646">
        <w:t xml:space="preserve">the success rate might have increased, but </w:t>
      </w:r>
      <w:r w:rsidR="00F90152">
        <w:t>the number of campaigns reduced</w:t>
      </w:r>
      <w:r w:rsidR="009E5646">
        <w:t xml:space="preserve"> during covid</w:t>
      </w:r>
      <w:r w:rsidR="00F90152">
        <w:t xml:space="preserve">. </w:t>
      </w:r>
      <w:r w:rsidR="00FC337F">
        <w:t xml:space="preserve">It should also </w:t>
      </w:r>
      <w:r w:rsidR="009E5646">
        <w:t>b</w:t>
      </w:r>
      <w:r w:rsidR="00FC337F">
        <w:t>e noted that the success rate is statistically higher for 6 out of the total 16 sectors we analyze, while for the few cases that the performance is lower, the result is not statistically significant. The main conclusion of the study is therefore</w:t>
      </w:r>
      <w:r w:rsidR="00F90152">
        <w:t xml:space="preserve"> that the pandemic has influenced reward-based </w:t>
      </w:r>
      <w:r w:rsidR="00F90152" w:rsidRPr="00B84886">
        <w:t>crowdfunding campaigns</w:t>
      </w:r>
      <w:r w:rsidR="00FC337F">
        <w:t xml:space="preserve"> lowering their numbers but increasing their performance. </w:t>
      </w:r>
    </w:p>
    <w:p w14:paraId="7668AFE6" w14:textId="2232BB99" w:rsidR="00FC337F" w:rsidRDefault="00FC337F" w:rsidP="00F90152">
      <w:pPr>
        <w:autoSpaceDE w:val="0"/>
        <w:autoSpaceDN w:val="0"/>
        <w:adjustRightInd w:val="0"/>
        <w:spacing w:line="360" w:lineRule="auto"/>
        <w:ind w:firstLine="720"/>
        <w:jc w:val="both"/>
      </w:pPr>
      <w:r>
        <w:t xml:space="preserve">These findings have interesting practical implications. First, it is shown that crowdfunding seems to act as a “crisis buffer”, as it provides a funding alternative that seems to work better during the crisis, in terms of performance and success rates. Further analysis should be conducted in the reasons why the number of campaigns was decreased; a possible reason could be that the pandemic brought an initial shock </w:t>
      </w:r>
      <w:r>
        <w:lastRenderedPageBreak/>
        <w:t xml:space="preserve">to economies and societies, so that the first months of the pandemic could have passed while societies and economies were trying to adapt to the new economic context of doing business.   </w:t>
      </w:r>
    </w:p>
    <w:p w14:paraId="42C5E608" w14:textId="77777777" w:rsidR="00F90152" w:rsidRDefault="00F90152" w:rsidP="00F90152">
      <w:pPr>
        <w:autoSpaceDE w:val="0"/>
        <w:autoSpaceDN w:val="0"/>
        <w:adjustRightInd w:val="0"/>
        <w:spacing w:line="360" w:lineRule="auto"/>
        <w:ind w:firstLine="720"/>
        <w:jc w:val="both"/>
      </w:pPr>
    </w:p>
    <w:p w14:paraId="54770F10" w14:textId="77777777" w:rsidR="00B84886" w:rsidRDefault="00B84886" w:rsidP="00A42AF5">
      <w:pPr>
        <w:spacing w:line="360" w:lineRule="auto"/>
        <w:jc w:val="both"/>
      </w:pPr>
      <w:bookmarkStart w:id="8" w:name="_Hlk140761425"/>
    </w:p>
    <w:p w14:paraId="7689BABE" w14:textId="77777777" w:rsidR="00B84886" w:rsidRPr="00B84886" w:rsidRDefault="00B84886" w:rsidP="00A42AF5">
      <w:pPr>
        <w:spacing w:line="360" w:lineRule="auto"/>
        <w:jc w:val="both"/>
        <w:rPr>
          <w:b/>
          <w:bCs/>
          <w:sz w:val="28"/>
          <w:szCs w:val="28"/>
        </w:rPr>
      </w:pPr>
      <w:r w:rsidRPr="00B84886">
        <w:rPr>
          <w:b/>
          <w:bCs/>
          <w:sz w:val="28"/>
          <w:szCs w:val="28"/>
        </w:rPr>
        <w:t>6. References</w:t>
      </w:r>
    </w:p>
    <w:bookmarkEnd w:id="8"/>
    <w:p w14:paraId="601DAD82" w14:textId="77777777" w:rsidR="00950551" w:rsidRDefault="00950551" w:rsidP="00950551">
      <w:pPr>
        <w:spacing w:line="360" w:lineRule="auto"/>
        <w:ind w:firstLine="540"/>
        <w:jc w:val="both"/>
      </w:pPr>
      <w:r w:rsidRPr="00A72D07">
        <w:t>Agrawal, A. K., Catalini, C. &amp; Goldfarb, A., 2011. The Geography of Crowdfunding, Massachusetts: National Bureau Of Economic Research.</w:t>
      </w:r>
    </w:p>
    <w:p w14:paraId="6D962AD7" w14:textId="77777777" w:rsidR="00950551" w:rsidRDefault="00950551" w:rsidP="00950551">
      <w:pPr>
        <w:spacing w:line="360" w:lineRule="auto"/>
        <w:ind w:firstLine="360"/>
        <w:jc w:val="both"/>
      </w:pPr>
      <w:r>
        <w:t>Akhtaruzzaman, M., Boubaker, S., &amp; Sensoy, A., (2021), “Financial Contagion During COVID–19 Crisis”. Finance Research Letters 38, 101604</w:t>
      </w:r>
    </w:p>
    <w:p w14:paraId="34F67969" w14:textId="77777777" w:rsidR="00950551" w:rsidRPr="00F6145F" w:rsidRDefault="00950551" w:rsidP="00950551">
      <w:pPr>
        <w:spacing w:line="360" w:lineRule="auto"/>
        <w:ind w:firstLine="360"/>
        <w:jc w:val="both"/>
      </w:pPr>
      <w:r>
        <w:t xml:space="preserve">Baldwin, R. and Tomiura, E., (2020) Thinking </w:t>
      </w:r>
      <w:r w:rsidRPr="004A6EF0">
        <w:t>ahead about the trade impact of COVID-19</w:t>
      </w:r>
      <w:r>
        <w:t xml:space="preserve"> </w:t>
      </w:r>
      <w:r w:rsidRPr="004A6EF0">
        <w:rPr>
          <w:i/>
          <w:iCs/>
        </w:rPr>
        <w:t>in</w:t>
      </w:r>
      <w:r>
        <w:t xml:space="preserve"> Economics in the Time of COVID-19, CEPR Press, London</w:t>
      </w:r>
    </w:p>
    <w:p w14:paraId="6E9C7BFF" w14:textId="77777777" w:rsidR="00950551" w:rsidRDefault="00950551" w:rsidP="00950551">
      <w:pPr>
        <w:spacing w:line="360" w:lineRule="auto"/>
        <w:ind w:firstLine="360"/>
        <w:jc w:val="both"/>
      </w:pPr>
      <w:r w:rsidRPr="00991215">
        <w:t xml:space="preserve">Battaglia, F.; Busato, </w:t>
      </w:r>
      <w:r>
        <w:t>F</w:t>
      </w:r>
      <w:r w:rsidRPr="00991215">
        <w:t>.; and Manganiello, M.;</w:t>
      </w:r>
      <w:r>
        <w:t xml:space="preserve"> (2022), Equity Crowdfunding: Brave Market or Safe Haven for the Crowd During the COVID-19 Crisis? </w:t>
      </w:r>
      <w:r w:rsidRPr="00991215">
        <w:rPr>
          <w:i/>
          <w:iCs/>
        </w:rPr>
        <w:t>in</w:t>
      </w:r>
      <w:r>
        <w:t xml:space="preserve"> Chapter 14, Financial Transformations Beyond the COVID-19 Health Crisis, World Scientific ed.</w:t>
      </w:r>
    </w:p>
    <w:p w14:paraId="044DD116" w14:textId="77777777" w:rsidR="00950551" w:rsidRDefault="00950551" w:rsidP="00950551">
      <w:pPr>
        <w:spacing w:line="360" w:lineRule="auto"/>
        <w:ind w:firstLine="360"/>
        <w:jc w:val="both"/>
      </w:pPr>
      <w:r w:rsidRPr="00E85635">
        <w:t xml:space="preserve">Bas, M., Fernandes, A., Paunov, C., </w:t>
      </w:r>
      <w:r>
        <w:t>How resilient was trade to COVID-19?, Economics Letters, 111080</w:t>
      </w:r>
    </w:p>
    <w:p w14:paraId="385AFEC0" w14:textId="77777777" w:rsidR="00950551" w:rsidRPr="00F6145F" w:rsidRDefault="00950551" w:rsidP="00950551">
      <w:pPr>
        <w:spacing w:line="360" w:lineRule="auto"/>
        <w:ind w:firstLine="360"/>
        <w:jc w:val="both"/>
      </w:pPr>
      <w:r>
        <w:t xml:space="preserve">Beck, T., (2020) </w:t>
      </w:r>
      <w:r w:rsidRPr="00F6145F">
        <w:t>Finance in the times of coronavirus</w:t>
      </w:r>
      <w:r>
        <w:t xml:space="preserve"> </w:t>
      </w:r>
      <w:r w:rsidRPr="004A6EF0">
        <w:rPr>
          <w:i/>
          <w:iCs/>
        </w:rPr>
        <w:t>in</w:t>
      </w:r>
      <w:r>
        <w:t xml:space="preserve"> Economics in the Time of COVID-19, CEPR Press, London</w:t>
      </w:r>
    </w:p>
    <w:p w14:paraId="15EBE9B7" w14:textId="77777777" w:rsidR="00950551" w:rsidRPr="00991215" w:rsidRDefault="00950551" w:rsidP="00950551">
      <w:pPr>
        <w:spacing w:line="360" w:lineRule="auto"/>
        <w:ind w:firstLine="360"/>
        <w:jc w:val="both"/>
      </w:pPr>
      <w:r>
        <w:t>Bhar, R., Malliaris, A.G., (2021), Modeling U.S. monetary policy during the global financial crisis and lessons for Covid-19, Journal of Policy Modeling 43(1), pp. 15-33.</w:t>
      </w:r>
    </w:p>
    <w:p w14:paraId="1671BC6B" w14:textId="77777777" w:rsidR="00950551" w:rsidRDefault="00950551" w:rsidP="00950551">
      <w:pPr>
        <w:spacing w:line="360" w:lineRule="auto"/>
        <w:ind w:firstLine="360"/>
        <w:jc w:val="both"/>
      </w:pPr>
      <w:r>
        <w:t xml:space="preserve">Cochrane, J., (2020) Coronavirus monetary policy </w:t>
      </w:r>
      <w:r w:rsidRPr="004A6EF0">
        <w:rPr>
          <w:i/>
          <w:iCs/>
        </w:rPr>
        <w:t>in</w:t>
      </w:r>
      <w:r>
        <w:t xml:space="preserve"> Economics in the Time of COVID-19, CEPR Press, London</w:t>
      </w:r>
    </w:p>
    <w:p w14:paraId="24560B6C" w14:textId="77777777" w:rsidR="00950551" w:rsidRPr="00B1125A" w:rsidRDefault="00950551" w:rsidP="00950551">
      <w:pPr>
        <w:spacing w:line="360" w:lineRule="auto"/>
        <w:ind w:firstLine="540"/>
        <w:jc w:val="both"/>
      </w:pPr>
      <w:r w:rsidRPr="00B1125A">
        <w:t>Cox, J., &amp; Nguyen, T. (2017). Does the crowd mean business? An analysis of rewards-based crowdfunding as a source of finance for start-ups and small businesses. Journal of Small Business and Enterprise Development.</w:t>
      </w:r>
    </w:p>
    <w:p w14:paraId="1400EAB4" w14:textId="77777777" w:rsidR="00950551" w:rsidRDefault="00950551" w:rsidP="00950551">
      <w:pPr>
        <w:spacing w:line="360" w:lineRule="auto"/>
        <w:ind w:firstLine="360"/>
        <w:jc w:val="both"/>
      </w:pPr>
      <w:r w:rsidRPr="00CC654D">
        <w:t>Daskalakis, N. and Karpouzis, E., (2021) Exploring determinants in cross-border activity in equity crowdfunding and peer-to-peer lending, from a user’s perspective, Small Enterprise Research, 28, Issue 3, pp. 293-313.</w:t>
      </w:r>
    </w:p>
    <w:p w14:paraId="0238C546" w14:textId="77777777" w:rsidR="00950551" w:rsidRDefault="00950551" w:rsidP="00950551">
      <w:pPr>
        <w:spacing w:line="360" w:lineRule="auto"/>
        <w:ind w:firstLine="360"/>
        <w:jc w:val="both"/>
      </w:pPr>
      <w:r w:rsidRPr="00CC654D">
        <w:lastRenderedPageBreak/>
        <w:t>Daskalakis, N, Karpouzis, E., Benis, D. and Angelakis, A., (2023), Investigating the success factors for reward-based crowdfunding campaigns. Journal of Entrepreneurship, Business and Economics, V. 11, n. 1, pp. 134-152.</w:t>
      </w:r>
    </w:p>
    <w:p w14:paraId="56F4C5A7" w14:textId="77777777" w:rsidR="00950551" w:rsidRDefault="00950551" w:rsidP="00950551">
      <w:pPr>
        <w:spacing w:line="360" w:lineRule="auto"/>
        <w:ind w:firstLine="360"/>
        <w:jc w:val="both"/>
      </w:pPr>
      <w:r>
        <w:t>Daskalakis, N., &amp; Yue, W. (2018). Users’ perceptions of motivations and risks in crowdfunding with financial returns. International Review of Entrepreneurship, 16(3), 427–454.</w:t>
      </w:r>
    </w:p>
    <w:p w14:paraId="074F6C7E" w14:textId="77777777" w:rsidR="00950551" w:rsidRDefault="00950551" w:rsidP="00950551">
      <w:pPr>
        <w:spacing w:line="360" w:lineRule="auto"/>
        <w:ind w:firstLine="360"/>
        <w:jc w:val="both"/>
      </w:pPr>
      <w:r>
        <w:t xml:space="preserve">Farhoud, </w:t>
      </w:r>
      <w:r>
        <w:rPr>
          <w:lang w:val="el-GR"/>
        </w:rPr>
        <w:t>Μ</w:t>
      </w:r>
      <w:r w:rsidRPr="002015A9">
        <w:t>.</w:t>
      </w:r>
      <w:r>
        <w:t>; Shah, S.; Stenholm, P.; Kibler, E.; Renko, M.; and Terjesen, S.; (2021), Social enterprise crowdfunding in an acute crisis, Journal of Business Venturing Insights 15, e00211</w:t>
      </w:r>
    </w:p>
    <w:p w14:paraId="0D01D992" w14:textId="77777777" w:rsidR="00950551" w:rsidRDefault="00950551" w:rsidP="00950551">
      <w:pPr>
        <w:spacing w:line="360" w:lineRule="auto"/>
        <w:ind w:firstLine="360"/>
        <w:jc w:val="both"/>
      </w:pPr>
      <w:r>
        <w:t>Igra, M.; Kenworthy, N.; Luchsinger, C.; and Jung, J.K. (2021), Crowdfunding as a response to COVID-19: Increasing inequities at a time of crisis, Social Science &amp; Medicine 282, 114105</w:t>
      </w:r>
      <w:r w:rsidRPr="002015A9">
        <w:t>.</w:t>
      </w:r>
    </w:p>
    <w:p w14:paraId="1B046792" w14:textId="77777777" w:rsidR="00950551" w:rsidRDefault="00950551" w:rsidP="00950551">
      <w:pPr>
        <w:spacing w:line="360" w:lineRule="auto"/>
        <w:ind w:firstLine="360"/>
        <w:jc w:val="both"/>
      </w:pPr>
      <w:r>
        <w:t>Kirby, E., &amp; Worner, S. (2014). “Crowd-funding: An infant industry growing fast”, IOSCO, Working paper series, SWP3.</w:t>
      </w:r>
    </w:p>
    <w:p w14:paraId="130601FE" w14:textId="77777777" w:rsidR="00950551" w:rsidRDefault="00950551" w:rsidP="00950551">
      <w:pPr>
        <w:spacing w:line="360" w:lineRule="auto"/>
        <w:ind w:firstLine="360"/>
        <w:jc w:val="both"/>
      </w:pPr>
      <w:r>
        <w:t xml:space="preserve">Mann, C., (2020) Real and financial lenses to assess the economic consequences of COVID-19 </w:t>
      </w:r>
      <w:r w:rsidRPr="004A6EF0">
        <w:rPr>
          <w:i/>
          <w:iCs/>
        </w:rPr>
        <w:t>in</w:t>
      </w:r>
      <w:r>
        <w:t xml:space="preserve"> Economics in the Time of COVID-19, CEPR Press, London</w:t>
      </w:r>
    </w:p>
    <w:p w14:paraId="6887185B" w14:textId="77777777" w:rsidR="00950551" w:rsidRPr="00B1125A" w:rsidRDefault="00950551" w:rsidP="00950551">
      <w:pPr>
        <w:spacing w:line="360" w:lineRule="auto"/>
        <w:ind w:firstLine="360"/>
        <w:jc w:val="both"/>
      </w:pPr>
      <w:r w:rsidRPr="005562D5">
        <w:t xml:space="preserve">Mollick, E. (2014). The dynamics of crowdfunding: An exploratory study. </w:t>
      </w:r>
      <w:r w:rsidRPr="00904DA3">
        <w:t>Journal of business venturing</w:t>
      </w:r>
      <w:r w:rsidRPr="005562D5">
        <w:t xml:space="preserve">, </w:t>
      </w:r>
      <w:r w:rsidRPr="00904DA3">
        <w:t>29</w:t>
      </w:r>
      <w:r w:rsidRPr="005562D5">
        <w:t>(1), 1-16.</w:t>
      </w:r>
    </w:p>
    <w:p w14:paraId="21BE45E9" w14:textId="77777777" w:rsidR="00950551" w:rsidRDefault="00950551" w:rsidP="00950551">
      <w:pPr>
        <w:spacing w:line="360" w:lineRule="auto"/>
        <w:ind w:firstLine="360"/>
        <w:jc w:val="both"/>
      </w:pPr>
      <w:r>
        <w:t xml:space="preserve">Wardrop, R., Zhang, B., Rau, R., &amp; Gray, M. (2015). Moving mainstream the European alternative finance benchmarking report, University of Cambridge, pp. 1–44, </w:t>
      </w:r>
    </w:p>
    <w:p w14:paraId="1B8CAFDF" w14:textId="77777777" w:rsidR="00950551" w:rsidRDefault="00950551" w:rsidP="00950551">
      <w:pPr>
        <w:spacing w:line="360" w:lineRule="auto"/>
        <w:ind w:firstLine="360"/>
        <w:jc w:val="both"/>
      </w:pPr>
      <w:r w:rsidRPr="008E0C2E">
        <w:t xml:space="preserve"> World Health Organization, 5 May 2023, Statement on the fifteenth meeting of the IHR (2005) Emergency Committee on the COVID-19 pandemic</w:t>
      </w:r>
      <w:r>
        <w:t>.</w:t>
      </w:r>
    </w:p>
    <w:p w14:paraId="7F43C8A3" w14:textId="77777777" w:rsidR="00950551" w:rsidRDefault="00950551" w:rsidP="00950551">
      <w:pPr>
        <w:spacing w:line="360" w:lineRule="auto"/>
        <w:ind w:firstLine="360"/>
        <w:jc w:val="both"/>
      </w:pPr>
      <w:r w:rsidRPr="008E0C2E">
        <w:t xml:space="preserve">Zhang, B., Baeck, P., Ziegler T., Bone, J., and Garvey, K., (2016), Pushing Boundaries: The 2015 UK Alternative Finance Industry Report, University of Cambridge, Nesta. </w:t>
      </w:r>
    </w:p>
    <w:p w14:paraId="6360F24E" w14:textId="3378C91F" w:rsidR="00991215" w:rsidRDefault="00950551" w:rsidP="00D134EE">
      <w:pPr>
        <w:spacing w:line="360" w:lineRule="auto"/>
        <w:ind w:firstLine="360"/>
        <w:jc w:val="both"/>
      </w:pPr>
      <w:r w:rsidRPr="007503B8">
        <w:t xml:space="preserve">Zhang, D., Hu, M., &amp; Ji, Q., </w:t>
      </w:r>
      <w:r>
        <w:t>(</w:t>
      </w:r>
      <w:r w:rsidRPr="007503B8">
        <w:t>2020</w:t>
      </w:r>
      <w:r>
        <w:t>)</w:t>
      </w:r>
      <w:r w:rsidRPr="007503B8">
        <w:t>, Financial markets under the global pandemic of COVID- 19. Finance Research Letters, 101528.</w:t>
      </w:r>
    </w:p>
    <w:p w14:paraId="2256EA88" w14:textId="77777777" w:rsidR="001216B9" w:rsidRDefault="001216B9" w:rsidP="00D134EE">
      <w:pPr>
        <w:spacing w:line="360" w:lineRule="auto"/>
        <w:ind w:firstLine="360"/>
        <w:jc w:val="both"/>
      </w:pPr>
    </w:p>
    <w:p w14:paraId="19F08253" w14:textId="77777777" w:rsidR="001216B9" w:rsidRDefault="001216B9" w:rsidP="00D134EE">
      <w:pPr>
        <w:spacing w:line="360" w:lineRule="auto"/>
        <w:ind w:firstLine="360"/>
        <w:jc w:val="both"/>
      </w:pPr>
    </w:p>
    <w:p w14:paraId="19B341E3" w14:textId="77777777" w:rsidR="001216B9" w:rsidRPr="00991215" w:rsidRDefault="001216B9" w:rsidP="00D134EE">
      <w:pPr>
        <w:spacing w:line="360" w:lineRule="auto"/>
        <w:ind w:firstLine="360"/>
        <w:jc w:val="both"/>
      </w:pPr>
    </w:p>
    <w:sectPr w:rsidR="001216B9" w:rsidRPr="00991215" w:rsidSect="0060514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10B2" w14:textId="77777777" w:rsidR="00631B9B" w:rsidRDefault="00631B9B" w:rsidP="00B1125A">
      <w:r>
        <w:separator/>
      </w:r>
    </w:p>
  </w:endnote>
  <w:endnote w:type="continuationSeparator" w:id="0">
    <w:p w14:paraId="21DA1CDE" w14:textId="77777777" w:rsidR="00631B9B" w:rsidRDefault="00631B9B" w:rsidP="00B1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96D6" w14:textId="77777777" w:rsidR="00631B9B" w:rsidRDefault="00631B9B" w:rsidP="00B1125A">
      <w:r>
        <w:separator/>
      </w:r>
    </w:p>
  </w:footnote>
  <w:footnote w:type="continuationSeparator" w:id="0">
    <w:p w14:paraId="2E102265" w14:textId="77777777" w:rsidR="00631B9B" w:rsidRDefault="00631B9B" w:rsidP="00B1125A">
      <w:r>
        <w:continuationSeparator/>
      </w:r>
    </w:p>
  </w:footnote>
  <w:footnote w:id="1">
    <w:p w14:paraId="5EE9AAA0" w14:textId="0B515C02" w:rsidR="00A12E23" w:rsidRPr="00A12E23" w:rsidRDefault="00A12E23">
      <w:pPr>
        <w:pStyle w:val="FootnoteText"/>
      </w:pPr>
      <w:bookmarkStart w:id="1" w:name="_Hlk140764528"/>
      <w:r>
        <w:rPr>
          <w:rStyle w:val="FootnoteReference"/>
        </w:rPr>
        <w:footnoteRef/>
      </w:r>
      <w:r w:rsidRPr="00A12E23">
        <w:t xml:space="preserve"> </w:t>
      </w:r>
      <w:r>
        <w:t>World Health Organization, 5 May 2023,</w:t>
      </w:r>
      <w:r w:rsidRPr="00A12E23">
        <w:t xml:space="preserve"> Statement on the fifteenth meeting of the IHR (2005) Emergency Committee on the COVID-19 pandemic</w:t>
      </w:r>
      <w:bookmarkEnd w:id="1"/>
      <w:r w:rsidR="00D134EE">
        <w:t>.</w:t>
      </w:r>
    </w:p>
  </w:footnote>
  <w:footnote w:id="2">
    <w:p w14:paraId="3D5CCD70" w14:textId="3BA231EA" w:rsidR="001646A0" w:rsidRPr="001646A0" w:rsidRDefault="001646A0">
      <w:pPr>
        <w:pStyle w:val="FootnoteText"/>
      </w:pPr>
      <w:r>
        <w:rPr>
          <w:rStyle w:val="FootnoteReference"/>
        </w:rPr>
        <w:footnoteRef/>
      </w:r>
      <w:r w:rsidRPr="001646A0">
        <w:t xml:space="preserve"> </w:t>
      </w:r>
      <w:hyperlink r:id="rId1" w:anchor="Early-2020" w:history="1">
        <w:r w:rsidRPr="00BF0E5E">
          <w:rPr>
            <w:rStyle w:val="Hyperlink"/>
          </w:rPr>
          <w:t>https://www.cdc.gov/museum/timeline/covid19.html#Early-2020</w:t>
        </w:r>
      </w:hyperlink>
      <w:r>
        <w:t xml:space="preserve"> </w:t>
      </w:r>
    </w:p>
  </w:footnote>
  <w:footnote w:id="3">
    <w:p w14:paraId="23B401A7" w14:textId="1C238C8D" w:rsidR="00966488" w:rsidRDefault="00966488" w:rsidP="00966488">
      <w:pPr>
        <w:pStyle w:val="FootnoteText"/>
      </w:pPr>
      <w:r>
        <w:rPr>
          <w:rStyle w:val="FootnoteReference"/>
        </w:rPr>
        <w:footnoteRef/>
      </w:r>
      <w:r>
        <w:t xml:space="preserve"> I use the set of variables used of Daskalakis et al. (2023) since they are the most popular reward-based crowdfunding success factors described in the literature. For a detailed description about the literature behind these variables see Daskalakis et al. (2023).</w:t>
      </w:r>
    </w:p>
  </w:footnote>
  <w:footnote w:id="4">
    <w:p w14:paraId="46487389" w14:textId="39B5A000" w:rsidR="00966488" w:rsidRDefault="00966488">
      <w:pPr>
        <w:pStyle w:val="FootnoteText"/>
      </w:pPr>
      <w:r>
        <w:rPr>
          <w:rStyle w:val="FootnoteReference"/>
        </w:rPr>
        <w:footnoteRef/>
      </w:r>
      <w:r>
        <w:t xml:space="preserve"> Daskalakis et al. (2023) use a goal range set of variables in their paper. I use a GoalPerDays ratio as a similar procy to capture the relative size of campaigns, scaled by their duration in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2735"/>
    <w:multiLevelType w:val="multilevel"/>
    <w:tmpl w:val="9E76A76E"/>
    <w:lvl w:ilvl="0">
      <w:start w:val="2"/>
      <w:numFmt w:val="decimal"/>
      <w:lvlText w:val="%1."/>
      <w:lvlJc w:val="left"/>
      <w:pPr>
        <w:ind w:left="380" w:hanging="38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34E6E25"/>
    <w:multiLevelType w:val="hybridMultilevel"/>
    <w:tmpl w:val="BF08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14427">
    <w:abstractNumId w:val="0"/>
  </w:num>
  <w:num w:numId="2" w16cid:durableId="1545369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17B3"/>
    <w:rsid w:val="00044266"/>
    <w:rsid w:val="000504F3"/>
    <w:rsid w:val="000730C9"/>
    <w:rsid w:val="000819BA"/>
    <w:rsid w:val="00081E95"/>
    <w:rsid w:val="000B5549"/>
    <w:rsid w:val="00105132"/>
    <w:rsid w:val="001216B9"/>
    <w:rsid w:val="001339A3"/>
    <w:rsid w:val="001646A0"/>
    <w:rsid w:val="00166633"/>
    <w:rsid w:val="001803C7"/>
    <w:rsid w:val="001E3F04"/>
    <w:rsid w:val="001F2184"/>
    <w:rsid w:val="001F567E"/>
    <w:rsid w:val="002015A9"/>
    <w:rsid w:val="00212077"/>
    <w:rsid w:val="00220108"/>
    <w:rsid w:val="00225B95"/>
    <w:rsid w:val="002262BB"/>
    <w:rsid w:val="0025201A"/>
    <w:rsid w:val="00266246"/>
    <w:rsid w:val="002D1122"/>
    <w:rsid w:val="002E0950"/>
    <w:rsid w:val="002F1BA0"/>
    <w:rsid w:val="002F1E11"/>
    <w:rsid w:val="00314128"/>
    <w:rsid w:val="003408AF"/>
    <w:rsid w:val="00361F59"/>
    <w:rsid w:val="00365AC0"/>
    <w:rsid w:val="00390C03"/>
    <w:rsid w:val="00391C6C"/>
    <w:rsid w:val="00396A01"/>
    <w:rsid w:val="003A52B9"/>
    <w:rsid w:val="003B549C"/>
    <w:rsid w:val="003D06E0"/>
    <w:rsid w:val="003E0344"/>
    <w:rsid w:val="003F60BD"/>
    <w:rsid w:val="004320DC"/>
    <w:rsid w:val="0045325B"/>
    <w:rsid w:val="00470253"/>
    <w:rsid w:val="004A6EF0"/>
    <w:rsid w:val="004B0E1A"/>
    <w:rsid w:val="004C647B"/>
    <w:rsid w:val="004D7C25"/>
    <w:rsid w:val="004E26D7"/>
    <w:rsid w:val="00504DB3"/>
    <w:rsid w:val="005078FA"/>
    <w:rsid w:val="0051292B"/>
    <w:rsid w:val="0054099A"/>
    <w:rsid w:val="00542AAB"/>
    <w:rsid w:val="005562D5"/>
    <w:rsid w:val="0056325B"/>
    <w:rsid w:val="00564BE7"/>
    <w:rsid w:val="005878B8"/>
    <w:rsid w:val="00587A3C"/>
    <w:rsid w:val="005B55A9"/>
    <w:rsid w:val="005C4D7B"/>
    <w:rsid w:val="005E2C1E"/>
    <w:rsid w:val="005E7939"/>
    <w:rsid w:val="0060514F"/>
    <w:rsid w:val="00613178"/>
    <w:rsid w:val="00615A6C"/>
    <w:rsid w:val="00620817"/>
    <w:rsid w:val="0062690B"/>
    <w:rsid w:val="00631B9B"/>
    <w:rsid w:val="00652AC0"/>
    <w:rsid w:val="00656872"/>
    <w:rsid w:val="0066550D"/>
    <w:rsid w:val="0068774F"/>
    <w:rsid w:val="0069373E"/>
    <w:rsid w:val="006E00F5"/>
    <w:rsid w:val="006E76AE"/>
    <w:rsid w:val="00714B52"/>
    <w:rsid w:val="00732571"/>
    <w:rsid w:val="007347D4"/>
    <w:rsid w:val="00740148"/>
    <w:rsid w:val="00746DDB"/>
    <w:rsid w:val="00753522"/>
    <w:rsid w:val="00761F7E"/>
    <w:rsid w:val="00787EE7"/>
    <w:rsid w:val="007A1789"/>
    <w:rsid w:val="007A2CAB"/>
    <w:rsid w:val="007D7A06"/>
    <w:rsid w:val="007F1429"/>
    <w:rsid w:val="00801E4E"/>
    <w:rsid w:val="0081520A"/>
    <w:rsid w:val="008358DF"/>
    <w:rsid w:val="00846158"/>
    <w:rsid w:val="0085593D"/>
    <w:rsid w:val="0087616C"/>
    <w:rsid w:val="0088116B"/>
    <w:rsid w:val="00884E70"/>
    <w:rsid w:val="00885204"/>
    <w:rsid w:val="00893995"/>
    <w:rsid w:val="008D5997"/>
    <w:rsid w:val="008D7C55"/>
    <w:rsid w:val="0090234B"/>
    <w:rsid w:val="00905642"/>
    <w:rsid w:val="00916C56"/>
    <w:rsid w:val="009232E4"/>
    <w:rsid w:val="00926822"/>
    <w:rsid w:val="00927EB7"/>
    <w:rsid w:val="009312F7"/>
    <w:rsid w:val="00946107"/>
    <w:rsid w:val="00947E42"/>
    <w:rsid w:val="00950551"/>
    <w:rsid w:val="00960502"/>
    <w:rsid w:val="00966488"/>
    <w:rsid w:val="00971CD9"/>
    <w:rsid w:val="0098721F"/>
    <w:rsid w:val="00991215"/>
    <w:rsid w:val="009A43CE"/>
    <w:rsid w:val="009A70B7"/>
    <w:rsid w:val="009C2B55"/>
    <w:rsid w:val="009E2C9F"/>
    <w:rsid w:val="009E3CDB"/>
    <w:rsid w:val="009E5646"/>
    <w:rsid w:val="009F4679"/>
    <w:rsid w:val="00A12E23"/>
    <w:rsid w:val="00A27AAE"/>
    <w:rsid w:val="00A42AF5"/>
    <w:rsid w:val="00A42CCE"/>
    <w:rsid w:val="00A57B4B"/>
    <w:rsid w:val="00A617B3"/>
    <w:rsid w:val="00AA54DD"/>
    <w:rsid w:val="00B1125A"/>
    <w:rsid w:val="00B234CF"/>
    <w:rsid w:val="00B84886"/>
    <w:rsid w:val="00B963CB"/>
    <w:rsid w:val="00BC7B8A"/>
    <w:rsid w:val="00BD5BDA"/>
    <w:rsid w:val="00BD6AD1"/>
    <w:rsid w:val="00BE2602"/>
    <w:rsid w:val="00C15CE9"/>
    <w:rsid w:val="00C20197"/>
    <w:rsid w:val="00C345B0"/>
    <w:rsid w:val="00C35312"/>
    <w:rsid w:val="00C551F2"/>
    <w:rsid w:val="00C579E9"/>
    <w:rsid w:val="00C82777"/>
    <w:rsid w:val="00CA41D6"/>
    <w:rsid w:val="00CC3D48"/>
    <w:rsid w:val="00CC6AC3"/>
    <w:rsid w:val="00CD1A5B"/>
    <w:rsid w:val="00CF1D97"/>
    <w:rsid w:val="00D134EE"/>
    <w:rsid w:val="00D151B6"/>
    <w:rsid w:val="00D3755C"/>
    <w:rsid w:val="00D54AB7"/>
    <w:rsid w:val="00D54EA8"/>
    <w:rsid w:val="00D7495E"/>
    <w:rsid w:val="00D77E1E"/>
    <w:rsid w:val="00D83E13"/>
    <w:rsid w:val="00D90E50"/>
    <w:rsid w:val="00DA44E3"/>
    <w:rsid w:val="00DB1E56"/>
    <w:rsid w:val="00DC3F0E"/>
    <w:rsid w:val="00DD6DBF"/>
    <w:rsid w:val="00E0053D"/>
    <w:rsid w:val="00E212EA"/>
    <w:rsid w:val="00E25632"/>
    <w:rsid w:val="00E3238F"/>
    <w:rsid w:val="00E43769"/>
    <w:rsid w:val="00E4607D"/>
    <w:rsid w:val="00E74787"/>
    <w:rsid w:val="00E75B2A"/>
    <w:rsid w:val="00E827FD"/>
    <w:rsid w:val="00E8373B"/>
    <w:rsid w:val="00EB3868"/>
    <w:rsid w:val="00EC4E37"/>
    <w:rsid w:val="00EC6C72"/>
    <w:rsid w:val="00EC7B0E"/>
    <w:rsid w:val="00ED6602"/>
    <w:rsid w:val="00EE143D"/>
    <w:rsid w:val="00EE5E59"/>
    <w:rsid w:val="00EF3D58"/>
    <w:rsid w:val="00F05908"/>
    <w:rsid w:val="00F13114"/>
    <w:rsid w:val="00F15379"/>
    <w:rsid w:val="00F32F43"/>
    <w:rsid w:val="00F3613B"/>
    <w:rsid w:val="00F804E4"/>
    <w:rsid w:val="00F835E2"/>
    <w:rsid w:val="00F90152"/>
    <w:rsid w:val="00F917F7"/>
    <w:rsid w:val="00FB72A5"/>
    <w:rsid w:val="00FC337F"/>
    <w:rsid w:val="00FC6F45"/>
    <w:rsid w:val="00FE168C"/>
    <w:rsid w:val="00FF0F0F"/>
    <w:rsid w:val="00FF635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DC80"/>
  <w15:docId w15:val="{114E7E62-CCA7-43C2-801E-A330F55B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CC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617B3"/>
    <w:pPr>
      <w:keepNext/>
      <w:outlineLvl w:val="0"/>
    </w:pPr>
    <w:rPr>
      <w:b/>
    </w:rPr>
  </w:style>
  <w:style w:type="paragraph" w:styleId="Heading2">
    <w:name w:val="heading 2"/>
    <w:basedOn w:val="Normal"/>
    <w:next w:val="Normal"/>
    <w:link w:val="Heading2Char"/>
    <w:uiPriority w:val="9"/>
    <w:unhideWhenUsed/>
    <w:qFormat/>
    <w:rsid w:val="00A617B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617B3"/>
    <w:rPr>
      <w:rFonts w:ascii="Times New Roman" w:eastAsia="Times New Roman" w:hAnsi="Times New Roman" w:cs="Times New Roman"/>
      <w:b/>
      <w:color w:val="00000A"/>
      <w:sz w:val="24"/>
      <w:szCs w:val="24"/>
      <w:lang w:val="el-GR" w:eastAsia="el-GR"/>
    </w:rPr>
  </w:style>
  <w:style w:type="character" w:customStyle="1" w:styleId="Heading2Char">
    <w:name w:val="Heading 2 Char"/>
    <w:basedOn w:val="DefaultParagraphFont"/>
    <w:link w:val="Heading2"/>
    <w:uiPriority w:val="9"/>
    <w:rsid w:val="00A617B3"/>
    <w:rPr>
      <w:rFonts w:asciiTheme="majorHAnsi" w:eastAsiaTheme="majorEastAsia" w:hAnsiTheme="majorHAnsi" w:cstheme="majorBidi"/>
      <w:color w:val="365F91" w:themeColor="accent1" w:themeShade="BF"/>
      <w:sz w:val="26"/>
      <w:szCs w:val="26"/>
      <w:lang w:val="el-GR" w:eastAsia="el-GR"/>
    </w:rPr>
  </w:style>
  <w:style w:type="paragraph" w:styleId="Revision">
    <w:name w:val="Revision"/>
    <w:hidden/>
    <w:uiPriority w:val="99"/>
    <w:semiHidden/>
    <w:rsid w:val="0090234B"/>
    <w:pPr>
      <w:spacing w:after="0" w:line="240" w:lineRule="auto"/>
    </w:pPr>
    <w:rPr>
      <w:rFonts w:ascii="Times New Roman" w:eastAsia="Times New Roman" w:hAnsi="Times New Roman" w:cs="Times New Roman"/>
      <w:color w:val="00000A"/>
      <w:sz w:val="24"/>
      <w:szCs w:val="24"/>
      <w:lang w:val="el-GR" w:eastAsia="el-GR"/>
    </w:rPr>
  </w:style>
  <w:style w:type="paragraph" w:styleId="ListParagraph">
    <w:name w:val="List Paragraph"/>
    <w:basedOn w:val="Normal"/>
    <w:uiPriority w:val="34"/>
    <w:qFormat/>
    <w:rsid w:val="00C20197"/>
    <w:pPr>
      <w:ind w:left="720"/>
      <w:contextualSpacing/>
    </w:pPr>
  </w:style>
  <w:style w:type="character" w:styleId="Hyperlink">
    <w:name w:val="Hyperlink"/>
    <w:basedOn w:val="DefaultParagraphFont"/>
    <w:uiPriority w:val="99"/>
    <w:unhideWhenUsed/>
    <w:rsid w:val="001E3F04"/>
    <w:rPr>
      <w:color w:val="0000FF" w:themeColor="hyperlink"/>
      <w:u w:val="single"/>
    </w:rPr>
  </w:style>
  <w:style w:type="character" w:styleId="UnresolvedMention">
    <w:name w:val="Unresolved Mention"/>
    <w:basedOn w:val="DefaultParagraphFont"/>
    <w:uiPriority w:val="99"/>
    <w:semiHidden/>
    <w:unhideWhenUsed/>
    <w:rsid w:val="001E3F04"/>
    <w:rPr>
      <w:color w:val="605E5C"/>
      <w:shd w:val="clear" w:color="auto" w:fill="E1DFDD"/>
    </w:rPr>
  </w:style>
  <w:style w:type="character" w:customStyle="1" w:styleId="HeaderChar">
    <w:name w:val="Header Char"/>
    <w:aliases w:val="hd Char"/>
    <w:link w:val="Header"/>
    <w:uiPriority w:val="99"/>
    <w:qFormat/>
    <w:rsid w:val="00B1125A"/>
    <w:rPr>
      <w:sz w:val="24"/>
      <w:szCs w:val="24"/>
    </w:rPr>
  </w:style>
  <w:style w:type="paragraph" w:styleId="Header">
    <w:name w:val="header"/>
    <w:aliases w:val="hd"/>
    <w:basedOn w:val="Normal"/>
    <w:link w:val="HeaderChar"/>
    <w:uiPriority w:val="99"/>
    <w:rsid w:val="00B1125A"/>
    <w:pPr>
      <w:tabs>
        <w:tab w:val="center" w:pos="4153"/>
        <w:tab w:val="right" w:pos="830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B1125A"/>
    <w:rPr>
      <w:rFonts w:ascii="Times New Roman" w:eastAsia="Times New Roman" w:hAnsi="Times New Roman" w:cs="Times New Roman"/>
      <w:color w:val="00000A"/>
      <w:sz w:val="24"/>
      <w:szCs w:val="24"/>
      <w:lang w:val="el-GR" w:eastAsia="el-GR"/>
    </w:rPr>
  </w:style>
  <w:style w:type="paragraph" w:styleId="FootnoteText">
    <w:name w:val="footnote text"/>
    <w:basedOn w:val="Normal"/>
    <w:link w:val="FootnoteTextChar"/>
    <w:unhideWhenUsed/>
    <w:rsid w:val="00B1125A"/>
    <w:rPr>
      <w:sz w:val="20"/>
      <w:szCs w:val="20"/>
    </w:rPr>
  </w:style>
  <w:style w:type="character" w:customStyle="1" w:styleId="FootnoteTextChar">
    <w:name w:val="Footnote Text Char"/>
    <w:basedOn w:val="DefaultParagraphFont"/>
    <w:link w:val="FootnoteText"/>
    <w:uiPriority w:val="99"/>
    <w:rsid w:val="00B1125A"/>
    <w:rPr>
      <w:rFonts w:ascii="Times New Roman" w:eastAsia="Times New Roman" w:hAnsi="Times New Roman" w:cs="Times New Roman"/>
      <w:color w:val="00000A"/>
      <w:sz w:val="20"/>
      <w:szCs w:val="20"/>
      <w:lang w:val="el-GR" w:eastAsia="el-GR"/>
    </w:rPr>
  </w:style>
  <w:style w:type="character" w:styleId="FootnoteReference">
    <w:name w:val="footnote reference"/>
    <w:basedOn w:val="DefaultParagraphFont"/>
    <w:uiPriority w:val="99"/>
    <w:unhideWhenUsed/>
    <w:rsid w:val="00B1125A"/>
    <w:rPr>
      <w:vertAlign w:val="superscript"/>
    </w:rPr>
  </w:style>
  <w:style w:type="paragraph" w:customStyle="1" w:styleId="Default">
    <w:name w:val="Default"/>
    <w:rsid w:val="00B1125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sid w:val="00105132"/>
    <w:rPr>
      <w:sz w:val="16"/>
      <w:szCs w:val="16"/>
    </w:rPr>
  </w:style>
  <w:style w:type="paragraph" w:styleId="CommentText">
    <w:name w:val="annotation text"/>
    <w:basedOn w:val="Normal"/>
    <w:link w:val="CommentTextChar"/>
    <w:uiPriority w:val="99"/>
    <w:unhideWhenUsed/>
    <w:rsid w:val="00105132"/>
    <w:rPr>
      <w:sz w:val="20"/>
      <w:szCs w:val="20"/>
    </w:rPr>
  </w:style>
  <w:style w:type="character" w:customStyle="1" w:styleId="CommentTextChar">
    <w:name w:val="Comment Text Char"/>
    <w:basedOn w:val="DefaultParagraphFont"/>
    <w:link w:val="CommentText"/>
    <w:uiPriority w:val="99"/>
    <w:rsid w:val="00105132"/>
    <w:rPr>
      <w:rFonts w:ascii="Times New Roman" w:eastAsia="Times New Roman" w:hAnsi="Times New Roman" w:cs="Times New Roman"/>
      <w:color w:val="00000A"/>
      <w:sz w:val="20"/>
      <w:szCs w:val="20"/>
      <w:lang w:val="el-GR" w:eastAsia="el-GR"/>
    </w:rPr>
  </w:style>
  <w:style w:type="paragraph" w:styleId="CommentSubject">
    <w:name w:val="annotation subject"/>
    <w:basedOn w:val="CommentText"/>
    <w:next w:val="CommentText"/>
    <w:link w:val="CommentSubjectChar"/>
    <w:uiPriority w:val="99"/>
    <w:semiHidden/>
    <w:unhideWhenUsed/>
    <w:rsid w:val="00105132"/>
    <w:rPr>
      <w:b/>
      <w:bCs/>
    </w:rPr>
  </w:style>
  <w:style w:type="character" w:customStyle="1" w:styleId="CommentSubjectChar">
    <w:name w:val="Comment Subject Char"/>
    <w:basedOn w:val="CommentTextChar"/>
    <w:link w:val="CommentSubject"/>
    <w:uiPriority w:val="99"/>
    <w:semiHidden/>
    <w:rsid w:val="00105132"/>
    <w:rPr>
      <w:rFonts w:ascii="Times New Roman" w:eastAsia="Times New Roman" w:hAnsi="Times New Roman" w:cs="Times New Roman"/>
      <w:b/>
      <w:bCs/>
      <w:color w:val="00000A"/>
      <w:sz w:val="20"/>
      <w:szCs w:val="20"/>
      <w:lang w:val="el-GR" w:eastAsia="el-GR"/>
    </w:rPr>
  </w:style>
  <w:style w:type="character" w:customStyle="1" w:styleId="il">
    <w:name w:val="il"/>
    <w:basedOn w:val="DefaultParagraphFont"/>
    <w:rsid w:val="00D5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1502">
      <w:bodyDiv w:val="1"/>
      <w:marLeft w:val="0"/>
      <w:marRight w:val="0"/>
      <w:marTop w:val="0"/>
      <w:marBottom w:val="0"/>
      <w:divBdr>
        <w:top w:val="none" w:sz="0" w:space="0" w:color="auto"/>
        <w:left w:val="none" w:sz="0" w:space="0" w:color="auto"/>
        <w:bottom w:val="none" w:sz="0" w:space="0" w:color="auto"/>
        <w:right w:val="none" w:sz="0" w:space="0" w:color="auto"/>
      </w:divBdr>
    </w:div>
    <w:div w:id="243297005">
      <w:bodyDiv w:val="1"/>
      <w:marLeft w:val="0"/>
      <w:marRight w:val="0"/>
      <w:marTop w:val="0"/>
      <w:marBottom w:val="0"/>
      <w:divBdr>
        <w:top w:val="none" w:sz="0" w:space="0" w:color="auto"/>
        <w:left w:val="none" w:sz="0" w:space="0" w:color="auto"/>
        <w:bottom w:val="none" w:sz="0" w:space="0" w:color="auto"/>
        <w:right w:val="none" w:sz="0" w:space="0" w:color="auto"/>
      </w:divBdr>
    </w:div>
    <w:div w:id="332801868">
      <w:bodyDiv w:val="1"/>
      <w:marLeft w:val="0"/>
      <w:marRight w:val="0"/>
      <w:marTop w:val="0"/>
      <w:marBottom w:val="0"/>
      <w:divBdr>
        <w:top w:val="none" w:sz="0" w:space="0" w:color="auto"/>
        <w:left w:val="none" w:sz="0" w:space="0" w:color="auto"/>
        <w:bottom w:val="none" w:sz="0" w:space="0" w:color="auto"/>
        <w:right w:val="none" w:sz="0" w:space="0" w:color="auto"/>
      </w:divBdr>
    </w:div>
    <w:div w:id="382681571">
      <w:bodyDiv w:val="1"/>
      <w:marLeft w:val="0"/>
      <w:marRight w:val="0"/>
      <w:marTop w:val="0"/>
      <w:marBottom w:val="0"/>
      <w:divBdr>
        <w:top w:val="none" w:sz="0" w:space="0" w:color="auto"/>
        <w:left w:val="none" w:sz="0" w:space="0" w:color="auto"/>
        <w:bottom w:val="none" w:sz="0" w:space="0" w:color="auto"/>
        <w:right w:val="none" w:sz="0" w:space="0" w:color="auto"/>
      </w:divBdr>
    </w:div>
    <w:div w:id="389153357">
      <w:bodyDiv w:val="1"/>
      <w:marLeft w:val="0"/>
      <w:marRight w:val="0"/>
      <w:marTop w:val="0"/>
      <w:marBottom w:val="0"/>
      <w:divBdr>
        <w:top w:val="none" w:sz="0" w:space="0" w:color="auto"/>
        <w:left w:val="none" w:sz="0" w:space="0" w:color="auto"/>
        <w:bottom w:val="none" w:sz="0" w:space="0" w:color="auto"/>
        <w:right w:val="none" w:sz="0" w:space="0" w:color="auto"/>
      </w:divBdr>
    </w:div>
    <w:div w:id="459693890">
      <w:bodyDiv w:val="1"/>
      <w:marLeft w:val="0"/>
      <w:marRight w:val="0"/>
      <w:marTop w:val="0"/>
      <w:marBottom w:val="0"/>
      <w:divBdr>
        <w:top w:val="none" w:sz="0" w:space="0" w:color="auto"/>
        <w:left w:val="none" w:sz="0" w:space="0" w:color="auto"/>
        <w:bottom w:val="none" w:sz="0" w:space="0" w:color="auto"/>
        <w:right w:val="none" w:sz="0" w:space="0" w:color="auto"/>
      </w:divBdr>
    </w:div>
    <w:div w:id="576281733">
      <w:bodyDiv w:val="1"/>
      <w:marLeft w:val="0"/>
      <w:marRight w:val="0"/>
      <w:marTop w:val="0"/>
      <w:marBottom w:val="0"/>
      <w:divBdr>
        <w:top w:val="none" w:sz="0" w:space="0" w:color="auto"/>
        <w:left w:val="none" w:sz="0" w:space="0" w:color="auto"/>
        <w:bottom w:val="none" w:sz="0" w:space="0" w:color="auto"/>
        <w:right w:val="none" w:sz="0" w:space="0" w:color="auto"/>
      </w:divBdr>
    </w:div>
    <w:div w:id="666594068">
      <w:bodyDiv w:val="1"/>
      <w:marLeft w:val="0"/>
      <w:marRight w:val="0"/>
      <w:marTop w:val="0"/>
      <w:marBottom w:val="0"/>
      <w:divBdr>
        <w:top w:val="none" w:sz="0" w:space="0" w:color="auto"/>
        <w:left w:val="none" w:sz="0" w:space="0" w:color="auto"/>
        <w:bottom w:val="none" w:sz="0" w:space="0" w:color="auto"/>
        <w:right w:val="none" w:sz="0" w:space="0" w:color="auto"/>
      </w:divBdr>
    </w:div>
    <w:div w:id="765732503">
      <w:bodyDiv w:val="1"/>
      <w:marLeft w:val="0"/>
      <w:marRight w:val="0"/>
      <w:marTop w:val="0"/>
      <w:marBottom w:val="0"/>
      <w:divBdr>
        <w:top w:val="none" w:sz="0" w:space="0" w:color="auto"/>
        <w:left w:val="none" w:sz="0" w:space="0" w:color="auto"/>
        <w:bottom w:val="none" w:sz="0" w:space="0" w:color="auto"/>
        <w:right w:val="none" w:sz="0" w:space="0" w:color="auto"/>
      </w:divBdr>
    </w:div>
    <w:div w:id="787966510">
      <w:bodyDiv w:val="1"/>
      <w:marLeft w:val="0"/>
      <w:marRight w:val="0"/>
      <w:marTop w:val="0"/>
      <w:marBottom w:val="0"/>
      <w:divBdr>
        <w:top w:val="none" w:sz="0" w:space="0" w:color="auto"/>
        <w:left w:val="none" w:sz="0" w:space="0" w:color="auto"/>
        <w:bottom w:val="none" w:sz="0" w:space="0" w:color="auto"/>
        <w:right w:val="none" w:sz="0" w:space="0" w:color="auto"/>
      </w:divBdr>
    </w:div>
    <w:div w:id="929116479">
      <w:bodyDiv w:val="1"/>
      <w:marLeft w:val="0"/>
      <w:marRight w:val="0"/>
      <w:marTop w:val="0"/>
      <w:marBottom w:val="0"/>
      <w:divBdr>
        <w:top w:val="none" w:sz="0" w:space="0" w:color="auto"/>
        <w:left w:val="none" w:sz="0" w:space="0" w:color="auto"/>
        <w:bottom w:val="none" w:sz="0" w:space="0" w:color="auto"/>
        <w:right w:val="none" w:sz="0" w:space="0" w:color="auto"/>
      </w:divBdr>
    </w:div>
    <w:div w:id="1061053395">
      <w:bodyDiv w:val="1"/>
      <w:marLeft w:val="0"/>
      <w:marRight w:val="0"/>
      <w:marTop w:val="0"/>
      <w:marBottom w:val="0"/>
      <w:divBdr>
        <w:top w:val="none" w:sz="0" w:space="0" w:color="auto"/>
        <w:left w:val="none" w:sz="0" w:space="0" w:color="auto"/>
        <w:bottom w:val="none" w:sz="0" w:space="0" w:color="auto"/>
        <w:right w:val="none" w:sz="0" w:space="0" w:color="auto"/>
      </w:divBdr>
    </w:div>
    <w:div w:id="1149250556">
      <w:bodyDiv w:val="1"/>
      <w:marLeft w:val="0"/>
      <w:marRight w:val="0"/>
      <w:marTop w:val="0"/>
      <w:marBottom w:val="0"/>
      <w:divBdr>
        <w:top w:val="none" w:sz="0" w:space="0" w:color="auto"/>
        <w:left w:val="none" w:sz="0" w:space="0" w:color="auto"/>
        <w:bottom w:val="none" w:sz="0" w:space="0" w:color="auto"/>
        <w:right w:val="none" w:sz="0" w:space="0" w:color="auto"/>
      </w:divBdr>
    </w:div>
    <w:div w:id="1272470243">
      <w:bodyDiv w:val="1"/>
      <w:marLeft w:val="0"/>
      <w:marRight w:val="0"/>
      <w:marTop w:val="0"/>
      <w:marBottom w:val="0"/>
      <w:divBdr>
        <w:top w:val="none" w:sz="0" w:space="0" w:color="auto"/>
        <w:left w:val="none" w:sz="0" w:space="0" w:color="auto"/>
        <w:bottom w:val="none" w:sz="0" w:space="0" w:color="auto"/>
        <w:right w:val="none" w:sz="0" w:space="0" w:color="auto"/>
      </w:divBdr>
    </w:div>
    <w:div w:id="1374042281">
      <w:bodyDiv w:val="1"/>
      <w:marLeft w:val="0"/>
      <w:marRight w:val="0"/>
      <w:marTop w:val="0"/>
      <w:marBottom w:val="0"/>
      <w:divBdr>
        <w:top w:val="none" w:sz="0" w:space="0" w:color="auto"/>
        <w:left w:val="none" w:sz="0" w:space="0" w:color="auto"/>
        <w:bottom w:val="none" w:sz="0" w:space="0" w:color="auto"/>
        <w:right w:val="none" w:sz="0" w:space="0" w:color="auto"/>
      </w:divBdr>
      <w:divsChild>
        <w:div w:id="1702515940">
          <w:marLeft w:val="0"/>
          <w:marRight w:val="0"/>
          <w:marTop w:val="0"/>
          <w:marBottom w:val="0"/>
          <w:divBdr>
            <w:top w:val="none" w:sz="0" w:space="0" w:color="auto"/>
            <w:left w:val="none" w:sz="0" w:space="0" w:color="auto"/>
            <w:bottom w:val="none" w:sz="0" w:space="0" w:color="auto"/>
            <w:right w:val="none" w:sz="0" w:space="0" w:color="auto"/>
          </w:divBdr>
        </w:div>
      </w:divsChild>
    </w:div>
    <w:div w:id="1410149805">
      <w:bodyDiv w:val="1"/>
      <w:marLeft w:val="0"/>
      <w:marRight w:val="0"/>
      <w:marTop w:val="0"/>
      <w:marBottom w:val="0"/>
      <w:divBdr>
        <w:top w:val="none" w:sz="0" w:space="0" w:color="auto"/>
        <w:left w:val="none" w:sz="0" w:space="0" w:color="auto"/>
        <w:bottom w:val="none" w:sz="0" w:space="0" w:color="auto"/>
        <w:right w:val="none" w:sz="0" w:space="0" w:color="auto"/>
      </w:divBdr>
      <w:divsChild>
        <w:div w:id="1508254147">
          <w:marLeft w:val="0"/>
          <w:marRight w:val="0"/>
          <w:marTop w:val="0"/>
          <w:marBottom w:val="0"/>
          <w:divBdr>
            <w:top w:val="none" w:sz="0" w:space="0" w:color="auto"/>
            <w:left w:val="none" w:sz="0" w:space="0" w:color="auto"/>
            <w:bottom w:val="none" w:sz="0" w:space="0" w:color="auto"/>
            <w:right w:val="none" w:sz="0" w:space="0" w:color="auto"/>
          </w:divBdr>
        </w:div>
      </w:divsChild>
    </w:div>
    <w:div w:id="1495678505">
      <w:bodyDiv w:val="1"/>
      <w:marLeft w:val="0"/>
      <w:marRight w:val="0"/>
      <w:marTop w:val="0"/>
      <w:marBottom w:val="0"/>
      <w:divBdr>
        <w:top w:val="none" w:sz="0" w:space="0" w:color="auto"/>
        <w:left w:val="none" w:sz="0" w:space="0" w:color="auto"/>
        <w:bottom w:val="none" w:sz="0" w:space="0" w:color="auto"/>
        <w:right w:val="none" w:sz="0" w:space="0" w:color="auto"/>
      </w:divBdr>
    </w:div>
    <w:div w:id="1553693141">
      <w:bodyDiv w:val="1"/>
      <w:marLeft w:val="0"/>
      <w:marRight w:val="0"/>
      <w:marTop w:val="0"/>
      <w:marBottom w:val="0"/>
      <w:divBdr>
        <w:top w:val="none" w:sz="0" w:space="0" w:color="auto"/>
        <w:left w:val="none" w:sz="0" w:space="0" w:color="auto"/>
        <w:bottom w:val="none" w:sz="0" w:space="0" w:color="auto"/>
        <w:right w:val="none" w:sz="0" w:space="0" w:color="auto"/>
      </w:divBdr>
    </w:div>
    <w:div w:id="1554581628">
      <w:bodyDiv w:val="1"/>
      <w:marLeft w:val="0"/>
      <w:marRight w:val="0"/>
      <w:marTop w:val="0"/>
      <w:marBottom w:val="0"/>
      <w:divBdr>
        <w:top w:val="none" w:sz="0" w:space="0" w:color="auto"/>
        <w:left w:val="none" w:sz="0" w:space="0" w:color="auto"/>
        <w:bottom w:val="none" w:sz="0" w:space="0" w:color="auto"/>
        <w:right w:val="none" w:sz="0" w:space="0" w:color="auto"/>
      </w:divBdr>
    </w:div>
    <w:div w:id="1586380435">
      <w:bodyDiv w:val="1"/>
      <w:marLeft w:val="0"/>
      <w:marRight w:val="0"/>
      <w:marTop w:val="0"/>
      <w:marBottom w:val="0"/>
      <w:divBdr>
        <w:top w:val="none" w:sz="0" w:space="0" w:color="auto"/>
        <w:left w:val="none" w:sz="0" w:space="0" w:color="auto"/>
        <w:bottom w:val="none" w:sz="0" w:space="0" w:color="auto"/>
        <w:right w:val="none" w:sz="0" w:space="0" w:color="auto"/>
      </w:divBdr>
    </w:div>
    <w:div w:id="1766077976">
      <w:bodyDiv w:val="1"/>
      <w:marLeft w:val="0"/>
      <w:marRight w:val="0"/>
      <w:marTop w:val="0"/>
      <w:marBottom w:val="0"/>
      <w:divBdr>
        <w:top w:val="none" w:sz="0" w:space="0" w:color="auto"/>
        <w:left w:val="none" w:sz="0" w:space="0" w:color="auto"/>
        <w:bottom w:val="none" w:sz="0" w:space="0" w:color="auto"/>
        <w:right w:val="none" w:sz="0" w:space="0" w:color="auto"/>
      </w:divBdr>
    </w:div>
    <w:div w:id="1858959198">
      <w:bodyDiv w:val="1"/>
      <w:marLeft w:val="0"/>
      <w:marRight w:val="0"/>
      <w:marTop w:val="0"/>
      <w:marBottom w:val="0"/>
      <w:divBdr>
        <w:top w:val="none" w:sz="0" w:space="0" w:color="auto"/>
        <w:left w:val="none" w:sz="0" w:space="0" w:color="auto"/>
        <w:bottom w:val="none" w:sz="0" w:space="0" w:color="auto"/>
        <w:right w:val="none" w:sz="0" w:space="0" w:color="auto"/>
      </w:divBdr>
      <w:divsChild>
        <w:div w:id="1598950557">
          <w:marLeft w:val="0"/>
          <w:marRight w:val="0"/>
          <w:marTop w:val="0"/>
          <w:marBottom w:val="0"/>
          <w:divBdr>
            <w:top w:val="none" w:sz="0" w:space="0" w:color="auto"/>
            <w:left w:val="none" w:sz="0" w:space="0" w:color="auto"/>
            <w:bottom w:val="none" w:sz="0" w:space="0" w:color="auto"/>
            <w:right w:val="none" w:sz="0" w:space="0" w:color="auto"/>
          </w:divBdr>
        </w:div>
      </w:divsChild>
    </w:div>
    <w:div w:id="1990163359">
      <w:bodyDiv w:val="1"/>
      <w:marLeft w:val="0"/>
      <w:marRight w:val="0"/>
      <w:marTop w:val="0"/>
      <w:marBottom w:val="0"/>
      <w:divBdr>
        <w:top w:val="none" w:sz="0" w:space="0" w:color="auto"/>
        <w:left w:val="none" w:sz="0" w:space="0" w:color="auto"/>
        <w:bottom w:val="none" w:sz="0" w:space="0" w:color="auto"/>
        <w:right w:val="none" w:sz="0" w:space="0" w:color="auto"/>
      </w:divBdr>
      <w:divsChild>
        <w:div w:id="1277904310">
          <w:marLeft w:val="0"/>
          <w:marRight w:val="0"/>
          <w:marTop w:val="0"/>
          <w:marBottom w:val="0"/>
          <w:divBdr>
            <w:top w:val="none" w:sz="0" w:space="0" w:color="auto"/>
            <w:left w:val="none" w:sz="0" w:space="0" w:color="auto"/>
            <w:bottom w:val="none" w:sz="0" w:space="0" w:color="auto"/>
            <w:right w:val="none" w:sz="0" w:space="0" w:color="auto"/>
          </w:divBdr>
        </w:div>
        <w:div w:id="1888176935">
          <w:marLeft w:val="0"/>
          <w:marRight w:val="0"/>
          <w:marTop w:val="0"/>
          <w:marBottom w:val="0"/>
          <w:divBdr>
            <w:top w:val="none" w:sz="0" w:space="0" w:color="auto"/>
            <w:left w:val="none" w:sz="0" w:space="0" w:color="auto"/>
            <w:bottom w:val="none" w:sz="0" w:space="0" w:color="auto"/>
            <w:right w:val="none" w:sz="0" w:space="0" w:color="auto"/>
          </w:divBdr>
        </w:div>
        <w:div w:id="707415132">
          <w:marLeft w:val="0"/>
          <w:marRight w:val="0"/>
          <w:marTop w:val="0"/>
          <w:marBottom w:val="0"/>
          <w:divBdr>
            <w:top w:val="none" w:sz="0" w:space="0" w:color="auto"/>
            <w:left w:val="none" w:sz="0" w:space="0" w:color="auto"/>
            <w:bottom w:val="none" w:sz="0" w:space="0" w:color="auto"/>
            <w:right w:val="none" w:sz="0" w:space="0" w:color="auto"/>
          </w:divBdr>
        </w:div>
      </w:divsChild>
    </w:div>
    <w:div w:id="2088960672">
      <w:bodyDiv w:val="1"/>
      <w:marLeft w:val="0"/>
      <w:marRight w:val="0"/>
      <w:marTop w:val="0"/>
      <w:marBottom w:val="0"/>
      <w:divBdr>
        <w:top w:val="none" w:sz="0" w:space="0" w:color="auto"/>
        <w:left w:val="none" w:sz="0" w:space="0" w:color="auto"/>
        <w:bottom w:val="none" w:sz="0" w:space="0" w:color="auto"/>
        <w:right w:val="none" w:sz="0" w:space="0" w:color="auto"/>
      </w:divBdr>
    </w:div>
    <w:div w:id="209821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museum/timeline/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Web21</b:Tag>
    <b:SourceType>InternetSite</b:SourceType>
    <b:Guid>{40527C60-1587-4998-AA3F-0DB450D1234A}</b:Guid>
    <b:Title>Kickstarter Datasets</b:Title>
    <b:Year>2021</b:Year>
    <b:Author>
      <b:Author>
        <b:NameList>
          <b:Person>
            <b:Last>WebRobots</b:Last>
          </b:Person>
        </b:NameList>
      </b:Author>
    </b:Author>
    <b:YearAccessed>2021</b:YearAccessed>
    <b:MonthAccessed>March</b:MonthAccessed>
    <b:URL>https://webrobots.io/kickstarter-datasets/</b:URL>
    <b:RefOrder>105</b:RefOrder>
  </b:Source>
  <b:Source>
    <b:Tag>Eur21</b:Tag>
    <b:SourceType>InternetSite</b:SourceType>
    <b:Guid>{D5D24DA8-F5A5-4A03-A5E3-FFF475C7DA28}</b:Guid>
    <b:Author>
      <b:Author>
        <b:NameList>
          <b:Person>
            <b:Last>EuropeanCommission</b:Last>
          </b:Person>
        </b:NameList>
      </b:Author>
    </b:Author>
    <b:Title>Entrepreneurship and Small and medium-sized enterprises (SMEs)</b:Title>
    <b:Year>2021</b:Year>
    <b:YearAccessed>2021</b:YearAccessed>
    <b:MonthAccessed>January</b:MonthAccessed>
    <b:URL>https://ec.europa.eu/growth/smes_en</b:URL>
    <b:RefOrder>1</b:RefOrder>
  </b:Source>
  <b:Source>
    <b:Tag>Eur211</b:Tag>
    <b:SourceType>InternetSite</b:SourceType>
    <b:Guid>{24055B59-B20C-4C31-8F7F-1B614D18ED43}</b:Guid>
    <b:Author>
      <b:Author>
        <b:NameList>
          <b:Person>
            <b:Last>EuropeanCommission</b:Last>
          </b:Person>
        </b:NameList>
      </b:Author>
    </b:Author>
    <b:Title>Coronavirus response in relation to financing for businesses</b:Title>
    <b:Year>2021</b:Year>
    <b:YearAccessed>2021</b:YearAccessed>
    <b:MonthAccessed>May</b:MonthAccessed>
    <b:URL>https://ec.europa.eu/growth/access-to-finance_en</b:URL>
    <b:RefOrder>3</b:RefOrder>
  </b:Source>
  <b:Source>
    <b:Tag>Har13</b:Tag>
    <b:SourceType>InternetSite</b:SourceType>
    <b:Guid>{CD77D20E-639B-4CAE-8784-08FB612CB5D0}</b:Guid>
    <b:Title>An Overview of Traditional Financing</b:Title>
    <b:Year>2013</b:Year>
    <b:Author>
      <b:Author>
        <b:NameList>
          <b:Person>
            <b:Last>Harley</b:Last>
            <b:First>K.</b:First>
          </b:Person>
        </b:NameList>
      </b:Author>
    </b:Author>
    <b:YearAccessed>2021</b:YearAccessed>
    <b:MonthAccessed>February</b:MonthAccessed>
    <b:URL>https://smallbizclub.com/finance/working-with-lenders/an-overview-of-traditional-financing/</b:URL>
    <b:RefOrder>32</b:RefOrder>
  </b:Source>
  <b:Source>
    <b:Tag>Ste13</b:Tag>
    <b:SourceType>JournalArticle</b:SourceType>
    <b:Guid>{3728AC9F-C9D1-41B6-AD64-80CC956B3D47}</b:Guid>
    <b:Title>The JOBS Act and crowdfunding: Harnessing the power—and money—of the masses</b:Title>
    <b:Year>2013</b:Year>
    <b:JournalName>Business Horizons</b:JournalName>
    <b:Pages>271-275</b:Pages>
    <b:Volume>56</b:Volume>
    <b:Issue>3</b:Issue>
    <b:Author>
      <b:Author>
        <b:NameList>
          <b:Person>
            <b:Last>Stemler</b:Last>
            <b:First>A.</b:First>
            <b:Middle>R.</b:Middle>
          </b:Person>
        </b:NameList>
      </b:Author>
    </b:Author>
    <b:DOI>doi:10.1016/j.bushor.2013.01.007 </b:DOI>
    <b:RefOrder>33</b:RefOrder>
  </b:Source>
  <b:Source>
    <b:Tag>Pee20</b:Tag>
    <b:SourceType>InternetSite</b:SourceType>
    <b:Guid>{C49CF825-F397-4C96-B445-BFD3A082589C}</b:Guid>
    <b:Author>
      <b:Author>
        <b:NameList>
          <b:Person>
            <b:Last>Peek</b:Last>
            <b:First>S.</b:First>
          </b:Person>
        </b:NameList>
      </b:Author>
    </b:Author>
    <b:Title>Small Business Financing Options That Bypass Traditional Banks</b:Title>
    <b:Year>2020</b:Year>
    <b:YearAccessed>2021</b:YearAccessed>
    <b:MonthAccessed>March</b:MonthAccessed>
    <b:URL>https://www.businessnewsdaily.com/1733-small-business-financing-options-.html</b:URL>
    <b:RefOrder>34</b:RefOrder>
  </b:Source>
  <b:Source>
    <b:Tag>Gra10</b:Tag>
    <b:SourceType>InternetSite</b:SourceType>
    <b:Guid>{AE83E8A5-30C7-43AD-B87C-F123185ADF22}</b:Guid>
    <b:Author>
      <b:Author>
        <b:NameList>
          <b:Person>
            <b:Last>Grant</b:Last>
            <b:First>L</b:First>
          </b:Person>
        </b:NameList>
      </b:Author>
    </b:Author>
    <b:Title>Four Traditional Funding Methods for Small Businesses</b:Title>
    <b:Year>2010</b:Year>
    <b:YearAccessed>2021</b:YearAccessed>
    <b:MonthAccessed>March</b:MonthAccessed>
    <b:URL>https://www.nasdaq.com/articles/four-traditional-funding-methods-for-small-businesses-2010-10-12</b:URL>
    <b:RefOrder>35</b:RefOrder>
  </b:Source>
  <b:Source>
    <b:Tag>Man21</b:Tag>
    <b:SourceType>InternetSite</b:SourceType>
    <b:Guid>{8A4F3EC4-D367-44EB-AEBB-576D07C1F592}</b:Guid>
    <b:Title>STARTUP STATISTICS – The Numbers You Need to Know</b:Title>
    <b:Year>2021</b:Year>
    <b:Author>
      <b:Author>
        <b:NameList>
          <b:Person>
            <b:Last>Mansfield</b:Last>
            <b:First>M.</b:First>
          </b:Person>
        </b:NameList>
      </b:Author>
    </b:Author>
    <b:YearAccessed>2021</b:YearAccessed>
    <b:MonthAccessed>March</b:MonthAccessed>
    <b:URL>https://smallbiztrends.com/2019/03/startup-statistics-small-business.html</b:URL>
    <b:RefOrder>36</b:RefOrder>
  </b:Source>
  <b:Source>
    <b:Tag>Hay21</b:Tag>
    <b:SourceType>InternetSite</b:SourceType>
    <b:Guid>{955AFBE9-29BF-4F25-B7C5-65E4F6E17ADD}</b:Guid>
    <b:Author>
      <b:Author>
        <b:NameList>
          <b:Person>
            <b:Last>Hayes</b:Last>
            <b:First>A.</b:First>
          </b:Person>
        </b:NameList>
      </b:Author>
    </b:Author>
    <b:Title>Venture Capital</b:Title>
    <b:Year>2021</b:Year>
    <b:YearAccessed>2021</b:YearAccessed>
    <b:MonthAccessed>May</b:MonthAccessed>
    <b:URL>https://www.investopedia.com/terms/v/venturecapital.asp</b:URL>
    <b:RefOrder>37</b:RefOrder>
  </b:Source>
  <b:Source>
    <b:Tag>Sch20</b:Tag>
    <b:SourceType>JournalArticle</b:SourceType>
    <b:Guid>{BF366606-2550-4E8F-8E3A-E0611B202477}</b:Guid>
    <b:Author>
      <b:Author>
        <b:NameList>
          <b:Person>
            <b:Last>Schückes</b:Last>
            <b:First>M.</b:First>
          </b:Person>
          <b:Person>
            <b:Last>Gutmann</b:Last>
            <b:First>T.</b:First>
          </b:Person>
        </b:NameList>
      </b:Author>
    </b:Author>
    <b:Title>Why do startups pursue initial coin offerings (ICOs)? The role of economic drivers and social identity on funding choice.</b:Title>
    <b:JournalName>Small Bus Econ</b:JournalName>
    <b:Year>2020</b:Year>
    <b:Pages>Open Access</b:Pages>
    <b:URL>https://link.springer.com/article/10.1007/s11187-020-00337-9#citeas</b:URL>
    <b:DOI>https://doi.org/10.1007/s11187-020-00337-9</b:DOI>
    <b:RefOrder>38</b:RefOrder>
  </b:Source>
  <b:Source>
    <b:Tag>Woo20</b:Tag>
    <b:SourceType>InternetSite</b:SourceType>
    <b:Guid>{28970A54-0673-4697-969E-FC2323B7A5FA}</b:Guid>
    <b:Author>
      <b:Author>
        <b:NameList>
          <b:Person>
            <b:Last>Wood</b:Last>
            <b:First>M.</b:First>
          </b:Person>
        </b:NameList>
      </b:Author>
    </b:Author>
    <b:Title>What Is Crowdfunding? Definition, How It Works, Types</b:Title>
    <b:Year>2020</b:Year>
    <b:YearAccessed>2020</b:YearAccessed>
    <b:MonthAccessed>December</b:MonthAccessed>
    <b:URL>https://www.fundera.com/blog/what-is-crowdfunding</b:URL>
    <b:RefOrder>4</b:RefOrder>
  </b:Source>
  <b:Source>
    <b:Tag>Smi21</b:Tag>
    <b:SourceType>InternetSite</b:SourceType>
    <b:Guid>{9B0E8FCD-C65C-49C4-B491-11DA55F8EDB6}</b:Guid>
    <b:Author>
      <b:Author>
        <b:NameList>
          <b:Person>
            <b:Last>Smith</b:Last>
            <b:First>T.</b:First>
          </b:Person>
        </b:NameList>
      </b:Author>
    </b:Author>
    <b:Title>Crowdfunding</b:Title>
    <b:Year>2021</b:Year>
    <b:YearAccessed>2021</b:YearAccessed>
    <b:MonthAccessed>May</b:MonthAccessed>
    <b:URL>https://www.investopedia.com/terms/c/crowdfunding.asp</b:URL>
    <b:RefOrder>5</b:RefOrder>
  </b:Source>
  <b:Source>
    <b:Tag>Bel10</b:Tag>
    <b:SourceType>Report</b:SourceType>
    <b:Guid>{6EDE5000-CA5C-4575-9C32-6512AABFEB5A}</b:Guid>
    <b:Author>
      <b:Author>
        <b:NameList>
          <b:Person>
            <b:Last>Belleflamme</b:Last>
            <b:First>P.</b:First>
          </b:Person>
          <b:Person>
            <b:Last>Lambert</b:Last>
            <b:First>T.</b:First>
          </b:Person>
          <b:Person>
            <b:Last>Schwienbacher</b:Last>
            <b:First>A.</b:First>
          </b:Person>
        </b:NameList>
      </b:Author>
    </b:Author>
    <b:Title>Crowdfunding: An Industrial Organization Perspective</b:Title>
    <b:Year>2010</b:Year>
    <b:URL>https://economix.fr/uploads/source/doc/workshops/2010_dbm/Belleflamme_al.pdf</b:URL>
    <b:RefOrder>6</b:RefOrder>
  </b:Source>
  <b:Source>
    <b:Tag>Wil14</b:Tag>
    <b:SourceType>JournalArticle</b:SourceType>
    <b:Guid>{E082487F-52F8-4238-8BC7-7EEC774083CA}</b:Guid>
    <b:Title>Improving the Role of Equity Crowdfunding in Europe’s Capital Markets.</b:Title>
    <b:Year>2014</b:Year>
    <b:URL>SSRN: https://ssrn.com/abstract=2502280</b:URL>
    <b:Author>
      <b:Author>
        <b:NameList>
          <b:Person>
            <b:Last>Wilson</b:Last>
            <b:First>K.</b:First>
            <b:Middle>E.</b:Middle>
          </b:Person>
          <b:Person>
            <b:Last>Testoni</b:Last>
            <b:First>M.</b:First>
          </b:Person>
        </b:NameList>
      </b:Author>
    </b:Author>
    <b:JournalName>SSRN Electronic Journal</b:JournalName>
    <b:DOI>doi:10.2139/ssrn.2502280</b:DOI>
    <b:RefOrder>7</b:RefOrder>
  </b:Source>
  <b:Source>
    <b:Tag>Voo11</b:Tag>
    <b:SourceType>DocumentFromInternetSite</b:SourceType>
    <b:Guid>{2EC87870-4F3F-4D1E-8DE2-4C7A9B3979F8}</b:Guid>
    <b:Title>Crowdfunding for financing new ventures: consequences of the financial model on operational decisions</b:Title>
    <b:Year>2011</b:Year>
    <b:Author>
      <b:Author>
        <b:NameList>
          <b:Person>
            <b:Last>Voorbraak</b:Last>
            <b:First>K.J.P.M.</b:First>
          </b:Person>
        </b:NameList>
      </b:Author>
    </b:Author>
    <b:Month>August</b:Month>
    <b:Day>31</b:Day>
    <b:YearAccessed>2020</b:YearAccessed>
    <b:MonthAccessed>December</b:MonthAccessed>
    <b:URL>https://research.tue.nl/en/studentTheses/crowdfunding-for-financing-new-ventures</b:URL>
    <b:RefOrder>8</b:RefOrder>
  </b:Source>
  <b:Source>
    <b:Tag>Mol14</b:Tag>
    <b:SourceType>JournalArticle</b:SourceType>
    <b:Guid>{63560967-3A52-4AAB-8DDE-6A5867655176}</b:Guid>
    <b:Author>
      <b:Author>
        <b:NameList>
          <b:Person>
            <b:Last>Mollick</b:Last>
            <b:First>E.</b:First>
          </b:Person>
        </b:NameList>
      </b:Author>
    </b:Author>
    <b:Title>The dynamics of crowdfunding: An exploratory study.</b:Title>
    <b:JournalName>Journal of Business Venturing</b:JournalName>
    <b:Year>2014</b:Year>
    <b:Pages>1-16</b:Pages>
    <b:Volume>29</b:Volume>
    <b:Issue>1</b:Issue>
    <b:DOI>doi:10.1016/j.jbusvent.2013.06.005</b:DOI>
    <b:RefOrder>9</b:RefOrder>
  </b:Source>
  <b:Source>
    <b:Tag>Bel14</b:Tag>
    <b:SourceType>JournalArticle</b:SourceType>
    <b:Guid>{E30BB422-F76B-4033-AD81-C1D8D2DCAE30}</b:Guid>
    <b:Title>Crowdfunding: Tapping the right crowd</b:Title>
    <b:Year>2014</b:Year>
    <b:Publisher>Elsevier</b:Publisher>
    <b:Author>
      <b:Author>
        <b:NameList>
          <b:Person>
            <b:Last>Belleflamme</b:Last>
            <b:First>P.</b:First>
          </b:Person>
          <b:Person>
            <b:Last>Lambert</b:Last>
            <b:First>T.</b:First>
          </b:Person>
          <b:Person>
            <b:Last>Schwienbacher</b:Last>
            <b:First>A.</b:First>
          </b:Person>
        </b:NameList>
      </b:Author>
    </b:Author>
    <b:JournalName>Journal of Business Venturing</b:JournalName>
    <b:Pages>588-609</b:Pages>
    <b:Volume>29</b:Volume>
    <b:Issue>5</b:Issue>
    <b:DOI>doi:10.1016/j.jbusvent.2013.07.003 </b:DOI>
    <b:RefOrder>10</b:RefOrder>
  </b:Source>
  <b:Source>
    <b:Tag>Cus15</b:Tag>
    <b:SourceType>Report</b:SourceType>
    <b:Guid>{62D13C1B-1C21-4F58-8FB2-2F90854FD064}</b:Guid>
    <b:Title>New Approaches to SME and Entrepreneurship Financing: Broadening the Range of Instruments</b:Title>
    <b:Year>2015</b:Year>
    <b:Author>
      <b:Author>
        <b:NameList>
          <b:Person>
            <b:Last>Cusmano</b:Last>
            <b:First>L</b:First>
          </b:Person>
          <b:Person>
            <b:Last>Koreen</b:Last>
            <b:First>M.</b:First>
          </b:Person>
        </b:NameList>
      </b:Author>
    </b:Author>
    <b:URL>https://www.oecd.org/industry/New-Approaches-SME-full-report.pdf</b:URL>
    <b:Publisher>OECD</b:Publisher>
    <b:RefOrder>11</b:RefOrder>
  </b:Source>
  <b:Source>
    <b:Tag>Cas111</b:Tag>
    <b:SourceType>InternetSite</b:SourceType>
    <b:Guid>{F559F81B-130D-4675-8EA3-9A1EC612EA92}</b:Guid>
    <b:Author>
      <b:Author>
        <b:NameList>
          <b:Person>
            <b:Last>Castrataro</b:Last>
            <b:First>D.</b:First>
          </b:Person>
        </b:NameList>
      </b:Author>
    </b:Author>
    <b:Title>https://socialmediaweek.org/</b:Title>
    <b:Year>2011</b:Year>
    <b:YearAccessed>2020</b:YearAccessed>
    <b:MonthAccessed>December</b:MonthAccessed>
    <b:URL>https://socialmediaweek.org/blog/2011/12/a-social-history-of-crowdfunding/</b:URL>
    <b:ShortTitle>A social history of crowdfunding</b:ShortTitle>
    <b:RefOrder>12</b:RefOrder>
  </b:Source>
  <b:Source>
    <b:Tag>Col12</b:Tag>
    <b:SourceType>Report</b:SourceType>
    <b:Guid>{D585D9B2-C566-42EA-B064-7375C5BDA642}</b:Guid>
    <b:Title>The Venture Crowd</b:Title>
    <b:Year>2012</b:Year>
    <b:Author>
      <b:Author>
        <b:NameList>
          <b:Person>
            <b:Last>Collins</b:Last>
            <b:First>L</b:First>
          </b:Person>
          <b:Person>
            <b:Last>Pierrakis</b:Last>
            <b:First>Y.</b:First>
          </b:Person>
        </b:NameList>
      </b:Author>
    </b:Author>
    <b:Publisher>NESTA</b:Publisher>
    <b:City>London</b:City>
    <b:Institution>Kingston University London</b:Institution>
    <b:URL>https://eprints.kingston.ac.uk/id/eprint/29089/1/the_venture_crowd.pdf</b:URL>
    <b:RefOrder>15</b:RefOrder>
  </b:Source>
  <b:Source>
    <b:Tag>Bou15</b:Tag>
    <b:SourceType>JournalArticle</b:SourceType>
    <b:Guid>{84566E0D-0451-4CD6-B73D-C7A796DAC2D5}</b:Guid>
    <b:Author>
      <b:Author>
        <b:NameList>
          <b:Person>
            <b:Last>Bouncken</b:Last>
            <b:First>R.B.</b:First>
          </b:Person>
          <b:Person>
            <b:Last>Komorek</b:Last>
            <b:First>M.</b:First>
          </b:Person>
          <b:Person>
            <b:Last>Kraus</b:Last>
            <b:First>S.</b:First>
          </b:Person>
        </b:NameList>
      </b:Author>
    </b:Author>
    <b:Title>Crowdfunding: The Current State Of Research</b:Title>
    <b:JournalName>International Business &amp; Economics Research Journal (IBER)</b:JournalName>
    <b:Year>2015</b:Year>
    <b:Pages>407-416</b:Pages>
    <b:Volume>14</b:Volume>
    <b:Issue>3</b:Issue>
    <b:DOI>https://doi.org/10.19030/iber.v14i3.9206</b:DOI>
    <b:RefOrder>17</b:RefOrder>
  </b:Source>
  <b:Source>
    <b:Tag>Cro19</b:Tag>
    <b:SourceType>InternetSite</b:SourceType>
    <b:Guid>{93BE90AC-FA70-4E3F-B9FB-65A8D5620371}</b:Guid>
    <b:Title>Global Crowdfunding Market Size Status and Forecast 2021 to 2027</b:Title>
    <b:Year>2019</b:Year>
    <b:YearAccessed>2020</b:YearAccessed>
    <b:MonthAccessed>April</b:MonthAccessed>
    <b:URL>https://reports.valuates.com/market-reports/QYRE-Auto-1598/global-crowdfunding-market-size</b:URL>
    <b:Author>
      <b:Author>
        <b:NameList>
          <b:Person>
            <b:Last>ValuateReports</b:Last>
          </b:Person>
        </b:NameList>
      </b:Author>
    </b:Author>
    <b:RefOrder>18</b:RefOrder>
  </b:Source>
  <b:Source>
    <b:Tag>Sta211</b:Tag>
    <b:SourceType>InternetSite</b:SourceType>
    <b:Guid>{9D02329F-9226-46C0-A32A-7C68ECA1E03C}</b:Guid>
    <b:Author>
      <b:Author>
        <b:NameList>
          <b:Person>
            <b:Last>Statista</b:Last>
          </b:Person>
        </b:NameList>
      </b:Author>
    </b:Author>
    <b:Title>Volume of funds raised through crowdfunding worldwide in 2018, by region</b:Title>
    <b:Year>2021</b:Year>
    <b:YearAccessed>2021</b:YearAccessed>
    <b:MonthAccessed>January</b:MonthAccessed>
    <b:URL>https://www.statista.com/statistics/946659/global-crowdfunding-volume-worldwide-by-region/</b:URL>
    <b:RefOrder>19</b:RefOrder>
  </b:Source>
  <b:Source>
    <b:Tag>Cal12</b:Tag>
    <b:SourceType>InternetSite</b:SourceType>
    <b:Guid>{FB1C5CC0-CE18-4AB7-B76E-2DCAE7CA695F}</b:Guid>
    <b:Title>forbes.com</b:Title>
    <b:Year>2012</b:Year>
    <b:Author>
      <b:Author>
        <b:NameList>
          <b:Person>
            <b:Last>Caldbeck</b:Last>
            <b:First>R.</b:First>
          </b:Person>
        </b:NameList>
      </b:Author>
    </b:Author>
    <b:YearAccessed>2020</b:YearAccessed>
    <b:MonthAccessed>December</b:MonthAccessed>
    <b:URL>https://www.forbes.com/sites/ryancaldbeck/2012/12/26/2013-and-the-evolution-of-crowdfunding/?sh=5279deb37d2e</b:URL>
    <b:ShortTitle>2013 and The Evolution of Crowdfunding</b:ShortTitle>
    <b:RefOrder>20</b:RefOrder>
  </b:Source>
  <b:Source>
    <b:Tag>Lei12</b:Tag>
    <b:SourceType>JournalArticle</b:SourceType>
    <b:Guid>{A51DE239-2CD4-4F70-9B02-FD9BE0B93D16}</b:Guid>
    <b:Author>
      <b:Author>
        <b:NameList>
          <b:Person>
            <b:Last>Leimeister</b:Last>
            <b:First>J.M.</b:First>
          </b:Person>
        </b:NameList>
      </b:Author>
    </b:Author>
    <b:Title>Crowdsourcing: Crowdfunding, Crowdvoting, Crowdcreation</b:Title>
    <b:JournalName>Controlling &amp; Management</b:JournalName>
    <b:Year>2012</b:Year>
    <b:Volume>56</b:Volume>
    <b:Issue>6</b:Issue>
    <b:DOI>10.1365/s12176-012-0662-5</b:DOI>
    <b:RefOrder>21</b:RefOrder>
  </b:Source>
  <b:Source>
    <b:Tag>Int21</b:Tag>
    <b:SourceType>InternetSite</b:SourceType>
    <b:Guid>{531FCEC0-F205-4769-9B67-09236FE13AA7}</b:Guid>
    <b:Author>
      <b:Author>
        <b:NameList>
          <b:Person>
            <b:Last>Stats</b:Last>
            <b:First>Internet</b:First>
            <b:Middle>World</b:Middle>
          </b:Person>
        </b:NameList>
      </b:Author>
    </b:Author>
    <b:Title>Internet World Stats</b:Title>
    <b:Year>2021</b:Year>
    <b:YearAccessed>2021</b:YearAccessed>
    <b:MonthAccessed>march</b:MonthAccessed>
    <b:URL>https://www.internetworldstats.com/stats.htm</b:URL>
    <b:RefOrder>22</b:RefOrder>
  </b:Source>
  <b:Source>
    <b:Tag>Cas11</b:Tag>
    <b:SourceType>Book</b:SourceType>
    <b:Guid>{D367BA4C-C9E5-4DAA-8CF7-8E08FECD4FC0}</b:Guid>
    <b:Author>
      <b:Author>
        <b:NameList>
          <b:Person>
            <b:Last>Castells</b:Last>
            <b:First>M.</b:First>
          </b:Person>
        </b:NameList>
      </b:Author>
    </b:Author>
    <b:Title>Communication Power</b:Title>
    <b:Year>2011</b:Year>
    <b:Publisher>Oxford University Press</b:Publisher>
    <b:RefOrder>23</b:RefOrder>
  </b:Source>
  <b:Source>
    <b:Tag>ORe05</b:Tag>
    <b:SourceType>InternetSite</b:SourceType>
    <b:Guid>{2CCC084F-9DCB-4172-925A-EFB5EFB52D67}</b:Guid>
    <b:Author>
      <b:Author>
        <b:NameList>
          <b:Person>
            <b:Last>O'Reilly</b:Last>
            <b:First>T.</b:First>
          </b:Person>
        </b:NameList>
      </b:Author>
    </b:Author>
    <b:Title>What Is Web 2.0</b:Title>
    <b:Year>2005</b:Year>
    <b:YearAccessed>2020</b:YearAccessed>
    <b:MonthAccessed>December</b:MonthAccessed>
    <b:URL>https://www.oreilly.com/pub/a/web2/archive/what-is-web-20.html</b:URL>
    <b:RefOrder>24</b:RefOrder>
  </b:Source>
  <b:Source>
    <b:Tag>Bra08</b:Tag>
    <b:SourceType>JournalArticle</b:SourceType>
    <b:Guid>{6F254D46-7B20-4FAC-9207-67F9604238D5}</b:Guid>
    <b:Author>
      <b:Author>
        <b:NameList>
          <b:Person>
            <b:Last>Brabham</b:Last>
            <b:First>D.C.</b:First>
          </b:Person>
        </b:NameList>
      </b:Author>
    </b:Author>
    <b:Title>Crowdsourcing as a Model for Problem Solving: An Introduction and Cases</b:Title>
    <b:JournalName>Convergence.</b:JournalName>
    <b:Year>2008</b:Year>
    <b:Pages>75-90</b:Pages>
    <b:Volume>14</b:Volume>
    <b:Issue>1</b:Issue>
    <b:DOI>doi:10.1177/1354856507084420</b:DOI>
    <b:RefOrder>25</b:RefOrder>
  </b:Source>
  <b:Source>
    <b:Tag>Kle08</b:Tag>
    <b:SourceType>JournalArticle</b:SourceType>
    <b:Guid>{4055E877-3E98-495A-8563-262EE3237D56}</b:Guid>
    <b:Title>Un(der)paid Innovators: The Commercial Utilization of Consumer Work through Crowdsourcing</b:Title>
    <b:Year>2008</b:Year>
    <b:URL>https://core.ac.uk/download/pdf/46909382.pdf</b:URL>
    <b:Pages>5-26</b:Pages>
    <b:Author>
      <b:Author>
        <b:NameList>
          <b:Person>
            <b:Last>Kleemann</b:Last>
            <b:First>F.</b:First>
          </b:Person>
          <b:Person>
            <b:Last>Voß</b:Last>
            <b:First>G.</b:First>
          </b:Person>
          <b:Person>
            <b:Last>Rieder</b:Last>
            <b:First>K.</b:First>
          </b:Person>
        </b:NameList>
      </b:Author>
    </b:Author>
    <b:JournalName>Science, Technology and Innovation Studies</b:JournalName>
    <b:Volume>4</b:Volume>
    <b:Issue>1</b:Issue>
    <b:RefOrder>26</b:RefOrder>
  </b:Source>
  <b:Source>
    <b:Tag>AgrA11</b:Tag>
    <b:SourceType>Report</b:SourceType>
    <b:Guid>{ACE1E47F-B50D-443B-9013-50F565061F80}</b:Guid>
    <b:LCID>en-US</b:LCID>
    <b:Author>
      <b:Author>
        <b:NameList>
          <b:Person>
            <b:Last>Agrawal</b:Last>
            <b:First>Ajay</b:First>
            <b:Middle>K.</b:Middle>
          </b:Person>
          <b:Person>
            <b:Last>Catalini</b:Last>
            <b:First>Christian</b:First>
          </b:Person>
          <b:Person>
            <b:Last>Goldfarb</b:Last>
            <b:First>Avi</b:First>
          </b:Person>
        </b:NameList>
      </b:Author>
    </b:Author>
    <b:Title>The Geography of Crowdfunding</b:Title>
    <b:Year>2011</b:Year>
    <b:Publisher>National Bureau Of Economic Research</b:Publisher>
    <b:City>Massachusetts</b:City>
    <b:DOI>doi:10.3386/w16820 </b:DOI>
    <b:RefOrder>27</b:RefOrder>
  </b:Source>
  <b:Source>
    <b:Tag>Moi13</b:Tag>
    <b:SourceType>InternetSite</b:SourceType>
    <b:Guid>{5545ACC7-8505-4701-9583-A8A419688E13}</b:Guid>
    <b:Author>
      <b:Author>
        <b:NameList>
          <b:Person>
            <b:Last>Moisseyev</b:Last>
            <b:First>A.</b:First>
          </b:Person>
        </b:NameList>
      </b:Author>
    </b:Author>
    <b:Title>EFFECT OF SOCIAL MEDIA ON CROWDFUNDING PROJECT RESULTS</b:Title>
    <b:Year>2013</b:Year>
    <b:YearAccessed>2021</b:YearAccessed>
    <b:MonthAccessed>February</b:MonthAccessed>
    <b:URL>https://digitalcommons.unl.edu/businessdiss/39/</b:URL>
    <b:RefOrder>28</b:RefOrder>
  </b:Source>
  <b:Source>
    <b:Tag>Zha12</b:Tag>
    <b:SourceType>DocumentFromInternetSite</b:SourceType>
    <b:Guid>{50A624CF-D788-4536-AA46-6A76D0CB54AF}</b:Guid>
    <b:Title>An Empirical Study into the Field of</b:Title>
    <b:Year>2012</b:Year>
    <b:Author>
      <b:Author>
        <b:NameList>
          <b:Person>
            <b:Last>Zhang</b:Last>
            <b:First>Y.</b:First>
          </b:Person>
        </b:NameList>
      </b:Author>
    </b:Author>
    <b:Month>August</b:Month>
    <b:Day>15</b:Day>
    <b:YearAccessed>2020</b:YearAccessed>
    <b:MonthAccessed>December</b:MonthAccessed>
    <b:URL>https://lup.lub.lu.se/luur/download?func=downloadFile&amp;recordOId=3049774&amp;fileOId=3049777</b:URL>
    <b:RefOrder>29</b:RefOrder>
  </b:Source>
  <b:Source>
    <b:Tag>Sta212</b:Tag>
    <b:SourceType>InternetSite</b:SourceType>
    <b:Guid>{F92B4D20-EE7C-48BC-B066-C565A16AA716}</b:Guid>
    <b:Author>
      <b:Author>
        <b:NameList>
          <b:Person>
            <b:Last>Statista</b:Last>
          </b:Person>
        </b:NameList>
      </b:Author>
    </b:Author>
    <b:Title>Volume of funds raised through crowdfunding worldwide in 2018, by model category</b:Title>
    <b:Year>2021</b:Year>
    <b:YearAccessed>2021</b:YearAccessed>
    <b:MonthAccessed>January</b:MonthAccessed>
    <b:URL>https://www.statista.com/statistics/946668/global-crowdfunding-volume-worldwide-by-type/</b:URL>
    <b:RefOrder>39</b:RefOrder>
  </b:Source>
  <b:Source>
    <b:Tag>Eve15</b:Tag>
    <b:SourceType>JournalArticle</b:SourceType>
    <b:Guid>{8A0C1185-BE4D-449E-B98F-347A021EEE6E}</b:Guid>
    <b:Author>
      <b:Author>
        <b:NameList>
          <b:Person>
            <b:Last>Everett</b:Last>
            <b:First>C.</b:First>
            <b:Middle>R.</b:Middle>
          </b:Person>
        </b:NameList>
      </b:Author>
    </b:Author>
    <b:Title>Group Membership, Relationship Banking and Loan Default Risk: The Case of Online Social Lending</b:Title>
    <b:JournalName>Banking and Finance Review</b:JournalName>
    <b:Year>2015</b:Year>
    <b:Volume>7</b:Volume>
    <b:Issue>2</b:Issue>
    <b:RefOrder>45</b:RefOrder>
  </b:Source>
</b:Sources>
</file>

<file path=customXml/itemProps1.xml><?xml version="1.0" encoding="utf-8"?>
<ds:datastoreItem xmlns:ds="http://schemas.openxmlformats.org/officeDocument/2006/customXml" ds:itemID="{D76CCEF5-F96D-4865-B168-DBEBF83D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11</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Karpouzis</dc:creator>
  <cp:keywords/>
  <dc:description/>
  <cp:lastModifiedBy>ΝΙΚΟΛΑΟΣ ΔΑΣΚΑΛΑΚΗΣ</cp:lastModifiedBy>
  <cp:revision>11</cp:revision>
  <dcterms:created xsi:type="dcterms:W3CDTF">2023-07-07T08:31:00Z</dcterms:created>
  <dcterms:modified xsi:type="dcterms:W3CDTF">2023-09-05T09:45:00Z</dcterms:modified>
</cp:coreProperties>
</file>