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AE8" w:rsidRDefault="00B67AE8" w:rsidP="00B67AE8">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t>The Current Level of Health of the Greek Population and an Investigation into the Negative Impact of the Economic Crisis on Health Indicators</w:t>
      </w:r>
    </w:p>
    <w:p w:rsidR="00B67AE8" w:rsidRDefault="00B67AE8" w:rsidP="00B67AE8">
      <w:pPr>
        <w:spacing w:after="0"/>
        <w:jc w:val="center"/>
        <w:rPr>
          <w:rFonts w:ascii="Times New Roman" w:hAnsi="Times New Roman" w:cs="Times New Roman"/>
          <w:b/>
          <w:sz w:val="24"/>
          <w:szCs w:val="24"/>
          <w:lang w:val="en-US"/>
        </w:rPr>
      </w:pPr>
    </w:p>
    <w:p w:rsidR="00B67AE8" w:rsidRPr="000F0229" w:rsidRDefault="00B67AE8" w:rsidP="00B67AE8">
      <w:pPr>
        <w:spacing w:after="0"/>
        <w:jc w:val="center"/>
        <w:rPr>
          <w:lang w:val="en-US"/>
        </w:rPr>
      </w:pPr>
      <w:proofErr w:type="spellStart"/>
      <w:r>
        <w:rPr>
          <w:rFonts w:ascii="Times New Roman" w:hAnsi="Times New Roman" w:cs="Times New Roman"/>
          <w:b/>
          <w:sz w:val="26"/>
          <w:szCs w:val="26"/>
          <w:lang w:val="en-US"/>
        </w:rPr>
        <w:t>Eleni</w:t>
      </w:r>
      <w:proofErr w:type="spellEnd"/>
      <w:r>
        <w:rPr>
          <w:rFonts w:ascii="Times New Roman" w:hAnsi="Times New Roman" w:cs="Times New Roman"/>
          <w:b/>
          <w:sz w:val="26"/>
          <w:szCs w:val="26"/>
          <w:lang w:val="en-US"/>
        </w:rPr>
        <w:t xml:space="preserve"> Christopoulou</w:t>
      </w:r>
      <w:r>
        <w:rPr>
          <w:rFonts w:ascii="Times New Roman" w:hAnsi="Times New Roman" w:cs="Times New Roman"/>
          <w:b/>
          <w:sz w:val="26"/>
          <w:szCs w:val="26"/>
          <w:vertAlign w:val="superscript"/>
          <w:lang w:val="en-US"/>
        </w:rPr>
        <w:t>1</w:t>
      </w:r>
      <w:r>
        <w:rPr>
          <w:rFonts w:ascii="Times New Roman" w:hAnsi="Times New Roman" w:cs="Times New Roman"/>
          <w:b/>
          <w:sz w:val="26"/>
          <w:szCs w:val="26"/>
          <w:lang w:val="en-US"/>
        </w:rPr>
        <w:t>, Dimitrios Tsoromokos</w:t>
      </w:r>
      <w:r>
        <w:rPr>
          <w:rFonts w:ascii="Times New Roman" w:hAnsi="Times New Roman" w:cs="Times New Roman"/>
          <w:b/>
          <w:sz w:val="26"/>
          <w:szCs w:val="26"/>
          <w:vertAlign w:val="superscript"/>
          <w:lang w:val="en-US"/>
        </w:rPr>
        <w:t>2</w:t>
      </w:r>
    </w:p>
    <w:p w:rsidR="00B67AE8" w:rsidRDefault="00B67AE8" w:rsidP="00B67AE8">
      <w:pPr>
        <w:spacing w:after="0"/>
        <w:jc w:val="center"/>
        <w:rPr>
          <w:rFonts w:ascii="Times New Roman" w:hAnsi="Times New Roman" w:cs="Times New Roman"/>
          <w:b/>
          <w:sz w:val="26"/>
          <w:szCs w:val="26"/>
          <w:vertAlign w:val="superscript"/>
          <w:lang w:val="en-US"/>
        </w:rPr>
      </w:pPr>
    </w:p>
    <w:p w:rsidR="00B67AE8" w:rsidRPr="000F0229" w:rsidRDefault="00B67AE8" w:rsidP="00B67AE8">
      <w:pPr>
        <w:spacing w:after="0"/>
        <w:jc w:val="both"/>
        <w:rPr>
          <w:lang w:val="en-US"/>
        </w:rPr>
      </w:pPr>
      <w:r>
        <w:rPr>
          <w:rFonts w:ascii="Times New Roman" w:hAnsi="Times New Roman" w:cs="Times New Roman"/>
          <w:vertAlign w:val="superscript"/>
          <w:lang w:val="en-US"/>
        </w:rPr>
        <w:t>1</w:t>
      </w:r>
      <w:r>
        <w:rPr>
          <w:rFonts w:ascii="Times New Roman" w:hAnsi="Times New Roman" w:cs="Times New Roman"/>
          <w:lang w:val="en-US"/>
        </w:rPr>
        <w:t xml:space="preserve">Hellenic Open University, School of Social Sciences, </w:t>
      </w:r>
      <w:proofErr w:type="spellStart"/>
      <w:r>
        <w:rPr>
          <w:rFonts w:ascii="Times New Roman" w:hAnsi="Times New Roman" w:cs="Times New Roman"/>
          <w:lang w:val="en-US"/>
        </w:rPr>
        <w:t>Patras</w:t>
      </w:r>
      <w:proofErr w:type="spellEnd"/>
      <w:r>
        <w:rPr>
          <w:rFonts w:ascii="Times New Roman" w:hAnsi="Times New Roman" w:cs="Times New Roman"/>
          <w:lang w:val="en-US"/>
        </w:rPr>
        <w:t>, Greece</w:t>
      </w:r>
    </w:p>
    <w:p w:rsidR="00B67AE8" w:rsidRPr="006B35D1" w:rsidRDefault="00B67AE8" w:rsidP="00B67AE8">
      <w:pPr>
        <w:spacing w:after="0"/>
        <w:jc w:val="both"/>
        <w:rPr>
          <w:lang w:val="en-US"/>
        </w:rPr>
      </w:pPr>
      <w:r>
        <w:rPr>
          <w:rFonts w:ascii="Times New Roman" w:hAnsi="Times New Roman" w:cs="Times New Roman"/>
          <w:vertAlign w:val="superscript"/>
          <w:lang w:val="en-US"/>
        </w:rPr>
        <w:t>2</w:t>
      </w:r>
      <w:r>
        <w:rPr>
          <w:rFonts w:ascii="Times New Roman" w:hAnsi="Times New Roman" w:cs="Times New Roman"/>
          <w:lang w:val="en-US"/>
        </w:rPr>
        <w:t xml:space="preserve">General Hospital of </w:t>
      </w:r>
      <w:proofErr w:type="spellStart"/>
      <w:r>
        <w:rPr>
          <w:rFonts w:ascii="Times New Roman" w:hAnsi="Times New Roman" w:cs="Times New Roman"/>
          <w:lang w:val="en-US"/>
        </w:rPr>
        <w:t>Lakonia</w:t>
      </w:r>
      <w:proofErr w:type="spellEnd"/>
      <w:r>
        <w:rPr>
          <w:rFonts w:ascii="Times New Roman" w:hAnsi="Times New Roman" w:cs="Times New Roman"/>
          <w:lang w:val="en-US"/>
        </w:rPr>
        <w:t xml:space="preserve">, Nursing Unit of </w:t>
      </w:r>
      <w:proofErr w:type="spellStart"/>
      <w:r>
        <w:rPr>
          <w:rFonts w:ascii="Times New Roman" w:hAnsi="Times New Roman" w:cs="Times New Roman"/>
          <w:lang w:val="en-US"/>
        </w:rPr>
        <w:t>Molaoi</w:t>
      </w:r>
      <w:proofErr w:type="spellEnd"/>
      <w:r w:rsidR="006B35D1">
        <w:rPr>
          <w:rFonts w:ascii="Times New Roman" w:hAnsi="Times New Roman" w:cs="Times New Roman"/>
          <w:lang w:val="en-US"/>
        </w:rPr>
        <w:t xml:space="preserve">, </w:t>
      </w:r>
      <w:proofErr w:type="spellStart"/>
      <w:r w:rsidR="006B35D1">
        <w:rPr>
          <w:rFonts w:ascii="Times New Roman" w:hAnsi="Times New Roman" w:cs="Times New Roman"/>
          <w:lang w:val="en-US"/>
        </w:rPr>
        <w:t>Molaoi</w:t>
      </w:r>
      <w:proofErr w:type="spellEnd"/>
      <w:r w:rsidR="006B35D1">
        <w:rPr>
          <w:rFonts w:ascii="Times New Roman" w:hAnsi="Times New Roman" w:cs="Times New Roman"/>
          <w:lang w:val="en-US"/>
        </w:rPr>
        <w:t>, Greece</w:t>
      </w:r>
    </w:p>
    <w:p w:rsidR="00B67AE8" w:rsidRDefault="00B67AE8" w:rsidP="00B67AE8">
      <w:pPr>
        <w:spacing w:after="0"/>
        <w:rPr>
          <w:rFonts w:ascii="Times New Roman" w:hAnsi="Times New Roman" w:cs="Times New Roman"/>
          <w:sz w:val="24"/>
          <w:szCs w:val="24"/>
          <w:lang w:val="en-US"/>
        </w:rPr>
      </w:pPr>
    </w:p>
    <w:p w:rsidR="00B67AE8" w:rsidRPr="000F0229" w:rsidRDefault="00B67AE8" w:rsidP="00B67AE8">
      <w:pPr>
        <w:tabs>
          <w:tab w:val="left" w:pos="1276"/>
        </w:tabs>
        <w:spacing w:after="0"/>
        <w:jc w:val="both"/>
        <w:rPr>
          <w:lang w:val="en-US"/>
        </w:rPr>
      </w:pPr>
      <w:r>
        <w:rPr>
          <w:rFonts w:ascii="Times New Roman" w:eastAsia="Calibri" w:hAnsi="Times New Roman" w:cs="Times New Roman"/>
          <w:b/>
          <w:bCs/>
          <w:sz w:val="24"/>
          <w:szCs w:val="24"/>
          <w:lang w:val="en-US"/>
        </w:rPr>
        <w:t>Corresponding Author:</w:t>
      </w:r>
    </w:p>
    <w:p w:rsidR="00B67AE8" w:rsidRDefault="00B67AE8" w:rsidP="00B67AE8">
      <w:pPr>
        <w:tabs>
          <w:tab w:val="left" w:pos="1276"/>
        </w:tabs>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E. </w:t>
      </w:r>
      <w:proofErr w:type="spellStart"/>
      <w:r>
        <w:rPr>
          <w:rFonts w:ascii="Times New Roman" w:hAnsi="Times New Roman" w:cs="Times New Roman"/>
          <w:sz w:val="24"/>
          <w:szCs w:val="24"/>
          <w:lang w:val="en-US"/>
        </w:rPr>
        <w:t>Christopoulou</w:t>
      </w:r>
      <w:proofErr w:type="spellEnd"/>
    </w:p>
    <w:p w:rsidR="00B67AE8" w:rsidRPr="000F0229" w:rsidRDefault="00B67AE8" w:rsidP="00B67AE8">
      <w:pPr>
        <w:tabs>
          <w:tab w:val="left" w:pos="1276"/>
        </w:tabs>
        <w:spacing w:after="0"/>
        <w:rPr>
          <w:lang w:val="en-US"/>
        </w:rPr>
      </w:pPr>
      <w:r>
        <w:rPr>
          <w:rFonts w:ascii="Times New Roman" w:hAnsi="Times New Roman" w:cs="Times New Roman"/>
          <w:sz w:val="24"/>
          <w:szCs w:val="24"/>
          <w:lang w:val="en-US"/>
        </w:rPr>
        <w:t>Hellenic Open University</w:t>
      </w:r>
    </w:p>
    <w:p w:rsidR="00B67AE8" w:rsidRPr="000F0229" w:rsidRDefault="00B67AE8" w:rsidP="00B67AE8">
      <w:pPr>
        <w:tabs>
          <w:tab w:val="left" w:pos="1276"/>
        </w:tabs>
        <w:spacing w:after="0"/>
        <w:rPr>
          <w:lang w:val="en-US"/>
        </w:rPr>
      </w:pPr>
      <w:r>
        <w:rPr>
          <w:rFonts w:ascii="Times New Roman" w:hAnsi="Times New Roman" w:cs="Times New Roman"/>
          <w:sz w:val="24"/>
          <w:szCs w:val="24"/>
          <w:lang w:val="en-US"/>
        </w:rPr>
        <w:t>School of Social Sciences</w:t>
      </w:r>
    </w:p>
    <w:p w:rsidR="00B67AE8" w:rsidRDefault="00B67AE8" w:rsidP="00B67AE8">
      <w:pPr>
        <w:tabs>
          <w:tab w:val="left" w:pos="1276"/>
        </w:tabs>
        <w:spacing w:after="0"/>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Postgraduate Study </w:t>
      </w:r>
      <w:proofErr w:type="spellStart"/>
      <w:r>
        <w:rPr>
          <w:rFonts w:ascii="Times New Roman" w:eastAsia="Calibri" w:hAnsi="Times New Roman" w:cs="Times New Roman"/>
          <w:sz w:val="24"/>
          <w:szCs w:val="24"/>
          <w:lang w:val="en-US"/>
        </w:rPr>
        <w:t>Programme</w:t>
      </w:r>
      <w:proofErr w:type="spellEnd"/>
      <w:r>
        <w:rPr>
          <w:rFonts w:ascii="Times New Roman" w:eastAsia="Calibri" w:hAnsi="Times New Roman" w:cs="Times New Roman"/>
          <w:sz w:val="24"/>
          <w:szCs w:val="24"/>
          <w:lang w:val="en-US"/>
        </w:rPr>
        <w:t xml:space="preserve"> in Health Care Management </w:t>
      </w:r>
    </w:p>
    <w:p w:rsidR="00B67AE8" w:rsidRDefault="00B67AE8" w:rsidP="00B67AE8">
      <w:pPr>
        <w:tabs>
          <w:tab w:val="left" w:pos="1276"/>
        </w:tabs>
        <w:spacing w:after="0"/>
        <w:rPr>
          <w:rFonts w:ascii="Times New Roman" w:hAnsi="Times New Roman" w:cs="Times New Roman"/>
          <w:sz w:val="24"/>
          <w:szCs w:val="24"/>
          <w:lang w:val="en-US"/>
        </w:rPr>
      </w:pPr>
      <w:proofErr w:type="spellStart"/>
      <w:r>
        <w:rPr>
          <w:rFonts w:ascii="Times New Roman" w:eastAsia="Calibri" w:hAnsi="Times New Roman" w:cs="Times New Roman"/>
          <w:sz w:val="24"/>
          <w:szCs w:val="24"/>
          <w:lang w:val="en-US"/>
        </w:rPr>
        <w:t>Patras</w:t>
      </w:r>
      <w:proofErr w:type="spellEnd"/>
      <w:r>
        <w:rPr>
          <w:rFonts w:ascii="Times New Roman" w:eastAsia="Calibri" w:hAnsi="Times New Roman" w:cs="Times New Roman"/>
          <w:sz w:val="24"/>
          <w:szCs w:val="24"/>
          <w:lang w:val="en-US"/>
        </w:rPr>
        <w:t>, Greece</w:t>
      </w:r>
    </w:p>
    <w:p w:rsidR="00B67AE8" w:rsidRPr="000F0229" w:rsidRDefault="00B67AE8" w:rsidP="00B67AE8">
      <w:pPr>
        <w:tabs>
          <w:tab w:val="left" w:pos="1276"/>
        </w:tabs>
        <w:spacing w:after="0"/>
        <w:rPr>
          <w:lang w:val="en-US"/>
        </w:rPr>
      </w:pPr>
      <w:r>
        <w:rPr>
          <w:rFonts w:ascii="Times New Roman" w:eastAsia="Calibri" w:hAnsi="Times New Roman" w:cs="Times New Roman"/>
          <w:sz w:val="24"/>
          <w:szCs w:val="24"/>
          <w:lang w:val="en-US"/>
        </w:rPr>
        <w:t xml:space="preserve">E-mail: </w:t>
      </w:r>
      <w:hyperlink r:id="rId8">
        <w:r>
          <w:rPr>
            <w:rStyle w:val="a5"/>
            <w:rFonts w:ascii="Times New Roman" w:eastAsia="Calibri" w:hAnsi="Times New Roman" w:cs="Times New Roman"/>
            <w:sz w:val="24"/>
            <w:szCs w:val="24"/>
            <w:lang w:val="en-US"/>
          </w:rPr>
          <w:t>std116153@ac.eap.gr</w:t>
        </w:r>
      </w:hyperlink>
    </w:p>
    <w:p w:rsidR="00B67AE8" w:rsidRDefault="00B67AE8" w:rsidP="00B67AE8">
      <w:pPr>
        <w:tabs>
          <w:tab w:val="left" w:pos="1276"/>
        </w:tabs>
        <w:spacing w:after="0"/>
        <w:rPr>
          <w:rFonts w:ascii="Times New Roman" w:hAnsi="Times New Roman" w:cs="Times New Roman"/>
          <w:sz w:val="24"/>
          <w:szCs w:val="24"/>
          <w:lang w:val="en-US"/>
        </w:rPr>
      </w:pPr>
    </w:p>
    <w:p w:rsidR="00B67AE8" w:rsidRDefault="00B67AE8" w:rsidP="00B67AE8">
      <w:pPr>
        <w:spacing w:after="0"/>
        <w:jc w:val="center"/>
        <w:rPr>
          <w:rFonts w:ascii="Times New Roman" w:hAnsi="Times New Roman" w:cs="Times New Roman"/>
          <w:b/>
          <w:bCs/>
          <w:sz w:val="26"/>
          <w:szCs w:val="26"/>
          <w:lang w:val="en-US"/>
        </w:rPr>
      </w:pPr>
      <w:r>
        <w:rPr>
          <w:rFonts w:ascii="Times New Roman" w:hAnsi="Times New Roman" w:cs="Times New Roman"/>
          <w:b/>
          <w:bCs/>
          <w:sz w:val="26"/>
          <w:szCs w:val="26"/>
          <w:lang w:val="en-US"/>
        </w:rPr>
        <w:t>Abstract</w:t>
      </w:r>
    </w:p>
    <w:p w:rsidR="00B67AE8" w:rsidRPr="000F0229" w:rsidRDefault="00B67AE8" w:rsidP="00B67AE8">
      <w:pPr>
        <w:tabs>
          <w:tab w:val="left" w:pos="1276"/>
        </w:tabs>
        <w:spacing w:after="0"/>
        <w:jc w:val="both"/>
        <w:rPr>
          <w:lang w:val="en-US"/>
        </w:rPr>
      </w:pPr>
      <w:r>
        <w:rPr>
          <w:rFonts w:ascii="Times New Roman" w:eastAsia="Calibri" w:hAnsi="Times New Roman" w:cs="Times New Roman"/>
          <w:sz w:val="24"/>
          <w:szCs w:val="24"/>
          <w:lang w:val="en-US"/>
        </w:rPr>
        <w:t xml:space="preserve">The aim of this project is to identify the determinants that affect the level of population health and to describe the current level of population health in Greece, reflecting its evolution </w:t>
      </w:r>
      <w:r w:rsidRPr="00523C54">
        <w:rPr>
          <w:rFonts w:ascii="Times New Roman" w:eastAsia="Calibri" w:hAnsi="Times New Roman" w:cs="Times New Roman"/>
          <w:sz w:val="24"/>
          <w:szCs w:val="24"/>
          <w:lang w:val="en-US"/>
        </w:rPr>
        <w:t>over time</w:t>
      </w:r>
      <w:r>
        <w:rPr>
          <w:rFonts w:ascii="Times New Roman" w:eastAsia="Calibri" w:hAnsi="Times New Roman" w:cs="Times New Roman"/>
          <w:sz w:val="24"/>
          <w:szCs w:val="24"/>
          <w:lang w:val="en-US"/>
        </w:rPr>
        <w:t xml:space="preserve"> through health indicators and comparing it with the evolution of the Portuguese population. In particular, reference is made to positive health indicators, such as life expectancy and annual population growth, and negative indicators such as morbidity, mortality and infant mortality rate. Using scientific research in the literature and online statistical databases, it is investigated whether and to what extent the economic crisis has adversely affected health indicators, also determining which indicators these are. Subsequently, statistical data is presented in tables and charts, defining the negative impact of the economic recession in Greece and Portugal. Following this, a comparison is made between the results and those reported in the Granados and Rodriguez study. Finally, reference is made to the evolution of total</w:t>
      </w:r>
      <w:r w:rsidR="001703B1">
        <w:rPr>
          <w:rFonts w:ascii="Times New Roman" w:eastAsia="Calibri" w:hAnsi="Times New Roman" w:cs="Times New Roman"/>
          <w:sz w:val="24"/>
          <w:szCs w:val="24"/>
          <w:lang w:val="en-US"/>
        </w:rPr>
        <w:t xml:space="preserve"> health</w:t>
      </w:r>
      <w:r>
        <w:rPr>
          <w:rFonts w:ascii="Times New Roman" w:eastAsia="Calibri" w:hAnsi="Times New Roman" w:cs="Times New Roman"/>
          <w:sz w:val="24"/>
          <w:szCs w:val="24"/>
          <w:lang w:val="en-US"/>
        </w:rPr>
        <w:t xml:space="preserve"> expenditure </w:t>
      </w:r>
      <w:r w:rsidR="00830C34">
        <w:rPr>
          <w:rFonts w:ascii="Times New Roman" w:eastAsia="Calibri" w:hAnsi="Times New Roman" w:cs="Times New Roman"/>
          <w:sz w:val="24"/>
          <w:szCs w:val="24"/>
          <w:lang w:val="en-US"/>
        </w:rPr>
        <w:t xml:space="preserve">per capita </w:t>
      </w:r>
      <w:r>
        <w:rPr>
          <w:rFonts w:ascii="Times New Roman" w:eastAsia="Calibri" w:hAnsi="Times New Roman" w:cs="Times New Roman"/>
          <w:sz w:val="24"/>
          <w:szCs w:val="24"/>
          <w:lang w:val="en-US"/>
        </w:rPr>
        <w:t xml:space="preserve">in both countries in correlation with the results of the negative impact of </w:t>
      </w:r>
      <w:r w:rsidR="00830C34">
        <w:rPr>
          <w:rFonts w:ascii="Times New Roman" w:eastAsia="Calibri" w:hAnsi="Times New Roman" w:cs="Times New Roman"/>
          <w:sz w:val="24"/>
          <w:szCs w:val="24"/>
          <w:lang w:val="en-US"/>
        </w:rPr>
        <w:t>recession</w:t>
      </w:r>
      <w:r>
        <w:rPr>
          <w:rFonts w:ascii="Times New Roman" w:eastAsia="Calibri" w:hAnsi="Times New Roman" w:cs="Times New Roman"/>
          <w:sz w:val="24"/>
          <w:szCs w:val="24"/>
          <w:lang w:val="en-US"/>
        </w:rPr>
        <w:t xml:space="preserve"> on health indicators.</w:t>
      </w:r>
    </w:p>
    <w:p w:rsidR="00B67AE8" w:rsidRDefault="00B67AE8" w:rsidP="00B67AE8">
      <w:pPr>
        <w:spacing w:after="0"/>
        <w:jc w:val="both"/>
        <w:rPr>
          <w:rFonts w:ascii="Times New Roman" w:hAnsi="Times New Roman" w:cs="Times New Roman"/>
          <w:sz w:val="24"/>
          <w:szCs w:val="24"/>
          <w:lang w:val="en-US"/>
        </w:rPr>
      </w:pPr>
    </w:p>
    <w:p w:rsidR="00B67AE8" w:rsidRPr="000F0229" w:rsidRDefault="00B67AE8" w:rsidP="00B67AE8">
      <w:pPr>
        <w:spacing w:after="0"/>
        <w:jc w:val="both"/>
        <w:rPr>
          <w:lang w:val="en-US"/>
        </w:rPr>
      </w:pPr>
      <w:r>
        <w:rPr>
          <w:rFonts w:ascii="Times New Roman" w:hAnsi="Times New Roman" w:cs="Times New Roman"/>
          <w:b/>
          <w:bCs/>
          <w:sz w:val="24"/>
          <w:szCs w:val="24"/>
          <w:lang w:val="en-US"/>
        </w:rPr>
        <w:t>Keywords:</w:t>
      </w:r>
      <w:r>
        <w:rPr>
          <w:rFonts w:ascii="Times New Roman" w:hAnsi="Times New Roman" w:cs="Times New Roman"/>
          <w:sz w:val="24"/>
          <w:szCs w:val="24"/>
          <w:lang w:val="en-US"/>
        </w:rPr>
        <w:t xml:space="preserve"> Health indicators, Economic crisis-recession, Health level, Health expenditure.</w:t>
      </w:r>
    </w:p>
    <w:p w:rsidR="00B67AE8" w:rsidRDefault="00B67AE8" w:rsidP="00B67AE8">
      <w:pPr>
        <w:spacing w:after="0"/>
        <w:jc w:val="both"/>
        <w:rPr>
          <w:lang w:val="en-US"/>
        </w:rPr>
      </w:pPr>
    </w:p>
    <w:p w:rsidR="00B67AE8" w:rsidRDefault="00B67AE8" w:rsidP="00B67AE8">
      <w:pPr>
        <w:spacing w:after="0"/>
        <w:jc w:val="both"/>
        <w:rPr>
          <w:rFonts w:ascii="Times New Roman" w:hAnsi="Times New Roman" w:cs="Times New Roman"/>
          <w:b/>
          <w:bCs/>
          <w:sz w:val="30"/>
          <w:szCs w:val="30"/>
          <w:lang w:val="en-US"/>
        </w:rPr>
      </w:pPr>
      <w:r>
        <w:rPr>
          <w:rFonts w:ascii="Times New Roman" w:hAnsi="Times New Roman" w:cs="Times New Roman"/>
          <w:b/>
          <w:bCs/>
          <w:sz w:val="30"/>
          <w:szCs w:val="30"/>
          <w:lang w:val="en-US"/>
        </w:rPr>
        <w:t>1 Introduction</w:t>
      </w:r>
    </w:p>
    <w:p w:rsidR="00B67AE8" w:rsidRDefault="00B67AE8" w:rsidP="00B67AE8">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The concept of health can be approached from many different angles, and its definition is multidimensional and multipurpose, as all those factors that affect its condition have to be taken into account. According to the World Health Organization, health is a state of complete physical, mental and social well-being of man and not merely the absence of disease or infirmity [1].</w:t>
      </w:r>
    </w:p>
    <w:p w:rsidR="00B67AE8" w:rsidRDefault="00B67AE8" w:rsidP="00B67AE8">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health level of a population depends on a variety of factors and its evolution and changes are recorded and reflected in health indicators. The measurement of these indicators is based on statistical information recorded in data sets, such as tables, charts and maps [2]. The use of health indicators determines the health level of a country and enables plans to be drawn for the development of its health policy. At the same time, it is documented in the </w:t>
      </w:r>
      <w:r>
        <w:rPr>
          <w:rFonts w:ascii="Times New Roman" w:hAnsi="Times New Roman" w:cs="Times New Roman"/>
          <w:sz w:val="24"/>
          <w:szCs w:val="24"/>
          <w:lang w:val="en-US"/>
        </w:rPr>
        <w:lastRenderedPageBreak/>
        <w:t>literature that the macroeconomic situation of a country affects the health level of the population, being one of the factors that can alter it.</w:t>
      </w:r>
    </w:p>
    <w:p w:rsidR="00B67AE8" w:rsidRPr="000F0229" w:rsidRDefault="00B67AE8" w:rsidP="00B67AE8">
      <w:pPr>
        <w:spacing w:after="0"/>
        <w:ind w:firstLine="567"/>
        <w:jc w:val="both"/>
        <w:rPr>
          <w:lang w:val="en-US"/>
        </w:rPr>
      </w:pPr>
      <w:r>
        <w:rPr>
          <w:rFonts w:ascii="Times New Roman" w:hAnsi="Times New Roman" w:cs="Times New Roman"/>
          <w:sz w:val="24"/>
          <w:szCs w:val="24"/>
          <w:lang w:val="en-US"/>
        </w:rPr>
        <w:t xml:space="preserve">The economic crisis that has swept through the European countries one by one since 2008 was inevitable after the Great Depression in the United States. Financial recessions soon led to economic crises, and in 2009 the Gross Domestic Product of all countries in the </w:t>
      </w:r>
      <w:proofErr w:type="spellStart"/>
      <w:r>
        <w:rPr>
          <w:rFonts w:ascii="Times New Roman" w:hAnsi="Times New Roman" w:cs="Times New Roman"/>
          <w:sz w:val="24"/>
          <w:szCs w:val="24"/>
          <w:lang w:val="en-US"/>
        </w:rPr>
        <w:t>Eurozone</w:t>
      </w:r>
      <w:proofErr w:type="spellEnd"/>
      <w:r>
        <w:rPr>
          <w:rFonts w:ascii="Times New Roman" w:hAnsi="Times New Roman" w:cs="Times New Roman"/>
          <w:sz w:val="24"/>
          <w:szCs w:val="24"/>
          <w:lang w:val="en-US"/>
        </w:rPr>
        <w:t xml:space="preserve"> </w:t>
      </w:r>
      <w:r w:rsidR="00523C54" w:rsidRPr="00523C54">
        <w:rPr>
          <w:rFonts w:ascii="Times New Roman" w:hAnsi="Times New Roman" w:cs="Times New Roman"/>
          <w:bCs/>
          <w:sz w:val="24"/>
          <w:szCs w:val="24"/>
          <w:lang w:val="en-US"/>
        </w:rPr>
        <w:t>declined</w:t>
      </w:r>
      <w:r w:rsidR="00B24151" w:rsidRPr="00B24151">
        <w:rPr>
          <w:rFonts w:ascii="Times New Roman" w:hAnsi="Times New Roman" w:cs="Times New Roman"/>
          <w:bCs/>
          <w:sz w:val="24"/>
          <w:szCs w:val="24"/>
          <w:lang w:val="en-US"/>
        </w:rPr>
        <w:t xml:space="preserve"> </w:t>
      </w:r>
      <w:r>
        <w:rPr>
          <w:rFonts w:ascii="Times New Roman" w:hAnsi="Times New Roman" w:cs="Times New Roman"/>
          <w:sz w:val="24"/>
          <w:szCs w:val="24"/>
          <w:lang w:val="en-US"/>
        </w:rPr>
        <w:t>significantly. Between 2007 and 2010, state revenue from taxation declined and expenditure in the affected countries increased, resulting in an increase in government deficits. Some countries have adopted austerity policies, encompassing large-scale health cuts posing major threats and concerns for health, and reconstruction opportunities [3].</w:t>
      </w:r>
    </w:p>
    <w:p w:rsidR="00B67AE8" w:rsidRDefault="00B67AE8" w:rsidP="00B67AE8">
      <w:pPr>
        <w:spacing w:after="0"/>
        <w:jc w:val="both"/>
        <w:rPr>
          <w:rFonts w:ascii="Times New Roman" w:hAnsi="Times New Roman" w:cs="Times New Roman"/>
          <w:sz w:val="24"/>
          <w:szCs w:val="24"/>
          <w:lang w:val="en-US"/>
        </w:rPr>
      </w:pPr>
    </w:p>
    <w:p w:rsidR="00B67AE8" w:rsidRDefault="00B67AE8" w:rsidP="00B67AE8">
      <w:pPr>
        <w:spacing w:after="0"/>
        <w:jc w:val="both"/>
        <w:rPr>
          <w:rFonts w:ascii="Times New Roman" w:hAnsi="Times New Roman" w:cs="Times New Roman"/>
          <w:b/>
          <w:bCs/>
          <w:sz w:val="30"/>
          <w:szCs w:val="30"/>
          <w:lang w:val="en-US"/>
        </w:rPr>
      </w:pPr>
      <w:r>
        <w:rPr>
          <w:rFonts w:ascii="Times New Roman" w:hAnsi="Times New Roman" w:cs="Times New Roman"/>
          <w:b/>
          <w:bCs/>
          <w:sz w:val="30"/>
          <w:szCs w:val="30"/>
          <w:lang w:val="en-US"/>
        </w:rPr>
        <w:t xml:space="preserve">2 </w:t>
      </w:r>
      <w:proofErr w:type="gramStart"/>
      <w:r>
        <w:rPr>
          <w:rFonts w:ascii="Times New Roman" w:hAnsi="Times New Roman" w:cs="Times New Roman"/>
          <w:b/>
          <w:bCs/>
          <w:sz w:val="30"/>
          <w:szCs w:val="30"/>
          <w:lang w:val="en-US"/>
        </w:rPr>
        <w:t>Material</w:t>
      </w:r>
      <w:proofErr w:type="gramEnd"/>
      <w:r>
        <w:rPr>
          <w:rFonts w:ascii="Times New Roman" w:hAnsi="Times New Roman" w:cs="Times New Roman"/>
          <w:b/>
          <w:bCs/>
          <w:sz w:val="30"/>
          <w:szCs w:val="30"/>
          <w:lang w:val="en-US"/>
        </w:rPr>
        <w:t xml:space="preserve"> and Method</w:t>
      </w:r>
    </w:p>
    <w:p w:rsidR="00B67AE8" w:rsidRPr="000F0229" w:rsidRDefault="00B67AE8" w:rsidP="00B67AE8">
      <w:pPr>
        <w:spacing w:after="0"/>
        <w:ind w:firstLine="567"/>
        <w:jc w:val="both"/>
        <w:rPr>
          <w:lang w:val="en-US"/>
        </w:rPr>
      </w:pPr>
      <w:r>
        <w:rPr>
          <w:rFonts w:ascii="Times New Roman" w:hAnsi="Times New Roman" w:cs="Times New Roman"/>
          <w:sz w:val="24"/>
          <w:szCs w:val="24"/>
          <w:lang w:val="en-US"/>
        </w:rPr>
        <w:t xml:space="preserve">The present study presents the determinants of health and describes the current level of population health in Greece using statistical data of recent years, documented in charts and tables. Moreover, the evolution </w:t>
      </w:r>
      <w:r w:rsidRPr="00523C54">
        <w:rPr>
          <w:rFonts w:ascii="Times New Roman" w:hAnsi="Times New Roman" w:cs="Times New Roman"/>
          <w:sz w:val="24"/>
          <w:szCs w:val="24"/>
          <w:lang w:val="en-US"/>
        </w:rPr>
        <w:t xml:space="preserve">over time </w:t>
      </w:r>
      <w:r>
        <w:rPr>
          <w:rFonts w:ascii="Times New Roman" w:hAnsi="Times New Roman" w:cs="Times New Roman"/>
          <w:sz w:val="24"/>
          <w:szCs w:val="24"/>
          <w:lang w:val="en-US"/>
        </w:rPr>
        <w:t>of the health of the Greek population compared to that of Portugal is also reflected using statistical data, and furthermore it is investigated whether the economic crisis that hit these two countries has negatively affected the health indicators. There follows a critical commentary on the Granados and Rodriguez study.</w:t>
      </w:r>
    </w:p>
    <w:p w:rsidR="00B67AE8" w:rsidRDefault="00B67AE8" w:rsidP="00B67AE8">
      <w:pPr>
        <w:spacing w:after="0"/>
        <w:ind w:firstLine="567"/>
        <w:jc w:val="both"/>
        <w:rPr>
          <w:rFonts w:ascii="Times New Roman" w:hAnsi="Times New Roman" w:cs="Times New Roman"/>
          <w:sz w:val="24"/>
          <w:szCs w:val="24"/>
          <w:lang w:val="en-US"/>
        </w:rPr>
      </w:pPr>
    </w:p>
    <w:p w:rsidR="00B67AE8" w:rsidRDefault="00B67AE8" w:rsidP="00B67AE8">
      <w:pPr>
        <w:spacing w:after="0"/>
        <w:jc w:val="both"/>
        <w:rPr>
          <w:rFonts w:ascii="Times New Roman" w:hAnsi="Times New Roman" w:cs="Times New Roman"/>
          <w:b/>
          <w:bCs/>
          <w:sz w:val="30"/>
          <w:szCs w:val="30"/>
          <w:lang w:val="en-US"/>
        </w:rPr>
      </w:pPr>
      <w:r>
        <w:rPr>
          <w:rFonts w:ascii="Times New Roman" w:hAnsi="Times New Roman" w:cs="Times New Roman"/>
          <w:b/>
          <w:bCs/>
          <w:sz w:val="30"/>
          <w:szCs w:val="30"/>
          <w:lang w:val="en-US"/>
        </w:rPr>
        <w:t>3 Main Results</w:t>
      </w:r>
    </w:p>
    <w:p w:rsidR="00B67AE8" w:rsidRDefault="00B67AE8" w:rsidP="00B67AE8">
      <w:pPr>
        <w:spacing w:after="0"/>
        <w:jc w:val="both"/>
        <w:rPr>
          <w:rFonts w:ascii="Times New Roman" w:hAnsi="Times New Roman" w:cs="Times New Roman"/>
          <w:b/>
          <w:bCs/>
          <w:lang w:val="en-US"/>
        </w:rPr>
      </w:pPr>
      <w:bookmarkStart w:id="0" w:name="_Toc493526017"/>
      <w:bookmarkEnd w:id="0"/>
      <w:r>
        <w:rPr>
          <w:rFonts w:ascii="Times New Roman" w:hAnsi="Times New Roman" w:cs="Times New Roman"/>
          <w:b/>
          <w:bCs/>
          <w:lang w:val="en-US"/>
        </w:rPr>
        <w:t>3.1 The Determinants of Health – The Current Level of Health of the Greek Population</w:t>
      </w:r>
    </w:p>
    <w:p w:rsidR="00B67AE8" w:rsidRPr="000F0229" w:rsidRDefault="00B67AE8" w:rsidP="00B67AE8">
      <w:pPr>
        <w:spacing w:after="0"/>
        <w:ind w:firstLine="567"/>
        <w:jc w:val="both"/>
        <w:rPr>
          <w:lang w:val="en-US"/>
        </w:rPr>
      </w:pPr>
      <w:r>
        <w:rPr>
          <w:rFonts w:ascii="Times New Roman" w:hAnsi="Times New Roman" w:cs="Times New Roman"/>
          <w:sz w:val="24"/>
          <w:szCs w:val="24"/>
          <w:lang w:val="en-US"/>
        </w:rPr>
        <w:t xml:space="preserve"> In addition to the biological factors, population health status depends on various other elements such as the social, cultural and ecological factors. According to </w:t>
      </w:r>
      <w:proofErr w:type="spellStart"/>
      <w:r w:rsidRPr="00811383">
        <w:rPr>
          <w:rFonts w:ascii="Times New Roman" w:hAnsi="Times New Roman" w:cs="Times New Roman"/>
          <w:bCs/>
          <w:sz w:val="24"/>
          <w:szCs w:val="24"/>
          <w:lang w:val="en-US"/>
        </w:rPr>
        <w:t>Marrot</w:t>
      </w:r>
      <w:proofErr w:type="spellEnd"/>
      <w:r w:rsidRPr="00811383">
        <w:rPr>
          <w:rFonts w:ascii="Times New Roman" w:hAnsi="Times New Roman" w:cs="Times New Roman"/>
          <w:bCs/>
          <w:sz w:val="24"/>
          <w:szCs w:val="24"/>
          <w:lang w:val="en-US"/>
        </w:rPr>
        <w:t xml:space="preserve"> and </w:t>
      </w:r>
      <w:proofErr w:type="gramStart"/>
      <w:r w:rsidRPr="00811383">
        <w:rPr>
          <w:rFonts w:ascii="Times New Roman" w:hAnsi="Times New Roman" w:cs="Times New Roman"/>
          <w:bCs/>
          <w:sz w:val="24"/>
          <w:szCs w:val="24"/>
          <w:lang w:val="en-US"/>
        </w:rPr>
        <w:t>Morris</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1988), both individual and environmental factors have a direct interactio</w:t>
      </w:r>
      <w:r w:rsidR="00312C46">
        <w:rPr>
          <w:rFonts w:ascii="Times New Roman" w:hAnsi="Times New Roman" w:cs="Times New Roman"/>
          <w:sz w:val="24"/>
          <w:szCs w:val="24"/>
          <w:lang w:val="en-US"/>
        </w:rPr>
        <w:t>n across the</w:t>
      </w:r>
      <w:r>
        <w:rPr>
          <w:rFonts w:ascii="Times New Roman" w:hAnsi="Times New Roman" w:cs="Times New Roman"/>
          <w:sz w:val="24"/>
          <w:szCs w:val="24"/>
          <w:lang w:val="en-US"/>
        </w:rPr>
        <w:t xml:space="preserve"> lifespan and a dynamic impact on health status [4].</w:t>
      </w:r>
    </w:p>
    <w:p w:rsidR="00B67AE8" w:rsidRPr="000F0229" w:rsidRDefault="00B67AE8" w:rsidP="00B67AE8">
      <w:pPr>
        <w:spacing w:after="0"/>
        <w:ind w:firstLine="567"/>
        <w:jc w:val="both"/>
        <w:rPr>
          <w:lang w:val="en-US"/>
        </w:rPr>
      </w:pPr>
      <w:r>
        <w:rPr>
          <w:rFonts w:ascii="Times New Roman" w:hAnsi="Times New Roman" w:cs="Times New Roman"/>
          <w:sz w:val="24"/>
          <w:szCs w:val="24"/>
          <w:lang w:val="en-US"/>
        </w:rPr>
        <w:t xml:space="preserve">The anatomical, physiological and metabolic parameters, the genetic predispositions of an individual, the evolution of an individual within society, and the personality and attitude of an individual can be determined as individual factors [1]. It is interesting to note that individual factors are associated with the demographic characteristics and lifestyle of the individual (habits), thus changing their health [5].  </w:t>
      </w:r>
    </w:p>
    <w:p w:rsidR="00B67AE8" w:rsidRPr="000F0229" w:rsidRDefault="00B67AE8" w:rsidP="00B67AE8">
      <w:pPr>
        <w:spacing w:after="0"/>
        <w:ind w:firstLine="567"/>
        <w:jc w:val="both"/>
        <w:rPr>
          <w:lang w:val="en-US"/>
        </w:rPr>
      </w:pPr>
      <w:r>
        <w:rPr>
          <w:rFonts w:ascii="Times New Roman" w:hAnsi="Times New Roman" w:cs="Times New Roman"/>
          <w:sz w:val="24"/>
          <w:szCs w:val="24"/>
          <w:lang w:val="en-US"/>
        </w:rPr>
        <w:t xml:space="preserve">Environmental factors and the social environment exert direct and indirect impacts on health and are divided into three categories: economy, culture and political system. Economy includes the material conditions necessary to meet the basic needs of the individual’s life (food, shelter, health services) as well as their income-occupation and social status. Culture includes social customs and traditions and the prevailing values ​​and ideas-beliefs that variously affect the health of individuals (Mediterranean diet). The political, legal and administrative authorities have a significant impact on the health of individuals through enactment of legislation that contributes to the </w:t>
      </w:r>
      <w:r w:rsidR="00523C54">
        <w:rPr>
          <w:rFonts w:ascii="Times New Roman" w:hAnsi="Times New Roman" w:cs="Times New Roman"/>
          <w:sz w:val="24"/>
          <w:szCs w:val="24"/>
          <w:lang w:val="en-US"/>
        </w:rPr>
        <w:t>configur</w:t>
      </w:r>
      <w:r>
        <w:rPr>
          <w:rFonts w:ascii="Times New Roman" w:hAnsi="Times New Roman" w:cs="Times New Roman"/>
          <w:sz w:val="24"/>
          <w:szCs w:val="24"/>
          <w:lang w:val="en-US"/>
        </w:rPr>
        <w:t xml:space="preserve">ation and </w:t>
      </w:r>
      <w:r w:rsidRPr="00523C54">
        <w:rPr>
          <w:rFonts w:ascii="Times New Roman" w:hAnsi="Times New Roman" w:cs="Times New Roman"/>
          <w:sz w:val="24"/>
          <w:szCs w:val="24"/>
          <w:lang w:val="en-US"/>
        </w:rPr>
        <w:t>control</w:t>
      </w:r>
      <w:r>
        <w:rPr>
          <w:rFonts w:ascii="Times New Roman" w:hAnsi="Times New Roman" w:cs="Times New Roman"/>
          <w:sz w:val="24"/>
          <w:szCs w:val="24"/>
          <w:lang w:val="en-US"/>
        </w:rPr>
        <w:t xml:space="preserve"> of the individual's urban and professional environment.</w:t>
      </w:r>
    </w:p>
    <w:p w:rsidR="00B67AE8" w:rsidRPr="000F0229" w:rsidRDefault="00B67AE8" w:rsidP="00B67AE8">
      <w:pPr>
        <w:spacing w:after="0"/>
        <w:ind w:firstLine="567"/>
        <w:jc w:val="both"/>
        <w:rPr>
          <w:lang w:val="en-US"/>
        </w:rPr>
      </w:pPr>
      <w:r>
        <w:rPr>
          <w:rFonts w:ascii="Times New Roman" w:hAnsi="Times New Roman" w:cs="Times New Roman"/>
          <w:sz w:val="24"/>
          <w:szCs w:val="24"/>
          <w:lang w:val="en-US"/>
        </w:rPr>
        <w:t xml:space="preserve">The education level of individuals as well as the environment-linked risks throughout their lifespan can also be identified as determinants of health [1]. The physical environment (water-air pollution, climatic conditions) adversely changes the health status of the individual [6]. According to WHO, 23% of deaths worldwide can be attributed to factors related to the </w:t>
      </w:r>
      <w:r>
        <w:rPr>
          <w:rFonts w:ascii="Times New Roman" w:hAnsi="Times New Roman" w:cs="Times New Roman"/>
          <w:sz w:val="24"/>
          <w:szCs w:val="24"/>
          <w:lang w:val="en-US"/>
        </w:rPr>
        <w:lastRenderedPageBreak/>
        <w:t>physical environment. With regard to children aged 0 to 14, the death rate attributable to environmental factors is 34% [7].</w:t>
      </w:r>
    </w:p>
    <w:p w:rsidR="00B67AE8" w:rsidRDefault="00B67AE8" w:rsidP="00B67AE8">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Finally, the social bonds developed by an individual within society also play an important role. The social bonds </w:t>
      </w:r>
      <w:r w:rsidR="00523C54">
        <w:rPr>
          <w:rFonts w:ascii="Times New Roman" w:hAnsi="Times New Roman" w:cs="Times New Roman"/>
          <w:sz w:val="24"/>
          <w:szCs w:val="24"/>
          <w:lang w:val="en-US"/>
        </w:rPr>
        <w:t>of</w:t>
      </w:r>
      <w:r>
        <w:rPr>
          <w:rFonts w:ascii="Times New Roman" w:hAnsi="Times New Roman" w:cs="Times New Roman"/>
          <w:sz w:val="24"/>
          <w:szCs w:val="24"/>
          <w:lang w:val="en-US"/>
        </w:rPr>
        <w:t xml:space="preserve"> the individual and </w:t>
      </w:r>
      <w:r w:rsidR="00C343FD">
        <w:rPr>
          <w:rFonts w:ascii="Times New Roman" w:hAnsi="Times New Roman" w:cs="Times New Roman"/>
          <w:sz w:val="24"/>
          <w:szCs w:val="24"/>
          <w:lang w:val="en-US"/>
        </w:rPr>
        <w:t xml:space="preserve">their </w:t>
      </w:r>
      <w:r>
        <w:rPr>
          <w:rFonts w:ascii="Times New Roman" w:hAnsi="Times New Roman" w:cs="Times New Roman"/>
          <w:sz w:val="24"/>
          <w:szCs w:val="24"/>
          <w:lang w:val="en-US"/>
        </w:rPr>
        <w:t xml:space="preserve">health are characterized by a dynamic relationship, </w:t>
      </w:r>
      <w:r w:rsidR="00C343FD">
        <w:rPr>
          <w:rFonts w:ascii="Times New Roman" w:hAnsi="Times New Roman" w:cs="Times New Roman"/>
          <w:sz w:val="24"/>
          <w:szCs w:val="24"/>
          <w:lang w:val="en-US"/>
        </w:rPr>
        <w:t xml:space="preserve">as societies change, </w:t>
      </w:r>
      <w:r>
        <w:rPr>
          <w:rFonts w:ascii="Times New Roman" w:hAnsi="Times New Roman" w:cs="Times New Roman"/>
          <w:sz w:val="24"/>
          <w:szCs w:val="24"/>
          <w:lang w:val="en-US"/>
        </w:rPr>
        <w:t xml:space="preserve">the social environment often </w:t>
      </w:r>
      <w:r w:rsidR="00C343FD">
        <w:rPr>
          <w:rFonts w:ascii="Times New Roman" w:hAnsi="Times New Roman" w:cs="Times New Roman"/>
          <w:sz w:val="24"/>
          <w:szCs w:val="24"/>
          <w:lang w:val="en-US"/>
        </w:rPr>
        <w:t>alters,</w:t>
      </w:r>
      <w:r>
        <w:rPr>
          <w:rFonts w:ascii="Times New Roman" w:hAnsi="Times New Roman" w:cs="Times New Roman"/>
          <w:sz w:val="24"/>
          <w:szCs w:val="24"/>
          <w:lang w:val="en-US"/>
        </w:rPr>
        <w:t xml:space="preserve"> and illnesses are transformed [8].</w:t>
      </w:r>
    </w:p>
    <w:p w:rsidR="00B67AE8" w:rsidRPr="000F0229" w:rsidRDefault="00B67AE8" w:rsidP="00B67AE8">
      <w:pPr>
        <w:spacing w:after="0"/>
        <w:ind w:firstLine="567"/>
        <w:jc w:val="both"/>
        <w:rPr>
          <w:lang w:val="en-US"/>
        </w:rPr>
      </w:pPr>
      <w:r>
        <w:rPr>
          <w:rFonts w:ascii="Times New Roman" w:hAnsi="Times New Roman" w:cs="Times New Roman"/>
          <w:sz w:val="24"/>
          <w:szCs w:val="24"/>
          <w:lang w:val="en-US"/>
        </w:rPr>
        <w:t xml:space="preserve">For the monitoring </w:t>
      </w:r>
      <w:r w:rsidR="00E06558">
        <w:rPr>
          <w:rFonts w:ascii="Times New Roman" w:hAnsi="Times New Roman" w:cs="Times New Roman"/>
          <w:sz w:val="24"/>
          <w:szCs w:val="24"/>
          <w:lang w:val="en-US"/>
        </w:rPr>
        <w:t>of</w:t>
      </w:r>
      <w:r>
        <w:rPr>
          <w:rFonts w:ascii="Times New Roman" w:hAnsi="Times New Roman" w:cs="Times New Roman"/>
          <w:sz w:val="24"/>
          <w:szCs w:val="24"/>
          <w:lang w:val="en-US"/>
        </w:rPr>
        <w:t xml:space="preserve"> the evolution of the health status of a population and understanding of the changes that have occurred in health over time</w:t>
      </w:r>
      <w:r w:rsidR="00E06558">
        <w:rPr>
          <w:rFonts w:ascii="Times New Roman" w:hAnsi="Times New Roman" w:cs="Times New Roman"/>
          <w:sz w:val="24"/>
          <w:szCs w:val="24"/>
          <w:lang w:val="en-US"/>
        </w:rPr>
        <w:t>,</w:t>
      </w:r>
      <w:r>
        <w:rPr>
          <w:rFonts w:ascii="Times New Roman" w:hAnsi="Times New Roman" w:cs="Times New Roman"/>
          <w:sz w:val="24"/>
          <w:szCs w:val="24"/>
          <w:lang w:val="en-US"/>
        </w:rPr>
        <w:t xml:space="preserve"> we use health indicators [1]. Health indicators are sets of data used to describe the level of health </w:t>
      </w:r>
      <w:r w:rsidR="00E06558">
        <w:rPr>
          <w:rFonts w:ascii="Times New Roman" w:hAnsi="Times New Roman" w:cs="Times New Roman"/>
          <w:sz w:val="24"/>
          <w:szCs w:val="24"/>
          <w:lang w:val="en-US"/>
        </w:rPr>
        <w:t xml:space="preserve">of a population </w:t>
      </w:r>
      <w:r>
        <w:rPr>
          <w:rFonts w:ascii="Times New Roman" w:hAnsi="Times New Roman" w:cs="Times New Roman"/>
          <w:sz w:val="24"/>
          <w:szCs w:val="24"/>
          <w:lang w:val="en-US"/>
        </w:rPr>
        <w:t xml:space="preserve">compared to that of another population, and to design health promotion </w:t>
      </w:r>
      <w:proofErr w:type="spellStart"/>
      <w:r>
        <w:rPr>
          <w:rFonts w:ascii="Times New Roman" w:hAnsi="Times New Roman" w:cs="Times New Roman"/>
          <w:sz w:val="24"/>
          <w:szCs w:val="24"/>
          <w:lang w:val="en-US"/>
        </w:rPr>
        <w:t>programmes</w:t>
      </w:r>
      <w:proofErr w:type="spellEnd"/>
      <w:r>
        <w:rPr>
          <w:rFonts w:ascii="Times New Roman" w:hAnsi="Times New Roman" w:cs="Times New Roman"/>
          <w:sz w:val="24"/>
          <w:szCs w:val="24"/>
          <w:lang w:val="en-US"/>
        </w:rPr>
        <w:t xml:space="preserve"> to improve the quality of life of </w:t>
      </w:r>
      <w:r w:rsidR="00E06558">
        <w:rPr>
          <w:rFonts w:ascii="Times New Roman" w:hAnsi="Times New Roman" w:cs="Times New Roman"/>
          <w:sz w:val="24"/>
          <w:szCs w:val="24"/>
          <w:lang w:val="en-US"/>
        </w:rPr>
        <w:t>a</w:t>
      </w:r>
      <w:r>
        <w:rPr>
          <w:rFonts w:ascii="Times New Roman" w:hAnsi="Times New Roman" w:cs="Times New Roman"/>
          <w:sz w:val="24"/>
          <w:szCs w:val="24"/>
          <w:lang w:val="en-US"/>
        </w:rPr>
        <w:t xml:space="preserve"> population [2]. Health indicators are divided into two categories: positive and negative. According to international practice, mortality and morbidity indicators are most commonly used to measure the health status of </w:t>
      </w:r>
      <w:r w:rsidR="00E06558">
        <w:rPr>
          <w:rFonts w:ascii="Times New Roman" w:hAnsi="Times New Roman" w:cs="Times New Roman"/>
          <w:sz w:val="24"/>
          <w:szCs w:val="24"/>
          <w:lang w:val="en-US"/>
        </w:rPr>
        <w:t>a</w:t>
      </w:r>
      <w:r>
        <w:rPr>
          <w:rFonts w:ascii="Times New Roman" w:hAnsi="Times New Roman" w:cs="Times New Roman"/>
          <w:sz w:val="24"/>
          <w:szCs w:val="24"/>
          <w:lang w:val="en-US"/>
        </w:rPr>
        <w:t xml:space="preserve"> country [1]. The charts below de</w:t>
      </w:r>
      <w:r w:rsidR="00E06558">
        <w:rPr>
          <w:rFonts w:ascii="Times New Roman" w:hAnsi="Times New Roman" w:cs="Times New Roman"/>
          <w:sz w:val="24"/>
          <w:szCs w:val="24"/>
          <w:lang w:val="en-US"/>
        </w:rPr>
        <w:t xml:space="preserve">scribe the current level of </w:t>
      </w:r>
      <w:r>
        <w:rPr>
          <w:rFonts w:ascii="Times New Roman" w:hAnsi="Times New Roman" w:cs="Times New Roman"/>
          <w:sz w:val="24"/>
          <w:szCs w:val="24"/>
          <w:lang w:val="en-US"/>
        </w:rPr>
        <w:t>Greek population health using statistical data</w:t>
      </w:r>
      <w:r w:rsidR="001720C6">
        <w:rPr>
          <w:rFonts w:ascii="Times New Roman" w:hAnsi="Times New Roman" w:cs="Times New Roman"/>
          <w:sz w:val="24"/>
          <w:szCs w:val="24"/>
          <w:lang w:val="en-US"/>
        </w:rPr>
        <w:t xml:space="preserve"> </w:t>
      </w:r>
      <w:r w:rsidR="00E06558">
        <w:rPr>
          <w:rFonts w:ascii="Times New Roman" w:hAnsi="Times New Roman" w:cs="Times New Roman"/>
          <w:sz w:val="24"/>
          <w:szCs w:val="24"/>
          <w:lang w:val="en-US"/>
        </w:rPr>
        <w:t>with health indicators</w:t>
      </w:r>
      <w:r w:rsidR="001720C6">
        <w:rPr>
          <w:rFonts w:ascii="Times New Roman" w:hAnsi="Times New Roman" w:cs="Times New Roman"/>
          <w:sz w:val="24"/>
          <w:szCs w:val="24"/>
          <w:lang w:val="en-US"/>
        </w:rPr>
        <w:t xml:space="preserve"> </w:t>
      </w:r>
      <w:r w:rsidR="00E06558">
        <w:rPr>
          <w:rFonts w:ascii="Times New Roman" w:hAnsi="Times New Roman" w:cs="Times New Roman"/>
          <w:sz w:val="24"/>
          <w:szCs w:val="24"/>
          <w:lang w:val="en-US"/>
        </w:rPr>
        <w:t>from</w:t>
      </w:r>
      <w:r>
        <w:rPr>
          <w:rFonts w:ascii="Times New Roman" w:hAnsi="Times New Roman" w:cs="Times New Roman"/>
          <w:sz w:val="24"/>
          <w:szCs w:val="24"/>
          <w:lang w:val="en-US"/>
        </w:rPr>
        <w:t xml:space="preserve"> recent years.</w:t>
      </w:r>
    </w:p>
    <w:p w:rsidR="00B67AE8" w:rsidRPr="00E06558" w:rsidRDefault="00B67AE8" w:rsidP="00B67AE8">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w:t>
      </w:r>
      <w:proofErr w:type="spellStart"/>
      <w:r>
        <w:rPr>
          <w:rFonts w:ascii="Times New Roman" w:hAnsi="Times New Roman" w:cs="Times New Roman"/>
          <w:sz w:val="24"/>
          <w:szCs w:val="24"/>
          <w:lang w:val="en-US"/>
        </w:rPr>
        <w:t>Eurostat</w:t>
      </w:r>
      <w:proofErr w:type="spellEnd"/>
      <w:r>
        <w:rPr>
          <w:rFonts w:ascii="Times New Roman" w:hAnsi="Times New Roman" w:cs="Times New Roman"/>
          <w:sz w:val="24"/>
          <w:szCs w:val="24"/>
          <w:lang w:val="en-US"/>
        </w:rPr>
        <w:t xml:space="preserve"> sta</w:t>
      </w:r>
      <w:r w:rsidR="00E06558">
        <w:rPr>
          <w:rFonts w:ascii="Times New Roman" w:hAnsi="Times New Roman" w:cs="Times New Roman"/>
          <w:sz w:val="24"/>
          <w:szCs w:val="24"/>
          <w:lang w:val="en-US"/>
        </w:rPr>
        <w:t>tistics, in 2012 the</w:t>
      </w:r>
      <w:r>
        <w:rPr>
          <w:rFonts w:ascii="Times New Roman" w:hAnsi="Times New Roman" w:cs="Times New Roman"/>
          <w:sz w:val="24"/>
          <w:szCs w:val="24"/>
          <w:lang w:val="en-US"/>
        </w:rPr>
        <w:t xml:space="preserve"> life expectancy of people aged 65 and over in Greece </w:t>
      </w:r>
      <w:r w:rsidR="00E06558">
        <w:rPr>
          <w:rFonts w:ascii="Times New Roman" w:hAnsi="Times New Roman" w:cs="Times New Roman"/>
          <w:sz w:val="24"/>
          <w:szCs w:val="24"/>
          <w:lang w:val="en-US"/>
        </w:rPr>
        <w:t xml:space="preserve">increased </w:t>
      </w:r>
      <w:r>
        <w:rPr>
          <w:rFonts w:ascii="Times New Roman" w:hAnsi="Times New Roman" w:cs="Times New Roman"/>
          <w:sz w:val="24"/>
          <w:szCs w:val="24"/>
          <w:lang w:val="en-US"/>
        </w:rPr>
        <w:t>[9]. For female</w:t>
      </w:r>
      <w:r w:rsidR="00E06558">
        <w:rPr>
          <w:rFonts w:ascii="Times New Roman" w:hAnsi="Times New Roman" w:cs="Times New Roman"/>
          <w:sz w:val="24"/>
          <w:szCs w:val="24"/>
          <w:lang w:val="en-US"/>
        </w:rPr>
        <w:t>s</w:t>
      </w:r>
      <w:r>
        <w:rPr>
          <w:rFonts w:ascii="Times New Roman" w:hAnsi="Times New Roman" w:cs="Times New Roman"/>
          <w:sz w:val="24"/>
          <w:szCs w:val="24"/>
          <w:lang w:val="en-US"/>
        </w:rPr>
        <w:t xml:space="preserve">, the indicator </w:t>
      </w:r>
      <w:r w:rsidR="00E06558">
        <w:rPr>
          <w:rFonts w:ascii="Times New Roman" w:hAnsi="Times New Roman" w:cs="Times New Roman"/>
          <w:sz w:val="24"/>
          <w:szCs w:val="24"/>
          <w:lang w:val="en-US"/>
        </w:rPr>
        <w:t>exceeded</w:t>
      </w:r>
      <w:r>
        <w:rPr>
          <w:rFonts w:ascii="Times New Roman" w:hAnsi="Times New Roman" w:cs="Times New Roman"/>
          <w:sz w:val="24"/>
          <w:szCs w:val="24"/>
          <w:lang w:val="en-US"/>
        </w:rPr>
        <w:t xml:space="preserve"> 83.4 years and for male</w:t>
      </w:r>
      <w:r w:rsidR="00E06558">
        <w:rPr>
          <w:rFonts w:ascii="Times New Roman" w:hAnsi="Times New Roman" w:cs="Times New Roman"/>
          <w:sz w:val="24"/>
          <w:szCs w:val="24"/>
          <w:lang w:val="en-US"/>
        </w:rPr>
        <w:t>s</w:t>
      </w:r>
      <w:r w:rsidR="005B0D21">
        <w:rPr>
          <w:rFonts w:ascii="Times New Roman" w:hAnsi="Times New Roman" w:cs="Times New Roman"/>
          <w:sz w:val="24"/>
          <w:szCs w:val="24"/>
          <w:lang w:val="en-US"/>
        </w:rPr>
        <w:t xml:space="preserve"> </w:t>
      </w:r>
      <w:r w:rsidR="00E06558">
        <w:rPr>
          <w:rFonts w:ascii="Times New Roman" w:hAnsi="Times New Roman" w:cs="Times New Roman"/>
          <w:sz w:val="24"/>
          <w:szCs w:val="24"/>
          <w:lang w:val="en-US"/>
        </w:rPr>
        <w:t xml:space="preserve">it reached a level of </w:t>
      </w:r>
      <w:r>
        <w:rPr>
          <w:rFonts w:ascii="Times New Roman" w:hAnsi="Times New Roman" w:cs="Times New Roman"/>
          <w:sz w:val="24"/>
          <w:szCs w:val="24"/>
          <w:lang w:val="en-US"/>
        </w:rPr>
        <w:t>over 78 years (Figure 1).</w:t>
      </w:r>
    </w:p>
    <w:p w:rsidR="00B67AE8" w:rsidRPr="00180A11" w:rsidRDefault="00B67AE8" w:rsidP="00B67AE8">
      <w:pPr>
        <w:spacing w:after="0"/>
        <w:jc w:val="both"/>
        <w:rPr>
          <w:rFonts w:ascii="Times New Roman" w:hAnsi="Times New Roman" w:cs="Times New Roman"/>
          <w:sz w:val="24"/>
          <w:szCs w:val="24"/>
          <w:lang w:val="en-US"/>
        </w:rPr>
      </w:pPr>
    </w:p>
    <w:p w:rsidR="00A57346" w:rsidRPr="00180A11" w:rsidRDefault="00A57346" w:rsidP="00B67AE8">
      <w:pPr>
        <w:spacing w:after="0"/>
        <w:jc w:val="both"/>
        <w:rPr>
          <w:rFonts w:ascii="Times New Roman" w:hAnsi="Times New Roman" w:cs="Times New Roman"/>
          <w:sz w:val="24"/>
          <w:szCs w:val="24"/>
          <w:lang w:val="en-US"/>
        </w:rPr>
      </w:pPr>
    </w:p>
    <w:p w:rsidR="00B67AE8" w:rsidRPr="00F27906" w:rsidRDefault="00B67AE8" w:rsidP="00B67AE8">
      <w:pPr>
        <w:spacing w:after="0"/>
        <w:jc w:val="center"/>
        <w:rPr>
          <w:rFonts w:ascii="Times New Roman" w:hAnsi="Times New Roman" w:cs="Times New Roman"/>
          <w:sz w:val="24"/>
          <w:szCs w:val="24"/>
        </w:rPr>
      </w:pPr>
      <w:r w:rsidRPr="00F27906">
        <w:rPr>
          <w:rFonts w:ascii="Times New Roman" w:hAnsi="Times New Roman" w:cs="Times New Roman"/>
          <w:noProof/>
          <w:sz w:val="24"/>
          <w:szCs w:val="24"/>
          <w:lang w:eastAsia="el-GR"/>
        </w:rPr>
        <w:drawing>
          <wp:inline distT="0" distB="0" distL="0" distR="0">
            <wp:extent cx="4019550" cy="2390775"/>
            <wp:effectExtent l="19050" t="0" r="19050" b="0"/>
            <wp:docPr id="19" name="Γράφημα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67AE8" w:rsidRPr="008E2439" w:rsidRDefault="00B67AE8" w:rsidP="001C1797">
      <w:pPr>
        <w:spacing w:before="120" w:after="0"/>
        <w:jc w:val="both"/>
        <w:rPr>
          <w:lang w:val="en-US"/>
        </w:rPr>
      </w:pPr>
      <w:r>
        <w:rPr>
          <w:rFonts w:ascii="Times New Roman" w:hAnsi="Times New Roman" w:cs="Times New Roman"/>
          <w:lang w:val="en-US"/>
        </w:rPr>
        <w:t xml:space="preserve">Figure 1. </w:t>
      </w:r>
      <w:proofErr w:type="gramStart"/>
      <w:r>
        <w:rPr>
          <w:rFonts w:ascii="Times New Roman" w:hAnsi="Times New Roman" w:cs="Times New Roman"/>
          <w:lang w:val="en-US"/>
        </w:rPr>
        <w:t>Life expectancy by sex in the Greek population (2012)</w:t>
      </w:r>
      <w:r w:rsidRPr="008E2439">
        <w:rPr>
          <w:rFonts w:ascii="Times New Roman" w:hAnsi="Times New Roman" w:cs="Times New Roman"/>
          <w:lang w:val="en-US"/>
        </w:rPr>
        <w:t>.</w:t>
      </w:r>
      <w:proofErr w:type="gramEnd"/>
    </w:p>
    <w:p w:rsidR="00B67AE8" w:rsidRPr="008E2439" w:rsidRDefault="00B67AE8" w:rsidP="00B67AE8">
      <w:pPr>
        <w:spacing w:after="0"/>
        <w:jc w:val="both"/>
        <w:rPr>
          <w:rFonts w:ascii="Times New Roman" w:hAnsi="Times New Roman" w:cs="Times New Roman"/>
          <w:i/>
          <w:lang w:val="en-US"/>
        </w:rPr>
      </w:pPr>
      <w:r>
        <w:rPr>
          <w:rFonts w:ascii="Times New Roman" w:hAnsi="Times New Roman" w:cs="Times New Roman"/>
          <w:i/>
          <w:lang w:val="en-US"/>
        </w:rPr>
        <w:t>Source</w:t>
      </w:r>
      <w:r w:rsidRPr="008E2439">
        <w:rPr>
          <w:rFonts w:ascii="Times New Roman" w:hAnsi="Times New Roman" w:cs="Times New Roman"/>
          <w:i/>
          <w:lang w:val="en-US"/>
        </w:rPr>
        <w:t xml:space="preserve">: </w:t>
      </w:r>
      <w:hyperlink r:id="rId10" w:history="1">
        <w:r w:rsidRPr="000A0670">
          <w:rPr>
            <w:rStyle w:val="-"/>
            <w:rFonts w:ascii="Times New Roman" w:hAnsi="Times New Roman" w:cs="Times New Roman"/>
            <w:bCs/>
            <w:i/>
            <w:lang w:val="en-US"/>
          </w:rPr>
          <w:t>http</w:t>
        </w:r>
        <w:r w:rsidRPr="008E2439">
          <w:rPr>
            <w:rStyle w:val="-"/>
            <w:rFonts w:ascii="Times New Roman" w:hAnsi="Times New Roman" w:cs="Times New Roman"/>
            <w:bCs/>
            <w:i/>
            <w:lang w:val="en-US"/>
          </w:rPr>
          <w:t>://</w:t>
        </w:r>
        <w:r w:rsidRPr="000A0670">
          <w:rPr>
            <w:rStyle w:val="-"/>
            <w:rFonts w:ascii="Times New Roman" w:hAnsi="Times New Roman" w:cs="Times New Roman"/>
            <w:bCs/>
            <w:i/>
            <w:lang w:val="en-US"/>
          </w:rPr>
          <w:t>appsso</w:t>
        </w:r>
        <w:r w:rsidRPr="008E2439">
          <w:rPr>
            <w:rStyle w:val="-"/>
            <w:rFonts w:ascii="Times New Roman" w:hAnsi="Times New Roman" w:cs="Times New Roman"/>
            <w:bCs/>
            <w:i/>
            <w:lang w:val="en-US"/>
          </w:rPr>
          <w:t>.</w:t>
        </w:r>
        <w:r w:rsidRPr="000A0670">
          <w:rPr>
            <w:rStyle w:val="-"/>
            <w:rFonts w:ascii="Times New Roman" w:hAnsi="Times New Roman" w:cs="Times New Roman"/>
            <w:bCs/>
            <w:i/>
            <w:lang w:val="en-US"/>
          </w:rPr>
          <w:t>eurostat</w:t>
        </w:r>
        <w:r w:rsidRPr="008E2439">
          <w:rPr>
            <w:rStyle w:val="-"/>
            <w:rFonts w:ascii="Times New Roman" w:hAnsi="Times New Roman" w:cs="Times New Roman"/>
            <w:bCs/>
            <w:i/>
            <w:lang w:val="en-US"/>
          </w:rPr>
          <w:t>.</w:t>
        </w:r>
        <w:r w:rsidRPr="000A0670">
          <w:rPr>
            <w:rStyle w:val="-"/>
            <w:rFonts w:ascii="Times New Roman" w:hAnsi="Times New Roman" w:cs="Times New Roman"/>
            <w:bCs/>
            <w:i/>
            <w:lang w:val="en-US"/>
          </w:rPr>
          <w:t>ec</w:t>
        </w:r>
        <w:r w:rsidRPr="008E2439">
          <w:rPr>
            <w:rStyle w:val="-"/>
            <w:rFonts w:ascii="Times New Roman" w:hAnsi="Times New Roman" w:cs="Times New Roman"/>
            <w:bCs/>
            <w:i/>
            <w:lang w:val="en-US"/>
          </w:rPr>
          <w:t>.</w:t>
        </w:r>
        <w:r w:rsidRPr="000A0670">
          <w:rPr>
            <w:rStyle w:val="-"/>
            <w:rFonts w:ascii="Times New Roman" w:hAnsi="Times New Roman" w:cs="Times New Roman"/>
            <w:bCs/>
            <w:i/>
            <w:lang w:val="en-US"/>
          </w:rPr>
          <w:t>europa</w:t>
        </w:r>
        <w:r w:rsidRPr="008E2439">
          <w:rPr>
            <w:rStyle w:val="-"/>
            <w:rFonts w:ascii="Times New Roman" w:hAnsi="Times New Roman" w:cs="Times New Roman"/>
            <w:bCs/>
            <w:i/>
            <w:lang w:val="en-US"/>
          </w:rPr>
          <w:t>.</w:t>
        </w:r>
        <w:r w:rsidRPr="000A0670">
          <w:rPr>
            <w:rStyle w:val="-"/>
            <w:rFonts w:ascii="Times New Roman" w:hAnsi="Times New Roman" w:cs="Times New Roman"/>
            <w:bCs/>
            <w:i/>
            <w:lang w:val="en-US"/>
          </w:rPr>
          <w:t>eu</w:t>
        </w:r>
        <w:r w:rsidRPr="008E2439">
          <w:rPr>
            <w:rStyle w:val="-"/>
            <w:rFonts w:ascii="Times New Roman" w:hAnsi="Times New Roman" w:cs="Times New Roman"/>
            <w:bCs/>
            <w:i/>
            <w:lang w:val="en-US"/>
          </w:rPr>
          <w:t>/</w:t>
        </w:r>
        <w:r w:rsidRPr="000A0670">
          <w:rPr>
            <w:rStyle w:val="-"/>
            <w:rFonts w:ascii="Times New Roman" w:hAnsi="Times New Roman" w:cs="Times New Roman"/>
            <w:bCs/>
            <w:i/>
            <w:lang w:val="en-US"/>
          </w:rPr>
          <w:t>nui</w:t>
        </w:r>
        <w:r w:rsidRPr="008E2439">
          <w:rPr>
            <w:rStyle w:val="-"/>
            <w:rFonts w:ascii="Times New Roman" w:hAnsi="Times New Roman" w:cs="Times New Roman"/>
            <w:bCs/>
            <w:i/>
            <w:lang w:val="en-US"/>
          </w:rPr>
          <w:t>/</w:t>
        </w:r>
        <w:r w:rsidRPr="000A0670">
          <w:rPr>
            <w:rStyle w:val="-"/>
            <w:rFonts w:ascii="Times New Roman" w:hAnsi="Times New Roman" w:cs="Times New Roman"/>
            <w:bCs/>
            <w:i/>
            <w:lang w:val="en-US"/>
          </w:rPr>
          <w:t>show</w:t>
        </w:r>
        <w:r w:rsidRPr="008E2439">
          <w:rPr>
            <w:rStyle w:val="-"/>
            <w:rFonts w:ascii="Times New Roman" w:hAnsi="Times New Roman" w:cs="Times New Roman"/>
            <w:bCs/>
            <w:i/>
            <w:lang w:val="en-US"/>
          </w:rPr>
          <w:t>.</w:t>
        </w:r>
        <w:r w:rsidRPr="000A0670">
          <w:rPr>
            <w:rStyle w:val="-"/>
            <w:rFonts w:ascii="Times New Roman" w:hAnsi="Times New Roman" w:cs="Times New Roman"/>
            <w:bCs/>
            <w:i/>
            <w:lang w:val="en-US"/>
          </w:rPr>
          <w:t>do</w:t>
        </w:r>
        <w:r w:rsidRPr="008E2439">
          <w:rPr>
            <w:rStyle w:val="-"/>
            <w:rFonts w:ascii="Times New Roman" w:hAnsi="Times New Roman" w:cs="Times New Roman"/>
            <w:bCs/>
            <w:i/>
            <w:lang w:val="en-US"/>
          </w:rPr>
          <w:t>?</w:t>
        </w:r>
        <w:r w:rsidRPr="000A0670">
          <w:rPr>
            <w:rStyle w:val="-"/>
            <w:rFonts w:ascii="Times New Roman" w:hAnsi="Times New Roman" w:cs="Times New Roman"/>
            <w:bCs/>
            <w:i/>
            <w:lang w:val="en-US"/>
          </w:rPr>
          <w:t>dataset</w:t>
        </w:r>
        <w:r w:rsidRPr="008E2439">
          <w:rPr>
            <w:rStyle w:val="-"/>
            <w:rFonts w:ascii="Times New Roman" w:hAnsi="Times New Roman" w:cs="Times New Roman"/>
            <w:bCs/>
            <w:i/>
            <w:lang w:val="en-US"/>
          </w:rPr>
          <w:t>=</w:t>
        </w:r>
        <w:r w:rsidRPr="000A0670">
          <w:rPr>
            <w:rStyle w:val="-"/>
            <w:rFonts w:ascii="Times New Roman" w:hAnsi="Times New Roman" w:cs="Times New Roman"/>
            <w:bCs/>
            <w:i/>
            <w:lang w:val="en-US"/>
          </w:rPr>
          <w:t>demo</w:t>
        </w:r>
        <w:r w:rsidRPr="008E2439">
          <w:rPr>
            <w:rStyle w:val="-"/>
            <w:rFonts w:ascii="Times New Roman" w:hAnsi="Times New Roman" w:cs="Times New Roman"/>
            <w:bCs/>
            <w:i/>
            <w:lang w:val="en-US"/>
          </w:rPr>
          <w:t>_</w:t>
        </w:r>
        <w:r w:rsidRPr="000A0670">
          <w:rPr>
            <w:rStyle w:val="-"/>
            <w:rFonts w:ascii="Times New Roman" w:hAnsi="Times New Roman" w:cs="Times New Roman"/>
            <w:bCs/>
            <w:i/>
            <w:lang w:val="en-US"/>
          </w:rPr>
          <w:t>mlexpec</w:t>
        </w:r>
        <w:r w:rsidRPr="008E2439">
          <w:rPr>
            <w:rStyle w:val="-"/>
            <w:rFonts w:ascii="Times New Roman" w:hAnsi="Times New Roman" w:cs="Times New Roman"/>
            <w:bCs/>
            <w:i/>
            <w:lang w:val="en-US"/>
          </w:rPr>
          <w:t>&amp;</w:t>
        </w:r>
        <w:r w:rsidRPr="000A0670">
          <w:rPr>
            <w:rStyle w:val="-"/>
            <w:rFonts w:ascii="Times New Roman" w:hAnsi="Times New Roman" w:cs="Times New Roman"/>
            <w:bCs/>
            <w:i/>
            <w:lang w:val="en-US"/>
          </w:rPr>
          <w:t>lang</w:t>
        </w:r>
        <w:r w:rsidRPr="008E2439">
          <w:rPr>
            <w:rStyle w:val="-"/>
            <w:rFonts w:ascii="Times New Roman" w:hAnsi="Times New Roman" w:cs="Times New Roman"/>
            <w:bCs/>
            <w:i/>
            <w:lang w:val="en-US"/>
          </w:rPr>
          <w:t>=</w:t>
        </w:r>
        <w:r w:rsidRPr="000A0670">
          <w:rPr>
            <w:rStyle w:val="-"/>
            <w:rFonts w:ascii="Times New Roman" w:hAnsi="Times New Roman" w:cs="Times New Roman"/>
            <w:bCs/>
            <w:i/>
            <w:lang w:val="en-US"/>
          </w:rPr>
          <w:t>en</w:t>
        </w:r>
      </w:hyperlink>
    </w:p>
    <w:p w:rsidR="00B67AE8" w:rsidRDefault="00B67AE8" w:rsidP="00B67AE8">
      <w:pPr>
        <w:spacing w:after="0"/>
        <w:jc w:val="both"/>
        <w:rPr>
          <w:rFonts w:ascii="Times New Roman" w:hAnsi="Times New Roman" w:cs="Times New Roman"/>
          <w:sz w:val="24"/>
          <w:szCs w:val="24"/>
          <w:lang w:val="en-US"/>
        </w:rPr>
      </w:pPr>
    </w:p>
    <w:p w:rsidR="00A12C24" w:rsidRDefault="00A12C24" w:rsidP="00B67AE8">
      <w:pPr>
        <w:spacing w:after="0"/>
        <w:jc w:val="both"/>
        <w:rPr>
          <w:rFonts w:ascii="Times New Roman" w:hAnsi="Times New Roman" w:cs="Times New Roman"/>
          <w:sz w:val="24"/>
          <w:szCs w:val="24"/>
          <w:lang w:val="en-US"/>
        </w:rPr>
      </w:pPr>
    </w:p>
    <w:p w:rsidR="00A12C24" w:rsidRDefault="00A12C24" w:rsidP="00B67AE8">
      <w:pPr>
        <w:spacing w:after="0"/>
        <w:jc w:val="both"/>
        <w:rPr>
          <w:rFonts w:ascii="Times New Roman" w:hAnsi="Times New Roman" w:cs="Times New Roman"/>
          <w:sz w:val="24"/>
          <w:szCs w:val="24"/>
          <w:lang w:val="en-US"/>
        </w:rPr>
      </w:pPr>
    </w:p>
    <w:p w:rsidR="00B67AE8" w:rsidRPr="000F0229" w:rsidRDefault="00B67AE8" w:rsidP="00B67AE8">
      <w:pPr>
        <w:spacing w:after="0"/>
        <w:ind w:firstLine="567"/>
        <w:jc w:val="both"/>
        <w:rPr>
          <w:lang w:val="en-US"/>
        </w:rPr>
      </w:pPr>
      <w:r>
        <w:rPr>
          <w:rFonts w:ascii="Times New Roman" w:hAnsi="Times New Roman" w:cs="Times New Roman"/>
          <w:sz w:val="24"/>
          <w:szCs w:val="24"/>
          <w:lang w:val="en-US"/>
        </w:rPr>
        <w:t xml:space="preserve">Figure 2 depicts the percentage distribution of the Greek population </w:t>
      </w:r>
      <w:r w:rsidR="00F3386A">
        <w:rPr>
          <w:rFonts w:ascii="Times New Roman" w:hAnsi="Times New Roman" w:cs="Times New Roman"/>
          <w:sz w:val="24"/>
          <w:szCs w:val="24"/>
          <w:lang w:val="en-US"/>
        </w:rPr>
        <w:t xml:space="preserve">aged 15 years and over, </w:t>
      </w:r>
      <w:r>
        <w:rPr>
          <w:rFonts w:ascii="Times New Roman" w:hAnsi="Times New Roman" w:cs="Times New Roman"/>
          <w:sz w:val="24"/>
          <w:szCs w:val="24"/>
          <w:lang w:val="en-US"/>
        </w:rPr>
        <w:t xml:space="preserve">in each age </w:t>
      </w:r>
      <w:r w:rsidR="00F3386A">
        <w:rPr>
          <w:rFonts w:ascii="Times New Roman" w:hAnsi="Times New Roman" w:cs="Times New Roman"/>
          <w:sz w:val="24"/>
          <w:szCs w:val="24"/>
          <w:lang w:val="en-US"/>
        </w:rPr>
        <w:t xml:space="preserve">successive </w:t>
      </w:r>
      <w:r>
        <w:rPr>
          <w:rFonts w:ascii="Times New Roman" w:hAnsi="Times New Roman" w:cs="Times New Roman"/>
          <w:sz w:val="24"/>
          <w:szCs w:val="24"/>
          <w:lang w:val="en-US"/>
        </w:rPr>
        <w:t>group</w:t>
      </w:r>
      <w:r w:rsidR="00F3386A">
        <w:rPr>
          <w:rFonts w:ascii="Times New Roman" w:hAnsi="Times New Roman" w:cs="Times New Roman"/>
          <w:sz w:val="24"/>
          <w:szCs w:val="24"/>
          <w:lang w:val="en-US"/>
        </w:rPr>
        <w:t>,</w:t>
      </w:r>
      <w:r>
        <w:rPr>
          <w:rFonts w:ascii="Times New Roman" w:hAnsi="Times New Roman" w:cs="Times New Roman"/>
          <w:sz w:val="24"/>
          <w:szCs w:val="24"/>
          <w:lang w:val="en-US"/>
        </w:rPr>
        <w:t xml:space="preserve"> by health status, with </w:t>
      </w:r>
      <w:r w:rsidR="00F3386A">
        <w:rPr>
          <w:rFonts w:ascii="Times New Roman" w:hAnsi="Times New Roman" w:cs="Times New Roman"/>
          <w:sz w:val="24"/>
          <w:szCs w:val="24"/>
          <w:lang w:val="en-US"/>
        </w:rPr>
        <w:t>the highest</w:t>
      </w:r>
      <w:r w:rsidR="005510C6">
        <w:rPr>
          <w:rFonts w:ascii="Times New Roman" w:hAnsi="Times New Roman" w:cs="Times New Roman"/>
          <w:sz w:val="24"/>
          <w:szCs w:val="24"/>
          <w:lang w:val="en-US"/>
        </w:rPr>
        <w:t xml:space="preserve"> </w:t>
      </w:r>
      <w:r w:rsidR="00E06558">
        <w:rPr>
          <w:rFonts w:ascii="Times New Roman" w:hAnsi="Times New Roman" w:cs="Times New Roman"/>
          <w:sz w:val="24"/>
          <w:szCs w:val="24"/>
          <w:lang w:val="en-US"/>
        </w:rPr>
        <w:t>value</w:t>
      </w:r>
      <w:r>
        <w:rPr>
          <w:rFonts w:ascii="Times New Roman" w:hAnsi="Times New Roman" w:cs="Times New Roman"/>
          <w:sz w:val="24"/>
          <w:szCs w:val="24"/>
          <w:lang w:val="en-US"/>
        </w:rPr>
        <w:t xml:space="preserve"> of 77.2% </w:t>
      </w:r>
      <w:r w:rsidR="00F3386A">
        <w:rPr>
          <w:rFonts w:ascii="Times New Roman" w:hAnsi="Times New Roman" w:cs="Times New Roman"/>
          <w:sz w:val="24"/>
          <w:szCs w:val="24"/>
          <w:lang w:val="en-US"/>
        </w:rPr>
        <w:t xml:space="preserve">(those having very good health status) found </w:t>
      </w:r>
      <w:r>
        <w:rPr>
          <w:rFonts w:ascii="Times New Roman" w:hAnsi="Times New Roman" w:cs="Times New Roman"/>
          <w:sz w:val="24"/>
          <w:szCs w:val="24"/>
          <w:lang w:val="en-US"/>
        </w:rPr>
        <w:t>in the age group 15-24</w:t>
      </w:r>
      <w:r w:rsidR="00F3386A">
        <w:rPr>
          <w:rFonts w:ascii="Times New Roman" w:hAnsi="Times New Roman" w:cs="Times New Roman"/>
          <w:sz w:val="24"/>
          <w:szCs w:val="24"/>
          <w:lang w:val="en-US"/>
        </w:rPr>
        <w:t>,</w:t>
      </w:r>
      <w:r>
        <w:rPr>
          <w:rFonts w:ascii="Times New Roman" w:hAnsi="Times New Roman" w:cs="Times New Roman"/>
          <w:sz w:val="24"/>
          <w:szCs w:val="24"/>
          <w:lang w:val="en-US"/>
        </w:rPr>
        <w:t xml:space="preserve"> and the lowest </w:t>
      </w:r>
      <w:r w:rsidR="00E06558">
        <w:rPr>
          <w:rFonts w:ascii="Times New Roman" w:hAnsi="Times New Roman" w:cs="Times New Roman"/>
          <w:sz w:val="24"/>
          <w:szCs w:val="24"/>
          <w:lang w:val="en-US"/>
        </w:rPr>
        <w:t>value</w:t>
      </w:r>
      <w:r>
        <w:rPr>
          <w:rFonts w:ascii="Times New Roman" w:hAnsi="Times New Roman" w:cs="Times New Roman"/>
          <w:sz w:val="24"/>
          <w:szCs w:val="24"/>
          <w:lang w:val="en-US"/>
        </w:rPr>
        <w:t xml:space="preserve"> of 0.3% again </w:t>
      </w:r>
      <w:r w:rsidR="00F3386A">
        <w:rPr>
          <w:rFonts w:ascii="Times New Roman" w:hAnsi="Times New Roman" w:cs="Times New Roman"/>
          <w:sz w:val="24"/>
          <w:szCs w:val="24"/>
          <w:lang w:val="en-US"/>
        </w:rPr>
        <w:t xml:space="preserve">found </w:t>
      </w:r>
      <w:r>
        <w:rPr>
          <w:rFonts w:ascii="Times New Roman" w:hAnsi="Times New Roman" w:cs="Times New Roman"/>
          <w:sz w:val="24"/>
          <w:szCs w:val="24"/>
          <w:lang w:val="en-US"/>
        </w:rPr>
        <w:t>in</w:t>
      </w:r>
      <w:r w:rsidR="00F3386A">
        <w:rPr>
          <w:rFonts w:ascii="Times New Roman" w:hAnsi="Times New Roman" w:cs="Times New Roman"/>
          <w:sz w:val="24"/>
          <w:szCs w:val="24"/>
          <w:lang w:val="en-US"/>
        </w:rPr>
        <w:t xml:space="preserve"> this</w:t>
      </w:r>
      <w:r>
        <w:rPr>
          <w:rFonts w:ascii="Times New Roman" w:hAnsi="Times New Roman" w:cs="Times New Roman"/>
          <w:sz w:val="24"/>
          <w:szCs w:val="24"/>
          <w:lang w:val="en-US"/>
        </w:rPr>
        <w:t xml:space="preserve"> age group.</w:t>
      </w:r>
    </w:p>
    <w:p w:rsidR="00B67AE8" w:rsidRPr="00F423F9" w:rsidRDefault="00250BE3" w:rsidP="001C1797">
      <w:pPr>
        <w:spacing w:before="120" w:after="0"/>
        <w:rPr>
          <w:rFonts w:ascii="Times New Roman" w:hAnsi="Times New Roman" w:cs="Times New Roman"/>
          <w:lang w:val="en-US"/>
        </w:rPr>
      </w:pPr>
      <w:r w:rsidRPr="00250BE3">
        <w:rPr>
          <w:rFonts w:ascii="Times New Roman" w:hAnsi="Times New Roman" w:cs="Times New Roman"/>
          <w:noProof/>
          <w:sz w:val="24"/>
          <w:szCs w:val="24"/>
          <w:lang w:eastAsia="el-GR"/>
        </w:rPr>
        <w:lastRenderedPageBreak/>
        <w:drawing>
          <wp:anchor distT="0" distB="0" distL="114300" distR="114300" simplePos="0" relativeHeight="251658240" behindDoc="0" locked="0" layoutInCell="1" allowOverlap="1">
            <wp:simplePos x="1276350" y="895350"/>
            <wp:positionH relativeFrom="column">
              <wp:align>center</wp:align>
            </wp:positionH>
            <wp:positionV relativeFrom="paragraph">
              <wp:posOffset>3810</wp:posOffset>
            </wp:positionV>
            <wp:extent cx="5676900" cy="3295650"/>
            <wp:effectExtent l="19050" t="0" r="19050" b="0"/>
            <wp:wrapSquare wrapText="bothSides"/>
            <wp:docPr id="44" name="Γράφημα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B67AE8">
        <w:rPr>
          <w:rFonts w:ascii="Times New Roman" w:hAnsi="Times New Roman" w:cs="Times New Roman"/>
          <w:lang w:val="en-US"/>
        </w:rPr>
        <w:t xml:space="preserve">Figure 2. </w:t>
      </w:r>
      <w:proofErr w:type="gramStart"/>
      <w:r w:rsidR="00B67AE8">
        <w:rPr>
          <w:rFonts w:ascii="Times New Roman" w:hAnsi="Times New Roman" w:cs="Times New Roman"/>
          <w:lang w:val="en-US"/>
        </w:rPr>
        <w:t>Percentage distribution of the Greek population in each age group, by health status, 2014</w:t>
      </w:r>
      <w:r w:rsidR="00B67AE8" w:rsidRPr="00F423F9">
        <w:rPr>
          <w:rFonts w:ascii="Times New Roman" w:hAnsi="Times New Roman" w:cs="Times New Roman"/>
          <w:lang w:val="en-US"/>
        </w:rPr>
        <w:t>.</w:t>
      </w:r>
      <w:proofErr w:type="gramEnd"/>
    </w:p>
    <w:p w:rsidR="00B67AE8" w:rsidRPr="00B53E70" w:rsidRDefault="00B67AE8" w:rsidP="00B67AE8">
      <w:pPr>
        <w:spacing w:after="0"/>
        <w:jc w:val="both"/>
        <w:rPr>
          <w:rStyle w:val="-"/>
          <w:rFonts w:ascii="Times New Roman" w:hAnsi="Times New Roman" w:cs="Times New Roman"/>
          <w:i/>
          <w:lang w:val="en-US"/>
        </w:rPr>
      </w:pPr>
      <w:r w:rsidRPr="00BA185D">
        <w:rPr>
          <w:rFonts w:ascii="Times New Roman" w:hAnsi="Times New Roman" w:cs="Times New Roman"/>
          <w:i/>
          <w:lang w:val="en-US"/>
        </w:rPr>
        <w:t>Source</w:t>
      </w:r>
      <w:r w:rsidR="00BA185D" w:rsidRPr="00BA185D">
        <w:rPr>
          <w:rFonts w:ascii="Times New Roman" w:hAnsi="Times New Roman" w:cs="Times New Roman"/>
          <w:i/>
          <w:lang w:val="en-US"/>
        </w:rPr>
        <w:t>:</w:t>
      </w:r>
      <w:r w:rsidR="00BA185D" w:rsidRPr="00BA185D">
        <w:rPr>
          <w:rStyle w:val="-"/>
          <w:rFonts w:ascii="Times New Roman" w:hAnsi="Times New Roman" w:cs="Times New Roman"/>
          <w:i/>
          <w:lang w:val="en-US"/>
        </w:rPr>
        <w:t>http://www.statistics.gr/el/</w:t>
      </w:r>
      <w:r w:rsidR="00BA185D">
        <w:rPr>
          <w:rStyle w:val="-"/>
          <w:rFonts w:ascii="Times New Roman" w:hAnsi="Times New Roman" w:cs="Times New Roman"/>
          <w:i/>
          <w:lang w:val="en-US"/>
        </w:rPr>
        <w:t>statistics/-/publication/SPO09/</w:t>
      </w:r>
      <w:r w:rsidR="00B53E70" w:rsidRPr="00B53E70">
        <w:rPr>
          <w:rStyle w:val="-"/>
          <w:rFonts w:ascii="Times New Roman" w:hAnsi="Times New Roman" w:cs="Times New Roman"/>
          <w:i/>
          <w:lang w:val="en-US"/>
        </w:rPr>
        <w:t xml:space="preserve"> </w:t>
      </w:r>
    </w:p>
    <w:p w:rsidR="00BA185D" w:rsidRPr="00F423F9" w:rsidRDefault="00BA185D" w:rsidP="00B67AE8">
      <w:pPr>
        <w:spacing w:after="0"/>
        <w:jc w:val="both"/>
        <w:rPr>
          <w:rFonts w:ascii="Times New Roman" w:hAnsi="Times New Roman" w:cs="Times New Roman"/>
          <w:i/>
          <w:lang w:val="en-US"/>
        </w:rPr>
      </w:pPr>
    </w:p>
    <w:p w:rsidR="00B67AE8" w:rsidRDefault="00B67AE8" w:rsidP="00B67AE8">
      <w:pPr>
        <w:spacing w:after="0"/>
        <w:jc w:val="both"/>
        <w:rPr>
          <w:rFonts w:ascii="Times New Roman" w:hAnsi="Times New Roman" w:cs="Times New Roman"/>
          <w:sz w:val="24"/>
          <w:szCs w:val="24"/>
          <w:lang w:val="en-US"/>
        </w:rPr>
      </w:pPr>
    </w:p>
    <w:p w:rsidR="00B67AE8" w:rsidRDefault="00B67AE8" w:rsidP="00B67AE8">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health status of the population aged 15 and over is subsequently recorded </w:t>
      </w:r>
      <w:r w:rsidR="00F3386A">
        <w:rPr>
          <w:rFonts w:ascii="Times New Roman" w:hAnsi="Times New Roman" w:cs="Times New Roman"/>
          <w:sz w:val="24"/>
          <w:szCs w:val="24"/>
          <w:lang w:val="en-US"/>
        </w:rPr>
        <w:t>in terms of</w:t>
      </w:r>
      <w:r>
        <w:rPr>
          <w:rFonts w:ascii="Times New Roman" w:hAnsi="Times New Roman" w:cs="Times New Roman"/>
          <w:sz w:val="24"/>
          <w:szCs w:val="24"/>
          <w:lang w:val="en-US"/>
        </w:rPr>
        <w:t xml:space="preserve"> each gender separately, and also in total for the year 2014 (Figure 3).</w:t>
      </w:r>
    </w:p>
    <w:p w:rsidR="002C2185" w:rsidRPr="00F423F9" w:rsidRDefault="002C2185" w:rsidP="00B67AE8">
      <w:pPr>
        <w:spacing w:after="0"/>
        <w:ind w:firstLine="567"/>
        <w:jc w:val="both"/>
        <w:rPr>
          <w:rFonts w:ascii="Times New Roman" w:hAnsi="Times New Roman" w:cs="Times New Roman"/>
          <w:sz w:val="24"/>
          <w:szCs w:val="24"/>
          <w:lang w:val="en-US"/>
        </w:rPr>
      </w:pPr>
    </w:p>
    <w:p w:rsidR="00B67AE8" w:rsidRPr="00F423F9" w:rsidRDefault="00AB0D14" w:rsidP="002861FE">
      <w:pPr>
        <w:spacing w:before="120" w:after="0"/>
        <w:rPr>
          <w:rFonts w:ascii="Times New Roman" w:hAnsi="Times New Roman" w:cs="Times New Roman"/>
          <w:lang w:val="en-US"/>
        </w:rPr>
      </w:pPr>
      <w:r w:rsidRPr="00AB0D14">
        <w:rPr>
          <w:rFonts w:ascii="Times New Roman" w:hAnsi="Times New Roman" w:cs="Times New Roman"/>
          <w:noProof/>
          <w:sz w:val="24"/>
          <w:szCs w:val="24"/>
          <w:lang w:eastAsia="el-GR"/>
        </w:rPr>
        <w:drawing>
          <wp:anchor distT="0" distB="0" distL="114300" distR="114300" simplePos="0" relativeHeight="251659264" behindDoc="0" locked="0" layoutInCell="1" allowOverlap="1">
            <wp:simplePos x="1286741" y="5631873"/>
            <wp:positionH relativeFrom="column">
              <wp:align>center</wp:align>
            </wp:positionH>
            <wp:positionV relativeFrom="paragraph">
              <wp:posOffset>3810</wp:posOffset>
            </wp:positionV>
            <wp:extent cx="5482244" cy="3470563"/>
            <wp:effectExtent l="19050" t="0" r="23206" b="0"/>
            <wp:wrapSquare wrapText="bothSides"/>
            <wp:docPr id="42" name="Γράφημα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roofErr w:type="gramStart"/>
      <w:r w:rsidR="00B67AE8" w:rsidRPr="00F423F9">
        <w:rPr>
          <w:rFonts w:ascii="Times New Roman" w:hAnsi="Times New Roman" w:cs="Times New Roman"/>
          <w:lang w:val="en-US"/>
        </w:rPr>
        <w:t>Figure 3.</w:t>
      </w:r>
      <w:proofErr w:type="gramEnd"/>
      <w:r w:rsidR="00B67AE8" w:rsidRPr="00F423F9">
        <w:rPr>
          <w:rFonts w:ascii="Times New Roman" w:hAnsi="Times New Roman" w:cs="Times New Roman"/>
          <w:lang w:val="en-US"/>
        </w:rPr>
        <w:t xml:space="preserve"> Health status of population aged 15 and over, by gender, 2014.</w:t>
      </w:r>
    </w:p>
    <w:p w:rsidR="00BA185D" w:rsidRPr="00BA185D" w:rsidRDefault="00BA185D" w:rsidP="00BA185D">
      <w:pPr>
        <w:spacing w:after="0"/>
        <w:jc w:val="both"/>
        <w:rPr>
          <w:rStyle w:val="-"/>
          <w:rFonts w:ascii="Times New Roman" w:hAnsi="Times New Roman" w:cs="Times New Roman"/>
          <w:i/>
          <w:lang w:val="en-US"/>
        </w:rPr>
      </w:pPr>
      <w:r w:rsidRPr="00BA185D">
        <w:rPr>
          <w:rFonts w:ascii="Times New Roman" w:hAnsi="Times New Roman" w:cs="Times New Roman"/>
          <w:i/>
          <w:lang w:val="en-US"/>
        </w:rPr>
        <w:t>Source:</w:t>
      </w:r>
      <w:r w:rsidRPr="00BA185D">
        <w:rPr>
          <w:rStyle w:val="-"/>
          <w:rFonts w:ascii="Times New Roman" w:hAnsi="Times New Roman" w:cs="Times New Roman"/>
          <w:i/>
          <w:lang w:val="en-US"/>
        </w:rPr>
        <w:t>http://www.statistics.gr/el/</w:t>
      </w:r>
      <w:r>
        <w:rPr>
          <w:rStyle w:val="-"/>
          <w:rFonts w:ascii="Times New Roman" w:hAnsi="Times New Roman" w:cs="Times New Roman"/>
          <w:i/>
          <w:lang w:val="en-US"/>
        </w:rPr>
        <w:t>statistics/-/publication/SPO09/</w:t>
      </w:r>
    </w:p>
    <w:p w:rsidR="00A12C24" w:rsidRDefault="00A12C24" w:rsidP="00B67AE8">
      <w:pPr>
        <w:spacing w:after="0"/>
        <w:jc w:val="both"/>
        <w:rPr>
          <w:rFonts w:ascii="Times New Roman" w:hAnsi="Times New Roman" w:cs="Times New Roman"/>
          <w:i/>
          <w:lang w:val="en-US"/>
        </w:rPr>
      </w:pPr>
    </w:p>
    <w:p w:rsidR="00A12C24" w:rsidRDefault="00A12C24" w:rsidP="00B67AE8">
      <w:pPr>
        <w:spacing w:after="0"/>
        <w:jc w:val="both"/>
        <w:rPr>
          <w:rFonts w:ascii="Times New Roman" w:hAnsi="Times New Roman" w:cs="Times New Roman"/>
          <w:i/>
          <w:lang w:val="en-US"/>
        </w:rPr>
      </w:pPr>
    </w:p>
    <w:p w:rsidR="00811383" w:rsidRDefault="00F3386A" w:rsidP="00AB05A3">
      <w:pPr>
        <w:spacing w:after="0"/>
        <w:ind w:firstLine="567"/>
        <w:jc w:val="both"/>
        <w:rPr>
          <w:rFonts w:ascii="Times New Roman" w:hAnsi="Times New Roman" w:cs="Times New Roman"/>
          <w:sz w:val="24"/>
          <w:szCs w:val="24"/>
        </w:rPr>
      </w:pPr>
      <w:r>
        <w:rPr>
          <w:rFonts w:ascii="Times New Roman" w:hAnsi="Times New Roman" w:cs="Times New Roman"/>
          <w:sz w:val="24"/>
          <w:szCs w:val="24"/>
          <w:lang w:val="en-US"/>
        </w:rPr>
        <w:lastRenderedPageBreak/>
        <w:t>In the World Health Organization</w:t>
      </w:r>
      <w:r w:rsidR="005A72ED">
        <w:rPr>
          <w:rFonts w:ascii="Times New Roman" w:hAnsi="Times New Roman" w:cs="Times New Roman"/>
          <w:sz w:val="24"/>
          <w:szCs w:val="24"/>
          <w:lang w:val="en-US"/>
        </w:rPr>
        <w:t>’s</w:t>
      </w:r>
      <w:r>
        <w:rPr>
          <w:rFonts w:ascii="Times New Roman" w:hAnsi="Times New Roman" w:cs="Times New Roman"/>
          <w:sz w:val="24"/>
          <w:szCs w:val="24"/>
          <w:lang w:val="en-US"/>
        </w:rPr>
        <w:t xml:space="preserve"> [7] </w:t>
      </w:r>
      <w:r w:rsidR="005A72ED">
        <w:rPr>
          <w:rFonts w:ascii="Times New Roman" w:hAnsi="Times New Roman" w:cs="Times New Roman"/>
          <w:sz w:val="24"/>
          <w:szCs w:val="24"/>
          <w:lang w:val="en-US"/>
        </w:rPr>
        <w:t xml:space="preserve">2013 </w:t>
      </w:r>
      <w:r>
        <w:rPr>
          <w:rFonts w:ascii="Times New Roman" w:hAnsi="Times New Roman" w:cs="Times New Roman"/>
          <w:sz w:val="24"/>
          <w:szCs w:val="24"/>
          <w:lang w:val="en-US"/>
        </w:rPr>
        <w:t>ranking of</w:t>
      </w:r>
      <w:r w:rsidR="00B67AE8">
        <w:rPr>
          <w:rFonts w:ascii="Times New Roman" w:hAnsi="Times New Roman" w:cs="Times New Roman"/>
          <w:sz w:val="24"/>
          <w:szCs w:val="24"/>
          <w:lang w:val="en-US"/>
        </w:rPr>
        <w:t xml:space="preserve"> the leading causes of mortality in Greece, </w:t>
      </w:r>
      <w:r w:rsidR="00BC1DF3">
        <w:rPr>
          <w:rFonts w:ascii="Times New Roman" w:hAnsi="Times New Roman" w:cs="Times New Roman"/>
          <w:sz w:val="24"/>
          <w:szCs w:val="24"/>
          <w:lang w:val="en-US"/>
        </w:rPr>
        <w:t>cardiovascular diseases</w:t>
      </w:r>
      <w:r w:rsidR="00B67AE8">
        <w:rPr>
          <w:rFonts w:ascii="Times New Roman" w:hAnsi="Times New Roman" w:cs="Times New Roman"/>
          <w:sz w:val="24"/>
          <w:szCs w:val="24"/>
          <w:lang w:val="en-US"/>
        </w:rPr>
        <w:t xml:space="preserve"> and malignant </w:t>
      </w:r>
      <w:proofErr w:type="spellStart"/>
      <w:r w:rsidR="00B67AE8">
        <w:rPr>
          <w:rFonts w:ascii="Times New Roman" w:hAnsi="Times New Roman" w:cs="Times New Roman"/>
          <w:sz w:val="24"/>
          <w:szCs w:val="24"/>
          <w:lang w:val="en-US"/>
        </w:rPr>
        <w:t>neoplasms</w:t>
      </w:r>
      <w:proofErr w:type="spellEnd"/>
      <w:r w:rsidR="00B67AE8">
        <w:rPr>
          <w:rFonts w:ascii="Times New Roman" w:hAnsi="Times New Roman" w:cs="Times New Roman"/>
          <w:sz w:val="24"/>
          <w:szCs w:val="24"/>
          <w:lang w:val="en-US"/>
        </w:rPr>
        <w:t xml:space="preserve"> (cancers) </w:t>
      </w:r>
      <w:r>
        <w:rPr>
          <w:rFonts w:ascii="Times New Roman" w:hAnsi="Times New Roman" w:cs="Times New Roman"/>
          <w:sz w:val="24"/>
          <w:szCs w:val="24"/>
          <w:lang w:val="en-US"/>
        </w:rPr>
        <w:t>ranked highest</w:t>
      </w:r>
      <w:r w:rsidR="00B67AE8">
        <w:rPr>
          <w:rFonts w:ascii="Times New Roman" w:hAnsi="Times New Roman" w:cs="Times New Roman"/>
          <w:sz w:val="24"/>
          <w:szCs w:val="24"/>
          <w:lang w:val="en-US"/>
        </w:rPr>
        <w:t xml:space="preserve">. </w:t>
      </w:r>
      <w:r w:rsidR="00BC1DF3">
        <w:rPr>
          <w:rFonts w:ascii="Times New Roman" w:hAnsi="Times New Roman" w:cs="Times New Roman"/>
          <w:sz w:val="24"/>
          <w:szCs w:val="24"/>
          <w:lang w:val="en-US"/>
        </w:rPr>
        <w:t xml:space="preserve">Cardiovascular diseases </w:t>
      </w:r>
      <w:r w:rsidR="00B67AE8">
        <w:rPr>
          <w:rFonts w:ascii="Times New Roman" w:hAnsi="Times New Roman" w:cs="Times New Roman"/>
          <w:sz w:val="24"/>
          <w:szCs w:val="24"/>
          <w:lang w:val="en-US"/>
        </w:rPr>
        <w:t xml:space="preserve">(48% of deaths) are the leading cause of death in the Greek population. Malignant </w:t>
      </w:r>
      <w:proofErr w:type="spellStart"/>
      <w:r w:rsidR="00B67AE8">
        <w:rPr>
          <w:rFonts w:ascii="Times New Roman" w:hAnsi="Times New Roman" w:cs="Times New Roman"/>
          <w:sz w:val="24"/>
          <w:szCs w:val="24"/>
          <w:lang w:val="en-US"/>
        </w:rPr>
        <w:t>neoplasms</w:t>
      </w:r>
      <w:proofErr w:type="spellEnd"/>
      <w:r w:rsidR="00B67AE8">
        <w:rPr>
          <w:rFonts w:ascii="Times New Roman" w:hAnsi="Times New Roman" w:cs="Times New Roman"/>
          <w:sz w:val="24"/>
          <w:szCs w:val="24"/>
          <w:lang w:val="en-US"/>
        </w:rPr>
        <w:t xml:space="preserve"> are the second </w:t>
      </w:r>
      <w:r w:rsidR="005A72ED">
        <w:rPr>
          <w:rFonts w:ascii="Times New Roman" w:hAnsi="Times New Roman" w:cs="Times New Roman"/>
          <w:sz w:val="24"/>
          <w:szCs w:val="24"/>
          <w:lang w:val="en-US"/>
        </w:rPr>
        <w:t xml:space="preserve">main </w:t>
      </w:r>
      <w:r w:rsidR="00B67AE8">
        <w:rPr>
          <w:rFonts w:ascii="Times New Roman" w:hAnsi="Times New Roman" w:cs="Times New Roman"/>
          <w:sz w:val="24"/>
          <w:szCs w:val="24"/>
          <w:lang w:val="en-US"/>
        </w:rPr>
        <w:t xml:space="preserve">cause of death (26%). Chronic respiratory </w:t>
      </w:r>
      <w:r w:rsidR="00BC1DF3">
        <w:rPr>
          <w:rFonts w:ascii="Times New Roman" w:hAnsi="Times New Roman" w:cs="Times New Roman"/>
          <w:sz w:val="24"/>
          <w:szCs w:val="24"/>
          <w:lang w:val="en-US"/>
        </w:rPr>
        <w:t xml:space="preserve">diseases </w:t>
      </w:r>
      <w:r w:rsidR="00B67AE8">
        <w:rPr>
          <w:rFonts w:ascii="Times New Roman" w:hAnsi="Times New Roman" w:cs="Times New Roman"/>
          <w:sz w:val="24"/>
          <w:szCs w:val="24"/>
          <w:lang w:val="en-US"/>
        </w:rPr>
        <w:t xml:space="preserve">(7%) </w:t>
      </w:r>
      <w:r w:rsidR="005A72ED">
        <w:rPr>
          <w:rFonts w:ascii="Times New Roman" w:hAnsi="Times New Roman" w:cs="Times New Roman"/>
          <w:sz w:val="24"/>
          <w:szCs w:val="24"/>
          <w:lang w:val="en-US"/>
        </w:rPr>
        <w:t>rank third</w:t>
      </w:r>
      <w:r w:rsidR="00B67AE8">
        <w:rPr>
          <w:rFonts w:ascii="Times New Roman" w:hAnsi="Times New Roman" w:cs="Times New Roman"/>
          <w:sz w:val="24"/>
          <w:szCs w:val="24"/>
          <w:lang w:val="en-US"/>
        </w:rPr>
        <w:t xml:space="preserve">, followed by infectious diseases (6%), injuries (4%), other causes (8%) and diabetes (1%). </w:t>
      </w:r>
      <w:proofErr w:type="gramStart"/>
      <w:r w:rsidR="00B67AE8">
        <w:rPr>
          <w:rFonts w:ascii="Times New Roman" w:hAnsi="Times New Roman" w:cs="Times New Roman"/>
          <w:sz w:val="24"/>
          <w:szCs w:val="24"/>
          <w:lang w:val="en-US"/>
        </w:rPr>
        <w:t>(Figure 4).</w:t>
      </w:r>
      <w:proofErr w:type="gramEnd"/>
    </w:p>
    <w:p w:rsidR="00CF7C1F" w:rsidRPr="00CF7C1F" w:rsidRDefault="00CF7C1F" w:rsidP="00AB05A3">
      <w:pPr>
        <w:spacing w:after="0"/>
        <w:ind w:firstLine="567"/>
        <w:jc w:val="both"/>
        <w:rPr>
          <w:rFonts w:ascii="Times New Roman" w:hAnsi="Times New Roman" w:cs="Times New Roman"/>
          <w:sz w:val="24"/>
          <w:szCs w:val="24"/>
        </w:rPr>
      </w:pPr>
    </w:p>
    <w:p w:rsidR="00B67AE8" w:rsidRPr="00F27906" w:rsidRDefault="00B67AE8" w:rsidP="00A05D08">
      <w:pPr>
        <w:spacing w:after="0"/>
        <w:jc w:val="center"/>
        <w:rPr>
          <w:rFonts w:ascii="Times New Roman" w:hAnsi="Times New Roman" w:cs="Times New Roman"/>
          <w:sz w:val="24"/>
          <w:szCs w:val="24"/>
        </w:rPr>
      </w:pPr>
      <w:r w:rsidRPr="00F27906">
        <w:rPr>
          <w:rFonts w:ascii="Times New Roman" w:hAnsi="Times New Roman" w:cs="Times New Roman"/>
          <w:noProof/>
          <w:sz w:val="24"/>
          <w:szCs w:val="24"/>
          <w:lang w:eastAsia="el-GR"/>
        </w:rPr>
        <w:drawing>
          <wp:inline distT="0" distB="0" distL="0" distR="0">
            <wp:extent cx="5175201" cy="3416439"/>
            <wp:effectExtent l="19050" t="0" r="25449" b="0"/>
            <wp:docPr id="9" name="Γράφημα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67AE8" w:rsidRPr="005D28B8" w:rsidRDefault="00B67AE8" w:rsidP="00A05D08">
      <w:pPr>
        <w:spacing w:before="120" w:after="0"/>
        <w:jc w:val="both"/>
        <w:rPr>
          <w:rFonts w:ascii="Times New Roman" w:hAnsi="Times New Roman" w:cs="Times New Roman"/>
          <w:lang w:val="en-US"/>
        </w:rPr>
      </w:pPr>
      <w:r w:rsidRPr="005D28B8">
        <w:rPr>
          <w:rFonts w:ascii="Times New Roman" w:hAnsi="Times New Roman" w:cs="Times New Roman"/>
          <w:lang w:val="en-US"/>
        </w:rPr>
        <w:t>Figure 4. Leading causes of</w:t>
      </w:r>
      <w:r w:rsidR="005A72ED">
        <w:rPr>
          <w:rFonts w:ascii="Times New Roman" w:hAnsi="Times New Roman" w:cs="Times New Roman"/>
          <w:lang w:val="en-US"/>
        </w:rPr>
        <w:t xml:space="preserve"> death in</w:t>
      </w:r>
      <w:r>
        <w:rPr>
          <w:rFonts w:ascii="Times New Roman" w:hAnsi="Times New Roman" w:cs="Times New Roman"/>
          <w:lang w:val="en-US"/>
        </w:rPr>
        <w:t xml:space="preserve"> the Greek population </w:t>
      </w:r>
      <w:r w:rsidRPr="005D28B8">
        <w:rPr>
          <w:rFonts w:ascii="Times New Roman" w:hAnsi="Times New Roman" w:cs="Times New Roman"/>
          <w:lang w:val="en-US"/>
        </w:rPr>
        <w:t xml:space="preserve">(2013). </w:t>
      </w:r>
    </w:p>
    <w:p w:rsidR="00B67AE8" w:rsidRPr="00A05D08" w:rsidRDefault="00B67AE8" w:rsidP="00B67AE8">
      <w:pPr>
        <w:spacing w:after="0"/>
        <w:jc w:val="both"/>
        <w:rPr>
          <w:rStyle w:val="-"/>
          <w:rFonts w:ascii="Times New Roman" w:hAnsi="Times New Roman" w:cs="Times New Roman"/>
          <w:i/>
        </w:rPr>
      </w:pPr>
      <w:r>
        <w:rPr>
          <w:rFonts w:ascii="Times New Roman" w:hAnsi="Times New Roman" w:cs="Times New Roman"/>
          <w:i/>
          <w:lang w:val="en-US"/>
        </w:rPr>
        <w:t>Source</w:t>
      </w:r>
      <w:r w:rsidRPr="005D28B8">
        <w:rPr>
          <w:rFonts w:ascii="Times New Roman" w:hAnsi="Times New Roman" w:cs="Times New Roman"/>
          <w:i/>
          <w:lang w:val="en-US"/>
        </w:rPr>
        <w:t xml:space="preserve">: </w:t>
      </w:r>
      <w:bookmarkStart w:id="1" w:name="_Toc444971284"/>
      <w:r w:rsidRPr="00A05D08">
        <w:rPr>
          <w:rStyle w:val="-"/>
          <w:rFonts w:ascii="Times New Roman" w:hAnsi="Times New Roman" w:cs="Times New Roman"/>
          <w:i/>
        </w:rPr>
        <w:t>http://www.who.int/countries/grc/en/</w:t>
      </w:r>
    </w:p>
    <w:p w:rsidR="00B67AE8" w:rsidRDefault="00B67AE8" w:rsidP="00B67AE8">
      <w:pPr>
        <w:spacing w:after="0"/>
        <w:ind w:firstLine="567"/>
        <w:jc w:val="both"/>
        <w:rPr>
          <w:rFonts w:ascii="Times New Roman" w:eastAsia="Times New Roman" w:hAnsi="Times New Roman" w:cs="Times New Roman"/>
          <w:bCs/>
          <w:sz w:val="24"/>
          <w:szCs w:val="24"/>
          <w:lang w:eastAsia="el-GR"/>
        </w:rPr>
      </w:pPr>
    </w:p>
    <w:p w:rsidR="00962855" w:rsidRPr="00962855" w:rsidRDefault="00962855" w:rsidP="00B67AE8">
      <w:pPr>
        <w:spacing w:after="0"/>
        <w:ind w:firstLine="567"/>
        <w:jc w:val="both"/>
        <w:rPr>
          <w:rFonts w:ascii="Times New Roman" w:eastAsia="Times New Roman" w:hAnsi="Times New Roman" w:cs="Times New Roman"/>
          <w:bCs/>
          <w:sz w:val="24"/>
          <w:szCs w:val="24"/>
          <w:lang w:eastAsia="el-GR"/>
        </w:rPr>
      </w:pPr>
    </w:p>
    <w:p w:rsidR="00D65772" w:rsidRDefault="00B67AE8" w:rsidP="00D65772">
      <w:pPr>
        <w:spacing w:after="0"/>
        <w:ind w:firstLine="567"/>
        <w:jc w:val="both"/>
        <w:rPr>
          <w:rFonts w:ascii="Times New Roman" w:eastAsia="Times New Roman" w:hAnsi="Times New Roman" w:cs="Times New Roman"/>
          <w:bCs/>
          <w:sz w:val="24"/>
          <w:szCs w:val="24"/>
          <w:lang w:val="en-US" w:eastAsia="el-GR"/>
        </w:rPr>
      </w:pPr>
      <w:r>
        <w:rPr>
          <w:rFonts w:ascii="Times New Roman" w:eastAsia="Times New Roman" w:hAnsi="Times New Roman" w:cs="Times New Roman"/>
          <w:bCs/>
          <w:sz w:val="24"/>
          <w:szCs w:val="24"/>
          <w:lang w:val="en-US" w:eastAsia="el-GR"/>
        </w:rPr>
        <w:t xml:space="preserve">Finally, the data </w:t>
      </w:r>
      <w:r w:rsidR="005A72ED">
        <w:rPr>
          <w:rFonts w:ascii="Times New Roman" w:eastAsia="Times New Roman" w:hAnsi="Times New Roman" w:cs="Times New Roman"/>
          <w:bCs/>
          <w:sz w:val="24"/>
          <w:szCs w:val="24"/>
          <w:lang w:val="en-US" w:eastAsia="el-GR"/>
        </w:rPr>
        <w:t>pertaining to</w:t>
      </w:r>
      <w:r>
        <w:rPr>
          <w:rFonts w:ascii="Times New Roman" w:eastAsia="Times New Roman" w:hAnsi="Times New Roman" w:cs="Times New Roman"/>
          <w:bCs/>
          <w:sz w:val="24"/>
          <w:szCs w:val="24"/>
          <w:lang w:val="en-US" w:eastAsia="el-GR"/>
        </w:rPr>
        <w:t xml:space="preserve"> total deaths in Greece </w:t>
      </w:r>
      <w:r w:rsidR="005A72ED">
        <w:rPr>
          <w:rFonts w:ascii="Times New Roman" w:eastAsia="Times New Roman" w:hAnsi="Times New Roman" w:cs="Times New Roman"/>
          <w:bCs/>
          <w:sz w:val="24"/>
          <w:szCs w:val="24"/>
          <w:lang w:val="en-US" w:eastAsia="el-GR"/>
        </w:rPr>
        <w:t>for</w:t>
      </w:r>
      <w:r>
        <w:rPr>
          <w:rFonts w:ascii="Times New Roman" w:eastAsia="Times New Roman" w:hAnsi="Times New Roman" w:cs="Times New Roman"/>
          <w:bCs/>
          <w:sz w:val="24"/>
          <w:szCs w:val="24"/>
          <w:lang w:val="en-US" w:eastAsia="el-GR"/>
        </w:rPr>
        <w:t xml:space="preserve"> the year 2015, by age of the deceased</w:t>
      </w:r>
      <w:r w:rsidR="005A72ED">
        <w:rPr>
          <w:rFonts w:ascii="Times New Roman" w:eastAsia="Times New Roman" w:hAnsi="Times New Roman" w:cs="Times New Roman"/>
          <w:bCs/>
          <w:sz w:val="24"/>
          <w:szCs w:val="24"/>
          <w:lang w:val="en-US" w:eastAsia="el-GR"/>
        </w:rPr>
        <w:t>, with the</w:t>
      </w:r>
      <w:r>
        <w:rPr>
          <w:rFonts w:ascii="Times New Roman" w:eastAsia="Times New Roman" w:hAnsi="Times New Roman" w:cs="Times New Roman"/>
          <w:bCs/>
          <w:sz w:val="24"/>
          <w:szCs w:val="24"/>
          <w:lang w:val="en-US" w:eastAsia="el-GR"/>
        </w:rPr>
        <w:t xml:space="preserve"> total number of deaths </w:t>
      </w:r>
      <w:r w:rsidR="005A72ED">
        <w:rPr>
          <w:rFonts w:ascii="Times New Roman" w:eastAsia="Times New Roman" w:hAnsi="Times New Roman" w:cs="Times New Roman"/>
          <w:bCs/>
          <w:sz w:val="24"/>
          <w:szCs w:val="24"/>
          <w:lang w:val="en-US" w:eastAsia="el-GR"/>
        </w:rPr>
        <w:t>at 121,212 persons, are presented (Figure 5).</w:t>
      </w:r>
    </w:p>
    <w:p w:rsidR="00B67AE8" w:rsidRPr="00DD7674" w:rsidRDefault="00B40A6C" w:rsidP="00962855">
      <w:pPr>
        <w:spacing w:after="0"/>
        <w:ind w:firstLine="567"/>
        <w:rPr>
          <w:rFonts w:ascii="Times New Roman" w:eastAsia="Times New Roman" w:hAnsi="Times New Roman" w:cs="Times New Roman"/>
          <w:bCs/>
          <w:sz w:val="24"/>
          <w:szCs w:val="24"/>
          <w:lang w:val="en-US" w:eastAsia="el-GR"/>
        </w:rPr>
      </w:pPr>
      <w:r w:rsidRPr="00B40A6C">
        <w:rPr>
          <w:rFonts w:ascii="Times New Roman" w:eastAsia="Times New Roman" w:hAnsi="Times New Roman" w:cs="Times New Roman"/>
          <w:bCs/>
          <w:noProof/>
          <w:sz w:val="24"/>
          <w:szCs w:val="24"/>
          <w:lang w:eastAsia="el-GR"/>
        </w:rPr>
        <w:lastRenderedPageBreak/>
        <w:drawing>
          <wp:inline distT="0" distB="0" distL="0" distR="0">
            <wp:extent cx="5220335" cy="4032000"/>
            <wp:effectExtent l="19050" t="0" r="18415" b="6600"/>
            <wp:docPr id="1"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67AE8" w:rsidRPr="005D28B8" w:rsidRDefault="00B67AE8" w:rsidP="007B03BC">
      <w:pPr>
        <w:spacing w:before="120" w:after="0"/>
        <w:jc w:val="both"/>
        <w:rPr>
          <w:lang w:val="en-US"/>
        </w:rPr>
      </w:pPr>
      <w:r w:rsidRPr="005D28B8">
        <w:rPr>
          <w:rFonts w:ascii="Times New Roman" w:hAnsi="Times New Roman" w:cs="Times New Roman"/>
          <w:lang w:val="en-US"/>
        </w:rPr>
        <w:t>Figure 5.</w:t>
      </w:r>
      <w:r w:rsidRPr="005D28B8">
        <w:rPr>
          <w:rFonts w:ascii="Times New Roman" w:eastAsia="Times New Roman" w:hAnsi="Times New Roman" w:cs="Times New Roman"/>
          <w:bCs/>
          <w:lang w:val="en-US" w:eastAsia="el-GR"/>
        </w:rPr>
        <w:t xml:space="preserve"> Deaths in Greece in the year 2015</w:t>
      </w:r>
    </w:p>
    <w:p w:rsidR="00811383" w:rsidRPr="007B03BC" w:rsidRDefault="00B67AE8" w:rsidP="00B67AE8">
      <w:pPr>
        <w:spacing w:after="0"/>
        <w:jc w:val="both"/>
        <w:rPr>
          <w:rFonts w:ascii="Times New Roman" w:hAnsi="Times New Roman" w:cs="Times New Roman"/>
          <w:i/>
          <w:lang w:val="en-US"/>
        </w:rPr>
      </w:pPr>
      <w:r>
        <w:rPr>
          <w:rFonts w:ascii="Times New Roman" w:hAnsi="Times New Roman" w:cs="Times New Roman"/>
          <w:i/>
          <w:lang w:val="en-US"/>
        </w:rPr>
        <w:t>Source</w:t>
      </w:r>
      <w:r w:rsidR="007B03BC" w:rsidRPr="007B03BC">
        <w:rPr>
          <w:rFonts w:ascii="Times New Roman" w:hAnsi="Times New Roman" w:cs="Times New Roman"/>
          <w:i/>
          <w:lang w:val="en-US"/>
        </w:rPr>
        <w:t>:</w:t>
      </w:r>
      <w:r w:rsidRPr="005D28B8">
        <w:rPr>
          <w:rFonts w:ascii="Times New Roman" w:hAnsi="Times New Roman" w:cs="Times New Roman"/>
          <w:i/>
          <w:lang w:val="en-US"/>
        </w:rPr>
        <w:t xml:space="preserve"> </w:t>
      </w:r>
      <w:bookmarkStart w:id="2" w:name="_Toc493526018"/>
      <w:bookmarkEnd w:id="1"/>
      <w:r w:rsidRPr="007B03BC">
        <w:rPr>
          <w:rStyle w:val="-"/>
          <w:rFonts w:ascii="Times New Roman" w:hAnsi="Times New Roman" w:cs="Times New Roman"/>
          <w:i/>
          <w:lang w:val="en-US"/>
        </w:rPr>
        <w:t>http://www.statistics.gr/el/statistics/-/publication/SPO09/</w:t>
      </w:r>
    </w:p>
    <w:p w:rsidR="00811383" w:rsidRDefault="00811383" w:rsidP="00B67AE8">
      <w:pPr>
        <w:spacing w:after="0"/>
        <w:jc w:val="both"/>
        <w:rPr>
          <w:rFonts w:ascii="Times New Roman" w:eastAsia="Times New Roman" w:hAnsi="Times New Roman" w:cs="Times New Roman"/>
          <w:bCs/>
          <w:i/>
          <w:lang w:eastAsia="el-GR"/>
        </w:rPr>
      </w:pPr>
    </w:p>
    <w:p w:rsidR="0096196A" w:rsidRDefault="0096196A" w:rsidP="00B67AE8">
      <w:pPr>
        <w:spacing w:after="0"/>
        <w:jc w:val="both"/>
        <w:rPr>
          <w:rFonts w:ascii="Times New Roman" w:eastAsia="Times New Roman" w:hAnsi="Times New Roman" w:cs="Times New Roman"/>
          <w:bCs/>
          <w:i/>
          <w:lang w:eastAsia="el-GR"/>
        </w:rPr>
      </w:pPr>
    </w:p>
    <w:p w:rsidR="0096196A" w:rsidRPr="0096196A" w:rsidRDefault="0096196A" w:rsidP="00B67AE8">
      <w:pPr>
        <w:spacing w:after="0"/>
        <w:jc w:val="both"/>
        <w:rPr>
          <w:rFonts w:ascii="Times New Roman" w:eastAsia="Times New Roman" w:hAnsi="Times New Roman" w:cs="Times New Roman"/>
          <w:bCs/>
          <w:i/>
          <w:lang w:eastAsia="el-GR"/>
        </w:rPr>
      </w:pPr>
    </w:p>
    <w:bookmarkEnd w:id="2"/>
    <w:p w:rsidR="00B67AE8" w:rsidRPr="000F0229" w:rsidRDefault="00B67AE8" w:rsidP="00B67AE8">
      <w:pPr>
        <w:pStyle w:val="1"/>
        <w:spacing w:before="0" w:after="200"/>
        <w:jc w:val="both"/>
        <w:rPr>
          <w:lang w:val="en-US"/>
        </w:rPr>
      </w:pPr>
      <w:r>
        <w:rPr>
          <w:rFonts w:ascii="Times New Roman" w:hAnsi="Times New Roman" w:cs="Times New Roman"/>
          <w:color w:val="00000A"/>
          <w:sz w:val="24"/>
          <w:szCs w:val="24"/>
          <w:lang w:val="en-US"/>
        </w:rPr>
        <w:t>3.2</w:t>
      </w:r>
      <w:r w:rsidR="00DA4F11" w:rsidRPr="00DA4F11">
        <w:rPr>
          <w:rFonts w:ascii="Times New Roman" w:hAnsi="Times New Roman" w:cs="Times New Roman"/>
          <w:color w:val="00000A"/>
          <w:sz w:val="24"/>
          <w:szCs w:val="24"/>
          <w:lang w:val="en-US"/>
        </w:rPr>
        <w:t xml:space="preserve"> </w:t>
      </w:r>
      <w:r>
        <w:rPr>
          <w:rFonts w:ascii="Times New Roman" w:hAnsi="Times New Roman" w:cs="Times New Roman"/>
          <w:color w:val="00000A"/>
          <w:sz w:val="24"/>
          <w:szCs w:val="24"/>
          <w:lang w:val="en-US"/>
        </w:rPr>
        <w:t xml:space="preserve">Comparison of the Evolution </w:t>
      </w:r>
      <w:proofErr w:type="gramStart"/>
      <w:r w:rsidRPr="005A72ED">
        <w:rPr>
          <w:rFonts w:ascii="Times New Roman" w:hAnsi="Times New Roman" w:cs="Times New Roman"/>
          <w:color w:val="auto"/>
          <w:sz w:val="24"/>
          <w:szCs w:val="24"/>
          <w:lang w:val="en-US"/>
        </w:rPr>
        <w:t>Over</w:t>
      </w:r>
      <w:proofErr w:type="gramEnd"/>
      <w:r w:rsidRPr="005A72ED">
        <w:rPr>
          <w:rFonts w:ascii="Times New Roman" w:hAnsi="Times New Roman" w:cs="Times New Roman"/>
          <w:color w:val="auto"/>
          <w:sz w:val="24"/>
          <w:szCs w:val="24"/>
          <w:lang w:val="en-US"/>
        </w:rPr>
        <w:t xml:space="preserve"> Time </w:t>
      </w:r>
      <w:r>
        <w:rPr>
          <w:rFonts w:ascii="Times New Roman" w:hAnsi="Times New Roman" w:cs="Times New Roman"/>
          <w:color w:val="00000A"/>
          <w:sz w:val="24"/>
          <w:szCs w:val="24"/>
          <w:lang w:val="en-US"/>
        </w:rPr>
        <w:t xml:space="preserve">of the Greek Population Health with that in Portugal </w:t>
      </w:r>
    </w:p>
    <w:p w:rsidR="00B67AE8" w:rsidRPr="000F0229" w:rsidRDefault="00B67AE8" w:rsidP="00B67AE8">
      <w:pPr>
        <w:spacing w:after="0"/>
        <w:ind w:firstLine="567"/>
        <w:jc w:val="both"/>
        <w:rPr>
          <w:lang w:val="en-US"/>
        </w:rPr>
      </w:pPr>
      <w:r>
        <w:rPr>
          <w:rFonts w:ascii="Times New Roman" w:hAnsi="Times New Roman" w:cs="Times New Roman"/>
          <w:sz w:val="24"/>
          <w:szCs w:val="24"/>
          <w:lang w:val="en-US"/>
        </w:rPr>
        <w:t xml:space="preserve">The following graphs depict life expectancy at birth in the total population </w:t>
      </w:r>
      <w:r w:rsidR="00321D50">
        <w:rPr>
          <w:rFonts w:ascii="Times New Roman" w:hAnsi="Times New Roman" w:cs="Times New Roman"/>
          <w:sz w:val="24"/>
          <w:szCs w:val="24"/>
          <w:lang w:val="en-US"/>
        </w:rPr>
        <w:t>per year</w:t>
      </w:r>
      <w:r>
        <w:rPr>
          <w:rFonts w:ascii="Times New Roman" w:hAnsi="Times New Roman" w:cs="Times New Roman"/>
          <w:sz w:val="24"/>
          <w:szCs w:val="24"/>
          <w:lang w:val="en-US"/>
        </w:rPr>
        <w:t xml:space="preserve">, both in Greece and Portugal. </w:t>
      </w:r>
      <w:r w:rsidR="00321D50">
        <w:rPr>
          <w:rFonts w:ascii="Times New Roman" w:hAnsi="Times New Roman" w:cs="Times New Roman"/>
          <w:sz w:val="24"/>
          <w:szCs w:val="24"/>
          <w:lang w:val="en-US"/>
        </w:rPr>
        <w:t>A comparison of</w:t>
      </w:r>
      <w:r>
        <w:rPr>
          <w:rFonts w:ascii="Times New Roman" w:hAnsi="Times New Roman" w:cs="Times New Roman"/>
          <w:sz w:val="24"/>
          <w:szCs w:val="24"/>
          <w:lang w:val="en-US"/>
        </w:rPr>
        <w:t xml:space="preserve"> the values </w:t>
      </w:r>
      <w:r w:rsidR="00321D50">
        <w:rPr>
          <w:rFonts w:ascii="Times New Roman" w:hAnsi="Times New Roman" w:cs="Times New Roman"/>
          <w:sz w:val="24"/>
          <w:szCs w:val="24"/>
          <w:lang w:val="en-US"/>
        </w:rPr>
        <w:t>from year to year reveals</w:t>
      </w:r>
      <w:r>
        <w:rPr>
          <w:rFonts w:ascii="Times New Roman" w:hAnsi="Times New Roman" w:cs="Times New Roman"/>
          <w:sz w:val="24"/>
          <w:szCs w:val="24"/>
          <w:lang w:val="en-US"/>
        </w:rPr>
        <w:t xml:space="preserve"> there has been a continuous and steady increase in life expectancy in both countries over the years. For Greece, the rate ranges from 79.7 years in 2007 to 80.7 in 2012, and </w:t>
      </w:r>
      <w:r w:rsidR="00321D50">
        <w:rPr>
          <w:rFonts w:ascii="Times New Roman" w:hAnsi="Times New Roman" w:cs="Times New Roman"/>
          <w:sz w:val="24"/>
          <w:szCs w:val="24"/>
          <w:lang w:val="en-US"/>
        </w:rPr>
        <w:t xml:space="preserve">similarly </w:t>
      </w:r>
      <w:r>
        <w:rPr>
          <w:rFonts w:ascii="Times New Roman" w:hAnsi="Times New Roman" w:cs="Times New Roman"/>
          <w:sz w:val="24"/>
          <w:szCs w:val="24"/>
          <w:lang w:val="en-US"/>
        </w:rPr>
        <w:t>for Portugal from 79.2 in 2007 to 80.5 in 2012 (Figures 6-7).</w:t>
      </w:r>
    </w:p>
    <w:p w:rsidR="00B67AE8" w:rsidRPr="003320A6" w:rsidRDefault="003320A6" w:rsidP="003320A6">
      <w:pPr>
        <w:spacing w:after="0"/>
        <w:ind w:firstLine="567"/>
        <w:jc w:val="both"/>
        <w:rPr>
          <w:rFonts w:ascii="Times New Roman" w:hAnsi="Times New Roman" w:cs="Times New Roman"/>
          <w:sz w:val="24"/>
          <w:szCs w:val="24"/>
          <w:lang w:val="en-US"/>
        </w:rPr>
      </w:pPr>
      <w:r w:rsidRPr="003320A6">
        <w:rPr>
          <w:rFonts w:ascii="Times New Roman" w:hAnsi="Times New Roman" w:cs="Times New Roman"/>
          <w:noProof/>
          <w:sz w:val="24"/>
          <w:szCs w:val="24"/>
          <w:lang w:eastAsia="el-GR"/>
        </w:rPr>
        <w:lastRenderedPageBreak/>
        <w:drawing>
          <wp:inline distT="0" distB="0" distL="0" distR="0">
            <wp:extent cx="4860290" cy="2880000"/>
            <wp:effectExtent l="57150" t="0" r="73660" b="91800"/>
            <wp:docPr id="40" name="Γράφημα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67AE8" w:rsidRPr="007648B8" w:rsidRDefault="00B67AE8" w:rsidP="00B12605">
      <w:pPr>
        <w:spacing w:before="120" w:after="0"/>
        <w:rPr>
          <w:rFonts w:ascii="Times New Roman" w:hAnsi="Times New Roman" w:cs="Times New Roman"/>
          <w:lang w:val="en-US"/>
        </w:rPr>
      </w:pPr>
      <w:r w:rsidRPr="007648B8">
        <w:rPr>
          <w:rFonts w:ascii="Times New Roman" w:hAnsi="Times New Roman" w:cs="Times New Roman"/>
          <w:lang w:val="en-US"/>
        </w:rPr>
        <w:t xml:space="preserve">Figure 6. </w:t>
      </w:r>
      <w:proofErr w:type="gramStart"/>
      <w:r w:rsidRPr="007648B8">
        <w:rPr>
          <w:rFonts w:ascii="Times New Roman" w:hAnsi="Times New Roman" w:cs="Times New Roman"/>
          <w:lang w:val="en-US"/>
        </w:rPr>
        <w:t>Life expectancy at birth, total population.</w:t>
      </w:r>
      <w:proofErr w:type="gramEnd"/>
    </w:p>
    <w:p w:rsidR="00B67AE8" w:rsidRPr="00B12605" w:rsidRDefault="00B67AE8" w:rsidP="00B67AE8">
      <w:pPr>
        <w:spacing w:after="0"/>
        <w:rPr>
          <w:rFonts w:ascii="Times New Roman" w:hAnsi="Times New Roman" w:cs="Times New Roman"/>
          <w:i/>
          <w:lang w:val="en-US"/>
        </w:rPr>
      </w:pPr>
      <w:r>
        <w:rPr>
          <w:rFonts w:ascii="Times New Roman" w:hAnsi="Times New Roman" w:cs="Times New Roman"/>
          <w:i/>
          <w:lang w:val="en-US"/>
        </w:rPr>
        <w:t>Source</w:t>
      </w:r>
      <w:r w:rsidRPr="007648B8">
        <w:rPr>
          <w:rFonts w:ascii="Times New Roman" w:hAnsi="Times New Roman" w:cs="Times New Roman"/>
          <w:i/>
          <w:lang w:val="en-US"/>
        </w:rPr>
        <w:t xml:space="preserve">: </w:t>
      </w:r>
      <w:hyperlink r:id="rId16" w:history="1">
        <w:r w:rsidR="00B12605" w:rsidRPr="00627B2C">
          <w:rPr>
            <w:rStyle w:val="-"/>
            <w:rFonts w:ascii="Times New Roman" w:hAnsi="Times New Roman" w:cs="Times New Roman"/>
            <w:i/>
            <w:lang w:val="en-US"/>
          </w:rPr>
          <w:t>http://www.oecd-ilibrary.org/social-issues-migration-health/life-expectancy-at-birth-total-population_20758480-table8</w:t>
        </w:r>
      </w:hyperlink>
    </w:p>
    <w:p w:rsidR="00B12605" w:rsidRDefault="00B12605" w:rsidP="00B67AE8">
      <w:pPr>
        <w:spacing w:after="0"/>
        <w:rPr>
          <w:rFonts w:ascii="Times New Roman" w:hAnsi="Times New Roman" w:cs="Times New Roman"/>
          <w:i/>
        </w:rPr>
      </w:pPr>
    </w:p>
    <w:p w:rsidR="00DA4F11" w:rsidRDefault="00DA4F11" w:rsidP="00B67AE8">
      <w:pPr>
        <w:spacing w:after="0"/>
        <w:rPr>
          <w:rFonts w:ascii="Times New Roman" w:hAnsi="Times New Roman" w:cs="Times New Roman"/>
          <w:i/>
        </w:rPr>
      </w:pPr>
    </w:p>
    <w:p w:rsidR="00B12605" w:rsidRPr="00B12605" w:rsidRDefault="00B12605" w:rsidP="00B67AE8">
      <w:pPr>
        <w:spacing w:after="0"/>
        <w:rPr>
          <w:rFonts w:ascii="Times New Roman" w:hAnsi="Times New Roman" w:cs="Times New Roman"/>
          <w:i/>
        </w:rPr>
      </w:pPr>
    </w:p>
    <w:p w:rsidR="00B67AE8" w:rsidRPr="0031188D" w:rsidRDefault="006D083B" w:rsidP="0031188D">
      <w:pPr>
        <w:spacing w:after="0"/>
        <w:jc w:val="center"/>
        <w:rPr>
          <w:rFonts w:ascii="Times New Roman" w:eastAsia="Times New Roman" w:hAnsi="Times New Roman" w:cs="Times New Roman"/>
          <w:color w:val="000000"/>
          <w:sz w:val="24"/>
          <w:szCs w:val="24"/>
          <w:lang w:val="en-US" w:eastAsia="el-GR"/>
        </w:rPr>
      </w:pPr>
      <w:r w:rsidRPr="006D083B">
        <w:rPr>
          <w:rFonts w:ascii="Times New Roman" w:eastAsia="Times New Roman" w:hAnsi="Times New Roman" w:cs="Times New Roman"/>
          <w:noProof/>
          <w:color w:val="000000"/>
          <w:sz w:val="24"/>
          <w:szCs w:val="24"/>
          <w:lang w:eastAsia="el-GR"/>
        </w:rPr>
        <w:drawing>
          <wp:inline distT="0" distB="0" distL="0" distR="0">
            <wp:extent cx="5040630" cy="3060000"/>
            <wp:effectExtent l="19050" t="0" r="26670" b="7050"/>
            <wp:docPr id="39" name="Γράφημα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67AE8" w:rsidRPr="007648B8" w:rsidRDefault="00B67AE8" w:rsidP="00B12605">
      <w:pPr>
        <w:spacing w:before="120" w:after="0"/>
        <w:jc w:val="both"/>
        <w:rPr>
          <w:rFonts w:ascii="Times New Roman" w:eastAsia="Times New Roman" w:hAnsi="Times New Roman" w:cs="Times New Roman"/>
          <w:color w:val="000000"/>
          <w:sz w:val="24"/>
          <w:szCs w:val="24"/>
          <w:lang w:val="en-US" w:eastAsia="el-GR"/>
        </w:rPr>
      </w:pPr>
      <w:r>
        <w:rPr>
          <w:rFonts w:ascii="Times New Roman" w:hAnsi="Times New Roman" w:cs="Times New Roman"/>
          <w:lang w:val="en-US"/>
        </w:rPr>
        <w:t>Figure 7. Life expectancy at birth, total (years)</w:t>
      </w:r>
      <w:r w:rsidRPr="007648B8">
        <w:rPr>
          <w:rFonts w:ascii="Times New Roman" w:hAnsi="Times New Roman" w:cs="Times New Roman"/>
          <w:lang w:val="en-US"/>
        </w:rPr>
        <w:t>.</w:t>
      </w:r>
    </w:p>
    <w:p w:rsidR="00B67AE8" w:rsidRPr="007648B8" w:rsidRDefault="00B67AE8" w:rsidP="00B67AE8">
      <w:pPr>
        <w:spacing w:after="0"/>
        <w:jc w:val="both"/>
        <w:rPr>
          <w:rFonts w:ascii="Times New Roman" w:hAnsi="Times New Roman" w:cs="Times New Roman"/>
          <w:i/>
          <w:lang w:val="en-US"/>
        </w:rPr>
      </w:pPr>
      <w:r>
        <w:rPr>
          <w:rFonts w:ascii="Times New Roman" w:hAnsi="Times New Roman" w:cs="Times New Roman"/>
          <w:i/>
          <w:lang w:val="en-US"/>
        </w:rPr>
        <w:t>Source</w:t>
      </w:r>
      <w:r w:rsidRPr="007648B8">
        <w:rPr>
          <w:rFonts w:ascii="Times New Roman" w:hAnsi="Times New Roman" w:cs="Times New Roman"/>
          <w:i/>
          <w:lang w:val="en-US"/>
        </w:rPr>
        <w:t xml:space="preserve">: </w:t>
      </w:r>
      <w:r w:rsidRPr="00B12605">
        <w:rPr>
          <w:rStyle w:val="-"/>
        </w:rPr>
        <w:t>https</w:t>
      </w:r>
      <w:r w:rsidRPr="00B12605">
        <w:rPr>
          <w:rStyle w:val="-"/>
          <w:rFonts w:ascii="Times New Roman" w:hAnsi="Times New Roman" w:cs="Times New Roman"/>
          <w:i/>
          <w:lang w:val="en-US"/>
        </w:rPr>
        <w:t>://data.worldbank.org/indicator/SP.DYN.LE00.IN</w:t>
      </w:r>
    </w:p>
    <w:p w:rsidR="004F798F" w:rsidRDefault="004F798F" w:rsidP="00B67AE8">
      <w:pPr>
        <w:spacing w:after="0"/>
        <w:ind w:firstLine="567"/>
        <w:jc w:val="both"/>
        <w:rPr>
          <w:rFonts w:ascii="Times New Roman" w:hAnsi="Times New Roman" w:cs="Times New Roman"/>
          <w:sz w:val="24"/>
          <w:szCs w:val="24"/>
        </w:rPr>
      </w:pPr>
    </w:p>
    <w:p w:rsidR="00DA4F11" w:rsidRDefault="00DA4F11" w:rsidP="00B67AE8">
      <w:pPr>
        <w:spacing w:after="0"/>
        <w:ind w:firstLine="567"/>
        <w:jc w:val="both"/>
        <w:rPr>
          <w:rFonts w:ascii="Times New Roman" w:hAnsi="Times New Roman" w:cs="Times New Roman"/>
          <w:sz w:val="24"/>
          <w:szCs w:val="24"/>
        </w:rPr>
      </w:pPr>
    </w:p>
    <w:p w:rsidR="00B67AE8" w:rsidRDefault="00B67AE8" w:rsidP="00B67AE8">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Furthermore, according to recent data on annual growth of the general population in both countries, a much higher </w:t>
      </w:r>
      <w:r w:rsidR="005672D7">
        <w:rPr>
          <w:rFonts w:ascii="Times New Roman" w:hAnsi="Times New Roman" w:cs="Times New Roman"/>
          <w:sz w:val="24"/>
          <w:szCs w:val="24"/>
          <w:lang w:val="en-US"/>
        </w:rPr>
        <w:t xml:space="preserve">rate of decrease is observed </w:t>
      </w:r>
      <w:r>
        <w:rPr>
          <w:rFonts w:ascii="Times New Roman" w:hAnsi="Times New Roman" w:cs="Times New Roman"/>
          <w:sz w:val="24"/>
          <w:szCs w:val="24"/>
          <w:lang w:val="en-US"/>
        </w:rPr>
        <w:t xml:space="preserve">than the </w:t>
      </w:r>
      <w:r w:rsidR="006B59B7">
        <w:rPr>
          <w:rFonts w:ascii="Times New Roman" w:hAnsi="Times New Roman" w:cs="Times New Roman"/>
          <w:sz w:val="24"/>
          <w:szCs w:val="24"/>
          <w:lang w:val="en-US"/>
        </w:rPr>
        <w:t xml:space="preserve">rate of </w:t>
      </w:r>
      <w:r>
        <w:rPr>
          <w:rFonts w:ascii="Times New Roman" w:hAnsi="Times New Roman" w:cs="Times New Roman"/>
          <w:sz w:val="24"/>
          <w:szCs w:val="24"/>
          <w:lang w:val="en-US"/>
        </w:rPr>
        <w:t xml:space="preserve">increase in </w:t>
      </w:r>
      <w:r w:rsidR="006B59B7">
        <w:rPr>
          <w:rFonts w:ascii="Times New Roman" w:hAnsi="Times New Roman" w:cs="Times New Roman"/>
          <w:sz w:val="24"/>
          <w:szCs w:val="24"/>
          <w:lang w:val="en-US"/>
        </w:rPr>
        <w:t xml:space="preserve">the </w:t>
      </w:r>
      <w:r>
        <w:rPr>
          <w:rFonts w:ascii="Times New Roman" w:hAnsi="Times New Roman" w:cs="Times New Roman"/>
          <w:sz w:val="24"/>
          <w:szCs w:val="24"/>
          <w:lang w:val="en-US"/>
        </w:rPr>
        <w:t>years prior to 2011 (Figure 8).</w:t>
      </w:r>
    </w:p>
    <w:p w:rsidR="00B67AE8" w:rsidRPr="007648B8" w:rsidRDefault="00B67AE8" w:rsidP="00B67AE8">
      <w:pPr>
        <w:spacing w:after="0"/>
        <w:ind w:firstLine="567"/>
        <w:jc w:val="both"/>
        <w:rPr>
          <w:rFonts w:ascii="Times New Roman" w:hAnsi="Times New Roman" w:cs="Times New Roman"/>
          <w:sz w:val="24"/>
          <w:szCs w:val="24"/>
          <w:lang w:val="en-US"/>
        </w:rPr>
      </w:pPr>
    </w:p>
    <w:p w:rsidR="00B67AE8" w:rsidRPr="006515E1" w:rsidRDefault="006515E1" w:rsidP="0069212E">
      <w:pPr>
        <w:spacing w:after="0"/>
        <w:ind w:firstLine="567"/>
        <w:jc w:val="center"/>
        <w:rPr>
          <w:rFonts w:ascii="Times New Roman" w:hAnsi="Times New Roman" w:cs="Times New Roman"/>
          <w:sz w:val="24"/>
          <w:szCs w:val="24"/>
          <w:lang w:val="en-US"/>
        </w:rPr>
      </w:pPr>
      <w:r w:rsidRPr="006515E1">
        <w:rPr>
          <w:rFonts w:ascii="Times New Roman" w:hAnsi="Times New Roman" w:cs="Times New Roman"/>
          <w:noProof/>
          <w:sz w:val="24"/>
          <w:szCs w:val="24"/>
          <w:lang w:eastAsia="el-GR"/>
        </w:rPr>
        <w:lastRenderedPageBreak/>
        <w:drawing>
          <wp:inline distT="0" distB="0" distL="0" distR="0">
            <wp:extent cx="5114925" cy="3420000"/>
            <wp:effectExtent l="19050" t="0" r="9525" b="9000"/>
            <wp:docPr id="38" name="Γράφημα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67AE8" w:rsidRPr="00666E72" w:rsidRDefault="00B67AE8" w:rsidP="004F798F">
      <w:pPr>
        <w:spacing w:before="120" w:after="0"/>
        <w:jc w:val="both"/>
        <w:rPr>
          <w:rFonts w:ascii="Times New Roman" w:eastAsia="Times New Roman" w:hAnsi="Times New Roman" w:cs="Times New Roman"/>
          <w:color w:val="000000"/>
          <w:lang w:val="en-US" w:eastAsia="el-GR"/>
        </w:rPr>
      </w:pPr>
      <w:r w:rsidRPr="001A11A2">
        <w:rPr>
          <w:rFonts w:ascii="Times New Roman" w:hAnsi="Times New Roman" w:cs="Times New Roman"/>
          <w:lang w:val="en-US"/>
        </w:rPr>
        <w:t>Figure</w:t>
      </w:r>
      <w:r w:rsidRPr="00D31E7E">
        <w:rPr>
          <w:rFonts w:ascii="Times New Roman" w:hAnsi="Times New Roman" w:cs="Times New Roman"/>
          <w:lang w:val="en-US"/>
        </w:rPr>
        <w:t xml:space="preserve"> 8. </w:t>
      </w:r>
      <w:proofErr w:type="gramStart"/>
      <w:r>
        <w:rPr>
          <w:rFonts w:ascii="Times New Roman" w:hAnsi="Times New Roman" w:cs="Times New Roman"/>
          <w:lang w:val="en-US"/>
        </w:rPr>
        <w:t>Population growth (annual %)</w:t>
      </w:r>
      <w:r w:rsidRPr="00666E72">
        <w:rPr>
          <w:rFonts w:ascii="Times New Roman" w:hAnsi="Times New Roman" w:cs="Times New Roman"/>
          <w:lang w:val="en-US"/>
        </w:rPr>
        <w:t>.</w:t>
      </w:r>
      <w:proofErr w:type="gramEnd"/>
      <w:r w:rsidRPr="00666E72">
        <w:rPr>
          <w:rFonts w:ascii="Times New Roman" w:hAnsi="Times New Roman" w:cs="Times New Roman"/>
          <w:lang w:val="en-US"/>
        </w:rPr>
        <w:t xml:space="preserve">  </w:t>
      </w:r>
    </w:p>
    <w:p w:rsidR="00B67AE8" w:rsidRPr="00666E72" w:rsidRDefault="00B67AE8" w:rsidP="00B67AE8">
      <w:pPr>
        <w:spacing w:after="0"/>
        <w:jc w:val="both"/>
        <w:rPr>
          <w:rFonts w:ascii="Times New Roman" w:eastAsia="Times New Roman" w:hAnsi="Times New Roman" w:cs="Times New Roman"/>
          <w:i/>
          <w:color w:val="000000"/>
          <w:lang w:val="en-US" w:eastAsia="el-GR"/>
        </w:rPr>
      </w:pPr>
      <w:r>
        <w:rPr>
          <w:rFonts w:ascii="Times New Roman" w:hAnsi="Times New Roman" w:cs="Times New Roman"/>
          <w:i/>
          <w:lang w:val="en-US"/>
        </w:rPr>
        <w:t>Source</w:t>
      </w:r>
      <w:r w:rsidRPr="00666E72">
        <w:rPr>
          <w:rFonts w:ascii="Times New Roman" w:hAnsi="Times New Roman" w:cs="Times New Roman"/>
          <w:i/>
          <w:lang w:val="en-US"/>
        </w:rPr>
        <w:t>:</w:t>
      </w:r>
      <w:r w:rsidRPr="004F798F">
        <w:rPr>
          <w:rStyle w:val="-"/>
          <w:rFonts w:ascii="Times New Roman" w:hAnsi="Times New Roman" w:cs="Times New Roman"/>
          <w:i/>
        </w:rPr>
        <w:t>https://data.worldbank.org/indicator/SP.POP.GROW?end=2015&amp;start=2002</w:t>
      </w:r>
    </w:p>
    <w:p w:rsidR="00B67AE8" w:rsidRDefault="00B67AE8" w:rsidP="00B67AE8">
      <w:pPr>
        <w:spacing w:after="0"/>
        <w:jc w:val="both"/>
        <w:rPr>
          <w:rFonts w:ascii="Times New Roman" w:hAnsi="Times New Roman" w:cs="Times New Roman"/>
          <w:sz w:val="24"/>
          <w:szCs w:val="24"/>
        </w:rPr>
      </w:pPr>
    </w:p>
    <w:p w:rsidR="00252838" w:rsidRPr="00252838" w:rsidRDefault="00252838" w:rsidP="00B67AE8">
      <w:pPr>
        <w:spacing w:after="0"/>
        <w:jc w:val="both"/>
        <w:rPr>
          <w:rFonts w:ascii="Times New Roman" w:hAnsi="Times New Roman" w:cs="Times New Roman"/>
          <w:sz w:val="24"/>
          <w:szCs w:val="24"/>
        </w:rPr>
      </w:pPr>
    </w:p>
    <w:p w:rsidR="00B67AE8" w:rsidRDefault="00B67AE8" w:rsidP="00B67AE8">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Morbidity rates in both Member States are also </w:t>
      </w:r>
      <w:r w:rsidR="006B59B7">
        <w:rPr>
          <w:rFonts w:ascii="Times New Roman" w:hAnsi="Times New Roman" w:cs="Times New Roman"/>
          <w:sz w:val="24"/>
          <w:szCs w:val="24"/>
          <w:lang w:val="en-US"/>
        </w:rPr>
        <w:t>noteworthy</w:t>
      </w:r>
      <w:r>
        <w:rPr>
          <w:rFonts w:ascii="Times New Roman" w:hAnsi="Times New Roman" w:cs="Times New Roman"/>
          <w:sz w:val="24"/>
          <w:szCs w:val="24"/>
          <w:lang w:val="en-US"/>
        </w:rPr>
        <w:t xml:space="preserve">, with Greece clearly recording a higher morbidity rate of 74.6% in 2005 compared to that of Portugal </w:t>
      </w:r>
      <w:r w:rsidR="006B59B7">
        <w:rPr>
          <w:rFonts w:ascii="Times New Roman" w:hAnsi="Times New Roman" w:cs="Times New Roman"/>
          <w:sz w:val="24"/>
          <w:szCs w:val="24"/>
          <w:lang w:val="en-US"/>
        </w:rPr>
        <w:t xml:space="preserve">at </w:t>
      </w:r>
      <w:r>
        <w:rPr>
          <w:rFonts w:ascii="Times New Roman" w:hAnsi="Times New Roman" w:cs="Times New Roman"/>
          <w:sz w:val="24"/>
          <w:szCs w:val="24"/>
          <w:lang w:val="en-US"/>
        </w:rPr>
        <w:t xml:space="preserve">40.7%. Rates </w:t>
      </w:r>
      <w:r w:rsidR="006B59B7">
        <w:rPr>
          <w:rFonts w:ascii="Times New Roman" w:hAnsi="Times New Roman" w:cs="Times New Roman"/>
          <w:sz w:val="24"/>
          <w:szCs w:val="24"/>
          <w:lang w:val="en-US"/>
        </w:rPr>
        <w:t xml:space="preserve">range from a decline </w:t>
      </w:r>
      <w:r>
        <w:rPr>
          <w:rFonts w:ascii="Times New Roman" w:hAnsi="Times New Roman" w:cs="Times New Roman"/>
          <w:sz w:val="24"/>
          <w:szCs w:val="24"/>
          <w:lang w:val="en-US"/>
        </w:rPr>
        <w:t xml:space="preserve">in the </w:t>
      </w:r>
      <w:r w:rsidR="006B59B7">
        <w:rPr>
          <w:rFonts w:ascii="Times New Roman" w:hAnsi="Times New Roman" w:cs="Times New Roman"/>
          <w:sz w:val="24"/>
          <w:szCs w:val="24"/>
          <w:lang w:val="en-US"/>
        </w:rPr>
        <w:t>following</w:t>
      </w:r>
      <w:r>
        <w:rPr>
          <w:rFonts w:ascii="Times New Roman" w:hAnsi="Times New Roman" w:cs="Times New Roman"/>
          <w:sz w:val="24"/>
          <w:szCs w:val="24"/>
          <w:lang w:val="en-US"/>
        </w:rPr>
        <w:t xml:space="preserve"> years </w:t>
      </w:r>
      <w:r w:rsidR="006B59B7">
        <w:rPr>
          <w:rFonts w:ascii="Times New Roman" w:hAnsi="Times New Roman" w:cs="Times New Roman"/>
          <w:sz w:val="24"/>
          <w:szCs w:val="24"/>
          <w:lang w:val="en-US"/>
        </w:rPr>
        <w:t>to</w:t>
      </w:r>
      <w:r>
        <w:rPr>
          <w:rFonts w:ascii="Times New Roman" w:hAnsi="Times New Roman" w:cs="Times New Roman"/>
          <w:sz w:val="24"/>
          <w:szCs w:val="24"/>
          <w:lang w:val="en-US"/>
        </w:rPr>
        <w:t xml:space="preserve"> a slight increase in both countries in 2011, with Greece at 74.1% and Portugal at 44.5%, followed by a steady decline (Figure 9).</w:t>
      </w:r>
    </w:p>
    <w:p w:rsidR="00B67AE8" w:rsidRPr="009D7DD9" w:rsidRDefault="009D7DD9" w:rsidP="009D7DD9">
      <w:pPr>
        <w:spacing w:after="0"/>
        <w:ind w:firstLine="567"/>
        <w:jc w:val="both"/>
        <w:rPr>
          <w:rFonts w:ascii="Times New Roman" w:hAnsi="Times New Roman" w:cs="Times New Roman"/>
          <w:sz w:val="24"/>
          <w:szCs w:val="24"/>
          <w:lang w:val="en-US"/>
        </w:rPr>
      </w:pPr>
      <w:r w:rsidRPr="009D7DD9">
        <w:rPr>
          <w:rFonts w:ascii="Times New Roman" w:hAnsi="Times New Roman" w:cs="Times New Roman"/>
          <w:noProof/>
          <w:sz w:val="24"/>
          <w:szCs w:val="24"/>
          <w:lang w:eastAsia="el-GR"/>
        </w:rPr>
        <w:drawing>
          <wp:inline distT="0" distB="0" distL="0" distR="0">
            <wp:extent cx="5112385" cy="3096000"/>
            <wp:effectExtent l="19050" t="0" r="12065" b="9150"/>
            <wp:docPr id="37" name="Γράφημα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67AE8" w:rsidRPr="00666E72" w:rsidRDefault="00B67AE8" w:rsidP="00252838">
      <w:pPr>
        <w:spacing w:before="120" w:after="0"/>
        <w:jc w:val="both"/>
        <w:rPr>
          <w:rFonts w:ascii="Times New Roman" w:eastAsia="Times New Roman" w:hAnsi="Times New Roman" w:cs="Times New Roman"/>
          <w:color w:val="000000"/>
          <w:lang w:val="en-US" w:eastAsia="el-GR"/>
        </w:rPr>
      </w:pPr>
      <w:proofErr w:type="gramStart"/>
      <w:r>
        <w:rPr>
          <w:rFonts w:ascii="Times New Roman" w:hAnsi="Times New Roman" w:cs="Times New Roman"/>
          <w:lang w:val="en-US"/>
        </w:rPr>
        <w:t>Figure 9.</w:t>
      </w:r>
      <w:proofErr w:type="gramEnd"/>
      <w:r>
        <w:rPr>
          <w:rFonts w:ascii="Times New Roman" w:hAnsi="Times New Roman" w:cs="Times New Roman"/>
          <w:lang w:val="en-US"/>
        </w:rPr>
        <w:t xml:space="preserve"> Morbidity rates in both countries</w:t>
      </w:r>
      <w:r w:rsidRPr="00666E72">
        <w:rPr>
          <w:rFonts w:ascii="Times New Roman" w:hAnsi="Times New Roman" w:cs="Times New Roman"/>
          <w:lang w:val="en-US"/>
        </w:rPr>
        <w:t>.</w:t>
      </w:r>
    </w:p>
    <w:p w:rsidR="00B67AE8" w:rsidRPr="00666E72" w:rsidRDefault="00B67AE8" w:rsidP="00B67AE8">
      <w:pPr>
        <w:spacing w:after="0"/>
        <w:jc w:val="both"/>
        <w:rPr>
          <w:rFonts w:ascii="Times New Roman" w:eastAsia="Times New Roman" w:hAnsi="Times New Roman" w:cs="Times New Roman"/>
          <w:i/>
          <w:color w:val="000000"/>
          <w:lang w:val="en-US" w:eastAsia="el-GR"/>
        </w:rPr>
      </w:pPr>
      <w:r>
        <w:rPr>
          <w:rFonts w:ascii="Times New Roman" w:hAnsi="Times New Roman" w:cs="Times New Roman"/>
          <w:i/>
          <w:lang w:val="en-US"/>
        </w:rPr>
        <w:t>Source</w:t>
      </w:r>
      <w:r w:rsidRPr="00666E72">
        <w:rPr>
          <w:rFonts w:ascii="Times New Roman" w:hAnsi="Times New Roman" w:cs="Times New Roman"/>
          <w:i/>
          <w:lang w:val="en-US"/>
        </w:rPr>
        <w:t xml:space="preserve">: </w:t>
      </w:r>
      <w:r w:rsidRPr="00252838">
        <w:rPr>
          <w:rStyle w:val="-"/>
          <w:rFonts w:ascii="Times New Roman" w:hAnsi="Times New Roman" w:cs="Times New Roman"/>
          <w:i/>
        </w:rPr>
        <w:t>http://stats.oecd.org/index.aspx?DataSetCode=HEALTH_STAT</w:t>
      </w:r>
    </w:p>
    <w:p w:rsidR="00B67AE8" w:rsidRDefault="00B67AE8" w:rsidP="00B67AE8">
      <w:pPr>
        <w:spacing w:after="0"/>
        <w:jc w:val="both"/>
        <w:rPr>
          <w:rFonts w:ascii="Times New Roman" w:eastAsia="Times New Roman" w:hAnsi="Times New Roman" w:cs="Times New Roman"/>
          <w:color w:val="000000"/>
          <w:lang w:val="en-US" w:eastAsia="el-GR"/>
        </w:rPr>
      </w:pPr>
    </w:p>
    <w:p w:rsidR="00B67AE8" w:rsidRDefault="00A716D9" w:rsidP="001F1794">
      <w:pPr>
        <w:spacing w:after="0"/>
        <w:ind w:firstLine="720"/>
        <w:jc w:val="both"/>
        <w:rPr>
          <w:rFonts w:ascii="Times New Roman" w:hAnsi="Times New Roman" w:cs="Times New Roman"/>
          <w:sz w:val="24"/>
          <w:szCs w:val="24"/>
        </w:rPr>
      </w:pPr>
      <w:r>
        <w:rPr>
          <w:rFonts w:ascii="Times New Roman" w:hAnsi="Times New Roman" w:cs="Times New Roman"/>
          <w:noProof/>
          <w:sz w:val="24"/>
          <w:szCs w:val="24"/>
          <w:lang w:eastAsia="el-GR"/>
        </w:rPr>
        <w:lastRenderedPageBreak/>
        <w:drawing>
          <wp:anchor distT="0" distB="0" distL="114300" distR="114300" simplePos="0" relativeHeight="251660288" behindDoc="0" locked="0" layoutInCell="1" allowOverlap="1">
            <wp:simplePos x="0" y="0"/>
            <wp:positionH relativeFrom="column">
              <wp:align>center</wp:align>
            </wp:positionH>
            <wp:positionV relativeFrom="paragraph">
              <wp:posOffset>1604645</wp:posOffset>
            </wp:positionV>
            <wp:extent cx="5629275" cy="3167380"/>
            <wp:effectExtent l="19050" t="0" r="9525" b="0"/>
            <wp:wrapSquare wrapText="bothSides"/>
            <wp:docPr id="36" name="Γράφημα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B67AE8">
        <w:rPr>
          <w:rFonts w:ascii="Times New Roman" w:hAnsi="Times New Roman" w:cs="Times New Roman"/>
          <w:sz w:val="24"/>
          <w:szCs w:val="24"/>
          <w:lang w:val="en-US"/>
        </w:rPr>
        <w:t xml:space="preserve">According to </w:t>
      </w:r>
      <w:proofErr w:type="spellStart"/>
      <w:r w:rsidR="00B67AE8">
        <w:rPr>
          <w:rFonts w:ascii="Times New Roman" w:hAnsi="Times New Roman" w:cs="Times New Roman"/>
          <w:sz w:val="24"/>
          <w:szCs w:val="24"/>
          <w:lang w:val="en-US"/>
        </w:rPr>
        <w:t>Eurostat</w:t>
      </w:r>
      <w:proofErr w:type="spellEnd"/>
      <w:r w:rsidR="00B67AE8">
        <w:rPr>
          <w:rFonts w:ascii="Times New Roman" w:hAnsi="Times New Roman" w:cs="Times New Roman"/>
          <w:sz w:val="24"/>
          <w:szCs w:val="24"/>
          <w:lang w:val="en-US"/>
        </w:rPr>
        <w:t xml:space="preserve"> data [9], with regard to all-cause mortality there has been a </w:t>
      </w:r>
      <w:r w:rsidR="006B59B7">
        <w:rPr>
          <w:rFonts w:ascii="Times New Roman" w:hAnsi="Times New Roman" w:cs="Times New Roman"/>
          <w:sz w:val="24"/>
          <w:szCs w:val="24"/>
          <w:lang w:val="en-US"/>
        </w:rPr>
        <w:t>successive series of increases and</w:t>
      </w:r>
      <w:r w:rsidR="00B67AE8">
        <w:rPr>
          <w:rFonts w:ascii="Times New Roman" w:hAnsi="Times New Roman" w:cs="Times New Roman"/>
          <w:sz w:val="24"/>
          <w:szCs w:val="24"/>
          <w:lang w:val="en-US"/>
        </w:rPr>
        <w:t xml:space="preserve"> decrease</w:t>
      </w:r>
      <w:r w:rsidR="006B59B7">
        <w:rPr>
          <w:rFonts w:ascii="Times New Roman" w:hAnsi="Times New Roman" w:cs="Times New Roman"/>
          <w:sz w:val="24"/>
          <w:szCs w:val="24"/>
          <w:lang w:val="en-US"/>
        </w:rPr>
        <w:t>s</w:t>
      </w:r>
      <w:r w:rsidR="00B67AE8">
        <w:rPr>
          <w:rFonts w:ascii="Times New Roman" w:hAnsi="Times New Roman" w:cs="Times New Roman"/>
          <w:sz w:val="24"/>
          <w:szCs w:val="24"/>
          <w:lang w:val="en-US"/>
        </w:rPr>
        <w:t xml:space="preserve"> over the years from 2001 to 2014, with a marked increase in deaths between 2011 and 2012 in both countries (Figure 10). According to the World Bank’s Open Data, [10] the death rate per 1,000 people is also depicted with the same fluctuation in the figures, with an increase from 9.5% to 10.6% for Greece between 2011 and 2012, and a decrease from 10.4% in 2003 to 9.7% in 2011 for Portugal, followed by an increase to 10.2% in 2012 (Figure 11).</w:t>
      </w:r>
    </w:p>
    <w:p w:rsidR="00B67AE8" w:rsidRDefault="00B67AE8" w:rsidP="00A716D9">
      <w:pPr>
        <w:spacing w:before="120" w:after="0"/>
        <w:rPr>
          <w:rFonts w:ascii="Times New Roman" w:hAnsi="Times New Roman" w:cs="Times New Roman"/>
          <w:lang w:val="en-US"/>
        </w:rPr>
      </w:pPr>
      <w:proofErr w:type="gramStart"/>
      <w:r>
        <w:rPr>
          <w:rFonts w:ascii="Times New Roman" w:hAnsi="Times New Roman" w:cs="Times New Roman"/>
          <w:lang w:val="en-US"/>
        </w:rPr>
        <w:t>Figure 10.</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All-Cause Mortality.</w:t>
      </w:r>
      <w:proofErr w:type="gramEnd"/>
    </w:p>
    <w:p w:rsidR="00B67AE8" w:rsidRPr="00A716D9" w:rsidRDefault="00B67AE8" w:rsidP="00B67AE8">
      <w:pPr>
        <w:spacing w:after="0"/>
        <w:rPr>
          <w:rStyle w:val="-"/>
          <w:rFonts w:ascii="Times New Roman" w:hAnsi="Times New Roman" w:cs="Times New Roman"/>
          <w:i/>
        </w:rPr>
      </w:pPr>
      <w:r>
        <w:rPr>
          <w:rFonts w:ascii="Times New Roman" w:hAnsi="Times New Roman" w:cs="Times New Roman"/>
          <w:i/>
          <w:lang w:val="en-US"/>
        </w:rPr>
        <w:t>Source</w:t>
      </w:r>
      <w:r w:rsidRPr="00B70ED1">
        <w:rPr>
          <w:rFonts w:ascii="Times New Roman" w:hAnsi="Times New Roman" w:cs="Times New Roman"/>
          <w:i/>
          <w:lang w:val="en-US"/>
        </w:rPr>
        <w:t xml:space="preserve">: </w:t>
      </w:r>
      <w:r w:rsidRPr="00A716D9">
        <w:rPr>
          <w:rStyle w:val="-"/>
          <w:rFonts w:ascii="Times New Roman" w:hAnsi="Times New Roman" w:cs="Times New Roman"/>
          <w:i/>
        </w:rPr>
        <w:t>http://ec.europa.eu/eurostat/data/database</w:t>
      </w:r>
    </w:p>
    <w:p w:rsidR="00B67AE8" w:rsidRPr="00B70ED1" w:rsidRDefault="00B67AE8" w:rsidP="00B67AE8">
      <w:pPr>
        <w:spacing w:after="0"/>
        <w:jc w:val="center"/>
        <w:rPr>
          <w:rFonts w:ascii="Times New Roman" w:hAnsi="Times New Roman" w:cs="Times New Roman"/>
          <w:i/>
          <w:sz w:val="24"/>
          <w:szCs w:val="24"/>
          <w:lang w:val="en-US"/>
        </w:rPr>
      </w:pPr>
    </w:p>
    <w:p w:rsidR="00B67AE8" w:rsidRPr="00255739" w:rsidRDefault="00E37FEE" w:rsidP="00255739">
      <w:pPr>
        <w:spacing w:after="0"/>
        <w:jc w:val="center"/>
        <w:rPr>
          <w:rFonts w:ascii="Times New Roman" w:hAnsi="Times New Roman" w:cs="Times New Roman"/>
          <w:sz w:val="24"/>
          <w:szCs w:val="24"/>
          <w:lang w:val="en-US"/>
        </w:rPr>
      </w:pPr>
      <w:r w:rsidRPr="00E37FEE">
        <w:rPr>
          <w:rFonts w:ascii="Times New Roman" w:hAnsi="Times New Roman" w:cs="Times New Roman"/>
          <w:noProof/>
          <w:sz w:val="24"/>
          <w:szCs w:val="24"/>
          <w:lang w:eastAsia="el-GR"/>
        </w:rPr>
        <w:drawing>
          <wp:inline distT="0" distB="0" distL="0" distR="0">
            <wp:extent cx="5638800" cy="3060000"/>
            <wp:effectExtent l="19050" t="0" r="19050" b="7050"/>
            <wp:docPr id="35" name="Γράφημα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67AE8" w:rsidRPr="00B70ED1" w:rsidRDefault="00B67AE8" w:rsidP="00DA4F11">
      <w:pPr>
        <w:spacing w:before="120" w:after="0"/>
        <w:jc w:val="both"/>
        <w:rPr>
          <w:rFonts w:ascii="Times New Roman" w:hAnsi="Times New Roman" w:cs="Times New Roman"/>
          <w:lang w:val="en-US"/>
        </w:rPr>
      </w:pPr>
      <w:r>
        <w:rPr>
          <w:rFonts w:ascii="Times New Roman" w:hAnsi="Times New Roman" w:cs="Times New Roman"/>
          <w:lang w:val="en-US"/>
        </w:rPr>
        <w:t xml:space="preserve">Figure 11. </w:t>
      </w:r>
      <w:proofErr w:type="gramStart"/>
      <w:r>
        <w:rPr>
          <w:rFonts w:ascii="Times New Roman" w:hAnsi="Times New Roman" w:cs="Times New Roman"/>
          <w:lang w:val="en-US"/>
        </w:rPr>
        <w:t>Death rate, crude (per 1,000 people)</w:t>
      </w:r>
      <w:r w:rsidRPr="00B70ED1">
        <w:rPr>
          <w:rFonts w:ascii="Times New Roman" w:hAnsi="Times New Roman" w:cs="Times New Roman"/>
          <w:lang w:val="en-US"/>
        </w:rPr>
        <w:t>.</w:t>
      </w:r>
      <w:proofErr w:type="gramEnd"/>
    </w:p>
    <w:p w:rsidR="00B67AE8" w:rsidRPr="00B70ED1" w:rsidRDefault="00B67AE8" w:rsidP="00B67AE8">
      <w:pPr>
        <w:spacing w:after="0"/>
        <w:jc w:val="both"/>
        <w:rPr>
          <w:rFonts w:ascii="Times New Roman" w:eastAsia="Times New Roman" w:hAnsi="Times New Roman" w:cs="Times New Roman"/>
          <w:i/>
          <w:color w:val="000000"/>
          <w:lang w:val="en-US" w:eastAsia="el-GR"/>
        </w:rPr>
      </w:pPr>
      <w:proofErr w:type="spellStart"/>
      <w:r>
        <w:rPr>
          <w:rFonts w:ascii="Times New Roman" w:hAnsi="Times New Roman" w:cs="Times New Roman"/>
          <w:i/>
          <w:lang w:val="en-US"/>
        </w:rPr>
        <w:t>Source</w:t>
      </w:r>
      <w:r w:rsidRPr="00B70ED1">
        <w:rPr>
          <w:rFonts w:ascii="Times New Roman" w:hAnsi="Times New Roman" w:cs="Times New Roman"/>
          <w:i/>
          <w:lang w:val="en-US"/>
        </w:rPr>
        <w:t>:</w:t>
      </w:r>
      <w:r w:rsidRPr="000B32F3">
        <w:rPr>
          <w:rStyle w:val="-"/>
          <w:rFonts w:ascii="Times New Roman" w:hAnsi="Times New Roman" w:cs="Times New Roman"/>
          <w:i/>
        </w:rPr>
        <w:t>https</w:t>
      </w:r>
      <w:proofErr w:type="spellEnd"/>
      <w:r w:rsidRPr="000B32F3">
        <w:rPr>
          <w:rStyle w:val="-"/>
          <w:rFonts w:ascii="Times New Roman" w:hAnsi="Times New Roman" w:cs="Times New Roman"/>
          <w:i/>
        </w:rPr>
        <w:t>://data.worldbank.org/indicator/SP.DYN.CDRT.IN</w:t>
      </w:r>
      <w:r w:rsidRPr="00B70ED1">
        <w:rPr>
          <w:rFonts w:ascii="Times New Roman" w:eastAsia="Times New Roman" w:hAnsi="Times New Roman" w:cs="Times New Roman"/>
          <w:i/>
          <w:color w:val="000000"/>
          <w:lang w:val="en-US" w:eastAsia="el-GR"/>
        </w:rPr>
        <w:t xml:space="preserve"> </w:t>
      </w:r>
    </w:p>
    <w:p w:rsidR="00B67AE8" w:rsidRDefault="00B67AE8" w:rsidP="00B67AE8">
      <w:pPr>
        <w:spacing w:after="0"/>
        <w:ind w:firstLine="720"/>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val="en-US" w:eastAsia="el-GR"/>
        </w:rPr>
        <w:lastRenderedPageBreak/>
        <w:t>According to the World Bank’s Open Data, with regard to infant mortality there is a marked decline over the years for both countries, with Greece recording higher rates than Portugal (Figure 13). Additionally, OECD data [11] show that Greece recorded higher rates than Portugal in 2006, marginally</w:t>
      </w:r>
      <w:r w:rsidR="001A7F81">
        <w:rPr>
          <w:rFonts w:ascii="Times New Roman" w:eastAsia="Times New Roman" w:hAnsi="Times New Roman" w:cs="Times New Roman"/>
          <w:color w:val="000000"/>
          <w:sz w:val="24"/>
          <w:szCs w:val="24"/>
          <w:lang w:val="en-US" w:eastAsia="el-GR"/>
        </w:rPr>
        <w:t xml:space="preserve"> higher rates</w:t>
      </w:r>
      <w:r>
        <w:rPr>
          <w:rFonts w:ascii="Times New Roman" w:eastAsia="Times New Roman" w:hAnsi="Times New Roman" w:cs="Times New Roman"/>
          <w:color w:val="000000"/>
          <w:sz w:val="24"/>
          <w:szCs w:val="24"/>
          <w:lang w:val="en-US" w:eastAsia="el-GR"/>
        </w:rPr>
        <w:t xml:space="preserve"> in </w:t>
      </w:r>
      <w:proofErr w:type="gramStart"/>
      <w:r>
        <w:rPr>
          <w:rFonts w:ascii="Times New Roman" w:eastAsia="Times New Roman" w:hAnsi="Times New Roman" w:cs="Times New Roman"/>
          <w:color w:val="000000"/>
          <w:sz w:val="24"/>
          <w:szCs w:val="24"/>
          <w:lang w:val="en-US" w:eastAsia="el-GR"/>
        </w:rPr>
        <w:t>2007,</w:t>
      </w:r>
      <w:proofErr w:type="gramEnd"/>
      <w:r>
        <w:rPr>
          <w:rFonts w:ascii="Times New Roman" w:eastAsia="Times New Roman" w:hAnsi="Times New Roman" w:cs="Times New Roman"/>
          <w:color w:val="000000"/>
          <w:sz w:val="24"/>
          <w:szCs w:val="24"/>
          <w:lang w:val="en-US" w:eastAsia="el-GR"/>
        </w:rPr>
        <w:t xml:space="preserve"> and </w:t>
      </w:r>
      <w:r w:rsidR="001A7F81">
        <w:rPr>
          <w:rFonts w:ascii="Times New Roman" w:eastAsia="Times New Roman" w:hAnsi="Times New Roman" w:cs="Times New Roman"/>
          <w:color w:val="000000"/>
          <w:sz w:val="24"/>
          <w:szCs w:val="24"/>
          <w:lang w:val="en-US" w:eastAsia="el-GR"/>
        </w:rPr>
        <w:t>significantly</w:t>
      </w:r>
      <w:r>
        <w:rPr>
          <w:rFonts w:ascii="Times New Roman" w:eastAsia="Times New Roman" w:hAnsi="Times New Roman" w:cs="Times New Roman"/>
          <w:color w:val="000000"/>
          <w:sz w:val="24"/>
          <w:szCs w:val="24"/>
          <w:lang w:val="en-US" w:eastAsia="el-GR"/>
        </w:rPr>
        <w:t xml:space="preserve"> higher </w:t>
      </w:r>
      <w:r w:rsidR="001A7F81">
        <w:rPr>
          <w:rFonts w:ascii="Times New Roman" w:eastAsia="Times New Roman" w:hAnsi="Times New Roman" w:cs="Times New Roman"/>
          <w:color w:val="000000"/>
          <w:sz w:val="24"/>
          <w:szCs w:val="24"/>
          <w:lang w:val="en-US" w:eastAsia="el-GR"/>
        </w:rPr>
        <w:t xml:space="preserve">rates </w:t>
      </w:r>
      <w:r>
        <w:rPr>
          <w:rFonts w:ascii="Times New Roman" w:eastAsia="Times New Roman" w:hAnsi="Times New Roman" w:cs="Times New Roman"/>
          <w:color w:val="000000"/>
          <w:sz w:val="24"/>
          <w:szCs w:val="24"/>
          <w:lang w:val="en-US" w:eastAsia="el-GR"/>
        </w:rPr>
        <w:t>in 2010 and 2011. Portugal</w:t>
      </w:r>
      <w:r w:rsidR="001A7F81">
        <w:rPr>
          <w:rFonts w:ascii="Times New Roman" w:eastAsia="Times New Roman" w:hAnsi="Times New Roman" w:cs="Times New Roman"/>
          <w:color w:val="000000"/>
          <w:sz w:val="24"/>
          <w:szCs w:val="24"/>
          <w:lang w:val="en-US" w:eastAsia="el-GR"/>
        </w:rPr>
        <w:t xml:space="preserve">, </w:t>
      </w:r>
      <w:r w:rsidR="00C15ABD">
        <w:rPr>
          <w:rFonts w:ascii="Times New Roman" w:eastAsia="Times New Roman" w:hAnsi="Times New Roman" w:cs="Times New Roman"/>
          <w:color w:val="000000"/>
          <w:sz w:val="24"/>
          <w:szCs w:val="24"/>
          <w:lang w:val="en-US" w:eastAsia="el-GR"/>
        </w:rPr>
        <w:t>on the other hand</w:t>
      </w:r>
      <w:r w:rsidR="001A7F81">
        <w:rPr>
          <w:rFonts w:ascii="Times New Roman" w:eastAsia="Times New Roman" w:hAnsi="Times New Roman" w:cs="Times New Roman"/>
          <w:color w:val="000000"/>
          <w:sz w:val="24"/>
          <w:szCs w:val="24"/>
          <w:lang w:val="en-US" w:eastAsia="el-GR"/>
        </w:rPr>
        <w:t xml:space="preserve">, recorded </w:t>
      </w:r>
      <w:r>
        <w:rPr>
          <w:rFonts w:ascii="Times New Roman" w:eastAsia="Times New Roman" w:hAnsi="Times New Roman" w:cs="Times New Roman"/>
          <w:color w:val="000000"/>
          <w:sz w:val="24"/>
          <w:szCs w:val="24"/>
          <w:lang w:val="en-US" w:eastAsia="el-GR"/>
        </w:rPr>
        <w:t>higher rates in 2008, 2009 and 2011 (Figure 12).</w:t>
      </w:r>
    </w:p>
    <w:p w:rsidR="00855BC5" w:rsidRPr="00855BC5" w:rsidRDefault="00855BC5" w:rsidP="00B67AE8">
      <w:pPr>
        <w:spacing w:after="0"/>
        <w:ind w:firstLine="720"/>
        <w:jc w:val="both"/>
        <w:rPr>
          <w:rFonts w:ascii="Times New Roman" w:eastAsia="Times New Roman" w:hAnsi="Times New Roman" w:cs="Times New Roman"/>
          <w:color w:val="000000"/>
          <w:sz w:val="24"/>
          <w:szCs w:val="24"/>
          <w:lang w:eastAsia="el-GR"/>
        </w:rPr>
      </w:pPr>
    </w:p>
    <w:p w:rsidR="00B67AE8" w:rsidRPr="00B70ED1" w:rsidRDefault="00931A6C" w:rsidP="00391AC7">
      <w:pPr>
        <w:spacing w:after="0"/>
        <w:jc w:val="both"/>
        <w:rPr>
          <w:rFonts w:ascii="Times New Roman" w:hAnsi="Times New Roman" w:cs="Times New Roman"/>
          <w:sz w:val="24"/>
          <w:szCs w:val="24"/>
          <w:lang w:val="en-US"/>
        </w:rPr>
      </w:pPr>
      <w:r w:rsidRPr="00931A6C">
        <w:rPr>
          <w:rFonts w:ascii="Times New Roman" w:eastAsia="Times New Roman" w:hAnsi="Times New Roman" w:cs="Times New Roman"/>
          <w:noProof/>
          <w:color w:val="000000"/>
          <w:sz w:val="24"/>
          <w:szCs w:val="24"/>
          <w:lang w:eastAsia="el-GR"/>
        </w:rPr>
        <w:drawing>
          <wp:anchor distT="0" distB="0" distL="114300" distR="114300" simplePos="0" relativeHeight="251661312" behindDoc="1" locked="0" layoutInCell="1" allowOverlap="1">
            <wp:simplePos x="1276350" y="2095500"/>
            <wp:positionH relativeFrom="column">
              <wp:align>center</wp:align>
            </wp:positionH>
            <wp:positionV relativeFrom="paragraph">
              <wp:posOffset>-4445</wp:posOffset>
            </wp:positionV>
            <wp:extent cx="5486400" cy="2952750"/>
            <wp:effectExtent l="19050" t="0" r="19050" b="0"/>
            <wp:wrapTight wrapText="bothSides">
              <wp:wrapPolygon edited="0">
                <wp:start x="-75" y="0"/>
                <wp:lineTo x="-75" y="21600"/>
                <wp:lineTo x="21675" y="21600"/>
                <wp:lineTo x="21675" y="0"/>
                <wp:lineTo x="-75" y="0"/>
              </wp:wrapPolygon>
            </wp:wrapTight>
            <wp:docPr id="34" name="Γράφημα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roofErr w:type="gramStart"/>
      <w:r w:rsidR="00B67AE8">
        <w:rPr>
          <w:rFonts w:ascii="Times New Roman" w:hAnsi="Times New Roman" w:cs="Times New Roman"/>
          <w:lang w:val="en-US"/>
        </w:rPr>
        <w:t>Figure 12.</w:t>
      </w:r>
      <w:proofErr w:type="gramEnd"/>
      <w:r w:rsidR="00B67AE8">
        <w:rPr>
          <w:rFonts w:ascii="Times New Roman" w:hAnsi="Times New Roman" w:cs="Times New Roman"/>
          <w:lang w:val="en-US"/>
        </w:rPr>
        <w:t xml:space="preserve"> </w:t>
      </w:r>
      <w:proofErr w:type="gramStart"/>
      <w:r w:rsidR="00B67AE8">
        <w:rPr>
          <w:rFonts w:ascii="Times New Roman" w:hAnsi="Times New Roman" w:cs="Times New Roman"/>
          <w:lang w:val="en-US"/>
        </w:rPr>
        <w:t>Infant mortality per 1,000 live births</w:t>
      </w:r>
      <w:r w:rsidR="00B67AE8" w:rsidRPr="00B70ED1">
        <w:rPr>
          <w:rFonts w:ascii="Times New Roman" w:hAnsi="Times New Roman" w:cs="Times New Roman"/>
          <w:lang w:val="en-US"/>
        </w:rPr>
        <w:t>.</w:t>
      </w:r>
      <w:proofErr w:type="gramEnd"/>
      <w:r w:rsidR="00B67AE8" w:rsidRPr="00B70ED1">
        <w:rPr>
          <w:rFonts w:ascii="Times New Roman" w:hAnsi="Times New Roman" w:cs="Times New Roman"/>
          <w:lang w:val="en-US"/>
        </w:rPr>
        <w:t xml:space="preserve"> </w:t>
      </w:r>
    </w:p>
    <w:p w:rsidR="00B67AE8" w:rsidRPr="00DA4F11" w:rsidRDefault="00B67AE8" w:rsidP="00B67AE8">
      <w:pPr>
        <w:spacing w:after="0"/>
        <w:jc w:val="both"/>
        <w:rPr>
          <w:rStyle w:val="-"/>
          <w:rFonts w:ascii="Times New Roman" w:hAnsi="Times New Roman" w:cs="Times New Roman"/>
          <w:i/>
        </w:rPr>
      </w:pPr>
      <w:r>
        <w:rPr>
          <w:rFonts w:ascii="Times New Roman" w:hAnsi="Times New Roman" w:cs="Times New Roman"/>
          <w:i/>
          <w:lang w:val="en-US"/>
        </w:rPr>
        <w:t>Source</w:t>
      </w:r>
      <w:r w:rsidRPr="00B70ED1">
        <w:rPr>
          <w:rFonts w:ascii="Times New Roman" w:hAnsi="Times New Roman" w:cs="Times New Roman"/>
          <w:i/>
          <w:lang w:val="en-US"/>
        </w:rPr>
        <w:t>:</w:t>
      </w:r>
      <w:r w:rsidRPr="00DA4F11">
        <w:rPr>
          <w:rStyle w:val="-"/>
          <w:rFonts w:ascii="Times New Roman" w:hAnsi="Times New Roman" w:cs="Times New Roman"/>
          <w:i/>
        </w:rPr>
        <w:t>http://www.oecd-ilibrary.org/social-issues-migration-health/infant-mortality_20758480-table9</w:t>
      </w:r>
    </w:p>
    <w:p w:rsidR="00B67AE8" w:rsidRDefault="00B67AE8" w:rsidP="00B67AE8">
      <w:pPr>
        <w:spacing w:after="0"/>
        <w:jc w:val="both"/>
        <w:rPr>
          <w:rFonts w:ascii="Times New Roman" w:hAnsi="Times New Roman" w:cs="Times New Roman"/>
          <w:sz w:val="24"/>
          <w:szCs w:val="24"/>
        </w:rPr>
      </w:pPr>
    </w:p>
    <w:p w:rsidR="00855BC5" w:rsidRPr="00855BC5" w:rsidRDefault="00855BC5" w:rsidP="00B67AE8">
      <w:pPr>
        <w:spacing w:after="0"/>
        <w:jc w:val="both"/>
        <w:rPr>
          <w:rFonts w:ascii="Times New Roman" w:hAnsi="Times New Roman" w:cs="Times New Roman"/>
          <w:sz w:val="24"/>
          <w:szCs w:val="24"/>
        </w:rPr>
      </w:pPr>
    </w:p>
    <w:p w:rsidR="00B67AE8" w:rsidRPr="00753724" w:rsidRDefault="009156FB" w:rsidP="00391AC7">
      <w:pPr>
        <w:spacing w:after="0"/>
        <w:jc w:val="center"/>
        <w:rPr>
          <w:rFonts w:ascii="Times New Roman" w:hAnsi="Times New Roman" w:cs="Times New Roman"/>
          <w:sz w:val="24"/>
          <w:szCs w:val="24"/>
          <w:lang w:val="en-US"/>
        </w:rPr>
      </w:pPr>
      <w:r w:rsidRPr="009156FB">
        <w:rPr>
          <w:rFonts w:ascii="Times New Roman" w:hAnsi="Times New Roman" w:cs="Times New Roman"/>
          <w:noProof/>
          <w:sz w:val="24"/>
          <w:szCs w:val="24"/>
          <w:lang w:eastAsia="el-GR"/>
        </w:rPr>
        <w:drawing>
          <wp:inline distT="0" distB="0" distL="0" distR="0">
            <wp:extent cx="5838825" cy="3240000"/>
            <wp:effectExtent l="19050" t="0" r="9525" b="0"/>
            <wp:docPr id="33" name="Γράφημα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67AE8" w:rsidRPr="00B70ED1" w:rsidRDefault="00B67AE8" w:rsidP="00391AC7">
      <w:pPr>
        <w:spacing w:before="120" w:after="0"/>
        <w:jc w:val="both"/>
        <w:rPr>
          <w:rFonts w:ascii="Times New Roman" w:hAnsi="Times New Roman" w:cs="Times New Roman"/>
          <w:sz w:val="24"/>
          <w:szCs w:val="24"/>
          <w:lang w:val="en-US"/>
        </w:rPr>
      </w:pPr>
      <w:r>
        <w:rPr>
          <w:rFonts w:ascii="Times New Roman" w:hAnsi="Times New Roman" w:cs="Times New Roman"/>
          <w:lang w:val="en-US"/>
        </w:rPr>
        <w:t xml:space="preserve">Figure 13. </w:t>
      </w:r>
      <w:proofErr w:type="gramStart"/>
      <w:r>
        <w:rPr>
          <w:rFonts w:ascii="Times New Roman" w:hAnsi="Times New Roman" w:cs="Times New Roman"/>
          <w:lang w:val="en-US"/>
        </w:rPr>
        <w:t>Infant mortality per 1,000 live births</w:t>
      </w:r>
      <w:r w:rsidRPr="00B70ED1">
        <w:rPr>
          <w:rFonts w:ascii="Times New Roman" w:hAnsi="Times New Roman" w:cs="Times New Roman"/>
          <w:lang w:val="en-US"/>
        </w:rPr>
        <w:t>.</w:t>
      </w:r>
      <w:proofErr w:type="gramEnd"/>
      <w:r w:rsidRPr="00B70ED1">
        <w:rPr>
          <w:rFonts w:ascii="Times New Roman" w:hAnsi="Times New Roman" w:cs="Times New Roman"/>
          <w:lang w:val="en-US"/>
        </w:rPr>
        <w:t xml:space="preserve"> </w:t>
      </w:r>
    </w:p>
    <w:p w:rsidR="00B67AE8" w:rsidRPr="00DD716A" w:rsidRDefault="00B67AE8" w:rsidP="00B67AE8">
      <w:pPr>
        <w:spacing w:after="0"/>
        <w:jc w:val="both"/>
        <w:rPr>
          <w:rFonts w:ascii="Times New Roman" w:hAnsi="Times New Roman" w:cs="Times New Roman"/>
          <w:i/>
          <w:lang w:val="en-US"/>
        </w:rPr>
      </w:pPr>
      <w:r>
        <w:rPr>
          <w:rFonts w:ascii="Times New Roman" w:hAnsi="Times New Roman" w:cs="Times New Roman"/>
          <w:i/>
          <w:lang w:val="en-US"/>
        </w:rPr>
        <w:t>Source</w:t>
      </w:r>
      <w:r w:rsidRPr="00DD716A">
        <w:rPr>
          <w:rFonts w:ascii="Times New Roman" w:hAnsi="Times New Roman" w:cs="Times New Roman"/>
          <w:i/>
          <w:lang w:val="en-US"/>
        </w:rPr>
        <w:t xml:space="preserve">: </w:t>
      </w:r>
      <w:r w:rsidRPr="00391AC7">
        <w:rPr>
          <w:rStyle w:val="-"/>
          <w:rFonts w:ascii="Times New Roman" w:hAnsi="Times New Roman" w:cs="Times New Roman"/>
          <w:i/>
        </w:rPr>
        <w:t>https://data.worldbank.org/indicator/SP.DYN.IMRT.IN</w:t>
      </w:r>
      <w:bookmarkStart w:id="3" w:name="_Toc493526019"/>
    </w:p>
    <w:bookmarkEnd w:id="3"/>
    <w:p w:rsidR="00B67AE8" w:rsidRPr="000F0229" w:rsidRDefault="00B67AE8" w:rsidP="00B67AE8">
      <w:pPr>
        <w:pStyle w:val="1"/>
        <w:spacing w:before="0" w:after="200"/>
        <w:jc w:val="both"/>
        <w:rPr>
          <w:lang w:val="en-US"/>
        </w:rPr>
      </w:pPr>
      <w:r>
        <w:rPr>
          <w:rFonts w:ascii="Times New Roman" w:hAnsi="Times New Roman" w:cs="Times New Roman"/>
          <w:color w:val="00000A"/>
          <w:sz w:val="24"/>
          <w:szCs w:val="24"/>
          <w:lang w:val="en-US"/>
        </w:rPr>
        <w:lastRenderedPageBreak/>
        <w:t>3.3</w:t>
      </w:r>
      <w:r w:rsidR="00DA4F11" w:rsidRPr="00DA4F11">
        <w:rPr>
          <w:rFonts w:ascii="Times New Roman" w:hAnsi="Times New Roman" w:cs="Times New Roman"/>
          <w:color w:val="00000A"/>
          <w:sz w:val="24"/>
          <w:szCs w:val="24"/>
          <w:lang w:val="en-US"/>
        </w:rPr>
        <w:t xml:space="preserve"> </w:t>
      </w:r>
      <w:r>
        <w:rPr>
          <w:rFonts w:ascii="Times New Roman" w:hAnsi="Times New Roman" w:cs="Times New Roman"/>
          <w:color w:val="00000A"/>
          <w:sz w:val="24"/>
          <w:szCs w:val="24"/>
          <w:lang w:val="en-US"/>
        </w:rPr>
        <w:t>Investigation into the Negative Impact of the Economic Crisis on Health Indicators.</w:t>
      </w:r>
    </w:p>
    <w:p w:rsidR="00B67AE8" w:rsidRPr="00436C4E" w:rsidRDefault="00B67AE8" w:rsidP="00B67AE8">
      <w:pPr>
        <w:spacing w:after="0"/>
        <w:ind w:firstLine="567"/>
        <w:jc w:val="both"/>
        <w:rPr>
          <w:lang w:val="en-US"/>
        </w:rPr>
      </w:pPr>
      <w:r>
        <w:rPr>
          <w:rFonts w:ascii="Times New Roman" w:hAnsi="Times New Roman" w:cs="Times New Roman"/>
          <w:sz w:val="24"/>
          <w:szCs w:val="24"/>
          <w:lang w:val="en-US"/>
        </w:rPr>
        <w:t xml:space="preserve">Between 2007 and 2010, </w:t>
      </w:r>
      <w:r w:rsidR="00C15ABD">
        <w:rPr>
          <w:rFonts w:ascii="Times New Roman" w:hAnsi="Times New Roman" w:cs="Times New Roman"/>
          <w:sz w:val="24"/>
          <w:szCs w:val="24"/>
          <w:lang w:val="en-US"/>
        </w:rPr>
        <w:t xml:space="preserve">the </w:t>
      </w:r>
      <w:r>
        <w:rPr>
          <w:rFonts w:ascii="Times New Roman" w:hAnsi="Times New Roman" w:cs="Times New Roman"/>
          <w:sz w:val="24"/>
          <w:szCs w:val="24"/>
          <w:lang w:val="en-US"/>
        </w:rPr>
        <w:t>unemployment</w:t>
      </w:r>
      <w:r w:rsidR="00C15ABD">
        <w:rPr>
          <w:rFonts w:ascii="Times New Roman" w:hAnsi="Times New Roman" w:cs="Times New Roman"/>
          <w:sz w:val="24"/>
          <w:szCs w:val="24"/>
          <w:lang w:val="en-US"/>
        </w:rPr>
        <w:t xml:space="preserve"> rate</w:t>
      </w:r>
      <w:r>
        <w:rPr>
          <w:rFonts w:ascii="Times New Roman" w:hAnsi="Times New Roman" w:cs="Times New Roman"/>
          <w:sz w:val="24"/>
          <w:szCs w:val="24"/>
          <w:lang w:val="en-US"/>
        </w:rPr>
        <w:t xml:space="preserve"> increased</w:t>
      </w:r>
      <w:r w:rsidR="00C15ABD">
        <w:rPr>
          <w:rFonts w:ascii="Times New Roman" w:hAnsi="Times New Roman" w:cs="Times New Roman"/>
          <w:sz w:val="24"/>
          <w:szCs w:val="24"/>
          <w:lang w:val="en-US"/>
        </w:rPr>
        <w:t xml:space="preserve"> both</w:t>
      </w:r>
      <w:r>
        <w:rPr>
          <w:rFonts w:ascii="Times New Roman" w:hAnsi="Times New Roman" w:cs="Times New Roman"/>
          <w:sz w:val="24"/>
          <w:szCs w:val="24"/>
          <w:lang w:val="en-US"/>
        </w:rPr>
        <w:t xml:space="preserve"> significantly and rapidly in European countries, such as Portugal, Slovakia and Bulgaria (3%), Denmark, Greece and Hungary (4%), Iceland (5%), Ireland (9%), Spain and Estonia (12%), Latvia (13%), and Lithuania (14%). Tax revenues decreased and expenditures increased, mainly due to bank rescue</w:t>
      </w:r>
      <w:r w:rsidR="00C15ABD">
        <w:rPr>
          <w:rFonts w:ascii="Times New Roman" w:hAnsi="Times New Roman" w:cs="Times New Roman"/>
          <w:sz w:val="24"/>
          <w:szCs w:val="24"/>
          <w:lang w:val="en-US"/>
        </w:rPr>
        <w:t>s</w:t>
      </w:r>
      <w:r>
        <w:rPr>
          <w:rFonts w:ascii="Times New Roman" w:hAnsi="Times New Roman" w:cs="Times New Roman"/>
          <w:sz w:val="24"/>
          <w:szCs w:val="24"/>
          <w:lang w:val="en-US"/>
        </w:rPr>
        <w:t>, but also partly due to the cost of unemployment. Government deficits in the affected co</w:t>
      </w:r>
      <w:r w:rsidR="00C15ABD">
        <w:rPr>
          <w:rFonts w:ascii="Times New Roman" w:hAnsi="Times New Roman" w:cs="Times New Roman"/>
          <w:sz w:val="24"/>
          <w:szCs w:val="24"/>
          <w:lang w:val="en-US"/>
        </w:rPr>
        <w:t xml:space="preserve">untries increased, with </w:t>
      </w:r>
      <w:r>
        <w:rPr>
          <w:rFonts w:ascii="Times New Roman" w:hAnsi="Times New Roman" w:cs="Times New Roman"/>
          <w:sz w:val="24"/>
          <w:szCs w:val="24"/>
          <w:lang w:val="en-US"/>
        </w:rPr>
        <w:t xml:space="preserve">some countries </w:t>
      </w:r>
      <w:r w:rsidR="00C15ABD">
        <w:rPr>
          <w:rFonts w:ascii="Times New Roman" w:hAnsi="Times New Roman" w:cs="Times New Roman"/>
          <w:sz w:val="24"/>
          <w:szCs w:val="24"/>
          <w:lang w:val="en-US"/>
        </w:rPr>
        <w:t>adopting austerity measures and making</w:t>
      </w:r>
      <w:r>
        <w:rPr>
          <w:rFonts w:ascii="Times New Roman" w:hAnsi="Times New Roman" w:cs="Times New Roman"/>
          <w:sz w:val="24"/>
          <w:szCs w:val="24"/>
          <w:lang w:val="en-US"/>
        </w:rPr>
        <w:t xml:space="preserve"> large cuts in </w:t>
      </w:r>
      <w:r w:rsidR="00C15ABD" w:rsidRPr="00C15ABD">
        <w:rPr>
          <w:rFonts w:ascii="Times New Roman" w:hAnsi="Times New Roman" w:cs="Times New Roman"/>
          <w:sz w:val="24"/>
          <w:szCs w:val="24"/>
          <w:lang w:val="en-US"/>
        </w:rPr>
        <w:t>public</w:t>
      </w:r>
      <w:r w:rsidRPr="00C15ABD">
        <w:rPr>
          <w:rFonts w:ascii="Times New Roman" w:hAnsi="Times New Roman" w:cs="Times New Roman"/>
          <w:sz w:val="24"/>
          <w:szCs w:val="24"/>
          <w:lang w:val="en-US"/>
        </w:rPr>
        <w:t xml:space="preserve"> expenditure.</w:t>
      </w:r>
      <w:r>
        <w:rPr>
          <w:rFonts w:ascii="Times New Roman" w:hAnsi="Times New Roman" w:cs="Times New Roman"/>
          <w:sz w:val="24"/>
          <w:szCs w:val="24"/>
          <w:lang w:val="en-US"/>
        </w:rPr>
        <w:t xml:space="preserve"> Austerity policies also included large-scale cuts and public </w:t>
      </w:r>
      <w:r w:rsidR="00C15ABD">
        <w:rPr>
          <w:rFonts w:ascii="Times New Roman" w:hAnsi="Times New Roman" w:cs="Times New Roman"/>
          <w:sz w:val="24"/>
          <w:szCs w:val="24"/>
          <w:lang w:val="en-US"/>
        </w:rPr>
        <w:t xml:space="preserve">structural </w:t>
      </w:r>
      <w:r>
        <w:rPr>
          <w:rFonts w:ascii="Times New Roman" w:hAnsi="Times New Roman" w:cs="Times New Roman"/>
          <w:sz w:val="24"/>
          <w:szCs w:val="24"/>
          <w:lang w:val="en-US"/>
        </w:rPr>
        <w:t xml:space="preserve">reforms. However, some countries were better prepared than others as they had adopted fiscal austerity measures prior to </w:t>
      </w:r>
      <w:r w:rsidR="00C15ABD">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recession. These countries </w:t>
      </w:r>
      <w:r w:rsidR="00C15ABD">
        <w:rPr>
          <w:rFonts w:ascii="Times New Roman" w:hAnsi="Times New Roman" w:cs="Times New Roman"/>
          <w:sz w:val="24"/>
          <w:szCs w:val="24"/>
          <w:lang w:val="en-US"/>
        </w:rPr>
        <w:t>were</w:t>
      </w:r>
      <w:r>
        <w:rPr>
          <w:rFonts w:ascii="Times New Roman" w:hAnsi="Times New Roman" w:cs="Times New Roman"/>
          <w:sz w:val="24"/>
          <w:szCs w:val="24"/>
          <w:lang w:val="en-US"/>
        </w:rPr>
        <w:t xml:space="preserve"> able to take advantage of counter-cyclical fiscal policies</w:t>
      </w:r>
      <w:r w:rsidRPr="00275516">
        <w:rPr>
          <w:rFonts w:ascii="Times New Roman" w:hAnsi="Times New Roman" w:cs="Times New Roman"/>
          <w:sz w:val="24"/>
          <w:szCs w:val="24"/>
          <w:lang w:val="en-US"/>
        </w:rPr>
        <w:t>,</w:t>
      </w:r>
      <w:r>
        <w:rPr>
          <w:rFonts w:ascii="Times New Roman" w:hAnsi="Times New Roman" w:cs="Times New Roman"/>
          <w:sz w:val="24"/>
          <w:szCs w:val="24"/>
          <w:lang w:val="en-US"/>
        </w:rPr>
        <w:t xml:space="preserve"> in terms of maintaining</w:t>
      </w:r>
      <w:r w:rsidR="002008C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fiscal reserve and allocating it to health and </w:t>
      </w:r>
      <w:r w:rsidR="00C15ABD">
        <w:rPr>
          <w:rFonts w:ascii="Times New Roman" w:hAnsi="Times New Roman" w:cs="Times New Roman"/>
          <w:sz w:val="24"/>
          <w:szCs w:val="24"/>
          <w:lang w:val="en-US"/>
        </w:rPr>
        <w:t xml:space="preserve">to </w:t>
      </w:r>
      <w:r>
        <w:rPr>
          <w:rFonts w:ascii="Times New Roman" w:hAnsi="Times New Roman" w:cs="Times New Roman"/>
          <w:sz w:val="24"/>
          <w:szCs w:val="24"/>
          <w:lang w:val="en-US"/>
        </w:rPr>
        <w:t>expenditure support</w:t>
      </w:r>
      <w:r w:rsidR="00C15ABD">
        <w:rPr>
          <w:rFonts w:ascii="Times New Roman" w:hAnsi="Times New Roman" w:cs="Times New Roman"/>
          <w:sz w:val="24"/>
          <w:szCs w:val="24"/>
          <w:lang w:val="en-US"/>
        </w:rPr>
        <w:t>ing</w:t>
      </w:r>
      <w:r>
        <w:rPr>
          <w:rFonts w:ascii="Times New Roman" w:hAnsi="Times New Roman" w:cs="Times New Roman"/>
          <w:sz w:val="24"/>
          <w:szCs w:val="24"/>
          <w:lang w:val="en-US"/>
        </w:rPr>
        <w:t xml:space="preserve"> econo</w:t>
      </w:r>
      <w:r w:rsidR="00C15ABD">
        <w:rPr>
          <w:rFonts w:ascii="Times New Roman" w:hAnsi="Times New Roman" w:cs="Times New Roman"/>
          <w:sz w:val="24"/>
          <w:szCs w:val="24"/>
          <w:lang w:val="en-US"/>
        </w:rPr>
        <w:t>mically-</w:t>
      </w:r>
      <w:r>
        <w:rPr>
          <w:rFonts w:ascii="Times New Roman" w:hAnsi="Times New Roman" w:cs="Times New Roman"/>
          <w:sz w:val="24"/>
          <w:szCs w:val="24"/>
          <w:lang w:val="en-US"/>
        </w:rPr>
        <w:t xml:space="preserve">inactive groups </w:t>
      </w:r>
      <w:r w:rsidR="00C15ABD">
        <w:rPr>
          <w:rFonts w:ascii="Times New Roman" w:hAnsi="Times New Roman" w:cs="Times New Roman"/>
          <w:sz w:val="24"/>
          <w:szCs w:val="24"/>
          <w:lang w:val="en-US"/>
        </w:rPr>
        <w:t>in</w:t>
      </w:r>
      <w:r>
        <w:rPr>
          <w:rFonts w:ascii="Times New Roman" w:hAnsi="Times New Roman" w:cs="Times New Roman"/>
          <w:sz w:val="24"/>
          <w:szCs w:val="24"/>
          <w:lang w:val="en-US"/>
        </w:rPr>
        <w:t xml:space="preserve"> the population [12]. </w:t>
      </w:r>
      <w:r w:rsidR="00C15ABD">
        <w:rPr>
          <w:rFonts w:ascii="Times New Roman" w:hAnsi="Times New Roman" w:cs="Times New Roman"/>
          <w:sz w:val="24"/>
          <w:szCs w:val="24"/>
          <w:lang w:val="en-US"/>
        </w:rPr>
        <w:t>In</w:t>
      </w:r>
      <w:r w:rsidR="002008C0">
        <w:rPr>
          <w:rFonts w:ascii="Times New Roman" w:hAnsi="Times New Roman" w:cs="Times New Roman"/>
          <w:sz w:val="24"/>
          <w:szCs w:val="24"/>
          <w:lang w:val="en-US"/>
        </w:rPr>
        <w:t xml:space="preserve"> </w:t>
      </w:r>
      <w:r w:rsidR="00C15ABD">
        <w:rPr>
          <w:rFonts w:ascii="Times New Roman" w:hAnsi="Times New Roman" w:cs="Times New Roman"/>
          <w:sz w:val="24"/>
          <w:szCs w:val="24"/>
          <w:lang w:val="en-US"/>
        </w:rPr>
        <w:t xml:space="preserve">stark </w:t>
      </w:r>
      <w:r>
        <w:rPr>
          <w:rFonts w:ascii="Times New Roman" w:hAnsi="Times New Roman" w:cs="Times New Roman"/>
          <w:sz w:val="24"/>
          <w:szCs w:val="24"/>
          <w:lang w:val="en-US"/>
        </w:rPr>
        <w:t xml:space="preserve">contrast, countries such as Portugal and Greece were placed under the surveillance of the European Commission and the International Monetary Fund </w:t>
      </w:r>
      <w:r w:rsidR="005520E7">
        <w:rPr>
          <w:rFonts w:ascii="Times New Roman" w:hAnsi="Times New Roman" w:cs="Times New Roman"/>
          <w:sz w:val="24"/>
          <w:szCs w:val="24"/>
          <w:lang w:val="en-US"/>
        </w:rPr>
        <w:t xml:space="preserve">to be </w:t>
      </w:r>
      <w:r w:rsidR="00C15ABD">
        <w:rPr>
          <w:rFonts w:ascii="Times New Roman" w:hAnsi="Times New Roman" w:cs="Times New Roman"/>
          <w:sz w:val="24"/>
          <w:szCs w:val="24"/>
          <w:lang w:val="en-US"/>
        </w:rPr>
        <w:t>bailed out</w:t>
      </w:r>
      <w:r w:rsidR="002008C0">
        <w:rPr>
          <w:rFonts w:ascii="Times New Roman" w:hAnsi="Times New Roman" w:cs="Times New Roman"/>
          <w:sz w:val="24"/>
          <w:szCs w:val="24"/>
          <w:lang w:val="en-US"/>
        </w:rPr>
        <w:t xml:space="preserve"> </w:t>
      </w:r>
      <w:r w:rsidR="005520E7">
        <w:rPr>
          <w:rFonts w:ascii="Times New Roman" w:hAnsi="Times New Roman" w:cs="Times New Roman"/>
          <w:sz w:val="24"/>
          <w:szCs w:val="24"/>
          <w:lang w:val="en-US"/>
        </w:rPr>
        <w:t>after having</w:t>
      </w:r>
      <w:r>
        <w:rPr>
          <w:rFonts w:ascii="Times New Roman" w:hAnsi="Times New Roman" w:cs="Times New Roman"/>
          <w:sz w:val="24"/>
          <w:szCs w:val="24"/>
          <w:lang w:val="en-US"/>
        </w:rPr>
        <w:t xml:space="preserve"> signed </w:t>
      </w:r>
      <w:r w:rsidR="005520E7">
        <w:rPr>
          <w:rFonts w:ascii="Times New Roman" w:hAnsi="Times New Roman" w:cs="Times New Roman"/>
          <w:sz w:val="24"/>
          <w:szCs w:val="24"/>
          <w:lang w:val="en-US"/>
        </w:rPr>
        <w:t>up for</w:t>
      </w:r>
      <w:r>
        <w:rPr>
          <w:rFonts w:ascii="Times New Roman" w:hAnsi="Times New Roman" w:cs="Times New Roman"/>
          <w:sz w:val="24"/>
          <w:szCs w:val="24"/>
          <w:lang w:val="en-US"/>
        </w:rPr>
        <w:t xml:space="preserve"> economic adjustment </w:t>
      </w:r>
      <w:proofErr w:type="spellStart"/>
      <w:r>
        <w:rPr>
          <w:rFonts w:ascii="Times New Roman" w:hAnsi="Times New Roman" w:cs="Times New Roman"/>
          <w:sz w:val="24"/>
          <w:szCs w:val="24"/>
          <w:lang w:val="en-US"/>
        </w:rPr>
        <w:t>programmes</w:t>
      </w:r>
      <w:proofErr w:type="spellEnd"/>
      <w:r>
        <w:rPr>
          <w:rFonts w:ascii="Times New Roman" w:hAnsi="Times New Roman" w:cs="Times New Roman"/>
          <w:sz w:val="24"/>
          <w:szCs w:val="24"/>
          <w:lang w:val="en-US"/>
        </w:rPr>
        <w:t xml:space="preserve">. These </w:t>
      </w:r>
      <w:proofErr w:type="spellStart"/>
      <w:r>
        <w:rPr>
          <w:rFonts w:ascii="Times New Roman" w:hAnsi="Times New Roman" w:cs="Times New Roman"/>
          <w:sz w:val="24"/>
          <w:szCs w:val="24"/>
          <w:lang w:val="en-US"/>
        </w:rPr>
        <w:t>program</w:t>
      </w:r>
      <w:r w:rsidR="005520E7">
        <w:rPr>
          <w:rFonts w:ascii="Times New Roman" w:hAnsi="Times New Roman" w:cs="Times New Roman"/>
          <w:sz w:val="24"/>
          <w:szCs w:val="24"/>
          <w:lang w:val="en-US"/>
        </w:rPr>
        <w:t>me</w:t>
      </w:r>
      <w:r>
        <w:rPr>
          <w:rFonts w:ascii="Times New Roman" w:hAnsi="Times New Roman" w:cs="Times New Roman"/>
          <w:sz w:val="24"/>
          <w:szCs w:val="24"/>
          <w:lang w:val="en-US"/>
        </w:rPr>
        <w:t>s</w:t>
      </w:r>
      <w:proofErr w:type="spellEnd"/>
      <w:r>
        <w:rPr>
          <w:rFonts w:ascii="Times New Roman" w:hAnsi="Times New Roman" w:cs="Times New Roman"/>
          <w:sz w:val="24"/>
          <w:szCs w:val="24"/>
          <w:lang w:val="en-US"/>
        </w:rPr>
        <w:t xml:space="preserve"> included fiscal measures and reforms aimed at reducing the government deficits of these countries [13].</w:t>
      </w:r>
    </w:p>
    <w:p w:rsidR="00B67AE8" w:rsidRDefault="00B67AE8" w:rsidP="00B67AE8">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Greece’</w:t>
      </w:r>
      <w:r w:rsidRPr="00917F58">
        <w:rPr>
          <w:rFonts w:ascii="Times New Roman" w:hAnsi="Times New Roman" w:cs="Times New Roman"/>
          <w:sz w:val="24"/>
          <w:szCs w:val="24"/>
          <w:lang w:val="en-US"/>
        </w:rPr>
        <w:t>s economic crisis deepened since it was bailed out by the international community in 2010. The country underwent the sixth consecutive year of economic contraction in 2013, with its economy shrinki</w:t>
      </w:r>
      <w:r w:rsidR="00932722">
        <w:rPr>
          <w:rFonts w:ascii="Times New Roman" w:hAnsi="Times New Roman" w:cs="Times New Roman"/>
          <w:sz w:val="24"/>
          <w:szCs w:val="24"/>
          <w:lang w:val="en-US"/>
        </w:rPr>
        <w:t>ng by 20% between 2008 and 2012</w:t>
      </w:r>
      <w:r w:rsidRPr="00917F58">
        <w:rPr>
          <w:rFonts w:ascii="Times New Roman" w:hAnsi="Times New Roman" w:cs="Times New Roman"/>
          <w:sz w:val="24"/>
          <w:szCs w:val="24"/>
          <w:lang w:val="en-US"/>
        </w:rPr>
        <w:t xml:space="preserve"> and </w:t>
      </w:r>
      <w:proofErr w:type="spellStart"/>
      <w:r w:rsidRPr="00917F58">
        <w:rPr>
          <w:rFonts w:ascii="Times New Roman" w:hAnsi="Times New Roman" w:cs="Times New Roman"/>
          <w:sz w:val="24"/>
          <w:szCs w:val="24"/>
          <w:lang w:val="en-US"/>
        </w:rPr>
        <w:t>anaemic</w:t>
      </w:r>
      <w:proofErr w:type="spellEnd"/>
      <w:r w:rsidRPr="00917F58">
        <w:rPr>
          <w:rFonts w:ascii="Times New Roman" w:hAnsi="Times New Roman" w:cs="Times New Roman"/>
          <w:sz w:val="24"/>
          <w:szCs w:val="24"/>
          <w:lang w:val="en-US"/>
        </w:rPr>
        <w:t xml:space="preserve"> or no growth projected for 2014. Unemplo</w:t>
      </w:r>
      <w:r w:rsidR="002008C0">
        <w:rPr>
          <w:rFonts w:ascii="Times New Roman" w:hAnsi="Times New Roman" w:cs="Times New Roman"/>
          <w:sz w:val="24"/>
          <w:szCs w:val="24"/>
          <w:lang w:val="en-US"/>
        </w:rPr>
        <w:t>yment more than tripled, from 1</w:t>
      </w:r>
      <w:r w:rsidRPr="00917F58">
        <w:rPr>
          <w:rFonts w:ascii="Times New Roman" w:hAnsi="Times New Roman" w:cs="Times New Roman"/>
          <w:sz w:val="24"/>
          <w:szCs w:val="24"/>
          <w:lang w:val="en-US"/>
        </w:rPr>
        <w:t>7% in 2008 to 24.3% in 2012, and long-term unemployment reached 14.4% [14].</w:t>
      </w:r>
    </w:p>
    <w:p w:rsidR="00B67AE8" w:rsidRPr="00917F58" w:rsidRDefault="005520E7" w:rsidP="00B67AE8">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00B67AE8" w:rsidRPr="00C5255B">
        <w:rPr>
          <w:rFonts w:ascii="Times New Roman" w:hAnsi="Times New Roman" w:cs="Times New Roman"/>
          <w:sz w:val="24"/>
          <w:szCs w:val="24"/>
          <w:lang w:val="en-US"/>
        </w:rPr>
        <w:t xml:space="preserve"> deep financial crisis</w:t>
      </w:r>
      <w:r>
        <w:rPr>
          <w:rFonts w:ascii="Times New Roman" w:hAnsi="Times New Roman" w:cs="Times New Roman"/>
          <w:sz w:val="24"/>
          <w:szCs w:val="24"/>
          <w:lang w:val="en-US"/>
        </w:rPr>
        <w:t xml:space="preserve"> that Greece entered in 2008 </w:t>
      </w:r>
      <w:r w:rsidR="00B67AE8" w:rsidRPr="00C5255B">
        <w:rPr>
          <w:rFonts w:ascii="Times New Roman" w:hAnsi="Times New Roman" w:cs="Times New Roman"/>
          <w:sz w:val="24"/>
          <w:szCs w:val="24"/>
          <w:lang w:val="en-US"/>
        </w:rPr>
        <w:t xml:space="preserve">has raised concerns about severe public health consequences, economic downturns historically being associated with increases in mortality. In 2012, there were 116,670 deaths in Greece, the highest number since 1949. The 2008–2012 </w:t>
      </w:r>
      <w:proofErr w:type="gramStart"/>
      <w:r w:rsidR="00B67AE8" w:rsidRPr="00C5255B">
        <w:rPr>
          <w:rFonts w:ascii="Times New Roman" w:hAnsi="Times New Roman" w:cs="Times New Roman"/>
          <w:sz w:val="24"/>
          <w:szCs w:val="24"/>
          <w:lang w:val="en-US"/>
        </w:rPr>
        <w:t>rise</w:t>
      </w:r>
      <w:proofErr w:type="gramEnd"/>
      <w:r w:rsidR="00B67AE8" w:rsidRPr="00C5255B">
        <w:rPr>
          <w:rFonts w:ascii="Times New Roman" w:hAnsi="Times New Roman" w:cs="Times New Roman"/>
          <w:sz w:val="24"/>
          <w:szCs w:val="24"/>
          <w:lang w:val="en-US"/>
        </w:rPr>
        <w:t xml:space="preserve"> in the number of death</w:t>
      </w:r>
      <w:r>
        <w:rPr>
          <w:rFonts w:ascii="Times New Roman" w:hAnsi="Times New Roman" w:cs="Times New Roman"/>
          <w:sz w:val="24"/>
          <w:szCs w:val="24"/>
          <w:lang w:val="en-US"/>
        </w:rPr>
        <w:t>s</w:t>
      </w:r>
      <w:r w:rsidR="00B67AE8" w:rsidRPr="00C5255B">
        <w:rPr>
          <w:rFonts w:ascii="Times New Roman" w:hAnsi="Times New Roman" w:cs="Times New Roman"/>
          <w:sz w:val="24"/>
          <w:szCs w:val="24"/>
          <w:lang w:val="en-US"/>
        </w:rPr>
        <w:t xml:space="preserve"> is attributed to the increase in the number of deaths in the oldest</w:t>
      </w:r>
      <w:r>
        <w:rPr>
          <w:rFonts w:ascii="Times New Roman" w:hAnsi="Times New Roman" w:cs="Times New Roman"/>
          <w:sz w:val="24"/>
          <w:szCs w:val="24"/>
          <w:lang w:val="en-US"/>
        </w:rPr>
        <w:t xml:space="preserve"> individuals, with </w:t>
      </w:r>
      <w:r w:rsidR="00B67AE8" w:rsidRPr="00C5255B">
        <w:rPr>
          <w:rFonts w:ascii="Times New Roman" w:hAnsi="Times New Roman" w:cs="Times New Roman"/>
          <w:sz w:val="24"/>
          <w:szCs w:val="24"/>
          <w:lang w:val="en-US"/>
        </w:rPr>
        <w:t xml:space="preserve">increases </w:t>
      </w:r>
      <w:r>
        <w:rPr>
          <w:rFonts w:ascii="Times New Roman" w:hAnsi="Times New Roman" w:cs="Times New Roman"/>
          <w:sz w:val="24"/>
          <w:szCs w:val="24"/>
          <w:lang w:val="en-US"/>
        </w:rPr>
        <w:t>of 12.5% and 24</w:t>
      </w:r>
      <w:r w:rsidRPr="00C5255B">
        <w:rPr>
          <w:rFonts w:ascii="Times New Roman" w:hAnsi="Times New Roman" w:cs="Times New Roman"/>
          <w:sz w:val="24"/>
          <w:szCs w:val="24"/>
          <w:lang w:val="en-US"/>
        </w:rPr>
        <w:t xml:space="preserve">.3% </w:t>
      </w:r>
      <w:r w:rsidR="00B67AE8" w:rsidRPr="00C5255B">
        <w:rPr>
          <w:rFonts w:ascii="Times New Roman" w:hAnsi="Times New Roman" w:cs="Times New Roman"/>
          <w:sz w:val="24"/>
          <w:szCs w:val="24"/>
          <w:lang w:val="en-US"/>
        </w:rPr>
        <w:t xml:space="preserve">in </w:t>
      </w:r>
      <w:r>
        <w:rPr>
          <w:rFonts w:ascii="Times New Roman" w:hAnsi="Times New Roman" w:cs="Times New Roman"/>
          <w:sz w:val="24"/>
          <w:szCs w:val="24"/>
          <w:lang w:val="en-US"/>
        </w:rPr>
        <w:t>those</w:t>
      </w:r>
      <w:r w:rsidR="00B67AE8" w:rsidRPr="00C5255B">
        <w:rPr>
          <w:rFonts w:ascii="Times New Roman" w:hAnsi="Times New Roman" w:cs="Times New Roman"/>
          <w:sz w:val="24"/>
          <w:szCs w:val="24"/>
          <w:lang w:val="en-US"/>
        </w:rPr>
        <w:t xml:space="preserve"> aged 80–84 and </w:t>
      </w:r>
      <w:r>
        <w:rPr>
          <w:rFonts w:ascii="Times New Roman" w:hAnsi="Times New Roman" w:cs="Times New Roman"/>
          <w:sz w:val="24"/>
          <w:szCs w:val="24"/>
          <w:lang w:val="en-US"/>
        </w:rPr>
        <w:t>over 85</w:t>
      </w:r>
      <w:r w:rsidR="00B67AE8" w:rsidRPr="00C5255B">
        <w:rPr>
          <w:rFonts w:ascii="Times New Roman" w:hAnsi="Times New Roman" w:cs="Times New Roman"/>
          <w:sz w:val="24"/>
          <w:szCs w:val="24"/>
          <w:lang w:val="en-US"/>
        </w:rPr>
        <w:t xml:space="preserve">, respectively. This increased mortality in people </w:t>
      </w:r>
      <w:r>
        <w:rPr>
          <w:rFonts w:ascii="Times New Roman" w:hAnsi="Times New Roman" w:cs="Times New Roman"/>
          <w:sz w:val="24"/>
          <w:szCs w:val="24"/>
          <w:lang w:val="en-US"/>
        </w:rPr>
        <w:t>over</w:t>
      </w:r>
      <w:r w:rsidR="00B67AE8" w:rsidRPr="00C5255B">
        <w:rPr>
          <w:rFonts w:ascii="Times New Roman" w:hAnsi="Times New Roman" w:cs="Times New Roman"/>
          <w:sz w:val="24"/>
          <w:szCs w:val="24"/>
          <w:lang w:val="en-US"/>
        </w:rPr>
        <w:t xml:space="preserve"> 55 </w:t>
      </w:r>
      <w:r w:rsidR="00C83FD8">
        <w:rPr>
          <w:rFonts w:ascii="Times New Roman" w:hAnsi="Times New Roman" w:cs="Times New Roman"/>
          <w:sz w:val="24"/>
          <w:szCs w:val="24"/>
          <w:lang w:val="en-US"/>
        </w:rPr>
        <w:t>possibly</w:t>
      </w:r>
      <w:r w:rsidR="00B67AE8" w:rsidRPr="00C5255B">
        <w:rPr>
          <w:rFonts w:ascii="Times New Roman" w:hAnsi="Times New Roman" w:cs="Times New Roman"/>
          <w:sz w:val="24"/>
          <w:szCs w:val="24"/>
          <w:lang w:val="en-US"/>
        </w:rPr>
        <w:t xml:space="preserve"> constitutes the first evident consequence of austerity on mortality in Greece. This trend </w:t>
      </w:r>
      <w:r w:rsidR="00C83FD8">
        <w:rPr>
          <w:rFonts w:ascii="Times New Roman" w:hAnsi="Times New Roman" w:cs="Times New Roman"/>
          <w:sz w:val="24"/>
          <w:szCs w:val="24"/>
          <w:lang w:val="en-US"/>
        </w:rPr>
        <w:t>could be</w:t>
      </w:r>
      <w:r w:rsidR="00B67AE8" w:rsidRPr="00C5255B">
        <w:rPr>
          <w:rFonts w:ascii="Times New Roman" w:hAnsi="Times New Roman" w:cs="Times New Roman"/>
          <w:sz w:val="24"/>
          <w:szCs w:val="24"/>
          <w:lang w:val="en-US"/>
        </w:rPr>
        <w:t xml:space="preserve"> related to barriers to access</w:t>
      </w:r>
      <w:r w:rsidR="00C83FD8">
        <w:rPr>
          <w:rFonts w:ascii="Times New Roman" w:hAnsi="Times New Roman" w:cs="Times New Roman"/>
          <w:sz w:val="24"/>
          <w:szCs w:val="24"/>
          <w:lang w:val="en-US"/>
        </w:rPr>
        <w:t>ing</w:t>
      </w:r>
      <w:r w:rsidR="00B67AE8" w:rsidRPr="00C5255B">
        <w:rPr>
          <w:rFonts w:ascii="Times New Roman" w:hAnsi="Times New Roman" w:cs="Times New Roman"/>
          <w:sz w:val="24"/>
          <w:szCs w:val="24"/>
          <w:lang w:val="en-US"/>
        </w:rPr>
        <w:t xml:space="preserve"> health care for </w:t>
      </w:r>
      <w:r w:rsidR="00C83FD8">
        <w:rPr>
          <w:rFonts w:ascii="Times New Roman" w:hAnsi="Times New Roman" w:cs="Times New Roman"/>
          <w:sz w:val="24"/>
          <w:szCs w:val="24"/>
          <w:lang w:val="en-US"/>
        </w:rPr>
        <w:t xml:space="preserve">the </w:t>
      </w:r>
      <w:r w:rsidR="00B67AE8" w:rsidRPr="00C5255B">
        <w:rPr>
          <w:rFonts w:ascii="Times New Roman" w:hAnsi="Times New Roman" w:cs="Times New Roman"/>
          <w:sz w:val="24"/>
          <w:szCs w:val="24"/>
          <w:lang w:val="en-US"/>
        </w:rPr>
        <w:t xml:space="preserve">chronically ill </w:t>
      </w:r>
      <w:r w:rsidR="00C83FD8">
        <w:rPr>
          <w:rFonts w:ascii="Times New Roman" w:hAnsi="Times New Roman" w:cs="Times New Roman"/>
          <w:sz w:val="24"/>
          <w:szCs w:val="24"/>
          <w:lang w:val="en-US"/>
        </w:rPr>
        <w:t>due to</w:t>
      </w:r>
      <w:r w:rsidR="00B67AE8" w:rsidRPr="00C5255B">
        <w:rPr>
          <w:rFonts w:ascii="Times New Roman" w:hAnsi="Times New Roman" w:cs="Times New Roman"/>
          <w:sz w:val="24"/>
          <w:szCs w:val="24"/>
          <w:lang w:val="en-US"/>
        </w:rPr>
        <w:t xml:space="preserve"> drastic restrictions in health policies and the increase</w:t>
      </w:r>
      <w:r w:rsidR="00B67AE8">
        <w:rPr>
          <w:rFonts w:ascii="Times New Roman" w:hAnsi="Times New Roman" w:cs="Times New Roman"/>
          <w:sz w:val="24"/>
          <w:szCs w:val="24"/>
          <w:lang w:val="en-US"/>
        </w:rPr>
        <w:t>d number</w:t>
      </w:r>
      <w:r w:rsidR="00F67FDC">
        <w:rPr>
          <w:rFonts w:ascii="Times New Roman" w:hAnsi="Times New Roman" w:cs="Times New Roman"/>
          <w:sz w:val="24"/>
          <w:szCs w:val="24"/>
          <w:lang w:val="en-US"/>
        </w:rPr>
        <w:t xml:space="preserve"> </w:t>
      </w:r>
      <w:r w:rsidR="00B67AE8">
        <w:rPr>
          <w:rFonts w:ascii="Times New Roman" w:hAnsi="Times New Roman" w:cs="Times New Roman"/>
          <w:sz w:val="24"/>
          <w:szCs w:val="24"/>
          <w:lang w:val="en-US"/>
        </w:rPr>
        <w:t>of</w:t>
      </w:r>
      <w:r w:rsidR="00F67FDC">
        <w:rPr>
          <w:rFonts w:ascii="Times New Roman" w:hAnsi="Times New Roman" w:cs="Times New Roman"/>
          <w:sz w:val="24"/>
          <w:szCs w:val="24"/>
          <w:lang w:val="en-US"/>
        </w:rPr>
        <w:t xml:space="preserve"> </w:t>
      </w:r>
      <w:r w:rsidR="00C83FD8">
        <w:rPr>
          <w:rFonts w:ascii="Times New Roman" w:hAnsi="Times New Roman" w:cs="Times New Roman"/>
          <w:sz w:val="24"/>
          <w:szCs w:val="24"/>
          <w:lang w:val="en-US"/>
        </w:rPr>
        <w:t xml:space="preserve">those </w:t>
      </w:r>
      <w:r w:rsidR="00B67AE8" w:rsidRPr="00C5255B">
        <w:rPr>
          <w:rFonts w:ascii="Times New Roman" w:hAnsi="Times New Roman" w:cs="Times New Roman"/>
          <w:sz w:val="24"/>
          <w:szCs w:val="24"/>
          <w:lang w:val="en-US"/>
        </w:rPr>
        <w:t>uninsured [15].</w:t>
      </w:r>
    </w:p>
    <w:p w:rsidR="00B67AE8" w:rsidRPr="002D1DED" w:rsidRDefault="0024680C" w:rsidP="00B67AE8">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Similar</w:t>
      </w:r>
      <w:r w:rsidR="00B67AE8">
        <w:rPr>
          <w:rFonts w:ascii="Times New Roman" w:hAnsi="Times New Roman" w:cs="Times New Roman"/>
          <w:sz w:val="24"/>
          <w:szCs w:val="24"/>
          <w:lang w:val="en-US"/>
        </w:rPr>
        <w:t>ly, i</w:t>
      </w:r>
      <w:r w:rsidR="00B67AE8" w:rsidRPr="00B66A65">
        <w:rPr>
          <w:rFonts w:ascii="Times New Roman" w:hAnsi="Times New Roman" w:cs="Times New Roman"/>
          <w:sz w:val="24"/>
          <w:szCs w:val="24"/>
          <w:lang w:val="en-US"/>
        </w:rPr>
        <w:t xml:space="preserve">n Portugal, austerity measures imposed by the IMF have </w:t>
      </w:r>
      <w:r>
        <w:rPr>
          <w:rFonts w:ascii="Times New Roman" w:hAnsi="Times New Roman" w:cs="Times New Roman"/>
          <w:sz w:val="24"/>
          <w:szCs w:val="24"/>
          <w:lang w:val="en-US"/>
        </w:rPr>
        <w:t>led to</w:t>
      </w:r>
      <w:r w:rsidR="00B67AE8" w:rsidRPr="00B66A65">
        <w:rPr>
          <w:rFonts w:ascii="Times New Roman" w:hAnsi="Times New Roman" w:cs="Times New Roman"/>
          <w:sz w:val="24"/>
          <w:szCs w:val="24"/>
          <w:lang w:val="en-US"/>
        </w:rPr>
        <w:t xml:space="preserve"> major </w:t>
      </w:r>
      <w:r w:rsidR="00B67AE8">
        <w:rPr>
          <w:rFonts w:ascii="Times New Roman" w:hAnsi="Times New Roman" w:cs="Times New Roman"/>
          <w:sz w:val="24"/>
          <w:szCs w:val="24"/>
          <w:lang w:val="en-US"/>
        </w:rPr>
        <w:t>consequences</w:t>
      </w:r>
      <w:r w:rsidR="008C5F80">
        <w:rPr>
          <w:rFonts w:ascii="Times New Roman" w:hAnsi="Times New Roman" w:cs="Times New Roman"/>
          <w:sz w:val="24"/>
          <w:szCs w:val="24"/>
          <w:lang w:val="en-US"/>
        </w:rPr>
        <w:t xml:space="preserve"> </w:t>
      </w:r>
      <w:r>
        <w:rPr>
          <w:rFonts w:ascii="Times New Roman" w:hAnsi="Times New Roman" w:cs="Times New Roman"/>
          <w:sz w:val="24"/>
          <w:szCs w:val="24"/>
          <w:lang w:val="en-US"/>
        </w:rPr>
        <w:t>for</w:t>
      </w:r>
      <w:r w:rsidR="00B67AE8">
        <w:rPr>
          <w:rFonts w:ascii="Times New Roman" w:hAnsi="Times New Roman" w:cs="Times New Roman"/>
          <w:sz w:val="24"/>
          <w:szCs w:val="24"/>
          <w:lang w:val="en-US"/>
        </w:rPr>
        <w:t xml:space="preserve"> vulnerable population groups and</w:t>
      </w:r>
      <w:r>
        <w:rPr>
          <w:rFonts w:ascii="Times New Roman" w:hAnsi="Times New Roman" w:cs="Times New Roman"/>
          <w:sz w:val="24"/>
          <w:szCs w:val="24"/>
          <w:lang w:val="en-US"/>
        </w:rPr>
        <w:t xml:space="preserve"> an increase in mortality, mental diseases</w:t>
      </w:r>
      <w:r w:rsidR="00B67AE8" w:rsidRPr="00B66A65">
        <w:rPr>
          <w:rFonts w:ascii="Times New Roman" w:hAnsi="Times New Roman" w:cs="Times New Roman"/>
          <w:sz w:val="24"/>
          <w:szCs w:val="24"/>
          <w:lang w:val="en-US"/>
        </w:rPr>
        <w:t xml:space="preserve"> and suicide</w:t>
      </w:r>
      <w:r w:rsidR="00B67AE8">
        <w:rPr>
          <w:rFonts w:ascii="Times New Roman" w:hAnsi="Times New Roman" w:cs="Times New Roman"/>
          <w:sz w:val="24"/>
          <w:szCs w:val="24"/>
          <w:lang w:val="en-US"/>
        </w:rPr>
        <w:t>s</w:t>
      </w:r>
      <w:r w:rsidR="00B67AE8" w:rsidRPr="00B21446">
        <w:rPr>
          <w:rFonts w:ascii="Times New Roman" w:hAnsi="Times New Roman" w:cs="Times New Roman"/>
          <w:sz w:val="24"/>
          <w:szCs w:val="24"/>
          <w:lang w:val="en-US"/>
        </w:rPr>
        <w:t xml:space="preserve">. An increase was also noted in the percentage of </w:t>
      </w:r>
      <w:r w:rsidRPr="00B21446">
        <w:rPr>
          <w:rFonts w:ascii="Times New Roman" w:hAnsi="Times New Roman" w:cs="Times New Roman"/>
          <w:sz w:val="24"/>
          <w:szCs w:val="24"/>
          <w:lang w:val="en-US"/>
        </w:rPr>
        <w:t xml:space="preserve">the </w:t>
      </w:r>
      <w:r w:rsidR="00B67AE8" w:rsidRPr="00B21446">
        <w:rPr>
          <w:rFonts w:ascii="Times New Roman" w:hAnsi="Times New Roman" w:cs="Times New Roman"/>
          <w:sz w:val="24"/>
          <w:szCs w:val="24"/>
          <w:lang w:val="en-US"/>
        </w:rPr>
        <w:t xml:space="preserve">population reporting unmet healthcare needs due to an increase in </w:t>
      </w:r>
      <w:r w:rsidRPr="00B21446">
        <w:rPr>
          <w:rFonts w:ascii="Times New Roman" w:hAnsi="Times New Roman" w:cs="Times New Roman"/>
          <w:sz w:val="24"/>
          <w:szCs w:val="24"/>
          <w:lang w:val="en-US"/>
        </w:rPr>
        <w:t>the number of those seeking healthcare provision</w:t>
      </w:r>
      <w:r w:rsidR="00903F8A" w:rsidRPr="00B21446">
        <w:rPr>
          <w:rFonts w:ascii="Times New Roman" w:hAnsi="Times New Roman" w:cs="Times New Roman"/>
          <w:sz w:val="24"/>
          <w:szCs w:val="24"/>
          <w:lang w:val="en-US"/>
        </w:rPr>
        <w:t xml:space="preserve"> and due to the implementation of the co-payment for healthcare services</w:t>
      </w:r>
      <w:r w:rsidR="00B67AE8" w:rsidRPr="00B21446">
        <w:rPr>
          <w:rFonts w:ascii="Times New Roman" w:hAnsi="Times New Roman" w:cs="Times New Roman"/>
          <w:sz w:val="24"/>
          <w:szCs w:val="24"/>
          <w:lang w:val="en-US"/>
        </w:rPr>
        <w:t>.</w:t>
      </w:r>
      <w:r w:rsidR="00B67AE8" w:rsidRPr="00B66A65">
        <w:rPr>
          <w:rFonts w:ascii="Times New Roman" w:hAnsi="Times New Roman" w:cs="Times New Roman"/>
          <w:sz w:val="24"/>
          <w:szCs w:val="24"/>
          <w:lang w:val="en-US"/>
        </w:rPr>
        <w:t xml:space="preserve"> </w:t>
      </w:r>
      <w:r>
        <w:rPr>
          <w:rFonts w:ascii="Times New Roman" w:hAnsi="Times New Roman" w:cs="Times New Roman"/>
          <w:sz w:val="24"/>
          <w:szCs w:val="24"/>
          <w:lang w:val="en-US"/>
        </w:rPr>
        <w:t>Consequently</w:t>
      </w:r>
      <w:r w:rsidR="00B67AE8" w:rsidRPr="00B66A65">
        <w:rPr>
          <w:rFonts w:ascii="Times New Roman" w:hAnsi="Times New Roman" w:cs="Times New Roman"/>
          <w:sz w:val="24"/>
          <w:szCs w:val="24"/>
          <w:lang w:val="en-US"/>
        </w:rPr>
        <w:t xml:space="preserve">, access to healthcare has decreased, </w:t>
      </w:r>
      <w:r>
        <w:rPr>
          <w:rFonts w:ascii="Times New Roman" w:hAnsi="Times New Roman" w:cs="Times New Roman"/>
          <w:sz w:val="24"/>
          <w:szCs w:val="24"/>
          <w:lang w:val="en-US"/>
        </w:rPr>
        <w:t>resulting in an increase in</w:t>
      </w:r>
      <w:r w:rsidR="00B67AE8" w:rsidRPr="00B66A65">
        <w:rPr>
          <w:rFonts w:ascii="Times New Roman" w:hAnsi="Times New Roman" w:cs="Times New Roman"/>
          <w:sz w:val="24"/>
          <w:szCs w:val="24"/>
          <w:lang w:val="en-US"/>
        </w:rPr>
        <w:t xml:space="preserve"> mortality </w:t>
      </w:r>
      <w:r>
        <w:rPr>
          <w:rFonts w:ascii="Times New Roman" w:hAnsi="Times New Roman" w:cs="Times New Roman"/>
          <w:sz w:val="24"/>
          <w:szCs w:val="24"/>
          <w:lang w:val="en-US"/>
        </w:rPr>
        <w:t>caused by</w:t>
      </w:r>
      <w:r w:rsidR="00B67AE8" w:rsidRPr="00B66A65">
        <w:rPr>
          <w:rFonts w:ascii="Times New Roman" w:hAnsi="Times New Roman" w:cs="Times New Roman"/>
          <w:sz w:val="24"/>
          <w:szCs w:val="24"/>
          <w:lang w:val="en-US"/>
        </w:rPr>
        <w:t xml:space="preserve"> various diseases. Portugal </w:t>
      </w:r>
      <w:r w:rsidR="00B67AE8">
        <w:rPr>
          <w:rFonts w:ascii="Times New Roman" w:hAnsi="Times New Roman" w:cs="Times New Roman"/>
          <w:sz w:val="24"/>
          <w:szCs w:val="24"/>
          <w:lang w:val="en-US"/>
        </w:rPr>
        <w:t>has</w:t>
      </w:r>
      <w:r w:rsidR="008C5F8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recorded </w:t>
      </w:r>
      <w:r w:rsidR="00B67AE8" w:rsidRPr="00B66A65">
        <w:rPr>
          <w:rFonts w:ascii="Times New Roman" w:hAnsi="Times New Roman" w:cs="Times New Roman"/>
          <w:sz w:val="24"/>
          <w:szCs w:val="24"/>
          <w:lang w:val="en-US"/>
        </w:rPr>
        <w:t xml:space="preserve">one of the highest </w:t>
      </w:r>
      <w:r>
        <w:rPr>
          <w:rFonts w:ascii="Times New Roman" w:hAnsi="Times New Roman" w:cs="Times New Roman"/>
          <w:sz w:val="24"/>
          <w:szCs w:val="24"/>
          <w:lang w:val="en-US"/>
        </w:rPr>
        <w:t>increases in the</w:t>
      </w:r>
      <w:r w:rsidR="00B67AE8" w:rsidRPr="00B66A65">
        <w:rPr>
          <w:rFonts w:ascii="Times New Roman" w:hAnsi="Times New Roman" w:cs="Times New Roman"/>
          <w:sz w:val="24"/>
          <w:szCs w:val="24"/>
          <w:lang w:val="en-US"/>
        </w:rPr>
        <w:t xml:space="preserve"> percentage of </w:t>
      </w:r>
      <w:r>
        <w:rPr>
          <w:rFonts w:ascii="Times New Roman" w:hAnsi="Times New Roman" w:cs="Times New Roman"/>
          <w:sz w:val="24"/>
          <w:szCs w:val="24"/>
          <w:lang w:val="en-US"/>
        </w:rPr>
        <w:t xml:space="preserve">the </w:t>
      </w:r>
      <w:r w:rsidR="00B67AE8" w:rsidRPr="00B66A65">
        <w:rPr>
          <w:rFonts w:ascii="Times New Roman" w:hAnsi="Times New Roman" w:cs="Times New Roman"/>
          <w:sz w:val="24"/>
          <w:szCs w:val="24"/>
          <w:lang w:val="en-US"/>
        </w:rPr>
        <w:t xml:space="preserve">population </w:t>
      </w:r>
      <w:r w:rsidR="00B67AE8">
        <w:rPr>
          <w:rFonts w:ascii="Times New Roman" w:hAnsi="Times New Roman" w:cs="Times New Roman"/>
          <w:sz w:val="24"/>
          <w:szCs w:val="24"/>
          <w:lang w:val="en-US"/>
        </w:rPr>
        <w:t>being unable</w:t>
      </w:r>
      <w:r w:rsidR="00B67AE8" w:rsidRPr="00B66A65">
        <w:rPr>
          <w:rFonts w:ascii="Times New Roman" w:hAnsi="Times New Roman" w:cs="Times New Roman"/>
          <w:sz w:val="24"/>
          <w:szCs w:val="24"/>
          <w:lang w:val="en-US"/>
        </w:rPr>
        <w:t xml:space="preserve"> to </w:t>
      </w:r>
      <w:r w:rsidR="00B67AE8">
        <w:rPr>
          <w:rFonts w:ascii="Times New Roman" w:hAnsi="Times New Roman" w:cs="Times New Roman"/>
          <w:sz w:val="24"/>
          <w:szCs w:val="24"/>
          <w:lang w:val="en-US"/>
        </w:rPr>
        <w:t xml:space="preserve">keep their home adequately </w:t>
      </w:r>
      <w:r>
        <w:rPr>
          <w:rFonts w:ascii="Times New Roman" w:hAnsi="Times New Roman" w:cs="Times New Roman"/>
          <w:sz w:val="24"/>
          <w:szCs w:val="24"/>
          <w:lang w:val="en-US"/>
        </w:rPr>
        <w:t>heated</w:t>
      </w:r>
      <w:r w:rsidR="00B67AE8" w:rsidRPr="00B66A65">
        <w:rPr>
          <w:rFonts w:ascii="Times New Roman" w:hAnsi="Times New Roman" w:cs="Times New Roman"/>
          <w:sz w:val="24"/>
          <w:szCs w:val="24"/>
          <w:lang w:val="en-US"/>
        </w:rPr>
        <w:t xml:space="preserve">, resulting in high morbidity from illnesses. </w:t>
      </w:r>
      <w:r w:rsidR="00B67AE8">
        <w:rPr>
          <w:rFonts w:ascii="Times New Roman" w:hAnsi="Times New Roman" w:cs="Times New Roman"/>
          <w:sz w:val="24"/>
          <w:szCs w:val="24"/>
          <w:lang w:val="en-US"/>
        </w:rPr>
        <w:t xml:space="preserve">Only Greece </w:t>
      </w:r>
      <w:r w:rsidR="00BB0B41">
        <w:rPr>
          <w:rFonts w:ascii="Times New Roman" w:hAnsi="Times New Roman" w:cs="Times New Roman"/>
          <w:sz w:val="24"/>
          <w:szCs w:val="24"/>
          <w:lang w:val="en-US"/>
        </w:rPr>
        <w:t xml:space="preserve">has </w:t>
      </w:r>
      <w:r w:rsidR="00B67AE8">
        <w:rPr>
          <w:rFonts w:ascii="Times New Roman" w:hAnsi="Times New Roman" w:cs="Times New Roman"/>
          <w:sz w:val="24"/>
          <w:szCs w:val="24"/>
          <w:lang w:val="en-US"/>
        </w:rPr>
        <w:t>exceeded t</w:t>
      </w:r>
      <w:r w:rsidR="00B67AE8" w:rsidRPr="002D1DED">
        <w:rPr>
          <w:rFonts w:ascii="Times New Roman" w:hAnsi="Times New Roman" w:cs="Times New Roman"/>
          <w:sz w:val="24"/>
          <w:szCs w:val="24"/>
          <w:lang w:val="en-US"/>
        </w:rPr>
        <w:t xml:space="preserve">his </w:t>
      </w:r>
      <w:r w:rsidR="00B67AE8">
        <w:rPr>
          <w:rFonts w:ascii="Times New Roman" w:hAnsi="Times New Roman" w:cs="Times New Roman"/>
          <w:sz w:val="24"/>
          <w:szCs w:val="24"/>
          <w:lang w:val="en-US"/>
        </w:rPr>
        <w:t>percentage</w:t>
      </w:r>
      <w:r w:rsidR="00B67AE8" w:rsidRPr="002D1DED">
        <w:rPr>
          <w:rFonts w:ascii="Times New Roman" w:hAnsi="Times New Roman" w:cs="Times New Roman"/>
          <w:sz w:val="24"/>
          <w:szCs w:val="24"/>
          <w:lang w:val="en-US"/>
        </w:rPr>
        <w:t xml:space="preserve"> in recent years [12].</w:t>
      </w:r>
    </w:p>
    <w:p w:rsidR="00C4384D" w:rsidRDefault="00B67AE8" w:rsidP="004A2A9E">
      <w:pPr>
        <w:spacing w:after="0"/>
        <w:ind w:firstLine="567"/>
        <w:jc w:val="both"/>
        <w:rPr>
          <w:rFonts w:ascii="Times New Roman" w:hAnsi="Times New Roman" w:cs="Times New Roman"/>
          <w:sz w:val="24"/>
          <w:szCs w:val="24"/>
          <w:lang w:val="en-US"/>
        </w:rPr>
      </w:pPr>
      <w:r w:rsidRPr="00BA008E">
        <w:rPr>
          <w:rFonts w:ascii="Times New Roman" w:hAnsi="Times New Roman" w:cs="Times New Roman"/>
          <w:sz w:val="24"/>
          <w:szCs w:val="24"/>
          <w:lang w:val="en-US"/>
        </w:rPr>
        <w:t xml:space="preserve">During economic crises, the demand for healthcare and </w:t>
      </w:r>
      <w:r>
        <w:rPr>
          <w:rFonts w:ascii="Times New Roman" w:hAnsi="Times New Roman" w:cs="Times New Roman"/>
          <w:sz w:val="24"/>
          <w:szCs w:val="24"/>
          <w:lang w:val="en-US"/>
        </w:rPr>
        <w:t>the</w:t>
      </w:r>
      <w:r w:rsidRPr="00BA008E">
        <w:rPr>
          <w:rFonts w:ascii="Times New Roman" w:hAnsi="Times New Roman" w:cs="Times New Roman"/>
          <w:sz w:val="24"/>
          <w:szCs w:val="24"/>
          <w:lang w:val="en-US"/>
        </w:rPr>
        <w:t xml:space="preserve"> utilization </w:t>
      </w:r>
      <w:r>
        <w:rPr>
          <w:rFonts w:ascii="Times New Roman" w:hAnsi="Times New Roman" w:cs="Times New Roman"/>
          <w:sz w:val="24"/>
          <w:szCs w:val="24"/>
          <w:lang w:val="en-US"/>
        </w:rPr>
        <w:t xml:space="preserve">of such services </w:t>
      </w:r>
      <w:r w:rsidRPr="00BA008E">
        <w:rPr>
          <w:rFonts w:ascii="Times New Roman" w:hAnsi="Times New Roman" w:cs="Times New Roman"/>
          <w:sz w:val="24"/>
          <w:szCs w:val="24"/>
          <w:lang w:val="en-US"/>
        </w:rPr>
        <w:t xml:space="preserve">follows </w:t>
      </w:r>
      <w:r w:rsidR="00BB0B41">
        <w:rPr>
          <w:rFonts w:ascii="Times New Roman" w:hAnsi="Times New Roman" w:cs="Times New Roman"/>
          <w:sz w:val="24"/>
          <w:szCs w:val="24"/>
          <w:lang w:val="en-US"/>
        </w:rPr>
        <w:t xml:space="preserve">a </w:t>
      </w:r>
      <w:r w:rsidRPr="00BA008E">
        <w:rPr>
          <w:rFonts w:ascii="Times New Roman" w:hAnsi="Times New Roman" w:cs="Times New Roman"/>
          <w:sz w:val="24"/>
          <w:szCs w:val="24"/>
          <w:lang w:val="en-US"/>
        </w:rPr>
        <w:t xml:space="preserve">general </w:t>
      </w:r>
      <w:r>
        <w:rPr>
          <w:rFonts w:ascii="Times New Roman" w:hAnsi="Times New Roman" w:cs="Times New Roman"/>
          <w:sz w:val="24"/>
          <w:szCs w:val="24"/>
          <w:lang w:val="en-US"/>
        </w:rPr>
        <w:t>drop in socio</w:t>
      </w:r>
      <w:r w:rsidRPr="00BA008E">
        <w:rPr>
          <w:rFonts w:ascii="Times New Roman" w:hAnsi="Times New Roman" w:cs="Times New Roman"/>
          <w:sz w:val="24"/>
          <w:szCs w:val="24"/>
          <w:lang w:val="en-US"/>
        </w:rPr>
        <w:t xml:space="preserve">economic </w:t>
      </w:r>
      <w:r>
        <w:rPr>
          <w:rFonts w:ascii="Times New Roman" w:hAnsi="Times New Roman" w:cs="Times New Roman"/>
          <w:sz w:val="24"/>
          <w:szCs w:val="24"/>
          <w:lang w:val="en-US"/>
        </w:rPr>
        <w:t>status</w:t>
      </w:r>
      <w:r w:rsidRPr="00BA008E">
        <w:rPr>
          <w:rFonts w:ascii="Times New Roman" w:hAnsi="Times New Roman" w:cs="Times New Roman"/>
          <w:sz w:val="24"/>
          <w:szCs w:val="24"/>
          <w:lang w:val="en-US"/>
        </w:rPr>
        <w:t xml:space="preserve">. Several studies </w:t>
      </w:r>
      <w:r>
        <w:rPr>
          <w:rFonts w:ascii="Times New Roman" w:hAnsi="Times New Roman" w:cs="Times New Roman"/>
          <w:sz w:val="24"/>
          <w:szCs w:val="24"/>
          <w:lang w:val="en-US"/>
        </w:rPr>
        <w:t>indicate</w:t>
      </w:r>
      <w:r w:rsidRPr="00BA008E">
        <w:rPr>
          <w:rFonts w:ascii="Times New Roman" w:hAnsi="Times New Roman" w:cs="Times New Roman"/>
          <w:sz w:val="24"/>
          <w:szCs w:val="24"/>
          <w:lang w:val="en-US"/>
        </w:rPr>
        <w:t xml:space="preserve"> that unmet health</w:t>
      </w:r>
      <w:r w:rsidR="009134EB">
        <w:rPr>
          <w:rFonts w:ascii="Times New Roman" w:hAnsi="Times New Roman" w:cs="Times New Roman"/>
          <w:sz w:val="24"/>
          <w:szCs w:val="24"/>
          <w:lang w:val="en-US"/>
        </w:rPr>
        <w:t xml:space="preserve"> </w:t>
      </w:r>
      <w:r>
        <w:rPr>
          <w:rFonts w:ascii="Times New Roman" w:hAnsi="Times New Roman" w:cs="Times New Roman"/>
          <w:sz w:val="24"/>
          <w:szCs w:val="24"/>
          <w:lang w:val="en-US"/>
        </w:rPr>
        <w:t>care</w:t>
      </w:r>
      <w:r w:rsidR="009134EB">
        <w:rPr>
          <w:rFonts w:ascii="Times New Roman" w:hAnsi="Times New Roman" w:cs="Times New Roman"/>
          <w:sz w:val="24"/>
          <w:szCs w:val="24"/>
          <w:lang w:val="en-US"/>
        </w:rPr>
        <w:t xml:space="preserve"> </w:t>
      </w:r>
      <w:r>
        <w:rPr>
          <w:rFonts w:ascii="Times New Roman" w:hAnsi="Times New Roman" w:cs="Times New Roman"/>
          <w:sz w:val="24"/>
          <w:szCs w:val="24"/>
          <w:lang w:val="en-US"/>
        </w:rPr>
        <w:t>needs in Greece and Portugal have</w:t>
      </w:r>
      <w:r w:rsidRPr="00BA008E">
        <w:rPr>
          <w:rFonts w:ascii="Times New Roman" w:hAnsi="Times New Roman" w:cs="Times New Roman"/>
          <w:sz w:val="24"/>
          <w:szCs w:val="24"/>
          <w:lang w:val="en-US"/>
        </w:rPr>
        <w:t xml:space="preserve"> increased. This is a consequence</w:t>
      </w:r>
      <w:r>
        <w:rPr>
          <w:rFonts w:ascii="Times New Roman" w:hAnsi="Times New Roman" w:cs="Times New Roman"/>
          <w:sz w:val="24"/>
          <w:szCs w:val="24"/>
          <w:lang w:val="en-US"/>
        </w:rPr>
        <w:t xml:space="preserve"> of</w:t>
      </w:r>
      <w:r w:rsidR="009134E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increased unemployment and </w:t>
      </w:r>
      <w:r w:rsidR="00BB0B41">
        <w:rPr>
          <w:rFonts w:ascii="Times New Roman" w:hAnsi="Times New Roman" w:cs="Times New Roman"/>
          <w:sz w:val="24"/>
          <w:szCs w:val="24"/>
          <w:lang w:val="en-US"/>
        </w:rPr>
        <w:t xml:space="preserve">an </w:t>
      </w:r>
      <w:r w:rsidRPr="00BA008E">
        <w:rPr>
          <w:rFonts w:ascii="Times New Roman" w:hAnsi="Times New Roman" w:cs="Times New Roman"/>
          <w:sz w:val="24"/>
          <w:szCs w:val="24"/>
          <w:lang w:val="en-US"/>
        </w:rPr>
        <w:t xml:space="preserve">absence of </w:t>
      </w:r>
      <w:r>
        <w:rPr>
          <w:rFonts w:ascii="Times New Roman" w:hAnsi="Times New Roman" w:cs="Times New Roman"/>
          <w:sz w:val="24"/>
          <w:szCs w:val="24"/>
          <w:lang w:val="en-US"/>
        </w:rPr>
        <w:t>health</w:t>
      </w:r>
      <w:r w:rsidRPr="00BA008E">
        <w:rPr>
          <w:rFonts w:ascii="Times New Roman" w:hAnsi="Times New Roman" w:cs="Times New Roman"/>
          <w:sz w:val="24"/>
          <w:szCs w:val="24"/>
          <w:lang w:val="en-US"/>
        </w:rPr>
        <w:t xml:space="preserve"> insurance [9, 13] (Figure 14).</w:t>
      </w:r>
    </w:p>
    <w:p w:rsidR="00B67AE8" w:rsidRPr="00BC619D" w:rsidRDefault="00C4384D" w:rsidP="0025222C">
      <w:pPr>
        <w:spacing w:before="120" w:after="0"/>
        <w:rPr>
          <w:rFonts w:ascii="Times New Roman" w:hAnsi="Times New Roman" w:cs="Times New Roman"/>
          <w:lang w:val="en-US"/>
        </w:rPr>
      </w:pPr>
      <w:r w:rsidRPr="00C4384D">
        <w:rPr>
          <w:rFonts w:ascii="Times New Roman" w:hAnsi="Times New Roman" w:cs="Times New Roman"/>
          <w:noProof/>
          <w:sz w:val="24"/>
          <w:szCs w:val="24"/>
          <w:lang w:eastAsia="el-GR"/>
        </w:rPr>
        <w:lastRenderedPageBreak/>
        <w:drawing>
          <wp:anchor distT="0" distB="0" distL="114300" distR="114300" simplePos="0" relativeHeight="251663360" behindDoc="0" locked="0" layoutInCell="1" allowOverlap="1">
            <wp:simplePos x="1438275" y="895350"/>
            <wp:positionH relativeFrom="column">
              <wp:align>center</wp:align>
            </wp:positionH>
            <wp:positionV relativeFrom="paragraph">
              <wp:posOffset>3810</wp:posOffset>
            </wp:positionV>
            <wp:extent cx="5040630" cy="2952115"/>
            <wp:effectExtent l="19050" t="0" r="26670" b="635"/>
            <wp:wrapSquare wrapText="bothSides"/>
            <wp:docPr id="32" name="Γράφημα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roofErr w:type="gramStart"/>
      <w:r w:rsidR="00B67AE8">
        <w:rPr>
          <w:rFonts w:ascii="Times New Roman" w:hAnsi="Times New Roman" w:cs="Times New Roman"/>
          <w:lang w:val="en-US"/>
        </w:rPr>
        <w:t>Figure</w:t>
      </w:r>
      <w:r w:rsidR="00B67AE8" w:rsidRPr="000F0229">
        <w:rPr>
          <w:rFonts w:ascii="Times New Roman" w:hAnsi="Times New Roman" w:cs="Times New Roman"/>
          <w:lang w:val="en-US"/>
        </w:rPr>
        <w:t xml:space="preserve"> 14.</w:t>
      </w:r>
      <w:proofErr w:type="gramEnd"/>
      <w:r w:rsidR="00B67AE8" w:rsidRPr="000F0229">
        <w:rPr>
          <w:rFonts w:ascii="Times New Roman" w:hAnsi="Times New Roman" w:cs="Times New Roman"/>
          <w:lang w:val="en-US"/>
        </w:rPr>
        <w:t xml:space="preserve"> </w:t>
      </w:r>
      <w:r w:rsidR="00B67AE8">
        <w:rPr>
          <w:rFonts w:ascii="Times New Roman" w:hAnsi="Times New Roman" w:cs="Times New Roman"/>
          <w:lang w:val="en-US"/>
        </w:rPr>
        <w:t>Unmet needs for medical care</w:t>
      </w:r>
      <w:r w:rsidR="00B67AE8" w:rsidRPr="00BC619D">
        <w:rPr>
          <w:rFonts w:ascii="Times New Roman" w:hAnsi="Times New Roman" w:cs="Times New Roman"/>
          <w:lang w:val="en-US"/>
        </w:rPr>
        <w:t xml:space="preserve">. </w:t>
      </w:r>
    </w:p>
    <w:p w:rsidR="00B67AE8" w:rsidRPr="00BC619D" w:rsidRDefault="00B67AE8" w:rsidP="00B67AE8">
      <w:pPr>
        <w:spacing w:after="0"/>
        <w:jc w:val="both"/>
        <w:rPr>
          <w:rFonts w:ascii="Times New Roman" w:hAnsi="Times New Roman" w:cs="Times New Roman"/>
          <w:i/>
          <w:lang w:val="en-US"/>
        </w:rPr>
      </w:pPr>
      <w:r>
        <w:rPr>
          <w:rFonts w:ascii="Times New Roman" w:hAnsi="Times New Roman" w:cs="Times New Roman"/>
          <w:i/>
          <w:lang w:val="en-US"/>
        </w:rPr>
        <w:t>Source</w:t>
      </w:r>
      <w:r w:rsidRPr="00BC619D">
        <w:rPr>
          <w:rFonts w:ascii="Times New Roman" w:hAnsi="Times New Roman" w:cs="Times New Roman"/>
          <w:i/>
          <w:lang w:val="en-US"/>
        </w:rPr>
        <w:t>:</w:t>
      </w:r>
      <w:r w:rsidRPr="00187223">
        <w:rPr>
          <w:rStyle w:val="-"/>
          <w:rFonts w:ascii="Times New Roman" w:hAnsi="Times New Roman" w:cs="Times New Roman"/>
          <w:i/>
        </w:rPr>
        <w:t>http://ec.europa.eu/eurostat/tgm/table.do?tab=table&amp;init=1&amp;language=en&amp;pcode=tsdph270&amp;plugin=1</w:t>
      </w:r>
    </w:p>
    <w:p w:rsidR="00B67AE8" w:rsidRPr="00BC619D" w:rsidRDefault="00B67AE8" w:rsidP="00B67AE8">
      <w:pPr>
        <w:spacing w:after="0"/>
        <w:jc w:val="both"/>
        <w:rPr>
          <w:rFonts w:ascii="Times New Roman" w:eastAsia="Times New Roman" w:hAnsi="Times New Roman" w:cs="Times New Roman"/>
          <w:color w:val="000000"/>
          <w:sz w:val="24"/>
          <w:szCs w:val="24"/>
          <w:lang w:val="en-US" w:eastAsia="el-GR"/>
        </w:rPr>
      </w:pPr>
    </w:p>
    <w:p w:rsidR="00B67AE8" w:rsidRDefault="00BB0B41" w:rsidP="00B67AE8">
      <w:pPr>
        <w:spacing w:after="0"/>
        <w:ind w:firstLine="567"/>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val="en-US" w:eastAsia="el-GR"/>
        </w:rPr>
        <w:t>Of significance</w:t>
      </w:r>
      <w:r w:rsidR="00B67AE8" w:rsidRPr="00846474">
        <w:rPr>
          <w:rFonts w:ascii="Times New Roman" w:eastAsia="Times New Roman" w:hAnsi="Times New Roman" w:cs="Times New Roman"/>
          <w:color w:val="000000"/>
          <w:sz w:val="24"/>
          <w:szCs w:val="24"/>
          <w:lang w:val="en-US" w:eastAsia="el-GR"/>
        </w:rPr>
        <w:t xml:space="preserve"> is the reported increase in the </w:t>
      </w:r>
      <w:r w:rsidR="00B67AE8">
        <w:rPr>
          <w:rFonts w:ascii="Times New Roman" w:eastAsia="Times New Roman" w:hAnsi="Times New Roman" w:cs="Times New Roman"/>
          <w:color w:val="000000"/>
          <w:sz w:val="24"/>
          <w:szCs w:val="24"/>
          <w:lang w:val="en-US" w:eastAsia="el-GR"/>
        </w:rPr>
        <w:t>suicide rate</w:t>
      </w:r>
      <w:r w:rsidR="00B67AE8" w:rsidRPr="00846474">
        <w:rPr>
          <w:rFonts w:ascii="Times New Roman" w:eastAsia="Times New Roman" w:hAnsi="Times New Roman" w:cs="Times New Roman"/>
          <w:color w:val="000000"/>
          <w:sz w:val="24"/>
          <w:szCs w:val="24"/>
          <w:lang w:val="en-US" w:eastAsia="el-GR"/>
        </w:rPr>
        <w:t xml:space="preserve"> recorded in Greece</w:t>
      </w:r>
      <w:r w:rsidR="00B67AE8">
        <w:rPr>
          <w:rFonts w:ascii="Times New Roman" w:eastAsia="Times New Roman" w:hAnsi="Times New Roman" w:cs="Times New Roman"/>
          <w:color w:val="000000"/>
          <w:sz w:val="24"/>
          <w:szCs w:val="24"/>
          <w:lang w:val="en-US" w:eastAsia="el-GR"/>
        </w:rPr>
        <w:t>,</w:t>
      </w:r>
      <w:r w:rsidR="00B67AE8" w:rsidRPr="00846474">
        <w:rPr>
          <w:rFonts w:ascii="Times New Roman" w:eastAsia="Times New Roman" w:hAnsi="Times New Roman" w:cs="Times New Roman"/>
          <w:color w:val="000000"/>
          <w:sz w:val="24"/>
          <w:szCs w:val="24"/>
          <w:lang w:val="en-US" w:eastAsia="el-GR"/>
        </w:rPr>
        <w:t xml:space="preserve"> reaching 36% between 2009 and 2011. Portugal</w:t>
      </w:r>
      <w:r>
        <w:rPr>
          <w:rFonts w:ascii="Times New Roman" w:eastAsia="Times New Roman" w:hAnsi="Times New Roman" w:cs="Times New Roman"/>
          <w:color w:val="000000"/>
          <w:sz w:val="24"/>
          <w:szCs w:val="24"/>
          <w:lang w:val="en-US" w:eastAsia="el-GR"/>
        </w:rPr>
        <w:t>, in contrast,</w:t>
      </w:r>
      <w:r w:rsidR="00B67AE8" w:rsidRPr="00846474">
        <w:rPr>
          <w:rFonts w:ascii="Times New Roman" w:eastAsia="Times New Roman" w:hAnsi="Times New Roman" w:cs="Times New Roman"/>
          <w:color w:val="000000"/>
          <w:sz w:val="24"/>
          <w:szCs w:val="24"/>
          <w:lang w:val="en-US" w:eastAsia="el-GR"/>
        </w:rPr>
        <w:t xml:space="preserve"> was</w:t>
      </w:r>
      <w:r w:rsidR="009F5C57">
        <w:rPr>
          <w:rFonts w:ascii="Times New Roman" w:eastAsia="Times New Roman" w:hAnsi="Times New Roman" w:cs="Times New Roman"/>
          <w:color w:val="000000"/>
          <w:sz w:val="24"/>
          <w:szCs w:val="24"/>
          <w:lang w:val="en-US" w:eastAsia="el-GR"/>
        </w:rPr>
        <w:t xml:space="preserve"> </w:t>
      </w:r>
      <w:r w:rsidR="00B67AE8">
        <w:rPr>
          <w:rFonts w:ascii="Times New Roman" w:eastAsia="Times New Roman" w:hAnsi="Times New Roman" w:cs="Times New Roman"/>
          <w:color w:val="000000"/>
          <w:sz w:val="24"/>
          <w:szCs w:val="24"/>
          <w:lang w:val="en-US" w:eastAsia="el-GR"/>
        </w:rPr>
        <w:t xml:space="preserve">one of </w:t>
      </w:r>
      <w:r w:rsidR="00B67AE8" w:rsidRPr="00846474">
        <w:rPr>
          <w:rFonts w:ascii="Times New Roman" w:eastAsia="Times New Roman" w:hAnsi="Times New Roman" w:cs="Times New Roman"/>
          <w:color w:val="000000"/>
          <w:sz w:val="24"/>
          <w:szCs w:val="24"/>
          <w:lang w:val="en-US" w:eastAsia="el-GR"/>
        </w:rPr>
        <w:t>the countries</w:t>
      </w:r>
      <w:r w:rsidR="00B67AE8">
        <w:rPr>
          <w:rFonts w:ascii="Times New Roman" w:eastAsia="Times New Roman" w:hAnsi="Times New Roman" w:cs="Times New Roman"/>
          <w:color w:val="000000"/>
          <w:sz w:val="24"/>
          <w:szCs w:val="24"/>
          <w:lang w:val="en-US" w:eastAsia="el-GR"/>
        </w:rPr>
        <w:t xml:space="preserve"> with </w:t>
      </w:r>
      <w:r>
        <w:rPr>
          <w:rFonts w:ascii="Times New Roman" w:eastAsia="Times New Roman" w:hAnsi="Times New Roman" w:cs="Times New Roman"/>
          <w:color w:val="000000"/>
          <w:sz w:val="24"/>
          <w:szCs w:val="24"/>
          <w:lang w:val="en-US" w:eastAsia="el-GR"/>
        </w:rPr>
        <w:t xml:space="preserve">the </w:t>
      </w:r>
      <w:r w:rsidR="00B67AE8" w:rsidRPr="00846474">
        <w:rPr>
          <w:rFonts w:ascii="Times New Roman" w:eastAsia="Times New Roman" w:hAnsi="Times New Roman" w:cs="Times New Roman"/>
          <w:color w:val="000000"/>
          <w:sz w:val="24"/>
          <w:szCs w:val="24"/>
          <w:lang w:val="en-US" w:eastAsia="el-GR"/>
        </w:rPr>
        <w:t xml:space="preserve">lowest suicide </w:t>
      </w:r>
      <w:r w:rsidR="00B67AE8">
        <w:rPr>
          <w:rFonts w:ascii="Times New Roman" w:eastAsia="Times New Roman" w:hAnsi="Times New Roman" w:cs="Times New Roman"/>
          <w:color w:val="000000"/>
          <w:sz w:val="24"/>
          <w:szCs w:val="24"/>
          <w:lang w:val="en-US" w:eastAsia="el-GR"/>
        </w:rPr>
        <w:t>rate</w:t>
      </w:r>
      <w:r>
        <w:rPr>
          <w:rFonts w:ascii="Times New Roman" w:eastAsia="Times New Roman" w:hAnsi="Times New Roman" w:cs="Times New Roman"/>
          <w:color w:val="000000"/>
          <w:sz w:val="24"/>
          <w:szCs w:val="24"/>
          <w:lang w:val="en-US" w:eastAsia="el-GR"/>
        </w:rPr>
        <w:t>s</w:t>
      </w:r>
      <w:r w:rsidR="00B67AE8">
        <w:rPr>
          <w:rFonts w:ascii="Times New Roman" w:eastAsia="Times New Roman" w:hAnsi="Times New Roman" w:cs="Times New Roman"/>
          <w:color w:val="000000"/>
          <w:sz w:val="24"/>
          <w:szCs w:val="24"/>
          <w:lang w:val="en-US" w:eastAsia="el-GR"/>
        </w:rPr>
        <w:t xml:space="preserve"> in Europe</w:t>
      </w:r>
      <w:r>
        <w:rPr>
          <w:rFonts w:ascii="Times New Roman" w:eastAsia="Times New Roman" w:hAnsi="Times New Roman" w:cs="Times New Roman"/>
          <w:color w:val="000000"/>
          <w:sz w:val="24"/>
          <w:szCs w:val="24"/>
          <w:lang w:val="en-US" w:eastAsia="el-GR"/>
        </w:rPr>
        <w:t xml:space="preserve"> and</w:t>
      </w:r>
      <w:r w:rsidR="00B67AE8">
        <w:rPr>
          <w:rFonts w:ascii="Times New Roman" w:eastAsia="Times New Roman" w:hAnsi="Times New Roman" w:cs="Times New Roman"/>
          <w:color w:val="000000"/>
          <w:sz w:val="24"/>
          <w:szCs w:val="24"/>
          <w:lang w:val="en-US" w:eastAsia="el-GR"/>
        </w:rPr>
        <w:t xml:space="preserve"> is</w:t>
      </w:r>
      <w:r w:rsidR="00B67AE8" w:rsidRPr="00846474">
        <w:rPr>
          <w:rFonts w:ascii="Times New Roman" w:eastAsia="Times New Roman" w:hAnsi="Times New Roman" w:cs="Times New Roman"/>
          <w:color w:val="000000"/>
          <w:sz w:val="24"/>
          <w:szCs w:val="24"/>
          <w:lang w:val="en-US" w:eastAsia="el-GR"/>
        </w:rPr>
        <w:t xml:space="preserve"> the only country that did not </w:t>
      </w:r>
      <w:r w:rsidR="00B67AE8">
        <w:rPr>
          <w:rFonts w:ascii="Times New Roman" w:eastAsia="Times New Roman" w:hAnsi="Times New Roman" w:cs="Times New Roman"/>
          <w:color w:val="000000"/>
          <w:sz w:val="24"/>
          <w:szCs w:val="24"/>
          <w:lang w:val="en-US" w:eastAsia="el-GR"/>
        </w:rPr>
        <w:t>witness</w:t>
      </w:r>
      <w:r w:rsidR="00B67AE8" w:rsidRPr="00846474">
        <w:rPr>
          <w:rFonts w:ascii="Times New Roman" w:eastAsia="Times New Roman" w:hAnsi="Times New Roman" w:cs="Times New Roman"/>
          <w:color w:val="000000"/>
          <w:sz w:val="24"/>
          <w:szCs w:val="24"/>
          <w:lang w:val="en-US" w:eastAsia="el-GR"/>
        </w:rPr>
        <w:t xml:space="preserve"> a</w:t>
      </w:r>
      <w:r w:rsidR="00B67AE8">
        <w:rPr>
          <w:rFonts w:ascii="Times New Roman" w:eastAsia="Times New Roman" w:hAnsi="Times New Roman" w:cs="Times New Roman"/>
          <w:color w:val="000000"/>
          <w:sz w:val="24"/>
          <w:szCs w:val="24"/>
          <w:lang w:val="en-US" w:eastAsia="el-GR"/>
        </w:rPr>
        <w:t xml:space="preserve"> clear</w:t>
      </w:r>
      <w:r w:rsidR="009F5C57">
        <w:rPr>
          <w:rFonts w:ascii="Times New Roman" w:eastAsia="Times New Roman" w:hAnsi="Times New Roman" w:cs="Times New Roman"/>
          <w:color w:val="000000"/>
          <w:sz w:val="24"/>
          <w:szCs w:val="24"/>
          <w:lang w:val="en-US" w:eastAsia="el-GR"/>
        </w:rPr>
        <w:t xml:space="preserve"> </w:t>
      </w:r>
      <w:r w:rsidR="00B67AE8">
        <w:rPr>
          <w:rFonts w:ascii="Times New Roman" w:eastAsia="Times New Roman" w:hAnsi="Times New Roman" w:cs="Times New Roman"/>
          <w:color w:val="000000"/>
          <w:sz w:val="24"/>
          <w:szCs w:val="24"/>
          <w:lang w:val="en-US" w:eastAsia="el-GR"/>
        </w:rPr>
        <w:t xml:space="preserve">reduction </w:t>
      </w:r>
      <w:r w:rsidR="00B67AE8" w:rsidRPr="00846474">
        <w:rPr>
          <w:rFonts w:ascii="Times New Roman" w:eastAsia="Times New Roman" w:hAnsi="Times New Roman" w:cs="Times New Roman"/>
          <w:color w:val="000000"/>
          <w:sz w:val="24"/>
          <w:szCs w:val="24"/>
          <w:lang w:val="en-US" w:eastAsia="el-GR"/>
        </w:rPr>
        <w:t xml:space="preserve">in the suicide rate </w:t>
      </w:r>
      <w:r w:rsidR="00B67AE8">
        <w:rPr>
          <w:rFonts w:ascii="Times New Roman" w:eastAsia="Times New Roman" w:hAnsi="Times New Roman" w:cs="Times New Roman"/>
          <w:color w:val="000000"/>
          <w:sz w:val="24"/>
          <w:szCs w:val="24"/>
          <w:lang w:val="en-US" w:eastAsia="el-GR"/>
        </w:rPr>
        <w:t>during 2000-</w:t>
      </w:r>
      <w:r w:rsidR="00B67AE8" w:rsidRPr="00846474">
        <w:rPr>
          <w:rFonts w:ascii="Times New Roman" w:eastAsia="Times New Roman" w:hAnsi="Times New Roman" w:cs="Times New Roman"/>
          <w:color w:val="000000"/>
          <w:sz w:val="24"/>
          <w:szCs w:val="24"/>
          <w:lang w:val="en-US" w:eastAsia="el-GR"/>
        </w:rPr>
        <w:t>2011 [14].</w:t>
      </w:r>
      <w:r w:rsidR="00B67AE8">
        <w:rPr>
          <w:rFonts w:ascii="Times New Roman" w:eastAsia="Times New Roman" w:hAnsi="Times New Roman" w:cs="Times New Roman"/>
          <w:color w:val="000000"/>
          <w:sz w:val="24"/>
          <w:szCs w:val="24"/>
          <w:lang w:val="en-US" w:eastAsia="el-GR"/>
        </w:rPr>
        <w:t xml:space="preserve"> A correlation with the country’</w:t>
      </w:r>
      <w:r w:rsidR="00B67AE8" w:rsidRPr="00846474">
        <w:rPr>
          <w:rFonts w:ascii="Times New Roman" w:eastAsia="Times New Roman" w:hAnsi="Times New Roman" w:cs="Times New Roman"/>
          <w:color w:val="000000"/>
          <w:sz w:val="24"/>
          <w:szCs w:val="24"/>
          <w:lang w:val="en-US" w:eastAsia="el-GR"/>
        </w:rPr>
        <w:t xml:space="preserve">s economic </w:t>
      </w:r>
      <w:r w:rsidR="00B67AE8">
        <w:rPr>
          <w:rFonts w:ascii="Times New Roman" w:eastAsia="Times New Roman" w:hAnsi="Times New Roman" w:cs="Times New Roman"/>
          <w:color w:val="000000"/>
          <w:sz w:val="24"/>
          <w:szCs w:val="24"/>
          <w:lang w:val="en-US" w:eastAsia="el-GR"/>
        </w:rPr>
        <w:t>recession</w:t>
      </w:r>
      <w:r w:rsidR="00B67AE8" w:rsidRPr="00846474">
        <w:rPr>
          <w:rFonts w:ascii="Times New Roman" w:eastAsia="Times New Roman" w:hAnsi="Times New Roman" w:cs="Times New Roman"/>
          <w:color w:val="000000"/>
          <w:sz w:val="24"/>
          <w:szCs w:val="24"/>
          <w:lang w:val="en-US" w:eastAsia="el-GR"/>
        </w:rPr>
        <w:t xml:space="preserve"> is evident from the </w:t>
      </w:r>
      <w:r w:rsidR="00E05159">
        <w:rPr>
          <w:rFonts w:ascii="Times New Roman" w:eastAsia="Times New Roman" w:hAnsi="Times New Roman" w:cs="Times New Roman"/>
          <w:color w:val="000000"/>
          <w:sz w:val="24"/>
          <w:szCs w:val="24"/>
          <w:lang w:val="en-US" w:eastAsia="el-GR"/>
        </w:rPr>
        <w:t>fluctuation</w:t>
      </w:r>
      <w:r w:rsidR="00B67AE8" w:rsidRPr="00846474">
        <w:rPr>
          <w:rFonts w:ascii="Times New Roman" w:eastAsia="Times New Roman" w:hAnsi="Times New Roman" w:cs="Times New Roman"/>
          <w:color w:val="000000"/>
          <w:sz w:val="24"/>
          <w:szCs w:val="24"/>
          <w:lang w:val="en-US" w:eastAsia="el-GR"/>
        </w:rPr>
        <w:t xml:space="preserve"> of suicide rates and mental illness</w:t>
      </w:r>
      <w:r w:rsidR="00B67AE8">
        <w:rPr>
          <w:rFonts w:ascii="Times New Roman" w:eastAsia="Times New Roman" w:hAnsi="Times New Roman" w:cs="Times New Roman"/>
          <w:color w:val="000000"/>
          <w:sz w:val="24"/>
          <w:szCs w:val="24"/>
          <w:lang w:val="en-US" w:eastAsia="el-GR"/>
        </w:rPr>
        <w:t>es</w:t>
      </w:r>
      <w:r w:rsidR="00B67AE8" w:rsidRPr="00846474">
        <w:rPr>
          <w:rFonts w:ascii="Times New Roman" w:eastAsia="Times New Roman" w:hAnsi="Times New Roman" w:cs="Times New Roman"/>
          <w:color w:val="000000"/>
          <w:sz w:val="24"/>
          <w:szCs w:val="24"/>
          <w:lang w:val="en-US" w:eastAsia="el-GR"/>
        </w:rPr>
        <w:t xml:space="preserve"> and high unemployment</w:t>
      </w:r>
      <w:r w:rsidR="00B67AE8">
        <w:rPr>
          <w:rFonts w:ascii="Times New Roman" w:eastAsia="Times New Roman" w:hAnsi="Times New Roman" w:cs="Times New Roman"/>
          <w:color w:val="000000"/>
          <w:sz w:val="24"/>
          <w:szCs w:val="24"/>
          <w:lang w:val="en-US" w:eastAsia="el-GR"/>
        </w:rPr>
        <w:t xml:space="preserve"> rates</w:t>
      </w:r>
      <w:r w:rsidR="00B67AE8" w:rsidRPr="00846474">
        <w:rPr>
          <w:rFonts w:ascii="Times New Roman" w:eastAsia="Times New Roman" w:hAnsi="Times New Roman" w:cs="Times New Roman"/>
          <w:color w:val="000000"/>
          <w:sz w:val="24"/>
          <w:szCs w:val="24"/>
          <w:lang w:val="en-US" w:eastAsia="el-GR"/>
        </w:rPr>
        <w:t>, especially in rural areas affected by</w:t>
      </w:r>
      <w:r w:rsidR="00B67AE8">
        <w:rPr>
          <w:rFonts w:ascii="Times New Roman" w:eastAsia="Times New Roman" w:hAnsi="Times New Roman" w:cs="Times New Roman"/>
          <w:color w:val="000000"/>
          <w:sz w:val="24"/>
          <w:szCs w:val="24"/>
          <w:lang w:val="en-US" w:eastAsia="el-GR"/>
        </w:rPr>
        <w:t xml:space="preserve"> the country's economic recession</w:t>
      </w:r>
      <w:r w:rsidR="00B67AE8" w:rsidRPr="00846474">
        <w:rPr>
          <w:rFonts w:ascii="Times New Roman" w:eastAsia="Times New Roman" w:hAnsi="Times New Roman" w:cs="Times New Roman"/>
          <w:color w:val="000000"/>
          <w:sz w:val="24"/>
          <w:szCs w:val="24"/>
          <w:lang w:val="en-US" w:eastAsia="el-GR"/>
        </w:rPr>
        <w:t xml:space="preserve">, affecting the lives of citizens </w:t>
      </w:r>
      <w:r>
        <w:rPr>
          <w:rFonts w:ascii="Times New Roman" w:eastAsia="Times New Roman" w:hAnsi="Times New Roman" w:cs="Times New Roman"/>
          <w:color w:val="000000"/>
          <w:sz w:val="24"/>
          <w:szCs w:val="24"/>
          <w:lang w:val="en-US" w:eastAsia="el-GR"/>
        </w:rPr>
        <w:t>facing</w:t>
      </w:r>
      <w:r w:rsidR="009F5C57">
        <w:rPr>
          <w:rFonts w:ascii="Times New Roman" w:eastAsia="Times New Roman" w:hAnsi="Times New Roman" w:cs="Times New Roman"/>
          <w:color w:val="000000"/>
          <w:sz w:val="24"/>
          <w:szCs w:val="24"/>
          <w:lang w:val="en-US" w:eastAsia="el-GR"/>
        </w:rPr>
        <w:t xml:space="preserve"> </w:t>
      </w:r>
      <w:r w:rsidR="00B67AE8">
        <w:rPr>
          <w:rFonts w:ascii="Times New Roman" w:eastAsia="Times New Roman" w:hAnsi="Times New Roman" w:cs="Times New Roman"/>
          <w:color w:val="000000"/>
          <w:sz w:val="24"/>
          <w:szCs w:val="24"/>
          <w:lang w:val="en-US" w:eastAsia="el-GR"/>
        </w:rPr>
        <w:t>shortages in health and</w:t>
      </w:r>
      <w:r w:rsidR="00B67AE8" w:rsidRPr="00846474">
        <w:rPr>
          <w:rFonts w:ascii="Times New Roman" w:eastAsia="Times New Roman" w:hAnsi="Times New Roman" w:cs="Times New Roman"/>
          <w:color w:val="000000"/>
          <w:sz w:val="24"/>
          <w:szCs w:val="24"/>
          <w:lang w:val="en-US" w:eastAsia="el-GR"/>
        </w:rPr>
        <w:t xml:space="preserve"> education and material </w:t>
      </w:r>
      <w:r w:rsidR="00B67AE8">
        <w:rPr>
          <w:rFonts w:ascii="Times New Roman" w:eastAsia="Times New Roman" w:hAnsi="Times New Roman" w:cs="Times New Roman"/>
          <w:color w:val="000000"/>
          <w:sz w:val="24"/>
          <w:szCs w:val="24"/>
          <w:lang w:val="en-US" w:eastAsia="el-GR"/>
        </w:rPr>
        <w:t xml:space="preserve">deprivation </w:t>
      </w:r>
      <w:r w:rsidR="00B67AE8" w:rsidRPr="00846474">
        <w:rPr>
          <w:rFonts w:ascii="Times New Roman" w:eastAsia="Times New Roman" w:hAnsi="Times New Roman" w:cs="Times New Roman"/>
          <w:color w:val="000000"/>
          <w:sz w:val="24"/>
          <w:szCs w:val="24"/>
          <w:lang w:val="en-US" w:eastAsia="el-GR"/>
        </w:rPr>
        <w:t>[16] (Figure 15).</w:t>
      </w:r>
    </w:p>
    <w:p w:rsidR="0025222C" w:rsidRDefault="0025222C" w:rsidP="0025222C">
      <w:pPr>
        <w:spacing w:before="120" w:after="0"/>
        <w:rPr>
          <w:rFonts w:ascii="Times New Roman" w:hAnsi="Times New Roman" w:cs="Times New Roman"/>
        </w:rPr>
      </w:pPr>
    </w:p>
    <w:p w:rsidR="00B67AE8" w:rsidRPr="00BC619D" w:rsidRDefault="00C2576E" w:rsidP="0025222C">
      <w:pPr>
        <w:spacing w:before="120" w:after="0"/>
        <w:rPr>
          <w:rFonts w:ascii="Times New Roman" w:hAnsi="Times New Roman" w:cs="Times New Roman"/>
          <w:lang w:val="en-US"/>
        </w:rPr>
      </w:pPr>
      <w:r w:rsidRPr="00C2576E">
        <w:rPr>
          <w:rFonts w:ascii="Times New Roman" w:eastAsia="Times New Roman" w:hAnsi="Times New Roman" w:cs="Times New Roman"/>
          <w:noProof/>
          <w:color w:val="000000"/>
          <w:sz w:val="24"/>
          <w:szCs w:val="24"/>
          <w:lang w:eastAsia="el-GR"/>
        </w:rPr>
        <w:drawing>
          <wp:anchor distT="0" distB="0" distL="114300" distR="114300" simplePos="0" relativeHeight="251662336" behindDoc="0" locked="0" layoutInCell="1" allowOverlap="1">
            <wp:simplePos x="1295400" y="6315075"/>
            <wp:positionH relativeFrom="column">
              <wp:align>center</wp:align>
            </wp:positionH>
            <wp:positionV relativeFrom="paragraph">
              <wp:posOffset>0</wp:posOffset>
            </wp:positionV>
            <wp:extent cx="5332730" cy="2819400"/>
            <wp:effectExtent l="19050" t="0" r="20320" b="0"/>
            <wp:wrapSquare wrapText="bothSides"/>
            <wp:docPr id="31" name="Γράφημα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roofErr w:type="gramStart"/>
      <w:r w:rsidR="00B67AE8">
        <w:rPr>
          <w:rFonts w:ascii="Times New Roman" w:hAnsi="Times New Roman" w:cs="Times New Roman"/>
          <w:lang w:val="en-US"/>
        </w:rPr>
        <w:t>Figure</w:t>
      </w:r>
      <w:r w:rsidR="00B67AE8" w:rsidRPr="000F0229">
        <w:rPr>
          <w:rFonts w:ascii="Times New Roman" w:hAnsi="Times New Roman" w:cs="Times New Roman"/>
          <w:lang w:val="en-US"/>
        </w:rPr>
        <w:t xml:space="preserve"> 15.</w:t>
      </w:r>
      <w:proofErr w:type="gramEnd"/>
      <w:r w:rsidR="00B67AE8" w:rsidRPr="000F0229">
        <w:rPr>
          <w:rFonts w:ascii="Times New Roman" w:hAnsi="Times New Roman" w:cs="Times New Roman"/>
          <w:lang w:val="en-US"/>
        </w:rPr>
        <w:t xml:space="preserve"> </w:t>
      </w:r>
      <w:r w:rsidR="00B67AE8">
        <w:rPr>
          <w:rFonts w:ascii="Times New Roman" w:hAnsi="Times New Roman" w:cs="Times New Roman"/>
          <w:lang w:val="en-US"/>
        </w:rPr>
        <w:t>Suicides per</w:t>
      </w:r>
      <w:r w:rsidR="00B67AE8" w:rsidRPr="000F0229">
        <w:rPr>
          <w:rFonts w:ascii="Times New Roman" w:hAnsi="Times New Roman" w:cs="Times New Roman"/>
          <w:lang w:val="en-US"/>
        </w:rPr>
        <w:t xml:space="preserve"> 100,000</w:t>
      </w:r>
      <w:r w:rsidR="0017234F">
        <w:rPr>
          <w:rFonts w:ascii="Times New Roman" w:hAnsi="Times New Roman" w:cs="Times New Roman"/>
        </w:rPr>
        <w:t xml:space="preserve"> </w:t>
      </w:r>
      <w:proofErr w:type="gramStart"/>
      <w:r w:rsidR="00B67AE8">
        <w:rPr>
          <w:rFonts w:ascii="Times New Roman" w:hAnsi="Times New Roman" w:cs="Times New Roman"/>
          <w:lang w:val="en-US"/>
        </w:rPr>
        <w:t>population</w:t>
      </w:r>
      <w:proofErr w:type="gramEnd"/>
      <w:r w:rsidR="00B67AE8" w:rsidRPr="00BC619D">
        <w:rPr>
          <w:rFonts w:ascii="Times New Roman" w:hAnsi="Times New Roman" w:cs="Times New Roman"/>
          <w:lang w:val="en-US"/>
        </w:rPr>
        <w:t xml:space="preserve">. </w:t>
      </w:r>
    </w:p>
    <w:p w:rsidR="00B67AE8" w:rsidRPr="00F04F7A" w:rsidRDefault="00B67AE8" w:rsidP="00B67AE8">
      <w:pPr>
        <w:spacing w:after="0"/>
        <w:jc w:val="both"/>
        <w:rPr>
          <w:rFonts w:ascii="Times New Roman" w:eastAsia="Times New Roman" w:hAnsi="Times New Roman" w:cs="Times New Roman"/>
          <w:i/>
          <w:color w:val="000000"/>
          <w:lang w:val="en-US" w:eastAsia="el-GR"/>
        </w:rPr>
      </w:pPr>
      <w:r>
        <w:rPr>
          <w:rFonts w:ascii="Times New Roman" w:hAnsi="Times New Roman" w:cs="Times New Roman"/>
          <w:i/>
          <w:lang w:val="en-US"/>
        </w:rPr>
        <w:t>Source</w:t>
      </w:r>
      <w:r w:rsidRPr="00BC619D">
        <w:rPr>
          <w:rFonts w:ascii="Times New Roman" w:hAnsi="Times New Roman" w:cs="Times New Roman"/>
          <w:i/>
          <w:lang w:val="en-US"/>
        </w:rPr>
        <w:t xml:space="preserve">: </w:t>
      </w:r>
      <w:r w:rsidRPr="00187223">
        <w:rPr>
          <w:rStyle w:val="-"/>
          <w:rFonts w:ascii="Times New Roman" w:hAnsi="Times New Roman" w:cs="Times New Roman"/>
          <w:i/>
        </w:rPr>
        <w:t>http://www.oecd-ilibrary.org/social-issues-migration-health/suicides_20758480-table10</w:t>
      </w:r>
    </w:p>
    <w:p w:rsidR="0025222C" w:rsidRDefault="0025222C" w:rsidP="0025222C">
      <w:pPr>
        <w:spacing w:after="0"/>
        <w:ind w:firstLine="567"/>
        <w:jc w:val="both"/>
        <w:rPr>
          <w:rFonts w:ascii="Times New Roman" w:eastAsia="Times New Roman" w:hAnsi="Times New Roman" w:cs="Times New Roman"/>
          <w:sz w:val="24"/>
          <w:szCs w:val="24"/>
          <w:lang w:eastAsia="el-GR"/>
        </w:rPr>
      </w:pPr>
    </w:p>
    <w:p w:rsidR="00B67AE8" w:rsidRPr="0017234F" w:rsidRDefault="001B7AB0" w:rsidP="0025222C">
      <w:pPr>
        <w:spacing w:after="0"/>
        <w:ind w:firstLine="567"/>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el-GR"/>
        </w:rPr>
        <w:lastRenderedPageBreak/>
        <w:t>Examining t</w:t>
      </w:r>
      <w:r w:rsidR="00B67AE8" w:rsidRPr="004804DC">
        <w:rPr>
          <w:rFonts w:ascii="Times New Roman" w:eastAsia="Times New Roman" w:hAnsi="Times New Roman" w:cs="Times New Roman"/>
          <w:sz w:val="24"/>
          <w:szCs w:val="24"/>
          <w:lang w:val="en-US" w:eastAsia="el-GR"/>
        </w:rPr>
        <w:t>he direct impact of recession</w:t>
      </w:r>
      <w:r w:rsidR="009F5C57">
        <w:rPr>
          <w:rFonts w:ascii="Times New Roman" w:eastAsia="Times New Roman" w:hAnsi="Times New Roman" w:cs="Times New Roman"/>
          <w:sz w:val="24"/>
          <w:szCs w:val="24"/>
          <w:lang w:val="en-US" w:eastAsia="el-GR"/>
        </w:rPr>
        <w:t xml:space="preserve"> </w:t>
      </w:r>
      <w:r w:rsidRPr="004804DC">
        <w:rPr>
          <w:rFonts w:ascii="Times New Roman" w:eastAsia="Times New Roman" w:hAnsi="Times New Roman" w:cs="Times New Roman"/>
          <w:sz w:val="24"/>
          <w:szCs w:val="24"/>
          <w:lang w:val="en-US" w:eastAsia="el-GR"/>
        </w:rPr>
        <w:t>on Greece</w:t>
      </w:r>
      <w:r>
        <w:rPr>
          <w:rFonts w:ascii="Times New Roman" w:eastAsia="Times New Roman" w:hAnsi="Times New Roman" w:cs="Times New Roman"/>
          <w:sz w:val="24"/>
          <w:szCs w:val="24"/>
          <w:lang w:val="en-US" w:eastAsia="el-GR"/>
        </w:rPr>
        <w:t>, it can be</w:t>
      </w:r>
      <w:r w:rsidR="00BB0B41">
        <w:rPr>
          <w:rFonts w:ascii="Times New Roman" w:eastAsia="Times New Roman" w:hAnsi="Times New Roman" w:cs="Times New Roman"/>
          <w:sz w:val="24"/>
          <w:szCs w:val="24"/>
          <w:lang w:val="en-US" w:eastAsia="el-GR"/>
        </w:rPr>
        <w:t xml:space="preserve"> seen</w:t>
      </w:r>
      <w:r>
        <w:rPr>
          <w:rFonts w:ascii="Times New Roman" w:eastAsia="Times New Roman" w:hAnsi="Times New Roman" w:cs="Times New Roman"/>
          <w:sz w:val="24"/>
          <w:szCs w:val="24"/>
          <w:lang w:val="en-US" w:eastAsia="el-GR"/>
        </w:rPr>
        <w:t xml:space="preserve"> that,</w:t>
      </w:r>
      <w:r w:rsidR="009F5C57">
        <w:rPr>
          <w:rFonts w:ascii="Times New Roman" w:eastAsia="Times New Roman" w:hAnsi="Times New Roman" w:cs="Times New Roman"/>
          <w:sz w:val="24"/>
          <w:szCs w:val="24"/>
          <w:lang w:val="en-US" w:eastAsia="el-GR"/>
        </w:rPr>
        <w:t xml:space="preserve"> </w:t>
      </w:r>
      <w:r w:rsidRPr="004804DC">
        <w:rPr>
          <w:rFonts w:ascii="Times New Roman" w:eastAsia="Times New Roman" w:hAnsi="Times New Roman" w:cs="Times New Roman"/>
          <w:sz w:val="24"/>
          <w:szCs w:val="24"/>
          <w:lang w:val="en-US" w:eastAsia="el-GR"/>
        </w:rPr>
        <w:t xml:space="preserve">through a series of austerity measures, </w:t>
      </w:r>
      <w:r w:rsidR="00B67AE8" w:rsidRPr="004804DC">
        <w:rPr>
          <w:rFonts w:ascii="Times New Roman" w:eastAsia="Times New Roman" w:hAnsi="Times New Roman" w:cs="Times New Roman"/>
          <w:sz w:val="24"/>
          <w:szCs w:val="24"/>
          <w:lang w:val="en-US" w:eastAsia="el-GR"/>
        </w:rPr>
        <w:t xml:space="preserve">the public hospital budget </w:t>
      </w:r>
      <w:r>
        <w:rPr>
          <w:rFonts w:ascii="Times New Roman" w:eastAsia="Times New Roman" w:hAnsi="Times New Roman" w:cs="Times New Roman"/>
          <w:sz w:val="24"/>
          <w:szCs w:val="24"/>
          <w:lang w:val="en-US" w:eastAsia="el-GR"/>
        </w:rPr>
        <w:t xml:space="preserve">was </w:t>
      </w:r>
      <w:r w:rsidR="00B67AE8" w:rsidRPr="004804DC">
        <w:rPr>
          <w:rFonts w:ascii="Times New Roman" w:eastAsia="Times New Roman" w:hAnsi="Times New Roman" w:cs="Times New Roman"/>
          <w:sz w:val="24"/>
          <w:szCs w:val="24"/>
          <w:lang w:val="en-US" w:eastAsia="el-GR"/>
        </w:rPr>
        <w:t>reduced by</w:t>
      </w:r>
      <w:r w:rsidR="00CB4418">
        <w:rPr>
          <w:rFonts w:ascii="Times New Roman" w:eastAsia="Times New Roman" w:hAnsi="Times New Roman" w:cs="Times New Roman"/>
          <w:sz w:val="24"/>
          <w:szCs w:val="24"/>
          <w:lang w:val="en-US" w:eastAsia="el-GR"/>
        </w:rPr>
        <w:t xml:space="preserve"> 26% between 2009 and 2011. The result of this</w:t>
      </w:r>
      <w:r w:rsidR="00B67AE8" w:rsidRPr="004804DC">
        <w:rPr>
          <w:rFonts w:ascii="Times New Roman" w:eastAsia="Times New Roman" w:hAnsi="Times New Roman" w:cs="Times New Roman"/>
          <w:sz w:val="24"/>
          <w:szCs w:val="24"/>
          <w:lang w:val="en-US" w:eastAsia="el-GR"/>
        </w:rPr>
        <w:t xml:space="preserve"> impact </w:t>
      </w:r>
      <w:r w:rsidR="00CB4418">
        <w:rPr>
          <w:rFonts w:ascii="Times New Roman" w:eastAsia="Times New Roman" w:hAnsi="Times New Roman" w:cs="Times New Roman"/>
          <w:sz w:val="24"/>
          <w:szCs w:val="24"/>
          <w:lang w:val="en-US" w:eastAsia="el-GR"/>
        </w:rPr>
        <w:t>was for</w:t>
      </w:r>
      <w:r w:rsidR="00B67AE8" w:rsidRPr="004804DC">
        <w:rPr>
          <w:rFonts w:ascii="Times New Roman" w:eastAsia="Times New Roman" w:hAnsi="Times New Roman" w:cs="Times New Roman"/>
          <w:sz w:val="24"/>
          <w:szCs w:val="24"/>
          <w:lang w:val="en-US" w:eastAsia="el-GR"/>
        </w:rPr>
        <w:t xml:space="preserve"> several </w:t>
      </w:r>
      <w:r>
        <w:rPr>
          <w:rFonts w:ascii="Times New Roman" w:eastAsia="Times New Roman" w:hAnsi="Times New Roman" w:cs="Times New Roman"/>
          <w:sz w:val="24"/>
          <w:szCs w:val="24"/>
          <w:lang w:val="en-US" w:eastAsia="el-GR"/>
        </w:rPr>
        <w:t xml:space="preserve">prevention </w:t>
      </w:r>
      <w:proofErr w:type="spellStart"/>
      <w:r w:rsidR="00B67AE8" w:rsidRPr="004804DC">
        <w:rPr>
          <w:rFonts w:ascii="Times New Roman" w:eastAsia="Times New Roman" w:hAnsi="Times New Roman" w:cs="Times New Roman"/>
          <w:sz w:val="24"/>
          <w:szCs w:val="24"/>
          <w:lang w:val="en-US" w:eastAsia="el-GR"/>
        </w:rPr>
        <w:t>programmes</w:t>
      </w:r>
      <w:proofErr w:type="spellEnd"/>
      <w:r>
        <w:rPr>
          <w:rFonts w:ascii="Times New Roman" w:eastAsia="Times New Roman" w:hAnsi="Times New Roman" w:cs="Times New Roman"/>
          <w:sz w:val="24"/>
          <w:szCs w:val="24"/>
          <w:lang w:val="en-US" w:eastAsia="el-GR"/>
        </w:rPr>
        <w:t>,</w:t>
      </w:r>
      <w:r w:rsidR="009F5C57">
        <w:rPr>
          <w:rFonts w:ascii="Times New Roman" w:eastAsia="Times New Roman" w:hAnsi="Times New Roman" w:cs="Times New Roman"/>
          <w:sz w:val="24"/>
          <w:szCs w:val="24"/>
          <w:lang w:val="en-US" w:eastAsia="el-GR"/>
        </w:rPr>
        <w:t xml:space="preserve"> </w:t>
      </w:r>
      <w:r w:rsidR="00CB4418">
        <w:rPr>
          <w:rFonts w:ascii="Times New Roman" w:eastAsia="Times New Roman" w:hAnsi="Times New Roman" w:cs="Times New Roman"/>
          <w:sz w:val="24"/>
          <w:szCs w:val="24"/>
          <w:lang w:val="en-US" w:eastAsia="el-GR"/>
        </w:rPr>
        <w:t xml:space="preserve">and </w:t>
      </w:r>
      <w:r>
        <w:rPr>
          <w:rFonts w:ascii="Times New Roman" w:eastAsia="Times New Roman" w:hAnsi="Times New Roman" w:cs="Times New Roman"/>
          <w:sz w:val="24"/>
          <w:szCs w:val="24"/>
          <w:lang w:val="en-US" w:eastAsia="el-GR"/>
        </w:rPr>
        <w:t xml:space="preserve">also </w:t>
      </w:r>
      <w:proofErr w:type="spellStart"/>
      <w:r>
        <w:rPr>
          <w:rFonts w:ascii="Times New Roman" w:eastAsia="Times New Roman" w:hAnsi="Times New Roman" w:cs="Times New Roman"/>
          <w:sz w:val="24"/>
          <w:szCs w:val="24"/>
          <w:lang w:val="en-US" w:eastAsia="el-GR"/>
        </w:rPr>
        <w:t>programmes</w:t>
      </w:r>
      <w:proofErr w:type="spellEnd"/>
      <w:r>
        <w:rPr>
          <w:rFonts w:ascii="Times New Roman" w:eastAsia="Times New Roman" w:hAnsi="Times New Roman" w:cs="Times New Roman"/>
          <w:sz w:val="24"/>
          <w:szCs w:val="24"/>
          <w:lang w:val="en-US" w:eastAsia="el-GR"/>
        </w:rPr>
        <w:t xml:space="preserve"> for </w:t>
      </w:r>
      <w:r w:rsidR="00B67AE8" w:rsidRPr="004804DC">
        <w:rPr>
          <w:rFonts w:ascii="Times New Roman" w:eastAsia="Times New Roman" w:hAnsi="Times New Roman" w:cs="Times New Roman"/>
          <w:sz w:val="24"/>
          <w:szCs w:val="24"/>
          <w:lang w:val="en-US" w:eastAsia="el-GR"/>
        </w:rPr>
        <w:t xml:space="preserve">support and treatment </w:t>
      </w:r>
      <w:r>
        <w:rPr>
          <w:rFonts w:ascii="Times New Roman" w:eastAsia="Times New Roman" w:hAnsi="Times New Roman" w:cs="Times New Roman"/>
          <w:sz w:val="24"/>
          <w:szCs w:val="24"/>
          <w:lang w:val="en-US" w:eastAsia="el-GR"/>
        </w:rPr>
        <w:t xml:space="preserve">of </w:t>
      </w:r>
      <w:r w:rsidR="00CB4418">
        <w:rPr>
          <w:rFonts w:ascii="Times New Roman" w:eastAsia="Times New Roman" w:hAnsi="Times New Roman" w:cs="Times New Roman"/>
          <w:sz w:val="24"/>
          <w:szCs w:val="24"/>
          <w:lang w:val="en-US" w:eastAsia="el-GR"/>
        </w:rPr>
        <w:t>illicit drug use</w:t>
      </w:r>
      <w:r>
        <w:rPr>
          <w:rFonts w:ascii="Times New Roman" w:eastAsia="Times New Roman" w:hAnsi="Times New Roman" w:cs="Times New Roman"/>
          <w:sz w:val="24"/>
          <w:szCs w:val="24"/>
          <w:lang w:val="en-US" w:eastAsia="el-GR"/>
        </w:rPr>
        <w:t>,</w:t>
      </w:r>
      <w:r w:rsidR="00B67AE8" w:rsidRPr="004804DC">
        <w:rPr>
          <w:rFonts w:ascii="Times New Roman" w:eastAsia="Times New Roman" w:hAnsi="Times New Roman" w:cs="Times New Roman"/>
          <w:sz w:val="24"/>
          <w:szCs w:val="24"/>
          <w:lang w:val="en-US" w:eastAsia="el-GR"/>
        </w:rPr>
        <w:t xml:space="preserve"> to be cut. Along with </w:t>
      </w:r>
      <w:r w:rsidR="00CB4418">
        <w:rPr>
          <w:rFonts w:ascii="Times New Roman" w:eastAsia="Times New Roman" w:hAnsi="Times New Roman" w:cs="Times New Roman"/>
          <w:sz w:val="24"/>
          <w:szCs w:val="24"/>
          <w:lang w:val="en-US" w:eastAsia="el-GR"/>
        </w:rPr>
        <w:t>high rates of</w:t>
      </w:r>
      <w:r w:rsidR="00B67AE8" w:rsidRPr="004804DC">
        <w:rPr>
          <w:rFonts w:ascii="Times New Roman" w:eastAsia="Times New Roman" w:hAnsi="Times New Roman" w:cs="Times New Roman"/>
          <w:sz w:val="24"/>
          <w:szCs w:val="24"/>
          <w:lang w:val="en-US" w:eastAsia="el-GR"/>
        </w:rPr>
        <w:t xml:space="preserve"> unemployment and poverty, there was</w:t>
      </w:r>
      <w:r w:rsidR="00CB4418">
        <w:rPr>
          <w:rFonts w:ascii="Times New Roman" w:eastAsia="Times New Roman" w:hAnsi="Times New Roman" w:cs="Times New Roman"/>
          <w:sz w:val="24"/>
          <w:szCs w:val="24"/>
          <w:lang w:val="en-US" w:eastAsia="el-GR"/>
        </w:rPr>
        <w:t xml:space="preserve"> also</w:t>
      </w:r>
      <w:r w:rsidR="00B67AE8" w:rsidRPr="004804DC">
        <w:rPr>
          <w:rFonts w:ascii="Times New Roman" w:eastAsia="Times New Roman" w:hAnsi="Times New Roman" w:cs="Times New Roman"/>
          <w:sz w:val="24"/>
          <w:szCs w:val="24"/>
          <w:lang w:val="en-US" w:eastAsia="el-GR"/>
        </w:rPr>
        <w:t xml:space="preserve"> an increase in HIV</w:t>
      </w:r>
      <w:r w:rsidR="009F5C57">
        <w:rPr>
          <w:rFonts w:ascii="Times New Roman" w:eastAsia="Times New Roman" w:hAnsi="Times New Roman" w:cs="Times New Roman"/>
          <w:sz w:val="24"/>
          <w:szCs w:val="24"/>
          <w:lang w:val="en-US" w:eastAsia="el-GR"/>
        </w:rPr>
        <w:t xml:space="preserve"> </w:t>
      </w:r>
      <w:r w:rsidR="00CB4418">
        <w:rPr>
          <w:rFonts w:ascii="Times New Roman" w:hAnsi="Times New Roman" w:cs="Times New Roman"/>
          <w:sz w:val="24"/>
          <w:szCs w:val="24"/>
          <w:lang w:val="en-US"/>
        </w:rPr>
        <w:t xml:space="preserve">incidence rate </w:t>
      </w:r>
      <w:r w:rsidR="00B67AE8" w:rsidRPr="00F04F7A">
        <w:rPr>
          <w:rFonts w:ascii="Times New Roman" w:hAnsi="Times New Roman" w:cs="Times New Roman"/>
          <w:sz w:val="24"/>
          <w:szCs w:val="24"/>
          <w:lang w:val="en-US"/>
        </w:rPr>
        <w:t>[14]</w:t>
      </w:r>
      <w:r w:rsidR="0017234F" w:rsidRPr="0017234F">
        <w:rPr>
          <w:rFonts w:ascii="Times New Roman" w:hAnsi="Times New Roman" w:cs="Times New Roman"/>
          <w:sz w:val="24"/>
          <w:szCs w:val="24"/>
          <w:lang w:val="en-US"/>
        </w:rPr>
        <w:t xml:space="preserve"> </w:t>
      </w:r>
      <w:r w:rsidR="00B67AE8" w:rsidRPr="00F04F7A">
        <w:rPr>
          <w:rFonts w:ascii="Times New Roman" w:hAnsi="Times New Roman" w:cs="Times New Roman"/>
          <w:sz w:val="24"/>
          <w:szCs w:val="24"/>
          <w:lang w:val="en-US"/>
        </w:rPr>
        <w:t>(Figure 16).</w:t>
      </w:r>
    </w:p>
    <w:p w:rsidR="0025222C" w:rsidRPr="0017234F" w:rsidRDefault="0025222C" w:rsidP="0025222C">
      <w:pPr>
        <w:spacing w:after="0"/>
        <w:ind w:firstLine="567"/>
        <w:jc w:val="both"/>
        <w:rPr>
          <w:rFonts w:ascii="Times New Roman" w:hAnsi="Times New Roman" w:cs="Times New Roman"/>
          <w:sz w:val="24"/>
          <w:szCs w:val="24"/>
          <w:lang w:val="en-US"/>
        </w:rPr>
      </w:pPr>
    </w:p>
    <w:p w:rsidR="00491A67" w:rsidRPr="004804DC" w:rsidRDefault="00491A67" w:rsidP="0017234F">
      <w:pPr>
        <w:spacing w:after="0"/>
        <w:jc w:val="center"/>
        <w:rPr>
          <w:rFonts w:ascii="Times New Roman" w:eastAsia="Times New Roman" w:hAnsi="Times New Roman" w:cs="Times New Roman"/>
          <w:sz w:val="24"/>
          <w:szCs w:val="24"/>
          <w:lang w:val="en-US" w:eastAsia="el-GR"/>
        </w:rPr>
      </w:pPr>
      <w:r w:rsidRPr="00491A67">
        <w:rPr>
          <w:rFonts w:ascii="Times New Roman" w:eastAsia="Times New Roman" w:hAnsi="Times New Roman" w:cs="Times New Roman"/>
          <w:noProof/>
          <w:sz w:val="24"/>
          <w:szCs w:val="24"/>
          <w:lang w:eastAsia="el-GR"/>
        </w:rPr>
        <w:drawing>
          <wp:inline distT="0" distB="0" distL="0" distR="0">
            <wp:extent cx="5318125" cy="2333625"/>
            <wp:effectExtent l="19050" t="0" r="15875" b="0"/>
            <wp:docPr id="30" name="Γράφημα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67AE8" w:rsidRPr="00573EC6" w:rsidRDefault="00B67AE8" w:rsidP="0017234F">
      <w:pPr>
        <w:spacing w:before="120" w:after="0"/>
        <w:jc w:val="both"/>
        <w:rPr>
          <w:rFonts w:ascii="Times New Roman" w:hAnsi="Times New Roman" w:cs="Times New Roman"/>
          <w:lang w:val="en-US"/>
        </w:rPr>
      </w:pPr>
      <w:r>
        <w:rPr>
          <w:rFonts w:ascii="Times New Roman" w:hAnsi="Times New Roman" w:cs="Times New Roman"/>
          <w:lang w:val="en-US"/>
        </w:rPr>
        <w:t>Figure</w:t>
      </w:r>
      <w:r w:rsidRPr="000F0229">
        <w:rPr>
          <w:rFonts w:ascii="Times New Roman" w:hAnsi="Times New Roman" w:cs="Times New Roman"/>
          <w:lang w:val="en-US"/>
        </w:rPr>
        <w:t xml:space="preserve"> 16. </w:t>
      </w:r>
      <w:proofErr w:type="gramStart"/>
      <w:r>
        <w:rPr>
          <w:rFonts w:ascii="Times New Roman" w:hAnsi="Times New Roman" w:cs="Times New Roman"/>
          <w:lang w:val="en-US"/>
        </w:rPr>
        <w:t>Prevalence of HIV in population</w:t>
      </w:r>
      <w:r w:rsidRPr="00573EC6">
        <w:rPr>
          <w:rFonts w:ascii="Times New Roman" w:hAnsi="Times New Roman" w:cs="Times New Roman"/>
          <w:lang w:val="en-US"/>
        </w:rPr>
        <w:t>.</w:t>
      </w:r>
      <w:proofErr w:type="gramEnd"/>
      <w:r w:rsidRPr="00573EC6">
        <w:rPr>
          <w:rFonts w:ascii="Times New Roman" w:hAnsi="Times New Roman" w:cs="Times New Roman"/>
          <w:lang w:val="en-US"/>
        </w:rPr>
        <w:t xml:space="preserve"> </w:t>
      </w:r>
    </w:p>
    <w:p w:rsidR="00B67AE8" w:rsidRPr="0017234F" w:rsidRDefault="00B67AE8" w:rsidP="00B67AE8">
      <w:pPr>
        <w:spacing w:after="0"/>
        <w:rPr>
          <w:rStyle w:val="-"/>
          <w:rFonts w:ascii="Times New Roman" w:hAnsi="Times New Roman" w:cs="Times New Roman"/>
          <w:i/>
        </w:rPr>
      </w:pPr>
      <w:r>
        <w:rPr>
          <w:rFonts w:ascii="Times New Roman" w:hAnsi="Times New Roman" w:cs="Times New Roman"/>
          <w:i/>
          <w:lang w:val="en-US"/>
        </w:rPr>
        <w:t>Source</w:t>
      </w:r>
      <w:r w:rsidRPr="00573EC6">
        <w:rPr>
          <w:rFonts w:ascii="Times New Roman" w:hAnsi="Times New Roman" w:cs="Times New Roman"/>
          <w:i/>
          <w:lang w:val="en-US"/>
        </w:rPr>
        <w:t>:</w:t>
      </w:r>
      <w:r w:rsidRPr="0017234F">
        <w:rPr>
          <w:rStyle w:val="-"/>
          <w:rFonts w:ascii="Times New Roman" w:hAnsi="Times New Roman" w:cs="Times New Roman"/>
          <w:i/>
        </w:rPr>
        <w:t>https://data.worldbank.org/indicator/SH.DYN.AIDS.ZS?locations=GR</w:t>
      </w:r>
    </w:p>
    <w:p w:rsidR="00B67AE8" w:rsidRPr="00573EC6" w:rsidRDefault="00B67AE8" w:rsidP="00B67AE8">
      <w:pPr>
        <w:spacing w:after="0"/>
        <w:rPr>
          <w:rFonts w:ascii="Times New Roman" w:hAnsi="Times New Roman" w:cs="Times New Roman"/>
          <w:sz w:val="24"/>
          <w:szCs w:val="24"/>
          <w:lang w:val="en-US"/>
        </w:rPr>
      </w:pPr>
    </w:p>
    <w:p w:rsidR="00B67AE8" w:rsidRPr="0017234F" w:rsidRDefault="00B67AE8" w:rsidP="00B67AE8">
      <w:pPr>
        <w:spacing w:after="0"/>
        <w:ind w:firstLine="567"/>
        <w:jc w:val="both"/>
        <w:rPr>
          <w:rFonts w:ascii="Times New Roman" w:hAnsi="Times New Roman" w:cs="Times New Roman"/>
          <w:sz w:val="24"/>
          <w:szCs w:val="24"/>
          <w:lang w:val="en-US"/>
        </w:rPr>
      </w:pPr>
      <w:r w:rsidRPr="004804DC">
        <w:rPr>
          <w:rFonts w:ascii="Times New Roman" w:hAnsi="Times New Roman" w:cs="Times New Roman"/>
          <w:sz w:val="24"/>
          <w:szCs w:val="24"/>
          <w:lang w:val="en-US"/>
        </w:rPr>
        <w:t xml:space="preserve">It is also important to </w:t>
      </w:r>
      <w:r w:rsidR="0012717A">
        <w:rPr>
          <w:rFonts w:ascii="Times New Roman" w:hAnsi="Times New Roman" w:cs="Times New Roman"/>
          <w:sz w:val="24"/>
          <w:szCs w:val="24"/>
          <w:lang w:val="en-US"/>
        </w:rPr>
        <w:t>note</w:t>
      </w:r>
      <w:r w:rsidRPr="004804DC">
        <w:rPr>
          <w:rFonts w:ascii="Times New Roman" w:hAnsi="Times New Roman" w:cs="Times New Roman"/>
          <w:sz w:val="24"/>
          <w:szCs w:val="24"/>
          <w:lang w:val="en-US"/>
        </w:rPr>
        <w:t xml:space="preserve"> the increased percentage in infant mortality between 2008 and 2010 at 43%, due to limited prenatal care and lack of access to healthcare services for pregnant women. Unemployment and </w:t>
      </w:r>
      <w:r w:rsidR="00CB4418">
        <w:rPr>
          <w:rFonts w:ascii="Times New Roman" w:hAnsi="Times New Roman" w:cs="Times New Roman"/>
          <w:sz w:val="24"/>
          <w:szCs w:val="24"/>
          <w:lang w:val="en-US"/>
        </w:rPr>
        <w:t>cuts</w:t>
      </w:r>
      <w:r w:rsidRPr="004804DC">
        <w:rPr>
          <w:rFonts w:ascii="Times New Roman" w:hAnsi="Times New Roman" w:cs="Times New Roman"/>
          <w:sz w:val="24"/>
          <w:szCs w:val="24"/>
          <w:lang w:val="en-US"/>
        </w:rPr>
        <w:t xml:space="preserve"> in </w:t>
      </w:r>
      <w:r w:rsidR="00CB4418" w:rsidRPr="004804DC">
        <w:rPr>
          <w:rFonts w:ascii="Times New Roman" w:hAnsi="Times New Roman" w:cs="Times New Roman"/>
          <w:sz w:val="24"/>
          <w:szCs w:val="24"/>
          <w:lang w:val="en-US"/>
        </w:rPr>
        <w:t xml:space="preserve">prevention </w:t>
      </w:r>
      <w:proofErr w:type="spellStart"/>
      <w:r w:rsidR="0012717A">
        <w:rPr>
          <w:rFonts w:ascii="Times New Roman" w:hAnsi="Times New Roman" w:cs="Times New Roman"/>
          <w:sz w:val="24"/>
          <w:szCs w:val="24"/>
          <w:lang w:val="en-US"/>
        </w:rPr>
        <w:t>programmes</w:t>
      </w:r>
      <w:proofErr w:type="spellEnd"/>
      <w:r w:rsidR="0012717A">
        <w:rPr>
          <w:rFonts w:ascii="Times New Roman" w:hAnsi="Times New Roman" w:cs="Times New Roman"/>
          <w:sz w:val="24"/>
          <w:szCs w:val="24"/>
          <w:lang w:val="en-US"/>
        </w:rPr>
        <w:t xml:space="preserve">, </w:t>
      </w:r>
      <w:r w:rsidRPr="004804DC">
        <w:rPr>
          <w:rFonts w:ascii="Times New Roman" w:hAnsi="Times New Roman" w:cs="Times New Roman"/>
          <w:sz w:val="24"/>
          <w:szCs w:val="24"/>
          <w:lang w:val="en-US"/>
        </w:rPr>
        <w:t xml:space="preserve">and at the same time </w:t>
      </w:r>
      <w:r w:rsidR="0012717A">
        <w:rPr>
          <w:rFonts w:ascii="Times New Roman" w:hAnsi="Times New Roman" w:cs="Times New Roman"/>
          <w:sz w:val="24"/>
          <w:szCs w:val="24"/>
          <w:lang w:val="en-US"/>
        </w:rPr>
        <w:t xml:space="preserve">the absence of </w:t>
      </w:r>
      <w:r w:rsidRPr="004804DC">
        <w:rPr>
          <w:rFonts w:ascii="Times New Roman" w:hAnsi="Times New Roman" w:cs="Times New Roman"/>
          <w:sz w:val="24"/>
          <w:szCs w:val="24"/>
          <w:lang w:val="en-US"/>
        </w:rPr>
        <w:t xml:space="preserve">medical coverage for </w:t>
      </w:r>
      <w:r w:rsidR="0012717A">
        <w:rPr>
          <w:rFonts w:ascii="Times New Roman" w:hAnsi="Times New Roman" w:cs="Times New Roman"/>
          <w:sz w:val="24"/>
          <w:szCs w:val="24"/>
          <w:lang w:val="en-US"/>
        </w:rPr>
        <w:t>the uninsured,</w:t>
      </w:r>
      <w:r w:rsidRPr="004804DC">
        <w:rPr>
          <w:rFonts w:ascii="Times New Roman" w:hAnsi="Times New Roman" w:cs="Times New Roman"/>
          <w:sz w:val="24"/>
          <w:szCs w:val="24"/>
          <w:lang w:val="en-US"/>
        </w:rPr>
        <w:t xml:space="preserve"> are related to the above [14] (Figure 17)</w:t>
      </w:r>
      <w:r w:rsidR="0017234F" w:rsidRPr="0017234F">
        <w:rPr>
          <w:rFonts w:ascii="Times New Roman" w:hAnsi="Times New Roman" w:cs="Times New Roman"/>
          <w:sz w:val="24"/>
          <w:szCs w:val="24"/>
          <w:lang w:val="en-US"/>
        </w:rPr>
        <w:t>.</w:t>
      </w:r>
    </w:p>
    <w:p w:rsidR="0017234F" w:rsidRPr="0017234F" w:rsidRDefault="0017234F" w:rsidP="00B67AE8">
      <w:pPr>
        <w:spacing w:after="0"/>
        <w:ind w:firstLine="567"/>
        <w:jc w:val="both"/>
        <w:rPr>
          <w:rFonts w:ascii="Times New Roman" w:hAnsi="Times New Roman" w:cs="Times New Roman"/>
          <w:sz w:val="24"/>
          <w:szCs w:val="24"/>
          <w:lang w:val="en-US"/>
        </w:rPr>
      </w:pPr>
    </w:p>
    <w:p w:rsidR="00110A72" w:rsidRPr="004804DC" w:rsidRDefault="00110A72" w:rsidP="0017234F">
      <w:pPr>
        <w:spacing w:after="0"/>
        <w:ind w:firstLine="567"/>
        <w:jc w:val="center"/>
        <w:rPr>
          <w:rFonts w:ascii="Times New Roman" w:hAnsi="Times New Roman" w:cs="Times New Roman"/>
          <w:sz w:val="24"/>
          <w:szCs w:val="24"/>
          <w:lang w:val="en-US"/>
        </w:rPr>
      </w:pPr>
      <w:r w:rsidRPr="00110A72">
        <w:rPr>
          <w:rFonts w:ascii="Times New Roman" w:hAnsi="Times New Roman" w:cs="Times New Roman"/>
          <w:noProof/>
          <w:sz w:val="24"/>
          <w:szCs w:val="24"/>
          <w:lang w:eastAsia="el-GR"/>
        </w:rPr>
        <w:drawing>
          <wp:anchor distT="0" distB="0" distL="114300" distR="114300" simplePos="0" relativeHeight="251664384" behindDoc="1" locked="0" layoutInCell="1" allowOverlap="1">
            <wp:simplePos x="1333500" y="6115050"/>
            <wp:positionH relativeFrom="column">
              <wp:align>center</wp:align>
            </wp:positionH>
            <wp:positionV relativeFrom="paragraph">
              <wp:posOffset>0</wp:posOffset>
            </wp:positionV>
            <wp:extent cx="5256530" cy="3171825"/>
            <wp:effectExtent l="19050" t="0" r="20320" b="0"/>
            <wp:wrapTight wrapText="bothSides">
              <wp:wrapPolygon edited="0">
                <wp:start x="-78" y="0"/>
                <wp:lineTo x="-78" y="21535"/>
                <wp:lineTo x="21683" y="21535"/>
                <wp:lineTo x="21683" y="0"/>
                <wp:lineTo x="-78" y="0"/>
              </wp:wrapPolygon>
            </wp:wrapTight>
            <wp:docPr id="29" name="Γράφημα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B67AE8" w:rsidRPr="005266C5" w:rsidRDefault="00B67AE8" w:rsidP="005266C5">
      <w:pPr>
        <w:spacing w:after="0"/>
        <w:rPr>
          <w:lang w:val="en-US"/>
        </w:rPr>
      </w:pPr>
    </w:p>
    <w:p w:rsidR="00B67AE8" w:rsidRPr="00100A8A" w:rsidRDefault="00B67AE8" w:rsidP="00B67AE8">
      <w:pPr>
        <w:spacing w:after="0"/>
        <w:jc w:val="both"/>
        <w:rPr>
          <w:rFonts w:ascii="Times New Roman" w:hAnsi="Times New Roman" w:cs="Times New Roman"/>
          <w:lang w:val="en-US"/>
        </w:rPr>
      </w:pPr>
      <w:r>
        <w:rPr>
          <w:rFonts w:ascii="Times New Roman" w:hAnsi="Times New Roman" w:cs="Times New Roman"/>
          <w:lang w:val="en-US"/>
        </w:rPr>
        <w:t>Figure</w:t>
      </w:r>
      <w:r w:rsidRPr="000F0229">
        <w:rPr>
          <w:rFonts w:ascii="Times New Roman" w:hAnsi="Times New Roman" w:cs="Times New Roman"/>
          <w:lang w:val="en-US"/>
        </w:rPr>
        <w:t xml:space="preserve"> 17. </w:t>
      </w:r>
      <w:proofErr w:type="gramStart"/>
      <w:r>
        <w:rPr>
          <w:rFonts w:ascii="Times New Roman" w:hAnsi="Times New Roman" w:cs="Times New Roman"/>
          <w:lang w:val="en-US"/>
        </w:rPr>
        <w:t>Infant Mortality</w:t>
      </w:r>
      <w:r w:rsidRPr="00100A8A">
        <w:rPr>
          <w:rFonts w:ascii="Times New Roman" w:hAnsi="Times New Roman" w:cs="Times New Roman"/>
          <w:lang w:val="en-US"/>
        </w:rPr>
        <w:t>.</w:t>
      </w:r>
      <w:proofErr w:type="gramEnd"/>
      <w:r w:rsidRPr="00100A8A">
        <w:rPr>
          <w:rFonts w:ascii="Times New Roman" w:hAnsi="Times New Roman" w:cs="Times New Roman"/>
          <w:lang w:val="en-US"/>
        </w:rPr>
        <w:t xml:space="preserve"> </w:t>
      </w:r>
    </w:p>
    <w:p w:rsidR="00487E5A" w:rsidRDefault="00B67AE8" w:rsidP="00487E5A">
      <w:pPr>
        <w:spacing w:after="0"/>
        <w:jc w:val="both"/>
        <w:rPr>
          <w:rFonts w:ascii="Times New Roman" w:hAnsi="Times New Roman" w:cs="Times New Roman"/>
          <w:i/>
          <w:lang w:val="en-US"/>
        </w:rPr>
      </w:pPr>
      <w:r>
        <w:rPr>
          <w:rFonts w:ascii="Times New Roman" w:hAnsi="Times New Roman" w:cs="Times New Roman"/>
          <w:i/>
          <w:lang w:val="en-US"/>
        </w:rPr>
        <w:t>Source</w:t>
      </w:r>
      <w:r w:rsidRPr="00100A8A">
        <w:rPr>
          <w:rFonts w:ascii="Times New Roman" w:hAnsi="Times New Roman" w:cs="Times New Roman"/>
          <w:i/>
          <w:lang w:val="en-US"/>
        </w:rPr>
        <w:t>:</w:t>
      </w:r>
      <w:r w:rsidRPr="00100A8A">
        <w:rPr>
          <w:rFonts w:ascii="Times New Roman" w:eastAsia="Times New Roman" w:hAnsi="Times New Roman" w:cs="Times New Roman"/>
          <w:i/>
          <w:color w:val="000000"/>
          <w:lang w:val="en-US" w:eastAsia="el-GR"/>
        </w:rPr>
        <w:t xml:space="preserve"> </w:t>
      </w:r>
      <w:proofErr w:type="spellStart"/>
      <w:r w:rsidRPr="0017234F">
        <w:rPr>
          <w:rStyle w:val="-"/>
          <w:rFonts w:ascii="Times New Roman" w:hAnsi="Times New Roman" w:cs="Times New Roman"/>
          <w:i/>
        </w:rPr>
        <w:t>http</w:t>
      </w:r>
      <w:proofErr w:type="spellEnd"/>
      <w:r w:rsidRPr="0017234F">
        <w:rPr>
          <w:rStyle w:val="-"/>
          <w:rFonts w:ascii="Times New Roman" w:hAnsi="Times New Roman" w:cs="Times New Roman"/>
          <w:i/>
          <w:lang w:val="en-US"/>
        </w:rPr>
        <w:t>://stats.oecd.org/</w:t>
      </w:r>
      <w:proofErr w:type="spellStart"/>
      <w:r w:rsidRPr="0017234F">
        <w:rPr>
          <w:rStyle w:val="-"/>
          <w:rFonts w:ascii="Times New Roman" w:hAnsi="Times New Roman" w:cs="Times New Roman"/>
          <w:i/>
          <w:lang w:val="en-US"/>
        </w:rPr>
        <w:t>Index.aspx?DataSetCode</w:t>
      </w:r>
      <w:proofErr w:type="spellEnd"/>
      <w:r w:rsidRPr="0017234F">
        <w:rPr>
          <w:rStyle w:val="-"/>
          <w:rFonts w:ascii="Times New Roman" w:hAnsi="Times New Roman" w:cs="Times New Roman"/>
          <w:i/>
          <w:lang w:val="en-US"/>
        </w:rPr>
        <w:t>=</w:t>
      </w:r>
      <w:proofErr w:type="spellStart"/>
      <w:r w:rsidRPr="0017234F">
        <w:rPr>
          <w:rStyle w:val="-"/>
          <w:rFonts w:ascii="Times New Roman" w:hAnsi="Times New Roman" w:cs="Times New Roman"/>
          <w:i/>
          <w:lang w:val="en-US"/>
        </w:rPr>
        <w:t>HEALTH_HCQI</w:t>
      </w:r>
      <w:bookmarkStart w:id="4" w:name="_Toc493526020"/>
      <w:proofErr w:type="spellEnd"/>
    </w:p>
    <w:p w:rsidR="008F05DE" w:rsidRPr="00487E5A" w:rsidRDefault="008F05DE" w:rsidP="00487E5A">
      <w:pPr>
        <w:spacing w:after="0"/>
        <w:jc w:val="both"/>
        <w:rPr>
          <w:rFonts w:ascii="Times New Roman" w:hAnsi="Times New Roman" w:cs="Times New Roman"/>
          <w:i/>
          <w:lang w:val="en-US"/>
        </w:rPr>
      </w:pPr>
    </w:p>
    <w:p w:rsidR="00B67AE8" w:rsidRPr="004804DC" w:rsidRDefault="00B67AE8" w:rsidP="00B67AE8">
      <w:pPr>
        <w:pStyle w:val="1"/>
        <w:spacing w:before="0"/>
        <w:jc w:val="both"/>
        <w:rPr>
          <w:rFonts w:ascii="Times New Roman" w:hAnsi="Times New Roman" w:cs="Times New Roman"/>
          <w:color w:val="auto"/>
          <w:sz w:val="24"/>
          <w:szCs w:val="24"/>
          <w:lang w:val="en-US"/>
        </w:rPr>
      </w:pPr>
      <w:r w:rsidRPr="004804DC">
        <w:rPr>
          <w:rFonts w:ascii="Times New Roman" w:hAnsi="Times New Roman" w:cs="Times New Roman"/>
          <w:color w:val="auto"/>
          <w:sz w:val="24"/>
          <w:szCs w:val="24"/>
          <w:lang w:val="en-US"/>
        </w:rPr>
        <w:lastRenderedPageBreak/>
        <w:t xml:space="preserve">3.4 </w:t>
      </w:r>
      <w:r>
        <w:rPr>
          <w:rFonts w:ascii="Times New Roman" w:hAnsi="Times New Roman" w:cs="Times New Roman"/>
          <w:color w:val="auto"/>
          <w:sz w:val="24"/>
          <w:szCs w:val="24"/>
          <w:lang w:val="en-US"/>
        </w:rPr>
        <w:t>Comparison of Results with the</w:t>
      </w:r>
      <w:r w:rsidR="00F7235B">
        <w:rPr>
          <w:rFonts w:ascii="Times New Roman" w:hAnsi="Times New Roman" w:cs="Times New Roman"/>
          <w:color w:val="auto"/>
          <w:sz w:val="24"/>
          <w:szCs w:val="24"/>
          <w:lang w:val="en-US"/>
        </w:rPr>
        <w:t xml:space="preserve"> </w:t>
      </w:r>
      <w:r w:rsidRPr="00B4010B">
        <w:rPr>
          <w:rFonts w:ascii="Times New Roman" w:hAnsi="Times New Roman" w:cs="Times New Roman"/>
          <w:color w:val="auto"/>
          <w:sz w:val="24"/>
          <w:szCs w:val="24"/>
          <w:lang w:val="en-US"/>
        </w:rPr>
        <w:t>Granados</w:t>
      </w:r>
      <w:r w:rsidR="009C7F7C" w:rsidRPr="009C7F7C">
        <w:rPr>
          <w:rFonts w:ascii="Times New Roman" w:hAnsi="Times New Roman" w:cs="Times New Roman"/>
          <w:color w:val="auto"/>
          <w:sz w:val="24"/>
          <w:szCs w:val="24"/>
          <w:lang w:val="en-US"/>
        </w:rPr>
        <w:t xml:space="preserve"> </w:t>
      </w:r>
      <w:r w:rsidRPr="004804DC">
        <w:rPr>
          <w:rFonts w:ascii="Times New Roman" w:hAnsi="Times New Roman" w:cs="Times New Roman"/>
          <w:color w:val="auto"/>
          <w:sz w:val="24"/>
          <w:szCs w:val="24"/>
          <w:lang w:val="en-US"/>
        </w:rPr>
        <w:t xml:space="preserve">- </w:t>
      </w:r>
      <w:r w:rsidRPr="00B4010B">
        <w:rPr>
          <w:rFonts w:ascii="Times New Roman" w:hAnsi="Times New Roman" w:cs="Times New Roman"/>
          <w:color w:val="auto"/>
          <w:sz w:val="24"/>
          <w:szCs w:val="24"/>
          <w:lang w:val="en-US"/>
        </w:rPr>
        <w:t>Rodriguez</w:t>
      </w:r>
      <w:bookmarkEnd w:id="4"/>
      <w:r>
        <w:rPr>
          <w:rFonts w:ascii="Times New Roman" w:hAnsi="Times New Roman" w:cs="Times New Roman"/>
          <w:color w:val="auto"/>
          <w:sz w:val="24"/>
          <w:szCs w:val="24"/>
          <w:lang w:val="en-US"/>
        </w:rPr>
        <w:t xml:space="preserve"> Study</w:t>
      </w:r>
    </w:p>
    <w:p w:rsidR="00B67AE8" w:rsidRPr="004804DC" w:rsidRDefault="007B6553" w:rsidP="00B67AE8">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In</w:t>
      </w:r>
      <w:r w:rsidR="00B67AE8" w:rsidRPr="004804DC">
        <w:rPr>
          <w:rFonts w:ascii="Times New Roman" w:hAnsi="Times New Roman" w:cs="Times New Roman"/>
          <w:sz w:val="24"/>
          <w:szCs w:val="24"/>
          <w:lang w:val="en-US"/>
        </w:rPr>
        <w:t xml:space="preserve"> the Granados and Rodriguez study, </w:t>
      </w:r>
      <w:r w:rsidR="00B67AE8">
        <w:rPr>
          <w:rFonts w:ascii="Times New Roman" w:hAnsi="Times New Roman" w:cs="Times New Roman"/>
          <w:sz w:val="24"/>
          <w:szCs w:val="24"/>
          <w:lang w:val="en-US"/>
        </w:rPr>
        <w:t xml:space="preserve">a comparison is made between </w:t>
      </w:r>
      <w:r w:rsidR="00B67AE8" w:rsidRPr="004804DC">
        <w:rPr>
          <w:rFonts w:ascii="Times New Roman" w:hAnsi="Times New Roman" w:cs="Times New Roman"/>
          <w:sz w:val="24"/>
          <w:szCs w:val="24"/>
          <w:lang w:val="en-US"/>
        </w:rPr>
        <w:t xml:space="preserve">Greece </w:t>
      </w:r>
      <w:r w:rsidR="00B67AE8">
        <w:rPr>
          <w:rFonts w:ascii="Times New Roman" w:hAnsi="Times New Roman" w:cs="Times New Roman"/>
          <w:sz w:val="24"/>
          <w:szCs w:val="24"/>
          <w:lang w:val="en-US"/>
        </w:rPr>
        <w:t xml:space="preserve">and </w:t>
      </w:r>
      <w:r w:rsidR="00B67AE8" w:rsidRPr="004804DC">
        <w:rPr>
          <w:rFonts w:ascii="Times New Roman" w:hAnsi="Times New Roman" w:cs="Times New Roman"/>
          <w:sz w:val="24"/>
          <w:szCs w:val="24"/>
          <w:lang w:val="en-US"/>
        </w:rPr>
        <w:t>two other countries</w:t>
      </w:r>
      <w:r w:rsidR="00B67AE8">
        <w:rPr>
          <w:rFonts w:ascii="Times New Roman" w:hAnsi="Times New Roman" w:cs="Times New Roman"/>
          <w:sz w:val="24"/>
          <w:szCs w:val="24"/>
          <w:lang w:val="en-US"/>
        </w:rPr>
        <w:t xml:space="preserve">, i.e. </w:t>
      </w:r>
      <w:r w:rsidR="00B67AE8" w:rsidRPr="004804DC">
        <w:rPr>
          <w:rFonts w:ascii="Times New Roman" w:hAnsi="Times New Roman" w:cs="Times New Roman"/>
          <w:sz w:val="24"/>
          <w:szCs w:val="24"/>
          <w:lang w:val="en-US"/>
        </w:rPr>
        <w:t>Iceland and Finland</w:t>
      </w:r>
      <w:r w:rsidR="00B67AE8">
        <w:rPr>
          <w:rFonts w:ascii="Times New Roman" w:hAnsi="Times New Roman" w:cs="Times New Roman"/>
          <w:sz w:val="24"/>
          <w:szCs w:val="24"/>
          <w:lang w:val="en-US"/>
        </w:rPr>
        <w:t>,</w:t>
      </w:r>
      <w:r w:rsidR="00F7235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w:t>
      </w:r>
      <w:r w:rsidR="00B67AE8">
        <w:rPr>
          <w:rFonts w:ascii="Times New Roman" w:hAnsi="Times New Roman" w:cs="Times New Roman"/>
          <w:sz w:val="24"/>
          <w:szCs w:val="24"/>
          <w:lang w:val="en-US"/>
        </w:rPr>
        <w:t>which</w:t>
      </w:r>
      <w:r>
        <w:rPr>
          <w:rFonts w:ascii="Times New Roman" w:hAnsi="Times New Roman" w:cs="Times New Roman"/>
          <w:sz w:val="24"/>
          <w:szCs w:val="24"/>
          <w:lang w:val="en-US"/>
        </w:rPr>
        <w:t>,</w:t>
      </w:r>
      <w:r w:rsidR="00F7235B">
        <w:rPr>
          <w:rFonts w:ascii="Times New Roman" w:hAnsi="Times New Roman" w:cs="Times New Roman"/>
          <w:sz w:val="24"/>
          <w:szCs w:val="24"/>
          <w:lang w:val="en-US"/>
        </w:rPr>
        <w:t xml:space="preserve"> </w:t>
      </w:r>
      <w:r w:rsidR="00B67AE8">
        <w:rPr>
          <w:rFonts w:ascii="Times New Roman" w:hAnsi="Times New Roman" w:cs="Times New Roman"/>
          <w:sz w:val="24"/>
          <w:szCs w:val="24"/>
          <w:lang w:val="en-US"/>
        </w:rPr>
        <w:t xml:space="preserve">although they </w:t>
      </w:r>
      <w:r w:rsidR="00B67AE8" w:rsidRPr="004804DC">
        <w:rPr>
          <w:rFonts w:ascii="Times New Roman" w:hAnsi="Times New Roman" w:cs="Times New Roman"/>
          <w:sz w:val="24"/>
          <w:szCs w:val="24"/>
          <w:lang w:val="en-US"/>
        </w:rPr>
        <w:t xml:space="preserve">entered a </w:t>
      </w:r>
      <w:r w:rsidR="00B67AE8">
        <w:rPr>
          <w:rFonts w:ascii="Times New Roman" w:hAnsi="Times New Roman" w:cs="Times New Roman"/>
          <w:sz w:val="24"/>
          <w:szCs w:val="24"/>
          <w:lang w:val="en-US"/>
        </w:rPr>
        <w:t xml:space="preserve">phase of </w:t>
      </w:r>
      <w:r w:rsidR="00B67AE8" w:rsidRPr="004804DC">
        <w:rPr>
          <w:rFonts w:ascii="Times New Roman" w:hAnsi="Times New Roman" w:cs="Times New Roman"/>
          <w:sz w:val="24"/>
          <w:szCs w:val="24"/>
          <w:lang w:val="en-US"/>
        </w:rPr>
        <w:t>recession</w:t>
      </w:r>
      <w:r>
        <w:rPr>
          <w:rFonts w:ascii="Times New Roman" w:hAnsi="Times New Roman" w:cs="Times New Roman"/>
          <w:sz w:val="24"/>
          <w:szCs w:val="24"/>
          <w:lang w:val="en-US"/>
        </w:rPr>
        <w:t>,</w:t>
      </w:r>
      <w:r w:rsidR="00B67AE8" w:rsidRPr="004804DC">
        <w:rPr>
          <w:rFonts w:ascii="Times New Roman" w:hAnsi="Times New Roman" w:cs="Times New Roman"/>
          <w:sz w:val="24"/>
          <w:szCs w:val="24"/>
          <w:lang w:val="en-US"/>
        </w:rPr>
        <w:t xml:space="preserve"> no auste</w:t>
      </w:r>
      <w:r w:rsidR="00B67AE8">
        <w:rPr>
          <w:rFonts w:ascii="Times New Roman" w:hAnsi="Times New Roman" w:cs="Times New Roman"/>
          <w:sz w:val="24"/>
          <w:szCs w:val="24"/>
          <w:lang w:val="en-US"/>
        </w:rPr>
        <w:t>rity policies were applied</w:t>
      </w:r>
      <w:r w:rsidR="00B67AE8" w:rsidRPr="004804DC">
        <w:rPr>
          <w:rFonts w:ascii="Times New Roman" w:hAnsi="Times New Roman" w:cs="Times New Roman"/>
          <w:sz w:val="24"/>
          <w:szCs w:val="24"/>
          <w:lang w:val="en-US"/>
        </w:rPr>
        <w:t xml:space="preserve">. The comparison of the data studied showed that there is </w:t>
      </w:r>
      <w:r w:rsidR="00B67AE8">
        <w:rPr>
          <w:rFonts w:ascii="Times New Roman" w:hAnsi="Times New Roman" w:cs="Times New Roman"/>
          <w:sz w:val="24"/>
          <w:szCs w:val="24"/>
          <w:lang w:val="en-US"/>
        </w:rPr>
        <w:t xml:space="preserve">improvement in health </w:t>
      </w:r>
      <w:r w:rsidR="00B67AE8" w:rsidRPr="004804DC">
        <w:rPr>
          <w:rFonts w:ascii="Times New Roman" w:hAnsi="Times New Roman" w:cs="Times New Roman"/>
          <w:sz w:val="24"/>
          <w:szCs w:val="24"/>
          <w:lang w:val="en-US"/>
        </w:rPr>
        <w:t xml:space="preserve">in Greece and that </w:t>
      </w:r>
      <w:r w:rsidR="00A96B91">
        <w:rPr>
          <w:rFonts w:ascii="Times New Roman" w:hAnsi="Times New Roman" w:cs="Times New Roman"/>
          <w:sz w:val="24"/>
          <w:szCs w:val="24"/>
          <w:lang w:val="en-US"/>
        </w:rPr>
        <w:t>claims by other authors</w:t>
      </w:r>
      <w:r w:rsidR="00F7235B">
        <w:rPr>
          <w:rFonts w:ascii="Times New Roman" w:hAnsi="Times New Roman" w:cs="Times New Roman"/>
          <w:sz w:val="24"/>
          <w:szCs w:val="24"/>
          <w:lang w:val="en-US"/>
        </w:rPr>
        <w:t xml:space="preserve"> </w:t>
      </w:r>
      <w:r w:rsidR="00A96B91">
        <w:rPr>
          <w:rFonts w:ascii="Times New Roman" w:hAnsi="Times New Roman" w:cs="Times New Roman"/>
          <w:sz w:val="24"/>
          <w:szCs w:val="24"/>
          <w:lang w:val="en-US"/>
        </w:rPr>
        <w:t xml:space="preserve">of </w:t>
      </w:r>
      <w:r w:rsidR="00B67AE8" w:rsidRPr="004804DC">
        <w:rPr>
          <w:rFonts w:ascii="Times New Roman" w:hAnsi="Times New Roman" w:cs="Times New Roman"/>
          <w:sz w:val="24"/>
          <w:szCs w:val="24"/>
          <w:lang w:val="en-US"/>
        </w:rPr>
        <w:t xml:space="preserve">the </w:t>
      </w:r>
      <w:r w:rsidR="00B67AE8">
        <w:rPr>
          <w:rFonts w:ascii="Times New Roman" w:hAnsi="Times New Roman" w:cs="Times New Roman"/>
          <w:sz w:val="24"/>
          <w:szCs w:val="24"/>
          <w:lang w:val="en-US"/>
        </w:rPr>
        <w:t>harmful</w:t>
      </w:r>
      <w:r w:rsidR="00B67AE8" w:rsidRPr="004804DC">
        <w:rPr>
          <w:rFonts w:ascii="Times New Roman" w:hAnsi="Times New Roman" w:cs="Times New Roman"/>
          <w:sz w:val="24"/>
          <w:szCs w:val="24"/>
          <w:lang w:val="en-US"/>
        </w:rPr>
        <w:t xml:space="preserve"> effects of economic crisis </w:t>
      </w:r>
      <w:r w:rsidR="00B67AE8">
        <w:rPr>
          <w:rFonts w:ascii="Times New Roman" w:hAnsi="Times New Roman" w:cs="Times New Roman"/>
          <w:sz w:val="24"/>
          <w:szCs w:val="24"/>
          <w:lang w:val="en-US"/>
        </w:rPr>
        <w:t>on health seem overly exaggerated</w:t>
      </w:r>
      <w:r w:rsidR="00B67AE8" w:rsidRPr="004804DC">
        <w:rPr>
          <w:rFonts w:ascii="Times New Roman" w:hAnsi="Times New Roman" w:cs="Times New Roman"/>
          <w:sz w:val="24"/>
          <w:szCs w:val="24"/>
          <w:lang w:val="en-US"/>
        </w:rPr>
        <w:t xml:space="preserve"> [17]. This comparison is of course somewhat unequal, </w:t>
      </w:r>
      <w:r w:rsidR="00B67AE8">
        <w:rPr>
          <w:rFonts w:ascii="Times New Roman" w:hAnsi="Times New Roman" w:cs="Times New Roman"/>
          <w:sz w:val="24"/>
          <w:szCs w:val="24"/>
          <w:lang w:val="en-US"/>
        </w:rPr>
        <w:t xml:space="preserve">as it compares </w:t>
      </w:r>
      <w:r w:rsidR="00B67AE8" w:rsidRPr="004804DC">
        <w:rPr>
          <w:rFonts w:ascii="Times New Roman" w:hAnsi="Times New Roman" w:cs="Times New Roman"/>
          <w:sz w:val="24"/>
          <w:szCs w:val="24"/>
          <w:lang w:val="en-US"/>
        </w:rPr>
        <w:t>Greece</w:t>
      </w:r>
      <w:r w:rsidR="00B67AE8">
        <w:rPr>
          <w:rFonts w:ascii="Times New Roman" w:hAnsi="Times New Roman" w:cs="Times New Roman"/>
          <w:sz w:val="24"/>
          <w:szCs w:val="24"/>
          <w:lang w:val="en-US"/>
        </w:rPr>
        <w:t>,</w:t>
      </w:r>
      <w:r w:rsidR="00487E5A">
        <w:rPr>
          <w:rFonts w:ascii="Times New Roman" w:hAnsi="Times New Roman" w:cs="Times New Roman"/>
          <w:sz w:val="24"/>
          <w:szCs w:val="24"/>
          <w:lang w:val="en-US"/>
        </w:rPr>
        <w:t xml:space="preserve"> a country in</w:t>
      </w:r>
      <w:r w:rsidR="00B67AE8" w:rsidRPr="004804DC">
        <w:rPr>
          <w:rFonts w:ascii="Times New Roman" w:hAnsi="Times New Roman" w:cs="Times New Roman"/>
          <w:sz w:val="24"/>
          <w:szCs w:val="24"/>
          <w:lang w:val="en-US"/>
        </w:rPr>
        <w:t xml:space="preserve"> the South</w:t>
      </w:r>
      <w:r w:rsidR="00B67AE8">
        <w:rPr>
          <w:rFonts w:ascii="Times New Roman" w:hAnsi="Times New Roman" w:cs="Times New Roman"/>
          <w:sz w:val="24"/>
          <w:szCs w:val="24"/>
          <w:lang w:val="en-US"/>
        </w:rPr>
        <w:t>,</w:t>
      </w:r>
      <w:r w:rsidR="00B67AE8" w:rsidRPr="004804DC">
        <w:rPr>
          <w:rFonts w:ascii="Times New Roman" w:hAnsi="Times New Roman" w:cs="Times New Roman"/>
          <w:sz w:val="24"/>
          <w:szCs w:val="24"/>
          <w:lang w:val="en-US"/>
        </w:rPr>
        <w:t xml:space="preserve"> with countries</w:t>
      </w:r>
      <w:r w:rsidR="00487E5A">
        <w:rPr>
          <w:rFonts w:ascii="Times New Roman" w:hAnsi="Times New Roman" w:cs="Times New Roman"/>
          <w:sz w:val="24"/>
          <w:szCs w:val="24"/>
          <w:lang w:val="en-US"/>
        </w:rPr>
        <w:t xml:space="preserve"> in</w:t>
      </w:r>
      <w:r w:rsidR="00B67AE8">
        <w:rPr>
          <w:rFonts w:ascii="Times New Roman" w:hAnsi="Times New Roman" w:cs="Times New Roman"/>
          <w:sz w:val="24"/>
          <w:szCs w:val="24"/>
          <w:lang w:val="en-US"/>
        </w:rPr>
        <w:t xml:space="preserve"> the North</w:t>
      </w:r>
      <w:r w:rsidR="00B67AE8" w:rsidRPr="004804DC">
        <w:rPr>
          <w:rFonts w:ascii="Times New Roman" w:hAnsi="Times New Roman" w:cs="Times New Roman"/>
          <w:sz w:val="24"/>
          <w:szCs w:val="24"/>
          <w:lang w:val="en-US"/>
        </w:rPr>
        <w:t xml:space="preserve">, </w:t>
      </w:r>
      <w:r w:rsidR="00487E5A">
        <w:rPr>
          <w:rFonts w:ascii="Times New Roman" w:hAnsi="Times New Roman" w:cs="Times New Roman"/>
          <w:sz w:val="24"/>
          <w:szCs w:val="24"/>
          <w:lang w:val="en-US"/>
        </w:rPr>
        <w:t xml:space="preserve">featuring </w:t>
      </w:r>
      <w:r w:rsidR="00B67AE8" w:rsidRPr="004804DC">
        <w:rPr>
          <w:rFonts w:ascii="Times New Roman" w:hAnsi="Times New Roman" w:cs="Times New Roman"/>
          <w:sz w:val="24"/>
          <w:szCs w:val="24"/>
          <w:lang w:val="en-US"/>
        </w:rPr>
        <w:t xml:space="preserve">different climate changes, </w:t>
      </w:r>
      <w:r w:rsidR="00B67AE8">
        <w:rPr>
          <w:rFonts w:ascii="Times New Roman" w:hAnsi="Times New Roman" w:cs="Times New Roman"/>
          <w:sz w:val="24"/>
          <w:szCs w:val="24"/>
          <w:lang w:val="en-US"/>
        </w:rPr>
        <w:t>different</w:t>
      </w:r>
      <w:r w:rsidR="00D22202">
        <w:rPr>
          <w:rFonts w:ascii="Times New Roman" w:hAnsi="Times New Roman" w:cs="Times New Roman"/>
          <w:sz w:val="24"/>
          <w:szCs w:val="24"/>
          <w:lang w:val="en-US"/>
        </w:rPr>
        <w:t xml:space="preserve"> culture</w:t>
      </w:r>
      <w:r>
        <w:rPr>
          <w:rFonts w:ascii="Times New Roman" w:hAnsi="Times New Roman" w:cs="Times New Roman"/>
          <w:sz w:val="24"/>
          <w:szCs w:val="24"/>
          <w:lang w:val="en-US"/>
        </w:rPr>
        <w:t>s</w:t>
      </w:r>
      <w:r w:rsidR="00D22202">
        <w:rPr>
          <w:rFonts w:ascii="Times New Roman" w:hAnsi="Times New Roman" w:cs="Times New Roman"/>
          <w:sz w:val="24"/>
          <w:szCs w:val="24"/>
          <w:lang w:val="en-US"/>
        </w:rPr>
        <w:t xml:space="preserve">, </w:t>
      </w:r>
      <w:r w:rsidR="00B67AE8" w:rsidRPr="004804DC">
        <w:rPr>
          <w:rFonts w:ascii="Times New Roman" w:hAnsi="Times New Roman" w:cs="Times New Roman"/>
          <w:sz w:val="24"/>
          <w:szCs w:val="24"/>
          <w:lang w:val="en-US"/>
        </w:rPr>
        <w:t xml:space="preserve">different organization of health and social infrastructure, </w:t>
      </w:r>
      <w:r>
        <w:rPr>
          <w:rFonts w:ascii="Times New Roman" w:hAnsi="Times New Roman" w:cs="Times New Roman"/>
          <w:sz w:val="24"/>
          <w:szCs w:val="24"/>
          <w:lang w:val="en-US"/>
        </w:rPr>
        <w:t xml:space="preserve">and </w:t>
      </w:r>
      <w:r w:rsidR="00B67AE8" w:rsidRPr="004804DC">
        <w:rPr>
          <w:rFonts w:ascii="Times New Roman" w:hAnsi="Times New Roman" w:cs="Times New Roman"/>
          <w:sz w:val="24"/>
          <w:szCs w:val="24"/>
          <w:lang w:val="en-US"/>
        </w:rPr>
        <w:t xml:space="preserve">with strong economies </w:t>
      </w:r>
      <w:r>
        <w:rPr>
          <w:rFonts w:ascii="Times New Roman" w:hAnsi="Times New Roman" w:cs="Times New Roman"/>
          <w:sz w:val="24"/>
          <w:szCs w:val="24"/>
          <w:lang w:val="en-US"/>
        </w:rPr>
        <w:t>based on</w:t>
      </w:r>
      <w:r w:rsidR="00B67AE8" w:rsidRPr="004804DC">
        <w:rPr>
          <w:rFonts w:ascii="Times New Roman" w:hAnsi="Times New Roman" w:cs="Times New Roman"/>
          <w:sz w:val="24"/>
          <w:szCs w:val="24"/>
          <w:lang w:val="en-US"/>
        </w:rPr>
        <w:t xml:space="preserve"> large </w:t>
      </w:r>
      <w:r>
        <w:rPr>
          <w:rFonts w:ascii="Times New Roman" w:hAnsi="Times New Roman" w:cs="Times New Roman"/>
          <w:sz w:val="24"/>
          <w:szCs w:val="24"/>
          <w:lang w:val="en-US"/>
        </w:rPr>
        <w:t xml:space="preserve">fish </w:t>
      </w:r>
      <w:r w:rsidR="00B67AE8" w:rsidRPr="004804DC">
        <w:rPr>
          <w:rFonts w:ascii="Times New Roman" w:hAnsi="Times New Roman" w:cs="Times New Roman"/>
          <w:sz w:val="24"/>
          <w:szCs w:val="24"/>
          <w:lang w:val="en-US"/>
        </w:rPr>
        <w:t>exports and energy self-sufficiency.</w:t>
      </w:r>
    </w:p>
    <w:p w:rsidR="00F733FE" w:rsidRPr="00474812" w:rsidRDefault="00F773CB" w:rsidP="00F733FE">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Subsequently, reference is made to a significant </w:t>
      </w:r>
      <w:r w:rsidR="00474812">
        <w:rPr>
          <w:rFonts w:ascii="Times New Roman" w:hAnsi="Times New Roman" w:cs="Times New Roman"/>
          <w:sz w:val="24"/>
          <w:szCs w:val="24"/>
          <w:lang w:val="en-US"/>
        </w:rPr>
        <w:t xml:space="preserve">drop </w:t>
      </w:r>
      <w:r w:rsidR="007B6553">
        <w:rPr>
          <w:rFonts w:ascii="Times New Roman" w:hAnsi="Times New Roman" w:cs="Times New Roman"/>
          <w:sz w:val="24"/>
          <w:szCs w:val="24"/>
          <w:lang w:val="en-US"/>
        </w:rPr>
        <w:t>in</w:t>
      </w:r>
      <w:r w:rsidR="00F733FE" w:rsidRPr="00F733FE">
        <w:rPr>
          <w:rFonts w:ascii="Times New Roman" w:hAnsi="Times New Roman" w:cs="Times New Roman"/>
          <w:sz w:val="24"/>
          <w:szCs w:val="24"/>
          <w:lang w:val="en-US"/>
        </w:rPr>
        <w:t xml:space="preserve"> mortality at all ages</w:t>
      </w:r>
      <w:r w:rsidR="00F7235B">
        <w:rPr>
          <w:rFonts w:ascii="Times New Roman" w:hAnsi="Times New Roman" w:cs="Times New Roman"/>
          <w:sz w:val="24"/>
          <w:szCs w:val="24"/>
          <w:lang w:val="en-US"/>
        </w:rPr>
        <w:t xml:space="preserve"> </w:t>
      </w:r>
      <w:r w:rsidR="00F733FE" w:rsidRPr="00F733FE">
        <w:rPr>
          <w:rFonts w:ascii="Times New Roman" w:hAnsi="Times New Roman" w:cs="Times New Roman"/>
          <w:sz w:val="24"/>
          <w:szCs w:val="24"/>
          <w:lang w:val="en-US"/>
        </w:rPr>
        <w:t xml:space="preserve">and a slight increase in infant mortality after 2008 [17]. The major </w:t>
      </w:r>
      <w:r w:rsidR="005F719D">
        <w:rPr>
          <w:rFonts w:ascii="Times New Roman" w:hAnsi="Times New Roman" w:cs="Times New Roman"/>
          <w:sz w:val="24"/>
          <w:szCs w:val="24"/>
          <w:lang w:val="en-US"/>
        </w:rPr>
        <w:t>decline</w:t>
      </w:r>
      <w:r w:rsidR="00F733FE" w:rsidRPr="00F733FE">
        <w:rPr>
          <w:rFonts w:ascii="Times New Roman" w:hAnsi="Times New Roman" w:cs="Times New Roman"/>
          <w:sz w:val="24"/>
          <w:szCs w:val="24"/>
          <w:lang w:val="en-US"/>
        </w:rPr>
        <w:t xml:space="preserve"> in mortality reported in the study is </w:t>
      </w:r>
      <w:r w:rsidR="005F719D">
        <w:rPr>
          <w:rFonts w:ascii="Times New Roman" w:hAnsi="Times New Roman" w:cs="Times New Roman"/>
          <w:sz w:val="24"/>
          <w:szCs w:val="24"/>
          <w:lang w:val="en-US"/>
        </w:rPr>
        <w:t>attributed to cause-</w:t>
      </w:r>
      <w:r w:rsidR="00F733FE" w:rsidRPr="00F733FE">
        <w:rPr>
          <w:rFonts w:ascii="Times New Roman" w:hAnsi="Times New Roman" w:cs="Times New Roman"/>
          <w:sz w:val="24"/>
          <w:szCs w:val="24"/>
          <w:lang w:val="en-US"/>
        </w:rPr>
        <w:t xml:space="preserve">specific </w:t>
      </w:r>
      <w:r w:rsidR="005F719D">
        <w:rPr>
          <w:rFonts w:ascii="Times New Roman" w:hAnsi="Times New Roman" w:cs="Times New Roman"/>
          <w:sz w:val="24"/>
          <w:szCs w:val="24"/>
          <w:lang w:val="en-US"/>
        </w:rPr>
        <w:t>mortality</w:t>
      </w:r>
      <w:r w:rsidR="00F733FE" w:rsidRPr="00F733FE">
        <w:rPr>
          <w:rFonts w:ascii="Times New Roman" w:hAnsi="Times New Roman" w:cs="Times New Roman"/>
          <w:sz w:val="24"/>
          <w:szCs w:val="24"/>
          <w:lang w:val="en-US"/>
        </w:rPr>
        <w:t xml:space="preserve">, and the possible logical explanation is that in times of economic crisis people reduce abuse (alcohol, </w:t>
      </w:r>
      <w:r w:rsidR="00474812">
        <w:rPr>
          <w:rFonts w:ascii="Times New Roman" w:hAnsi="Times New Roman" w:cs="Times New Roman"/>
          <w:sz w:val="24"/>
          <w:szCs w:val="24"/>
          <w:lang w:val="en-US"/>
        </w:rPr>
        <w:t>junk</w:t>
      </w:r>
      <w:r w:rsidR="007B6553">
        <w:rPr>
          <w:rFonts w:ascii="Times New Roman" w:hAnsi="Times New Roman" w:cs="Times New Roman"/>
          <w:sz w:val="24"/>
          <w:szCs w:val="24"/>
          <w:lang w:val="en-US"/>
        </w:rPr>
        <w:t xml:space="preserve"> food), drive less and </w:t>
      </w:r>
      <w:r w:rsidR="00F733FE" w:rsidRPr="00F733FE">
        <w:rPr>
          <w:rFonts w:ascii="Times New Roman" w:hAnsi="Times New Roman" w:cs="Times New Roman"/>
          <w:sz w:val="24"/>
          <w:szCs w:val="24"/>
          <w:lang w:val="en-US"/>
        </w:rPr>
        <w:t>use public transport</w:t>
      </w:r>
      <w:r w:rsidR="007B6553">
        <w:rPr>
          <w:rFonts w:ascii="Times New Roman" w:hAnsi="Times New Roman" w:cs="Times New Roman"/>
          <w:sz w:val="24"/>
          <w:szCs w:val="24"/>
          <w:lang w:val="en-US"/>
        </w:rPr>
        <w:t xml:space="preserve"> more</w:t>
      </w:r>
      <w:r w:rsidR="00F733FE" w:rsidRPr="00F733FE">
        <w:rPr>
          <w:rFonts w:ascii="Times New Roman" w:hAnsi="Times New Roman" w:cs="Times New Roman"/>
          <w:sz w:val="24"/>
          <w:szCs w:val="24"/>
          <w:lang w:val="en-US"/>
        </w:rPr>
        <w:t xml:space="preserve">, and have enough free time for a healthy lifestyle (good sleep-exercise). In contrast, other mortality rates are rising, </w:t>
      </w:r>
      <w:r w:rsidR="00474812">
        <w:rPr>
          <w:rFonts w:ascii="Times New Roman" w:hAnsi="Times New Roman" w:cs="Times New Roman"/>
          <w:sz w:val="24"/>
          <w:szCs w:val="24"/>
          <w:lang w:val="en-US"/>
        </w:rPr>
        <w:t xml:space="preserve">such </w:t>
      </w:r>
      <w:r w:rsidR="00F733FE" w:rsidRPr="00F733FE">
        <w:rPr>
          <w:rFonts w:ascii="Times New Roman" w:hAnsi="Times New Roman" w:cs="Times New Roman"/>
          <w:sz w:val="24"/>
          <w:szCs w:val="24"/>
          <w:lang w:val="en-US"/>
        </w:rPr>
        <w:t xml:space="preserve">as the suicide rate as a consequence of </w:t>
      </w:r>
      <w:r w:rsidR="00474812">
        <w:rPr>
          <w:rFonts w:ascii="Times New Roman" w:hAnsi="Times New Roman" w:cs="Times New Roman"/>
          <w:sz w:val="24"/>
          <w:szCs w:val="24"/>
          <w:lang w:val="en-US"/>
        </w:rPr>
        <w:t>an</w:t>
      </w:r>
      <w:r w:rsidR="00F733FE" w:rsidRPr="00F733FE">
        <w:rPr>
          <w:rFonts w:ascii="Times New Roman" w:hAnsi="Times New Roman" w:cs="Times New Roman"/>
          <w:sz w:val="24"/>
          <w:szCs w:val="24"/>
          <w:lang w:val="en-US"/>
        </w:rPr>
        <w:t xml:space="preserve"> increase in mental </w:t>
      </w:r>
      <w:r w:rsidR="00474812">
        <w:rPr>
          <w:rFonts w:ascii="Times New Roman" w:hAnsi="Times New Roman" w:cs="Times New Roman"/>
          <w:sz w:val="24"/>
          <w:szCs w:val="24"/>
          <w:lang w:val="en-US"/>
        </w:rPr>
        <w:t>diseases</w:t>
      </w:r>
      <w:r w:rsidR="00F733FE" w:rsidRPr="00F733FE">
        <w:rPr>
          <w:rFonts w:ascii="Times New Roman" w:hAnsi="Times New Roman" w:cs="Times New Roman"/>
          <w:sz w:val="24"/>
          <w:szCs w:val="24"/>
          <w:lang w:val="en-US"/>
        </w:rPr>
        <w:t xml:space="preserve"> associated with high unemployment [3].</w:t>
      </w:r>
    </w:p>
    <w:p w:rsidR="00B67AE8" w:rsidRDefault="00C23258" w:rsidP="00D066D5">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The s</w:t>
      </w:r>
      <w:r w:rsidR="007B6553">
        <w:rPr>
          <w:rFonts w:ascii="Times New Roman" w:hAnsi="Times New Roman" w:cs="Times New Roman"/>
          <w:sz w:val="24"/>
          <w:szCs w:val="24"/>
          <w:lang w:val="en-US"/>
        </w:rPr>
        <w:t>tudy also reports a potential r</w:t>
      </w:r>
      <w:r>
        <w:rPr>
          <w:rFonts w:ascii="Times New Roman" w:hAnsi="Times New Roman" w:cs="Times New Roman"/>
          <w:sz w:val="24"/>
          <w:szCs w:val="24"/>
          <w:lang w:val="en-US"/>
        </w:rPr>
        <w:t>ise</w:t>
      </w:r>
      <w:r w:rsidRPr="00C23258">
        <w:rPr>
          <w:rFonts w:ascii="Times New Roman" w:hAnsi="Times New Roman" w:cs="Times New Roman"/>
          <w:sz w:val="24"/>
          <w:szCs w:val="24"/>
          <w:lang w:val="en-US"/>
        </w:rPr>
        <w:t xml:space="preserve"> in </w:t>
      </w:r>
      <w:r w:rsidR="007B6553">
        <w:rPr>
          <w:rFonts w:ascii="Times New Roman" w:hAnsi="Times New Roman" w:cs="Times New Roman"/>
          <w:sz w:val="24"/>
          <w:szCs w:val="24"/>
          <w:lang w:val="en-US"/>
        </w:rPr>
        <w:t xml:space="preserve">the </w:t>
      </w:r>
      <w:r>
        <w:rPr>
          <w:rFonts w:ascii="Times New Roman" w:hAnsi="Times New Roman" w:cs="Times New Roman"/>
          <w:sz w:val="24"/>
          <w:szCs w:val="24"/>
          <w:lang w:val="en-US"/>
        </w:rPr>
        <w:t>incidence</w:t>
      </w:r>
      <w:r w:rsidR="007B6553">
        <w:rPr>
          <w:rFonts w:ascii="Times New Roman" w:hAnsi="Times New Roman" w:cs="Times New Roman"/>
          <w:sz w:val="24"/>
          <w:szCs w:val="24"/>
          <w:lang w:val="en-US"/>
        </w:rPr>
        <w:t xml:space="preserve"> of </w:t>
      </w:r>
      <w:r w:rsidR="007B6553" w:rsidRPr="007B6553">
        <w:rPr>
          <w:rFonts w:ascii="Times New Roman" w:hAnsi="Times New Roman" w:cs="Times New Roman"/>
          <w:sz w:val="24"/>
          <w:szCs w:val="24"/>
          <w:lang w:val="en-US"/>
        </w:rPr>
        <w:t>AIDS</w:t>
      </w:r>
      <w:r w:rsidRPr="00C23258">
        <w:rPr>
          <w:rFonts w:ascii="Times New Roman" w:hAnsi="Times New Roman" w:cs="Times New Roman"/>
          <w:sz w:val="24"/>
          <w:szCs w:val="24"/>
          <w:lang w:val="en-US"/>
        </w:rPr>
        <w:t xml:space="preserve"> due to </w:t>
      </w:r>
      <w:r w:rsidR="004A695C" w:rsidRPr="007B6553">
        <w:rPr>
          <w:rFonts w:ascii="Times New Roman" w:hAnsi="Times New Roman" w:cs="Times New Roman"/>
          <w:sz w:val="24"/>
          <w:szCs w:val="24"/>
          <w:lang w:val="en-US"/>
        </w:rPr>
        <w:t>profound cuts</w:t>
      </w:r>
      <w:r w:rsidRPr="00C23258">
        <w:rPr>
          <w:rFonts w:ascii="Times New Roman" w:hAnsi="Times New Roman" w:cs="Times New Roman"/>
          <w:sz w:val="24"/>
          <w:szCs w:val="24"/>
          <w:lang w:val="en-US"/>
        </w:rPr>
        <w:t xml:space="preserve"> in </w:t>
      </w:r>
      <w:r>
        <w:rPr>
          <w:rFonts w:ascii="Times New Roman" w:hAnsi="Times New Roman" w:cs="Times New Roman"/>
          <w:sz w:val="24"/>
          <w:szCs w:val="24"/>
          <w:lang w:val="en-US"/>
        </w:rPr>
        <w:t xml:space="preserve">public </w:t>
      </w:r>
      <w:r w:rsidRPr="00C23258">
        <w:rPr>
          <w:rFonts w:ascii="Times New Roman" w:hAnsi="Times New Roman" w:cs="Times New Roman"/>
          <w:sz w:val="24"/>
          <w:szCs w:val="24"/>
          <w:lang w:val="en-US"/>
        </w:rPr>
        <w:t xml:space="preserve">health expenditure and a lack of spending on special </w:t>
      </w:r>
      <w:proofErr w:type="spellStart"/>
      <w:r w:rsidRPr="00C23258">
        <w:rPr>
          <w:rFonts w:ascii="Times New Roman" w:hAnsi="Times New Roman" w:cs="Times New Roman"/>
          <w:sz w:val="24"/>
          <w:szCs w:val="24"/>
          <w:lang w:val="en-US"/>
        </w:rPr>
        <w:t>program</w:t>
      </w:r>
      <w:r>
        <w:rPr>
          <w:rFonts w:ascii="Times New Roman" w:hAnsi="Times New Roman" w:cs="Times New Roman"/>
          <w:sz w:val="24"/>
          <w:szCs w:val="24"/>
          <w:lang w:val="en-US"/>
        </w:rPr>
        <w:t>mes</w:t>
      </w:r>
      <w:proofErr w:type="spellEnd"/>
      <w:r w:rsidR="00F7235B">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C23258">
        <w:rPr>
          <w:rFonts w:ascii="Times New Roman" w:hAnsi="Times New Roman" w:cs="Times New Roman"/>
          <w:sz w:val="24"/>
          <w:szCs w:val="24"/>
          <w:lang w:val="en-US"/>
        </w:rPr>
        <w:t xml:space="preserve"> prevention and treatment </w:t>
      </w:r>
      <w:r>
        <w:rPr>
          <w:rFonts w:ascii="Times New Roman" w:hAnsi="Times New Roman" w:cs="Times New Roman"/>
          <w:sz w:val="24"/>
          <w:szCs w:val="24"/>
          <w:lang w:val="en-US"/>
        </w:rPr>
        <w:t xml:space="preserve">for illicit drug use. </w:t>
      </w:r>
      <w:r w:rsidR="007E4A25">
        <w:rPr>
          <w:rFonts w:ascii="Times New Roman" w:hAnsi="Times New Roman" w:cs="Times New Roman"/>
          <w:sz w:val="24"/>
          <w:szCs w:val="24"/>
          <w:lang w:val="en-US"/>
        </w:rPr>
        <w:t>This is a</w:t>
      </w:r>
      <w:r>
        <w:rPr>
          <w:rFonts w:ascii="Times New Roman" w:hAnsi="Times New Roman" w:cs="Times New Roman"/>
          <w:sz w:val="24"/>
          <w:szCs w:val="24"/>
          <w:lang w:val="en-US"/>
        </w:rPr>
        <w:t>lso associated with</w:t>
      </w:r>
      <w:r w:rsidR="00392A1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poor </w:t>
      </w:r>
      <w:r w:rsidR="007E4A25">
        <w:rPr>
          <w:rFonts w:ascii="Times New Roman" w:hAnsi="Times New Roman" w:cs="Times New Roman"/>
          <w:sz w:val="24"/>
          <w:szCs w:val="24"/>
          <w:lang w:val="en-US"/>
        </w:rPr>
        <w:t xml:space="preserve">conditions in </w:t>
      </w:r>
      <w:r w:rsidRPr="00C23258">
        <w:rPr>
          <w:rFonts w:ascii="Times New Roman" w:hAnsi="Times New Roman" w:cs="Times New Roman"/>
          <w:sz w:val="24"/>
          <w:szCs w:val="24"/>
          <w:lang w:val="en-US"/>
        </w:rPr>
        <w:t xml:space="preserve">Greek hospitals, </w:t>
      </w:r>
      <w:r w:rsidR="00EA3E29">
        <w:rPr>
          <w:rFonts w:ascii="Times New Roman" w:hAnsi="Times New Roman" w:cs="Times New Roman"/>
          <w:sz w:val="24"/>
          <w:szCs w:val="24"/>
          <w:lang w:val="en-US"/>
        </w:rPr>
        <w:t xml:space="preserve">particularly </w:t>
      </w:r>
      <w:r w:rsidR="007E4A25">
        <w:rPr>
          <w:rFonts w:ascii="Times New Roman" w:hAnsi="Times New Roman" w:cs="Times New Roman"/>
          <w:sz w:val="24"/>
          <w:szCs w:val="24"/>
          <w:lang w:val="en-US"/>
        </w:rPr>
        <w:t xml:space="preserve">the </w:t>
      </w:r>
      <w:r w:rsidR="004A695C">
        <w:rPr>
          <w:rFonts w:ascii="Times New Roman" w:hAnsi="Times New Roman" w:cs="Times New Roman"/>
          <w:sz w:val="24"/>
          <w:szCs w:val="24"/>
          <w:lang w:val="en-US"/>
        </w:rPr>
        <w:t xml:space="preserve">provision of </w:t>
      </w:r>
      <w:r w:rsidRPr="00C23258">
        <w:rPr>
          <w:rFonts w:ascii="Times New Roman" w:hAnsi="Times New Roman" w:cs="Times New Roman"/>
          <w:sz w:val="24"/>
          <w:szCs w:val="24"/>
          <w:lang w:val="en-US"/>
        </w:rPr>
        <w:t xml:space="preserve">health </w:t>
      </w:r>
      <w:r w:rsidR="00EA3E29">
        <w:rPr>
          <w:rFonts w:ascii="Times New Roman" w:hAnsi="Times New Roman" w:cs="Times New Roman"/>
          <w:sz w:val="24"/>
          <w:szCs w:val="24"/>
          <w:lang w:val="en-US"/>
        </w:rPr>
        <w:t>services,</w:t>
      </w:r>
      <w:r w:rsidRPr="00C23258">
        <w:rPr>
          <w:rFonts w:ascii="Times New Roman" w:hAnsi="Times New Roman" w:cs="Times New Roman"/>
          <w:sz w:val="24"/>
          <w:szCs w:val="24"/>
          <w:lang w:val="en-US"/>
        </w:rPr>
        <w:t xml:space="preserve"> due to reduced health expenditures impos</w:t>
      </w:r>
      <w:r w:rsidR="00EA3E29">
        <w:rPr>
          <w:rFonts w:ascii="Times New Roman" w:hAnsi="Times New Roman" w:cs="Times New Roman"/>
          <w:sz w:val="24"/>
          <w:szCs w:val="24"/>
          <w:lang w:val="en-US"/>
        </w:rPr>
        <w:t xml:space="preserve">ed by austerity measures. </w:t>
      </w:r>
      <w:r w:rsidR="007E4A25">
        <w:rPr>
          <w:rFonts w:ascii="Times New Roman" w:hAnsi="Times New Roman" w:cs="Times New Roman"/>
          <w:sz w:val="24"/>
          <w:szCs w:val="24"/>
          <w:lang w:val="en-US"/>
        </w:rPr>
        <w:t>A</w:t>
      </w:r>
      <w:r w:rsidR="00EA3E29">
        <w:rPr>
          <w:rFonts w:ascii="Times New Roman" w:hAnsi="Times New Roman" w:cs="Times New Roman"/>
          <w:sz w:val="24"/>
          <w:szCs w:val="24"/>
          <w:lang w:val="en-US"/>
        </w:rPr>
        <w:t xml:space="preserve"> general</w:t>
      </w:r>
      <w:r w:rsidR="00392A1C">
        <w:rPr>
          <w:rFonts w:ascii="Times New Roman" w:hAnsi="Times New Roman" w:cs="Times New Roman"/>
          <w:sz w:val="24"/>
          <w:szCs w:val="24"/>
          <w:lang w:val="en-US"/>
        </w:rPr>
        <w:t xml:space="preserve"> </w:t>
      </w:r>
      <w:proofErr w:type="gramStart"/>
      <w:r w:rsidR="00EA3E29">
        <w:rPr>
          <w:rFonts w:ascii="Times New Roman" w:hAnsi="Times New Roman" w:cs="Times New Roman"/>
          <w:sz w:val="24"/>
          <w:szCs w:val="24"/>
          <w:lang w:val="en-US"/>
        </w:rPr>
        <w:t>examination</w:t>
      </w:r>
      <w:r w:rsidR="00392A1C">
        <w:rPr>
          <w:rFonts w:ascii="Times New Roman" w:hAnsi="Times New Roman" w:cs="Times New Roman"/>
          <w:sz w:val="24"/>
          <w:szCs w:val="24"/>
          <w:lang w:val="en-US"/>
        </w:rPr>
        <w:t xml:space="preserve">  </w:t>
      </w:r>
      <w:r w:rsidR="00EA3E29">
        <w:rPr>
          <w:rFonts w:ascii="Times New Roman" w:hAnsi="Times New Roman" w:cs="Times New Roman"/>
          <w:sz w:val="24"/>
          <w:szCs w:val="24"/>
          <w:lang w:val="en-US"/>
        </w:rPr>
        <w:t>of</w:t>
      </w:r>
      <w:proofErr w:type="gramEnd"/>
      <w:r w:rsidR="00EA3E29">
        <w:rPr>
          <w:rFonts w:ascii="Times New Roman" w:hAnsi="Times New Roman" w:cs="Times New Roman"/>
          <w:sz w:val="24"/>
          <w:szCs w:val="24"/>
          <w:lang w:val="en-US"/>
        </w:rPr>
        <w:t xml:space="preserve"> available indicators of population health and of performance of the health care system reveals changes in specific aspects, </w:t>
      </w:r>
      <w:r w:rsidRPr="00C23258">
        <w:rPr>
          <w:rFonts w:ascii="Times New Roman" w:hAnsi="Times New Roman" w:cs="Times New Roman"/>
          <w:sz w:val="24"/>
          <w:szCs w:val="24"/>
          <w:lang w:val="en-US"/>
        </w:rPr>
        <w:t xml:space="preserve">but </w:t>
      </w:r>
      <w:r w:rsidR="007E4A25">
        <w:rPr>
          <w:rFonts w:ascii="Times New Roman" w:hAnsi="Times New Roman" w:cs="Times New Roman"/>
          <w:sz w:val="24"/>
          <w:szCs w:val="24"/>
          <w:lang w:val="en-US"/>
        </w:rPr>
        <w:t xml:space="preserve">no significant </w:t>
      </w:r>
      <w:r w:rsidR="00EA3E29">
        <w:rPr>
          <w:rFonts w:ascii="Times New Roman" w:hAnsi="Times New Roman" w:cs="Times New Roman"/>
          <w:sz w:val="24"/>
          <w:szCs w:val="24"/>
          <w:lang w:val="en-US"/>
        </w:rPr>
        <w:t xml:space="preserve">deterioration </w:t>
      </w:r>
      <w:r w:rsidR="007E4A25">
        <w:rPr>
          <w:rFonts w:ascii="Times New Roman" w:hAnsi="Times New Roman" w:cs="Times New Roman"/>
          <w:sz w:val="24"/>
          <w:szCs w:val="24"/>
          <w:lang w:val="en-US"/>
        </w:rPr>
        <w:t>of</w:t>
      </w:r>
      <w:r w:rsidR="00EA3E29">
        <w:rPr>
          <w:rFonts w:ascii="Times New Roman" w:hAnsi="Times New Roman" w:cs="Times New Roman"/>
          <w:sz w:val="24"/>
          <w:szCs w:val="24"/>
          <w:lang w:val="en-US"/>
        </w:rPr>
        <w:t xml:space="preserve"> population health or </w:t>
      </w:r>
      <w:r w:rsidR="007E4A25">
        <w:rPr>
          <w:rFonts w:ascii="Times New Roman" w:hAnsi="Times New Roman" w:cs="Times New Roman"/>
          <w:sz w:val="24"/>
          <w:szCs w:val="24"/>
          <w:lang w:val="en-US"/>
        </w:rPr>
        <w:t xml:space="preserve">the </w:t>
      </w:r>
      <w:r w:rsidR="00EA3E29">
        <w:rPr>
          <w:rFonts w:ascii="Times New Roman" w:hAnsi="Times New Roman" w:cs="Times New Roman"/>
          <w:sz w:val="24"/>
          <w:szCs w:val="24"/>
          <w:lang w:val="en-US"/>
        </w:rPr>
        <w:t xml:space="preserve">health care system in any </w:t>
      </w:r>
      <w:r w:rsidR="007E4A25">
        <w:rPr>
          <w:rFonts w:ascii="Times New Roman" w:hAnsi="Times New Roman" w:cs="Times New Roman"/>
          <w:sz w:val="24"/>
          <w:szCs w:val="24"/>
          <w:lang w:val="en-US"/>
        </w:rPr>
        <w:t xml:space="preserve">one </w:t>
      </w:r>
      <w:r w:rsidR="00EA3E29">
        <w:rPr>
          <w:rFonts w:ascii="Times New Roman" w:hAnsi="Times New Roman" w:cs="Times New Roman"/>
          <w:sz w:val="24"/>
          <w:szCs w:val="24"/>
          <w:lang w:val="en-US"/>
        </w:rPr>
        <w:t xml:space="preserve">of them. The general pattern is that health indicators </w:t>
      </w:r>
      <w:r w:rsidR="007E4A25">
        <w:rPr>
          <w:rFonts w:ascii="Times New Roman" w:hAnsi="Times New Roman" w:cs="Times New Roman"/>
          <w:sz w:val="24"/>
          <w:szCs w:val="24"/>
          <w:lang w:val="en-US"/>
        </w:rPr>
        <w:t xml:space="preserve">improved </w:t>
      </w:r>
      <w:r w:rsidR="00EA3E29">
        <w:rPr>
          <w:rFonts w:ascii="Times New Roman" w:hAnsi="Times New Roman" w:cs="Times New Roman"/>
          <w:sz w:val="24"/>
          <w:szCs w:val="24"/>
          <w:lang w:val="en-US"/>
        </w:rPr>
        <w:t xml:space="preserve">at similar or faster rates than in previous years </w:t>
      </w:r>
      <w:r w:rsidR="007E4A25">
        <w:rPr>
          <w:rFonts w:ascii="Times New Roman" w:hAnsi="Times New Roman" w:cs="Times New Roman"/>
          <w:sz w:val="24"/>
          <w:szCs w:val="24"/>
          <w:lang w:val="en-US"/>
        </w:rPr>
        <w:t xml:space="preserve">[17]. </w:t>
      </w:r>
      <w:r w:rsidR="00D066D5">
        <w:rPr>
          <w:rFonts w:ascii="Times New Roman" w:hAnsi="Times New Roman" w:cs="Times New Roman"/>
          <w:sz w:val="24"/>
          <w:szCs w:val="24"/>
          <w:lang w:val="en-US"/>
        </w:rPr>
        <w:t xml:space="preserve">However, in contrast, it is not reported that the likely consequences of economic recession on health begin to appear in 2013 and not from the beginning of austerity, as presented in the study. </w:t>
      </w:r>
      <w:r w:rsidRPr="00C23258">
        <w:rPr>
          <w:rFonts w:ascii="Times New Roman" w:hAnsi="Times New Roman" w:cs="Times New Roman"/>
          <w:sz w:val="24"/>
          <w:szCs w:val="24"/>
          <w:lang w:val="en-US"/>
        </w:rPr>
        <w:t xml:space="preserve">Much worse effects are </w:t>
      </w:r>
      <w:r w:rsidRPr="00D066D5">
        <w:rPr>
          <w:rFonts w:ascii="Times New Roman" w:hAnsi="Times New Roman" w:cs="Times New Roman"/>
          <w:sz w:val="24"/>
          <w:szCs w:val="24"/>
          <w:lang w:val="en-US"/>
        </w:rPr>
        <w:t>expected t</w:t>
      </w:r>
      <w:r w:rsidRPr="00C23258">
        <w:rPr>
          <w:rFonts w:ascii="Times New Roman" w:hAnsi="Times New Roman" w:cs="Times New Roman"/>
          <w:sz w:val="24"/>
          <w:szCs w:val="24"/>
          <w:lang w:val="en-US"/>
        </w:rPr>
        <w:t>o emerge in the coming years as the recession continues [18].</w:t>
      </w:r>
    </w:p>
    <w:p w:rsidR="00C66D4E" w:rsidRPr="00C23258" w:rsidRDefault="00C66D4E" w:rsidP="00B67AE8">
      <w:pPr>
        <w:spacing w:after="0"/>
        <w:ind w:firstLine="567"/>
        <w:jc w:val="both"/>
        <w:rPr>
          <w:rFonts w:ascii="Times New Roman" w:hAnsi="Times New Roman" w:cs="Times New Roman"/>
          <w:sz w:val="24"/>
          <w:szCs w:val="24"/>
          <w:lang w:val="en-US"/>
        </w:rPr>
      </w:pPr>
    </w:p>
    <w:p w:rsidR="00B67AE8" w:rsidRPr="004A695C" w:rsidRDefault="00B67AE8" w:rsidP="00B67AE8">
      <w:pPr>
        <w:pStyle w:val="1"/>
        <w:spacing w:before="0"/>
        <w:jc w:val="both"/>
        <w:rPr>
          <w:rFonts w:ascii="Times New Roman" w:hAnsi="Times New Roman" w:cs="Times New Roman"/>
          <w:color w:val="auto"/>
          <w:sz w:val="24"/>
          <w:szCs w:val="24"/>
          <w:lang w:val="en-US"/>
        </w:rPr>
      </w:pPr>
      <w:bookmarkStart w:id="5" w:name="_Toc444971285"/>
      <w:bookmarkStart w:id="6" w:name="_Toc493526021"/>
      <w:r w:rsidRPr="004A695C">
        <w:rPr>
          <w:rFonts w:ascii="Times New Roman" w:hAnsi="Times New Roman" w:cs="Times New Roman"/>
          <w:color w:val="auto"/>
          <w:sz w:val="24"/>
          <w:szCs w:val="24"/>
          <w:lang w:val="en-US"/>
        </w:rPr>
        <w:t xml:space="preserve">3.5 </w:t>
      </w:r>
      <w:bookmarkEnd w:id="5"/>
      <w:r w:rsidR="004A695C">
        <w:rPr>
          <w:rFonts w:ascii="Times New Roman" w:hAnsi="Times New Roman" w:cs="Times New Roman"/>
          <w:color w:val="auto"/>
          <w:sz w:val="24"/>
          <w:szCs w:val="24"/>
          <w:lang w:val="en-US"/>
        </w:rPr>
        <w:t>The</w:t>
      </w:r>
      <w:r w:rsidR="00392A1C">
        <w:rPr>
          <w:rFonts w:ascii="Times New Roman" w:hAnsi="Times New Roman" w:cs="Times New Roman"/>
          <w:color w:val="auto"/>
          <w:sz w:val="24"/>
          <w:szCs w:val="24"/>
          <w:lang w:val="en-US"/>
        </w:rPr>
        <w:t xml:space="preserve"> </w:t>
      </w:r>
      <w:r w:rsidR="004A695C">
        <w:rPr>
          <w:rFonts w:ascii="Times New Roman" w:hAnsi="Times New Roman" w:cs="Times New Roman"/>
          <w:color w:val="auto"/>
          <w:sz w:val="24"/>
          <w:szCs w:val="24"/>
          <w:lang w:val="en-US"/>
        </w:rPr>
        <w:t>Evolution</w:t>
      </w:r>
      <w:r w:rsidR="00392A1C">
        <w:rPr>
          <w:rFonts w:ascii="Times New Roman" w:hAnsi="Times New Roman" w:cs="Times New Roman"/>
          <w:color w:val="auto"/>
          <w:sz w:val="24"/>
          <w:szCs w:val="24"/>
          <w:lang w:val="en-US"/>
        </w:rPr>
        <w:t xml:space="preserve"> </w:t>
      </w:r>
      <w:r w:rsidR="004A695C">
        <w:rPr>
          <w:rFonts w:ascii="Times New Roman" w:hAnsi="Times New Roman" w:cs="Times New Roman"/>
          <w:color w:val="auto"/>
          <w:sz w:val="24"/>
          <w:szCs w:val="24"/>
          <w:lang w:val="en-US"/>
        </w:rPr>
        <w:t>of Health Expenditure per Capita in Greece and Portugal</w:t>
      </w:r>
      <w:bookmarkEnd w:id="6"/>
    </w:p>
    <w:p w:rsidR="004732F9" w:rsidRDefault="00D066D5" w:rsidP="005A20DF">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Entering </w:t>
      </w:r>
      <w:r w:rsidR="004A695C" w:rsidRPr="004A695C">
        <w:rPr>
          <w:rFonts w:ascii="Times New Roman" w:hAnsi="Times New Roman" w:cs="Times New Roman"/>
          <w:sz w:val="24"/>
          <w:szCs w:val="24"/>
          <w:lang w:val="en-US"/>
        </w:rPr>
        <w:t>the 9</w:t>
      </w:r>
      <w:r w:rsidR="004A695C" w:rsidRPr="004A695C">
        <w:rPr>
          <w:rFonts w:ascii="Times New Roman" w:hAnsi="Times New Roman" w:cs="Times New Roman"/>
          <w:sz w:val="24"/>
          <w:szCs w:val="24"/>
          <w:vertAlign w:val="superscript"/>
          <w:lang w:val="en-US"/>
        </w:rPr>
        <w:t>th</w:t>
      </w:r>
      <w:r w:rsidR="004A695C" w:rsidRPr="004A695C">
        <w:rPr>
          <w:rFonts w:ascii="Times New Roman" w:hAnsi="Times New Roman" w:cs="Times New Roman"/>
          <w:sz w:val="24"/>
          <w:szCs w:val="24"/>
          <w:lang w:val="en-US"/>
        </w:rPr>
        <w:t xml:space="preserve"> year of economic crisis in </w:t>
      </w:r>
      <w:r w:rsidR="009C7F7C">
        <w:rPr>
          <w:rFonts w:ascii="Times New Roman" w:hAnsi="Times New Roman" w:cs="Times New Roman"/>
          <w:sz w:val="24"/>
          <w:szCs w:val="24"/>
          <w:lang w:val="en-US"/>
        </w:rPr>
        <w:t>2016, Greece has witnessed a 29</w:t>
      </w:r>
      <w:r w:rsidR="004A695C" w:rsidRPr="004A695C">
        <w:rPr>
          <w:rFonts w:ascii="Times New Roman" w:hAnsi="Times New Roman" w:cs="Times New Roman"/>
          <w:sz w:val="24"/>
          <w:szCs w:val="24"/>
          <w:lang w:val="en-US"/>
        </w:rPr>
        <w:t>% drop in its gross domestic prod</w:t>
      </w:r>
      <w:r w:rsidR="004F49D6">
        <w:rPr>
          <w:rFonts w:ascii="Times New Roman" w:hAnsi="Times New Roman" w:cs="Times New Roman"/>
          <w:sz w:val="24"/>
          <w:szCs w:val="24"/>
          <w:lang w:val="en-US"/>
        </w:rPr>
        <w:t>uct (GDP) between 2008 and 2014.</w:t>
      </w:r>
      <w:r>
        <w:rPr>
          <w:rFonts w:ascii="Times New Roman" w:hAnsi="Times New Roman" w:cs="Times New Roman"/>
          <w:sz w:val="24"/>
          <w:szCs w:val="24"/>
          <w:lang w:val="en-US"/>
        </w:rPr>
        <w:t>With the implementation of</w:t>
      </w:r>
      <w:r w:rsidR="00B67AE8" w:rsidRPr="004804DC">
        <w:rPr>
          <w:rFonts w:ascii="Times New Roman" w:hAnsi="Times New Roman" w:cs="Times New Roman"/>
          <w:sz w:val="24"/>
          <w:szCs w:val="24"/>
          <w:lang w:val="en-US"/>
        </w:rPr>
        <w:t xml:space="preserve"> reforms and cuts in health </w:t>
      </w:r>
      <w:r w:rsidR="0081518B">
        <w:rPr>
          <w:rFonts w:ascii="Times New Roman" w:hAnsi="Times New Roman" w:cs="Times New Roman"/>
          <w:sz w:val="24"/>
          <w:szCs w:val="24"/>
          <w:lang w:val="en-US"/>
        </w:rPr>
        <w:t>expenditure</w:t>
      </w:r>
      <w:r w:rsidR="00B67AE8" w:rsidRPr="004804DC">
        <w:rPr>
          <w:rFonts w:ascii="Times New Roman" w:hAnsi="Times New Roman" w:cs="Times New Roman"/>
          <w:sz w:val="24"/>
          <w:szCs w:val="24"/>
          <w:lang w:val="en-US"/>
        </w:rPr>
        <w:t xml:space="preserve"> due to austerity measures, it </w:t>
      </w:r>
      <w:r>
        <w:rPr>
          <w:rFonts w:ascii="Times New Roman" w:hAnsi="Times New Roman" w:cs="Times New Roman"/>
          <w:sz w:val="24"/>
          <w:szCs w:val="24"/>
          <w:lang w:val="en-US"/>
        </w:rPr>
        <w:t xml:space="preserve">has </w:t>
      </w:r>
      <w:r w:rsidR="00B67AE8" w:rsidRPr="004804DC">
        <w:rPr>
          <w:rFonts w:ascii="Times New Roman" w:hAnsi="Times New Roman" w:cs="Times New Roman"/>
          <w:sz w:val="24"/>
          <w:szCs w:val="24"/>
          <w:lang w:val="en-US"/>
        </w:rPr>
        <w:t xml:space="preserve">rapidly and drastically reduced public </w:t>
      </w:r>
      <w:r w:rsidR="0081518B">
        <w:rPr>
          <w:rFonts w:ascii="Times New Roman" w:hAnsi="Times New Roman" w:cs="Times New Roman"/>
          <w:sz w:val="24"/>
          <w:szCs w:val="24"/>
          <w:lang w:val="en-US"/>
        </w:rPr>
        <w:t>expenditure by capping it at</w:t>
      </w:r>
      <w:r w:rsidR="00B67AE8" w:rsidRPr="004804DC">
        <w:rPr>
          <w:rFonts w:ascii="Times New Roman" w:hAnsi="Times New Roman" w:cs="Times New Roman"/>
          <w:sz w:val="24"/>
          <w:szCs w:val="24"/>
          <w:lang w:val="en-US"/>
        </w:rPr>
        <w:t xml:space="preserve"> 6% of GDP, </w:t>
      </w:r>
      <w:r w:rsidR="004F49D6">
        <w:rPr>
          <w:rFonts w:ascii="Times New Roman" w:hAnsi="Times New Roman" w:cs="Times New Roman"/>
          <w:sz w:val="24"/>
          <w:szCs w:val="24"/>
          <w:lang w:val="en-US"/>
        </w:rPr>
        <w:t xml:space="preserve">and public </w:t>
      </w:r>
      <w:r w:rsidR="00B67AE8" w:rsidRPr="004804DC">
        <w:rPr>
          <w:rFonts w:ascii="Times New Roman" w:hAnsi="Times New Roman" w:cs="Times New Roman"/>
          <w:sz w:val="24"/>
          <w:szCs w:val="24"/>
          <w:lang w:val="en-US"/>
        </w:rPr>
        <w:t xml:space="preserve">spending </w:t>
      </w:r>
      <w:r>
        <w:rPr>
          <w:rFonts w:ascii="Times New Roman" w:hAnsi="Times New Roman" w:cs="Times New Roman"/>
          <w:sz w:val="24"/>
          <w:szCs w:val="24"/>
          <w:lang w:val="en-US"/>
        </w:rPr>
        <w:t>on</w:t>
      </w:r>
      <w:r w:rsidR="004F49D6">
        <w:rPr>
          <w:rFonts w:ascii="Times New Roman" w:hAnsi="Times New Roman" w:cs="Times New Roman"/>
          <w:sz w:val="24"/>
          <w:szCs w:val="24"/>
          <w:lang w:val="en-US"/>
        </w:rPr>
        <w:t xml:space="preserve"> health is now less </w:t>
      </w:r>
      <w:r w:rsidR="0081518B">
        <w:rPr>
          <w:rFonts w:ascii="Times New Roman" w:hAnsi="Times New Roman" w:cs="Times New Roman"/>
          <w:sz w:val="24"/>
          <w:szCs w:val="24"/>
          <w:lang w:val="en-US"/>
        </w:rPr>
        <w:t xml:space="preserve">than any of the other pre-2004 </w:t>
      </w:r>
      <w:r w:rsidR="00B67AE8" w:rsidRPr="004804DC">
        <w:rPr>
          <w:rFonts w:ascii="Times New Roman" w:hAnsi="Times New Roman" w:cs="Times New Roman"/>
          <w:sz w:val="24"/>
          <w:szCs w:val="24"/>
          <w:lang w:val="en-US"/>
        </w:rPr>
        <w:t xml:space="preserve">European </w:t>
      </w:r>
      <w:r w:rsidR="0081518B">
        <w:rPr>
          <w:rFonts w:ascii="Times New Roman" w:hAnsi="Times New Roman" w:cs="Times New Roman"/>
          <w:sz w:val="24"/>
          <w:szCs w:val="24"/>
          <w:lang w:val="en-US"/>
        </w:rPr>
        <w:t>Union members</w:t>
      </w:r>
      <w:r w:rsidR="00B67AE8" w:rsidRPr="004804DC">
        <w:rPr>
          <w:rFonts w:ascii="Times New Roman" w:hAnsi="Times New Roman" w:cs="Times New Roman"/>
          <w:sz w:val="24"/>
          <w:szCs w:val="24"/>
          <w:lang w:val="en-US"/>
        </w:rPr>
        <w:t xml:space="preserve">. </w:t>
      </w:r>
      <w:r w:rsidR="00B67AE8" w:rsidRPr="0081518B">
        <w:rPr>
          <w:rFonts w:ascii="Times New Roman" w:hAnsi="Times New Roman" w:cs="Times New Roman"/>
          <w:sz w:val="24"/>
          <w:szCs w:val="24"/>
          <w:lang w:val="en-US"/>
        </w:rPr>
        <w:t xml:space="preserve">Portugal </w:t>
      </w:r>
      <w:r>
        <w:rPr>
          <w:rFonts w:ascii="Times New Roman" w:hAnsi="Times New Roman" w:cs="Times New Roman"/>
          <w:sz w:val="24"/>
          <w:szCs w:val="24"/>
          <w:lang w:val="en-US"/>
        </w:rPr>
        <w:t xml:space="preserve">has </w:t>
      </w:r>
      <w:r w:rsidR="00B67AE8" w:rsidRPr="0081518B">
        <w:rPr>
          <w:rFonts w:ascii="Times New Roman" w:hAnsi="Times New Roman" w:cs="Times New Roman"/>
          <w:sz w:val="24"/>
          <w:szCs w:val="24"/>
          <w:lang w:val="en-US"/>
        </w:rPr>
        <w:t xml:space="preserve">also cut public spending from 69% to 64% [14, 18, </w:t>
      </w:r>
      <w:proofErr w:type="gramStart"/>
      <w:r w:rsidR="00B67AE8" w:rsidRPr="0081518B">
        <w:rPr>
          <w:rFonts w:ascii="Times New Roman" w:hAnsi="Times New Roman" w:cs="Times New Roman"/>
          <w:sz w:val="24"/>
          <w:szCs w:val="24"/>
          <w:lang w:val="en-US"/>
        </w:rPr>
        <w:t>19</w:t>
      </w:r>
      <w:proofErr w:type="gramEnd"/>
      <w:r w:rsidR="00B67AE8" w:rsidRPr="0081518B">
        <w:rPr>
          <w:rFonts w:ascii="Times New Roman" w:hAnsi="Times New Roman" w:cs="Times New Roman"/>
          <w:sz w:val="24"/>
          <w:szCs w:val="24"/>
          <w:lang w:val="en-US"/>
        </w:rPr>
        <w:t>] (Figures 18-19).</w:t>
      </w:r>
    </w:p>
    <w:p w:rsidR="00B67AE8" w:rsidRPr="00AD7B4D" w:rsidRDefault="00BC6443" w:rsidP="009C7F7C">
      <w:pPr>
        <w:spacing w:before="120" w:after="0"/>
        <w:jc w:val="both"/>
        <w:rPr>
          <w:lang w:val="en-US"/>
        </w:rPr>
      </w:pPr>
      <w:r w:rsidRPr="00BC6443">
        <w:rPr>
          <w:rFonts w:ascii="Times New Roman" w:hAnsi="Times New Roman" w:cs="Times New Roman"/>
          <w:noProof/>
          <w:sz w:val="24"/>
          <w:szCs w:val="24"/>
          <w:lang w:eastAsia="el-GR"/>
        </w:rPr>
        <w:lastRenderedPageBreak/>
        <w:drawing>
          <wp:anchor distT="0" distB="0" distL="114300" distR="114300" simplePos="0" relativeHeight="251665408" behindDoc="1" locked="0" layoutInCell="1" allowOverlap="1">
            <wp:simplePos x="0" y="0"/>
            <wp:positionH relativeFrom="column">
              <wp:align>center</wp:align>
            </wp:positionH>
            <wp:positionV relativeFrom="paragraph">
              <wp:posOffset>4445</wp:posOffset>
            </wp:positionV>
            <wp:extent cx="5572125" cy="3209925"/>
            <wp:effectExtent l="19050" t="0" r="9525" b="0"/>
            <wp:wrapTight wrapText="bothSides">
              <wp:wrapPolygon edited="0">
                <wp:start x="-74" y="0"/>
                <wp:lineTo x="-74" y="21536"/>
                <wp:lineTo x="21637" y="21536"/>
                <wp:lineTo x="21637" y="0"/>
                <wp:lineTo x="-74" y="0"/>
              </wp:wrapPolygon>
            </wp:wrapTight>
            <wp:docPr id="28" name="Γράφημα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roofErr w:type="gramStart"/>
      <w:r w:rsidR="00B67AE8">
        <w:rPr>
          <w:rFonts w:ascii="Times New Roman" w:hAnsi="Times New Roman" w:cs="Times New Roman"/>
          <w:lang w:val="en-US"/>
        </w:rPr>
        <w:t>Figure</w:t>
      </w:r>
      <w:r w:rsidR="00B67AE8" w:rsidRPr="000F0229">
        <w:rPr>
          <w:rFonts w:ascii="Times New Roman" w:hAnsi="Times New Roman" w:cs="Times New Roman"/>
          <w:lang w:val="en-US"/>
        </w:rPr>
        <w:t xml:space="preserve"> 18.</w:t>
      </w:r>
      <w:proofErr w:type="gramEnd"/>
      <w:r w:rsidR="00B67AE8" w:rsidRPr="000F0229">
        <w:rPr>
          <w:rFonts w:ascii="Times New Roman" w:hAnsi="Times New Roman" w:cs="Times New Roman"/>
          <w:lang w:val="en-US"/>
        </w:rPr>
        <w:t xml:space="preserve"> </w:t>
      </w:r>
      <w:proofErr w:type="gramStart"/>
      <w:r w:rsidR="00B67AE8">
        <w:rPr>
          <w:rFonts w:ascii="Times New Roman" w:hAnsi="Times New Roman" w:cs="Times New Roman"/>
          <w:lang w:val="en-US"/>
        </w:rPr>
        <w:t>Health expenditure, public (% of total health expenditure)</w:t>
      </w:r>
      <w:r w:rsidR="00B67AE8" w:rsidRPr="00AD7B4D">
        <w:rPr>
          <w:rFonts w:ascii="Times New Roman" w:hAnsi="Times New Roman" w:cs="Times New Roman"/>
          <w:lang w:val="en-US"/>
        </w:rPr>
        <w:t>.</w:t>
      </w:r>
      <w:proofErr w:type="gramEnd"/>
      <w:r w:rsidR="00B67AE8" w:rsidRPr="00AD7B4D">
        <w:rPr>
          <w:rFonts w:ascii="Times New Roman" w:hAnsi="Times New Roman" w:cs="Times New Roman"/>
          <w:lang w:val="en-US"/>
        </w:rPr>
        <w:t xml:space="preserve"> </w:t>
      </w:r>
    </w:p>
    <w:p w:rsidR="00B67AE8" w:rsidRPr="00AD7B4D" w:rsidRDefault="00B67AE8" w:rsidP="00B67AE8">
      <w:pPr>
        <w:spacing w:after="0"/>
        <w:jc w:val="both"/>
        <w:rPr>
          <w:rFonts w:ascii="Times New Roman" w:hAnsi="Times New Roman" w:cs="Times New Roman"/>
          <w:i/>
          <w:lang w:val="en-US"/>
        </w:rPr>
      </w:pPr>
      <w:r>
        <w:rPr>
          <w:rFonts w:ascii="Times New Roman" w:hAnsi="Times New Roman" w:cs="Times New Roman"/>
          <w:i/>
          <w:lang w:val="en-US"/>
        </w:rPr>
        <w:t>Source</w:t>
      </w:r>
      <w:r w:rsidRPr="00AD7B4D">
        <w:rPr>
          <w:rFonts w:ascii="Times New Roman" w:hAnsi="Times New Roman" w:cs="Times New Roman"/>
          <w:i/>
          <w:lang w:val="en-US"/>
        </w:rPr>
        <w:t>:</w:t>
      </w:r>
      <w:r w:rsidRPr="009C7F7C">
        <w:rPr>
          <w:rStyle w:val="-"/>
          <w:rFonts w:ascii="Times New Roman" w:hAnsi="Times New Roman" w:cs="Times New Roman"/>
          <w:i/>
        </w:rPr>
        <w:t>https://data.worldbank.org/indicator/SH.XPD.PUBL?end=2014&amp;start=2002</w:t>
      </w:r>
    </w:p>
    <w:p w:rsidR="00B67AE8" w:rsidRDefault="00B67AE8" w:rsidP="00B67AE8">
      <w:pPr>
        <w:spacing w:after="0"/>
        <w:jc w:val="both"/>
        <w:rPr>
          <w:rFonts w:ascii="Times New Roman" w:hAnsi="Times New Roman" w:cs="Times New Roman"/>
          <w:i/>
        </w:rPr>
      </w:pPr>
    </w:p>
    <w:p w:rsidR="00D55FD9" w:rsidRDefault="00D55FD9" w:rsidP="00B67AE8">
      <w:pPr>
        <w:spacing w:after="0"/>
        <w:jc w:val="both"/>
        <w:rPr>
          <w:rFonts w:ascii="Times New Roman" w:hAnsi="Times New Roman" w:cs="Times New Roman"/>
          <w:i/>
        </w:rPr>
      </w:pPr>
    </w:p>
    <w:p w:rsidR="00D55FD9" w:rsidRPr="00D55FD9" w:rsidRDefault="00D55FD9" w:rsidP="00B67AE8">
      <w:pPr>
        <w:spacing w:after="0"/>
        <w:jc w:val="both"/>
        <w:rPr>
          <w:rFonts w:ascii="Times New Roman" w:hAnsi="Times New Roman" w:cs="Times New Roman"/>
          <w:i/>
        </w:rPr>
      </w:pPr>
    </w:p>
    <w:p w:rsidR="00B67AE8" w:rsidRPr="005018B4" w:rsidRDefault="005018B4" w:rsidP="00D55FD9">
      <w:pPr>
        <w:spacing w:after="0"/>
        <w:jc w:val="center"/>
        <w:rPr>
          <w:rFonts w:ascii="Times New Roman" w:eastAsia="Times New Roman" w:hAnsi="Times New Roman" w:cs="Times New Roman"/>
          <w:b/>
          <w:i/>
          <w:color w:val="000000"/>
          <w:lang w:val="en-US" w:eastAsia="el-GR"/>
        </w:rPr>
      </w:pPr>
      <w:r w:rsidRPr="005018B4">
        <w:rPr>
          <w:rFonts w:ascii="Times New Roman" w:eastAsia="Times New Roman" w:hAnsi="Times New Roman" w:cs="Times New Roman"/>
          <w:b/>
          <w:i/>
          <w:noProof/>
          <w:color w:val="000000"/>
          <w:lang w:eastAsia="el-GR"/>
        </w:rPr>
        <w:drawing>
          <wp:inline distT="0" distB="0" distL="0" distR="0">
            <wp:extent cx="5580000" cy="3200400"/>
            <wp:effectExtent l="19050" t="0" r="20700" b="0"/>
            <wp:docPr id="20" name="Γράφημα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67AE8" w:rsidRPr="009C1525" w:rsidRDefault="00B67AE8" w:rsidP="00D55FD9">
      <w:pPr>
        <w:spacing w:before="120" w:after="0"/>
        <w:jc w:val="both"/>
        <w:rPr>
          <w:lang w:val="en-US"/>
        </w:rPr>
      </w:pPr>
      <w:r>
        <w:rPr>
          <w:rFonts w:ascii="Times New Roman" w:hAnsi="Times New Roman" w:cs="Times New Roman"/>
          <w:lang w:val="en-US"/>
        </w:rPr>
        <w:t>Figure</w:t>
      </w:r>
      <w:r w:rsidRPr="000F0229">
        <w:rPr>
          <w:rFonts w:ascii="Times New Roman" w:hAnsi="Times New Roman" w:cs="Times New Roman"/>
          <w:lang w:val="en-US"/>
        </w:rPr>
        <w:t xml:space="preserve"> 19. </w:t>
      </w:r>
      <w:proofErr w:type="gramStart"/>
      <w:r>
        <w:rPr>
          <w:rFonts w:ascii="Times New Roman" w:hAnsi="Times New Roman" w:cs="Times New Roman"/>
          <w:lang w:val="en-US"/>
        </w:rPr>
        <w:t>Health expenditure, total (% of GDP)</w:t>
      </w:r>
      <w:r w:rsidRPr="009C1525">
        <w:rPr>
          <w:rFonts w:ascii="Times New Roman" w:hAnsi="Times New Roman" w:cs="Times New Roman"/>
          <w:lang w:val="en-US"/>
        </w:rPr>
        <w:t>.</w:t>
      </w:r>
      <w:proofErr w:type="gramEnd"/>
      <w:r w:rsidRPr="009C1525">
        <w:rPr>
          <w:rFonts w:ascii="Times New Roman" w:hAnsi="Times New Roman" w:cs="Times New Roman"/>
          <w:lang w:val="en-US"/>
        </w:rPr>
        <w:t xml:space="preserve"> </w:t>
      </w:r>
    </w:p>
    <w:p w:rsidR="00B67AE8" w:rsidRPr="009C1525" w:rsidRDefault="00B67AE8" w:rsidP="00B67AE8">
      <w:pPr>
        <w:spacing w:after="0"/>
        <w:jc w:val="both"/>
        <w:rPr>
          <w:rFonts w:ascii="Times New Roman" w:eastAsia="Times New Roman" w:hAnsi="Times New Roman" w:cs="Times New Roman"/>
          <w:i/>
          <w:color w:val="000000"/>
          <w:lang w:val="en-US" w:eastAsia="el-GR"/>
        </w:rPr>
      </w:pPr>
      <w:r>
        <w:rPr>
          <w:rFonts w:ascii="Times New Roman" w:hAnsi="Times New Roman" w:cs="Times New Roman"/>
          <w:i/>
          <w:lang w:val="en-US"/>
        </w:rPr>
        <w:t>Source</w:t>
      </w:r>
      <w:r w:rsidRPr="009C1525">
        <w:rPr>
          <w:rFonts w:ascii="Times New Roman" w:hAnsi="Times New Roman" w:cs="Times New Roman"/>
          <w:i/>
          <w:lang w:val="en-US"/>
        </w:rPr>
        <w:t>:</w:t>
      </w:r>
      <w:r w:rsidRPr="00D55FD9">
        <w:rPr>
          <w:rStyle w:val="-"/>
          <w:rFonts w:ascii="Times New Roman" w:hAnsi="Times New Roman" w:cs="Times New Roman"/>
          <w:i/>
        </w:rPr>
        <w:t>https://data.worldbank.org/indicator/SH.XPD.TOTL.ZS?end=2014&amp;start=2002</w:t>
      </w:r>
    </w:p>
    <w:p w:rsidR="00B67AE8" w:rsidRDefault="00B67AE8" w:rsidP="00B67AE8">
      <w:pPr>
        <w:spacing w:after="0"/>
        <w:jc w:val="both"/>
        <w:rPr>
          <w:rFonts w:ascii="Times New Roman" w:eastAsia="Times New Roman" w:hAnsi="Times New Roman" w:cs="Times New Roman"/>
          <w:i/>
          <w:color w:val="000000"/>
          <w:lang w:val="en-US" w:eastAsia="el-GR"/>
        </w:rPr>
      </w:pPr>
    </w:p>
    <w:p w:rsidR="00D55FD9" w:rsidRDefault="00D55FD9" w:rsidP="00B67AE8">
      <w:pPr>
        <w:spacing w:after="0"/>
        <w:ind w:firstLine="567"/>
        <w:jc w:val="both"/>
        <w:rPr>
          <w:rFonts w:ascii="Times New Roman" w:hAnsi="Times New Roman" w:cs="Times New Roman"/>
          <w:sz w:val="24"/>
          <w:szCs w:val="24"/>
        </w:rPr>
      </w:pPr>
    </w:p>
    <w:p w:rsidR="00B67AE8" w:rsidRPr="009137A6" w:rsidRDefault="00920FF7" w:rsidP="00B67AE8">
      <w:pPr>
        <w:spacing w:after="0"/>
        <w:ind w:firstLine="567"/>
        <w:jc w:val="both"/>
        <w:rPr>
          <w:rFonts w:ascii="Times New Roman" w:eastAsia="Times New Roman" w:hAnsi="Times New Roman" w:cs="Times New Roman"/>
          <w:color w:val="000000"/>
          <w:sz w:val="24"/>
          <w:szCs w:val="24"/>
          <w:lang w:val="en-US" w:eastAsia="el-GR"/>
        </w:rPr>
      </w:pPr>
      <w:proofErr w:type="gramStart"/>
      <w:r>
        <w:rPr>
          <w:rFonts w:ascii="Times New Roman" w:hAnsi="Times New Roman" w:cs="Times New Roman"/>
          <w:sz w:val="24"/>
          <w:szCs w:val="24"/>
          <w:lang w:val="en-US"/>
        </w:rPr>
        <w:t>Graphs 20 and 21 present</w:t>
      </w:r>
      <w:r w:rsidR="00B67AE8" w:rsidRPr="004804DC">
        <w:rPr>
          <w:rFonts w:ascii="Times New Roman" w:hAnsi="Times New Roman" w:cs="Times New Roman"/>
          <w:sz w:val="24"/>
          <w:szCs w:val="24"/>
          <w:lang w:val="en-US"/>
        </w:rPr>
        <w:t xml:space="preserve"> health </w:t>
      </w:r>
      <w:r>
        <w:rPr>
          <w:rFonts w:ascii="Times New Roman" w:hAnsi="Times New Roman" w:cs="Times New Roman"/>
          <w:sz w:val="24"/>
          <w:szCs w:val="24"/>
          <w:lang w:val="en-US"/>
        </w:rPr>
        <w:t xml:space="preserve">expenditure </w:t>
      </w:r>
      <w:r w:rsidRPr="004804DC">
        <w:rPr>
          <w:rFonts w:ascii="Times New Roman" w:hAnsi="Times New Roman" w:cs="Times New Roman"/>
          <w:sz w:val="24"/>
          <w:szCs w:val="24"/>
          <w:lang w:val="en-US"/>
        </w:rPr>
        <w:t>per capita</w:t>
      </w:r>
      <w:r w:rsidR="00B67AE8" w:rsidRPr="004804DC">
        <w:rPr>
          <w:rFonts w:ascii="Times New Roman" w:hAnsi="Times New Roman" w:cs="Times New Roman"/>
          <w:sz w:val="24"/>
          <w:szCs w:val="24"/>
          <w:lang w:val="en-US"/>
        </w:rPr>
        <w:t xml:space="preserve"> in both countries with significant reductions from 2010 onwards.</w:t>
      </w:r>
      <w:proofErr w:type="gramEnd"/>
      <w:r w:rsidR="00B67AE8" w:rsidRPr="004804DC">
        <w:rPr>
          <w:rFonts w:ascii="Times New Roman" w:hAnsi="Times New Roman" w:cs="Times New Roman"/>
          <w:sz w:val="24"/>
          <w:szCs w:val="24"/>
          <w:lang w:val="en-US"/>
        </w:rPr>
        <w:t xml:space="preserve"> </w:t>
      </w:r>
      <w:r>
        <w:rPr>
          <w:rFonts w:ascii="Times New Roman" w:hAnsi="Times New Roman" w:cs="Times New Roman"/>
          <w:sz w:val="24"/>
          <w:szCs w:val="24"/>
          <w:lang w:val="en-US"/>
        </w:rPr>
        <w:t>The proportion of h</w:t>
      </w:r>
      <w:r w:rsidR="00B67AE8" w:rsidRPr="004804DC">
        <w:rPr>
          <w:rFonts w:ascii="Times New Roman" w:hAnsi="Times New Roman" w:cs="Times New Roman"/>
          <w:sz w:val="24"/>
          <w:szCs w:val="24"/>
          <w:lang w:val="en-US"/>
        </w:rPr>
        <w:t xml:space="preserve">ealth expenditure in Portugal </w:t>
      </w:r>
      <w:r>
        <w:rPr>
          <w:rFonts w:ascii="Times New Roman" w:hAnsi="Times New Roman" w:cs="Times New Roman"/>
          <w:sz w:val="24"/>
          <w:szCs w:val="24"/>
          <w:lang w:val="en-US"/>
        </w:rPr>
        <w:t>is</w:t>
      </w:r>
      <w:r w:rsidR="00B67AE8" w:rsidRPr="004804DC">
        <w:rPr>
          <w:rFonts w:ascii="Times New Roman" w:hAnsi="Times New Roman" w:cs="Times New Roman"/>
          <w:sz w:val="24"/>
          <w:szCs w:val="24"/>
          <w:lang w:val="en-US"/>
        </w:rPr>
        <w:t xml:space="preserve"> clearly higher than</w:t>
      </w:r>
      <w:r>
        <w:rPr>
          <w:rFonts w:ascii="Times New Roman" w:hAnsi="Times New Roman" w:cs="Times New Roman"/>
          <w:sz w:val="24"/>
          <w:szCs w:val="24"/>
          <w:lang w:val="en-US"/>
        </w:rPr>
        <w:t xml:space="preserve"> that</w:t>
      </w:r>
      <w:r w:rsidR="00B67AE8" w:rsidRPr="004804DC">
        <w:rPr>
          <w:rFonts w:ascii="Times New Roman" w:hAnsi="Times New Roman" w:cs="Times New Roman"/>
          <w:sz w:val="24"/>
          <w:szCs w:val="24"/>
          <w:lang w:val="en-US"/>
        </w:rPr>
        <w:t xml:space="preserve"> in Greece, with the decline in 2014 being significant (Figure 20-21)</w:t>
      </w:r>
      <w:r w:rsidR="009F7F58">
        <w:rPr>
          <w:rFonts w:ascii="Times New Roman" w:hAnsi="Times New Roman" w:cs="Times New Roman"/>
          <w:sz w:val="24"/>
          <w:szCs w:val="24"/>
          <w:lang w:val="en-US"/>
        </w:rPr>
        <w:t>.</w:t>
      </w:r>
    </w:p>
    <w:p w:rsidR="00B67AE8" w:rsidRPr="009137A6" w:rsidRDefault="00E029E5" w:rsidP="002038EC">
      <w:pPr>
        <w:spacing w:after="0"/>
        <w:jc w:val="center"/>
        <w:rPr>
          <w:rFonts w:ascii="Times New Roman" w:eastAsia="Times New Roman" w:hAnsi="Times New Roman" w:cs="Times New Roman"/>
          <w:color w:val="000000"/>
          <w:sz w:val="24"/>
          <w:szCs w:val="24"/>
          <w:lang w:val="en-US" w:eastAsia="el-GR"/>
        </w:rPr>
      </w:pPr>
      <w:r w:rsidRPr="00E029E5">
        <w:rPr>
          <w:rFonts w:ascii="Times New Roman" w:eastAsia="Times New Roman" w:hAnsi="Times New Roman" w:cs="Times New Roman"/>
          <w:noProof/>
          <w:color w:val="000000"/>
          <w:sz w:val="24"/>
          <w:szCs w:val="24"/>
          <w:lang w:eastAsia="el-GR"/>
        </w:rPr>
        <w:lastRenderedPageBreak/>
        <w:drawing>
          <wp:inline distT="0" distB="0" distL="0" distR="0">
            <wp:extent cx="4991100" cy="2447925"/>
            <wp:effectExtent l="19050" t="0" r="19050" b="0"/>
            <wp:docPr id="7" name="Γράφημα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67AE8" w:rsidRPr="009C1525" w:rsidRDefault="00B67AE8" w:rsidP="002038EC">
      <w:pPr>
        <w:spacing w:before="120" w:after="0"/>
        <w:rPr>
          <w:lang w:val="en-US"/>
        </w:rPr>
      </w:pPr>
      <w:r>
        <w:rPr>
          <w:rFonts w:ascii="Times New Roman" w:hAnsi="Times New Roman" w:cs="Times New Roman"/>
          <w:lang w:val="en-US"/>
        </w:rPr>
        <w:t>Figure</w:t>
      </w:r>
      <w:r w:rsidRPr="000F0229">
        <w:rPr>
          <w:rFonts w:ascii="Times New Roman" w:hAnsi="Times New Roman" w:cs="Times New Roman"/>
          <w:lang w:val="en-US"/>
        </w:rPr>
        <w:t xml:space="preserve"> 20. </w:t>
      </w:r>
      <w:proofErr w:type="gramStart"/>
      <w:r>
        <w:rPr>
          <w:rFonts w:ascii="Times New Roman" w:eastAsia="Times New Roman" w:hAnsi="Times New Roman" w:cs="Times New Roman"/>
          <w:color w:val="000000"/>
          <w:lang w:val="en-US" w:eastAsia="el-GR"/>
        </w:rPr>
        <w:t xml:space="preserve">Health expenditure per capita </w:t>
      </w:r>
      <w:r w:rsidRPr="000F0229">
        <w:rPr>
          <w:rFonts w:ascii="Times New Roman" w:eastAsia="Times New Roman" w:hAnsi="Times New Roman" w:cs="Times New Roman"/>
          <w:color w:val="000000"/>
          <w:lang w:val="en-US" w:eastAsia="el-GR"/>
        </w:rPr>
        <w:t>(2013)</w:t>
      </w:r>
      <w:r w:rsidRPr="009C1525">
        <w:rPr>
          <w:rFonts w:ascii="Times New Roman" w:hAnsi="Times New Roman" w:cs="Times New Roman"/>
          <w:lang w:val="en-US"/>
        </w:rPr>
        <w:t>.</w:t>
      </w:r>
      <w:proofErr w:type="gramEnd"/>
      <w:r w:rsidRPr="009C1525">
        <w:rPr>
          <w:rFonts w:ascii="Times New Roman" w:hAnsi="Times New Roman" w:cs="Times New Roman"/>
          <w:lang w:val="en-US"/>
        </w:rPr>
        <w:t xml:space="preserve"> </w:t>
      </w:r>
    </w:p>
    <w:p w:rsidR="00B67AE8" w:rsidRDefault="00B67AE8" w:rsidP="00B67AE8">
      <w:pPr>
        <w:spacing w:after="0"/>
        <w:jc w:val="both"/>
        <w:rPr>
          <w:rFonts w:ascii="Times New Roman" w:eastAsia="Times New Roman" w:hAnsi="Times New Roman" w:cs="Times New Roman"/>
          <w:i/>
          <w:color w:val="000000"/>
          <w:lang w:val="en-US" w:eastAsia="el-GR"/>
        </w:rPr>
      </w:pPr>
      <w:r>
        <w:rPr>
          <w:rFonts w:ascii="Times New Roman" w:hAnsi="Times New Roman" w:cs="Times New Roman"/>
          <w:i/>
          <w:lang w:val="en-US"/>
        </w:rPr>
        <w:t>Source</w:t>
      </w:r>
      <w:r w:rsidRPr="009C1525">
        <w:rPr>
          <w:rFonts w:ascii="Times New Roman" w:hAnsi="Times New Roman" w:cs="Times New Roman"/>
          <w:i/>
          <w:lang w:val="en-US"/>
        </w:rPr>
        <w:t>:</w:t>
      </w:r>
      <w:r w:rsidRPr="009C1525">
        <w:rPr>
          <w:rFonts w:ascii="Times New Roman" w:eastAsia="Times New Roman" w:hAnsi="Times New Roman" w:cs="Times New Roman"/>
          <w:i/>
          <w:color w:val="000000"/>
          <w:lang w:val="en-US" w:eastAsia="el-GR"/>
        </w:rPr>
        <w:t xml:space="preserve"> </w:t>
      </w:r>
      <w:hyperlink r:id="rId31" w:history="1">
        <w:r w:rsidR="005A0661" w:rsidRPr="00552D6B">
          <w:rPr>
            <w:rStyle w:val="-"/>
            <w:rFonts w:ascii="Times New Roman" w:eastAsia="Times New Roman" w:hAnsi="Times New Roman" w:cs="Times New Roman"/>
            <w:i/>
            <w:lang w:val="en-US" w:eastAsia="el-GR"/>
          </w:rPr>
          <w:t>http://ec.europa.eu/eurostat/statistics-explained/index.php/Main_Page</w:t>
        </w:r>
      </w:hyperlink>
    </w:p>
    <w:p w:rsidR="005A0661" w:rsidRDefault="005A0661" w:rsidP="00B67AE8">
      <w:pPr>
        <w:spacing w:after="0"/>
        <w:jc w:val="both"/>
        <w:rPr>
          <w:rFonts w:ascii="Times New Roman" w:eastAsia="Times New Roman" w:hAnsi="Times New Roman" w:cs="Times New Roman"/>
          <w:i/>
          <w:color w:val="000000"/>
          <w:lang w:eastAsia="el-GR"/>
        </w:rPr>
      </w:pPr>
    </w:p>
    <w:p w:rsidR="002038EC" w:rsidRDefault="002038EC" w:rsidP="00B67AE8">
      <w:pPr>
        <w:spacing w:after="0"/>
        <w:jc w:val="both"/>
        <w:rPr>
          <w:rFonts w:ascii="Times New Roman" w:eastAsia="Times New Roman" w:hAnsi="Times New Roman" w:cs="Times New Roman"/>
          <w:i/>
          <w:color w:val="000000"/>
          <w:lang w:eastAsia="el-GR"/>
        </w:rPr>
      </w:pPr>
    </w:p>
    <w:p w:rsidR="002038EC" w:rsidRPr="002038EC" w:rsidRDefault="002038EC" w:rsidP="00B67AE8">
      <w:pPr>
        <w:spacing w:after="0"/>
        <w:jc w:val="both"/>
        <w:rPr>
          <w:rFonts w:ascii="Times New Roman" w:eastAsia="Times New Roman" w:hAnsi="Times New Roman" w:cs="Times New Roman"/>
          <w:i/>
          <w:color w:val="000000"/>
          <w:lang w:eastAsia="el-GR"/>
        </w:rPr>
      </w:pPr>
    </w:p>
    <w:p w:rsidR="00B67AE8" w:rsidRPr="005A0661" w:rsidRDefault="005A0661" w:rsidP="002038EC">
      <w:pPr>
        <w:spacing w:after="0"/>
        <w:jc w:val="center"/>
        <w:rPr>
          <w:rFonts w:ascii="Times New Roman" w:hAnsi="Times New Roman" w:cs="Times New Roman"/>
          <w:lang w:val="en-US"/>
        </w:rPr>
      </w:pPr>
      <w:r w:rsidRPr="005A0661">
        <w:rPr>
          <w:rFonts w:ascii="Times New Roman" w:hAnsi="Times New Roman" w:cs="Times New Roman"/>
          <w:noProof/>
          <w:lang w:eastAsia="el-GR"/>
        </w:rPr>
        <w:drawing>
          <wp:inline distT="0" distB="0" distL="0" distR="0">
            <wp:extent cx="5486400" cy="3393440"/>
            <wp:effectExtent l="19050" t="0" r="19050" b="0"/>
            <wp:docPr id="2"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67AE8" w:rsidRPr="009C1525" w:rsidRDefault="00B67AE8" w:rsidP="002038EC">
      <w:pPr>
        <w:spacing w:before="120" w:after="0"/>
        <w:rPr>
          <w:lang w:val="en-US"/>
        </w:rPr>
      </w:pPr>
      <w:r>
        <w:rPr>
          <w:rFonts w:ascii="Times New Roman" w:hAnsi="Times New Roman" w:cs="Times New Roman"/>
          <w:lang w:val="en-US"/>
        </w:rPr>
        <w:t>Figure</w:t>
      </w:r>
      <w:r w:rsidRPr="000F0229">
        <w:rPr>
          <w:rFonts w:ascii="Times New Roman" w:hAnsi="Times New Roman" w:cs="Times New Roman"/>
          <w:lang w:val="en-US"/>
        </w:rPr>
        <w:t xml:space="preserve"> 21. </w:t>
      </w:r>
      <w:proofErr w:type="gramStart"/>
      <w:r>
        <w:rPr>
          <w:rFonts w:ascii="Times New Roman" w:eastAsia="Times New Roman" w:hAnsi="Times New Roman" w:cs="Times New Roman"/>
          <w:color w:val="000000"/>
          <w:lang w:val="en-US" w:eastAsia="el-GR"/>
        </w:rPr>
        <w:t>Health expenditure per capita (2013</w:t>
      </w:r>
      <w:r w:rsidRPr="00471628">
        <w:rPr>
          <w:rFonts w:ascii="Times New Roman" w:eastAsia="Times New Roman" w:hAnsi="Times New Roman" w:cs="Times New Roman"/>
          <w:color w:val="000000"/>
          <w:lang w:val="en-US" w:eastAsia="el-GR"/>
        </w:rPr>
        <w:t>)</w:t>
      </w:r>
      <w:r w:rsidRPr="00471628">
        <w:rPr>
          <w:rFonts w:ascii="Times New Roman" w:hAnsi="Times New Roman" w:cs="Times New Roman"/>
          <w:lang w:val="en-US"/>
        </w:rPr>
        <w:t>.</w:t>
      </w:r>
      <w:proofErr w:type="gramEnd"/>
      <w:r w:rsidRPr="00471628">
        <w:rPr>
          <w:rFonts w:ascii="Times New Roman" w:hAnsi="Times New Roman" w:cs="Times New Roman"/>
          <w:lang w:val="en-US"/>
        </w:rPr>
        <w:t xml:space="preserve"> </w:t>
      </w:r>
    </w:p>
    <w:p w:rsidR="00280805" w:rsidRPr="002038EC" w:rsidRDefault="00B67AE8" w:rsidP="00B67AE8">
      <w:pPr>
        <w:spacing w:after="0"/>
        <w:jc w:val="both"/>
        <w:rPr>
          <w:rStyle w:val="-"/>
          <w:rFonts w:ascii="Times New Roman" w:hAnsi="Times New Roman" w:cs="Times New Roman"/>
          <w:i/>
        </w:rPr>
      </w:pPr>
      <w:r>
        <w:rPr>
          <w:rFonts w:ascii="Times New Roman" w:hAnsi="Times New Roman" w:cs="Times New Roman"/>
          <w:i/>
          <w:lang w:val="en-US"/>
        </w:rPr>
        <w:t>Source</w:t>
      </w:r>
      <w:r w:rsidRPr="002038EC">
        <w:rPr>
          <w:rFonts w:ascii="Times New Roman" w:hAnsi="Times New Roman" w:cs="Times New Roman"/>
          <w:i/>
          <w:lang w:val="en-US"/>
        </w:rPr>
        <w:t>:</w:t>
      </w:r>
      <w:r w:rsidRPr="002038EC">
        <w:rPr>
          <w:rFonts w:ascii="Times New Roman" w:eastAsia="Times New Roman" w:hAnsi="Times New Roman" w:cs="Times New Roman"/>
          <w:i/>
          <w:color w:val="000000"/>
          <w:lang w:val="en-US" w:eastAsia="el-GR"/>
        </w:rPr>
        <w:t xml:space="preserve"> </w:t>
      </w:r>
      <w:r w:rsidRPr="002038EC">
        <w:rPr>
          <w:rStyle w:val="-"/>
          <w:rFonts w:ascii="Times New Roman" w:hAnsi="Times New Roman" w:cs="Times New Roman"/>
          <w:i/>
        </w:rPr>
        <w:t>https://data.worldbank.org/indicator/SH.XPD.PCAP?end=2014&amp;start=2002</w:t>
      </w:r>
    </w:p>
    <w:p w:rsidR="008F05DE" w:rsidRPr="002038EC" w:rsidRDefault="008F05DE" w:rsidP="003A6B5F">
      <w:pPr>
        <w:spacing w:after="0"/>
        <w:ind w:firstLine="720"/>
        <w:jc w:val="both"/>
        <w:rPr>
          <w:rFonts w:ascii="Times New Roman" w:hAnsi="Times New Roman" w:cs="Times New Roman"/>
          <w:sz w:val="24"/>
          <w:szCs w:val="24"/>
          <w:lang w:val="en-US"/>
        </w:rPr>
      </w:pPr>
      <w:bookmarkStart w:id="7" w:name="_Toc444971286"/>
    </w:p>
    <w:p w:rsidR="00A56D8B" w:rsidRPr="00A56D8B" w:rsidRDefault="00A56D8B" w:rsidP="003A6B5F">
      <w:pPr>
        <w:spacing w:after="0"/>
        <w:ind w:firstLine="720"/>
        <w:jc w:val="both"/>
        <w:rPr>
          <w:rFonts w:ascii="Times New Roman" w:hAnsi="Times New Roman" w:cs="Times New Roman"/>
          <w:sz w:val="24"/>
          <w:szCs w:val="24"/>
          <w:lang w:val="en-US"/>
        </w:rPr>
      </w:pPr>
      <w:bookmarkStart w:id="8" w:name="_GoBack"/>
      <w:bookmarkEnd w:id="8"/>
      <w:r w:rsidRPr="00280805">
        <w:rPr>
          <w:rFonts w:ascii="Times New Roman" w:hAnsi="Times New Roman" w:cs="Times New Roman"/>
          <w:sz w:val="24"/>
          <w:szCs w:val="24"/>
          <w:lang w:val="en-US"/>
        </w:rPr>
        <w:t xml:space="preserve">The correlation </w:t>
      </w:r>
      <w:r w:rsidR="009F7F58">
        <w:rPr>
          <w:rFonts w:ascii="Times New Roman" w:hAnsi="Times New Roman" w:cs="Times New Roman"/>
          <w:sz w:val="24"/>
          <w:szCs w:val="24"/>
          <w:lang w:val="en-US"/>
        </w:rPr>
        <w:t>between</w:t>
      </w:r>
      <w:r w:rsidR="001637B6" w:rsidRPr="00280805">
        <w:rPr>
          <w:rFonts w:ascii="Times New Roman" w:hAnsi="Times New Roman" w:cs="Times New Roman"/>
          <w:sz w:val="24"/>
          <w:szCs w:val="24"/>
          <w:lang w:val="en-US"/>
        </w:rPr>
        <w:t xml:space="preserve"> the increase in </w:t>
      </w:r>
      <w:r w:rsidRPr="00280805">
        <w:rPr>
          <w:rFonts w:ascii="Times New Roman" w:hAnsi="Times New Roman" w:cs="Times New Roman"/>
          <w:sz w:val="24"/>
          <w:szCs w:val="24"/>
          <w:lang w:val="en-US"/>
        </w:rPr>
        <w:t>negative health indicators a</w:t>
      </w:r>
      <w:r w:rsidR="001637B6" w:rsidRPr="00280805">
        <w:rPr>
          <w:rFonts w:ascii="Times New Roman" w:hAnsi="Times New Roman" w:cs="Times New Roman"/>
          <w:sz w:val="24"/>
          <w:szCs w:val="24"/>
          <w:lang w:val="en-US"/>
        </w:rPr>
        <w:t>nd the cuts in health expenditure</w:t>
      </w:r>
      <w:r w:rsidR="004728CD">
        <w:rPr>
          <w:rFonts w:ascii="Times New Roman" w:hAnsi="Times New Roman" w:cs="Times New Roman"/>
          <w:sz w:val="24"/>
          <w:szCs w:val="24"/>
          <w:lang w:val="en-US"/>
        </w:rPr>
        <w:t xml:space="preserve"> </w:t>
      </w:r>
      <w:r w:rsidR="001637B6" w:rsidRPr="00280805">
        <w:rPr>
          <w:rFonts w:ascii="Times New Roman" w:hAnsi="Times New Roman" w:cs="Times New Roman"/>
          <w:sz w:val="24"/>
          <w:szCs w:val="24"/>
          <w:lang w:val="en-US"/>
        </w:rPr>
        <w:t>within the framework</w:t>
      </w:r>
      <w:r w:rsidRPr="00280805">
        <w:rPr>
          <w:rFonts w:ascii="Times New Roman" w:hAnsi="Times New Roman" w:cs="Times New Roman"/>
          <w:sz w:val="24"/>
          <w:szCs w:val="24"/>
          <w:lang w:val="en-US"/>
        </w:rPr>
        <w:t xml:space="preserve"> of austerity </w:t>
      </w:r>
      <w:r w:rsidR="001637B6" w:rsidRPr="00280805">
        <w:rPr>
          <w:rFonts w:ascii="Times New Roman" w:hAnsi="Times New Roman" w:cs="Times New Roman"/>
          <w:sz w:val="24"/>
          <w:szCs w:val="24"/>
          <w:lang w:val="en-US"/>
        </w:rPr>
        <w:t>is shown to be</w:t>
      </w:r>
      <w:r w:rsidRPr="00280805">
        <w:rPr>
          <w:rFonts w:ascii="Times New Roman" w:hAnsi="Times New Roman" w:cs="Times New Roman"/>
          <w:sz w:val="24"/>
          <w:szCs w:val="24"/>
          <w:lang w:val="en-US"/>
        </w:rPr>
        <w:t xml:space="preserve"> directly linked according to the figures in the graphs</w:t>
      </w:r>
      <w:r w:rsidR="009F7F58">
        <w:rPr>
          <w:rFonts w:ascii="Times New Roman" w:hAnsi="Times New Roman" w:cs="Times New Roman"/>
          <w:sz w:val="24"/>
          <w:szCs w:val="24"/>
          <w:lang w:val="en-US"/>
        </w:rPr>
        <w:t>.</w:t>
      </w:r>
    </w:p>
    <w:p w:rsidR="00B67AE8" w:rsidRPr="00A56D8B" w:rsidRDefault="00B67AE8" w:rsidP="00B67AE8">
      <w:pPr>
        <w:spacing w:after="0"/>
        <w:jc w:val="both"/>
        <w:rPr>
          <w:rFonts w:ascii="Times New Roman" w:hAnsi="Times New Roman" w:cs="Times New Roman"/>
          <w:sz w:val="24"/>
          <w:szCs w:val="24"/>
          <w:lang w:val="en-US"/>
        </w:rPr>
      </w:pPr>
    </w:p>
    <w:bookmarkEnd w:id="7"/>
    <w:p w:rsidR="002038EC" w:rsidRDefault="002038EC" w:rsidP="00B67AE8">
      <w:pPr>
        <w:spacing w:after="0"/>
        <w:jc w:val="both"/>
        <w:rPr>
          <w:rFonts w:ascii="Times New Roman" w:hAnsi="Times New Roman" w:cs="Times New Roman"/>
          <w:b/>
          <w:bCs/>
          <w:sz w:val="30"/>
          <w:szCs w:val="30"/>
        </w:rPr>
      </w:pPr>
    </w:p>
    <w:p w:rsidR="002038EC" w:rsidRDefault="002038EC" w:rsidP="00B67AE8">
      <w:pPr>
        <w:spacing w:after="0"/>
        <w:jc w:val="both"/>
        <w:rPr>
          <w:rFonts w:ascii="Times New Roman" w:hAnsi="Times New Roman" w:cs="Times New Roman"/>
          <w:b/>
          <w:bCs/>
          <w:sz w:val="30"/>
          <w:szCs w:val="30"/>
        </w:rPr>
      </w:pPr>
    </w:p>
    <w:p w:rsidR="002038EC" w:rsidRDefault="002038EC" w:rsidP="00B67AE8">
      <w:pPr>
        <w:spacing w:after="0"/>
        <w:jc w:val="both"/>
        <w:rPr>
          <w:rFonts w:ascii="Times New Roman" w:hAnsi="Times New Roman" w:cs="Times New Roman"/>
          <w:b/>
          <w:bCs/>
          <w:sz w:val="30"/>
          <w:szCs w:val="30"/>
        </w:rPr>
      </w:pPr>
    </w:p>
    <w:p w:rsidR="00B67AE8" w:rsidRPr="00885780" w:rsidRDefault="00B67AE8" w:rsidP="00B67AE8">
      <w:pPr>
        <w:spacing w:after="0"/>
        <w:jc w:val="both"/>
        <w:rPr>
          <w:rFonts w:ascii="Times New Roman" w:hAnsi="Times New Roman" w:cs="Times New Roman"/>
          <w:b/>
          <w:bCs/>
          <w:sz w:val="30"/>
          <w:szCs w:val="30"/>
          <w:lang w:val="en-US"/>
        </w:rPr>
      </w:pPr>
      <w:r w:rsidRPr="00885780">
        <w:rPr>
          <w:rFonts w:ascii="Times New Roman" w:hAnsi="Times New Roman" w:cs="Times New Roman"/>
          <w:b/>
          <w:bCs/>
          <w:sz w:val="30"/>
          <w:szCs w:val="30"/>
          <w:lang w:val="en-US"/>
        </w:rPr>
        <w:lastRenderedPageBreak/>
        <w:t>Conclusions</w:t>
      </w:r>
    </w:p>
    <w:p w:rsidR="003A6B5F" w:rsidRPr="00280805" w:rsidRDefault="003A6B5F" w:rsidP="003B487F">
      <w:pPr>
        <w:spacing w:after="0"/>
        <w:ind w:firstLine="567"/>
        <w:jc w:val="both"/>
        <w:rPr>
          <w:rFonts w:ascii="Times New Roman" w:hAnsi="Times New Roman" w:cs="Times New Roman"/>
          <w:sz w:val="24"/>
          <w:szCs w:val="24"/>
          <w:lang w:val="en-US"/>
        </w:rPr>
      </w:pPr>
      <w:r w:rsidRPr="00280805">
        <w:rPr>
          <w:rFonts w:ascii="Times New Roman" w:hAnsi="Times New Roman" w:cs="Times New Roman"/>
          <w:sz w:val="24"/>
          <w:szCs w:val="24"/>
          <w:lang w:val="en-US"/>
        </w:rPr>
        <w:t xml:space="preserve">As a result of the above </w:t>
      </w:r>
      <w:r w:rsidR="009F7F58">
        <w:rPr>
          <w:rFonts w:ascii="Times New Roman" w:hAnsi="Times New Roman" w:cs="Times New Roman"/>
          <w:sz w:val="24"/>
          <w:szCs w:val="24"/>
          <w:lang w:val="en-US"/>
        </w:rPr>
        <w:t>data,</w:t>
      </w:r>
      <w:r w:rsidRPr="00280805">
        <w:rPr>
          <w:rFonts w:ascii="Times New Roman" w:hAnsi="Times New Roman" w:cs="Times New Roman"/>
          <w:sz w:val="24"/>
          <w:szCs w:val="24"/>
          <w:lang w:val="en-US"/>
        </w:rPr>
        <w:t xml:space="preserve"> the determinants influence the level of population </w:t>
      </w:r>
      <w:r w:rsidR="00280805" w:rsidRPr="00280805">
        <w:rPr>
          <w:rFonts w:ascii="Times New Roman" w:hAnsi="Times New Roman" w:cs="Times New Roman"/>
          <w:sz w:val="24"/>
          <w:szCs w:val="24"/>
          <w:lang w:val="en-US"/>
        </w:rPr>
        <w:t xml:space="preserve">health </w:t>
      </w:r>
      <w:r w:rsidR="00280805">
        <w:rPr>
          <w:rFonts w:ascii="Times New Roman" w:hAnsi="Times New Roman" w:cs="Times New Roman"/>
          <w:sz w:val="24"/>
          <w:szCs w:val="24"/>
          <w:lang w:val="en-US"/>
        </w:rPr>
        <w:t xml:space="preserve">depending on the </w:t>
      </w:r>
      <w:r w:rsidR="003B487F">
        <w:rPr>
          <w:rFonts w:ascii="Times New Roman" w:hAnsi="Times New Roman" w:cs="Times New Roman"/>
          <w:sz w:val="24"/>
          <w:szCs w:val="24"/>
          <w:lang w:val="en-US"/>
        </w:rPr>
        <w:t xml:space="preserve">extremity of the </w:t>
      </w:r>
      <w:r w:rsidR="00280805">
        <w:rPr>
          <w:rFonts w:ascii="Times New Roman" w:hAnsi="Times New Roman" w:cs="Times New Roman"/>
          <w:sz w:val="24"/>
          <w:szCs w:val="24"/>
          <w:lang w:val="en-US"/>
        </w:rPr>
        <w:t>impact</w:t>
      </w:r>
      <w:r w:rsidRPr="00280805">
        <w:rPr>
          <w:rFonts w:ascii="Times New Roman" w:hAnsi="Times New Roman" w:cs="Times New Roman"/>
          <w:sz w:val="24"/>
          <w:szCs w:val="24"/>
          <w:lang w:val="en-US"/>
        </w:rPr>
        <w:t xml:space="preserve"> they exert on the individual and the</w:t>
      </w:r>
      <w:r w:rsidR="00280805">
        <w:rPr>
          <w:rFonts w:ascii="Times New Roman" w:hAnsi="Times New Roman" w:cs="Times New Roman"/>
          <w:sz w:val="24"/>
          <w:szCs w:val="24"/>
          <w:lang w:val="en-US"/>
        </w:rPr>
        <w:t>ir</w:t>
      </w:r>
      <w:r w:rsidRPr="00280805">
        <w:rPr>
          <w:rFonts w:ascii="Times New Roman" w:hAnsi="Times New Roman" w:cs="Times New Roman"/>
          <w:sz w:val="24"/>
          <w:szCs w:val="24"/>
          <w:lang w:val="en-US"/>
        </w:rPr>
        <w:t xml:space="preserve"> environment. </w:t>
      </w:r>
      <w:r w:rsidR="00280805">
        <w:rPr>
          <w:rFonts w:ascii="Times New Roman" w:hAnsi="Times New Roman" w:cs="Times New Roman"/>
          <w:sz w:val="24"/>
          <w:szCs w:val="24"/>
          <w:lang w:val="en-US"/>
        </w:rPr>
        <w:t xml:space="preserve">Some </w:t>
      </w:r>
      <w:r w:rsidR="003B487F">
        <w:rPr>
          <w:rFonts w:ascii="Times New Roman" w:hAnsi="Times New Roman" w:cs="Times New Roman"/>
          <w:sz w:val="24"/>
          <w:szCs w:val="24"/>
          <w:lang w:val="en-US"/>
        </w:rPr>
        <w:t>impact</w:t>
      </w:r>
      <w:r w:rsidR="004728CD">
        <w:rPr>
          <w:rFonts w:ascii="Times New Roman" w:hAnsi="Times New Roman" w:cs="Times New Roman"/>
          <w:sz w:val="24"/>
          <w:szCs w:val="24"/>
          <w:lang w:val="en-US"/>
        </w:rPr>
        <w:t xml:space="preserve"> </w:t>
      </w:r>
      <w:r w:rsidR="00280805">
        <w:rPr>
          <w:rFonts w:ascii="Times New Roman" w:hAnsi="Times New Roman" w:cs="Times New Roman"/>
          <w:sz w:val="24"/>
          <w:szCs w:val="24"/>
          <w:lang w:val="en-US"/>
        </w:rPr>
        <w:t xml:space="preserve">only </w:t>
      </w:r>
      <w:r w:rsidR="003B487F">
        <w:rPr>
          <w:rFonts w:ascii="Times New Roman" w:hAnsi="Times New Roman" w:cs="Times New Roman"/>
          <w:sz w:val="24"/>
          <w:szCs w:val="24"/>
          <w:lang w:val="en-US"/>
        </w:rPr>
        <w:t>on</w:t>
      </w:r>
      <w:r w:rsidRPr="00280805">
        <w:rPr>
          <w:rFonts w:ascii="Times New Roman" w:hAnsi="Times New Roman" w:cs="Times New Roman"/>
          <w:sz w:val="24"/>
          <w:szCs w:val="24"/>
          <w:lang w:val="en-US"/>
        </w:rPr>
        <w:t xml:space="preserve"> the individual an</w:t>
      </w:r>
      <w:r w:rsidR="00280805">
        <w:rPr>
          <w:rFonts w:ascii="Times New Roman" w:hAnsi="Times New Roman" w:cs="Times New Roman"/>
          <w:sz w:val="24"/>
          <w:szCs w:val="24"/>
          <w:lang w:val="en-US"/>
        </w:rPr>
        <w:t xml:space="preserve">d others </w:t>
      </w:r>
      <w:r w:rsidR="003B487F">
        <w:rPr>
          <w:rFonts w:ascii="Times New Roman" w:hAnsi="Times New Roman" w:cs="Times New Roman"/>
          <w:sz w:val="24"/>
          <w:szCs w:val="24"/>
          <w:lang w:val="en-US"/>
        </w:rPr>
        <w:t>on society and</w:t>
      </w:r>
      <w:r w:rsidR="00280805">
        <w:rPr>
          <w:rFonts w:ascii="Times New Roman" w:hAnsi="Times New Roman" w:cs="Times New Roman"/>
          <w:sz w:val="24"/>
          <w:szCs w:val="24"/>
          <w:lang w:val="en-US"/>
        </w:rPr>
        <w:t xml:space="preserve"> the environment as</w:t>
      </w:r>
      <w:r w:rsidR="004728CD">
        <w:rPr>
          <w:rFonts w:ascii="Times New Roman" w:hAnsi="Times New Roman" w:cs="Times New Roman"/>
          <w:sz w:val="24"/>
          <w:szCs w:val="24"/>
          <w:lang w:val="en-US"/>
        </w:rPr>
        <w:t xml:space="preserve"> </w:t>
      </w:r>
      <w:r w:rsidR="00280805">
        <w:rPr>
          <w:rFonts w:ascii="Times New Roman" w:hAnsi="Times New Roman" w:cs="Times New Roman"/>
          <w:sz w:val="24"/>
          <w:szCs w:val="24"/>
          <w:lang w:val="en-US"/>
        </w:rPr>
        <w:t>a</w:t>
      </w:r>
      <w:r w:rsidRPr="00280805">
        <w:rPr>
          <w:rFonts w:ascii="Times New Roman" w:hAnsi="Times New Roman" w:cs="Times New Roman"/>
          <w:sz w:val="24"/>
          <w:szCs w:val="24"/>
          <w:lang w:val="en-US"/>
        </w:rPr>
        <w:t xml:space="preserve"> whole, negatively and positively </w:t>
      </w:r>
      <w:r w:rsidR="003B487F">
        <w:rPr>
          <w:rFonts w:ascii="Times New Roman" w:hAnsi="Times New Roman" w:cs="Times New Roman"/>
          <w:sz w:val="24"/>
          <w:szCs w:val="24"/>
          <w:lang w:val="en-US"/>
        </w:rPr>
        <w:t>affecting</w:t>
      </w:r>
      <w:r w:rsidRPr="00280805">
        <w:rPr>
          <w:rFonts w:ascii="Times New Roman" w:hAnsi="Times New Roman" w:cs="Times New Roman"/>
          <w:sz w:val="24"/>
          <w:szCs w:val="24"/>
          <w:lang w:val="en-US"/>
        </w:rPr>
        <w:t xml:space="preserve"> health</w:t>
      </w:r>
      <w:r w:rsidR="00280805">
        <w:rPr>
          <w:rFonts w:ascii="Times New Roman" w:hAnsi="Times New Roman" w:cs="Times New Roman"/>
          <w:sz w:val="24"/>
          <w:szCs w:val="24"/>
          <w:lang w:val="en-US"/>
        </w:rPr>
        <w:t xml:space="preserve"> status</w:t>
      </w:r>
      <w:r w:rsidRPr="00280805">
        <w:rPr>
          <w:rFonts w:ascii="Times New Roman" w:hAnsi="Times New Roman" w:cs="Times New Roman"/>
          <w:sz w:val="24"/>
          <w:szCs w:val="24"/>
          <w:lang w:val="en-US"/>
        </w:rPr>
        <w:t xml:space="preserve">. </w:t>
      </w:r>
      <w:r w:rsidR="000535E4">
        <w:rPr>
          <w:rFonts w:ascii="Times New Roman" w:hAnsi="Times New Roman" w:cs="Times New Roman"/>
          <w:sz w:val="24"/>
          <w:szCs w:val="24"/>
          <w:lang w:val="en-US"/>
        </w:rPr>
        <w:t>L</w:t>
      </w:r>
      <w:r w:rsidRPr="00280805">
        <w:rPr>
          <w:rFonts w:ascii="Times New Roman" w:hAnsi="Times New Roman" w:cs="Times New Roman"/>
          <w:sz w:val="24"/>
          <w:szCs w:val="24"/>
          <w:lang w:val="en-US"/>
        </w:rPr>
        <w:t>ife expectancy in Greece</w:t>
      </w:r>
      <w:r w:rsidR="004728CD">
        <w:rPr>
          <w:rFonts w:ascii="Times New Roman" w:hAnsi="Times New Roman" w:cs="Times New Roman"/>
          <w:sz w:val="24"/>
          <w:szCs w:val="24"/>
          <w:lang w:val="en-US"/>
        </w:rPr>
        <w:t xml:space="preserve"> </w:t>
      </w:r>
      <w:r w:rsidR="003B487F">
        <w:rPr>
          <w:rFonts w:ascii="Times New Roman" w:hAnsi="Times New Roman" w:cs="Times New Roman"/>
          <w:sz w:val="24"/>
          <w:szCs w:val="24"/>
          <w:lang w:val="en-US"/>
        </w:rPr>
        <w:t>h</w:t>
      </w:r>
      <w:r w:rsidR="000535E4">
        <w:rPr>
          <w:rFonts w:ascii="Times New Roman" w:hAnsi="Times New Roman" w:cs="Times New Roman"/>
          <w:sz w:val="24"/>
          <w:szCs w:val="24"/>
          <w:lang w:val="en-US"/>
        </w:rPr>
        <w:t>as</w:t>
      </w:r>
      <w:r w:rsidRPr="00280805">
        <w:rPr>
          <w:rFonts w:ascii="Times New Roman" w:hAnsi="Times New Roman" w:cs="Times New Roman"/>
          <w:sz w:val="24"/>
          <w:szCs w:val="24"/>
          <w:lang w:val="en-US"/>
        </w:rPr>
        <w:t xml:space="preserve"> increased, </w:t>
      </w:r>
      <w:r w:rsidR="000535E4">
        <w:rPr>
          <w:rFonts w:ascii="Times New Roman" w:hAnsi="Times New Roman" w:cs="Times New Roman"/>
          <w:sz w:val="24"/>
          <w:szCs w:val="24"/>
          <w:lang w:val="en-US"/>
        </w:rPr>
        <w:t xml:space="preserve">but there </w:t>
      </w:r>
      <w:r w:rsidR="003B487F">
        <w:rPr>
          <w:rFonts w:ascii="Times New Roman" w:hAnsi="Times New Roman" w:cs="Times New Roman"/>
          <w:sz w:val="24"/>
          <w:szCs w:val="24"/>
          <w:lang w:val="en-US"/>
        </w:rPr>
        <w:t>has also been</w:t>
      </w:r>
      <w:r w:rsidR="000535E4">
        <w:rPr>
          <w:rFonts w:ascii="Times New Roman" w:hAnsi="Times New Roman" w:cs="Times New Roman"/>
          <w:sz w:val="24"/>
          <w:szCs w:val="24"/>
          <w:lang w:val="en-US"/>
        </w:rPr>
        <w:t xml:space="preserve"> an increase in </w:t>
      </w:r>
      <w:r w:rsidR="003B487F">
        <w:rPr>
          <w:rFonts w:ascii="Times New Roman" w:hAnsi="Times New Roman" w:cs="Times New Roman"/>
          <w:sz w:val="24"/>
          <w:szCs w:val="24"/>
          <w:lang w:val="en-US"/>
        </w:rPr>
        <w:t xml:space="preserve">the </w:t>
      </w:r>
      <w:r w:rsidR="000535E4">
        <w:rPr>
          <w:rFonts w:ascii="Times New Roman" w:hAnsi="Times New Roman" w:cs="Times New Roman"/>
          <w:sz w:val="24"/>
          <w:szCs w:val="24"/>
          <w:lang w:val="en-US"/>
        </w:rPr>
        <w:t>mortality rate</w:t>
      </w:r>
      <w:r w:rsidR="004728CD">
        <w:rPr>
          <w:rFonts w:ascii="Times New Roman" w:hAnsi="Times New Roman" w:cs="Times New Roman"/>
          <w:sz w:val="24"/>
          <w:szCs w:val="24"/>
          <w:lang w:val="en-US"/>
        </w:rPr>
        <w:t xml:space="preserve"> </w:t>
      </w:r>
      <w:r w:rsidR="000535E4">
        <w:rPr>
          <w:rFonts w:ascii="Times New Roman" w:hAnsi="Times New Roman" w:cs="Times New Roman"/>
          <w:sz w:val="24"/>
          <w:szCs w:val="24"/>
          <w:lang w:val="en-US"/>
        </w:rPr>
        <w:t xml:space="preserve">in </w:t>
      </w:r>
      <w:r w:rsidR="003B487F">
        <w:rPr>
          <w:rFonts w:ascii="Times New Roman" w:hAnsi="Times New Roman" w:cs="Times New Roman"/>
          <w:sz w:val="24"/>
          <w:szCs w:val="24"/>
          <w:lang w:val="en-US"/>
        </w:rPr>
        <w:t xml:space="preserve">the </w:t>
      </w:r>
      <w:r w:rsidR="000535E4">
        <w:rPr>
          <w:rFonts w:ascii="Times New Roman" w:hAnsi="Times New Roman" w:cs="Times New Roman"/>
          <w:sz w:val="24"/>
          <w:szCs w:val="24"/>
          <w:lang w:val="en-US"/>
        </w:rPr>
        <w:t xml:space="preserve">age group 80+with the </w:t>
      </w:r>
      <w:r w:rsidRPr="00280805">
        <w:rPr>
          <w:rFonts w:ascii="Times New Roman" w:hAnsi="Times New Roman" w:cs="Times New Roman"/>
          <w:sz w:val="24"/>
          <w:szCs w:val="24"/>
          <w:lang w:val="en-US"/>
        </w:rPr>
        <w:t xml:space="preserve">leading cause of death </w:t>
      </w:r>
      <w:r w:rsidR="000535E4">
        <w:rPr>
          <w:rFonts w:ascii="Times New Roman" w:hAnsi="Times New Roman" w:cs="Times New Roman"/>
          <w:sz w:val="24"/>
          <w:szCs w:val="24"/>
          <w:lang w:val="en-US"/>
        </w:rPr>
        <w:t>being</w:t>
      </w:r>
      <w:r w:rsidRPr="00280805">
        <w:rPr>
          <w:rFonts w:ascii="Times New Roman" w:hAnsi="Times New Roman" w:cs="Times New Roman"/>
          <w:sz w:val="24"/>
          <w:szCs w:val="24"/>
          <w:lang w:val="en-US"/>
        </w:rPr>
        <w:t xml:space="preserve"> cardiovascular disease</w:t>
      </w:r>
      <w:r w:rsidR="000535E4">
        <w:rPr>
          <w:rFonts w:ascii="Times New Roman" w:hAnsi="Times New Roman" w:cs="Times New Roman"/>
          <w:sz w:val="24"/>
          <w:szCs w:val="24"/>
          <w:lang w:val="en-US"/>
        </w:rPr>
        <w:t>s</w:t>
      </w:r>
      <w:r w:rsidRPr="00280805">
        <w:rPr>
          <w:rFonts w:ascii="Times New Roman" w:hAnsi="Times New Roman" w:cs="Times New Roman"/>
          <w:sz w:val="24"/>
          <w:szCs w:val="24"/>
          <w:lang w:val="en-US"/>
        </w:rPr>
        <w:t xml:space="preserve">. </w:t>
      </w:r>
      <w:r w:rsidR="000535E4">
        <w:rPr>
          <w:rFonts w:ascii="Times New Roman" w:hAnsi="Times New Roman" w:cs="Times New Roman"/>
          <w:sz w:val="24"/>
          <w:szCs w:val="24"/>
          <w:lang w:val="en-US"/>
        </w:rPr>
        <w:t>Consequently</w:t>
      </w:r>
      <w:r w:rsidRPr="00280805">
        <w:rPr>
          <w:rFonts w:ascii="Times New Roman" w:hAnsi="Times New Roman" w:cs="Times New Roman"/>
          <w:sz w:val="24"/>
          <w:szCs w:val="24"/>
          <w:lang w:val="en-US"/>
        </w:rPr>
        <w:t xml:space="preserve">, </w:t>
      </w:r>
      <w:r w:rsidR="003B487F">
        <w:rPr>
          <w:rFonts w:ascii="Times New Roman" w:hAnsi="Times New Roman" w:cs="Times New Roman"/>
          <w:sz w:val="24"/>
          <w:szCs w:val="24"/>
          <w:lang w:val="en-US"/>
        </w:rPr>
        <w:t>a comparison of life expectancy at birth reveals</w:t>
      </w:r>
      <w:r w:rsidRPr="00280805">
        <w:rPr>
          <w:rFonts w:ascii="Times New Roman" w:hAnsi="Times New Roman" w:cs="Times New Roman"/>
          <w:sz w:val="24"/>
          <w:szCs w:val="24"/>
          <w:lang w:val="en-US"/>
        </w:rPr>
        <w:t xml:space="preserve"> Greece </w:t>
      </w:r>
      <w:r w:rsidR="003B487F">
        <w:rPr>
          <w:rFonts w:ascii="Times New Roman" w:hAnsi="Times New Roman" w:cs="Times New Roman"/>
          <w:sz w:val="24"/>
          <w:szCs w:val="24"/>
          <w:lang w:val="en-US"/>
        </w:rPr>
        <w:t>to have</w:t>
      </w:r>
      <w:r w:rsidR="000535E4">
        <w:rPr>
          <w:rFonts w:ascii="Times New Roman" w:hAnsi="Times New Roman" w:cs="Times New Roman"/>
          <w:sz w:val="24"/>
          <w:szCs w:val="24"/>
          <w:lang w:val="en-US"/>
        </w:rPr>
        <w:t xml:space="preserve"> recorded</w:t>
      </w:r>
      <w:r w:rsidRPr="00280805">
        <w:rPr>
          <w:rFonts w:ascii="Times New Roman" w:hAnsi="Times New Roman" w:cs="Times New Roman"/>
          <w:sz w:val="24"/>
          <w:szCs w:val="24"/>
          <w:lang w:val="en-US"/>
        </w:rPr>
        <w:t xml:space="preserve"> higher rates than Portugal over the years. </w:t>
      </w:r>
      <w:r w:rsidR="003B487F">
        <w:rPr>
          <w:rFonts w:ascii="Times New Roman" w:hAnsi="Times New Roman" w:cs="Times New Roman"/>
          <w:sz w:val="24"/>
          <w:szCs w:val="24"/>
          <w:lang w:val="en-US"/>
        </w:rPr>
        <w:t>In contrast</w:t>
      </w:r>
      <w:r w:rsidRPr="00280805">
        <w:rPr>
          <w:rFonts w:ascii="Times New Roman" w:hAnsi="Times New Roman" w:cs="Times New Roman"/>
          <w:sz w:val="24"/>
          <w:szCs w:val="24"/>
          <w:lang w:val="en-US"/>
        </w:rPr>
        <w:t>, from 2011 onwards</w:t>
      </w:r>
      <w:r w:rsidR="003B487F">
        <w:rPr>
          <w:rFonts w:ascii="Times New Roman" w:hAnsi="Times New Roman" w:cs="Times New Roman"/>
          <w:sz w:val="24"/>
          <w:szCs w:val="24"/>
          <w:lang w:val="en-US"/>
        </w:rPr>
        <w:t>,</w:t>
      </w:r>
      <w:r w:rsidRPr="00280805">
        <w:rPr>
          <w:rFonts w:ascii="Times New Roman" w:hAnsi="Times New Roman" w:cs="Times New Roman"/>
          <w:sz w:val="24"/>
          <w:szCs w:val="24"/>
          <w:lang w:val="en-US"/>
        </w:rPr>
        <w:t xml:space="preserve"> a decline in the population in both countries </w:t>
      </w:r>
      <w:r w:rsidR="004820ED">
        <w:rPr>
          <w:rFonts w:ascii="Times New Roman" w:hAnsi="Times New Roman" w:cs="Times New Roman"/>
          <w:sz w:val="24"/>
          <w:szCs w:val="24"/>
          <w:lang w:val="en-US"/>
        </w:rPr>
        <w:t>is</w:t>
      </w:r>
      <w:r w:rsidR="004728CD">
        <w:rPr>
          <w:rFonts w:ascii="Times New Roman" w:hAnsi="Times New Roman" w:cs="Times New Roman"/>
          <w:sz w:val="24"/>
          <w:szCs w:val="24"/>
          <w:lang w:val="en-US"/>
        </w:rPr>
        <w:t xml:space="preserve"> </w:t>
      </w:r>
      <w:r w:rsidR="00885780">
        <w:rPr>
          <w:rFonts w:ascii="Times New Roman" w:hAnsi="Times New Roman" w:cs="Times New Roman"/>
          <w:sz w:val="24"/>
          <w:szCs w:val="24"/>
          <w:lang w:val="en-US"/>
        </w:rPr>
        <w:t>observed</w:t>
      </w:r>
      <w:r w:rsidRPr="00280805">
        <w:rPr>
          <w:rFonts w:ascii="Times New Roman" w:hAnsi="Times New Roman" w:cs="Times New Roman"/>
          <w:sz w:val="24"/>
          <w:szCs w:val="24"/>
          <w:lang w:val="en-US"/>
        </w:rPr>
        <w:t>.</w:t>
      </w:r>
      <w:r w:rsidR="004728CD">
        <w:rPr>
          <w:rFonts w:ascii="Times New Roman" w:hAnsi="Times New Roman" w:cs="Times New Roman"/>
          <w:sz w:val="24"/>
          <w:szCs w:val="24"/>
          <w:lang w:val="en-US"/>
        </w:rPr>
        <w:t xml:space="preserve"> </w:t>
      </w:r>
      <w:r w:rsidRPr="00280805">
        <w:rPr>
          <w:rFonts w:ascii="Times New Roman" w:hAnsi="Times New Roman" w:cs="Times New Roman"/>
          <w:sz w:val="24"/>
          <w:szCs w:val="24"/>
          <w:lang w:val="en-US"/>
        </w:rPr>
        <w:t xml:space="preserve">With </w:t>
      </w:r>
      <w:r w:rsidR="00885780">
        <w:rPr>
          <w:rFonts w:ascii="Times New Roman" w:hAnsi="Times New Roman" w:cs="Times New Roman"/>
          <w:sz w:val="24"/>
          <w:szCs w:val="24"/>
          <w:lang w:val="en-US"/>
        </w:rPr>
        <w:t>regard</w:t>
      </w:r>
      <w:r w:rsidRPr="00280805">
        <w:rPr>
          <w:rFonts w:ascii="Times New Roman" w:hAnsi="Times New Roman" w:cs="Times New Roman"/>
          <w:sz w:val="24"/>
          <w:szCs w:val="24"/>
          <w:lang w:val="en-US"/>
        </w:rPr>
        <w:t xml:space="preserve"> to morbidity</w:t>
      </w:r>
      <w:r w:rsidR="00885780">
        <w:rPr>
          <w:rFonts w:ascii="Times New Roman" w:hAnsi="Times New Roman" w:cs="Times New Roman"/>
          <w:sz w:val="24"/>
          <w:szCs w:val="24"/>
          <w:lang w:val="en-US"/>
        </w:rPr>
        <w:t xml:space="preserve"> rates</w:t>
      </w:r>
      <w:r w:rsidRPr="00280805">
        <w:rPr>
          <w:rFonts w:ascii="Times New Roman" w:hAnsi="Times New Roman" w:cs="Times New Roman"/>
          <w:sz w:val="24"/>
          <w:szCs w:val="24"/>
          <w:lang w:val="en-US"/>
        </w:rPr>
        <w:t xml:space="preserve"> in the two countries, </w:t>
      </w:r>
      <w:r w:rsidR="00885780">
        <w:rPr>
          <w:rFonts w:ascii="Times New Roman" w:hAnsi="Times New Roman" w:cs="Times New Roman"/>
          <w:sz w:val="24"/>
          <w:szCs w:val="24"/>
          <w:lang w:val="en-US"/>
        </w:rPr>
        <w:t>these</w:t>
      </w:r>
      <w:r w:rsidRPr="00280805">
        <w:rPr>
          <w:rFonts w:ascii="Times New Roman" w:hAnsi="Times New Roman" w:cs="Times New Roman"/>
          <w:sz w:val="24"/>
          <w:szCs w:val="24"/>
          <w:lang w:val="en-US"/>
        </w:rPr>
        <w:t xml:space="preserve"> fluctuate </w:t>
      </w:r>
      <w:r w:rsidR="003B487F">
        <w:rPr>
          <w:rFonts w:ascii="Times New Roman" w:hAnsi="Times New Roman" w:cs="Times New Roman"/>
          <w:sz w:val="24"/>
          <w:szCs w:val="24"/>
          <w:lang w:val="en-US"/>
        </w:rPr>
        <w:t xml:space="preserve">but tend </w:t>
      </w:r>
      <w:r w:rsidR="00885780">
        <w:rPr>
          <w:rFonts w:ascii="Times New Roman" w:hAnsi="Times New Roman" w:cs="Times New Roman"/>
          <w:sz w:val="24"/>
          <w:szCs w:val="24"/>
          <w:lang w:val="en-US"/>
        </w:rPr>
        <w:t>towards a decline</w:t>
      </w:r>
      <w:r w:rsidR="003B487F">
        <w:rPr>
          <w:rFonts w:ascii="Times New Roman" w:hAnsi="Times New Roman" w:cs="Times New Roman"/>
          <w:sz w:val="24"/>
          <w:szCs w:val="24"/>
          <w:lang w:val="en-US"/>
        </w:rPr>
        <w:t>,</w:t>
      </w:r>
      <w:r w:rsidR="004728CD">
        <w:rPr>
          <w:rFonts w:ascii="Times New Roman" w:hAnsi="Times New Roman" w:cs="Times New Roman"/>
          <w:sz w:val="24"/>
          <w:szCs w:val="24"/>
          <w:lang w:val="en-US"/>
        </w:rPr>
        <w:t xml:space="preserve"> </w:t>
      </w:r>
      <w:r w:rsidRPr="00280805">
        <w:rPr>
          <w:rFonts w:ascii="Times New Roman" w:hAnsi="Times New Roman" w:cs="Times New Roman"/>
          <w:sz w:val="24"/>
          <w:szCs w:val="24"/>
          <w:lang w:val="en-US"/>
        </w:rPr>
        <w:t xml:space="preserve">with Greece </w:t>
      </w:r>
      <w:r w:rsidR="00885780">
        <w:rPr>
          <w:rFonts w:ascii="Times New Roman" w:hAnsi="Times New Roman" w:cs="Times New Roman"/>
          <w:sz w:val="24"/>
          <w:szCs w:val="24"/>
          <w:lang w:val="en-US"/>
        </w:rPr>
        <w:t>clearly recording</w:t>
      </w:r>
      <w:r w:rsidRPr="00280805">
        <w:rPr>
          <w:rFonts w:ascii="Times New Roman" w:hAnsi="Times New Roman" w:cs="Times New Roman"/>
          <w:sz w:val="24"/>
          <w:szCs w:val="24"/>
          <w:lang w:val="en-US"/>
        </w:rPr>
        <w:t xml:space="preserve"> higher </w:t>
      </w:r>
      <w:r w:rsidR="00885780">
        <w:rPr>
          <w:rFonts w:ascii="Times New Roman" w:hAnsi="Times New Roman" w:cs="Times New Roman"/>
          <w:sz w:val="24"/>
          <w:szCs w:val="24"/>
          <w:lang w:val="en-US"/>
        </w:rPr>
        <w:t xml:space="preserve">morbidity </w:t>
      </w:r>
      <w:r w:rsidRPr="00280805">
        <w:rPr>
          <w:rFonts w:ascii="Times New Roman" w:hAnsi="Times New Roman" w:cs="Times New Roman"/>
          <w:sz w:val="24"/>
          <w:szCs w:val="24"/>
          <w:lang w:val="en-US"/>
        </w:rPr>
        <w:t xml:space="preserve">rates. </w:t>
      </w:r>
      <w:r w:rsidR="00885780">
        <w:rPr>
          <w:rFonts w:ascii="Times New Roman" w:hAnsi="Times New Roman" w:cs="Times New Roman"/>
          <w:sz w:val="24"/>
          <w:szCs w:val="24"/>
          <w:lang w:val="en-US"/>
        </w:rPr>
        <w:t>Subsequently</w:t>
      </w:r>
      <w:r w:rsidRPr="00280805">
        <w:rPr>
          <w:rFonts w:ascii="Times New Roman" w:hAnsi="Times New Roman" w:cs="Times New Roman"/>
          <w:sz w:val="24"/>
          <w:szCs w:val="24"/>
          <w:lang w:val="en-US"/>
        </w:rPr>
        <w:t>,</w:t>
      </w:r>
      <w:r w:rsidR="00885780">
        <w:rPr>
          <w:rFonts w:ascii="Times New Roman" w:hAnsi="Times New Roman" w:cs="Times New Roman"/>
          <w:sz w:val="24"/>
          <w:szCs w:val="24"/>
          <w:lang w:val="en-US"/>
        </w:rPr>
        <w:t xml:space="preserve"> all-cause mortality</w:t>
      </w:r>
      <w:r w:rsidR="004728CD">
        <w:rPr>
          <w:rFonts w:ascii="Times New Roman" w:hAnsi="Times New Roman" w:cs="Times New Roman"/>
          <w:sz w:val="24"/>
          <w:szCs w:val="24"/>
          <w:lang w:val="en-US"/>
        </w:rPr>
        <w:t xml:space="preserve"> </w:t>
      </w:r>
      <w:r w:rsidR="00885780">
        <w:rPr>
          <w:rFonts w:ascii="Times New Roman" w:hAnsi="Times New Roman" w:cs="Times New Roman"/>
          <w:sz w:val="24"/>
          <w:szCs w:val="24"/>
          <w:lang w:val="en-US"/>
        </w:rPr>
        <w:t>in both countries record</w:t>
      </w:r>
      <w:r w:rsidR="003D744B">
        <w:rPr>
          <w:rFonts w:ascii="Times New Roman" w:hAnsi="Times New Roman" w:cs="Times New Roman"/>
          <w:sz w:val="24"/>
          <w:szCs w:val="24"/>
          <w:lang w:val="en-US"/>
        </w:rPr>
        <w:t>s</w:t>
      </w:r>
      <w:r w:rsidR="00885780">
        <w:rPr>
          <w:rFonts w:ascii="Times New Roman" w:hAnsi="Times New Roman" w:cs="Times New Roman"/>
          <w:sz w:val="24"/>
          <w:szCs w:val="24"/>
          <w:lang w:val="en-US"/>
        </w:rPr>
        <w:t xml:space="preserve"> a successive series of increases and decreases over the years from 2001 to 2014, with a marked increase in deat</w:t>
      </w:r>
      <w:r w:rsidR="003D744B">
        <w:rPr>
          <w:rFonts w:ascii="Times New Roman" w:hAnsi="Times New Roman" w:cs="Times New Roman"/>
          <w:sz w:val="24"/>
          <w:szCs w:val="24"/>
          <w:lang w:val="en-US"/>
        </w:rPr>
        <w:t>hs between 2011 and 2012</w:t>
      </w:r>
      <w:r w:rsidR="00885780">
        <w:rPr>
          <w:rFonts w:ascii="Times New Roman" w:hAnsi="Times New Roman" w:cs="Times New Roman"/>
          <w:sz w:val="24"/>
          <w:szCs w:val="24"/>
          <w:lang w:val="en-US"/>
        </w:rPr>
        <w:t xml:space="preserve">. </w:t>
      </w:r>
      <w:r w:rsidRPr="00280805">
        <w:rPr>
          <w:rFonts w:ascii="Times New Roman" w:hAnsi="Times New Roman" w:cs="Times New Roman"/>
          <w:sz w:val="24"/>
          <w:szCs w:val="24"/>
          <w:lang w:val="en-US"/>
        </w:rPr>
        <w:t>The</w:t>
      </w:r>
      <w:r w:rsidR="00AC4FB3">
        <w:rPr>
          <w:rFonts w:ascii="Times New Roman" w:hAnsi="Times New Roman" w:cs="Times New Roman"/>
          <w:sz w:val="24"/>
          <w:szCs w:val="24"/>
          <w:lang w:val="en-US"/>
        </w:rPr>
        <w:t xml:space="preserve">re </w:t>
      </w:r>
      <w:r w:rsidR="004820ED">
        <w:rPr>
          <w:rFonts w:ascii="Times New Roman" w:hAnsi="Times New Roman" w:cs="Times New Roman"/>
          <w:sz w:val="24"/>
          <w:szCs w:val="24"/>
          <w:lang w:val="en-US"/>
        </w:rPr>
        <w:t>is</w:t>
      </w:r>
      <w:r w:rsidR="00AC4FB3">
        <w:rPr>
          <w:rFonts w:ascii="Times New Roman" w:hAnsi="Times New Roman" w:cs="Times New Roman"/>
          <w:sz w:val="24"/>
          <w:szCs w:val="24"/>
          <w:lang w:val="en-US"/>
        </w:rPr>
        <w:t xml:space="preserve"> a decline in</w:t>
      </w:r>
      <w:r w:rsidRPr="00280805">
        <w:rPr>
          <w:rFonts w:ascii="Times New Roman" w:hAnsi="Times New Roman" w:cs="Times New Roman"/>
          <w:sz w:val="24"/>
          <w:szCs w:val="24"/>
          <w:lang w:val="en-US"/>
        </w:rPr>
        <w:t xml:space="preserve"> infant mortality rate </w:t>
      </w:r>
      <w:r w:rsidR="00AC4FB3">
        <w:rPr>
          <w:rFonts w:ascii="Times New Roman" w:hAnsi="Times New Roman" w:cs="Times New Roman"/>
          <w:sz w:val="24"/>
          <w:szCs w:val="24"/>
          <w:lang w:val="en-US"/>
        </w:rPr>
        <w:t xml:space="preserve">over the years simultaneously </w:t>
      </w:r>
      <w:r w:rsidRPr="00280805">
        <w:rPr>
          <w:rFonts w:ascii="Times New Roman" w:hAnsi="Times New Roman" w:cs="Times New Roman"/>
          <w:sz w:val="24"/>
          <w:szCs w:val="24"/>
          <w:lang w:val="en-US"/>
        </w:rPr>
        <w:t>in both countries</w:t>
      </w:r>
      <w:r w:rsidR="003B487F">
        <w:rPr>
          <w:rFonts w:ascii="Times New Roman" w:hAnsi="Times New Roman" w:cs="Times New Roman"/>
          <w:sz w:val="24"/>
          <w:szCs w:val="24"/>
          <w:lang w:val="en-US"/>
        </w:rPr>
        <w:t>,</w:t>
      </w:r>
      <w:r w:rsidRPr="00280805">
        <w:rPr>
          <w:rFonts w:ascii="Times New Roman" w:hAnsi="Times New Roman" w:cs="Times New Roman"/>
          <w:sz w:val="24"/>
          <w:szCs w:val="24"/>
          <w:lang w:val="en-US"/>
        </w:rPr>
        <w:t xml:space="preserve"> with a slight increase in 2011</w:t>
      </w:r>
      <w:r w:rsidR="00AC4FB3">
        <w:rPr>
          <w:rFonts w:ascii="Times New Roman" w:hAnsi="Times New Roman" w:cs="Times New Roman"/>
          <w:sz w:val="24"/>
          <w:szCs w:val="24"/>
          <w:lang w:val="en-US"/>
        </w:rPr>
        <w:t xml:space="preserve"> when</w:t>
      </w:r>
      <w:r w:rsidRPr="00280805">
        <w:rPr>
          <w:rFonts w:ascii="Times New Roman" w:hAnsi="Times New Roman" w:cs="Times New Roman"/>
          <w:sz w:val="24"/>
          <w:szCs w:val="24"/>
          <w:lang w:val="en-US"/>
        </w:rPr>
        <w:t xml:space="preserve"> Greece </w:t>
      </w:r>
      <w:r w:rsidR="004820ED">
        <w:rPr>
          <w:rFonts w:ascii="Times New Roman" w:hAnsi="Times New Roman" w:cs="Times New Roman"/>
          <w:sz w:val="24"/>
          <w:szCs w:val="24"/>
          <w:lang w:val="en-US"/>
        </w:rPr>
        <w:t>records</w:t>
      </w:r>
      <w:r w:rsidRPr="00280805">
        <w:rPr>
          <w:rFonts w:ascii="Times New Roman" w:hAnsi="Times New Roman" w:cs="Times New Roman"/>
          <w:sz w:val="24"/>
          <w:szCs w:val="24"/>
          <w:lang w:val="en-US"/>
        </w:rPr>
        <w:t xml:space="preserve"> higher </w:t>
      </w:r>
      <w:r w:rsidR="00AC4FB3">
        <w:rPr>
          <w:rFonts w:ascii="Times New Roman" w:hAnsi="Times New Roman" w:cs="Times New Roman"/>
          <w:sz w:val="24"/>
          <w:szCs w:val="24"/>
          <w:lang w:val="en-US"/>
        </w:rPr>
        <w:t>rates</w:t>
      </w:r>
      <w:r w:rsidRPr="00280805">
        <w:rPr>
          <w:rFonts w:ascii="Times New Roman" w:hAnsi="Times New Roman" w:cs="Times New Roman"/>
          <w:sz w:val="24"/>
          <w:szCs w:val="24"/>
          <w:lang w:val="en-US"/>
        </w:rPr>
        <w:t xml:space="preserve">. The negative impact of austerity </w:t>
      </w:r>
      <w:r w:rsidR="00AC4FB3">
        <w:rPr>
          <w:rFonts w:ascii="Times New Roman" w:hAnsi="Times New Roman" w:cs="Times New Roman"/>
          <w:sz w:val="24"/>
          <w:szCs w:val="24"/>
          <w:lang w:val="en-US"/>
        </w:rPr>
        <w:t xml:space="preserve">measures </w:t>
      </w:r>
      <w:r w:rsidRPr="00280805">
        <w:rPr>
          <w:rFonts w:ascii="Times New Roman" w:hAnsi="Times New Roman" w:cs="Times New Roman"/>
          <w:sz w:val="24"/>
          <w:szCs w:val="24"/>
          <w:lang w:val="en-US"/>
        </w:rPr>
        <w:t xml:space="preserve">on health indicators in both countries </w:t>
      </w:r>
      <w:r w:rsidR="004820ED">
        <w:rPr>
          <w:rFonts w:ascii="Times New Roman" w:hAnsi="Times New Roman" w:cs="Times New Roman"/>
          <w:sz w:val="24"/>
          <w:szCs w:val="24"/>
          <w:lang w:val="en-US"/>
        </w:rPr>
        <w:t xml:space="preserve">has </w:t>
      </w:r>
      <w:r w:rsidR="00AC4FB3">
        <w:rPr>
          <w:rFonts w:ascii="Times New Roman" w:hAnsi="Times New Roman" w:cs="Times New Roman"/>
          <w:sz w:val="24"/>
          <w:szCs w:val="24"/>
          <w:lang w:val="en-US"/>
        </w:rPr>
        <w:t>led</w:t>
      </w:r>
      <w:r w:rsidRPr="00280805">
        <w:rPr>
          <w:rFonts w:ascii="Times New Roman" w:hAnsi="Times New Roman" w:cs="Times New Roman"/>
          <w:sz w:val="24"/>
          <w:szCs w:val="24"/>
          <w:lang w:val="en-US"/>
        </w:rPr>
        <w:t xml:space="preserve"> to </w:t>
      </w:r>
      <w:r w:rsidR="00AC4FB3">
        <w:rPr>
          <w:rFonts w:ascii="Times New Roman" w:hAnsi="Times New Roman" w:cs="Times New Roman"/>
          <w:sz w:val="24"/>
          <w:szCs w:val="24"/>
          <w:lang w:val="en-US"/>
        </w:rPr>
        <w:t>an</w:t>
      </w:r>
      <w:r w:rsidRPr="00280805">
        <w:rPr>
          <w:rFonts w:ascii="Times New Roman" w:hAnsi="Times New Roman" w:cs="Times New Roman"/>
          <w:sz w:val="24"/>
          <w:szCs w:val="24"/>
          <w:lang w:val="en-US"/>
        </w:rPr>
        <w:t xml:space="preserve"> increase in suicides, infant mortality, </w:t>
      </w:r>
      <w:r w:rsidR="00AC4FB3">
        <w:rPr>
          <w:rFonts w:ascii="Times New Roman" w:hAnsi="Times New Roman" w:cs="Times New Roman"/>
          <w:sz w:val="24"/>
          <w:szCs w:val="24"/>
          <w:lang w:val="en-US"/>
        </w:rPr>
        <w:t>prevalence</w:t>
      </w:r>
      <w:r w:rsidRPr="00280805">
        <w:rPr>
          <w:rFonts w:ascii="Times New Roman" w:hAnsi="Times New Roman" w:cs="Times New Roman"/>
          <w:sz w:val="24"/>
          <w:szCs w:val="24"/>
          <w:lang w:val="en-US"/>
        </w:rPr>
        <w:t xml:space="preserve"> of AIDS and the </w:t>
      </w:r>
      <w:r w:rsidR="00AC4FB3">
        <w:rPr>
          <w:rFonts w:ascii="Times New Roman" w:hAnsi="Times New Roman" w:cs="Times New Roman"/>
          <w:sz w:val="24"/>
          <w:szCs w:val="24"/>
          <w:lang w:val="en-US"/>
        </w:rPr>
        <w:t xml:space="preserve">proportion </w:t>
      </w:r>
      <w:r w:rsidRPr="00280805">
        <w:rPr>
          <w:rFonts w:ascii="Times New Roman" w:hAnsi="Times New Roman" w:cs="Times New Roman"/>
          <w:sz w:val="24"/>
          <w:szCs w:val="24"/>
          <w:lang w:val="en-US"/>
        </w:rPr>
        <w:t xml:space="preserve">of </w:t>
      </w:r>
      <w:r w:rsidR="00AC4FB3">
        <w:rPr>
          <w:rFonts w:ascii="Times New Roman" w:hAnsi="Times New Roman" w:cs="Times New Roman"/>
          <w:sz w:val="24"/>
          <w:szCs w:val="24"/>
          <w:lang w:val="en-US"/>
        </w:rPr>
        <w:t xml:space="preserve">self-reported </w:t>
      </w:r>
      <w:r w:rsidRPr="00280805">
        <w:rPr>
          <w:rFonts w:ascii="Times New Roman" w:hAnsi="Times New Roman" w:cs="Times New Roman"/>
          <w:sz w:val="24"/>
          <w:szCs w:val="24"/>
          <w:lang w:val="en-US"/>
        </w:rPr>
        <w:t>unmet healthcare needs.</w:t>
      </w:r>
    </w:p>
    <w:p w:rsidR="003A6B5F" w:rsidRPr="00280805" w:rsidRDefault="003A6B5F" w:rsidP="00B67AE8">
      <w:pPr>
        <w:spacing w:after="0"/>
        <w:ind w:firstLine="567"/>
        <w:jc w:val="both"/>
        <w:rPr>
          <w:rFonts w:ascii="Times New Roman" w:hAnsi="Times New Roman" w:cs="Times New Roman"/>
          <w:sz w:val="24"/>
          <w:szCs w:val="24"/>
          <w:lang w:val="en-US"/>
        </w:rPr>
      </w:pPr>
      <w:r w:rsidRPr="00280805">
        <w:rPr>
          <w:rFonts w:ascii="Times New Roman" w:hAnsi="Times New Roman" w:cs="Times New Roman"/>
          <w:sz w:val="24"/>
          <w:szCs w:val="24"/>
          <w:lang w:val="en-US"/>
        </w:rPr>
        <w:t xml:space="preserve">The Granados and Rodriguez </w:t>
      </w:r>
      <w:r w:rsidR="00AC4FB3">
        <w:rPr>
          <w:rFonts w:ascii="Times New Roman" w:hAnsi="Times New Roman" w:cs="Times New Roman"/>
          <w:sz w:val="24"/>
          <w:szCs w:val="24"/>
          <w:lang w:val="en-US"/>
        </w:rPr>
        <w:t xml:space="preserve">study examines </w:t>
      </w:r>
      <w:r w:rsidRPr="00280805">
        <w:rPr>
          <w:rFonts w:ascii="Times New Roman" w:hAnsi="Times New Roman" w:cs="Times New Roman"/>
          <w:sz w:val="24"/>
          <w:szCs w:val="24"/>
          <w:lang w:val="en-US"/>
        </w:rPr>
        <w:t xml:space="preserve">the overestimation of the </w:t>
      </w:r>
      <w:r w:rsidR="00AC4FB3">
        <w:rPr>
          <w:rFonts w:ascii="Times New Roman" w:hAnsi="Times New Roman" w:cs="Times New Roman"/>
          <w:sz w:val="24"/>
          <w:szCs w:val="24"/>
          <w:lang w:val="en-US"/>
        </w:rPr>
        <w:t xml:space="preserve">impact of recession on </w:t>
      </w:r>
      <w:r w:rsidRPr="00280805">
        <w:rPr>
          <w:rFonts w:ascii="Times New Roman" w:hAnsi="Times New Roman" w:cs="Times New Roman"/>
          <w:sz w:val="24"/>
          <w:szCs w:val="24"/>
          <w:lang w:val="en-US"/>
        </w:rPr>
        <w:t xml:space="preserve">health, </w:t>
      </w:r>
      <w:r w:rsidR="004820ED">
        <w:rPr>
          <w:rFonts w:ascii="Times New Roman" w:hAnsi="Times New Roman" w:cs="Times New Roman"/>
          <w:sz w:val="24"/>
          <w:szCs w:val="24"/>
          <w:lang w:val="en-US"/>
        </w:rPr>
        <w:t xml:space="preserve">unequally </w:t>
      </w:r>
      <w:r w:rsidRPr="00280805">
        <w:rPr>
          <w:rFonts w:ascii="Times New Roman" w:hAnsi="Times New Roman" w:cs="Times New Roman"/>
          <w:sz w:val="24"/>
          <w:szCs w:val="24"/>
          <w:lang w:val="en-US"/>
        </w:rPr>
        <w:t>comparing countries such as Greece</w:t>
      </w:r>
      <w:r w:rsidR="004820ED">
        <w:rPr>
          <w:rFonts w:ascii="Times New Roman" w:hAnsi="Times New Roman" w:cs="Times New Roman"/>
          <w:sz w:val="24"/>
          <w:szCs w:val="24"/>
          <w:lang w:val="en-US"/>
        </w:rPr>
        <w:t>,</w:t>
      </w:r>
      <w:r w:rsidR="0016296C">
        <w:rPr>
          <w:rFonts w:ascii="Times New Roman" w:hAnsi="Times New Roman" w:cs="Times New Roman"/>
          <w:sz w:val="24"/>
          <w:szCs w:val="24"/>
          <w:lang w:val="en-US"/>
        </w:rPr>
        <w:t xml:space="preserve"> </w:t>
      </w:r>
      <w:r w:rsidR="00830C34">
        <w:rPr>
          <w:rFonts w:ascii="Times New Roman" w:hAnsi="Times New Roman" w:cs="Times New Roman"/>
          <w:sz w:val="24"/>
          <w:szCs w:val="24"/>
          <w:lang w:val="en-US"/>
        </w:rPr>
        <w:t xml:space="preserve">which </w:t>
      </w:r>
      <w:r w:rsidR="00AC4FB3">
        <w:rPr>
          <w:rFonts w:ascii="Times New Roman" w:hAnsi="Times New Roman" w:cs="Times New Roman"/>
          <w:sz w:val="24"/>
          <w:szCs w:val="24"/>
          <w:lang w:val="en-US"/>
        </w:rPr>
        <w:t xml:space="preserve">is subject to </w:t>
      </w:r>
      <w:r w:rsidRPr="00280805">
        <w:rPr>
          <w:rFonts w:ascii="Times New Roman" w:hAnsi="Times New Roman" w:cs="Times New Roman"/>
          <w:sz w:val="24"/>
          <w:szCs w:val="24"/>
          <w:lang w:val="en-US"/>
        </w:rPr>
        <w:t>austerity measures, with Iceland and Finland</w:t>
      </w:r>
      <w:r w:rsidR="004820ED">
        <w:rPr>
          <w:rFonts w:ascii="Times New Roman" w:hAnsi="Times New Roman" w:cs="Times New Roman"/>
          <w:sz w:val="24"/>
          <w:szCs w:val="24"/>
          <w:lang w:val="en-US"/>
        </w:rPr>
        <w:t xml:space="preserve">, which </w:t>
      </w:r>
      <w:r w:rsidR="00830C34">
        <w:rPr>
          <w:rFonts w:ascii="Times New Roman" w:hAnsi="Times New Roman" w:cs="Times New Roman"/>
          <w:sz w:val="24"/>
          <w:szCs w:val="24"/>
          <w:lang w:val="en-US"/>
        </w:rPr>
        <w:t>have not adopted</w:t>
      </w:r>
      <w:r w:rsidRPr="00280805">
        <w:rPr>
          <w:rFonts w:ascii="Times New Roman" w:hAnsi="Times New Roman" w:cs="Times New Roman"/>
          <w:sz w:val="24"/>
          <w:szCs w:val="24"/>
          <w:lang w:val="en-US"/>
        </w:rPr>
        <w:t xml:space="preserve"> austerity measures. Finally, the study shows </w:t>
      </w:r>
      <w:r w:rsidR="00830C34">
        <w:rPr>
          <w:rFonts w:ascii="Times New Roman" w:hAnsi="Times New Roman" w:cs="Times New Roman"/>
          <w:sz w:val="24"/>
          <w:szCs w:val="24"/>
          <w:lang w:val="en-US"/>
        </w:rPr>
        <w:t xml:space="preserve">the </w:t>
      </w:r>
      <w:r w:rsidRPr="00280805">
        <w:rPr>
          <w:rFonts w:ascii="Times New Roman" w:hAnsi="Times New Roman" w:cs="Times New Roman"/>
          <w:sz w:val="24"/>
          <w:szCs w:val="24"/>
          <w:lang w:val="en-US"/>
        </w:rPr>
        <w:t xml:space="preserve">health expenditure </w:t>
      </w:r>
      <w:r w:rsidR="00830C34" w:rsidRPr="00280805">
        <w:rPr>
          <w:rFonts w:ascii="Times New Roman" w:hAnsi="Times New Roman" w:cs="Times New Roman"/>
          <w:sz w:val="24"/>
          <w:szCs w:val="24"/>
          <w:lang w:val="en-US"/>
        </w:rPr>
        <w:t xml:space="preserve">per capita </w:t>
      </w:r>
      <w:r w:rsidRPr="00280805">
        <w:rPr>
          <w:rFonts w:ascii="Times New Roman" w:hAnsi="Times New Roman" w:cs="Times New Roman"/>
          <w:sz w:val="24"/>
          <w:szCs w:val="24"/>
          <w:lang w:val="en-US"/>
        </w:rPr>
        <w:t xml:space="preserve">relative to GDP in both countries, and the correlation of the negative impact on health indicators </w:t>
      </w:r>
      <w:r w:rsidR="00E05159">
        <w:rPr>
          <w:rFonts w:ascii="Times New Roman" w:hAnsi="Times New Roman" w:cs="Times New Roman"/>
          <w:sz w:val="24"/>
          <w:szCs w:val="24"/>
          <w:lang w:val="en-US"/>
        </w:rPr>
        <w:t>following the cuts imposed by</w:t>
      </w:r>
      <w:r w:rsidRPr="00280805">
        <w:rPr>
          <w:rFonts w:ascii="Times New Roman" w:hAnsi="Times New Roman" w:cs="Times New Roman"/>
          <w:sz w:val="24"/>
          <w:szCs w:val="24"/>
          <w:lang w:val="en-US"/>
        </w:rPr>
        <w:t xml:space="preserve"> austerity </w:t>
      </w:r>
      <w:r w:rsidR="00E05159">
        <w:rPr>
          <w:rFonts w:ascii="Times New Roman" w:hAnsi="Times New Roman" w:cs="Times New Roman"/>
          <w:sz w:val="24"/>
          <w:szCs w:val="24"/>
          <w:lang w:val="en-US"/>
        </w:rPr>
        <w:t>measures</w:t>
      </w:r>
      <w:r w:rsidRPr="00280805">
        <w:rPr>
          <w:rFonts w:ascii="Times New Roman" w:hAnsi="Times New Roman" w:cs="Times New Roman"/>
          <w:sz w:val="24"/>
          <w:szCs w:val="24"/>
          <w:lang w:val="en-US"/>
        </w:rPr>
        <w:t>.</w:t>
      </w:r>
    </w:p>
    <w:p w:rsidR="00B67AE8" w:rsidRPr="003A6B5F" w:rsidRDefault="00B67AE8" w:rsidP="00B67AE8">
      <w:pPr>
        <w:spacing w:after="0"/>
        <w:jc w:val="both"/>
        <w:rPr>
          <w:rFonts w:ascii="Times New Roman" w:hAnsi="Times New Roman" w:cs="Times New Roman"/>
          <w:sz w:val="24"/>
          <w:szCs w:val="24"/>
          <w:lang w:val="en-US"/>
        </w:rPr>
      </w:pPr>
    </w:p>
    <w:p w:rsidR="00B67AE8" w:rsidRPr="00FA2D33" w:rsidRDefault="00B67AE8" w:rsidP="00B67AE8">
      <w:pPr>
        <w:spacing w:after="0"/>
        <w:jc w:val="both"/>
        <w:rPr>
          <w:rFonts w:ascii="Times New Roman" w:hAnsi="Times New Roman" w:cs="Times New Roman"/>
          <w:sz w:val="24"/>
          <w:szCs w:val="24"/>
          <w:lang w:val="en-US"/>
        </w:rPr>
      </w:pPr>
      <w:proofErr w:type="gramStart"/>
      <w:r w:rsidRPr="00FA2D33">
        <w:rPr>
          <w:rFonts w:ascii="Times New Roman" w:hAnsi="Times New Roman" w:cs="Times New Roman"/>
          <w:b/>
          <w:sz w:val="30"/>
          <w:szCs w:val="30"/>
          <w:lang w:val="en-US"/>
        </w:rPr>
        <w:t>Acknowledgements.</w:t>
      </w:r>
      <w:proofErr w:type="gramEnd"/>
      <w:r w:rsidRPr="00FA2D33">
        <w:rPr>
          <w:rFonts w:ascii="Times New Roman" w:hAnsi="Times New Roman" w:cs="Times New Roman"/>
          <w:b/>
          <w:sz w:val="30"/>
          <w:szCs w:val="30"/>
          <w:lang w:val="en-US"/>
        </w:rPr>
        <w:t xml:space="preserve"> </w:t>
      </w:r>
      <w:r w:rsidRPr="00FA2D33">
        <w:rPr>
          <w:rFonts w:ascii="Times New Roman" w:hAnsi="Times New Roman" w:cs="Times New Roman"/>
          <w:sz w:val="24"/>
          <w:szCs w:val="24"/>
          <w:lang w:val="en-US"/>
        </w:rPr>
        <w:t>The authors have no funding or conflicts of interest to disclose.</w:t>
      </w:r>
    </w:p>
    <w:p w:rsidR="00B67AE8" w:rsidRPr="00F133CA" w:rsidRDefault="00B67AE8" w:rsidP="00B67AE8">
      <w:pPr>
        <w:spacing w:after="0"/>
        <w:jc w:val="both"/>
        <w:rPr>
          <w:rFonts w:ascii="Times New Roman" w:hAnsi="Times New Roman" w:cs="Times New Roman"/>
          <w:b/>
          <w:sz w:val="24"/>
          <w:szCs w:val="24"/>
          <w:lang w:val="en-US"/>
        </w:rPr>
      </w:pPr>
    </w:p>
    <w:p w:rsidR="00B67AE8" w:rsidRPr="00F133CA" w:rsidRDefault="00B67AE8" w:rsidP="00B67AE8">
      <w:pPr>
        <w:spacing w:after="0"/>
        <w:jc w:val="both"/>
        <w:rPr>
          <w:rFonts w:ascii="Times New Roman" w:hAnsi="Times New Roman" w:cs="Times New Roman"/>
          <w:b/>
          <w:sz w:val="24"/>
          <w:szCs w:val="24"/>
          <w:lang w:val="en-US"/>
        </w:rPr>
      </w:pPr>
    </w:p>
    <w:p w:rsidR="00B67AE8" w:rsidRPr="0093023F" w:rsidRDefault="008D1DA9" w:rsidP="00B67AE8">
      <w:pPr>
        <w:spacing w:after="0"/>
        <w:jc w:val="both"/>
        <w:rPr>
          <w:rStyle w:val="a5"/>
          <w:rFonts w:ascii="Times New Roman" w:hAnsi="Times New Roman" w:cs="Times New Roman"/>
          <w:b/>
          <w:color w:val="auto"/>
          <w:sz w:val="24"/>
          <w:szCs w:val="24"/>
          <w:u w:val="none"/>
          <w:lang w:val="en-US"/>
        </w:rPr>
      </w:pPr>
      <w:r w:rsidRPr="00FA2D33">
        <w:rPr>
          <w:rFonts w:ascii="Times New Roman" w:hAnsi="Times New Roman" w:cs="Times New Roman"/>
          <w:b/>
          <w:bCs/>
          <w:sz w:val="30"/>
          <w:szCs w:val="30"/>
          <w:lang w:val="en-US"/>
        </w:rPr>
        <w:t>References</w:t>
      </w:r>
    </w:p>
    <w:p w:rsidR="00B0193C" w:rsidRPr="00B0193C" w:rsidRDefault="00B67AE8" w:rsidP="0093023F">
      <w:pPr>
        <w:pStyle w:val="a3"/>
        <w:numPr>
          <w:ilvl w:val="0"/>
          <w:numId w:val="4"/>
        </w:numPr>
        <w:spacing w:after="0"/>
        <w:ind w:left="426" w:hanging="426"/>
        <w:jc w:val="both"/>
        <w:rPr>
          <w:rFonts w:ascii="Times New Roman" w:hAnsi="Times New Roman" w:cs="Times New Roman"/>
          <w:sz w:val="24"/>
          <w:szCs w:val="24"/>
          <w:lang w:val="en-US"/>
        </w:rPr>
      </w:pPr>
      <w:r w:rsidRPr="00B0193C">
        <w:rPr>
          <w:rFonts w:ascii="Times New Roman" w:hAnsi="Times New Roman" w:cs="Times New Roman"/>
          <w:sz w:val="24"/>
          <w:szCs w:val="24"/>
          <w:lang w:val="en-US"/>
        </w:rPr>
        <w:t xml:space="preserve">E. </w:t>
      </w:r>
      <w:proofErr w:type="spellStart"/>
      <w:r w:rsidRPr="00B0193C">
        <w:rPr>
          <w:rFonts w:ascii="Times New Roman" w:hAnsi="Times New Roman" w:cs="Times New Roman"/>
          <w:sz w:val="24"/>
          <w:szCs w:val="24"/>
          <w:lang w:val="en-US"/>
        </w:rPr>
        <w:t>Ioannidi</w:t>
      </w:r>
      <w:proofErr w:type="spellEnd"/>
      <w:r w:rsidR="00B616C4" w:rsidRPr="00B0193C">
        <w:rPr>
          <w:rFonts w:ascii="Times New Roman" w:hAnsi="Times New Roman" w:cs="Times New Roman"/>
          <w:sz w:val="24"/>
          <w:szCs w:val="24"/>
          <w:lang w:val="en-US"/>
        </w:rPr>
        <w:t xml:space="preserve"> </w:t>
      </w:r>
      <w:r w:rsidRPr="00B0193C">
        <w:rPr>
          <w:rFonts w:ascii="Times New Roman" w:hAnsi="Times New Roman" w:cs="Times New Roman"/>
          <w:sz w:val="24"/>
          <w:szCs w:val="24"/>
          <w:lang w:val="en-US"/>
        </w:rPr>
        <w:t xml:space="preserve">&amp; P. Manti, </w:t>
      </w:r>
      <w:r w:rsidRPr="007A1E96">
        <w:rPr>
          <w:rFonts w:ascii="Times New Roman" w:hAnsi="Times New Roman" w:cs="Times New Roman"/>
          <w:i/>
          <w:sz w:val="24"/>
          <w:szCs w:val="24"/>
          <w:lang w:val="en-US"/>
        </w:rPr>
        <w:t>Health Determinants</w:t>
      </w:r>
      <w:r w:rsidRPr="00B0193C">
        <w:rPr>
          <w:rFonts w:ascii="Times New Roman" w:hAnsi="Times New Roman" w:cs="Times New Roman"/>
          <w:sz w:val="24"/>
          <w:szCs w:val="24"/>
          <w:lang w:val="en-US"/>
        </w:rPr>
        <w:t xml:space="preserve">. </w:t>
      </w:r>
      <w:r w:rsidR="00B0193C" w:rsidRPr="007A1E96">
        <w:rPr>
          <w:rFonts w:ascii="Times New Roman" w:hAnsi="Times New Roman" w:cs="Times New Roman"/>
          <w:i/>
          <w:iCs/>
          <w:sz w:val="24"/>
          <w:szCs w:val="24"/>
          <w:lang w:val="en-US"/>
        </w:rPr>
        <w:t>Health Care Services/</w:t>
      </w:r>
      <w:r w:rsidRPr="007A1E96">
        <w:rPr>
          <w:rFonts w:ascii="Times New Roman" w:hAnsi="Times New Roman" w:cs="Times New Roman"/>
          <w:i/>
          <w:iCs/>
          <w:sz w:val="24"/>
          <w:szCs w:val="24"/>
          <w:lang w:val="en-US"/>
        </w:rPr>
        <w:t>Hospitals: Peculiarities and Challenges</w:t>
      </w:r>
      <w:r w:rsidRPr="007A1E96">
        <w:rPr>
          <w:rFonts w:ascii="Times New Roman" w:hAnsi="Times New Roman" w:cs="Times New Roman"/>
          <w:i/>
          <w:sz w:val="24"/>
          <w:szCs w:val="24"/>
          <w:lang w:val="en-US"/>
        </w:rPr>
        <w:t>,</w:t>
      </w:r>
      <w:r w:rsidRPr="00B0193C">
        <w:rPr>
          <w:rFonts w:ascii="Times New Roman" w:hAnsi="Times New Roman" w:cs="Times New Roman"/>
          <w:sz w:val="24"/>
          <w:szCs w:val="24"/>
          <w:lang w:val="en-US"/>
        </w:rPr>
        <w:t xml:space="preserve"> Hellenic Open University, 1999</w:t>
      </w:r>
      <w:r w:rsidR="00B0193C" w:rsidRPr="00B0193C">
        <w:rPr>
          <w:rFonts w:ascii="Times New Roman" w:hAnsi="Times New Roman" w:cs="Times New Roman"/>
          <w:sz w:val="24"/>
          <w:szCs w:val="24"/>
          <w:lang w:val="en-US"/>
        </w:rPr>
        <w:t>.</w:t>
      </w:r>
      <w:r w:rsidR="00B616C4" w:rsidRPr="00B0193C">
        <w:rPr>
          <w:rFonts w:ascii="Times New Roman" w:hAnsi="Times New Roman" w:cs="Times New Roman"/>
          <w:sz w:val="24"/>
          <w:szCs w:val="24"/>
          <w:lang w:val="en-US"/>
        </w:rPr>
        <w:t xml:space="preserve"> </w:t>
      </w:r>
    </w:p>
    <w:p w:rsidR="007A1E96" w:rsidRPr="007A1E96" w:rsidRDefault="00B67AE8" w:rsidP="007A1E96">
      <w:pPr>
        <w:pStyle w:val="a3"/>
        <w:numPr>
          <w:ilvl w:val="0"/>
          <w:numId w:val="4"/>
        </w:numPr>
        <w:spacing w:after="0"/>
        <w:ind w:left="426" w:hanging="426"/>
        <w:jc w:val="both"/>
        <w:rPr>
          <w:rFonts w:ascii="Times New Roman" w:hAnsi="Times New Roman" w:cs="Times New Roman"/>
          <w:sz w:val="24"/>
          <w:szCs w:val="24"/>
          <w:lang w:val="en-US"/>
        </w:rPr>
      </w:pPr>
      <w:r w:rsidRPr="00B0193C">
        <w:rPr>
          <w:rFonts w:ascii="Times New Roman" w:hAnsi="Times New Roman" w:cs="Times New Roman"/>
          <w:sz w:val="24"/>
          <w:szCs w:val="24"/>
          <w:lang w:val="en-US"/>
        </w:rPr>
        <w:t xml:space="preserve">European Commission. Public health–Health indicators, </w:t>
      </w:r>
      <w:hyperlink r:id="rId33">
        <w:r w:rsidRPr="00B0193C">
          <w:rPr>
            <w:rStyle w:val="a5"/>
            <w:rFonts w:ascii="Times New Roman" w:hAnsi="Times New Roman" w:cs="Times New Roman"/>
            <w:sz w:val="24"/>
            <w:szCs w:val="24"/>
            <w:lang w:val="en-US"/>
          </w:rPr>
          <w:t>http://ec.europa.eu/index_el.htm</w:t>
        </w:r>
      </w:hyperlink>
      <w:r w:rsidRPr="00B0193C">
        <w:rPr>
          <w:rFonts w:ascii="Times New Roman" w:hAnsi="Times New Roman" w:cs="Times New Roman"/>
          <w:sz w:val="24"/>
          <w:szCs w:val="24"/>
          <w:lang w:val="en-US"/>
        </w:rPr>
        <w:t xml:space="preserve">, </w:t>
      </w:r>
      <w:r w:rsidR="000C2BD0" w:rsidRPr="00B0193C">
        <w:rPr>
          <w:rFonts w:ascii="Times New Roman" w:hAnsi="Times New Roman" w:cs="Times New Roman"/>
          <w:sz w:val="24"/>
          <w:szCs w:val="24"/>
          <w:lang w:val="en-US"/>
        </w:rPr>
        <w:t>(a</w:t>
      </w:r>
      <w:r w:rsidRPr="00B0193C">
        <w:rPr>
          <w:rFonts w:ascii="Times New Roman" w:hAnsi="Times New Roman" w:cs="Times New Roman"/>
          <w:sz w:val="24"/>
          <w:szCs w:val="24"/>
          <w:lang w:val="en-US"/>
        </w:rPr>
        <w:t>ccessed November 15, 2016</w:t>
      </w:r>
      <w:r w:rsidR="000C2BD0" w:rsidRPr="00B0193C">
        <w:rPr>
          <w:rFonts w:ascii="Times New Roman" w:hAnsi="Times New Roman" w:cs="Times New Roman"/>
          <w:sz w:val="24"/>
          <w:szCs w:val="24"/>
          <w:lang w:val="en-US"/>
        </w:rPr>
        <w:t>)</w:t>
      </w:r>
      <w:r w:rsidRPr="00B0193C">
        <w:rPr>
          <w:rFonts w:ascii="Times New Roman" w:hAnsi="Times New Roman" w:cs="Times New Roman"/>
          <w:sz w:val="24"/>
          <w:szCs w:val="24"/>
          <w:lang w:val="en-US"/>
        </w:rPr>
        <w:t>.</w:t>
      </w:r>
    </w:p>
    <w:p w:rsidR="00B67AE8" w:rsidRPr="007A1E96" w:rsidRDefault="00B67AE8" w:rsidP="007A1E96">
      <w:pPr>
        <w:pStyle w:val="a3"/>
        <w:numPr>
          <w:ilvl w:val="0"/>
          <w:numId w:val="4"/>
        </w:numPr>
        <w:spacing w:after="0"/>
        <w:ind w:left="426" w:hanging="426"/>
        <w:jc w:val="both"/>
        <w:rPr>
          <w:rFonts w:ascii="Times New Roman" w:hAnsi="Times New Roman" w:cs="Times New Roman"/>
          <w:sz w:val="24"/>
          <w:szCs w:val="24"/>
          <w:lang w:val="en-US"/>
        </w:rPr>
      </w:pPr>
      <w:r w:rsidRPr="007A1E96">
        <w:rPr>
          <w:rFonts w:ascii="Times New Roman" w:hAnsi="Times New Roman" w:cs="Times New Roman"/>
          <w:color w:val="222222"/>
          <w:sz w:val="24"/>
          <w:szCs w:val="24"/>
          <w:highlight w:val="white"/>
          <w:lang w:val="en-US"/>
        </w:rPr>
        <w:t xml:space="preserve">M. </w:t>
      </w:r>
      <w:proofErr w:type="spellStart"/>
      <w:r w:rsidRPr="007A1E96">
        <w:rPr>
          <w:rFonts w:ascii="Times New Roman" w:hAnsi="Times New Roman" w:cs="Times New Roman"/>
          <w:color w:val="222222"/>
          <w:sz w:val="24"/>
          <w:szCs w:val="24"/>
          <w:highlight w:val="white"/>
          <w:lang w:val="en-US"/>
        </w:rPr>
        <w:t>Karanikolos</w:t>
      </w:r>
      <w:proofErr w:type="spellEnd"/>
      <w:r w:rsidRPr="007A1E96">
        <w:rPr>
          <w:rFonts w:ascii="Times New Roman" w:hAnsi="Times New Roman" w:cs="Times New Roman"/>
          <w:color w:val="222222"/>
          <w:sz w:val="24"/>
          <w:szCs w:val="24"/>
          <w:highlight w:val="white"/>
          <w:lang w:val="en-US"/>
        </w:rPr>
        <w:t xml:space="preserve">, P. </w:t>
      </w:r>
      <w:proofErr w:type="spellStart"/>
      <w:r w:rsidRPr="007A1E96">
        <w:rPr>
          <w:rFonts w:ascii="Times New Roman" w:hAnsi="Times New Roman" w:cs="Times New Roman"/>
          <w:color w:val="222222"/>
          <w:sz w:val="24"/>
          <w:szCs w:val="24"/>
          <w:highlight w:val="white"/>
          <w:lang w:val="en-US"/>
        </w:rPr>
        <w:t>Mladovsky</w:t>
      </w:r>
      <w:proofErr w:type="spellEnd"/>
      <w:r w:rsidRPr="007A1E96">
        <w:rPr>
          <w:rFonts w:ascii="Times New Roman" w:hAnsi="Times New Roman" w:cs="Times New Roman"/>
          <w:color w:val="222222"/>
          <w:sz w:val="24"/>
          <w:szCs w:val="24"/>
          <w:highlight w:val="white"/>
          <w:lang w:val="en-US"/>
        </w:rPr>
        <w:t xml:space="preserve">, J. </w:t>
      </w:r>
      <w:proofErr w:type="spellStart"/>
      <w:r w:rsidRPr="007A1E96">
        <w:rPr>
          <w:rFonts w:ascii="Times New Roman" w:hAnsi="Times New Roman" w:cs="Times New Roman"/>
          <w:color w:val="222222"/>
          <w:sz w:val="24"/>
          <w:szCs w:val="24"/>
          <w:highlight w:val="white"/>
          <w:lang w:val="en-US"/>
        </w:rPr>
        <w:t>Cylus</w:t>
      </w:r>
      <w:proofErr w:type="spellEnd"/>
      <w:r w:rsidRPr="007A1E96">
        <w:rPr>
          <w:rFonts w:ascii="Times New Roman" w:hAnsi="Times New Roman" w:cs="Times New Roman"/>
          <w:color w:val="222222"/>
          <w:sz w:val="24"/>
          <w:szCs w:val="24"/>
          <w:highlight w:val="white"/>
          <w:lang w:val="en-US"/>
        </w:rPr>
        <w:t xml:space="preserve">, S. Thomson, S. </w:t>
      </w:r>
      <w:proofErr w:type="spellStart"/>
      <w:r w:rsidRPr="007A1E96">
        <w:rPr>
          <w:rFonts w:ascii="Times New Roman" w:hAnsi="Times New Roman" w:cs="Times New Roman"/>
          <w:color w:val="222222"/>
          <w:sz w:val="24"/>
          <w:szCs w:val="24"/>
          <w:highlight w:val="white"/>
          <w:lang w:val="en-US"/>
        </w:rPr>
        <w:t>Basu</w:t>
      </w:r>
      <w:proofErr w:type="spellEnd"/>
      <w:r w:rsidRPr="007A1E96">
        <w:rPr>
          <w:rFonts w:ascii="Times New Roman" w:hAnsi="Times New Roman" w:cs="Times New Roman"/>
          <w:color w:val="222222"/>
          <w:sz w:val="24"/>
          <w:szCs w:val="24"/>
          <w:highlight w:val="white"/>
          <w:lang w:val="en-US"/>
        </w:rPr>
        <w:t xml:space="preserve">, D. </w:t>
      </w:r>
      <w:proofErr w:type="spellStart"/>
      <w:r w:rsidRPr="007A1E96">
        <w:rPr>
          <w:rFonts w:ascii="Times New Roman" w:hAnsi="Times New Roman" w:cs="Times New Roman"/>
          <w:color w:val="222222"/>
          <w:sz w:val="24"/>
          <w:szCs w:val="24"/>
          <w:highlight w:val="white"/>
          <w:lang w:val="en-US"/>
        </w:rPr>
        <w:t>Stuckler</w:t>
      </w:r>
      <w:proofErr w:type="spellEnd"/>
      <w:r w:rsidRPr="007A1E96">
        <w:rPr>
          <w:rFonts w:ascii="Times New Roman" w:hAnsi="Times New Roman" w:cs="Times New Roman"/>
          <w:color w:val="222222"/>
          <w:sz w:val="24"/>
          <w:szCs w:val="24"/>
          <w:highlight w:val="white"/>
          <w:lang w:val="en-US"/>
        </w:rPr>
        <w:t>,</w:t>
      </w:r>
      <w:r w:rsidR="00B616C4" w:rsidRPr="007A1E96">
        <w:rPr>
          <w:rFonts w:ascii="Times New Roman" w:hAnsi="Times New Roman" w:cs="Times New Roman"/>
          <w:color w:val="222222"/>
          <w:sz w:val="24"/>
          <w:szCs w:val="24"/>
          <w:highlight w:val="white"/>
          <w:lang w:val="en-US"/>
        </w:rPr>
        <w:t xml:space="preserve"> </w:t>
      </w:r>
      <w:proofErr w:type="spellStart"/>
      <w:r w:rsidR="00B616C4" w:rsidRPr="007A1E96">
        <w:rPr>
          <w:rFonts w:ascii="Times New Roman" w:hAnsi="Times New Roman" w:cs="Times New Roman"/>
          <w:color w:val="222222"/>
          <w:sz w:val="24"/>
          <w:szCs w:val="24"/>
          <w:highlight w:val="white"/>
          <w:lang w:val="en-US"/>
        </w:rPr>
        <w:t>Mackenbach</w:t>
      </w:r>
      <w:proofErr w:type="spellEnd"/>
      <w:r w:rsidR="00B616C4" w:rsidRPr="007A1E96">
        <w:rPr>
          <w:rFonts w:ascii="Times New Roman" w:hAnsi="Times New Roman" w:cs="Times New Roman"/>
          <w:color w:val="222222"/>
          <w:sz w:val="24"/>
          <w:szCs w:val="24"/>
          <w:highlight w:val="white"/>
          <w:lang w:val="en-US"/>
        </w:rPr>
        <w:t xml:space="preserve"> J.P.</w:t>
      </w:r>
      <w:r w:rsidRPr="007A1E96">
        <w:rPr>
          <w:rFonts w:ascii="Times New Roman" w:hAnsi="Times New Roman" w:cs="Times New Roman"/>
          <w:color w:val="222222"/>
          <w:sz w:val="24"/>
          <w:szCs w:val="24"/>
          <w:highlight w:val="white"/>
          <w:lang w:val="en-US"/>
        </w:rPr>
        <w:t>, M. McKee, Financial crisis, austerity, and health in Europe.</w:t>
      </w:r>
      <w:r w:rsidRPr="007A1E96">
        <w:rPr>
          <w:rStyle w:val="apple-converted-space"/>
          <w:rFonts w:ascii="Times New Roman" w:hAnsi="Times New Roman" w:cs="Times New Roman"/>
          <w:color w:val="222222"/>
          <w:sz w:val="24"/>
          <w:szCs w:val="24"/>
          <w:lang w:val="en-US"/>
        </w:rPr>
        <w:t> </w:t>
      </w:r>
      <w:r w:rsidR="007A1E96" w:rsidRPr="007A1E96">
        <w:rPr>
          <w:rFonts w:ascii="Times New Roman" w:hAnsi="Times New Roman" w:cs="Times New Roman"/>
          <w:i/>
          <w:iCs/>
          <w:color w:val="222222"/>
          <w:sz w:val="24"/>
          <w:szCs w:val="24"/>
          <w:shd w:val="clear" w:color="auto" w:fill="FFFFFF"/>
          <w:lang w:val="en-US"/>
        </w:rPr>
        <w:t>The Lancet</w:t>
      </w:r>
      <w:r w:rsidR="007A1E96" w:rsidRPr="007A1E96">
        <w:rPr>
          <w:rFonts w:ascii="Times New Roman" w:hAnsi="Times New Roman" w:cs="Times New Roman"/>
          <w:color w:val="222222"/>
          <w:sz w:val="24"/>
          <w:szCs w:val="24"/>
          <w:shd w:val="clear" w:color="auto" w:fill="FFFFFF"/>
          <w:lang w:val="en-US"/>
        </w:rPr>
        <w:t>,</w:t>
      </w:r>
      <w:r w:rsidR="007A1E96" w:rsidRPr="007A1E96">
        <w:rPr>
          <w:rStyle w:val="apple-converted-space"/>
          <w:rFonts w:ascii="Times New Roman" w:hAnsi="Times New Roman" w:cs="Times New Roman"/>
          <w:color w:val="222222"/>
          <w:sz w:val="24"/>
          <w:szCs w:val="24"/>
          <w:shd w:val="clear" w:color="auto" w:fill="FFFFFF"/>
          <w:lang w:val="en-US"/>
        </w:rPr>
        <w:t> </w:t>
      </w:r>
      <w:r w:rsidR="007A1E96" w:rsidRPr="007A1E96">
        <w:rPr>
          <w:rFonts w:ascii="Times New Roman" w:hAnsi="Times New Roman" w:cs="Times New Roman"/>
          <w:i/>
          <w:iCs/>
          <w:color w:val="222222"/>
          <w:sz w:val="24"/>
          <w:szCs w:val="24"/>
          <w:shd w:val="clear" w:color="auto" w:fill="FFFFFF"/>
          <w:lang w:val="en-US"/>
        </w:rPr>
        <w:t>381</w:t>
      </w:r>
      <w:r w:rsidR="007A1E96" w:rsidRPr="007A1E96">
        <w:rPr>
          <w:rFonts w:ascii="Times New Roman" w:hAnsi="Times New Roman" w:cs="Times New Roman"/>
          <w:color w:val="222222"/>
          <w:sz w:val="24"/>
          <w:szCs w:val="24"/>
          <w:shd w:val="clear" w:color="auto" w:fill="FFFFFF"/>
          <w:lang w:val="en-US"/>
        </w:rPr>
        <w:t>(9874), (2013), 1323-1331.</w:t>
      </w:r>
    </w:p>
    <w:p w:rsidR="00B67AE8" w:rsidRPr="0093023F" w:rsidRDefault="00B67AE8" w:rsidP="0093023F">
      <w:pPr>
        <w:pStyle w:val="a3"/>
        <w:numPr>
          <w:ilvl w:val="0"/>
          <w:numId w:val="4"/>
        </w:numPr>
        <w:spacing w:after="0"/>
        <w:ind w:left="426" w:hanging="426"/>
        <w:jc w:val="both"/>
        <w:rPr>
          <w:rFonts w:ascii="Times New Roman" w:hAnsi="Times New Roman" w:cs="Times New Roman"/>
          <w:color w:val="222222"/>
          <w:sz w:val="24"/>
          <w:szCs w:val="24"/>
          <w:lang w:val="en-US"/>
        </w:rPr>
      </w:pPr>
      <w:proofErr w:type="spellStart"/>
      <w:r w:rsidRPr="0093023F">
        <w:rPr>
          <w:rFonts w:ascii="Times New Roman" w:hAnsi="Times New Roman" w:cs="Times New Roman"/>
          <w:sz w:val="24"/>
          <w:szCs w:val="24"/>
          <w:highlight w:val="white"/>
          <w:lang w:val="en-US"/>
        </w:rPr>
        <w:t>M.G.</w:t>
      </w:r>
      <w:proofErr w:type="spellEnd"/>
      <w:r w:rsidRPr="0093023F">
        <w:rPr>
          <w:rFonts w:ascii="Times New Roman" w:hAnsi="Times New Roman" w:cs="Times New Roman"/>
          <w:sz w:val="24"/>
          <w:szCs w:val="24"/>
          <w:highlight w:val="white"/>
          <w:lang w:val="en-US"/>
        </w:rPr>
        <w:t xml:space="preserve"> </w:t>
      </w:r>
      <w:proofErr w:type="spellStart"/>
      <w:r w:rsidRPr="0093023F">
        <w:rPr>
          <w:rFonts w:ascii="Times New Roman" w:hAnsi="Times New Roman" w:cs="Times New Roman"/>
          <w:sz w:val="24"/>
          <w:szCs w:val="24"/>
          <w:highlight w:val="white"/>
          <w:lang w:val="en-US"/>
        </w:rPr>
        <w:t>Marrot</w:t>
      </w:r>
      <w:proofErr w:type="spellEnd"/>
      <w:r w:rsidR="007632AD" w:rsidRPr="0093023F">
        <w:rPr>
          <w:rFonts w:ascii="Times New Roman" w:hAnsi="Times New Roman" w:cs="Times New Roman"/>
          <w:sz w:val="24"/>
          <w:szCs w:val="24"/>
          <w:highlight w:val="white"/>
          <w:lang w:val="en-US"/>
        </w:rPr>
        <w:t xml:space="preserve"> </w:t>
      </w:r>
      <w:r w:rsidRPr="0093023F">
        <w:rPr>
          <w:rFonts w:ascii="Times New Roman" w:hAnsi="Times New Roman" w:cs="Times New Roman"/>
          <w:sz w:val="24"/>
          <w:szCs w:val="24"/>
          <w:highlight w:val="white"/>
          <w:lang w:val="en-US"/>
        </w:rPr>
        <w:t>and</w:t>
      </w:r>
      <w:r w:rsidR="007632AD" w:rsidRPr="0093023F">
        <w:rPr>
          <w:rFonts w:ascii="Times New Roman" w:hAnsi="Times New Roman" w:cs="Times New Roman"/>
          <w:sz w:val="24"/>
          <w:szCs w:val="24"/>
          <w:highlight w:val="white"/>
          <w:lang w:val="en-US"/>
        </w:rPr>
        <w:t xml:space="preserve"> </w:t>
      </w:r>
      <w:proofErr w:type="spellStart"/>
      <w:r w:rsidRPr="0093023F">
        <w:rPr>
          <w:rFonts w:ascii="Times New Roman" w:hAnsi="Times New Roman" w:cs="Times New Roman"/>
          <w:sz w:val="24"/>
          <w:szCs w:val="24"/>
          <w:highlight w:val="white"/>
          <w:lang w:val="en-US"/>
        </w:rPr>
        <w:t>J.N.</w:t>
      </w:r>
      <w:proofErr w:type="spellEnd"/>
      <w:r w:rsidRPr="0093023F">
        <w:rPr>
          <w:rFonts w:ascii="Times New Roman" w:hAnsi="Times New Roman" w:cs="Times New Roman"/>
          <w:sz w:val="24"/>
          <w:szCs w:val="24"/>
          <w:highlight w:val="white"/>
          <w:lang w:val="en-US"/>
        </w:rPr>
        <w:t xml:space="preserve"> Morris,</w:t>
      </w:r>
      <w:r w:rsidR="001354A4" w:rsidRPr="0093023F">
        <w:rPr>
          <w:rFonts w:ascii="Times New Roman" w:hAnsi="Times New Roman" w:cs="Times New Roman"/>
          <w:sz w:val="24"/>
          <w:szCs w:val="24"/>
          <w:highlight w:val="white"/>
          <w:lang w:val="en-US"/>
        </w:rPr>
        <w:t xml:space="preserve"> </w:t>
      </w:r>
      <w:r w:rsidR="00FD169C" w:rsidRPr="007A1E96">
        <w:rPr>
          <w:rFonts w:ascii="Times New Roman" w:hAnsi="Times New Roman" w:cs="Times New Roman"/>
          <w:i/>
          <w:sz w:val="24"/>
          <w:szCs w:val="24"/>
          <w:highlight w:val="white"/>
          <w:lang w:val="en-US"/>
        </w:rPr>
        <w:t>Health and Disease Configurations. The social environment</w:t>
      </w:r>
      <w:r w:rsidRPr="007A1E96">
        <w:rPr>
          <w:rFonts w:ascii="Times New Roman" w:hAnsi="Times New Roman" w:cs="Times New Roman"/>
          <w:i/>
          <w:color w:val="222222"/>
          <w:sz w:val="24"/>
          <w:szCs w:val="24"/>
          <w:highlight w:val="white"/>
          <w:lang w:val="en-US"/>
        </w:rPr>
        <w:t xml:space="preserve">. </w:t>
      </w:r>
      <w:r w:rsidRPr="0093023F">
        <w:rPr>
          <w:rFonts w:ascii="Times New Roman" w:hAnsi="Times New Roman" w:cs="Times New Roman"/>
          <w:color w:val="222222"/>
          <w:sz w:val="24"/>
          <w:szCs w:val="24"/>
          <w:highlight w:val="white"/>
          <w:lang w:val="en-US"/>
        </w:rPr>
        <w:t xml:space="preserve"> </w:t>
      </w:r>
      <w:r w:rsidR="007A1E96">
        <w:rPr>
          <w:rFonts w:ascii="Times New Roman" w:hAnsi="Times New Roman" w:cs="Times New Roman"/>
          <w:color w:val="222222"/>
          <w:sz w:val="24"/>
          <w:szCs w:val="24"/>
          <w:highlight w:val="white"/>
          <w:lang w:val="en-US"/>
        </w:rPr>
        <w:t xml:space="preserve">In </w:t>
      </w:r>
      <w:r w:rsidRPr="0093023F">
        <w:rPr>
          <w:rFonts w:ascii="Times New Roman" w:hAnsi="Times New Roman" w:cs="Times New Roman"/>
          <w:color w:val="222222"/>
          <w:sz w:val="24"/>
          <w:szCs w:val="24"/>
          <w:highlight w:val="white"/>
          <w:lang w:val="en-US"/>
        </w:rPr>
        <w:t>Oxford Textbook of Public Health, W. Holland (</w:t>
      </w:r>
      <w:proofErr w:type="spellStart"/>
      <w:proofErr w:type="gramStart"/>
      <w:r w:rsidRPr="0093023F">
        <w:rPr>
          <w:rFonts w:ascii="Times New Roman" w:hAnsi="Times New Roman" w:cs="Times New Roman"/>
          <w:color w:val="222222"/>
          <w:sz w:val="24"/>
          <w:szCs w:val="24"/>
          <w:highlight w:val="white"/>
          <w:lang w:val="en-US"/>
        </w:rPr>
        <w:t>eds</w:t>
      </w:r>
      <w:proofErr w:type="spellEnd"/>
      <w:proofErr w:type="gramEnd"/>
      <w:r w:rsidRPr="0093023F">
        <w:rPr>
          <w:rFonts w:ascii="Times New Roman" w:hAnsi="Times New Roman" w:cs="Times New Roman"/>
          <w:color w:val="222222"/>
          <w:sz w:val="24"/>
          <w:szCs w:val="24"/>
          <w:highlight w:val="white"/>
          <w:lang w:val="en-US"/>
        </w:rPr>
        <w:t xml:space="preserve">). Oxford University Press, Oxford, 1988. </w:t>
      </w:r>
    </w:p>
    <w:p w:rsidR="00B67AE8" w:rsidRPr="0093023F" w:rsidRDefault="00B67AE8" w:rsidP="0093023F">
      <w:pPr>
        <w:pStyle w:val="a3"/>
        <w:numPr>
          <w:ilvl w:val="0"/>
          <w:numId w:val="4"/>
        </w:numPr>
        <w:spacing w:after="0"/>
        <w:ind w:left="426" w:hanging="426"/>
        <w:jc w:val="both"/>
        <w:rPr>
          <w:lang w:val="en-US"/>
        </w:rPr>
      </w:pPr>
      <w:r w:rsidRPr="0093023F">
        <w:rPr>
          <w:rFonts w:ascii="Times New Roman" w:hAnsi="Times New Roman" w:cs="Times New Roman"/>
          <w:sz w:val="24"/>
          <w:szCs w:val="24"/>
          <w:lang w:val="en-US"/>
        </w:rPr>
        <w:t xml:space="preserve">Y. </w:t>
      </w:r>
      <w:proofErr w:type="spellStart"/>
      <w:r w:rsidRPr="0093023F">
        <w:rPr>
          <w:rFonts w:ascii="Times New Roman" w:hAnsi="Times New Roman" w:cs="Times New Roman"/>
          <w:sz w:val="24"/>
          <w:szCs w:val="24"/>
          <w:lang w:val="en-US"/>
        </w:rPr>
        <w:t>Tountas</w:t>
      </w:r>
      <w:proofErr w:type="spellEnd"/>
      <w:r w:rsidRPr="0093023F">
        <w:rPr>
          <w:rFonts w:ascii="Times New Roman" w:hAnsi="Times New Roman" w:cs="Times New Roman"/>
          <w:sz w:val="24"/>
          <w:szCs w:val="24"/>
          <w:lang w:val="en-US"/>
        </w:rPr>
        <w:t xml:space="preserve">, D. </w:t>
      </w:r>
      <w:proofErr w:type="spellStart"/>
      <w:r w:rsidRPr="0093023F">
        <w:rPr>
          <w:rFonts w:ascii="Times New Roman" w:hAnsi="Times New Roman" w:cs="Times New Roman"/>
          <w:sz w:val="24"/>
          <w:szCs w:val="24"/>
          <w:lang w:val="en-US"/>
        </w:rPr>
        <w:t>Triantafyllou</w:t>
      </w:r>
      <w:proofErr w:type="spellEnd"/>
      <w:r w:rsidRPr="0093023F">
        <w:rPr>
          <w:rFonts w:ascii="Times New Roman" w:hAnsi="Times New Roman" w:cs="Times New Roman"/>
          <w:sz w:val="24"/>
          <w:szCs w:val="24"/>
          <w:lang w:val="en-US"/>
        </w:rPr>
        <w:t xml:space="preserve">, S. </w:t>
      </w:r>
      <w:proofErr w:type="spellStart"/>
      <w:r w:rsidRPr="0093023F">
        <w:rPr>
          <w:rFonts w:ascii="Times New Roman" w:hAnsi="Times New Roman" w:cs="Times New Roman"/>
          <w:sz w:val="24"/>
          <w:szCs w:val="24"/>
          <w:lang w:val="en-US"/>
        </w:rPr>
        <w:t>Frissiras</w:t>
      </w:r>
      <w:proofErr w:type="spellEnd"/>
      <w:r w:rsidRPr="0093023F">
        <w:rPr>
          <w:rFonts w:ascii="Times New Roman" w:hAnsi="Times New Roman" w:cs="Times New Roman"/>
          <w:sz w:val="24"/>
          <w:szCs w:val="24"/>
          <w:lang w:val="en-US"/>
        </w:rPr>
        <w:t xml:space="preserve">, Health Indicators in Europe. </w:t>
      </w:r>
      <w:r w:rsidRPr="007A1E96">
        <w:rPr>
          <w:rFonts w:ascii="Times New Roman" w:hAnsi="Times New Roman" w:cs="Times New Roman"/>
          <w:i/>
          <w:sz w:val="24"/>
          <w:szCs w:val="24"/>
          <w:lang w:val="en-US"/>
        </w:rPr>
        <w:t xml:space="preserve">Archives of Hellenic Medicine </w:t>
      </w:r>
      <w:r w:rsidR="0003729F" w:rsidRPr="0003729F">
        <w:rPr>
          <w:rFonts w:ascii="Times New Roman" w:hAnsi="Times New Roman" w:cs="Times New Roman"/>
          <w:sz w:val="24"/>
          <w:szCs w:val="24"/>
          <w:lang w:val="en-US"/>
        </w:rPr>
        <w:t>17, (2000), 89-100.</w:t>
      </w:r>
      <w:r w:rsidR="0003729F">
        <w:rPr>
          <w:rFonts w:ascii="Times New Roman" w:hAnsi="Times New Roman" w:cs="Times New Roman"/>
          <w:sz w:val="24"/>
          <w:szCs w:val="24"/>
          <w:lang w:val="en-US"/>
        </w:rPr>
        <w:t xml:space="preserve"> </w:t>
      </w:r>
    </w:p>
    <w:p w:rsidR="00B67AE8" w:rsidRPr="0093023F" w:rsidRDefault="00B0193C" w:rsidP="0093023F">
      <w:pPr>
        <w:pStyle w:val="a3"/>
        <w:numPr>
          <w:ilvl w:val="0"/>
          <w:numId w:val="4"/>
        </w:numPr>
        <w:spacing w:after="0"/>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 </w:t>
      </w:r>
      <w:proofErr w:type="spellStart"/>
      <w:r>
        <w:rPr>
          <w:rFonts w:ascii="Times New Roman" w:hAnsi="Times New Roman" w:cs="Times New Roman"/>
          <w:sz w:val="24"/>
          <w:szCs w:val="24"/>
          <w:lang w:val="en-US"/>
        </w:rPr>
        <w:t>Kalogeropoulou</w:t>
      </w:r>
      <w:proofErr w:type="spellEnd"/>
      <w:r>
        <w:rPr>
          <w:rFonts w:ascii="Times New Roman" w:hAnsi="Times New Roman" w:cs="Times New Roman"/>
          <w:sz w:val="24"/>
          <w:szCs w:val="24"/>
          <w:lang w:val="en-US"/>
        </w:rPr>
        <w:t xml:space="preserve">, P. </w:t>
      </w:r>
      <w:proofErr w:type="spellStart"/>
      <w:r>
        <w:rPr>
          <w:rFonts w:ascii="Times New Roman" w:hAnsi="Times New Roman" w:cs="Times New Roman"/>
          <w:sz w:val="24"/>
          <w:szCs w:val="24"/>
          <w:lang w:val="en-US"/>
        </w:rPr>
        <w:t>M</w:t>
      </w:r>
      <w:r w:rsidR="00B67AE8" w:rsidRPr="0093023F">
        <w:rPr>
          <w:rFonts w:ascii="Times New Roman" w:hAnsi="Times New Roman" w:cs="Times New Roman"/>
          <w:sz w:val="24"/>
          <w:szCs w:val="24"/>
          <w:lang w:val="en-US"/>
        </w:rPr>
        <w:t>ourdoukoutas</w:t>
      </w:r>
      <w:proofErr w:type="spellEnd"/>
      <w:r w:rsidR="00B67AE8" w:rsidRPr="0093023F">
        <w:rPr>
          <w:rFonts w:ascii="Times New Roman" w:hAnsi="Times New Roman" w:cs="Times New Roman"/>
          <w:sz w:val="24"/>
          <w:szCs w:val="24"/>
          <w:lang w:val="en-US"/>
        </w:rPr>
        <w:t xml:space="preserve">, </w:t>
      </w:r>
      <w:r w:rsidR="00B67AE8" w:rsidRPr="0003729F">
        <w:rPr>
          <w:rFonts w:ascii="Times New Roman" w:hAnsi="Times New Roman" w:cs="Times New Roman"/>
          <w:i/>
          <w:iCs/>
          <w:sz w:val="24"/>
          <w:szCs w:val="24"/>
          <w:lang w:val="en-US"/>
        </w:rPr>
        <w:t>Health Services</w:t>
      </w:r>
      <w:r w:rsidR="00B67AE8" w:rsidRPr="0003729F">
        <w:rPr>
          <w:rFonts w:ascii="Times New Roman" w:hAnsi="Times New Roman" w:cs="Times New Roman"/>
          <w:i/>
          <w:sz w:val="24"/>
          <w:szCs w:val="24"/>
          <w:lang w:val="en-US"/>
        </w:rPr>
        <w:t>,</w:t>
      </w:r>
      <w:r w:rsidR="00B67AE8" w:rsidRPr="0093023F">
        <w:rPr>
          <w:rFonts w:ascii="Times New Roman" w:hAnsi="Times New Roman" w:cs="Times New Roman"/>
          <w:sz w:val="24"/>
          <w:szCs w:val="24"/>
          <w:lang w:val="en-US"/>
        </w:rPr>
        <w:t xml:space="preserve"> Vol. A, </w:t>
      </w:r>
      <w:r w:rsidRPr="00B0193C">
        <w:rPr>
          <w:rFonts w:ascii="Times New Roman" w:hAnsi="Times New Roman" w:cs="Times New Roman"/>
          <w:sz w:val="24"/>
          <w:szCs w:val="24"/>
          <w:lang w:val="en-US"/>
        </w:rPr>
        <w:t xml:space="preserve">Publishing </w:t>
      </w:r>
      <w:proofErr w:type="spellStart"/>
      <w:r>
        <w:rPr>
          <w:rFonts w:ascii="Times New Roman" w:hAnsi="Times New Roman" w:cs="Times New Roman"/>
          <w:sz w:val="24"/>
          <w:szCs w:val="24"/>
          <w:lang w:val="en-US"/>
        </w:rPr>
        <w:t>Kleidarithmos</w:t>
      </w:r>
      <w:proofErr w:type="spellEnd"/>
      <w:r>
        <w:rPr>
          <w:rFonts w:ascii="Times New Roman" w:hAnsi="Times New Roman" w:cs="Times New Roman"/>
          <w:sz w:val="24"/>
          <w:szCs w:val="24"/>
          <w:lang w:val="en-US"/>
        </w:rPr>
        <w:t>, Athens</w:t>
      </w:r>
      <w:r>
        <w:rPr>
          <w:rFonts w:ascii="Times New Roman" w:hAnsi="Times New Roman" w:cs="Times New Roman"/>
          <w:sz w:val="24"/>
          <w:szCs w:val="24"/>
        </w:rPr>
        <w:t xml:space="preserve">, </w:t>
      </w:r>
      <w:r w:rsidR="00B67AE8" w:rsidRPr="0093023F">
        <w:rPr>
          <w:rFonts w:ascii="Times New Roman" w:hAnsi="Times New Roman" w:cs="Times New Roman"/>
          <w:sz w:val="24"/>
          <w:szCs w:val="24"/>
          <w:lang w:val="en-US"/>
        </w:rPr>
        <w:t>200</w:t>
      </w:r>
      <w:r>
        <w:rPr>
          <w:rFonts w:ascii="Times New Roman" w:hAnsi="Times New Roman" w:cs="Times New Roman"/>
          <w:sz w:val="24"/>
          <w:szCs w:val="24"/>
          <w:lang w:val="en-US"/>
        </w:rPr>
        <w:t>7</w:t>
      </w:r>
      <w:r>
        <w:rPr>
          <w:rFonts w:ascii="Times New Roman" w:hAnsi="Times New Roman" w:cs="Times New Roman"/>
          <w:sz w:val="24"/>
          <w:szCs w:val="24"/>
        </w:rPr>
        <w:t>.</w:t>
      </w:r>
    </w:p>
    <w:p w:rsidR="00B67AE8" w:rsidRPr="0093023F" w:rsidRDefault="00B67AE8" w:rsidP="0093023F">
      <w:pPr>
        <w:pStyle w:val="a3"/>
        <w:numPr>
          <w:ilvl w:val="0"/>
          <w:numId w:val="4"/>
        </w:numPr>
        <w:spacing w:after="0"/>
        <w:ind w:left="426" w:hanging="426"/>
        <w:jc w:val="both"/>
        <w:rPr>
          <w:rFonts w:ascii="Times New Roman" w:hAnsi="Times New Roman" w:cs="Times New Roman"/>
          <w:sz w:val="24"/>
          <w:szCs w:val="24"/>
          <w:lang w:val="en-US"/>
        </w:rPr>
      </w:pPr>
      <w:r w:rsidRPr="0093023F">
        <w:rPr>
          <w:rFonts w:ascii="Times New Roman" w:hAnsi="Times New Roman" w:cs="Times New Roman"/>
          <w:sz w:val="24"/>
          <w:szCs w:val="24"/>
          <w:lang w:val="en-US"/>
        </w:rPr>
        <w:t>World Health Organization (WHO). Statistics,</w:t>
      </w:r>
      <w:r w:rsidR="00B0193C" w:rsidRPr="00B0193C">
        <w:rPr>
          <w:rFonts w:ascii="Times New Roman" w:hAnsi="Times New Roman" w:cs="Times New Roman"/>
          <w:sz w:val="24"/>
          <w:szCs w:val="24"/>
          <w:lang w:val="en-US"/>
        </w:rPr>
        <w:t xml:space="preserve"> </w:t>
      </w:r>
      <w:hyperlink r:id="rId34">
        <w:r w:rsidRPr="0093023F">
          <w:rPr>
            <w:rStyle w:val="a5"/>
            <w:rFonts w:ascii="Times New Roman" w:hAnsi="Times New Roman" w:cs="Times New Roman"/>
            <w:sz w:val="24"/>
            <w:szCs w:val="24"/>
            <w:lang w:val="en-US"/>
          </w:rPr>
          <w:t>http://www.who.int/countries/grc/en</w:t>
        </w:r>
      </w:hyperlink>
      <w:proofErr w:type="gramStart"/>
      <w:r w:rsidRPr="0093023F">
        <w:rPr>
          <w:lang w:val="en-US"/>
        </w:rPr>
        <w:t xml:space="preserve">, </w:t>
      </w:r>
      <w:r w:rsidR="000C2BD0" w:rsidRPr="0093023F">
        <w:rPr>
          <w:rFonts w:ascii="Times New Roman" w:hAnsi="Times New Roman" w:cs="Times New Roman"/>
          <w:sz w:val="24"/>
          <w:szCs w:val="24"/>
          <w:lang w:val="en-US"/>
        </w:rPr>
        <w:t xml:space="preserve"> (</w:t>
      </w:r>
      <w:proofErr w:type="gramEnd"/>
      <w:r w:rsidR="000C2BD0" w:rsidRPr="0093023F">
        <w:rPr>
          <w:rFonts w:ascii="Times New Roman" w:hAnsi="Times New Roman" w:cs="Times New Roman"/>
          <w:sz w:val="24"/>
          <w:szCs w:val="24"/>
          <w:lang w:val="en-US"/>
        </w:rPr>
        <w:t>a</w:t>
      </w:r>
      <w:r w:rsidRPr="0093023F">
        <w:rPr>
          <w:rFonts w:ascii="Times New Roman" w:hAnsi="Times New Roman" w:cs="Times New Roman"/>
          <w:sz w:val="24"/>
          <w:szCs w:val="24"/>
          <w:lang w:val="en-US"/>
        </w:rPr>
        <w:t>ccessed November 15, 2016</w:t>
      </w:r>
      <w:r w:rsidR="000C2BD0" w:rsidRPr="0093023F">
        <w:rPr>
          <w:rFonts w:ascii="Times New Roman" w:hAnsi="Times New Roman" w:cs="Times New Roman"/>
          <w:sz w:val="24"/>
          <w:szCs w:val="24"/>
          <w:lang w:val="en-US"/>
        </w:rPr>
        <w:t>)</w:t>
      </w:r>
      <w:r w:rsidRPr="0093023F">
        <w:rPr>
          <w:rFonts w:ascii="Times New Roman" w:hAnsi="Times New Roman" w:cs="Times New Roman"/>
          <w:sz w:val="24"/>
          <w:szCs w:val="24"/>
          <w:lang w:val="en-US"/>
        </w:rPr>
        <w:t>.</w:t>
      </w:r>
    </w:p>
    <w:p w:rsidR="00B67AE8" w:rsidRPr="0093023F" w:rsidRDefault="00B67AE8" w:rsidP="0093023F">
      <w:pPr>
        <w:pStyle w:val="a3"/>
        <w:numPr>
          <w:ilvl w:val="0"/>
          <w:numId w:val="4"/>
        </w:numPr>
        <w:spacing w:after="0"/>
        <w:ind w:left="426" w:hanging="426"/>
        <w:jc w:val="both"/>
        <w:rPr>
          <w:rFonts w:ascii="Times New Roman" w:hAnsi="Times New Roman" w:cs="Times New Roman"/>
          <w:sz w:val="24"/>
          <w:szCs w:val="24"/>
          <w:lang w:val="en-US"/>
        </w:rPr>
      </w:pPr>
      <w:r w:rsidRPr="0093023F">
        <w:rPr>
          <w:rFonts w:ascii="Times New Roman" w:hAnsi="Times New Roman" w:cs="Times New Roman"/>
          <w:sz w:val="24"/>
          <w:szCs w:val="24"/>
          <w:lang w:val="en-US"/>
        </w:rPr>
        <w:lastRenderedPageBreak/>
        <w:t xml:space="preserve">Y. </w:t>
      </w:r>
      <w:proofErr w:type="spellStart"/>
      <w:r w:rsidRPr="0093023F">
        <w:rPr>
          <w:rFonts w:ascii="Times New Roman" w:hAnsi="Times New Roman" w:cs="Times New Roman"/>
          <w:sz w:val="24"/>
          <w:szCs w:val="24"/>
          <w:lang w:val="en-US"/>
        </w:rPr>
        <w:t>Tountas</w:t>
      </w:r>
      <w:proofErr w:type="spellEnd"/>
      <w:r w:rsidRPr="0093023F">
        <w:rPr>
          <w:rFonts w:ascii="Times New Roman" w:hAnsi="Times New Roman" w:cs="Times New Roman"/>
          <w:sz w:val="24"/>
          <w:szCs w:val="24"/>
          <w:lang w:val="en-US"/>
        </w:rPr>
        <w:t xml:space="preserve">. Social inequalities in health, </w:t>
      </w:r>
      <w:hyperlink r:id="rId35">
        <w:r w:rsidRPr="0093023F">
          <w:rPr>
            <w:rStyle w:val="a5"/>
            <w:rFonts w:ascii="Times New Roman" w:hAnsi="Times New Roman" w:cs="Times New Roman"/>
            <w:sz w:val="24"/>
            <w:szCs w:val="24"/>
            <w:lang w:val="en-US"/>
          </w:rPr>
          <w:t>www.iatronet.gr/ygeia/perivallon-ygeia/article/4065/koinwnikes-anisotites-stin-ygeia.html.</w:t>
        </w:r>
      </w:hyperlink>
      <w:hyperlink r:id="rId36">
        <w:proofErr w:type="spellStart"/>
        <w:r w:rsidRPr="0093023F">
          <w:rPr>
            <w:rStyle w:val="a5"/>
            <w:rFonts w:ascii="Times New Roman" w:hAnsi="Times New Roman" w:cs="Times New Roman"/>
            <w:sz w:val="24"/>
            <w:szCs w:val="24"/>
          </w:rPr>
          <w:t>Τούντας</w:t>
        </w:r>
        <w:proofErr w:type="spellEnd"/>
      </w:hyperlink>
      <w:hyperlink r:id="rId37">
        <w:r w:rsidRPr="0093023F">
          <w:rPr>
            <w:rStyle w:val="a5"/>
            <w:rFonts w:ascii="Times New Roman" w:hAnsi="Times New Roman" w:cs="Times New Roman"/>
            <w:sz w:val="24"/>
            <w:szCs w:val="24"/>
            <w:lang w:val="en-US"/>
          </w:rPr>
          <w:t>_</w:t>
        </w:r>
      </w:hyperlink>
      <w:hyperlink r:id="rId38">
        <w:r w:rsidRPr="0093023F">
          <w:rPr>
            <w:rStyle w:val="a5"/>
            <w:rFonts w:ascii="Times New Roman" w:hAnsi="Times New Roman" w:cs="Times New Roman"/>
            <w:sz w:val="24"/>
            <w:szCs w:val="24"/>
          </w:rPr>
          <w:t>Γ</w:t>
        </w:r>
      </w:hyperlink>
      <w:hyperlink r:id="rId39">
        <w:r w:rsidRPr="0093023F">
          <w:rPr>
            <w:rStyle w:val="a5"/>
            <w:rFonts w:ascii="Times New Roman" w:hAnsi="Times New Roman" w:cs="Times New Roman"/>
            <w:sz w:val="24"/>
            <w:szCs w:val="24"/>
            <w:lang w:val="en-US"/>
          </w:rPr>
          <w:t>.2008</w:t>
        </w:r>
      </w:hyperlink>
      <w:r w:rsidR="000C2BD0" w:rsidRPr="0093023F">
        <w:rPr>
          <w:rFonts w:ascii="Times New Roman" w:hAnsi="Times New Roman" w:cs="Times New Roman"/>
          <w:sz w:val="24"/>
          <w:szCs w:val="24"/>
          <w:lang w:val="en-US"/>
        </w:rPr>
        <w:t>, (a</w:t>
      </w:r>
      <w:r w:rsidRPr="0093023F">
        <w:rPr>
          <w:rFonts w:ascii="Times New Roman" w:hAnsi="Times New Roman" w:cs="Times New Roman"/>
          <w:sz w:val="24"/>
          <w:szCs w:val="24"/>
          <w:lang w:val="en-US"/>
        </w:rPr>
        <w:t>ccessed November 18, 2016</w:t>
      </w:r>
      <w:r w:rsidR="000C2BD0" w:rsidRPr="0093023F">
        <w:rPr>
          <w:rFonts w:ascii="Times New Roman" w:hAnsi="Times New Roman" w:cs="Times New Roman"/>
          <w:sz w:val="24"/>
          <w:szCs w:val="24"/>
          <w:lang w:val="en-US"/>
        </w:rPr>
        <w:t>)</w:t>
      </w:r>
      <w:r w:rsidRPr="0093023F">
        <w:rPr>
          <w:rFonts w:ascii="Times New Roman" w:hAnsi="Times New Roman" w:cs="Times New Roman"/>
          <w:sz w:val="24"/>
          <w:szCs w:val="24"/>
          <w:lang w:val="en-US"/>
        </w:rPr>
        <w:t>.</w:t>
      </w:r>
    </w:p>
    <w:p w:rsidR="002B4DE0" w:rsidRDefault="00B67AE8" w:rsidP="002B4DE0">
      <w:pPr>
        <w:pStyle w:val="a3"/>
        <w:numPr>
          <w:ilvl w:val="0"/>
          <w:numId w:val="4"/>
        </w:numPr>
        <w:spacing w:after="0"/>
        <w:ind w:left="426" w:hanging="426"/>
        <w:jc w:val="both"/>
        <w:rPr>
          <w:rFonts w:ascii="Times New Roman" w:hAnsi="Times New Roman" w:cs="Times New Roman"/>
          <w:sz w:val="24"/>
          <w:szCs w:val="24"/>
          <w:lang w:val="en-US"/>
        </w:rPr>
      </w:pPr>
      <w:proofErr w:type="spellStart"/>
      <w:r w:rsidRPr="00A51914">
        <w:rPr>
          <w:rFonts w:ascii="Times New Roman" w:hAnsi="Times New Roman" w:cs="Times New Roman"/>
          <w:sz w:val="24"/>
          <w:szCs w:val="24"/>
          <w:lang w:val="en-US"/>
        </w:rPr>
        <w:t>Eurostat</w:t>
      </w:r>
      <w:proofErr w:type="spellEnd"/>
      <w:r w:rsidRPr="00A51914">
        <w:rPr>
          <w:rFonts w:ascii="Times New Roman" w:hAnsi="Times New Roman" w:cs="Times New Roman"/>
          <w:sz w:val="24"/>
          <w:szCs w:val="24"/>
          <w:lang w:val="en-US"/>
        </w:rPr>
        <w:t xml:space="preserve"> Healthcare Statistics. </w:t>
      </w:r>
      <w:hyperlink r:id="rId40" w:history="1">
        <w:r w:rsidR="00A51914" w:rsidRPr="00A51914">
          <w:rPr>
            <w:rStyle w:val="a5"/>
            <w:rFonts w:ascii="Times New Roman" w:hAnsi="Times New Roman" w:cs="Times New Roman"/>
            <w:sz w:val="24"/>
            <w:szCs w:val="24"/>
            <w:lang w:val="en-US"/>
          </w:rPr>
          <w:t xml:space="preserve">http://ec.europa.eu/eurostat/statistics-explained/index.php/ </w:t>
        </w:r>
        <w:proofErr w:type="spellStart"/>
        <w:r w:rsidR="00A51914" w:rsidRPr="00A51914">
          <w:rPr>
            <w:rStyle w:val="a5"/>
            <w:rFonts w:ascii="Times New Roman" w:hAnsi="Times New Roman" w:cs="Times New Roman"/>
            <w:sz w:val="24"/>
            <w:szCs w:val="24"/>
            <w:lang w:val="en-US"/>
          </w:rPr>
          <w:t>Healthcare_statistics</w:t>
        </w:r>
        <w:proofErr w:type="spellEnd"/>
      </w:hyperlink>
      <w:r w:rsidR="000C2BD0" w:rsidRPr="00A51914">
        <w:rPr>
          <w:rStyle w:val="a5"/>
          <w:rFonts w:ascii="Times New Roman" w:hAnsi="Times New Roman" w:cs="Times New Roman"/>
          <w:sz w:val="24"/>
          <w:szCs w:val="24"/>
          <w:u w:val="none"/>
          <w:lang w:val="en-US"/>
        </w:rPr>
        <w:t xml:space="preserve">, </w:t>
      </w:r>
      <w:r w:rsidR="000C2BD0" w:rsidRPr="00A51914">
        <w:rPr>
          <w:rStyle w:val="a5"/>
          <w:rFonts w:ascii="Times New Roman" w:hAnsi="Times New Roman" w:cs="Times New Roman"/>
          <w:color w:val="auto"/>
          <w:sz w:val="24"/>
          <w:szCs w:val="24"/>
          <w:u w:val="none"/>
          <w:lang w:val="en-US"/>
        </w:rPr>
        <w:t>(a</w:t>
      </w:r>
      <w:r w:rsidRPr="00A51914">
        <w:rPr>
          <w:rStyle w:val="a5"/>
          <w:rFonts w:ascii="Times New Roman" w:hAnsi="Times New Roman" w:cs="Times New Roman"/>
          <w:color w:val="auto"/>
          <w:sz w:val="24"/>
          <w:szCs w:val="24"/>
          <w:u w:val="none"/>
          <w:lang w:val="en-US"/>
        </w:rPr>
        <w:t>ccessed</w:t>
      </w:r>
      <w:r w:rsidR="00A51914" w:rsidRPr="00A51914">
        <w:rPr>
          <w:rStyle w:val="a5"/>
          <w:rFonts w:ascii="Times New Roman" w:hAnsi="Times New Roman" w:cs="Times New Roman"/>
          <w:sz w:val="24"/>
          <w:szCs w:val="24"/>
          <w:u w:val="none"/>
          <w:lang w:val="en-US"/>
        </w:rPr>
        <w:t xml:space="preserve"> </w:t>
      </w:r>
      <w:r w:rsidRPr="00A51914">
        <w:rPr>
          <w:rFonts w:ascii="Times New Roman" w:hAnsi="Times New Roman" w:cs="Times New Roman"/>
          <w:sz w:val="24"/>
          <w:szCs w:val="24"/>
          <w:lang w:val="en-US"/>
        </w:rPr>
        <w:t>November 18, 2016</w:t>
      </w:r>
      <w:r w:rsidR="000C2BD0" w:rsidRPr="00A51914">
        <w:rPr>
          <w:rFonts w:ascii="Times New Roman" w:hAnsi="Times New Roman" w:cs="Times New Roman"/>
          <w:sz w:val="24"/>
          <w:szCs w:val="24"/>
          <w:lang w:val="en-US"/>
        </w:rPr>
        <w:t>)</w:t>
      </w:r>
      <w:r w:rsidRPr="00A51914">
        <w:rPr>
          <w:rFonts w:ascii="Times New Roman" w:hAnsi="Times New Roman" w:cs="Times New Roman"/>
          <w:sz w:val="24"/>
          <w:szCs w:val="24"/>
          <w:lang w:val="en-US"/>
        </w:rPr>
        <w:t>.</w:t>
      </w:r>
    </w:p>
    <w:p w:rsidR="00B67AE8" w:rsidRPr="002B4DE0" w:rsidRDefault="002B4DE0" w:rsidP="002B4DE0">
      <w:pPr>
        <w:pStyle w:val="a3"/>
        <w:numPr>
          <w:ilvl w:val="0"/>
          <w:numId w:val="4"/>
        </w:numPr>
        <w:spacing w:after="0"/>
        <w:ind w:left="312"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67AE8" w:rsidRPr="002B4DE0">
        <w:rPr>
          <w:rFonts w:ascii="Times New Roman" w:hAnsi="Times New Roman" w:cs="Times New Roman"/>
          <w:sz w:val="24"/>
          <w:szCs w:val="24"/>
          <w:lang w:val="en-US"/>
        </w:rPr>
        <w:t xml:space="preserve">The World Bank’s Open Data, </w:t>
      </w:r>
      <w:hyperlink r:id="rId41">
        <w:r w:rsidR="00B67AE8" w:rsidRPr="002B4DE0">
          <w:rPr>
            <w:rStyle w:val="a5"/>
            <w:rFonts w:ascii="Times New Roman" w:hAnsi="Times New Roman" w:cs="Times New Roman"/>
            <w:sz w:val="24"/>
            <w:szCs w:val="24"/>
            <w:lang w:val="en-US"/>
          </w:rPr>
          <w:t>http://data.worldbank.org/</w:t>
        </w:r>
      </w:hyperlink>
      <w:r w:rsidR="00B67AE8" w:rsidRPr="002B4DE0">
        <w:rPr>
          <w:rFonts w:ascii="Times New Roman" w:hAnsi="Times New Roman" w:cs="Times New Roman"/>
          <w:sz w:val="24"/>
          <w:szCs w:val="24"/>
          <w:lang w:val="en-US"/>
        </w:rPr>
        <w:t>, Accessed November 15, 2016.</w:t>
      </w:r>
    </w:p>
    <w:p w:rsidR="0057677B" w:rsidRDefault="00B67AE8" w:rsidP="002B4DE0">
      <w:pPr>
        <w:pStyle w:val="a3"/>
        <w:numPr>
          <w:ilvl w:val="0"/>
          <w:numId w:val="4"/>
        </w:numPr>
        <w:spacing w:after="0"/>
        <w:ind w:left="426" w:hanging="539"/>
        <w:jc w:val="both"/>
        <w:rPr>
          <w:rFonts w:ascii="Times New Roman" w:hAnsi="Times New Roman" w:cs="Times New Roman"/>
          <w:sz w:val="24"/>
          <w:szCs w:val="24"/>
          <w:lang w:val="en-US"/>
        </w:rPr>
      </w:pPr>
      <w:r w:rsidRPr="0093023F">
        <w:rPr>
          <w:rFonts w:ascii="Times New Roman" w:hAnsi="Times New Roman" w:cs="Times New Roman"/>
          <w:sz w:val="24"/>
          <w:szCs w:val="24"/>
          <w:lang w:val="en-US"/>
        </w:rPr>
        <w:t>OECD Health Statistics. Health Status,</w:t>
      </w:r>
      <w:r w:rsidR="002B4DE0">
        <w:rPr>
          <w:rFonts w:ascii="Times New Roman" w:hAnsi="Times New Roman" w:cs="Times New Roman"/>
          <w:sz w:val="24"/>
          <w:szCs w:val="24"/>
          <w:lang w:val="en-US"/>
        </w:rPr>
        <w:t xml:space="preserve"> </w:t>
      </w:r>
      <w:hyperlink r:id="rId42" w:history="1">
        <w:r w:rsidR="002B4DE0" w:rsidRPr="002B4DE0">
          <w:rPr>
            <w:rStyle w:val="a5"/>
            <w:rFonts w:ascii="Times New Roman" w:hAnsi="Times New Roman" w:cs="Times New Roman"/>
            <w:i/>
            <w:sz w:val="24"/>
            <w:szCs w:val="24"/>
            <w:lang w:val="en-US"/>
          </w:rPr>
          <w:t>http://stats.oecd.org/index.aspx?  DataSetCode=HEALTH_STAT</w:t>
        </w:r>
      </w:hyperlink>
      <w:r w:rsidR="000C2BD0" w:rsidRPr="002B4DE0">
        <w:rPr>
          <w:rStyle w:val="a5"/>
          <w:rFonts w:ascii="Times New Roman" w:hAnsi="Times New Roman" w:cs="Times New Roman"/>
          <w:i/>
          <w:sz w:val="24"/>
          <w:szCs w:val="24"/>
          <w:lang w:val="en-US"/>
        </w:rPr>
        <w:t>,</w:t>
      </w:r>
      <w:r w:rsidR="000C2BD0" w:rsidRPr="002B4DE0">
        <w:rPr>
          <w:rStyle w:val="a5"/>
          <w:rFonts w:ascii="Times New Roman" w:hAnsi="Times New Roman" w:cs="Times New Roman"/>
          <w:i/>
          <w:sz w:val="24"/>
          <w:szCs w:val="24"/>
        </w:rPr>
        <w:t xml:space="preserve"> (</w:t>
      </w:r>
      <w:r w:rsidR="000C2BD0" w:rsidRPr="0093023F">
        <w:rPr>
          <w:rFonts w:ascii="Times New Roman" w:hAnsi="Times New Roman" w:cs="Times New Roman"/>
          <w:sz w:val="24"/>
          <w:szCs w:val="24"/>
          <w:lang w:val="en-US"/>
        </w:rPr>
        <w:t>a</w:t>
      </w:r>
      <w:r w:rsidRPr="0093023F">
        <w:rPr>
          <w:rFonts w:ascii="Times New Roman" w:hAnsi="Times New Roman" w:cs="Times New Roman"/>
          <w:sz w:val="24"/>
          <w:szCs w:val="24"/>
          <w:lang w:val="en-US"/>
        </w:rPr>
        <w:t>ccessed November 18, 2016</w:t>
      </w:r>
      <w:r w:rsidR="000C2BD0" w:rsidRPr="0093023F">
        <w:rPr>
          <w:rFonts w:ascii="Times New Roman" w:hAnsi="Times New Roman" w:cs="Times New Roman"/>
          <w:sz w:val="24"/>
          <w:szCs w:val="24"/>
          <w:lang w:val="en-US"/>
        </w:rPr>
        <w:t>)</w:t>
      </w:r>
      <w:r w:rsidRPr="0093023F">
        <w:rPr>
          <w:rFonts w:ascii="Times New Roman" w:hAnsi="Times New Roman" w:cs="Times New Roman"/>
          <w:sz w:val="24"/>
          <w:szCs w:val="24"/>
          <w:lang w:val="en-US"/>
        </w:rPr>
        <w:t>.</w:t>
      </w:r>
    </w:p>
    <w:p w:rsidR="0003729F" w:rsidRPr="0057677B" w:rsidRDefault="00B67AE8" w:rsidP="002B4DE0">
      <w:pPr>
        <w:pStyle w:val="a3"/>
        <w:numPr>
          <w:ilvl w:val="0"/>
          <w:numId w:val="4"/>
        </w:numPr>
        <w:spacing w:after="0"/>
        <w:ind w:left="426" w:hanging="539"/>
        <w:jc w:val="both"/>
        <w:rPr>
          <w:rFonts w:ascii="Times New Roman" w:hAnsi="Times New Roman" w:cs="Times New Roman"/>
          <w:sz w:val="24"/>
          <w:szCs w:val="24"/>
          <w:lang w:val="en-US"/>
        </w:rPr>
      </w:pPr>
      <w:r w:rsidRPr="0057677B">
        <w:rPr>
          <w:rFonts w:ascii="Times New Roman" w:hAnsi="Times New Roman" w:cs="Times New Roman"/>
          <w:color w:val="222222"/>
          <w:sz w:val="24"/>
          <w:szCs w:val="24"/>
          <w:highlight w:val="white"/>
          <w:lang w:val="en-US"/>
        </w:rPr>
        <w:t xml:space="preserve">H. </w:t>
      </w:r>
      <w:proofErr w:type="spellStart"/>
      <w:r w:rsidRPr="0057677B">
        <w:rPr>
          <w:rFonts w:ascii="Times New Roman" w:hAnsi="Times New Roman" w:cs="Times New Roman"/>
          <w:color w:val="222222"/>
          <w:sz w:val="24"/>
          <w:szCs w:val="24"/>
          <w:highlight w:val="white"/>
          <w:lang w:val="en-US"/>
        </w:rPr>
        <w:t>Legido</w:t>
      </w:r>
      <w:proofErr w:type="spellEnd"/>
      <w:r w:rsidRPr="0057677B">
        <w:rPr>
          <w:rFonts w:ascii="Times New Roman" w:hAnsi="Times New Roman" w:cs="Times New Roman"/>
          <w:color w:val="222222"/>
          <w:sz w:val="24"/>
          <w:szCs w:val="24"/>
          <w:highlight w:val="white"/>
          <w:lang w:val="en-US"/>
        </w:rPr>
        <w:t xml:space="preserve">-Quigley, M. </w:t>
      </w:r>
      <w:proofErr w:type="spellStart"/>
      <w:r w:rsidRPr="0057677B">
        <w:rPr>
          <w:rFonts w:ascii="Times New Roman" w:hAnsi="Times New Roman" w:cs="Times New Roman"/>
          <w:color w:val="222222"/>
          <w:sz w:val="24"/>
          <w:szCs w:val="24"/>
          <w:highlight w:val="white"/>
          <w:lang w:val="en-US"/>
        </w:rPr>
        <w:t>Karanikolos</w:t>
      </w:r>
      <w:proofErr w:type="spellEnd"/>
      <w:r w:rsidRPr="0057677B">
        <w:rPr>
          <w:rFonts w:ascii="Times New Roman" w:hAnsi="Times New Roman" w:cs="Times New Roman"/>
          <w:color w:val="222222"/>
          <w:sz w:val="24"/>
          <w:szCs w:val="24"/>
          <w:highlight w:val="white"/>
          <w:lang w:val="en-US"/>
        </w:rPr>
        <w:t xml:space="preserve">, S. Hernandez-Plaza, C. de </w:t>
      </w:r>
      <w:proofErr w:type="spellStart"/>
      <w:r w:rsidRPr="0057677B">
        <w:rPr>
          <w:rFonts w:ascii="Times New Roman" w:hAnsi="Times New Roman" w:cs="Times New Roman"/>
          <w:color w:val="222222"/>
          <w:sz w:val="24"/>
          <w:szCs w:val="24"/>
          <w:highlight w:val="white"/>
          <w:lang w:val="en-US"/>
        </w:rPr>
        <w:t>F</w:t>
      </w:r>
      <w:r w:rsidR="00A76242" w:rsidRPr="0057677B">
        <w:rPr>
          <w:rFonts w:ascii="Times New Roman" w:hAnsi="Times New Roman" w:cs="Times New Roman"/>
          <w:color w:val="222222"/>
          <w:sz w:val="24"/>
          <w:szCs w:val="24"/>
          <w:highlight w:val="white"/>
          <w:lang w:val="en-US"/>
        </w:rPr>
        <w:t>reitas</w:t>
      </w:r>
      <w:proofErr w:type="spellEnd"/>
      <w:r w:rsidR="00A76242" w:rsidRPr="0057677B">
        <w:rPr>
          <w:rFonts w:ascii="Times New Roman" w:hAnsi="Times New Roman" w:cs="Times New Roman"/>
          <w:color w:val="222222"/>
          <w:sz w:val="24"/>
          <w:szCs w:val="24"/>
          <w:highlight w:val="white"/>
          <w:lang w:val="en-US"/>
        </w:rPr>
        <w:t>, L. Bernardo, B. Padilla,</w:t>
      </w:r>
      <w:r w:rsidR="00A76242" w:rsidRPr="0057677B">
        <w:rPr>
          <w:rFonts w:ascii="Times New Roman" w:eastAsia="AGMAD A+ MTSY" w:hAnsi="Times New Roman" w:cs="Times New Roman"/>
          <w:sz w:val="24"/>
          <w:szCs w:val="24"/>
          <w:lang w:val="en-US"/>
        </w:rPr>
        <w:t xml:space="preserve"> R.</w:t>
      </w:r>
      <w:r w:rsidR="00A76242" w:rsidRPr="0057677B">
        <w:rPr>
          <w:rFonts w:ascii="Times New Roman" w:hAnsi="Times New Roman" w:cs="Times New Roman"/>
          <w:color w:val="222222"/>
          <w:sz w:val="24"/>
          <w:szCs w:val="24"/>
          <w:highlight w:val="white"/>
          <w:lang w:val="en-US"/>
        </w:rPr>
        <w:t xml:space="preserve"> </w:t>
      </w:r>
      <w:proofErr w:type="spellStart"/>
      <w:r w:rsidR="00A76242" w:rsidRPr="0057677B">
        <w:rPr>
          <w:rFonts w:ascii="Times New Roman" w:eastAsia="AGMAD A+ MTSY" w:hAnsi="Times New Roman" w:cs="Times New Roman"/>
          <w:sz w:val="24"/>
          <w:szCs w:val="24"/>
          <w:lang w:val="en-US"/>
        </w:rPr>
        <w:t>Sá</w:t>
      </w:r>
      <w:proofErr w:type="spellEnd"/>
      <w:r w:rsidR="00A76242" w:rsidRPr="0057677B">
        <w:rPr>
          <w:rFonts w:ascii="Times New Roman" w:eastAsia="AGMAD A+ MTSY" w:hAnsi="Times New Roman" w:cs="Times New Roman"/>
          <w:sz w:val="24"/>
          <w:szCs w:val="24"/>
          <w:lang w:val="en-US"/>
        </w:rPr>
        <w:t xml:space="preserve"> Machado, K. Diaz-</w:t>
      </w:r>
      <w:proofErr w:type="spellStart"/>
      <w:r w:rsidR="00A76242" w:rsidRPr="0057677B">
        <w:rPr>
          <w:rFonts w:ascii="Times New Roman" w:eastAsia="AGMAD A+ MTSY" w:hAnsi="Times New Roman" w:cs="Times New Roman"/>
          <w:sz w:val="24"/>
          <w:szCs w:val="24"/>
          <w:lang w:val="en-US"/>
        </w:rPr>
        <w:t>Orda</w:t>
      </w:r>
      <w:proofErr w:type="spellEnd"/>
      <w:r w:rsidR="00A76242" w:rsidRPr="0057677B">
        <w:rPr>
          <w:rFonts w:ascii="Times New Roman" w:eastAsia="AGMAD A+ MTSY" w:hAnsi="Times New Roman" w:cs="Times New Roman"/>
          <w:sz w:val="24"/>
          <w:szCs w:val="24"/>
          <w:lang w:val="en-US"/>
        </w:rPr>
        <w:t xml:space="preserve">, D. </w:t>
      </w:r>
      <w:proofErr w:type="spellStart"/>
      <w:r w:rsidR="00A76242" w:rsidRPr="0057677B">
        <w:rPr>
          <w:rFonts w:ascii="Times New Roman" w:eastAsia="AGMAD A+ MTSY" w:hAnsi="Times New Roman" w:cs="Times New Roman"/>
          <w:sz w:val="24"/>
          <w:szCs w:val="24"/>
          <w:lang w:val="en-US"/>
        </w:rPr>
        <w:t>Stuckler</w:t>
      </w:r>
      <w:proofErr w:type="spellEnd"/>
      <w:r w:rsidRPr="0057677B">
        <w:rPr>
          <w:rFonts w:ascii="Times New Roman" w:hAnsi="Times New Roman" w:cs="Times New Roman"/>
          <w:color w:val="222222"/>
          <w:sz w:val="24"/>
          <w:szCs w:val="24"/>
          <w:highlight w:val="white"/>
          <w:lang w:val="en-US"/>
        </w:rPr>
        <w:t>, M. McKee, Effects of the financial crisis and Troika austerity measures on health and health care access in Portugal.</w:t>
      </w:r>
      <w:r w:rsidRPr="0057677B">
        <w:rPr>
          <w:rStyle w:val="apple-converted-space"/>
          <w:rFonts w:ascii="Times New Roman" w:hAnsi="Times New Roman" w:cs="Times New Roman"/>
          <w:color w:val="222222"/>
          <w:sz w:val="24"/>
          <w:szCs w:val="24"/>
          <w:lang w:val="en-US"/>
        </w:rPr>
        <w:t> </w:t>
      </w:r>
      <w:r w:rsidR="0003729F" w:rsidRPr="0057677B">
        <w:rPr>
          <w:rFonts w:ascii="Times New Roman" w:hAnsi="Times New Roman" w:cs="Times New Roman"/>
          <w:i/>
          <w:iCs/>
          <w:color w:val="222222"/>
          <w:sz w:val="24"/>
          <w:szCs w:val="24"/>
          <w:shd w:val="clear" w:color="auto" w:fill="FFFFFF"/>
          <w:lang w:val="en-US"/>
        </w:rPr>
        <w:t>Health Policy</w:t>
      </w:r>
      <w:r w:rsidR="0003729F" w:rsidRPr="0057677B">
        <w:rPr>
          <w:rFonts w:ascii="Times New Roman" w:hAnsi="Times New Roman" w:cs="Times New Roman"/>
          <w:color w:val="222222"/>
          <w:sz w:val="24"/>
          <w:szCs w:val="24"/>
          <w:shd w:val="clear" w:color="auto" w:fill="FFFFFF"/>
          <w:lang w:val="en-US"/>
        </w:rPr>
        <w:t>,</w:t>
      </w:r>
      <w:r w:rsidR="0003729F" w:rsidRPr="0057677B">
        <w:rPr>
          <w:rStyle w:val="apple-converted-space"/>
          <w:rFonts w:ascii="Times New Roman" w:hAnsi="Times New Roman" w:cs="Times New Roman"/>
          <w:color w:val="222222"/>
          <w:sz w:val="24"/>
          <w:szCs w:val="24"/>
          <w:shd w:val="clear" w:color="auto" w:fill="FFFFFF"/>
          <w:lang w:val="en-US"/>
        </w:rPr>
        <w:t> </w:t>
      </w:r>
      <w:r w:rsidR="0003729F" w:rsidRPr="0057677B">
        <w:rPr>
          <w:rFonts w:ascii="Times New Roman" w:hAnsi="Times New Roman" w:cs="Times New Roman"/>
          <w:i/>
          <w:iCs/>
          <w:color w:val="222222"/>
          <w:sz w:val="24"/>
          <w:szCs w:val="24"/>
          <w:shd w:val="clear" w:color="auto" w:fill="FFFFFF"/>
          <w:lang w:val="en-US"/>
        </w:rPr>
        <w:t>120</w:t>
      </w:r>
      <w:r w:rsidR="0003729F" w:rsidRPr="0057677B">
        <w:rPr>
          <w:rFonts w:ascii="Times New Roman" w:hAnsi="Times New Roman" w:cs="Times New Roman"/>
          <w:color w:val="222222"/>
          <w:sz w:val="24"/>
          <w:szCs w:val="24"/>
          <w:shd w:val="clear" w:color="auto" w:fill="FFFFFF"/>
          <w:lang w:val="en-US"/>
        </w:rPr>
        <w:t xml:space="preserve">(7), (2016), 833-839. </w:t>
      </w:r>
    </w:p>
    <w:p w:rsidR="00B67AE8" w:rsidRPr="0003729F" w:rsidRDefault="00B67AE8" w:rsidP="002B4DE0">
      <w:pPr>
        <w:pStyle w:val="a3"/>
        <w:numPr>
          <w:ilvl w:val="0"/>
          <w:numId w:val="4"/>
        </w:numPr>
        <w:spacing w:after="0"/>
        <w:ind w:left="426" w:hanging="539"/>
        <w:jc w:val="both"/>
        <w:rPr>
          <w:lang w:val="en-US"/>
        </w:rPr>
      </w:pPr>
      <w:r w:rsidRPr="0003729F">
        <w:rPr>
          <w:rFonts w:ascii="Times New Roman" w:hAnsi="Times New Roman" w:cs="Times New Roman"/>
          <w:color w:val="222222"/>
          <w:sz w:val="24"/>
          <w:szCs w:val="24"/>
          <w:highlight w:val="white"/>
          <w:lang w:val="en-US"/>
        </w:rPr>
        <w:t xml:space="preserve">D. </w:t>
      </w:r>
      <w:proofErr w:type="spellStart"/>
      <w:r w:rsidRPr="0003729F">
        <w:rPr>
          <w:rFonts w:ascii="Times New Roman" w:hAnsi="Times New Roman" w:cs="Times New Roman"/>
          <w:color w:val="222222"/>
          <w:sz w:val="24"/>
          <w:szCs w:val="24"/>
          <w:highlight w:val="white"/>
          <w:lang w:val="en-US"/>
        </w:rPr>
        <w:t>Zavras</w:t>
      </w:r>
      <w:proofErr w:type="spellEnd"/>
      <w:r w:rsidRPr="0003729F">
        <w:rPr>
          <w:rFonts w:ascii="Times New Roman" w:hAnsi="Times New Roman" w:cs="Times New Roman"/>
          <w:color w:val="222222"/>
          <w:sz w:val="24"/>
          <w:szCs w:val="24"/>
          <w:highlight w:val="white"/>
          <w:lang w:val="en-US"/>
        </w:rPr>
        <w:t xml:space="preserve">, </w:t>
      </w:r>
      <w:proofErr w:type="spellStart"/>
      <w:r w:rsidRPr="0003729F">
        <w:rPr>
          <w:rFonts w:ascii="Times New Roman" w:hAnsi="Times New Roman" w:cs="Times New Roman"/>
          <w:color w:val="222222"/>
          <w:sz w:val="24"/>
          <w:szCs w:val="24"/>
          <w:highlight w:val="white"/>
          <w:lang w:val="en-US"/>
        </w:rPr>
        <w:t>A.I.</w:t>
      </w:r>
      <w:proofErr w:type="spellEnd"/>
      <w:r w:rsidRPr="0003729F">
        <w:rPr>
          <w:rFonts w:ascii="Times New Roman" w:hAnsi="Times New Roman" w:cs="Times New Roman"/>
          <w:color w:val="222222"/>
          <w:sz w:val="24"/>
          <w:szCs w:val="24"/>
          <w:highlight w:val="white"/>
          <w:lang w:val="en-US"/>
        </w:rPr>
        <w:t xml:space="preserve"> </w:t>
      </w:r>
      <w:proofErr w:type="spellStart"/>
      <w:r w:rsidRPr="0003729F">
        <w:rPr>
          <w:rFonts w:ascii="Times New Roman" w:hAnsi="Times New Roman" w:cs="Times New Roman"/>
          <w:color w:val="222222"/>
          <w:sz w:val="24"/>
          <w:szCs w:val="24"/>
          <w:highlight w:val="white"/>
          <w:lang w:val="en-US"/>
        </w:rPr>
        <w:t>Zavras</w:t>
      </w:r>
      <w:proofErr w:type="spellEnd"/>
      <w:r w:rsidRPr="0003729F">
        <w:rPr>
          <w:rFonts w:ascii="Times New Roman" w:hAnsi="Times New Roman" w:cs="Times New Roman"/>
          <w:color w:val="222222"/>
          <w:sz w:val="24"/>
          <w:szCs w:val="24"/>
          <w:highlight w:val="white"/>
          <w:lang w:val="en-US"/>
        </w:rPr>
        <w:t xml:space="preserve">, I. I. </w:t>
      </w:r>
      <w:proofErr w:type="spellStart"/>
      <w:r w:rsidRPr="0003729F">
        <w:rPr>
          <w:rFonts w:ascii="Times New Roman" w:hAnsi="Times New Roman" w:cs="Times New Roman"/>
          <w:color w:val="222222"/>
          <w:sz w:val="24"/>
          <w:szCs w:val="24"/>
          <w:highlight w:val="white"/>
          <w:lang w:val="en-US"/>
        </w:rPr>
        <w:t>Kyriopoulos</w:t>
      </w:r>
      <w:proofErr w:type="spellEnd"/>
      <w:r w:rsidRPr="0003729F">
        <w:rPr>
          <w:rFonts w:ascii="Times New Roman" w:hAnsi="Times New Roman" w:cs="Times New Roman"/>
          <w:color w:val="222222"/>
          <w:sz w:val="24"/>
          <w:szCs w:val="24"/>
          <w:highlight w:val="white"/>
          <w:lang w:val="en-US"/>
        </w:rPr>
        <w:t xml:space="preserve">&amp; J. </w:t>
      </w:r>
      <w:proofErr w:type="spellStart"/>
      <w:r w:rsidRPr="0003729F">
        <w:rPr>
          <w:rFonts w:ascii="Times New Roman" w:hAnsi="Times New Roman" w:cs="Times New Roman"/>
          <w:color w:val="222222"/>
          <w:sz w:val="24"/>
          <w:szCs w:val="24"/>
          <w:highlight w:val="white"/>
          <w:lang w:val="en-US"/>
        </w:rPr>
        <w:t>Kyriopoulos</w:t>
      </w:r>
      <w:proofErr w:type="spellEnd"/>
      <w:r w:rsidRPr="0003729F">
        <w:rPr>
          <w:rFonts w:ascii="Times New Roman" w:hAnsi="Times New Roman" w:cs="Times New Roman"/>
          <w:color w:val="222222"/>
          <w:sz w:val="24"/>
          <w:szCs w:val="24"/>
          <w:highlight w:val="white"/>
          <w:lang w:val="en-US"/>
        </w:rPr>
        <w:t>, Economic crisis, austerity and unmet healthcare needs: the case of Greece.</w:t>
      </w:r>
      <w:r w:rsidRPr="0003729F">
        <w:rPr>
          <w:rStyle w:val="apple-converted-space"/>
          <w:rFonts w:ascii="Times New Roman" w:hAnsi="Times New Roman" w:cs="Times New Roman"/>
          <w:color w:val="222222"/>
          <w:sz w:val="24"/>
          <w:szCs w:val="24"/>
          <w:lang w:val="en-US"/>
        </w:rPr>
        <w:t> </w:t>
      </w:r>
      <w:r w:rsidRPr="0003729F">
        <w:rPr>
          <w:rFonts w:ascii="Times New Roman" w:hAnsi="Times New Roman" w:cs="Times New Roman"/>
          <w:i/>
          <w:iCs/>
          <w:color w:val="222222"/>
          <w:sz w:val="24"/>
          <w:szCs w:val="24"/>
          <w:highlight w:val="white"/>
          <w:lang w:val="en-US"/>
        </w:rPr>
        <w:t>BMC health services research</w:t>
      </w:r>
      <w:r w:rsidRPr="0003729F">
        <w:rPr>
          <w:rFonts w:ascii="Times New Roman" w:hAnsi="Times New Roman" w:cs="Times New Roman"/>
          <w:i/>
          <w:color w:val="222222"/>
          <w:sz w:val="24"/>
          <w:szCs w:val="24"/>
          <w:highlight w:val="white"/>
          <w:lang w:val="en-US"/>
        </w:rPr>
        <w:t>,</w:t>
      </w:r>
      <w:r w:rsidRPr="0003729F">
        <w:rPr>
          <w:rStyle w:val="apple-converted-space"/>
          <w:rFonts w:ascii="Times New Roman" w:hAnsi="Times New Roman" w:cs="Times New Roman"/>
          <w:i/>
          <w:color w:val="222222"/>
          <w:sz w:val="24"/>
          <w:szCs w:val="24"/>
          <w:lang w:val="en-US"/>
        </w:rPr>
        <w:t> </w:t>
      </w:r>
      <w:r w:rsidRPr="0003729F">
        <w:rPr>
          <w:rFonts w:ascii="Times New Roman" w:hAnsi="Times New Roman" w:cs="Times New Roman"/>
          <w:i/>
          <w:iCs/>
          <w:color w:val="222222"/>
          <w:sz w:val="24"/>
          <w:szCs w:val="24"/>
          <w:highlight w:val="white"/>
          <w:lang w:val="en-US"/>
        </w:rPr>
        <w:t>16</w:t>
      </w:r>
      <w:r w:rsidRPr="0003729F">
        <w:rPr>
          <w:rFonts w:ascii="Times New Roman" w:hAnsi="Times New Roman" w:cs="Times New Roman"/>
          <w:color w:val="222222"/>
          <w:sz w:val="24"/>
          <w:szCs w:val="24"/>
          <w:highlight w:val="white"/>
          <w:lang w:val="en-US"/>
        </w:rPr>
        <w:t>(1), (2016), 309.</w:t>
      </w:r>
    </w:p>
    <w:p w:rsidR="00B67AE8" w:rsidRPr="0093023F" w:rsidRDefault="00B67AE8" w:rsidP="002B4DE0">
      <w:pPr>
        <w:pStyle w:val="a3"/>
        <w:numPr>
          <w:ilvl w:val="0"/>
          <w:numId w:val="4"/>
        </w:numPr>
        <w:spacing w:after="0"/>
        <w:ind w:left="426" w:hanging="539"/>
        <w:jc w:val="both"/>
        <w:rPr>
          <w:rFonts w:ascii="Times New Roman" w:hAnsi="Times New Roman" w:cs="Times New Roman"/>
          <w:color w:val="222222"/>
          <w:sz w:val="24"/>
          <w:szCs w:val="24"/>
          <w:lang w:val="en-US"/>
        </w:rPr>
      </w:pPr>
      <w:r w:rsidRPr="0093023F">
        <w:rPr>
          <w:rFonts w:ascii="Times New Roman" w:hAnsi="Times New Roman" w:cs="Times New Roman"/>
          <w:sz w:val="24"/>
          <w:szCs w:val="24"/>
          <w:lang w:val="en-US"/>
        </w:rPr>
        <w:t xml:space="preserve">A. </w:t>
      </w:r>
      <w:proofErr w:type="spellStart"/>
      <w:r w:rsidRPr="0093023F">
        <w:rPr>
          <w:rFonts w:ascii="Times New Roman" w:hAnsi="Times New Roman" w:cs="Times New Roman"/>
          <w:color w:val="222222"/>
          <w:sz w:val="24"/>
          <w:szCs w:val="24"/>
          <w:highlight w:val="white"/>
          <w:lang w:val="en-US"/>
        </w:rPr>
        <w:t>Kentikelenis</w:t>
      </w:r>
      <w:proofErr w:type="spellEnd"/>
      <w:r w:rsidRPr="0093023F">
        <w:rPr>
          <w:rFonts w:ascii="Times New Roman" w:hAnsi="Times New Roman" w:cs="Times New Roman"/>
          <w:color w:val="222222"/>
          <w:sz w:val="24"/>
          <w:szCs w:val="24"/>
          <w:highlight w:val="white"/>
          <w:lang w:val="en-US"/>
        </w:rPr>
        <w:t xml:space="preserve">, M. </w:t>
      </w:r>
      <w:proofErr w:type="spellStart"/>
      <w:r w:rsidRPr="0093023F">
        <w:rPr>
          <w:rFonts w:ascii="Times New Roman" w:hAnsi="Times New Roman" w:cs="Times New Roman"/>
          <w:color w:val="222222"/>
          <w:sz w:val="24"/>
          <w:szCs w:val="24"/>
          <w:highlight w:val="white"/>
          <w:lang w:val="en-US"/>
        </w:rPr>
        <w:t>Karanikolos</w:t>
      </w:r>
      <w:proofErr w:type="spellEnd"/>
      <w:r w:rsidRPr="0093023F">
        <w:rPr>
          <w:rFonts w:ascii="Times New Roman" w:hAnsi="Times New Roman" w:cs="Times New Roman"/>
          <w:color w:val="222222"/>
          <w:sz w:val="24"/>
          <w:szCs w:val="24"/>
          <w:highlight w:val="white"/>
          <w:lang w:val="en-US"/>
        </w:rPr>
        <w:t xml:space="preserve">, A. Reeves, M. McKee, </w:t>
      </w:r>
      <w:proofErr w:type="gramStart"/>
      <w:r w:rsidRPr="0093023F">
        <w:rPr>
          <w:rFonts w:ascii="Times New Roman" w:hAnsi="Times New Roman" w:cs="Times New Roman"/>
          <w:color w:val="222222"/>
          <w:sz w:val="24"/>
          <w:szCs w:val="24"/>
          <w:highlight w:val="white"/>
          <w:lang w:val="en-US"/>
        </w:rPr>
        <w:t>D</w:t>
      </w:r>
      <w:proofErr w:type="gramEnd"/>
      <w:r w:rsidRPr="0093023F">
        <w:rPr>
          <w:rFonts w:ascii="Times New Roman" w:hAnsi="Times New Roman" w:cs="Times New Roman"/>
          <w:color w:val="222222"/>
          <w:sz w:val="24"/>
          <w:szCs w:val="24"/>
          <w:highlight w:val="white"/>
          <w:lang w:val="en-US"/>
        </w:rPr>
        <w:t xml:space="preserve">. </w:t>
      </w:r>
      <w:proofErr w:type="spellStart"/>
      <w:r w:rsidRPr="0093023F">
        <w:rPr>
          <w:rFonts w:ascii="Times New Roman" w:hAnsi="Times New Roman" w:cs="Times New Roman"/>
          <w:color w:val="222222"/>
          <w:sz w:val="24"/>
          <w:szCs w:val="24"/>
          <w:highlight w:val="white"/>
          <w:lang w:val="en-US"/>
        </w:rPr>
        <w:t>Stuckler</w:t>
      </w:r>
      <w:proofErr w:type="spellEnd"/>
      <w:r w:rsidRPr="0093023F">
        <w:rPr>
          <w:rFonts w:ascii="Times New Roman" w:hAnsi="Times New Roman" w:cs="Times New Roman"/>
          <w:color w:val="222222"/>
          <w:sz w:val="24"/>
          <w:szCs w:val="24"/>
          <w:highlight w:val="white"/>
          <w:lang w:val="en-US"/>
        </w:rPr>
        <w:t xml:space="preserve">, Greece’s health crisis: from austerity to </w:t>
      </w:r>
      <w:proofErr w:type="spellStart"/>
      <w:r w:rsidRPr="0093023F">
        <w:rPr>
          <w:rFonts w:ascii="Times New Roman" w:hAnsi="Times New Roman" w:cs="Times New Roman"/>
          <w:color w:val="222222"/>
          <w:sz w:val="24"/>
          <w:szCs w:val="24"/>
          <w:highlight w:val="white"/>
          <w:lang w:val="en-US"/>
        </w:rPr>
        <w:t>denialism</w:t>
      </w:r>
      <w:proofErr w:type="spellEnd"/>
      <w:r w:rsidRPr="0093023F">
        <w:rPr>
          <w:rFonts w:ascii="Times New Roman" w:hAnsi="Times New Roman" w:cs="Times New Roman"/>
          <w:color w:val="222222"/>
          <w:sz w:val="24"/>
          <w:szCs w:val="24"/>
          <w:highlight w:val="white"/>
          <w:lang w:val="en-US"/>
        </w:rPr>
        <w:t>.</w:t>
      </w:r>
      <w:r w:rsidRPr="0093023F">
        <w:rPr>
          <w:rStyle w:val="apple-converted-space"/>
          <w:rFonts w:ascii="Times New Roman" w:hAnsi="Times New Roman" w:cs="Times New Roman"/>
          <w:color w:val="222222"/>
          <w:sz w:val="24"/>
          <w:szCs w:val="24"/>
          <w:lang w:val="en-US"/>
        </w:rPr>
        <w:t> </w:t>
      </w:r>
      <w:r w:rsidR="0003729F" w:rsidRPr="0003729F">
        <w:rPr>
          <w:rStyle w:val="apple-converted-space"/>
          <w:rFonts w:ascii="Times New Roman" w:hAnsi="Times New Roman" w:cs="Times New Roman"/>
          <w:i/>
          <w:color w:val="222222"/>
          <w:sz w:val="24"/>
          <w:szCs w:val="24"/>
          <w:lang w:val="en-US"/>
        </w:rPr>
        <w:t>The Lancet, 383</w:t>
      </w:r>
      <w:r w:rsidR="0003729F" w:rsidRPr="0003729F">
        <w:rPr>
          <w:rStyle w:val="apple-converted-space"/>
          <w:rFonts w:ascii="Times New Roman" w:hAnsi="Times New Roman" w:cs="Times New Roman"/>
          <w:color w:val="222222"/>
          <w:sz w:val="24"/>
          <w:szCs w:val="24"/>
          <w:lang w:val="en-US"/>
        </w:rPr>
        <w:t>(9918), (2014), 748-753.</w:t>
      </w:r>
    </w:p>
    <w:p w:rsidR="0016326C" w:rsidRPr="0016326C" w:rsidRDefault="00B67AE8" w:rsidP="002B4DE0">
      <w:pPr>
        <w:pStyle w:val="a3"/>
        <w:numPr>
          <w:ilvl w:val="0"/>
          <w:numId w:val="4"/>
        </w:numPr>
        <w:spacing w:after="0"/>
        <w:ind w:left="426" w:hanging="539"/>
        <w:jc w:val="both"/>
        <w:rPr>
          <w:rFonts w:ascii="Times New Roman" w:hAnsi="Times New Roman" w:cs="Times New Roman"/>
          <w:color w:val="222222"/>
          <w:sz w:val="24"/>
          <w:szCs w:val="24"/>
          <w:lang w:val="en-US"/>
        </w:rPr>
      </w:pPr>
      <w:r w:rsidRPr="0016326C">
        <w:rPr>
          <w:rFonts w:ascii="Times New Roman" w:hAnsi="Times New Roman" w:cs="Times New Roman"/>
          <w:sz w:val="24"/>
          <w:szCs w:val="24"/>
          <w:lang w:val="en-US"/>
        </w:rPr>
        <w:t xml:space="preserve">N. </w:t>
      </w:r>
      <w:proofErr w:type="spellStart"/>
      <w:r w:rsidRPr="0016326C">
        <w:rPr>
          <w:rFonts w:ascii="Times New Roman" w:hAnsi="Times New Roman" w:cs="Times New Roman"/>
          <w:color w:val="222222"/>
          <w:sz w:val="24"/>
          <w:szCs w:val="24"/>
          <w:highlight w:val="white"/>
          <w:lang w:val="en-US"/>
        </w:rPr>
        <w:t>Vlachadis</w:t>
      </w:r>
      <w:proofErr w:type="spellEnd"/>
      <w:r w:rsidRPr="0016326C">
        <w:rPr>
          <w:rFonts w:ascii="Times New Roman" w:hAnsi="Times New Roman" w:cs="Times New Roman"/>
          <w:color w:val="222222"/>
          <w:sz w:val="24"/>
          <w:szCs w:val="24"/>
          <w:highlight w:val="white"/>
          <w:lang w:val="en-US"/>
        </w:rPr>
        <w:t xml:space="preserve">, N. </w:t>
      </w:r>
      <w:proofErr w:type="spellStart"/>
      <w:r w:rsidRPr="0016326C">
        <w:rPr>
          <w:rFonts w:ascii="Times New Roman" w:hAnsi="Times New Roman" w:cs="Times New Roman"/>
          <w:color w:val="222222"/>
          <w:sz w:val="24"/>
          <w:szCs w:val="24"/>
          <w:highlight w:val="white"/>
          <w:lang w:val="en-US"/>
        </w:rPr>
        <w:t>Vrachnis</w:t>
      </w:r>
      <w:proofErr w:type="spellEnd"/>
      <w:r w:rsidRPr="0016326C">
        <w:rPr>
          <w:rFonts w:ascii="Times New Roman" w:hAnsi="Times New Roman" w:cs="Times New Roman"/>
          <w:color w:val="222222"/>
          <w:sz w:val="24"/>
          <w:szCs w:val="24"/>
          <w:highlight w:val="white"/>
          <w:lang w:val="en-US"/>
        </w:rPr>
        <w:t xml:space="preserve">, E. </w:t>
      </w:r>
      <w:proofErr w:type="spellStart"/>
      <w:r w:rsidRPr="0016326C">
        <w:rPr>
          <w:rFonts w:ascii="Times New Roman" w:hAnsi="Times New Roman" w:cs="Times New Roman"/>
          <w:color w:val="222222"/>
          <w:sz w:val="24"/>
          <w:szCs w:val="24"/>
          <w:highlight w:val="white"/>
          <w:lang w:val="en-US"/>
        </w:rPr>
        <w:t>Ktenas</w:t>
      </w:r>
      <w:proofErr w:type="spellEnd"/>
      <w:r w:rsidRPr="0016326C">
        <w:rPr>
          <w:rFonts w:ascii="Times New Roman" w:hAnsi="Times New Roman" w:cs="Times New Roman"/>
          <w:color w:val="222222"/>
          <w:sz w:val="24"/>
          <w:szCs w:val="24"/>
          <w:highlight w:val="white"/>
          <w:lang w:val="en-US"/>
        </w:rPr>
        <w:t xml:space="preserve">, M. </w:t>
      </w:r>
      <w:proofErr w:type="spellStart"/>
      <w:r w:rsidRPr="0016326C">
        <w:rPr>
          <w:rFonts w:ascii="Times New Roman" w:hAnsi="Times New Roman" w:cs="Times New Roman"/>
          <w:color w:val="222222"/>
          <w:sz w:val="24"/>
          <w:szCs w:val="24"/>
          <w:highlight w:val="white"/>
          <w:lang w:val="en-US"/>
        </w:rPr>
        <w:t>Vlachadi</w:t>
      </w:r>
      <w:proofErr w:type="spellEnd"/>
      <w:r w:rsidRPr="0016326C">
        <w:rPr>
          <w:rFonts w:ascii="Times New Roman" w:hAnsi="Times New Roman" w:cs="Times New Roman"/>
          <w:color w:val="222222"/>
          <w:sz w:val="24"/>
          <w:szCs w:val="24"/>
          <w:highlight w:val="white"/>
          <w:lang w:val="en-US"/>
        </w:rPr>
        <w:t xml:space="preserve">, E. </w:t>
      </w:r>
      <w:proofErr w:type="spellStart"/>
      <w:r w:rsidRPr="0016326C">
        <w:rPr>
          <w:rFonts w:ascii="Times New Roman" w:hAnsi="Times New Roman" w:cs="Times New Roman"/>
          <w:color w:val="222222"/>
          <w:sz w:val="24"/>
          <w:szCs w:val="24"/>
          <w:highlight w:val="white"/>
          <w:lang w:val="en-US"/>
        </w:rPr>
        <w:t>Kornarou</w:t>
      </w:r>
      <w:proofErr w:type="spellEnd"/>
      <w:r w:rsidRPr="0016326C">
        <w:rPr>
          <w:rFonts w:ascii="Times New Roman" w:hAnsi="Times New Roman" w:cs="Times New Roman"/>
          <w:color w:val="222222"/>
          <w:sz w:val="24"/>
          <w:szCs w:val="24"/>
          <w:highlight w:val="white"/>
          <w:lang w:val="en-US"/>
        </w:rPr>
        <w:t>, Mortality and the economic crisis in Greece.</w:t>
      </w:r>
      <w:r w:rsidRPr="0016326C">
        <w:rPr>
          <w:rStyle w:val="apple-converted-space"/>
          <w:rFonts w:ascii="Times New Roman" w:hAnsi="Times New Roman" w:cs="Times New Roman"/>
          <w:color w:val="222222"/>
          <w:sz w:val="24"/>
          <w:szCs w:val="24"/>
          <w:lang w:val="en-US"/>
        </w:rPr>
        <w:t> </w:t>
      </w:r>
      <w:r w:rsidR="0013175D" w:rsidRPr="0016326C">
        <w:rPr>
          <w:rStyle w:val="apple-converted-space"/>
          <w:rFonts w:ascii="Times New Roman" w:hAnsi="Times New Roman" w:cs="Times New Roman"/>
          <w:i/>
          <w:color w:val="222222"/>
          <w:sz w:val="24"/>
          <w:szCs w:val="24"/>
          <w:lang w:val="en-US"/>
        </w:rPr>
        <w:t xml:space="preserve">The </w:t>
      </w:r>
      <w:r w:rsidRPr="0016326C">
        <w:rPr>
          <w:rFonts w:ascii="Times New Roman" w:hAnsi="Times New Roman" w:cs="Times New Roman"/>
          <w:i/>
          <w:iCs/>
          <w:color w:val="222222"/>
          <w:sz w:val="24"/>
          <w:szCs w:val="24"/>
          <w:highlight w:val="white"/>
          <w:lang w:val="en-US"/>
        </w:rPr>
        <w:t>Lancet</w:t>
      </w:r>
      <w:r w:rsidRPr="0016326C">
        <w:rPr>
          <w:rFonts w:ascii="Times New Roman" w:hAnsi="Times New Roman" w:cs="Times New Roman"/>
          <w:color w:val="222222"/>
          <w:sz w:val="24"/>
          <w:szCs w:val="24"/>
          <w:highlight w:val="white"/>
          <w:lang w:val="en-US"/>
        </w:rPr>
        <w:t>,</w:t>
      </w:r>
      <w:r w:rsidRPr="0016326C">
        <w:rPr>
          <w:rStyle w:val="apple-converted-space"/>
          <w:rFonts w:ascii="Times New Roman" w:hAnsi="Times New Roman" w:cs="Times New Roman"/>
          <w:color w:val="222222"/>
          <w:sz w:val="24"/>
          <w:szCs w:val="24"/>
          <w:lang w:val="en-US"/>
        </w:rPr>
        <w:t> </w:t>
      </w:r>
      <w:r w:rsidRPr="0016326C">
        <w:rPr>
          <w:rFonts w:ascii="Times New Roman" w:hAnsi="Times New Roman" w:cs="Times New Roman"/>
          <w:i/>
          <w:iCs/>
          <w:color w:val="222222"/>
          <w:sz w:val="24"/>
          <w:szCs w:val="24"/>
          <w:highlight w:val="white"/>
          <w:lang w:val="en-US"/>
        </w:rPr>
        <w:t>383</w:t>
      </w:r>
      <w:r w:rsidRPr="0016326C">
        <w:rPr>
          <w:rFonts w:ascii="Times New Roman" w:hAnsi="Times New Roman" w:cs="Times New Roman"/>
          <w:color w:val="222222"/>
          <w:sz w:val="24"/>
          <w:szCs w:val="24"/>
          <w:highlight w:val="white"/>
          <w:lang w:val="en-US"/>
        </w:rPr>
        <w:t xml:space="preserve">(9918), </w:t>
      </w:r>
      <w:r w:rsidR="0016326C">
        <w:rPr>
          <w:rFonts w:ascii="Times New Roman" w:hAnsi="Times New Roman" w:cs="Times New Roman"/>
          <w:color w:val="222222"/>
          <w:sz w:val="24"/>
          <w:szCs w:val="24"/>
          <w:highlight w:val="white"/>
          <w:lang w:val="en-US"/>
        </w:rPr>
        <w:t>(</w:t>
      </w:r>
      <w:r w:rsidR="0016326C" w:rsidRPr="0016326C">
        <w:rPr>
          <w:rFonts w:ascii="Times New Roman" w:hAnsi="Times New Roman" w:cs="Times New Roman"/>
          <w:iCs/>
          <w:color w:val="222222"/>
          <w:sz w:val="24"/>
          <w:szCs w:val="24"/>
          <w:highlight w:val="white"/>
          <w:lang w:val="en-US"/>
        </w:rPr>
        <w:t>2014</w:t>
      </w:r>
      <w:r w:rsidR="0016326C">
        <w:rPr>
          <w:rFonts w:ascii="Times New Roman" w:hAnsi="Times New Roman" w:cs="Times New Roman"/>
          <w:iCs/>
          <w:color w:val="222222"/>
          <w:sz w:val="24"/>
          <w:szCs w:val="24"/>
          <w:highlight w:val="white"/>
          <w:lang w:val="en-US"/>
        </w:rPr>
        <w:t xml:space="preserve">), </w:t>
      </w:r>
      <w:r w:rsidRPr="0016326C">
        <w:rPr>
          <w:rFonts w:ascii="Times New Roman" w:hAnsi="Times New Roman" w:cs="Times New Roman"/>
          <w:color w:val="222222"/>
          <w:sz w:val="24"/>
          <w:szCs w:val="24"/>
          <w:highlight w:val="white"/>
          <w:lang w:val="en-US"/>
        </w:rPr>
        <w:t>691.</w:t>
      </w:r>
      <w:r w:rsidR="0016326C" w:rsidRPr="0016326C">
        <w:rPr>
          <w:lang w:val="en-US"/>
        </w:rPr>
        <w:t xml:space="preserve"> </w:t>
      </w:r>
    </w:p>
    <w:p w:rsidR="002B4DE0" w:rsidRPr="002B4DE0" w:rsidRDefault="00B67AE8" w:rsidP="002B4DE0">
      <w:pPr>
        <w:pStyle w:val="a3"/>
        <w:numPr>
          <w:ilvl w:val="0"/>
          <w:numId w:val="4"/>
        </w:numPr>
        <w:spacing w:after="0"/>
        <w:ind w:left="426" w:hanging="539"/>
        <w:jc w:val="both"/>
        <w:rPr>
          <w:rFonts w:ascii="Times New Roman" w:hAnsi="Times New Roman" w:cs="Times New Roman"/>
          <w:color w:val="222222"/>
          <w:sz w:val="24"/>
          <w:szCs w:val="24"/>
          <w:lang w:val="en-US"/>
        </w:rPr>
      </w:pPr>
      <w:r w:rsidRPr="0016326C">
        <w:rPr>
          <w:rFonts w:ascii="Times New Roman" w:hAnsi="Times New Roman" w:cs="Times New Roman"/>
          <w:color w:val="222222"/>
          <w:sz w:val="24"/>
          <w:szCs w:val="24"/>
          <w:highlight w:val="white"/>
          <w:lang w:val="en-US"/>
        </w:rPr>
        <w:t xml:space="preserve">P. Santana, C. Costa, G. Cardoso, A. </w:t>
      </w:r>
      <w:proofErr w:type="spellStart"/>
      <w:r w:rsidRPr="0016326C">
        <w:rPr>
          <w:rFonts w:ascii="Times New Roman" w:hAnsi="Times New Roman" w:cs="Times New Roman"/>
          <w:color w:val="222222"/>
          <w:sz w:val="24"/>
          <w:szCs w:val="24"/>
          <w:highlight w:val="white"/>
          <w:lang w:val="en-US"/>
        </w:rPr>
        <w:t>Loureiro</w:t>
      </w:r>
      <w:proofErr w:type="spellEnd"/>
      <w:r w:rsidRPr="0016326C">
        <w:rPr>
          <w:rFonts w:ascii="Times New Roman" w:hAnsi="Times New Roman" w:cs="Times New Roman"/>
          <w:color w:val="222222"/>
          <w:sz w:val="24"/>
          <w:szCs w:val="24"/>
          <w:highlight w:val="white"/>
          <w:lang w:val="en-US"/>
        </w:rPr>
        <w:t xml:space="preserve">, J. </w:t>
      </w:r>
      <w:proofErr w:type="spellStart"/>
      <w:r w:rsidRPr="0016326C">
        <w:rPr>
          <w:rFonts w:ascii="Times New Roman" w:hAnsi="Times New Roman" w:cs="Times New Roman"/>
          <w:color w:val="222222"/>
          <w:sz w:val="24"/>
          <w:szCs w:val="24"/>
          <w:highlight w:val="white"/>
          <w:lang w:val="en-US"/>
        </w:rPr>
        <w:t>Ferrão</w:t>
      </w:r>
      <w:proofErr w:type="spellEnd"/>
      <w:r w:rsidRPr="0016326C">
        <w:rPr>
          <w:rFonts w:ascii="Times New Roman" w:hAnsi="Times New Roman" w:cs="Times New Roman"/>
          <w:color w:val="222222"/>
          <w:sz w:val="24"/>
          <w:szCs w:val="24"/>
          <w:highlight w:val="white"/>
          <w:lang w:val="en-US"/>
        </w:rPr>
        <w:t>, Suicide in Portugal: Spatial determinants in a context of economic crisis.</w:t>
      </w:r>
      <w:r w:rsidRPr="0016326C">
        <w:rPr>
          <w:rStyle w:val="apple-converted-space"/>
          <w:rFonts w:ascii="Times New Roman" w:hAnsi="Times New Roman" w:cs="Times New Roman"/>
          <w:color w:val="222222"/>
          <w:sz w:val="24"/>
          <w:szCs w:val="24"/>
          <w:lang w:val="en-US"/>
        </w:rPr>
        <w:t> </w:t>
      </w:r>
      <w:r w:rsidRPr="0057677B">
        <w:rPr>
          <w:rFonts w:ascii="Times New Roman" w:hAnsi="Times New Roman" w:cs="Times New Roman"/>
          <w:i/>
          <w:iCs/>
          <w:color w:val="222222"/>
          <w:sz w:val="24"/>
          <w:szCs w:val="24"/>
          <w:highlight w:val="white"/>
          <w:lang w:val="en-US"/>
        </w:rPr>
        <w:t>Health &amp; Place</w:t>
      </w:r>
      <w:r w:rsidRPr="0057677B">
        <w:rPr>
          <w:rFonts w:ascii="Times New Roman" w:hAnsi="Times New Roman" w:cs="Times New Roman"/>
          <w:i/>
          <w:color w:val="222222"/>
          <w:sz w:val="24"/>
          <w:szCs w:val="24"/>
          <w:highlight w:val="white"/>
          <w:lang w:val="en-US"/>
        </w:rPr>
        <w:t>,</w:t>
      </w:r>
      <w:r w:rsidRPr="0057677B">
        <w:rPr>
          <w:rStyle w:val="apple-converted-space"/>
          <w:rFonts w:ascii="Times New Roman" w:hAnsi="Times New Roman" w:cs="Times New Roman"/>
          <w:i/>
          <w:color w:val="222222"/>
          <w:sz w:val="24"/>
          <w:szCs w:val="24"/>
          <w:lang w:val="en-US"/>
        </w:rPr>
        <w:t xml:space="preserve"> Vol. </w:t>
      </w:r>
      <w:r w:rsidRPr="0057677B">
        <w:rPr>
          <w:rFonts w:ascii="Times New Roman" w:hAnsi="Times New Roman" w:cs="Times New Roman"/>
          <w:i/>
          <w:iCs/>
          <w:color w:val="222222"/>
          <w:sz w:val="24"/>
          <w:szCs w:val="24"/>
          <w:highlight w:val="white"/>
          <w:lang w:val="en-US"/>
        </w:rPr>
        <w:t>35</w:t>
      </w:r>
      <w:r w:rsidRPr="0057677B">
        <w:rPr>
          <w:rFonts w:ascii="Times New Roman" w:hAnsi="Times New Roman" w:cs="Times New Roman"/>
          <w:i/>
          <w:color w:val="222222"/>
          <w:sz w:val="24"/>
          <w:szCs w:val="24"/>
          <w:highlight w:val="white"/>
          <w:lang w:val="en-US"/>
        </w:rPr>
        <w:t>,</w:t>
      </w:r>
      <w:r w:rsidRPr="0016326C">
        <w:rPr>
          <w:rFonts w:ascii="Times New Roman" w:hAnsi="Times New Roman" w:cs="Times New Roman"/>
          <w:color w:val="222222"/>
          <w:sz w:val="24"/>
          <w:szCs w:val="24"/>
          <w:highlight w:val="white"/>
          <w:lang w:val="en-US"/>
        </w:rPr>
        <w:t xml:space="preserve"> (2015), 85-94.</w:t>
      </w:r>
    </w:p>
    <w:p w:rsidR="002B4DE0" w:rsidRPr="002B4DE0" w:rsidRDefault="00B67AE8" w:rsidP="002B4DE0">
      <w:pPr>
        <w:pStyle w:val="a3"/>
        <w:numPr>
          <w:ilvl w:val="0"/>
          <w:numId w:val="4"/>
        </w:numPr>
        <w:spacing w:after="0"/>
        <w:ind w:left="426" w:hanging="539"/>
        <w:jc w:val="both"/>
        <w:rPr>
          <w:rFonts w:ascii="Times New Roman" w:hAnsi="Times New Roman" w:cs="Times New Roman"/>
          <w:color w:val="222222"/>
          <w:sz w:val="24"/>
          <w:szCs w:val="24"/>
          <w:lang w:val="en-US"/>
        </w:rPr>
      </w:pPr>
      <w:r w:rsidRPr="002B4DE0">
        <w:rPr>
          <w:rFonts w:ascii="Times New Roman" w:hAnsi="Times New Roman" w:cs="Times New Roman"/>
          <w:color w:val="222222"/>
          <w:sz w:val="24"/>
          <w:szCs w:val="24"/>
          <w:highlight w:val="white"/>
          <w:lang w:val="en-US"/>
        </w:rPr>
        <w:t>J.A.T. Granados, J. M. Rodriguez, Health, economic crisis, and austerity: A comparison of Greece, Finland and Iceland.</w:t>
      </w:r>
      <w:r w:rsidRPr="002B4DE0">
        <w:rPr>
          <w:rStyle w:val="apple-converted-space"/>
          <w:rFonts w:ascii="Times New Roman" w:hAnsi="Times New Roman" w:cs="Times New Roman"/>
          <w:color w:val="222222"/>
          <w:sz w:val="24"/>
          <w:szCs w:val="24"/>
          <w:lang w:val="en-US"/>
        </w:rPr>
        <w:t> </w:t>
      </w:r>
      <w:r w:rsidR="002B4DE0" w:rsidRPr="002B4DE0">
        <w:rPr>
          <w:rFonts w:ascii="Times New Roman" w:eastAsia="Calibri" w:hAnsi="Times New Roman" w:cs="Times New Roman"/>
          <w:i/>
          <w:iCs/>
          <w:color w:val="222222"/>
          <w:sz w:val="24"/>
          <w:szCs w:val="24"/>
          <w:shd w:val="clear" w:color="auto" w:fill="FFFFFF"/>
          <w:lang w:val="en-US"/>
        </w:rPr>
        <w:t>Health Policy</w:t>
      </w:r>
      <w:r w:rsidR="002B4DE0" w:rsidRPr="002B4DE0">
        <w:rPr>
          <w:rFonts w:ascii="Times New Roman" w:eastAsia="Calibri" w:hAnsi="Times New Roman" w:cs="Times New Roman"/>
          <w:color w:val="222222"/>
          <w:sz w:val="24"/>
          <w:szCs w:val="24"/>
          <w:shd w:val="clear" w:color="auto" w:fill="FFFFFF"/>
          <w:lang w:val="en-US"/>
        </w:rPr>
        <w:t>,</w:t>
      </w:r>
      <w:r w:rsidR="002B4DE0" w:rsidRPr="002B4DE0">
        <w:rPr>
          <w:rFonts w:ascii="Times New Roman" w:eastAsia="Calibri" w:hAnsi="Times New Roman" w:cs="Times New Roman"/>
          <w:color w:val="222222"/>
          <w:sz w:val="24"/>
          <w:lang w:val="en-US"/>
        </w:rPr>
        <w:t> </w:t>
      </w:r>
      <w:r w:rsidR="002B4DE0" w:rsidRPr="002B4DE0">
        <w:rPr>
          <w:rFonts w:ascii="Times New Roman" w:eastAsia="Calibri" w:hAnsi="Times New Roman" w:cs="Times New Roman"/>
          <w:i/>
          <w:iCs/>
          <w:color w:val="222222"/>
          <w:sz w:val="24"/>
          <w:szCs w:val="24"/>
          <w:shd w:val="clear" w:color="auto" w:fill="FFFFFF"/>
          <w:lang w:val="en-US"/>
        </w:rPr>
        <w:t>119</w:t>
      </w:r>
      <w:r w:rsidR="002B4DE0" w:rsidRPr="002B4DE0">
        <w:rPr>
          <w:rFonts w:ascii="Times New Roman" w:eastAsia="Calibri" w:hAnsi="Times New Roman" w:cs="Times New Roman"/>
          <w:color w:val="222222"/>
          <w:sz w:val="24"/>
          <w:szCs w:val="24"/>
          <w:shd w:val="clear" w:color="auto" w:fill="FFFFFF"/>
          <w:lang w:val="en-US"/>
        </w:rPr>
        <w:t>(7), (2015), 941-953.</w:t>
      </w:r>
    </w:p>
    <w:p w:rsidR="003937E7" w:rsidRPr="003937E7" w:rsidRDefault="00B67AE8" w:rsidP="003937E7">
      <w:pPr>
        <w:pStyle w:val="a3"/>
        <w:numPr>
          <w:ilvl w:val="0"/>
          <w:numId w:val="4"/>
        </w:numPr>
        <w:spacing w:after="0"/>
        <w:ind w:left="426" w:hanging="539"/>
        <w:jc w:val="both"/>
        <w:rPr>
          <w:rFonts w:ascii="Times New Roman" w:hAnsi="Times New Roman" w:cs="Times New Roman"/>
          <w:iCs/>
          <w:color w:val="222222"/>
          <w:sz w:val="24"/>
          <w:szCs w:val="24"/>
          <w:highlight w:val="white"/>
          <w:lang w:val="en-US"/>
        </w:rPr>
      </w:pPr>
      <w:r w:rsidRPr="003937E7">
        <w:rPr>
          <w:rFonts w:ascii="Times New Roman" w:hAnsi="Times New Roman" w:cs="Times New Roman"/>
          <w:color w:val="222222"/>
          <w:sz w:val="24"/>
          <w:szCs w:val="24"/>
          <w:highlight w:val="white"/>
          <w:lang w:val="en-US"/>
        </w:rPr>
        <w:t xml:space="preserve">F. </w:t>
      </w:r>
      <w:proofErr w:type="spellStart"/>
      <w:r w:rsidRPr="003937E7">
        <w:rPr>
          <w:rFonts w:ascii="Times New Roman" w:hAnsi="Times New Roman" w:cs="Times New Roman"/>
          <w:color w:val="222222"/>
          <w:sz w:val="24"/>
          <w:szCs w:val="24"/>
          <w:highlight w:val="white"/>
          <w:lang w:val="en-US"/>
        </w:rPr>
        <w:t>Anastasiou</w:t>
      </w:r>
      <w:proofErr w:type="spellEnd"/>
      <w:r w:rsidRPr="003937E7">
        <w:rPr>
          <w:rFonts w:ascii="Times New Roman" w:hAnsi="Times New Roman" w:cs="Times New Roman"/>
          <w:color w:val="222222"/>
          <w:sz w:val="24"/>
          <w:szCs w:val="24"/>
          <w:highlight w:val="white"/>
          <w:lang w:val="en-US"/>
        </w:rPr>
        <w:t xml:space="preserve">, M. </w:t>
      </w:r>
      <w:proofErr w:type="spellStart"/>
      <w:r w:rsidRPr="003937E7">
        <w:rPr>
          <w:rFonts w:ascii="Times New Roman" w:hAnsi="Times New Roman" w:cs="Times New Roman"/>
          <w:color w:val="222222"/>
          <w:sz w:val="24"/>
          <w:szCs w:val="24"/>
          <w:highlight w:val="white"/>
          <w:lang w:val="en-US"/>
        </w:rPr>
        <w:t>Antonopoulou</w:t>
      </w:r>
      <w:proofErr w:type="spellEnd"/>
      <w:r w:rsidRPr="003937E7">
        <w:rPr>
          <w:rFonts w:ascii="Times New Roman" w:hAnsi="Times New Roman" w:cs="Times New Roman"/>
          <w:color w:val="222222"/>
          <w:sz w:val="24"/>
          <w:szCs w:val="24"/>
          <w:highlight w:val="white"/>
          <w:lang w:val="en-US"/>
        </w:rPr>
        <w:t xml:space="preserve">, I. </w:t>
      </w:r>
      <w:proofErr w:type="spellStart"/>
      <w:r w:rsidRPr="003937E7">
        <w:rPr>
          <w:rFonts w:ascii="Times New Roman" w:hAnsi="Times New Roman" w:cs="Times New Roman"/>
          <w:color w:val="222222"/>
          <w:sz w:val="24"/>
          <w:szCs w:val="24"/>
          <w:highlight w:val="white"/>
          <w:lang w:val="en-US"/>
        </w:rPr>
        <w:t>Tsiligianni</w:t>
      </w:r>
      <w:proofErr w:type="spellEnd"/>
      <w:r w:rsidRPr="003937E7">
        <w:rPr>
          <w:rFonts w:ascii="Times New Roman" w:hAnsi="Times New Roman" w:cs="Times New Roman"/>
          <w:color w:val="222222"/>
          <w:sz w:val="24"/>
          <w:szCs w:val="24"/>
          <w:highlight w:val="white"/>
          <w:lang w:val="en-US"/>
        </w:rPr>
        <w:t xml:space="preserve">, C. </w:t>
      </w:r>
      <w:proofErr w:type="spellStart"/>
      <w:r w:rsidRPr="003937E7">
        <w:rPr>
          <w:rFonts w:ascii="Times New Roman" w:hAnsi="Times New Roman" w:cs="Times New Roman"/>
          <w:color w:val="222222"/>
          <w:sz w:val="24"/>
          <w:szCs w:val="24"/>
          <w:highlight w:val="white"/>
          <w:lang w:val="en-US"/>
        </w:rPr>
        <w:t>Lionis</w:t>
      </w:r>
      <w:proofErr w:type="spellEnd"/>
      <w:r w:rsidRPr="003937E7">
        <w:rPr>
          <w:rFonts w:ascii="Times New Roman" w:hAnsi="Times New Roman" w:cs="Times New Roman"/>
          <w:color w:val="222222"/>
          <w:sz w:val="24"/>
          <w:szCs w:val="24"/>
          <w:highlight w:val="white"/>
          <w:lang w:val="en-US"/>
        </w:rPr>
        <w:t>, Long term impact of the economic crisis on health care in the Greek setting: The Pandora box?.</w:t>
      </w:r>
      <w:r w:rsidRPr="003937E7">
        <w:rPr>
          <w:rStyle w:val="apple-converted-space"/>
          <w:rFonts w:ascii="Times New Roman" w:hAnsi="Times New Roman" w:cs="Times New Roman"/>
          <w:color w:val="222222"/>
          <w:sz w:val="24"/>
          <w:szCs w:val="24"/>
          <w:lang w:val="en-US"/>
        </w:rPr>
        <w:t> </w:t>
      </w:r>
      <w:r w:rsidR="003937E7" w:rsidRPr="003937E7">
        <w:rPr>
          <w:rFonts w:ascii="Times New Roman" w:hAnsi="Times New Roman" w:cs="Times New Roman"/>
          <w:i/>
          <w:iCs/>
          <w:color w:val="222222"/>
          <w:sz w:val="24"/>
          <w:szCs w:val="24"/>
          <w:highlight w:val="white"/>
          <w:lang w:val="en-US"/>
        </w:rPr>
        <w:t>Health Policy</w:t>
      </w:r>
      <w:r w:rsidR="003937E7" w:rsidRPr="003937E7">
        <w:rPr>
          <w:rFonts w:ascii="Times New Roman" w:hAnsi="Times New Roman" w:cs="Times New Roman"/>
          <w:iCs/>
          <w:color w:val="222222"/>
          <w:sz w:val="24"/>
          <w:szCs w:val="24"/>
          <w:highlight w:val="white"/>
          <w:lang w:val="en-US"/>
        </w:rPr>
        <w:t>, </w:t>
      </w:r>
      <w:r w:rsidR="003937E7" w:rsidRPr="003937E7">
        <w:rPr>
          <w:rFonts w:ascii="Times New Roman" w:hAnsi="Times New Roman" w:cs="Times New Roman"/>
          <w:i/>
          <w:iCs/>
          <w:color w:val="222222"/>
          <w:sz w:val="24"/>
          <w:szCs w:val="24"/>
          <w:highlight w:val="white"/>
          <w:lang w:val="en-US"/>
        </w:rPr>
        <w:t>120</w:t>
      </w:r>
      <w:r w:rsidR="003937E7" w:rsidRPr="003937E7">
        <w:rPr>
          <w:rFonts w:ascii="Times New Roman" w:hAnsi="Times New Roman" w:cs="Times New Roman"/>
          <w:iCs/>
          <w:color w:val="222222"/>
          <w:sz w:val="24"/>
          <w:szCs w:val="24"/>
          <w:highlight w:val="white"/>
          <w:lang w:val="en-US"/>
        </w:rPr>
        <w:t>(7), (2016), 860.</w:t>
      </w:r>
    </w:p>
    <w:p w:rsidR="00B67AE8" w:rsidRPr="003937E7" w:rsidRDefault="00B67AE8" w:rsidP="002B4DE0">
      <w:pPr>
        <w:pStyle w:val="a3"/>
        <w:numPr>
          <w:ilvl w:val="0"/>
          <w:numId w:val="4"/>
        </w:numPr>
        <w:spacing w:after="0"/>
        <w:ind w:left="426" w:hanging="539"/>
        <w:jc w:val="both"/>
        <w:rPr>
          <w:lang w:val="en-US"/>
        </w:rPr>
      </w:pPr>
      <w:r w:rsidRPr="003937E7">
        <w:rPr>
          <w:rFonts w:ascii="Times New Roman" w:hAnsi="Times New Roman" w:cs="Times New Roman"/>
          <w:color w:val="222222"/>
          <w:sz w:val="24"/>
          <w:szCs w:val="24"/>
          <w:highlight w:val="white"/>
          <w:lang w:val="en-US"/>
        </w:rPr>
        <w:t xml:space="preserve">M. </w:t>
      </w:r>
      <w:proofErr w:type="spellStart"/>
      <w:r w:rsidRPr="003937E7">
        <w:rPr>
          <w:rFonts w:ascii="Times New Roman" w:hAnsi="Times New Roman" w:cs="Times New Roman"/>
          <w:color w:val="222222"/>
          <w:sz w:val="24"/>
          <w:szCs w:val="24"/>
          <w:highlight w:val="white"/>
          <w:lang w:val="en-US"/>
        </w:rPr>
        <w:t>Karanikolos</w:t>
      </w:r>
      <w:proofErr w:type="spellEnd"/>
      <w:r w:rsidR="00B0193C" w:rsidRPr="003937E7">
        <w:rPr>
          <w:rFonts w:ascii="Times New Roman" w:hAnsi="Times New Roman" w:cs="Times New Roman"/>
          <w:color w:val="222222"/>
          <w:sz w:val="24"/>
          <w:szCs w:val="24"/>
          <w:highlight w:val="white"/>
          <w:lang w:val="en-US"/>
        </w:rPr>
        <w:t xml:space="preserve"> </w:t>
      </w:r>
      <w:r w:rsidRPr="003937E7">
        <w:rPr>
          <w:rFonts w:ascii="Times New Roman" w:hAnsi="Times New Roman" w:cs="Times New Roman"/>
          <w:color w:val="222222"/>
          <w:sz w:val="24"/>
          <w:szCs w:val="24"/>
          <w:highlight w:val="white"/>
          <w:lang w:val="en-US"/>
        </w:rPr>
        <w:t xml:space="preserve">&amp; A. </w:t>
      </w:r>
      <w:proofErr w:type="spellStart"/>
      <w:r w:rsidRPr="003937E7">
        <w:rPr>
          <w:rFonts w:ascii="Times New Roman" w:hAnsi="Times New Roman" w:cs="Times New Roman"/>
          <w:color w:val="222222"/>
          <w:sz w:val="24"/>
          <w:szCs w:val="24"/>
          <w:highlight w:val="white"/>
          <w:lang w:val="en-US"/>
        </w:rPr>
        <w:t>Kentikelenis</w:t>
      </w:r>
      <w:proofErr w:type="spellEnd"/>
      <w:r w:rsidRPr="003937E7">
        <w:rPr>
          <w:rFonts w:ascii="Times New Roman" w:hAnsi="Times New Roman" w:cs="Times New Roman"/>
          <w:color w:val="222222"/>
          <w:sz w:val="24"/>
          <w:szCs w:val="24"/>
          <w:highlight w:val="white"/>
          <w:lang w:val="en-US"/>
        </w:rPr>
        <w:t>, Health inequalities after austerity in Greece.</w:t>
      </w:r>
      <w:r w:rsidRPr="003937E7">
        <w:rPr>
          <w:rStyle w:val="apple-converted-space"/>
          <w:rFonts w:ascii="Times New Roman" w:hAnsi="Times New Roman" w:cs="Times New Roman"/>
          <w:color w:val="222222"/>
          <w:sz w:val="24"/>
          <w:szCs w:val="24"/>
          <w:lang w:val="en-US"/>
        </w:rPr>
        <w:t> </w:t>
      </w:r>
      <w:r w:rsidRPr="00DF4B01">
        <w:rPr>
          <w:rFonts w:ascii="Times New Roman" w:hAnsi="Times New Roman" w:cs="Times New Roman"/>
          <w:i/>
          <w:iCs/>
          <w:color w:val="222222"/>
          <w:sz w:val="24"/>
          <w:szCs w:val="24"/>
          <w:highlight w:val="white"/>
          <w:lang w:val="en-US"/>
        </w:rPr>
        <w:t>International Journal for Equity in Health</w:t>
      </w:r>
      <w:r w:rsidRPr="00DF4B01">
        <w:rPr>
          <w:rFonts w:ascii="Times New Roman" w:hAnsi="Times New Roman" w:cs="Times New Roman"/>
          <w:i/>
          <w:color w:val="222222"/>
          <w:sz w:val="24"/>
          <w:szCs w:val="24"/>
          <w:highlight w:val="white"/>
          <w:lang w:val="en-US"/>
        </w:rPr>
        <w:t xml:space="preserve">, </w:t>
      </w:r>
      <w:r w:rsidRPr="00DF4B01">
        <w:rPr>
          <w:rFonts w:ascii="Times New Roman" w:hAnsi="Times New Roman" w:cs="Times New Roman"/>
          <w:i/>
          <w:iCs/>
          <w:color w:val="222222"/>
          <w:sz w:val="24"/>
          <w:szCs w:val="24"/>
          <w:highlight w:val="white"/>
          <w:lang w:val="en-US"/>
        </w:rPr>
        <w:t>15</w:t>
      </w:r>
      <w:r w:rsidRPr="003937E7">
        <w:rPr>
          <w:rFonts w:ascii="Times New Roman" w:hAnsi="Times New Roman" w:cs="Times New Roman"/>
          <w:color w:val="222222"/>
          <w:sz w:val="24"/>
          <w:szCs w:val="24"/>
          <w:highlight w:val="white"/>
          <w:lang w:val="en-US"/>
        </w:rPr>
        <w:t>(1), (2016) 83.</w:t>
      </w:r>
      <w:r w:rsidR="003937E7">
        <w:rPr>
          <w:rFonts w:ascii="Times New Roman" w:hAnsi="Times New Roman" w:cs="Times New Roman"/>
          <w:color w:val="222222"/>
          <w:sz w:val="24"/>
          <w:szCs w:val="24"/>
          <w:lang w:val="en-US"/>
        </w:rPr>
        <w:t xml:space="preserve"> </w:t>
      </w:r>
    </w:p>
    <w:p w:rsidR="00B67AE8" w:rsidRDefault="00B67AE8" w:rsidP="0093023F">
      <w:pPr>
        <w:spacing w:after="0"/>
        <w:ind w:left="426" w:hanging="426"/>
        <w:jc w:val="both"/>
        <w:rPr>
          <w:rFonts w:ascii="Times New Roman" w:hAnsi="Times New Roman" w:cs="Times New Roman"/>
          <w:b/>
          <w:sz w:val="24"/>
          <w:szCs w:val="24"/>
          <w:lang w:val="en-US"/>
        </w:rPr>
      </w:pPr>
    </w:p>
    <w:p w:rsidR="00B67AE8" w:rsidRDefault="00B67AE8" w:rsidP="0093023F">
      <w:pPr>
        <w:spacing w:after="0"/>
        <w:ind w:left="426" w:hanging="426"/>
        <w:jc w:val="both"/>
        <w:rPr>
          <w:rFonts w:ascii="Times New Roman" w:hAnsi="Times New Roman" w:cs="Times New Roman"/>
          <w:sz w:val="24"/>
          <w:szCs w:val="24"/>
          <w:lang w:val="en-US"/>
        </w:rPr>
      </w:pPr>
    </w:p>
    <w:p w:rsidR="00B67AE8" w:rsidRPr="00BF26CF" w:rsidRDefault="00B67AE8" w:rsidP="0093023F">
      <w:pPr>
        <w:spacing w:after="0"/>
        <w:ind w:left="426" w:hanging="426"/>
        <w:jc w:val="both"/>
        <w:rPr>
          <w:rFonts w:ascii="Times New Roman" w:hAnsi="Times New Roman" w:cs="Times New Roman"/>
          <w:b/>
          <w:sz w:val="24"/>
          <w:szCs w:val="24"/>
          <w:lang w:val="en-US"/>
        </w:rPr>
      </w:pPr>
    </w:p>
    <w:p w:rsidR="00B67AE8" w:rsidRPr="00BF26CF" w:rsidRDefault="00B67AE8" w:rsidP="0093023F">
      <w:pPr>
        <w:spacing w:after="0"/>
        <w:ind w:left="426" w:hanging="426"/>
        <w:jc w:val="both"/>
        <w:rPr>
          <w:rFonts w:ascii="Times New Roman" w:hAnsi="Times New Roman" w:cs="Times New Roman"/>
          <w:b/>
          <w:sz w:val="24"/>
          <w:szCs w:val="24"/>
          <w:lang w:val="en-US"/>
        </w:rPr>
      </w:pPr>
    </w:p>
    <w:p w:rsidR="00B67AE8" w:rsidRPr="00FA2D33" w:rsidRDefault="00B67AE8" w:rsidP="0093023F">
      <w:pPr>
        <w:spacing w:after="0"/>
        <w:ind w:left="426" w:hanging="426"/>
        <w:jc w:val="both"/>
        <w:rPr>
          <w:rFonts w:ascii="Times New Roman" w:hAnsi="Times New Roman" w:cs="Times New Roman"/>
          <w:b/>
          <w:sz w:val="24"/>
          <w:szCs w:val="24"/>
          <w:lang w:val="en-US"/>
        </w:rPr>
      </w:pPr>
    </w:p>
    <w:p w:rsidR="00EA6FFE" w:rsidRPr="00BF26CF" w:rsidRDefault="00EA6FFE" w:rsidP="0093023F">
      <w:pPr>
        <w:ind w:left="426" w:hanging="426"/>
        <w:rPr>
          <w:lang w:val="en-US"/>
        </w:rPr>
      </w:pPr>
    </w:p>
    <w:sectPr w:rsidR="00EA6FFE" w:rsidRPr="00BF26CF" w:rsidSect="00B67AE8">
      <w:headerReference w:type="default" r:id="rId43"/>
      <w:pgSz w:w="11906" w:h="16838" w:code="9"/>
      <w:pgMar w:top="1134" w:right="1418" w:bottom="1134" w:left="1418" w:header="1134"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F99" w:rsidRDefault="00880F99">
      <w:pPr>
        <w:spacing w:after="0" w:line="240" w:lineRule="auto"/>
      </w:pPr>
      <w:r>
        <w:separator/>
      </w:r>
    </w:p>
  </w:endnote>
  <w:endnote w:type="continuationSeparator" w:id="0">
    <w:p w:rsidR="00880F99" w:rsidRDefault="00880F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A1"/>
    <w:family w:val="swiss"/>
    <w:pitch w:val="variable"/>
    <w:sig w:usb0="00000000" w:usb1="C000247B" w:usb2="00000009" w:usb3="00000000" w:csb0="000001FF" w:csb1="00000000"/>
  </w:font>
  <w:font w:name="Tahoma">
    <w:panose1 w:val="020B0604030504040204"/>
    <w:charset w:val="A1"/>
    <w:family w:val="swiss"/>
    <w:pitch w:val="variable"/>
    <w:sig w:usb0="61002A87" w:usb1="80000000" w:usb2="00000008" w:usb3="00000000" w:csb0="000101FF" w:csb1="00000000"/>
  </w:font>
  <w:font w:name="AGMAD A+ MTSY">
    <w:altName w:val="Arial Unicode MS"/>
    <w:panose1 w:val="00000000000000000000"/>
    <w:charset w:val="81"/>
    <w:family w:val="swiss"/>
    <w:notTrueType/>
    <w:pitch w:val="default"/>
    <w:sig w:usb0="00000000"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F99" w:rsidRDefault="00880F99">
      <w:pPr>
        <w:spacing w:after="0" w:line="240" w:lineRule="auto"/>
      </w:pPr>
      <w:r>
        <w:separator/>
      </w:r>
    </w:p>
  </w:footnote>
  <w:footnote w:type="continuationSeparator" w:id="0">
    <w:p w:rsidR="00880F99" w:rsidRDefault="00880F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58" w:rsidRDefault="009F7F58" w:rsidP="005520E7">
    <w:pPr>
      <w:pStyle w:val="a4"/>
      <w:ind w:left="-567" w:right="-56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07ED8"/>
    <w:multiLevelType w:val="hybridMultilevel"/>
    <w:tmpl w:val="A0FED2A6"/>
    <w:lvl w:ilvl="0" w:tplc="37448886">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59658F1"/>
    <w:multiLevelType w:val="hybridMultilevel"/>
    <w:tmpl w:val="3F086AF0"/>
    <w:lvl w:ilvl="0" w:tplc="F46670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485ED6"/>
    <w:multiLevelType w:val="hybridMultilevel"/>
    <w:tmpl w:val="836093EC"/>
    <w:lvl w:ilvl="0" w:tplc="EA2E821A">
      <w:start w:val="2016"/>
      <w:numFmt w:val="bullet"/>
      <w:lvlText w:val="-"/>
      <w:lvlJc w:val="left"/>
      <w:pPr>
        <w:ind w:left="720" w:hanging="360"/>
      </w:pPr>
      <w:rPr>
        <w:rFonts w:ascii="Times New Roman" w:eastAsiaTheme="minorHAns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5C5D89"/>
    <w:multiLevelType w:val="multilevel"/>
    <w:tmpl w:val="1B480526"/>
    <w:lvl w:ilvl="0">
      <w:start w:val="1"/>
      <w:numFmt w:val="decimal"/>
      <w:lvlText w:val="[%1]"/>
      <w:lvlJc w:val="left"/>
      <w:pPr>
        <w:ind w:left="720" w:hanging="360"/>
      </w:pPr>
      <w:rPr>
        <w:rFonts w:ascii="Times New Roman" w:hAnsi="Times New Roman"/>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0EF4939"/>
    <w:multiLevelType w:val="hybridMultilevel"/>
    <w:tmpl w:val="76E6E1A8"/>
    <w:lvl w:ilvl="0" w:tplc="A488820A">
      <w:start w:val="1"/>
      <w:numFmt w:val="decimal"/>
      <w:lvlText w:val="[%1]"/>
      <w:lvlJc w:val="left"/>
      <w:pPr>
        <w:ind w:left="502" w:hanging="360"/>
      </w:pPr>
      <w:rPr>
        <w:rFonts w:ascii="Times New Roman" w:hAnsi="Times New Roman" w:cs="Times New Roman" w:hint="default"/>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05165"/>
    <w:rsid w:val="000014B4"/>
    <w:rsid w:val="0003729F"/>
    <w:rsid w:val="00042DE9"/>
    <w:rsid w:val="000535E4"/>
    <w:rsid w:val="000646EB"/>
    <w:rsid w:val="000A2DA4"/>
    <w:rsid w:val="000B32F3"/>
    <w:rsid w:val="000C2BD0"/>
    <w:rsid w:val="00110A72"/>
    <w:rsid w:val="0011798D"/>
    <w:rsid w:val="0012717A"/>
    <w:rsid w:val="0013175D"/>
    <w:rsid w:val="001352EE"/>
    <w:rsid w:val="001354A4"/>
    <w:rsid w:val="00160CA7"/>
    <w:rsid w:val="0016296C"/>
    <w:rsid w:val="0016326C"/>
    <w:rsid w:val="001637B6"/>
    <w:rsid w:val="001703B1"/>
    <w:rsid w:val="00170B55"/>
    <w:rsid w:val="001720C6"/>
    <w:rsid w:val="0017234F"/>
    <w:rsid w:val="00180A11"/>
    <w:rsid w:val="0018626F"/>
    <w:rsid w:val="00187223"/>
    <w:rsid w:val="001A7F81"/>
    <w:rsid w:val="001B7AB0"/>
    <w:rsid w:val="001C1797"/>
    <w:rsid w:val="001D2339"/>
    <w:rsid w:val="001E3F5C"/>
    <w:rsid w:val="001F1794"/>
    <w:rsid w:val="002008C0"/>
    <w:rsid w:val="002038EC"/>
    <w:rsid w:val="002059BC"/>
    <w:rsid w:val="0024258B"/>
    <w:rsid w:val="0024680C"/>
    <w:rsid w:val="00250BE3"/>
    <w:rsid w:val="0025222C"/>
    <w:rsid w:val="00252838"/>
    <w:rsid w:val="00255739"/>
    <w:rsid w:val="00257B02"/>
    <w:rsid w:val="00280805"/>
    <w:rsid w:val="002861FE"/>
    <w:rsid w:val="002B4DE0"/>
    <w:rsid w:val="002C2185"/>
    <w:rsid w:val="002E7ABE"/>
    <w:rsid w:val="002F0139"/>
    <w:rsid w:val="00303B00"/>
    <w:rsid w:val="0031188D"/>
    <w:rsid w:val="00312C46"/>
    <w:rsid w:val="00321D50"/>
    <w:rsid w:val="003320A6"/>
    <w:rsid w:val="00336623"/>
    <w:rsid w:val="00391AC7"/>
    <w:rsid w:val="00392A1C"/>
    <w:rsid w:val="003937E7"/>
    <w:rsid w:val="00393B36"/>
    <w:rsid w:val="003A581F"/>
    <w:rsid w:val="003A6B5F"/>
    <w:rsid w:val="003B027C"/>
    <w:rsid w:val="003B487F"/>
    <w:rsid w:val="003C38FD"/>
    <w:rsid w:val="003D744B"/>
    <w:rsid w:val="003D7B5B"/>
    <w:rsid w:val="00401476"/>
    <w:rsid w:val="004728CD"/>
    <w:rsid w:val="004732F9"/>
    <w:rsid w:val="00474812"/>
    <w:rsid w:val="004820ED"/>
    <w:rsid w:val="00487E5A"/>
    <w:rsid w:val="00491A67"/>
    <w:rsid w:val="004A2A9E"/>
    <w:rsid w:val="004A695C"/>
    <w:rsid w:val="004C1B5B"/>
    <w:rsid w:val="004D28C7"/>
    <w:rsid w:val="004E1AE7"/>
    <w:rsid w:val="004E619B"/>
    <w:rsid w:val="004F49D6"/>
    <w:rsid w:val="004F798F"/>
    <w:rsid w:val="005018B4"/>
    <w:rsid w:val="00505165"/>
    <w:rsid w:val="00510FED"/>
    <w:rsid w:val="00523C54"/>
    <w:rsid w:val="005266C5"/>
    <w:rsid w:val="0053328E"/>
    <w:rsid w:val="0054665F"/>
    <w:rsid w:val="00546D06"/>
    <w:rsid w:val="005510C6"/>
    <w:rsid w:val="005520E7"/>
    <w:rsid w:val="005647B1"/>
    <w:rsid w:val="005672D7"/>
    <w:rsid w:val="0057677B"/>
    <w:rsid w:val="005A0661"/>
    <w:rsid w:val="005A20DF"/>
    <w:rsid w:val="005A4FCD"/>
    <w:rsid w:val="005A72ED"/>
    <w:rsid w:val="005B0D21"/>
    <w:rsid w:val="005E3B70"/>
    <w:rsid w:val="005F719D"/>
    <w:rsid w:val="00602F04"/>
    <w:rsid w:val="00633E1C"/>
    <w:rsid w:val="006515E1"/>
    <w:rsid w:val="006755AF"/>
    <w:rsid w:val="0069212E"/>
    <w:rsid w:val="0069240D"/>
    <w:rsid w:val="006B35D1"/>
    <w:rsid w:val="006B59B7"/>
    <w:rsid w:val="006D083B"/>
    <w:rsid w:val="006D529E"/>
    <w:rsid w:val="00724BC5"/>
    <w:rsid w:val="00735EB9"/>
    <w:rsid w:val="00737A2D"/>
    <w:rsid w:val="00747524"/>
    <w:rsid w:val="00753724"/>
    <w:rsid w:val="00755A0C"/>
    <w:rsid w:val="007632AD"/>
    <w:rsid w:val="007A174A"/>
    <w:rsid w:val="007A1E96"/>
    <w:rsid w:val="007B03BC"/>
    <w:rsid w:val="007B6553"/>
    <w:rsid w:val="007E2E3E"/>
    <w:rsid w:val="007E4A25"/>
    <w:rsid w:val="008012C8"/>
    <w:rsid w:val="00811383"/>
    <w:rsid w:val="0081518B"/>
    <w:rsid w:val="0081735A"/>
    <w:rsid w:val="00830C34"/>
    <w:rsid w:val="00855BC5"/>
    <w:rsid w:val="0086451E"/>
    <w:rsid w:val="00880F99"/>
    <w:rsid w:val="00884844"/>
    <w:rsid w:val="00885780"/>
    <w:rsid w:val="008C3D4E"/>
    <w:rsid w:val="008C5F80"/>
    <w:rsid w:val="008C75B3"/>
    <w:rsid w:val="008D1DA9"/>
    <w:rsid w:val="008E40AC"/>
    <w:rsid w:val="008F05DE"/>
    <w:rsid w:val="00903F8A"/>
    <w:rsid w:val="009134EB"/>
    <w:rsid w:val="009156FB"/>
    <w:rsid w:val="00920FF7"/>
    <w:rsid w:val="0093023F"/>
    <w:rsid w:val="00930BD0"/>
    <w:rsid w:val="00931A6C"/>
    <w:rsid w:val="00932722"/>
    <w:rsid w:val="009522F9"/>
    <w:rsid w:val="00952ACC"/>
    <w:rsid w:val="00961665"/>
    <w:rsid w:val="0096196A"/>
    <w:rsid w:val="00962855"/>
    <w:rsid w:val="00965A34"/>
    <w:rsid w:val="0097105D"/>
    <w:rsid w:val="009943FE"/>
    <w:rsid w:val="00994696"/>
    <w:rsid w:val="009C7F7C"/>
    <w:rsid w:val="009D7DD9"/>
    <w:rsid w:val="009E6406"/>
    <w:rsid w:val="009F5C57"/>
    <w:rsid w:val="009F7F58"/>
    <w:rsid w:val="00A05D08"/>
    <w:rsid w:val="00A12C24"/>
    <w:rsid w:val="00A165F1"/>
    <w:rsid w:val="00A16E25"/>
    <w:rsid w:val="00A33F08"/>
    <w:rsid w:val="00A459EC"/>
    <w:rsid w:val="00A51914"/>
    <w:rsid w:val="00A56D8B"/>
    <w:rsid w:val="00A57346"/>
    <w:rsid w:val="00A716D9"/>
    <w:rsid w:val="00A76242"/>
    <w:rsid w:val="00A811E4"/>
    <w:rsid w:val="00A96B91"/>
    <w:rsid w:val="00AA71CE"/>
    <w:rsid w:val="00AB05A3"/>
    <w:rsid w:val="00AB0D14"/>
    <w:rsid w:val="00AC3BB0"/>
    <w:rsid w:val="00AC4FB3"/>
    <w:rsid w:val="00AD3E50"/>
    <w:rsid w:val="00AE3426"/>
    <w:rsid w:val="00AF1138"/>
    <w:rsid w:val="00B0193C"/>
    <w:rsid w:val="00B12605"/>
    <w:rsid w:val="00B16136"/>
    <w:rsid w:val="00B21446"/>
    <w:rsid w:val="00B24151"/>
    <w:rsid w:val="00B30A99"/>
    <w:rsid w:val="00B350DE"/>
    <w:rsid w:val="00B40A6C"/>
    <w:rsid w:val="00B53E70"/>
    <w:rsid w:val="00B616C4"/>
    <w:rsid w:val="00B67AE8"/>
    <w:rsid w:val="00B7121F"/>
    <w:rsid w:val="00B82619"/>
    <w:rsid w:val="00BA185D"/>
    <w:rsid w:val="00BB0B41"/>
    <w:rsid w:val="00BC1DF3"/>
    <w:rsid w:val="00BC6443"/>
    <w:rsid w:val="00BC77A3"/>
    <w:rsid w:val="00BF26CF"/>
    <w:rsid w:val="00BF2EA6"/>
    <w:rsid w:val="00C15ABD"/>
    <w:rsid w:val="00C23258"/>
    <w:rsid w:val="00C2576E"/>
    <w:rsid w:val="00C343FD"/>
    <w:rsid w:val="00C3441A"/>
    <w:rsid w:val="00C40770"/>
    <w:rsid w:val="00C4384D"/>
    <w:rsid w:val="00C66D4E"/>
    <w:rsid w:val="00C67DC4"/>
    <w:rsid w:val="00C7554C"/>
    <w:rsid w:val="00C75CAB"/>
    <w:rsid w:val="00C7738C"/>
    <w:rsid w:val="00C83FD8"/>
    <w:rsid w:val="00C877FA"/>
    <w:rsid w:val="00C9518B"/>
    <w:rsid w:val="00CA531E"/>
    <w:rsid w:val="00CB4418"/>
    <w:rsid w:val="00CF7798"/>
    <w:rsid w:val="00CF7C1F"/>
    <w:rsid w:val="00D066D5"/>
    <w:rsid w:val="00D22202"/>
    <w:rsid w:val="00D55FD9"/>
    <w:rsid w:val="00D65772"/>
    <w:rsid w:val="00D65A5A"/>
    <w:rsid w:val="00D70CEB"/>
    <w:rsid w:val="00D746AA"/>
    <w:rsid w:val="00DA4F11"/>
    <w:rsid w:val="00DA5C7F"/>
    <w:rsid w:val="00DC7B22"/>
    <w:rsid w:val="00DD32BC"/>
    <w:rsid w:val="00DD7674"/>
    <w:rsid w:val="00DF0B03"/>
    <w:rsid w:val="00DF4B01"/>
    <w:rsid w:val="00E029E5"/>
    <w:rsid w:val="00E02DE4"/>
    <w:rsid w:val="00E05159"/>
    <w:rsid w:val="00E06558"/>
    <w:rsid w:val="00E33288"/>
    <w:rsid w:val="00E35328"/>
    <w:rsid w:val="00E37FEE"/>
    <w:rsid w:val="00E45FEA"/>
    <w:rsid w:val="00E92176"/>
    <w:rsid w:val="00E93D3A"/>
    <w:rsid w:val="00EA3E29"/>
    <w:rsid w:val="00EA6FFE"/>
    <w:rsid w:val="00EF4419"/>
    <w:rsid w:val="00F0259D"/>
    <w:rsid w:val="00F3386A"/>
    <w:rsid w:val="00F67FDC"/>
    <w:rsid w:val="00F7235B"/>
    <w:rsid w:val="00F733FE"/>
    <w:rsid w:val="00F773CB"/>
    <w:rsid w:val="00F778AD"/>
    <w:rsid w:val="00FD169C"/>
    <w:rsid w:val="00FD16B1"/>
    <w:rsid w:val="00FE17E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AE8"/>
    <w:pPr>
      <w:spacing w:after="200" w:line="276" w:lineRule="auto"/>
    </w:pPr>
  </w:style>
  <w:style w:type="paragraph" w:styleId="1">
    <w:name w:val="heading 1"/>
    <w:basedOn w:val="a"/>
    <w:next w:val="a"/>
    <w:link w:val="1Char"/>
    <w:uiPriority w:val="9"/>
    <w:qFormat/>
    <w:rsid w:val="00B67AE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Char"/>
    <w:uiPriority w:val="9"/>
    <w:semiHidden/>
    <w:unhideWhenUsed/>
    <w:qFormat/>
    <w:rsid w:val="004C1B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67AE8"/>
    <w:rPr>
      <w:rFonts w:asciiTheme="majorHAnsi" w:eastAsiaTheme="majorEastAsia" w:hAnsiTheme="majorHAnsi" w:cstheme="majorBidi"/>
      <w:b/>
      <w:bCs/>
      <w:color w:val="2E74B5" w:themeColor="accent1" w:themeShade="BF"/>
      <w:sz w:val="28"/>
      <w:szCs w:val="28"/>
    </w:rPr>
  </w:style>
  <w:style w:type="paragraph" w:styleId="a3">
    <w:name w:val="List Paragraph"/>
    <w:basedOn w:val="a"/>
    <w:uiPriority w:val="34"/>
    <w:qFormat/>
    <w:rsid w:val="00B67AE8"/>
    <w:pPr>
      <w:ind w:left="720"/>
      <w:contextualSpacing/>
    </w:pPr>
  </w:style>
  <w:style w:type="paragraph" w:styleId="a4">
    <w:name w:val="header"/>
    <w:basedOn w:val="a"/>
    <w:link w:val="Char"/>
    <w:uiPriority w:val="99"/>
    <w:unhideWhenUsed/>
    <w:rsid w:val="00B67AE8"/>
    <w:pPr>
      <w:tabs>
        <w:tab w:val="center" w:pos="4153"/>
        <w:tab w:val="right" w:pos="8306"/>
      </w:tabs>
      <w:spacing w:after="0" w:line="240" w:lineRule="auto"/>
    </w:pPr>
  </w:style>
  <w:style w:type="character" w:customStyle="1" w:styleId="Char">
    <w:name w:val="Κεφαλίδα Char"/>
    <w:basedOn w:val="a0"/>
    <w:link w:val="a4"/>
    <w:uiPriority w:val="99"/>
    <w:rsid w:val="00B67AE8"/>
  </w:style>
  <w:style w:type="character" w:styleId="-">
    <w:name w:val="Hyperlink"/>
    <w:basedOn w:val="a0"/>
    <w:uiPriority w:val="99"/>
    <w:unhideWhenUsed/>
    <w:rsid w:val="00B67AE8"/>
    <w:rPr>
      <w:color w:val="0563C1" w:themeColor="hyperlink"/>
      <w:u w:val="single"/>
    </w:rPr>
  </w:style>
  <w:style w:type="character" w:customStyle="1" w:styleId="apple-converted-space">
    <w:name w:val="apple-converted-space"/>
    <w:basedOn w:val="a0"/>
    <w:qFormat/>
    <w:rsid w:val="00B67AE8"/>
  </w:style>
  <w:style w:type="character" w:customStyle="1" w:styleId="a5">
    <w:name w:val="Σύνδεσμος διαδικτύου"/>
    <w:basedOn w:val="a0"/>
    <w:rsid w:val="00B67AE8"/>
    <w:rPr>
      <w:color w:val="0000FF"/>
      <w:u w:val="single"/>
    </w:rPr>
  </w:style>
  <w:style w:type="character" w:customStyle="1" w:styleId="citationref">
    <w:name w:val="citationref"/>
    <w:basedOn w:val="a0"/>
    <w:rsid w:val="004A695C"/>
  </w:style>
  <w:style w:type="character" w:customStyle="1" w:styleId="2Char">
    <w:name w:val="Επικεφαλίδα 2 Char"/>
    <w:basedOn w:val="a0"/>
    <w:link w:val="2"/>
    <w:uiPriority w:val="9"/>
    <w:semiHidden/>
    <w:rsid w:val="004C1B5B"/>
    <w:rPr>
      <w:rFonts w:asciiTheme="majorHAnsi" w:eastAsiaTheme="majorEastAsia" w:hAnsiTheme="majorHAnsi" w:cstheme="majorBidi"/>
      <w:color w:val="2E74B5" w:themeColor="accent1" w:themeShade="BF"/>
      <w:sz w:val="26"/>
      <w:szCs w:val="26"/>
    </w:rPr>
  </w:style>
  <w:style w:type="paragraph" w:styleId="a6">
    <w:name w:val="Balloon Text"/>
    <w:basedOn w:val="a"/>
    <w:link w:val="Char0"/>
    <w:uiPriority w:val="99"/>
    <w:semiHidden/>
    <w:unhideWhenUsed/>
    <w:rsid w:val="00523C54"/>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523C54"/>
    <w:rPr>
      <w:rFonts w:ascii="Tahoma" w:hAnsi="Tahoma" w:cs="Tahoma"/>
      <w:sz w:val="16"/>
      <w:szCs w:val="16"/>
    </w:rPr>
  </w:style>
  <w:style w:type="character" w:styleId="-0">
    <w:name w:val="FollowedHyperlink"/>
    <w:basedOn w:val="a0"/>
    <w:uiPriority w:val="99"/>
    <w:semiHidden/>
    <w:unhideWhenUsed/>
    <w:rsid w:val="00BA185D"/>
    <w:rPr>
      <w:color w:val="954F72" w:themeColor="followedHyperlink"/>
      <w:u w:val="single"/>
    </w:rPr>
  </w:style>
  <w:style w:type="paragraph" w:styleId="a7">
    <w:name w:val="footer"/>
    <w:basedOn w:val="a"/>
    <w:link w:val="Char1"/>
    <w:uiPriority w:val="99"/>
    <w:semiHidden/>
    <w:unhideWhenUsed/>
    <w:rsid w:val="00CF7C1F"/>
    <w:pPr>
      <w:tabs>
        <w:tab w:val="center" w:pos="4153"/>
        <w:tab w:val="right" w:pos="8306"/>
      </w:tabs>
      <w:spacing w:after="0" w:line="240" w:lineRule="auto"/>
    </w:pPr>
  </w:style>
  <w:style w:type="character" w:customStyle="1" w:styleId="Char1">
    <w:name w:val="Υποσέλιδο Char"/>
    <w:basedOn w:val="a0"/>
    <w:link w:val="a7"/>
    <w:uiPriority w:val="99"/>
    <w:semiHidden/>
    <w:rsid w:val="00CF7C1F"/>
  </w:style>
</w:styles>
</file>

<file path=word/webSettings.xml><?xml version="1.0" encoding="utf-8"?>
<w:webSettings xmlns:r="http://schemas.openxmlformats.org/officeDocument/2006/relationships" xmlns:w="http://schemas.openxmlformats.org/wordprocessingml/2006/main">
  <w:divs>
    <w:div w:id="826628751">
      <w:bodyDiv w:val="1"/>
      <w:marLeft w:val="0"/>
      <w:marRight w:val="0"/>
      <w:marTop w:val="0"/>
      <w:marBottom w:val="0"/>
      <w:divBdr>
        <w:top w:val="none" w:sz="0" w:space="0" w:color="auto"/>
        <w:left w:val="none" w:sz="0" w:space="0" w:color="auto"/>
        <w:bottom w:val="none" w:sz="0" w:space="0" w:color="auto"/>
        <w:right w:val="none" w:sz="0" w:space="0" w:color="auto"/>
      </w:divBdr>
      <w:divsChild>
        <w:div w:id="1003507499">
          <w:marLeft w:val="0"/>
          <w:marRight w:val="0"/>
          <w:marTop w:val="0"/>
          <w:marBottom w:val="0"/>
          <w:divBdr>
            <w:top w:val="none" w:sz="0" w:space="0" w:color="auto"/>
            <w:left w:val="none" w:sz="0" w:space="0" w:color="auto"/>
            <w:bottom w:val="none" w:sz="0" w:space="0" w:color="auto"/>
            <w:right w:val="none" w:sz="0" w:space="0" w:color="auto"/>
          </w:divBdr>
        </w:div>
        <w:div w:id="1453984779">
          <w:marLeft w:val="0"/>
          <w:marRight w:val="0"/>
          <w:marTop w:val="0"/>
          <w:marBottom w:val="0"/>
          <w:divBdr>
            <w:top w:val="none" w:sz="0" w:space="0" w:color="auto"/>
            <w:left w:val="none" w:sz="0" w:space="0" w:color="auto"/>
            <w:bottom w:val="none" w:sz="0" w:space="0" w:color="auto"/>
            <w:right w:val="none" w:sz="0" w:space="0" w:color="auto"/>
          </w:divBdr>
        </w:div>
        <w:div w:id="55785900">
          <w:marLeft w:val="0"/>
          <w:marRight w:val="0"/>
          <w:marTop w:val="0"/>
          <w:marBottom w:val="0"/>
          <w:divBdr>
            <w:top w:val="none" w:sz="0" w:space="0" w:color="auto"/>
            <w:left w:val="none" w:sz="0" w:space="0" w:color="auto"/>
            <w:bottom w:val="none" w:sz="0" w:space="0" w:color="auto"/>
            <w:right w:val="none" w:sz="0" w:space="0" w:color="auto"/>
          </w:divBdr>
        </w:div>
        <w:div w:id="47385221">
          <w:marLeft w:val="0"/>
          <w:marRight w:val="0"/>
          <w:marTop w:val="0"/>
          <w:marBottom w:val="0"/>
          <w:divBdr>
            <w:top w:val="none" w:sz="0" w:space="0" w:color="auto"/>
            <w:left w:val="none" w:sz="0" w:space="0" w:color="auto"/>
            <w:bottom w:val="none" w:sz="0" w:space="0" w:color="auto"/>
            <w:right w:val="none" w:sz="0" w:space="0" w:color="auto"/>
          </w:divBdr>
        </w:div>
        <w:div w:id="758797493">
          <w:marLeft w:val="0"/>
          <w:marRight w:val="0"/>
          <w:marTop w:val="0"/>
          <w:marBottom w:val="0"/>
          <w:divBdr>
            <w:top w:val="none" w:sz="0" w:space="0" w:color="auto"/>
            <w:left w:val="none" w:sz="0" w:space="0" w:color="auto"/>
            <w:bottom w:val="none" w:sz="0" w:space="0" w:color="auto"/>
            <w:right w:val="none" w:sz="0" w:space="0" w:color="auto"/>
          </w:divBdr>
        </w:div>
        <w:div w:id="965505742">
          <w:marLeft w:val="0"/>
          <w:marRight w:val="0"/>
          <w:marTop w:val="0"/>
          <w:marBottom w:val="0"/>
          <w:divBdr>
            <w:top w:val="none" w:sz="0" w:space="0" w:color="auto"/>
            <w:left w:val="none" w:sz="0" w:space="0" w:color="auto"/>
            <w:bottom w:val="none" w:sz="0" w:space="0" w:color="auto"/>
            <w:right w:val="none" w:sz="0" w:space="0" w:color="auto"/>
          </w:divBdr>
        </w:div>
        <w:div w:id="2122996205">
          <w:marLeft w:val="0"/>
          <w:marRight w:val="0"/>
          <w:marTop w:val="0"/>
          <w:marBottom w:val="0"/>
          <w:divBdr>
            <w:top w:val="none" w:sz="0" w:space="0" w:color="auto"/>
            <w:left w:val="none" w:sz="0" w:space="0" w:color="auto"/>
            <w:bottom w:val="none" w:sz="0" w:space="0" w:color="auto"/>
            <w:right w:val="none" w:sz="0" w:space="0" w:color="auto"/>
          </w:divBdr>
        </w:div>
        <w:div w:id="1970740184">
          <w:marLeft w:val="0"/>
          <w:marRight w:val="0"/>
          <w:marTop w:val="0"/>
          <w:marBottom w:val="0"/>
          <w:divBdr>
            <w:top w:val="none" w:sz="0" w:space="0" w:color="auto"/>
            <w:left w:val="none" w:sz="0" w:space="0" w:color="auto"/>
            <w:bottom w:val="none" w:sz="0" w:space="0" w:color="auto"/>
            <w:right w:val="none" w:sz="0" w:space="0" w:color="auto"/>
          </w:divBdr>
        </w:div>
        <w:div w:id="758142541">
          <w:marLeft w:val="0"/>
          <w:marRight w:val="0"/>
          <w:marTop w:val="0"/>
          <w:marBottom w:val="0"/>
          <w:divBdr>
            <w:top w:val="none" w:sz="0" w:space="0" w:color="auto"/>
            <w:left w:val="none" w:sz="0" w:space="0" w:color="auto"/>
            <w:bottom w:val="none" w:sz="0" w:space="0" w:color="auto"/>
            <w:right w:val="none" w:sz="0" w:space="0" w:color="auto"/>
          </w:divBdr>
        </w:div>
        <w:div w:id="1793858355">
          <w:marLeft w:val="0"/>
          <w:marRight w:val="0"/>
          <w:marTop w:val="0"/>
          <w:marBottom w:val="0"/>
          <w:divBdr>
            <w:top w:val="none" w:sz="0" w:space="0" w:color="auto"/>
            <w:left w:val="none" w:sz="0" w:space="0" w:color="auto"/>
            <w:bottom w:val="none" w:sz="0" w:space="0" w:color="auto"/>
            <w:right w:val="none" w:sz="0" w:space="0" w:color="auto"/>
          </w:divBdr>
        </w:div>
        <w:div w:id="207229344">
          <w:marLeft w:val="0"/>
          <w:marRight w:val="0"/>
          <w:marTop w:val="0"/>
          <w:marBottom w:val="0"/>
          <w:divBdr>
            <w:top w:val="none" w:sz="0" w:space="0" w:color="auto"/>
            <w:left w:val="none" w:sz="0" w:space="0" w:color="auto"/>
            <w:bottom w:val="none" w:sz="0" w:space="0" w:color="auto"/>
            <w:right w:val="none" w:sz="0" w:space="0" w:color="auto"/>
          </w:divBdr>
        </w:div>
        <w:div w:id="843714139">
          <w:marLeft w:val="0"/>
          <w:marRight w:val="0"/>
          <w:marTop w:val="0"/>
          <w:marBottom w:val="0"/>
          <w:divBdr>
            <w:top w:val="none" w:sz="0" w:space="0" w:color="auto"/>
            <w:left w:val="none" w:sz="0" w:space="0" w:color="auto"/>
            <w:bottom w:val="none" w:sz="0" w:space="0" w:color="auto"/>
            <w:right w:val="none" w:sz="0" w:space="0" w:color="auto"/>
          </w:divBdr>
        </w:div>
        <w:div w:id="907419534">
          <w:marLeft w:val="0"/>
          <w:marRight w:val="0"/>
          <w:marTop w:val="0"/>
          <w:marBottom w:val="0"/>
          <w:divBdr>
            <w:top w:val="none" w:sz="0" w:space="0" w:color="auto"/>
            <w:left w:val="none" w:sz="0" w:space="0" w:color="auto"/>
            <w:bottom w:val="none" w:sz="0" w:space="0" w:color="auto"/>
            <w:right w:val="none" w:sz="0" w:space="0" w:color="auto"/>
          </w:divBdr>
        </w:div>
        <w:div w:id="258223418">
          <w:marLeft w:val="0"/>
          <w:marRight w:val="0"/>
          <w:marTop w:val="0"/>
          <w:marBottom w:val="0"/>
          <w:divBdr>
            <w:top w:val="none" w:sz="0" w:space="0" w:color="auto"/>
            <w:left w:val="none" w:sz="0" w:space="0" w:color="auto"/>
            <w:bottom w:val="none" w:sz="0" w:space="0" w:color="auto"/>
            <w:right w:val="none" w:sz="0" w:space="0" w:color="auto"/>
          </w:divBdr>
        </w:div>
        <w:div w:id="840508112">
          <w:marLeft w:val="0"/>
          <w:marRight w:val="0"/>
          <w:marTop w:val="0"/>
          <w:marBottom w:val="0"/>
          <w:divBdr>
            <w:top w:val="none" w:sz="0" w:space="0" w:color="auto"/>
            <w:left w:val="none" w:sz="0" w:space="0" w:color="auto"/>
            <w:bottom w:val="none" w:sz="0" w:space="0" w:color="auto"/>
            <w:right w:val="none" w:sz="0" w:space="0" w:color="auto"/>
          </w:divBdr>
        </w:div>
        <w:div w:id="531769820">
          <w:marLeft w:val="0"/>
          <w:marRight w:val="0"/>
          <w:marTop w:val="0"/>
          <w:marBottom w:val="0"/>
          <w:divBdr>
            <w:top w:val="none" w:sz="0" w:space="0" w:color="auto"/>
            <w:left w:val="none" w:sz="0" w:space="0" w:color="auto"/>
            <w:bottom w:val="none" w:sz="0" w:space="0" w:color="auto"/>
            <w:right w:val="none" w:sz="0" w:space="0" w:color="auto"/>
          </w:divBdr>
        </w:div>
        <w:div w:id="2058158201">
          <w:marLeft w:val="0"/>
          <w:marRight w:val="0"/>
          <w:marTop w:val="0"/>
          <w:marBottom w:val="0"/>
          <w:divBdr>
            <w:top w:val="none" w:sz="0" w:space="0" w:color="auto"/>
            <w:left w:val="none" w:sz="0" w:space="0" w:color="auto"/>
            <w:bottom w:val="none" w:sz="0" w:space="0" w:color="auto"/>
            <w:right w:val="none" w:sz="0" w:space="0" w:color="auto"/>
          </w:divBdr>
        </w:div>
        <w:div w:id="694427537">
          <w:marLeft w:val="0"/>
          <w:marRight w:val="0"/>
          <w:marTop w:val="0"/>
          <w:marBottom w:val="0"/>
          <w:divBdr>
            <w:top w:val="none" w:sz="0" w:space="0" w:color="auto"/>
            <w:left w:val="none" w:sz="0" w:space="0" w:color="auto"/>
            <w:bottom w:val="none" w:sz="0" w:space="0" w:color="auto"/>
            <w:right w:val="none" w:sz="0" w:space="0" w:color="auto"/>
          </w:divBdr>
        </w:div>
        <w:div w:id="79067228">
          <w:marLeft w:val="0"/>
          <w:marRight w:val="0"/>
          <w:marTop w:val="0"/>
          <w:marBottom w:val="0"/>
          <w:divBdr>
            <w:top w:val="none" w:sz="0" w:space="0" w:color="auto"/>
            <w:left w:val="none" w:sz="0" w:space="0" w:color="auto"/>
            <w:bottom w:val="none" w:sz="0" w:space="0" w:color="auto"/>
            <w:right w:val="none" w:sz="0" w:space="0" w:color="auto"/>
          </w:divBdr>
        </w:div>
        <w:div w:id="321785482">
          <w:marLeft w:val="0"/>
          <w:marRight w:val="0"/>
          <w:marTop w:val="0"/>
          <w:marBottom w:val="0"/>
          <w:divBdr>
            <w:top w:val="none" w:sz="0" w:space="0" w:color="auto"/>
            <w:left w:val="none" w:sz="0" w:space="0" w:color="auto"/>
            <w:bottom w:val="none" w:sz="0" w:space="0" w:color="auto"/>
            <w:right w:val="none" w:sz="0" w:space="0" w:color="auto"/>
          </w:divBdr>
        </w:div>
        <w:div w:id="1227110086">
          <w:marLeft w:val="0"/>
          <w:marRight w:val="0"/>
          <w:marTop w:val="0"/>
          <w:marBottom w:val="0"/>
          <w:divBdr>
            <w:top w:val="none" w:sz="0" w:space="0" w:color="auto"/>
            <w:left w:val="none" w:sz="0" w:space="0" w:color="auto"/>
            <w:bottom w:val="none" w:sz="0" w:space="0" w:color="auto"/>
            <w:right w:val="none" w:sz="0" w:space="0" w:color="auto"/>
          </w:divBdr>
        </w:div>
        <w:div w:id="1884519313">
          <w:marLeft w:val="0"/>
          <w:marRight w:val="0"/>
          <w:marTop w:val="0"/>
          <w:marBottom w:val="0"/>
          <w:divBdr>
            <w:top w:val="none" w:sz="0" w:space="0" w:color="auto"/>
            <w:left w:val="none" w:sz="0" w:space="0" w:color="auto"/>
            <w:bottom w:val="none" w:sz="0" w:space="0" w:color="auto"/>
            <w:right w:val="none" w:sz="0" w:space="0" w:color="auto"/>
          </w:divBdr>
        </w:div>
        <w:div w:id="273444850">
          <w:marLeft w:val="0"/>
          <w:marRight w:val="0"/>
          <w:marTop w:val="0"/>
          <w:marBottom w:val="0"/>
          <w:divBdr>
            <w:top w:val="none" w:sz="0" w:space="0" w:color="auto"/>
            <w:left w:val="none" w:sz="0" w:space="0" w:color="auto"/>
            <w:bottom w:val="none" w:sz="0" w:space="0" w:color="auto"/>
            <w:right w:val="none" w:sz="0" w:space="0" w:color="auto"/>
          </w:divBdr>
        </w:div>
        <w:div w:id="978191605">
          <w:marLeft w:val="0"/>
          <w:marRight w:val="0"/>
          <w:marTop w:val="0"/>
          <w:marBottom w:val="0"/>
          <w:divBdr>
            <w:top w:val="none" w:sz="0" w:space="0" w:color="auto"/>
            <w:left w:val="none" w:sz="0" w:space="0" w:color="auto"/>
            <w:bottom w:val="none" w:sz="0" w:space="0" w:color="auto"/>
            <w:right w:val="none" w:sz="0" w:space="0" w:color="auto"/>
          </w:divBdr>
        </w:div>
      </w:divsChild>
    </w:div>
    <w:div w:id="187800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d116153@ac.eap.gr" TargetMode="External"/><Relationship Id="rId13" Type="http://schemas.openxmlformats.org/officeDocument/2006/relationships/chart" Target="charts/chart4.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hyperlink" Target="http://www.iatronet.gr/ygeia/perivallon-ygeia/article/4065/koinwnikes-anisotites-stin-ygeia.html.&#932;&#959;&#973;&#957;&#964;&#945;&#962;_&#915;.2008" TargetMode="Externa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hyperlink" Target="http://www.who.int/countries/grc/en" TargetMode="External"/><Relationship Id="rId42" Type="http://schemas.openxmlformats.org/officeDocument/2006/relationships/hyperlink" Target="http://stats.oecd.org/index.aspx?%20%20DataSetCode=HEALTH_STAT"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hyperlink" Target="http://ec.europa.eu/index_el.htm" TargetMode="External"/><Relationship Id="rId38" Type="http://schemas.openxmlformats.org/officeDocument/2006/relationships/hyperlink" Target="http://www.iatronet.gr/ygeia/perivallon-ygeia/article/4065/koinwnikes-anisotites-stin-ygeia.html.&#932;&#959;&#973;&#957;&#964;&#945;&#962;_&#915;.2008" TargetMode="External"/><Relationship Id="rId2" Type="http://schemas.openxmlformats.org/officeDocument/2006/relationships/numbering" Target="numbering.xml"/><Relationship Id="rId16" Type="http://schemas.openxmlformats.org/officeDocument/2006/relationships/hyperlink" Target="http://www.oecd-ilibrary.org/social-issues-migration-health/life-expectancy-at-birth-total-population_20758480-table8" TargetMode="Externa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hyperlink" Target="http://data.worldbank.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4.xml"/><Relationship Id="rId32" Type="http://schemas.openxmlformats.org/officeDocument/2006/relationships/chart" Target="charts/chart21.xml"/><Relationship Id="rId37" Type="http://schemas.openxmlformats.org/officeDocument/2006/relationships/hyperlink" Target="http://www.iatronet.gr/ygeia/perivallon-ygeia/article/4065/koinwnikes-anisotites-stin-ygeia.html.&#932;&#959;&#973;&#957;&#964;&#945;&#962;_&#915;.2008" TargetMode="External"/><Relationship Id="rId40" Type="http://schemas.openxmlformats.org/officeDocument/2006/relationships/hyperlink" Target="http://ec.europa.eu/eurostat/statistics-explained/index.php/%20Healthcare_statistic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hyperlink" Target="http://www.iatronet.gr/ygeia/perivallon-ygeia/article/4065/koinwnikes-anisotites-stin-ygeia.html.&#932;&#959;&#973;&#957;&#964;&#945;&#962;_&#915;.2008" TargetMode="External"/><Relationship Id="rId10" Type="http://schemas.openxmlformats.org/officeDocument/2006/relationships/hyperlink" Target="http://appsso.eurostat.ec.europa.eu/nui/show.do?dataset=demo_mlexpec&amp;lang=en" TargetMode="External"/><Relationship Id="rId19" Type="http://schemas.openxmlformats.org/officeDocument/2006/relationships/chart" Target="charts/chart9.xml"/><Relationship Id="rId31" Type="http://schemas.openxmlformats.org/officeDocument/2006/relationships/hyperlink" Target="http://ec.europa.eu/eurostat/statistics-explained/index.php/Main_Pag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hyperlink" Target="http://www.iatronet.gr/ygeia/perivallon-ygeia/article/4065/koinwnikes-anisotites-stin-ygeia.html.&#932;&#959;&#973;&#957;&#964;&#945;&#962;_&#915;.2008" TargetMode="External"/><Relationship Id="rId43"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2007_Workbook1.xlsx"/></Relationships>
</file>

<file path=word/charts/_rels/chart10.xml.rels><?xml version="1.0" encoding="UTF-8" standalone="yes"?>
<Relationships xmlns="http://schemas.openxmlformats.org/package/2006/relationships"><Relationship Id="rId1" Type="http://schemas.openxmlformats.org/officeDocument/2006/relationships/oleObject" Target="file:///C:\Users\&#916;&#951;&#956;&#942;&#964;&#961;&#951;&#962;\Desktop\PINAKAS%20%20GRAFHMATA.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916;&#951;&#956;&#942;&#964;&#961;&#951;&#962;\Desktop\PINAKAS%20%20GRAFHMATA.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916;&#951;&#956;&#942;&#964;&#961;&#951;&#962;\Desktop\PINAKAS%20%20GRAFHMATA.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916;&#951;&#956;&#942;&#964;&#961;&#951;&#962;\Desktop\PINAKAS%20%20GRAFHMATA.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916;&#951;&#956;&#942;&#964;&#961;&#951;&#962;\Desktop\PINAKAS%20%20GRAFHMATA.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916;&#951;&#956;&#942;&#964;&#961;&#951;&#962;\Desktop\PINAKAS%20%20GRAFHMATA.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916;&#951;&#956;&#942;&#964;&#961;&#951;&#962;\Desktop\PINAKAS%20%20GRAFHMATA.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916;&#951;&#956;&#942;&#964;&#961;&#951;&#962;\Desktop\PINAKAS%20%20GRAFHMATA.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916;&#951;&#956;&#942;&#964;&#961;&#951;&#962;\Desktop\PINAKAS%20%20GRAFHMATA.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916;&#951;&#956;&#942;&#964;&#961;&#951;&#962;\Desktop\PINAKAS%20%20GRAFHM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916;&#951;&#956;&#942;&#964;&#961;&#951;&#962;\Desktop\PINAKAS%20%20GRAFHMATA.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916;&#951;&#956;&#942;&#964;&#961;&#951;&#962;\Desktop\PINAKAS%20%20GRAFHMATA.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916;&#951;&#956;&#942;&#964;&#961;&#951;&#962;\Desktop\PINAKAS%20%20GRAFHM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916;&#951;&#956;&#942;&#964;&#961;&#951;&#962;\Desktop\PINAKAS%20%20GRAFHMATA.xlsx"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2007_Workbook2.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916;&#951;&#956;&#942;&#964;&#961;&#951;&#962;\Desktop\PINAKAS%20%20GRAFHMAT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916;&#951;&#956;&#942;&#964;&#961;&#951;&#962;\Desktop\PINAKAS%20%20GRAFHMAT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916;&#951;&#956;&#942;&#964;&#961;&#951;&#962;\Desktop\PINAKAS%20%20GRAFHMAT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916;&#951;&#956;&#942;&#964;&#961;&#951;&#962;\Desktop\PINAKAS%20%20GRAFHMAT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916;&#951;&#956;&#942;&#964;&#961;&#951;&#962;\Desktop\PINAKAS%20%20GRAFHM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style val="35"/>
  <c:chart>
    <c:autoTitleDeleted val="1"/>
    <c:view3D>
      <c:depthPercent val="100"/>
      <c:rAngAx val="1"/>
    </c:view3D>
    <c:plotArea>
      <c:layout>
        <c:manualLayout>
          <c:layoutTarget val="inner"/>
          <c:xMode val="edge"/>
          <c:yMode val="edge"/>
          <c:x val="0.22444496375535417"/>
          <c:y val="0.12784468244442368"/>
          <c:w val="0.65948290317876934"/>
          <c:h val="0.61984328881966677"/>
        </c:manualLayout>
      </c:layout>
      <c:bar3DChart>
        <c:barDir val="col"/>
        <c:grouping val="standard"/>
        <c:ser>
          <c:idx val="0"/>
          <c:order val="0"/>
          <c:tx>
            <c:strRef>
              <c:f>Φύλλο1!$B$1</c:f>
              <c:strCache>
                <c:ptCount val="1"/>
                <c:pt idx="0">
                  <c:v>Greek population</c:v>
                </c:pt>
              </c:strCache>
            </c:strRef>
          </c:tx>
          <c:dLbls>
            <c:dLbl>
              <c:idx val="1"/>
              <c:layout>
                <c:manualLayout>
                  <c:x val="0"/>
                  <c:y val="-1.0624169986719795E-2"/>
                </c:manualLayout>
              </c:layout>
              <c:showVal val="1"/>
            </c:dLbl>
            <c:showVal val="1"/>
          </c:dLbls>
          <c:cat>
            <c:strRef>
              <c:f>Φύλλο1!$A$2:$A$3</c:f>
              <c:strCache>
                <c:ptCount val="2"/>
                <c:pt idx="0">
                  <c:v>Males</c:v>
                </c:pt>
                <c:pt idx="1">
                  <c:v>Females</c:v>
                </c:pt>
              </c:strCache>
            </c:strRef>
          </c:cat>
          <c:val>
            <c:numRef>
              <c:f>Φύλλο1!$B$2:$B$3</c:f>
              <c:numCache>
                <c:formatCode>General</c:formatCode>
                <c:ptCount val="2"/>
                <c:pt idx="0">
                  <c:v>78</c:v>
                </c:pt>
                <c:pt idx="1">
                  <c:v>83.4</c:v>
                </c:pt>
              </c:numCache>
            </c:numRef>
          </c:val>
          <c:extLst xmlns:c16r2="http://schemas.microsoft.com/office/drawing/2015/06/chart">
            <c:ext xmlns:c16="http://schemas.microsoft.com/office/drawing/2014/chart" uri="{C3380CC4-5D6E-409C-BE32-E72D297353CC}">
              <c16:uniqueId val="{00000000-92D0-4564-9BEC-908111BFCD61}"/>
            </c:ext>
          </c:extLst>
        </c:ser>
        <c:dLbls>
          <c:showVal val="1"/>
        </c:dLbls>
        <c:gapWidth val="75"/>
        <c:shape val="cone"/>
        <c:axId val="86367616"/>
        <c:axId val="91689344"/>
        <c:axId val="85792064"/>
      </c:bar3DChart>
      <c:catAx>
        <c:axId val="86367616"/>
        <c:scaling>
          <c:orientation val="minMax"/>
        </c:scaling>
        <c:axPos val="b"/>
        <c:numFmt formatCode="General" sourceLinked="1"/>
        <c:majorTickMark val="none"/>
        <c:tickLblPos val="nextTo"/>
        <c:crossAx val="91689344"/>
        <c:crosses val="autoZero"/>
        <c:auto val="1"/>
        <c:lblAlgn val="ctr"/>
        <c:lblOffset val="100"/>
      </c:catAx>
      <c:valAx>
        <c:axId val="91689344"/>
        <c:scaling>
          <c:orientation val="minMax"/>
        </c:scaling>
        <c:axPos val="l"/>
        <c:majorGridlines/>
        <c:title>
          <c:tx>
            <c:rich>
              <a:bodyPr/>
              <a:lstStyle/>
              <a:p>
                <a:pPr>
                  <a:defRPr/>
                </a:pPr>
                <a:r>
                  <a:rPr lang="en-US"/>
                  <a:t>Life years</a:t>
                </a:r>
                <a:endParaRPr lang="el-GR"/>
              </a:p>
            </c:rich>
          </c:tx>
          <c:layout>
            <c:manualLayout>
              <c:xMode val="edge"/>
              <c:yMode val="edge"/>
              <c:x val="9.663818089089575E-2"/>
              <c:y val="0.3636515355899238"/>
            </c:manualLayout>
          </c:layout>
        </c:title>
        <c:numFmt formatCode="General" sourceLinked="1"/>
        <c:majorTickMark val="none"/>
        <c:tickLblPos val="nextTo"/>
        <c:crossAx val="86367616"/>
        <c:crosses val="autoZero"/>
        <c:crossBetween val="between"/>
      </c:valAx>
      <c:serAx>
        <c:axId val="85792064"/>
        <c:scaling>
          <c:orientation val="minMax"/>
        </c:scaling>
        <c:delete val="1"/>
        <c:axPos val="b"/>
        <c:numFmt formatCode="General" sourceLinked="1"/>
        <c:tickLblPos val="none"/>
        <c:crossAx val="91689344"/>
        <c:crosses val="autoZero"/>
        <c:tickLblSkip val="1"/>
        <c:tickMarkSkip val="1"/>
      </c:serAx>
    </c:plotArea>
    <c:legend>
      <c:legendPos val="b"/>
      <c:layout>
        <c:manualLayout>
          <c:xMode val="edge"/>
          <c:yMode val="edge"/>
          <c:x val="0.34802303740468482"/>
          <c:y val="0.81894866727316495"/>
          <c:w val="0.31027279173041794"/>
          <c:h val="9.6057972833077224E-2"/>
        </c:manualLayout>
      </c:layout>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l-GR"/>
  <c:chart>
    <c:autoTitleDeleted val="1"/>
    <c:plotArea>
      <c:layout/>
      <c:lineChart>
        <c:grouping val="standard"/>
        <c:ser>
          <c:idx val="0"/>
          <c:order val="0"/>
          <c:tx>
            <c:strRef>
              <c:f>Φύλλο1!$C$244</c:f>
              <c:strCache>
                <c:ptCount val="1"/>
                <c:pt idx="0">
                  <c:v>Greece</c:v>
                </c:pt>
              </c:strCache>
            </c:strRef>
          </c:tx>
          <c:dLbls>
            <c:numFmt formatCode="#,##0.00" sourceLinked="0"/>
            <c:txPr>
              <a:bodyPr/>
              <a:lstStyle/>
              <a:p>
                <a:pPr>
                  <a:defRPr sz="900">
                    <a:latin typeface="Times New Roman" pitchFamily="18" charset="0"/>
                    <a:cs typeface="Times New Roman" pitchFamily="18" charset="0"/>
                  </a:defRPr>
                </a:pPr>
                <a:endParaRPr lang="el-GR"/>
              </a:p>
            </c:txPr>
            <c:dLblPos val="r"/>
            <c:showVal val="1"/>
          </c:dLbls>
          <c:cat>
            <c:numRef>
              <c:f>Φύλλο1!$B$245:$B$258</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Φύλλο1!$C$245:$C$258</c:f>
              <c:numCache>
                <c:formatCode>General</c:formatCode>
                <c:ptCount val="14"/>
                <c:pt idx="0">
                  <c:v>102.559</c:v>
                </c:pt>
                <c:pt idx="1">
                  <c:v>103.91500000000002</c:v>
                </c:pt>
                <c:pt idx="2">
                  <c:v>105.529</c:v>
                </c:pt>
                <c:pt idx="3">
                  <c:v>104.94200000000002</c:v>
                </c:pt>
                <c:pt idx="4">
                  <c:v>104.506</c:v>
                </c:pt>
                <c:pt idx="5">
                  <c:v>104.968</c:v>
                </c:pt>
                <c:pt idx="6">
                  <c:v>109.35299999999998</c:v>
                </c:pt>
                <c:pt idx="7">
                  <c:v>107.979</c:v>
                </c:pt>
                <c:pt idx="8">
                  <c:v>108.316</c:v>
                </c:pt>
                <c:pt idx="9">
                  <c:v>109.084</c:v>
                </c:pt>
                <c:pt idx="10">
                  <c:v>111.099</c:v>
                </c:pt>
                <c:pt idx="11">
                  <c:v>116.66800000000001</c:v>
                </c:pt>
                <c:pt idx="12">
                  <c:v>111.79400000000012</c:v>
                </c:pt>
              </c:numCache>
            </c:numRef>
          </c:val>
        </c:ser>
        <c:ser>
          <c:idx val="1"/>
          <c:order val="1"/>
          <c:tx>
            <c:strRef>
              <c:f>Φύλλο1!$D$244</c:f>
              <c:strCache>
                <c:ptCount val="1"/>
                <c:pt idx="0">
                  <c:v>Portugal</c:v>
                </c:pt>
              </c:strCache>
            </c:strRef>
          </c:tx>
          <c:dLbls>
            <c:numFmt formatCode="#,##0.00" sourceLinked="0"/>
            <c:txPr>
              <a:bodyPr/>
              <a:lstStyle/>
              <a:p>
                <a:pPr>
                  <a:defRPr sz="900">
                    <a:latin typeface="Times New Roman" pitchFamily="18" charset="0"/>
                    <a:cs typeface="Times New Roman" pitchFamily="18" charset="0"/>
                  </a:defRPr>
                </a:pPr>
                <a:endParaRPr lang="el-GR"/>
              </a:p>
            </c:txPr>
            <c:dLblPos val="r"/>
            <c:showVal val="1"/>
          </c:dLbls>
          <c:cat>
            <c:numRef>
              <c:f>Φύλλο1!$B$245:$B$258</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Φύλλο1!$D$245:$D$258</c:f>
              <c:numCache>
                <c:formatCode>General</c:formatCode>
                <c:ptCount val="14"/>
                <c:pt idx="0">
                  <c:v>105.58199999999999</c:v>
                </c:pt>
                <c:pt idx="1">
                  <c:v>106.691</c:v>
                </c:pt>
                <c:pt idx="2">
                  <c:v>109.148</c:v>
                </c:pt>
                <c:pt idx="3">
                  <c:v>102.371</c:v>
                </c:pt>
                <c:pt idx="4">
                  <c:v>107.839</c:v>
                </c:pt>
                <c:pt idx="5">
                  <c:v>102.36199999999999</c:v>
                </c:pt>
                <c:pt idx="6">
                  <c:v>103.88800000000001</c:v>
                </c:pt>
                <c:pt idx="7">
                  <c:v>104.768</c:v>
                </c:pt>
                <c:pt idx="8">
                  <c:v>104.96400000000018</c:v>
                </c:pt>
                <c:pt idx="9">
                  <c:v>106.242</c:v>
                </c:pt>
                <c:pt idx="10">
                  <c:v>103.203</c:v>
                </c:pt>
                <c:pt idx="11">
                  <c:v>107.96899999999999</c:v>
                </c:pt>
                <c:pt idx="12">
                  <c:v>106.886</c:v>
                </c:pt>
                <c:pt idx="13">
                  <c:v>105.21899999999999</c:v>
                </c:pt>
              </c:numCache>
            </c:numRef>
          </c:val>
        </c:ser>
        <c:dLbls>
          <c:showVal val="1"/>
        </c:dLbls>
        <c:marker val="1"/>
        <c:axId val="153948928"/>
        <c:axId val="153951232"/>
      </c:lineChart>
      <c:catAx>
        <c:axId val="153948928"/>
        <c:scaling>
          <c:orientation val="minMax"/>
        </c:scaling>
        <c:axPos val="b"/>
        <c:title>
          <c:tx>
            <c:rich>
              <a:bodyPr/>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Year</a:t>
                </a:r>
                <a:endParaRPr lang="el-GR" sz="1100">
                  <a:latin typeface="Times New Roman" pitchFamily="18" charset="0"/>
                  <a:cs typeface="Times New Roman" pitchFamily="18" charset="0"/>
                </a:endParaRPr>
              </a:p>
            </c:rich>
          </c:tx>
        </c:title>
        <c:numFmt formatCode="General" sourceLinked="1"/>
        <c:majorTickMark val="none"/>
        <c:tickLblPos val="nextTo"/>
        <c:txPr>
          <a:bodyPr/>
          <a:lstStyle/>
          <a:p>
            <a:pPr>
              <a:defRPr sz="1050">
                <a:latin typeface="Times New Roman" pitchFamily="18" charset="0"/>
                <a:cs typeface="Times New Roman" pitchFamily="18" charset="0"/>
              </a:defRPr>
            </a:pPr>
            <a:endParaRPr lang="el-GR"/>
          </a:p>
        </c:txPr>
        <c:crossAx val="153951232"/>
        <c:crosses val="autoZero"/>
        <c:auto val="1"/>
        <c:lblAlgn val="ctr"/>
        <c:lblOffset val="100"/>
      </c:catAx>
      <c:valAx>
        <c:axId val="153951232"/>
        <c:scaling>
          <c:orientation val="minMax"/>
        </c:scaling>
        <c:axPos val="l"/>
        <c:majorGridlines/>
        <c:numFmt formatCode="General" sourceLinked="1"/>
        <c:majorTickMark val="none"/>
        <c:tickLblPos val="nextTo"/>
        <c:txPr>
          <a:bodyPr/>
          <a:lstStyle/>
          <a:p>
            <a:pPr>
              <a:defRPr>
                <a:latin typeface="Times New Roman" pitchFamily="18" charset="0"/>
                <a:cs typeface="Times New Roman" pitchFamily="18" charset="0"/>
              </a:defRPr>
            </a:pPr>
            <a:endParaRPr lang="el-GR"/>
          </a:p>
        </c:txPr>
        <c:crossAx val="153948928"/>
        <c:crosses val="autoZero"/>
        <c:crossBetween val="between"/>
      </c:valAx>
      <c:spPr>
        <a:solidFill>
          <a:schemeClr val="bg1">
            <a:lumMod val="85000"/>
          </a:schemeClr>
        </a:solidFill>
      </c:spPr>
    </c:plotArea>
    <c:legend>
      <c:legendPos val="b"/>
      <c:txPr>
        <a:bodyPr/>
        <a:lstStyle/>
        <a:p>
          <a:pPr>
            <a:defRPr sz="1100" b="1">
              <a:latin typeface="Times New Roman" pitchFamily="18" charset="0"/>
              <a:cs typeface="Times New Roman" pitchFamily="18" charset="0"/>
            </a:defRPr>
          </a:pPr>
          <a:endParaRPr lang="el-GR"/>
        </a:p>
      </c:txPr>
    </c:legend>
    <c:plotVisOnly val="1"/>
  </c:chart>
  <c:spPr>
    <a:noFill/>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l-GR"/>
  <c:chart>
    <c:autoTitleDeleted val="1"/>
    <c:plotArea>
      <c:layout>
        <c:manualLayout>
          <c:layoutTarget val="inner"/>
          <c:xMode val="edge"/>
          <c:yMode val="edge"/>
          <c:x val="8.5548317116012726E-2"/>
          <c:y val="4.6934373347241494E-2"/>
          <c:w val="0.77955510909446912"/>
          <c:h val="0.73868276440777969"/>
        </c:manualLayout>
      </c:layout>
      <c:lineChart>
        <c:grouping val="standard"/>
        <c:ser>
          <c:idx val="0"/>
          <c:order val="0"/>
          <c:tx>
            <c:strRef>
              <c:f>Φύλλο1!$D$71</c:f>
              <c:strCache>
                <c:ptCount val="1"/>
                <c:pt idx="0">
                  <c:v>Greece</c:v>
                </c:pt>
              </c:strCache>
            </c:strRef>
          </c:tx>
          <c:dLbls>
            <c:txPr>
              <a:bodyPr/>
              <a:lstStyle/>
              <a:p>
                <a:pPr>
                  <a:defRPr sz="900"/>
                </a:pPr>
                <a:endParaRPr lang="el-GR"/>
              </a:p>
            </c:txPr>
            <c:showVal val="1"/>
          </c:dLbls>
          <c:cat>
            <c:strRef>
              <c:f>Φύλλο1!$B$72:$C$84</c:f>
              <c:strCache>
                <c:ptCount val="13"/>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strCache>
            </c:strRef>
          </c:cat>
          <c:val>
            <c:numRef>
              <c:f>Φύλλο1!$D$72:$D$84</c:f>
              <c:numCache>
                <c:formatCode>General</c:formatCode>
                <c:ptCount val="13"/>
                <c:pt idx="0">
                  <c:v>9.5</c:v>
                </c:pt>
                <c:pt idx="1">
                  <c:v>9.7000000000000011</c:v>
                </c:pt>
                <c:pt idx="2">
                  <c:v>9.6</c:v>
                </c:pt>
                <c:pt idx="3">
                  <c:v>9.6</c:v>
                </c:pt>
                <c:pt idx="4">
                  <c:v>9.6</c:v>
                </c:pt>
                <c:pt idx="5">
                  <c:v>9.9</c:v>
                </c:pt>
                <c:pt idx="6">
                  <c:v>9.7000000000000011</c:v>
                </c:pt>
                <c:pt idx="7">
                  <c:v>9.8000000000000007</c:v>
                </c:pt>
                <c:pt idx="8">
                  <c:v>9.8000000000000007</c:v>
                </c:pt>
                <c:pt idx="9">
                  <c:v>10</c:v>
                </c:pt>
                <c:pt idx="10">
                  <c:v>10.6</c:v>
                </c:pt>
                <c:pt idx="11">
                  <c:v>10.200000000000001</c:v>
                </c:pt>
                <c:pt idx="12">
                  <c:v>10.5</c:v>
                </c:pt>
              </c:numCache>
            </c:numRef>
          </c:val>
        </c:ser>
        <c:ser>
          <c:idx val="1"/>
          <c:order val="1"/>
          <c:tx>
            <c:strRef>
              <c:f>Φύλλο1!$E$71</c:f>
              <c:strCache>
                <c:ptCount val="1"/>
                <c:pt idx="0">
                  <c:v>Portugal</c:v>
                </c:pt>
              </c:strCache>
            </c:strRef>
          </c:tx>
          <c:dLbls>
            <c:txPr>
              <a:bodyPr/>
              <a:lstStyle/>
              <a:p>
                <a:pPr>
                  <a:defRPr sz="900"/>
                </a:pPr>
                <a:endParaRPr lang="el-GR"/>
              </a:p>
            </c:txPr>
            <c:showVal val="1"/>
          </c:dLbls>
          <c:cat>
            <c:strRef>
              <c:f>Φύλλο1!$B$72:$C$84</c:f>
              <c:strCache>
                <c:ptCount val="13"/>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strCache>
            </c:strRef>
          </c:cat>
          <c:val>
            <c:numRef>
              <c:f>Φύλλο1!$E$72:$E$84</c:f>
              <c:numCache>
                <c:formatCode>General</c:formatCode>
                <c:ptCount val="13"/>
                <c:pt idx="0">
                  <c:v>10.200000000000001</c:v>
                </c:pt>
                <c:pt idx="1">
                  <c:v>10.4</c:v>
                </c:pt>
                <c:pt idx="2">
                  <c:v>9.7000000000000011</c:v>
                </c:pt>
                <c:pt idx="3">
                  <c:v>10.200000000000001</c:v>
                </c:pt>
                <c:pt idx="4">
                  <c:v>9.7000000000000011</c:v>
                </c:pt>
                <c:pt idx="5">
                  <c:v>9.8000000000000007</c:v>
                </c:pt>
                <c:pt idx="6">
                  <c:v>9.9</c:v>
                </c:pt>
                <c:pt idx="7">
                  <c:v>9.9</c:v>
                </c:pt>
                <c:pt idx="8">
                  <c:v>10</c:v>
                </c:pt>
                <c:pt idx="9">
                  <c:v>9.7000000000000011</c:v>
                </c:pt>
                <c:pt idx="10">
                  <c:v>10.200000000000001</c:v>
                </c:pt>
                <c:pt idx="11">
                  <c:v>10.200000000000001</c:v>
                </c:pt>
                <c:pt idx="12">
                  <c:v>10.1</c:v>
                </c:pt>
              </c:numCache>
            </c:numRef>
          </c:val>
        </c:ser>
        <c:dLbls>
          <c:showVal val="1"/>
        </c:dLbls>
        <c:marker val="1"/>
        <c:axId val="154449024"/>
        <c:axId val="154450944"/>
      </c:lineChart>
      <c:catAx>
        <c:axId val="154449024"/>
        <c:scaling>
          <c:orientation val="minMax"/>
        </c:scaling>
        <c:axPos val="b"/>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Year</a:t>
                </a:r>
                <a:endParaRPr lang="el-GR" sz="1200">
                  <a:latin typeface="Times New Roman" pitchFamily="18" charset="0"/>
                  <a:cs typeface="Times New Roman" pitchFamily="18" charset="0"/>
                </a:endParaRPr>
              </a:p>
            </c:rich>
          </c:tx>
        </c:title>
        <c:majorTickMark val="none"/>
        <c:tickLblPos val="nextTo"/>
        <c:crossAx val="154450944"/>
        <c:crosses val="autoZero"/>
        <c:auto val="1"/>
        <c:lblAlgn val="ctr"/>
        <c:lblOffset val="100"/>
      </c:catAx>
      <c:valAx>
        <c:axId val="154450944"/>
        <c:scaling>
          <c:orientation val="minMax"/>
          <c:max val="10.6"/>
          <c:min val="9.2000000000000011"/>
        </c:scaling>
        <c:axPos val="l"/>
        <c:majorGridlines/>
        <c:numFmt formatCode="General" sourceLinked="1"/>
        <c:majorTickMark val="none"/>
        <c:tickLblPos val="nextTo"/>
        <c:crossAx val="154449024"/>
        <c:crosses val="autoZero"/>
        <c:crossBetween val="between"/>
      </c:valAx>
      <c:spPr>
        <a:solidFill>
          <a:schemeClr val="bg2"/>
        </a:solidFill>
      </c:spPr>
    </c:plotArea>
    <c:legend>
      <c:legendPos val="r"/>
      <c:layout>
        <c:manualLayout>
          <c:xMode val="edge"/>
          <c:yMode val="edge"/>
          <c:x val="0.85834620928998495"/>
          <c:y val="0.43421181204020487"/>
          <c:w val="0.13940138506984942"/>
          <c:h val="0.2168938338135625"/>
        </c:manualLayout>
      </c:layout>
      <c:txPr>
        <a:bodyPr/>
        <a:lstStyle/>
        <a:p>
          <a:pPr>
            <a:defRPr sz="1000">
              <a:latin typeface="Times New Roman" pitchFamily="18" charset="0"/>
              <a:cs typeface="Times New Roman" pitchFamily="18" charset="0"/>
            </a:defRPr>
          </a:pPr>
          <a:endParaRPr lang="el-GR"/>
        </a:p>
      </c:txPr>
    </c:legend>
    <c:plotVisOnly val="1"/>
  </c:chart>
  <c:spPr>
    <a:noFill/>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l-GR"/>
  <c:chart>
    <c:autoTitleDeleted val="1"/>
    <c:view3D>
      <c:rotX val="10"/>
      <c:rotY val="10"/>
      <c:perspective val="30"/>
    </c:view3D>
    <c:floor>
      <c:spPr>
        <a:solidFill>
          <a:srgbClr val="E7E6E6"/>
        </a:solidFill>
      </c:spPr>
    </c:floor>
    <c:sideWall>
      <c:spPr>
        <a:solidFill>
          <a:srgbClr val="E7E6E6"/>
        </a:solidFill>
      </c:spPr>
    </c:sideWall>
    <c:backWall>
      <c:spPr>
        <a:solidFill>
          <a:srgbClr val="E7E6E6"/>
        </a:solidFill>
      </c:spPr>
    </c:backWall>
    <c:plotArea>
      <c:layout/>
      <c:bar3DChart>
        <c:barDir val="col"/>
        <c:grouping val="clustered"/>
        <c:ser>
          <c:idx val="0"/>
          <c:order val="0"/>
          <c:tx>
            <c:strRef>
              <c:f>Φύλλο1!$G$46</c:f>
              <c:strCache>
                <c:ptCount val="1"/>
                <c:pt idx="0">
                  <c:v>Greece</c:v>
                </c:pt>
              </c:strCache>
            </c:strRef>
          </c:tx>
          <c:cat>
            <c:strRef>
              <c:f>Φύλλο1!$E$47:$F$53</c:f>
              <c:strCache>
                <c:ptCount val="7"/>
                <c:pt idx="0">
                  <c:v>2006</c:v>
                </c:pt>
                <c:pt idx="1">
                  <c:v>2007</c:v>
                </c:pt>
                <c:pt idx="2">
                  <c:v>2008</c:v>
                </c:pt>
                <c:pt idx="3">
                  <c:v>2009</c:v>
                </c:pt>
                <c:pt idx="4">
                  <c:v>2010</c:v>
                </c:pt>
                <c:pt idx="5">
                  <c:v>2011</c:v>
                </c:pt>
                <c:pt idx="6">
                  <c:v>2012</c:v>
                </c:pt>
              </c:strCache>
            </c:strRef>
          </c:cat>
          <c:val>
            <c:numRef>
              <c:f>Φύλλο1!$G$47:$G$53</c:f>
              <c:numCache>
                <c:formatCode>General</c:formatCode>
                <c:ptCount val="7"/>
                <c:pt idx="0">
                  <c:v>3.7</c:v>
                </c:pt>
                <c:pt idx="1">
                  <c:v>3.5</c:v>
                </c:pt>
                <c:pt idx="2">
                  <c:v>2.7</c:v>
                </c:pt>
                <c:pt idx="3">
                  <c:v>3.1</c:v>
                </c:pt>
                <c:pt idx="4">
                  <c:v>3.8</c:v>
                </c:pt>
                <c:pt idx="5">
                  <c:v>3.4</c:v>
                </c:pt>
                <c:pt idx="6">
                  <c:v>2.9</c:v>
                </c:pt>
              </c:numCache>
            </c:numRef>
          </c:val>
        </c:ser>
        <c:ser>
          <c:idx val="1"/>
          <c:order val="1"/>
          <c:tx>
            <c:strRef>
              <c:f>Φύλλο1!$H$46</c:f>
              <c:strCache>
                <c:ptCount val="1"/>
                <c:pt idx="0">
                  <c:v>Portugal</c:v>
                </c:pt>
              </c:strCache>
            </c:strRef>
          </c:tx>
          <c:cat>
            <c:strRef>
              <c:f>Φύλλο1!$E$47:$F$53</c:f>
              <c:strCache>
                <c:ptCount val="7"/>
                <c:pt idx="0">
                  <c:v>2006</c:v>
                </c:pt>
                <c:pt idx="1">
                  <c:v>2007</c:v>
                </c:pt>
                <c:pt idx="2">
                  <c:v>2008</c:v>
                </c:pt>
                <c:pt idx="3">
                  <c:v>2009</c:v>
                </c:pt>
                <c:pt idx="4">
                  <c:v>2010</c:v>
                </c:pt>
                <c:pt idx="5">
                  <c:v>2011</c:v>
                </c:pt>
                <c:pt idx="6">
                  <c:v>2012</c:v>
                </c:pt>
              </c:strCache>
            </c:strRef>
          </c:cat>
          <c:val>
            <c:numRef>
              <c:f>Φύλλο1!$H$47:$H$53</c:f>
              <c:numCache>
                <c:formatCode>General</c:formatCode>
                <c:ptCount val="7"/>
                <c:pt idx="0">
                  <c:v>3.3</c:v>
                </c:pt>
                <c:pt idx="1">
                  <c:v>3.4</c:v>
                </c:pt>
                <c:pt idx="2">
                  <c:v>3.3</c:v>
                </c:pt>
                <c:pt idx="3">
                  <c:v>3.6</c:v>
                </c:pt>
                <c:pt idx="4">
                  <c:v>2.5</c:v>
                </c:pt>
                <c:pt idx="5">
                  <c:v>3.1</c:v>
                </c:pt>
                <c:pt idx="6">
                  <c:v>3.4</c:v>
                </c:pt>
              </c:numCache>
            </c:numRef>
          </c:val>
        </c:ser>
        <c:shape val="cylinder"/>
        <c:axId val="154532480"/>
        <c:axId val="156673920"/>
        <c:axId val="0"/>
      </c:bar3DChart>
      <c:catAx>
        <c:axId val="154532480"/>
        <c:scaling>
          <c:orientation val="minMax"/>
        </c:scaling>
        <c:axPos val="b"/>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Year</a:t>
                </a:r>
                <a:endParaRPr lang="el-GR" sz="1200">
                  <a:latin typeface="Times New Roman" pitchFamily="18" charset="0"/>
                  <a:cs typeface="Times New Roman" pitchFamily="18" charset="0"/>
                </a:endParaRPr>
              </a:p>
            </c:rich>
          </c:tx>
        </c:title>
        <c:majorTickMark val="none"/>
        <c:tickLblPos val="nextTo"/>
        <c:crossAx val="156673920"/>
        <c:crosses val="autoZero"/>
        <c:auto val="1"/>
        <c:lblAlgn val="ctr"/>
        <c:lblOffset val="100"/>
      </c:catAx>
      <c:valAx>
        <c:axId val="156673920"/>
        <c:scaling>
          <c:orientation val="minMax"/>
          <c:min val="2"/>
        </c:scaling>
        <c:axPos val="l"/>
        <c:majorGridlines/>
        <c:numFmt formatCode="General" sourceLinked="1"/>
        <c:majorTickMark val="none"/>
        <c:tickLblPos val="nextTo"/>
        <c:crossAx val="154532480"/>
        <c:crosses val="autoZero"/>
        <c:crossBetween val="between"/>
      </c:valAx>
    </c:plotArea>
    <c:legend>
      <c:legendPos val="r"/>
    </c:legend>
    <c:plotVisOnly val="1"/>
  </c:chart>
  <c:spPr>
    <a:noFill/>
    <a:effectLst/>
    <a:scene3d>
      <a:camera prst="orthographicFront"/>
      <a:lightRig rig="threePt" dir="t"/>
    </a:scene3d>
    <a:sp3d>
      <a:bevelT w="6350" h="6350"/>
      <a:bevelB w="6350" h="6350" prst="convex"/>
    </a:sp3d>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l-GR"/>
  <c:chart>
    <c:autoTitleDeleted val="1"/>
    <c:plotArea>
      <c:layout/>
      <c:lineChart>
        <c:grouping val="standard"/>
        <c:ser>
          <c:idx val="0"/>
          <c:order val="0"/>
          <c:tx>
            <c:strRef>
              <c:f>Φύλλο1!$D$114</c:f>
              <c:strCache>
                <c:ptCount val="1"/>
                <c:pt idx="0">
                  <c:v>Greece</c:v>
                </c:pt>
              </c:strCache>
            </c:strRef>
          </c:tx>
          <c:cat>
            <c:strRef>
              <c:f>Φύλλο1!$B$115:$C$128</c:f>
              <c:strCache>
                <c:ptCount val="14"/>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strCache>
            </c:strRef>
          </c:cat>
          <c:val>
            <c:numRef>
              <c:f>Φύλλο1!$D$115:$D$128</c:f>
              <c:numCache>
                <c:formatCode>General</c:formatCode>
                <c:ptCount val="14"/>
                <c:pt idx="0">
                  <c:v>6</c:v>
                </c:pt>
                <c:pt idx="1">
                  <c:v>5.5</c:v>
                </c:pt>
                <c:pt idx="2">
                  <c:v>5.2</c:v>
                </c:pt>
                <c:pt idx="3">
                  <c:v>4.8</c:v>
                </c:pt>
                <c:pt idx="4">
                  <c:v>4.5999999999999996</c:v>
                </c:pt>
                <c:pt idx="5">
                  <c:v>4.4000000000000004</c:v>
                </c:pt>
                <c:pt idx="6">
                  <c:v>4.3</c:v>
                </c:pt>
                <c:pt idx="7">
                  <c:v>4.2</c:v>
                </c:pt>
                <c:pt idx="8">
                  <c:v>4.0999999999999996</c:v>
                </c:pt>
                <c:pt idx="9">
                  <c:v>4</c:v>
                </c:pt>
                <c:pt idx="10">
                  <c:v>3.9</c:v>
                </c:pt>
                <c:pt idx="11">
                  <c:v>3.8</c:v>
                </c:pt>
                <c:pt idx="12">
                  <c:v>3.7</c:v>
                </c:pt>
                <c:pt idx="13">
                  <c:v>3.6</c:v>
                </c:pt>
              </c:numCache>
            </c:numRef>
          </c:val>
        </c:ser>
        <c:ser>
          <c:idx val="1"/>
          <c:order val="1"/>
          <c:tx>
            <c:strRef>
              <c:f>Φύλλο1!$E$114</c:f>
              <c:strCache>
                <c:ptCount val="1"/>
                <c:pt idx="0">
                  <c:v>Portugal</c:v>
                </c:pt>
              </c:strCache>
            </c:strRef>
          </c:tx>
          <c:cat>
            <c:strRef>
              <c:f>Φύλλο1!$B$115:$C$128</c:f>
              <c:strCache>
                <c:ptCount val="14"/>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strCache>
            </c:strRef>
          </c:cat>
          <c:val>
            <c:numRef>
              <c:f>Φύλλο1!$E$115:$E$128</c:f>
              <c:numCache>
                <c:formatCode>General</c:formatCode>
                <c:ptCount val="14"/>
                <c:pt idx="0">
                  <c:v>4.7</c:v>
                </c:pt>
                <c:pt idx="1">
                  <c:v>4.3</c:v>
                </c:pt>
                <c:pt idx="2">
                  <c:v>4</c:v>
                </c:pt>
                <c:pt idx="3">
                  <c:v>3.7</c:v>
                </c:pt>
                <c:pt idx="4">
                  <c:v>3.5</c:v>
                </c:pt>
                <c:pt idx="5">
                  <c:v>3.3</c:v>
                </c:pt>
                <c:pt idx="6">
                  <c:v>3.3</c:v>
                </c:pt>
                <c:pt idx="7">
                  <c:v>3.2</c:v>
                </c:pt>
                <c:pt idx="8">
                  <c:v>3.1</c:v>
                </c:pt>
                <c:pt idx="9">
                  <c:v>3.1</c:v>
                </c:pt>
                <c:pt idx="10">
                  <c:v>3.1</c:v>
                </c:pt>
                <c:pt idx="11">
                  <c:v>3.1</c:v>
                </c:pt>
                <c:pt idx="12">
                  <c:v>3</c:v>
                </c:pt>
                <c:pt idx="13">
                  <c:v>3</c:v>
                </c:pt>
              </c:numCache>
            </c:numRef>
          </c:val>
        </c:ser>
        <c:dLbls>
          <c:showVal val="1"/>
        </c:dLbls>
        <c:marker val="1"/>
        <c:axId val="160743424"/>
        <c:axId val="160745344"/>
      </c:lineChart>
      <c:catAx>
        <c:axId val="160743424"/>
        <c:scaling>
          <c:orientation val="minMax"/>
        </c:scaling>
        <c:axPos val="b"/>
        <c:title>
          <c:tx>
            <c:rich>
              <a:bodyPr/>
              <a:lstStyle/>
              <a:p>
                <a:pPr>
                  <a:defRPr/>
                </a:pPr>
                <a:r>
                  <a:rPr lang="en-US"/>
                  <a:t>Year</a:t>
                </a:r>
                <a:endParaRPr lang="el-GR"/>
              </a:p>
            </c:rich>
          </c:tx>
        </c:title>
        <c:majorTickMark val="none"/>
        <c:tickLblPos val="nextTo"/>
        <c:crossAx val="160745344"/>
        <c:crosses val="autoZero"/>
        <c:auto val="1"/>
        <c:lblAlgn val="ctr"/>
        <c:lblOffset val="100"/>
      </c:catAx>
      <c:valAx>
        <c:axId val="160745344"/>
        <c:scaling>
          <c:orientation val="minMax"/>
          <c:max val="6.5"/>
          <c:min val="2.5"/>
        </c:scaling>
        <c:axPos val="l"/>
        <c:majorGridlines/>
        <c:numFmt formatCode="General" sourceLinked="1"/>
        <c:majorTickMark val="none"/>
        <c:tickLblPos val="nextTo"/>
        <c:crossAx val="160743424"/>
        <c:crosses val="autoZero"/>
        <c:crossBetween val="between"/>
        <c:majorUnit val="0.5"/>
      </c:valAx>
      <c:spPr>
        <a:solidFill>
          <a:schemeClr val="bg2"/>
        </a:solidFill>
      </c:spPr>
    </c:plotArea>
    <c:legend>
      <c:legendPos val="r"/>
    </c:legend>
    <c:plotVisOnly val="1"/>
  </c:chart>
  <c:spPr>
    <a:noFill/>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l-GR"/>
  <c:chart>
    <c:autoTitleDeleted val="1"/>
    <c:plotArea>
      <c:layout/>
      <c:lineChart>
        <c:grouping val="standard"/>
        <c:ser>
          <c:idx val="0"/>
          <c:order val="0"/>
          <c:tx>
            <c:strRef>
              <c:f>Φύλλο1!$D$193</c:f>
              <c:strCache>
                <c:ptCount val="1"/>
                <c:pt idx="0">
                  <c:v>Greece</c:v>
                </c:pt>
              </c:strCache>
            </c:strRef>
          </c:tx>
          <c:dLbls>
            <c:dLbl>
              <c:idx val="10"/>
              <c:layout>
                <c:manualLayout>
                  <c:x val="-1.0079365079364985E-2"/>
                  <c:y val="-1.2450715916165181E-2"/>
                </c:manualLayout>
              </c:layout>
              <c:showVal val="1"/>
            </c:dLbl>
            <c:txPr>
              <a:bodyPr/>
              <a:lstStyle/>
              <a:p>
                <a:pPr>
                  <a:defRPr sz="900"/>
                </a:pPr>
                <a:endParaRPr lang="el-GR"/>
              </a:p>
            </c:txPr>
            <c:showVal val="1"/>
          </c:dLbls>
          <c:cat>
            <c:strRef>
              <c:f>Φύλλο1!$B$194:$C$204</c:f>
              <c:strCache>
                <c:ptCount val="11"/>
                <c:pt idx="0">
                  <c:v>2004</c:v>
                </c:pt>
                <c:pt idx="1">
                  <c:v>2005</c:v>
                </c:pt>
                <c:pt idx="2">
                  <c:v>2006</c:v>
                </c:pt>
                <c:pt idx="3">
                  <c:v>2007</c:v>
                </c:pt>
                <c:pt idx="4">
                  <c:v>2008</c:v>
                </c:pt>
                <c:pt idx="5">
                  <c:v>2009</c:v>
                </c:pt>
                <c:pt idx="6">
                  <c:v>2010</c:v>
                </c:pt>
                <c:pt idx="7">
                  <c:v>2011</c:v>
                </c:pt>
                <c:pt idx="8">
                  <c:v>2012</c:v>
                </c:pt>
                <c:pt idx="9">
                  <c:v>2013</c:v>
                </c:pt>
                <c:pt idx="10">
                  <c:v>2014</c:v>
                </c:pt>
              </c:strCache>
            </c:strRef>
          </c:cat>
          <c:val>
            <c:numRef>
              <c:f>Φύλλο1!$D$194:$D$204</c:f>
              <c:numCache>
                <c:formatCode>General</c:formatCode>
                <c:ptCount val="11"/>
                <c:pt idx="0">
                  <c:v>6</c:v>
                </c:pt>
                <c:pt idx="1">
                  <c:v>6.3</c:v>
                </c:pt>
                <c:pt idx="2">
                  <c:v>6.5</c:v>
                </c:pt>
                <c:pt idx="3">
                  <c:v>9</c:v>
                </c:pt>
                <c:pt idx="4">
                  <c:v>7</c:v>
                </c:pt>
                <c:pt idx="5">
                  <c:v>8.4</c:v>
                </c:pt>
                <c:pt idx="6">
                  <c:v>7.8</c:v>
                </c:pt>
                <c:pt idx="7">
                  <c:v>10.1</c:v>
                </c:pt>
                <c:pt idx="8">
                  <c:v>11</c:v>
                </c:pt>
                <c:pt idx="9">
                  <c:v>13.9</c:v>
                </c:pt>
                <c:pt idx="10">
                  <c:v>16.399999999999999</c:v>
                </c:pt>
              </c:numCache>
            </c:numRef>
          </c:val>
        </c:ser>
        <c:ser>
          <c:idx val="1"/>
          <c:order val="1"/>
          <c:tx>
            <c:strRef>
              <c:f>Φύλλο1!$E$193</c:f>
              <c:strCache>
                <c:ptCount val="1"/>
                <c:pt idx="0">
                  <c:v>Portugal</c:v>
                </c:pt>
              </c:strCache>
            </c:strRef>
          </c:tx>
          <c:dLbls>
            <c:dLbl>
              <c:idx val="3"/>
              <c:layout>
                <c:manualLayout>
                  <c:x val="-4.6190782432725639E-17"/>
                  <c:y val="1.2906504065040653E-2"/>
                </c:manualLayout>
              </c:layout>
              <c:showVal val="1"/>
            </c:dLbl>
            <c:dLbl>
              <c:idx val="10"/>
              <c:layout>
                <c:manualLayout>
                  <c:x val="-5.0396825396824482E-3"/>
                  <c:y val="0"/>
                </c:manualLayout>
              </c:layout>
              <c:showVal val="1"/>
            </c:dLbl>
            <c:txPr>
              <a:bodyPr/>
              <a:lstStyle/>
              <a:p>
                <a:pPr>
                  <a:defRPr sz="900"/>
                </a:pPr>
                <a:endParaRPr lang="el-GR"/>
              </a:p>
            </c:txPr>
            <c:showVal val="1"/>
          </c:dLbls>
          <c:cat>
            <c:strRef>
              <c:f>Φύλλο1!$B$194:$C$204</c:f>
              <c:strCache>
                <c:ptCount val="11"/>
                <c:pt idx="0">
                  <c:v>2004</c:v>
                </c:pt>
                <c:pt idx="1">
                  <c:v>2005</c:v>
                </c:pt>
                <c:pt idx="2">
                  <c:v>2006</c:v>
                </c:pt>
                <c:pt idx="3">
                  <c:v>2007</c:v>
                </c:pt>
                <c:pt idx="4">
                  <c:v>2008</c:v>
                </c:pt>
                <c:pt idx="5">
                  <c:v>2009</c:v>
                </c:pt>
                <c:pt idx="6">
                  <c:v>2010</c:v>
                </c:pt>
                <c:pt idx="7">
                  <c:v>2011</c:v>
                </c:pt>
                <c:pt idx="8">
                  <c:v>2012</c:v>
                </c:pt>
                <c:pt idx="9">
                  <c:v>2013</c:v>
                </c:pt>
                <c:pt idx="10">
                  <c:v>2014</c:v>
                </c:pt>
              </c:strCache>
            </c:strRef>
          </c:cat>
          <c:val>
            <c:numRef>
              <c:f>Φύλλο1!$E$194:$E$204</c:f>
              <c:numCache>
                <c:formatCode>General</c:formatCode>
                <c:ptCount val="11"/>
                <c:pt idx="0">
                  <c:v>8.1</c:v>
                </c:pt>
                <c:pt idx="1">
                  <c:v>8.7000000000000011</c:v>
                </c:pt>
                <c:pt idx="2">
                  <c:v>7.2</c:v>
                </c:pt>
                <c:pt idx="3">
                  <c:v>17.899999999999999</c:v>
                </c:pt>
                <c:pt idx="4">
                  <c:v>2.2000000000000002</c:v>
                </c:pt>
                <c:pt idx="5">
                  <c:v>6.1</c:v>
                </c:pt>
                <c:pt idx="6">
                  <c:v>3.6</c:v>
                </c:pt>
                <c:pt idx="7">
                  <c:v>2.2000000000000002</c:v>
                </c:pt>
                <c:pt idx="8">
                  <c:v>4.9000000000000004</c:v>
                </c:pt>
                <c:pt idx="9">
                  <c:v>4.2</c:v>
                </c:pt>
                <c:pt idx="10">
                  <c:v>6.3</c:v>
                </c:pt>
              </c:numCache>
            </c:numRef>
          </c:val>
        </c:ser>
        <c:dLbls>
          <c:showVal val="1"/>
        </c:dLbls>
        <c:marker val="1"/>
        <c:axId val="166718080"/>
        <c:axId val="166736640"/>
      </c:lineChart>
      <c:catAx>
        <c:axId val="166718080"/>
        <c:scaling>
          <c:orientation val="minMax"/>
        </c:scaling>
        <c:axPos val="b"/>
        <c:title>
          <c:tx>
            <c:rich>
              <a:bodyPr/>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Year</a:t>
                </a:r>
                <a:endParaRPr lang="el-GR" sz="1100">
                  <a:latin typeface="Times New Roman" pitchFamily="18" charset="0"/>
                  <a:cs typeface="Times New Roman" pitchFamily="18" charset="0"/>
                </a:endParaRPr>
              </a:p>
            </c:rich>
          </c:tx>
        </c:title>
        <c:tickLblPos val="nextTo"/>
        <c:crossAx val="166736640"/>
        <c:crosses val="autoZero"/>
        <c:auto val="1"/>
        <c:lblAlgn val="ctr"/>
        <c:lblOffset val="100"/>
      </c:catAx>
      <c:valAx>
        <c:axId val="166736640"/>
        <c:scaling>
          <c:orientation val="minMax"/>
          <c:max val="18"/>
          <c:min val="2"/>
        </c:scaling>
        <c:axPos val="l"/>
        <c:majorGridlines>
          <c:spPr>
            <a:ln>
              <a:solidFill>
                <a:srgbClr val="503D00"/>
              </a:solidFill>
            </a:ln>
          </c:spPr>
        </c:majorGridlines>
        <c:title>
          <c:tx>
            <c:rich>
              <a:bodyPr rot="-5400000" vert="horz"/>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a:t>
                </a:r>
                <a:endParaRPr lang="el-GR" sz="1100">
                  <a:latin typeface="Times New Roman" pitchFamily="18" charset="0"/>
                  <a:cs typeface="Times New Roman" pitchFamily="18" charset="0"/>
                </a:endParaRPr>
              </a:p>
            </c:rich>
          </c:tx>
          <c:layout>
            <c:manualLayout>
              <c:xMode val="edge"/>
              <c:yMode val="edge"/>
              <c:x val="1.7638888888888891E-2"/>
              <c:y val="0.39086065165282446"/>
            </c:manualLayout>
          </c:layout>
        </c:title>
        <c:numFmt formatCode="General" sourceLinked="1"/>
        <c:majorTickMark val="none"/>
        <c:tickLblPos val="nextTo"/>
        <c:crossAx val="166718080"/>
        <c:crosses val="autoZero"/>
        <c:crossBetween val="between"/>
        <c:majorUnit val="1"/>
      </c:valAx>
      <c:spPr>
        <a:solidFill>
          <a:schemeClr val="bg2"/>
        </a:solidFill>
      </c:spPr>
    </c:plotArea>
    <c:legend>
      <c:legendPos val="r"/>
    </c:legend>
    <c:plotVisOnly val="1"/>
  </c:chart>
  <c:spPr>
    <a:noFill/>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l-GR"/>
  <c:chart>
    <c:autoTitleDeleted val="1"/>
    <c:view3D>
      <c:perspective val="30"/>
    </c:view3D>
    <c:floor>
      <c:spPr>
        <a:solidFill>
          <a:srgbClr val="E7E6E6"/>
        </a:solidFill>
      </c:spPr>
    </c:floor>
    <c:sideWall>
      <c:spPr>
        <a:solidFill>
          <a:schemeClr val="bg2"/>
        </a:solidFill>
      </c:spPr>
    </c:sideWall>
    <c:backWall>
      <c:spPr>
        <a:solidFill>
          <a:schemeClr val="bg2"/>
        </a:solidFill>
      </c:spPr>
    </c:backWall>
    <c:plotArea>
      <c:layout/>
      <c:bar3DChart>
        <c:barDir val="col"/>
        <c:grouping val="standard"/>
        <c:ser>
          <c:idx val="0"/>
          <c:order val="0"/>
          <c:tx>
            <c:strRef>
              <c:f>Φύλλο1!$D$174</c:f>
              <c:strCache>
                <c:ptCount val="1"/>
                <c:pt idx="0">
                  <c:v>Greece</c:v>
                </c:pt>
              </c:strCache>
            </c:strRef>
          </c:tx>
          <c:cat>
            <c:strRef>
              <c:f>Φύλλο1!$B$175:$C$182</c:f>
              <c:strCache>
                <c:ptCount val="8"/>
                <c:pt idx="0">
                  <c:v>2005</c:v>
                </c:pt>
                <c:pt idx="1">
                  <c:v>2006</c:v>
                </c:pt>
                <c:pt idx="2">
                  <c:v>2007</c:v>
                </c:pt>
                <c:pt idx="3">
                  <c:v>2008</c:v>
                </c:pt>
                <c:pt idx="4">
                  <c:v>2009</c:v>
                </c:pt>
                <c:pt idx="5">
                  <c:v>2010</c:v>
                </c:pt>
                <c:pt idx="6">
                  <c:v>2011</c:v>
                </c:pt>
                <c:pt idx="7">
                  <c:v>2012</c:v>
                </c:pt>
              </c:strCache>
            </c:strRef>
          </c:cat>
          <c:val>
            <c:numRef>
              <c:f>Φύλλο1!$D$175:$D$182</c:f>
              <c:numCache>
                <c:formatCode>General</c:formatCode>
                <c:ptCount val="8"/>
                <c:pt idx="0">
                  <c:v>3.4</c:v>
                </c:pt>
                <c:pt idx="1">
                  <c:v>3.3</c:v>
                </c:pt>
                <c:pt idx="2">
                  <c:v>2.8</c:v>
                </c:pt>
                <c:pt idx="3">
                  <c:v>3.1</c:v>
                </c:pt>
                <c:pt idx="4">
                  <c:v>3.2</c:v>
                </c:pt>
                <c:pt idx="5">
                  <c:v>3.1</c:v>
                </c:pt>
                <c:pt idx="6">
                  <c:v>3.9</c:v>
                </c:pt>
              </c:numCache>
            </c:numRef>
          </c:val>
        </c:ser>
        <c:ser>
          <c:idx val="1"/>
          <c:order val="1"/>
          <c:tx>
            <c:strRef>
              <c:f>Φύλλο1!$E$174</c:f>
              <c:strCache>
                <c:ptCount val="1"/>
                <c:pt idx="0">
                  <c:v>Portugal</c:v>
                </c:pt>
              </c:strCache>
            </c:strRef>
          </c:tx>
          <c:cat>
            <c:strRef>
              <c:f>Φύλλο1!$B$175:$C$182</c:f>
              <c:strCache>
                <c:ptCount val="8"/>
                <c:pt idx="0">
                  <c:v>2005</c:v>
                </c:pt>
                <c:pt idx="1">
                  <c:v>2006</c:v>
                </c:pt>
                <c:pt idx="2">
                  <c:v>2007</c:v>
                </c:pt>
                <c:pt idx="3">
                  <c:v>2008</c:v>
                </c:pt>
                <c:pt idx="4">
                  <c:v>2009</c:v>
                </c:pt>
                <c:pt idx="5">
                  <c:v>2010</c:v>
                </c:pt>
                <c:pt idx="6">
                  <c:v>2011</c:v>
                </c:pt>
                <c:pt idx="7">
                  <c:v>2012</c:v>
                </c:pt>
              </c:strCache>
            </c:strRef>
          </c:cat>
          <c:val>
            <c:numRef>
              <c:f>Φύλλο1!$E$175:$E$182</c:f>
              <c:numCache>
                <c:formatCode>General</c:formatCode>
                <c:ptCount val="8"/>
                <c:pt idx="2">
                  <c:v>8.9</c:v>
                </c:pt>
                <c:pt idx="3">
                  <c:v>9</c:v>
                </c:pt>
                <c:pt idx="4">
                  <c:v>8.9</c:v>
                </c:pt>
                <c:pt idx="5">
                  <c:v>9.3000000000000007</c:v>
                </c:pt>
                <c:pt idx="6">
                  <c:v>8.6</c:v>
                </c:pt>
                <c:pt idx="7">
                  <c:v>9</c:v>
                </c:pt>
              </c:numCache>
            </c:numRef>
          </c:val>
        </c:ser>
        <c:dLbls>
          <c:showVal val="1"/>
        </c:dLbls>
        <c:gapWidth val="75"/>
        <c:shape val="cone"/>
        <c:axId val="167844864"/>
        <c:axId val="168045952"/>
        <c:axId val="95735808"/>
      </c:bar3DChart>
      <c:catAx>
        <c:axId val="167844864"/>
        <c:scaling>
          <c:orientation val="minMax"/>
        </c:scaling>
        <c:axPos val="b"/>
        <c:title>
          <c:tx>
            <c:rich>
              <a:bodyPr/>
              <a:lstStyle/>
              <a:p>
                <a:pPr>
                  <a:defRPr/>
                </a:pPr>
                <a:r>
                  <a:rPr lang="en-US"/>
                  <a:t>Year</a:t>
                </a:r>
                <a:endParaRPr lang="el-GR"/>
              </a:p>
            </c:rich>
          </c:tx>
        </c:title>
        <c:majorTickMark val="none"/>
        <c:tickLblPos val="nextTo"/>
        <c:crossAx val="168045952"/>
        <c:crosses val="autoZero"/>
        <c:auto val="1"/>
        <c:lblAlgn val="ctr"/>
        <c:lblOffset val="100"/>
      </c:catAx>
      <c:valAx>
        <c:axId val="168045952"/>
        <c:scaling>
          <c:orientation val="minMax"/>
          <c:max val="10"/>
          <c:min val="2.5"/>
        </c:scaling>
        <c:axPos val="l"/>
        <c:majorGridlines/>
        <c:title>
          <c:tx>
            <c:rich>
              <a:bodyPr rot="-5400000" vert="horz"/>
              <a:lstStyle/>
              <a:p>
                <a:pPr>
                  <a:defRPr/>
                </a:pPr>
                <a:r>
                  <a:rPr lang="en-US"/>
                  <a:t>per </a:t>
                </a:r>
                <a:r>
                  <a:rPr lang="el-GR"/>
                  <a:t> 10</a:t>
                </a:r>
                <a:r>
                  <a:rPr lang="en-US"/>
                  <a:t>0,</a:t>
                </a:r>
                <a:r>
                  <a:rPr lang="el-GR"/>
                  <a:t>000</a:t>
                </a:r>
                <a:r>
                  <a:rPr lang="en-US"/>
                  <a:t> population</a:t>
                </a:r>
                <a:endParaRPr lang="el-GR"/>
              </a:p>
            </c:rich>
          </c:tx>
          <c:layout>
            <c:manualLayout>
              <c:xMode val="edge"/>
              <c:yMode val="edge"/>
              <c:x val="1.8978300387681942E-2"/>
              <c:y val="0.19083786626395427"/>
            </c:manualLayout>
          </c:layout>
        </c:title>
        <c:numFmt formatCode="General" sourceLinked="1"/>
        <c:majorTickMark val="none"/>
        <c:tickLblPos val="nextTo"/>
        <c:crossAx val="167844864"/>
        <c:crossesAt val="1"/>
        <c:crossBetween val="between"/>
      </c:valAx>
      <c:serAx>
        <c:axId val="95735808"/>
        <c:scaling>
          <c:orientation val="minMax"/>
        </c:scaling>
        <c:delete val="1"/>
        <c:axPos val="b"/>
        <c:tickLblPos val="none"/>
        <c:crossAx val="168045952"/>
        <c:crosses val="autoZero"/>
      </c:serAx>
    </c:plotArea>
    <c:legend>
      <c:legendPos val="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l-GR"/>
  <c:chart>
    <c:autoTitleDeleted val="1"/>
    <c:view3D>
      <c:rotX val="10"/>
      <c:rotY val="30"/>
      <c:perspective val="30"/>
    </c:view3D>
    <c:floor>
      <c:spPr>
        <a:solidFill>
          <a:srgbClr val="BAB7AC"/>
        </a:solidFill>
      </c:spPr>
    </c:floor>
    <c:sideWall>
      <c:spPr>
        <a:solidFill>
          <a:schemeClr val="bg2"/>
        </a:solidFill>
      </c:spPr>
    </c:sideWall>
    <c:backWall>
      <c:spPr>
        <a:solidFill>
          <a:schemeClr val="bg2"/>
        </a:solidFill>
      </c:spPr>
    </c:backWall>
    <c:plotArea>
      <c:layout/>
      <c:bar3DChart>
        <c:barDir val="col"/>
        <c:grouping val="standard"/>
        <c:ser>
          <c:idx val="0"/>
          <c:order val="0"/>
          <c:tx>
            <c:strRef>
              <c:f>Φύλλο1!$D$133</c:f>
              <c:strCache>
                <c:ptCount val="1"/>
                <c:pt idx="0">
                  <c:v>Greece</c:v>
                </c:pt>
              </c:strCache>
            </c:strRef>
          </c:tx>
          <c:cat>
            <c:strRef>
              <c:f>Φύλλο1!$B$134:$C$147</c:f>
              <c:strCache>
                <c:ptCount val="14"/>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strCache>
            </c:strRef>
          </c:cat>
          <c:val>
            <c:numRef>
              <c:f>Φύλλο1!$D$134:$D$147</c:f>
              <c:numCache>
                <c:formatCode>General</c:formatCode>
                <c:ptCount val="14"/>
                <c:pt idx="0">
                  <c:v>0.2</c:v>
                </c:pt>
                <c:pt idx="1">
                  <c:v>0.2</c:v>
                </c:pt>
                <c:pt idx="2">
                  <c:v>0.2</c:v>
                </c:pt>
                <c:pt idx="3">
                  <c:v>0.2</c:v>
                </c:pt>
                <c:pt idx="4">
                  <c:v>0.2</c:v>
                </c:pt>
                <c:pt idx="5">
                  <c:v>0.2</c:v>
                </c:pt>
                <c:pt idx="6">
                  <c:v>0.2</c:v>
                </c:pt>
                <c:pt idx="7">
                  <c:v>0.2</c:v>
                </c:pt>
                <c:pt idx="8">
                  <c:v>0.2</c:v>
                </c:pt>
                <c:pt idx="9">
                  <c:v>0.2</c:v>
                </c:pt>
                <c:pt idx="10">
                  <c:v>0.2</c:v>
                </c:pt>
                <c:pt idx="11">
                  <c:v>0.2</c:v>
                </c:pt>
                <c:pt idx="12">
                  <c:v>0.2</c:v>
                </c:pt>
                <c:pt idx="13">
                  <c:v>0.30000000000000032</c:v>
                </c:pt>
              </c:numCache>
            </c:numRef>
          </c:val>
        </c:ser>
        <c:shape val="cone"/>
        <c:axId val="168194432"/>
        <c:axId val="168197120"/>
        <c:axId val="95738944"/>
      </c:bar3DChart>
      <c:catAx>
        <c:axId val="168194432"/>
        <c:scaling>
          <c:orientation val="minMax"/>
        </c:scaling>
        <c:axPos val="b"/>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Year</a:t>
                </a:r>
                <a:endParaRPr lang="el-GR" sz="1200">
                  <a:latin typeface="Times New Roman" pitchFamily="18" charset="0"/>
                  <a:cs typeface="Times New Roman" pitchFamily="18" charset="0"/>
                </a:endParaRPr>
              </a:p>
            </c:rich>
          </c:tx>
        </c:title>
        <c:tickLblPos val="nextTo"/>
        <c:crossAx val="168197120"/>
        <c:crosses val="autoZero"/>
        <c:auto val="1"/>
        <c:lblAlgn val="ctr"/>
        <c:lblOffset val="100"/>
      </c:catAx>
      <c:valAx>
        <c:axId val="168197120"/>
        <c:scaling>
          <c:orientation val="minMax"/>
          <c:min val="0.1"/>
        </c:scaling>
        <c:axPos val="l"/>
        <c:majorGridlines/>
        <c:title>
          <c:tx>
            <c:rich>
              <a:bodyPr rot="-5400000" vert="horz"/>
              <a:lstStyle/>
              <a:p>
                <a:pPr>
                  <a:defRPr sz="1200">
                    <a:latin typeface="Times New Roman" pitchFamily="18" charset="0"/>
                    <a:cs typeface="Times New Roman" pitchFamily="18" charset="0"/>
                  </a:defRPr>
                </a:pPr>
                <a:r>
                  <a:rPr lang="el-GR" sz="1200" baseline="0">
                    <a:latin typeface="Times New Roman" pitchFamily="18" charset="0"/>
                    <a:cs typeface="Times New Roman" pitchFamily="18" charset="0"/>
                  </a:rPr>
                  <a:t> %</a:t>
                </a:r>
                <a:endParaRPr lang="el-GR" sz="1200">
                  <a:latin typeface="Times New Roman" pitchFamily="18" charset="0"/>
                  <a:cs typeface="Times New Roman" pitchFamily="18" charset="0"/>
                </a:endParaRPr>
              </a:p>
            </c:rich>
          </c:tx>
          <c:layout>
            <c:manualLayout>
              <c:xMode val="edge"/>
              <c:yMode val="edge"/>
              <c:x val="1.8256998472205899E-2"/>
              <c:y val="0.22554694835680755"/>
            </c:manualLayout>
          </c:layout>
        </c:title>
        <c:numFmt formatCode="General" sourceLinked="1"/>
        <c:tickLblPos val="nextTo"/>
        <c:crossAx val="168194432"/>
        <c:crosses val="autoZero"/>
        <c:crossBetween val="between"/>
      </c:valAx>
      <c:serAx>
        <c:axId val="95738944"/>
        <c:scaling>
          <c:orientation val="minMax"/>
        </c:scaling>
        <c:delete val="1"/>
        <c:axPos val="b"/>
        <c:tickLblPos val="none"/>
        <c:crossAx val="168197120"/>
        <c:crosses val="autoZero"/>
      </c:serAx>
    </c:plotArea>
    <c:legend>
      <c:legendPos val="r"/>
    </c:legend>
    <c:plotVisOnly val="1"/>
  </c:chart>
  <c:spPr>
    <a:noFill/>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l-GR"/>
  <c:chart>
    <c:autoTitleDeleted val="1"/>
    <c:plotArea>
      <c:layout/>
      <c:lineChart>
        <c:grouping val="standard"/>
        <c:ser>
          <c:idx val="0"/>
          <c:order val="0"/>
          <c:tx>
            <c:strRef>
              <c:f>Φύλλο1!$C$294</c:f>
              <c:strCache>
                <c:ptCount val="1"/>
                <c:pt idx="0">
                  <c:v>Greece</c:v>
                </c:pt>
              </c:strCache>
            </c:strRef>
          </c:tx>
          <c:dLbls>
            <c:txPr>
              <a:bodyPr/>
              <a:lstStyle/>
              <a:p>
                <a:pPr>
                  <a:defRPr sz="900">
                    <a:latin typeface="Times New Roman" pitchFamily="18" charset="0"/>
                    <a:cs typeface="Times New Roman" pitchFamily="18" charset="0"/>
                  </a:defRPr>
                </a:pPr>
                <a:endParaRPr lang="el-GR"/>
              </a:p>
            </c:txPr>
            <c:showVal val="1"/>
          </c:dLbls>
          <c:cat>
            <c:numRef>
              <c:f>Φύλλο1!$B$295:$B$307</c:f>
              <c:numCache>
                <c:formatCode>General</c:formatCode>
                <c:ptCount val="13"/>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numCache>
            </c:numRef>
          </c:cat>
          <c:val>
            <c:numRef>
              <c:f>Φύλλο1!$C$295:$C$307</c:f>
              <c:numCache>
                <c:formatCode>General</c:formatCode>
                <c:ptCount val="13"/>
                <c:pt idx="0">
                  <c:v>5.0999999999999996</c:v>
                </c:pt>
                <c:pt idx="1">
                  <c:v>4</c:v>
                </c:pt>
                <c:pt idx="2">
                  <c:v>4.0999999999999996</c:v>
                </c:pt>
                <c:pt idx="3">
                  <c:v>3.8</c:v>
                </c:pt>
                <c:pt idx="4">
                  <c:v>3.7</c:v>
                </c:pt>
                <c:pt idx="5">
                  <c:v>3.5</c:v>
                </c:pt>
                <c:pt idx="6">
                  <c:v>2.7</c:v>
                </c:pt>
                <c:pt idx="7">
                  <c:v>3.1</c:v>
                </c:pt>
                <c:pt idx="8">
                  <c:v>3.8</c:v>
                </c:pt>
                <c:pt idx="9">
                  <c:v>3.4</c:v>
                </c:pt>
                <c:pt idx="10">
                  <c:v>2.9</c:v>
                </c:pt>
                <c:pt idx="11">
                  <c:v>3.7</c:v>
                </c:pt>
                <c:pt idx="12">
                  <c:v>3.8</c:v>
                </c:pt>
              </c:numCache>
            </c:numRef>
          </c:val>
        </c:ser>
        <c:ser>
          <c:idx val="1"/>
          <c:order val="1"/>
          <c:tx>
            <c:strRef>
              <c:f>Φύλλο1!$D$294</c:f>
              <c:strCache>
                <c:ptCount val="1"/>
                <c:pt idx="0">
                  <c:v>Portugal</c:v>
                </c:pt>
              </c:strCache>
            </c:strRef>
          </c:tx>
          <c:dLbls>
            <c:dLbl>
              <c:idx val="1"/>
              <c:layout>
                <c:manualLayout>
                  <c:x val="-2.4160425223483935E-3"/>
                  <c:y val="-3.6036036036036036E-2"/>
                </c:manualLayout>
              </c:layout>
              <c:showVal val="1"/>
            </c:dLbl>
            <c:txPr>
              <a:bodyPr/>
              <a:lstStyle/>
              <a:p>
                <a:pPr>
                  <a:defRPr sz="900">
                    <a:latin typeface="Times New Roman" pitchFamily="18" charset="0"/>
                    <a:cs typeface="Times New Roman" pitchFamily="18" charset="0"/>
                  </a:defRPr>
                </a:pPr>
                <a:endParaRPr lang="el-GR"/>
              </a:p>
            </c:txPr>
            <c:showVal val="1"/>
          </c:dLbls>
          <c:cat>
            <c:numRef>
              <c:f>Φύλλο1!$B$295:$B$307</c:f>
              <c:numCache>
                <c:formatCode>General</c:formatCode>
                <c:ptCount val="13"/>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numCache>
            </c:numRef>
          </c:cat>
          <c:val>
            <c:numRef>
              <c:f>Φύλλο1!$D$295:$D$307</c:f>
              <c:numCache>
                <c:formatCode>General</c:formatCode>
                <c:ptCount val="13"/>
                <c:pt idx="0">
                  <c:v>5</c:v>
                </c:pt>
                <c:pt idx="1">
                  <c:v>4.0999999999999996</c:v>
                </c:pt>
                <c:pt idx="2">
                  <c:v>3.8</c:v>
                </c:pt>
                <c:pt idx="3">
                  <c:v>3.5</c:v>
                </c:pt>
                <c:pt idx="4">
                  <c:v>3.3</c:v>
                </c:pt>
                <c:pt idx="5">
                  <c:v>3.4</c:v>
                </c:pt>
                <c:pt idx="6">
                  <c:v>3.3</c:v>
                </c:pt>
                <c:pt idx="7">
                  <c:v>3.6</c:v>
                </c:pt>
                <c:pt idx="8">
                  <c:v>2.5</c:v>
                </c:pt>
                <c:pt idx="9">
                  <c:v>3.1</c:v>
                </c:pt>
                <c:pt idx="10">
                  <c:v>3.4</c:v>
                </c:pt>
                <c:pt idx="11">
                  <c:v>2.9</c:v>
                </c:pt>
                <c:pt idx="12">
                  <c:v>2.9</c:v>
                </c:pt>
              </c:numCache>
            </c:numRef>
          </c:val>
        </c:ser>
        <c:dLbls>
          <c:showVal val="1"/>
        </c:dLbls>
        <c:marker val="1"/>
        <c:axId val="169704064"/>
        <c:axId val="169809024"/>
      </c:lineChart>
      <c:catAx>
        <c:axId val="169704064"/>
        <c:scaling>
          <c:orientation val="minMax"/>
        </c:scaling>
        <c:axPos val="b"/>
        <c:title>
          <c:tx>
            <c:rich>
              <a:bodyPr/>
              <a:lstStyle/>
              <a:p>
                <a:pPr>
                  <a:defRPr sz="1200"/>
                </a:pPr>
                <a:r>
                  <a:rPr lang="en-US" sz="1200">
                    <a:latin typeface="Times New Roman" pitchFamily="18" charset="0"/>
                    <a:cs typeface="Times New Roman" pitchFamily="18" charset="0"/>
                  </a:rPr>
                  <a:t>Year</a:t>
                </a:r>
                <a:endParaRPr lang="el-GR" sz="1200">
                  <a:latin typeface="Times New Roman" pitchFamily="18" charset="0"/>
                  <a:cs typeface="Times New Roman" pitchFamily="18" charset="0"/>
                </a:endParaRPr>
              </a:p>
            </c:rich>
          </c:tx>
        </c:title>
        <c:numFmt formatCode="General" sourceLinked="1"/>
        <c:majorTickMark val="none"/>
        <c:tickLblPos val="nextTo"/>
        <c:txPr>
          <a:bodyPr/>
          <a:lstStyle/>
          <a:p>
            <a:pPr>
              <a:defRPr sz="1050">
                <a:latin typeface="Times New Roman" pitchFamily="18" charset="0"/>
                <a:cs typeface="Times New Roman" pitchFamily="18" charset="0"/>
              </a:defRPr>
            </a:pPr>
            <a:endParaRPr lang="el-GR"/>
          </a:p>
        </c:txPr>
        <c:crossAx val="169809024"/>
        <c:crosses val="autoZero"/>
        <c:auto val="1"/>
        <c:lblAlgn val="ctr"/>
        <c:lblOffset val="100"/>
      </c:catAx>
      <c:valAx>
        <c:axId val="169809024"/>
        <c:scaling>
          <c:orientation val="minMax"/>
          <c:min val="2.5"/>
        </c:scaling>
        <c:axPos val="l"/>
        <c:majorGridlines/>
        <c:title>
          <c:tx>
            <c:rich>
              <a:bodyPr rot="-5400000" vert="horz"/>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a:t>
                </a:r>
                <a:endParaRPr lang="el-GR" sz="1200">
                  <a:latin typeface="Times New Roman" pitchFamily="18" charset="0"/>
                  <a:cs typeface="Times New Roman" pitchFamily="18" charset="0"/>
                </a:endParaRPr>
              </a:p>
            </c:rich>
          </c:tx>
        </c:title>
        <c:numFmt formatCode="General" sourceLinked="1"/>
        <c:majorTickMark val="none"/>
        <c:tickLblPos val="nextTo"/>
        <c:txPr>
          <a:bodyPr/>
          <a:lstStyle/>
          <a:p>
            <a:pPr>
              <a:defRPr sz="1050">
                <a:latin typeface="Times New Roman" pitchFamily="18" charset="0"/>
                <a:cs typeface="Times New Roman" pitchFamily="18" charset="0"/>
              </a:defRPr>
            </a:pPr>
            <a:endParaRPr lang="el-GR"/>
          </a:p>
        </c:txPr>
        <c:crossAx val="169704064"/>
        <c:crosses val="autoZero"/>
        <c:crossBetween val="between"/>
      </c:valAx>
      <c:spPr>
        <a:solidFill>
          <a:schemeClr val="bg2"/>
        </a:solidFill>
      </c:spPr>
    </c:plotArea>
    <c:legend>
      <c:legendPos val="r"/>
      <c:txPr>
        <a:bodyPr/>
        <a:lstStyle/>
        <a:p>
          <a:pPr>
            <a:defRPr sz="1050">
              <a:latin typeface="Times New Roman" pitchFamily="18" charset="0"/>
              <a:cs typeface="Times New Roman" pitchFamily="18" charset="0"/>
            </a:defRPr>
          </a:pPr>
          <a:endParaRPr lang="el-GR"/>
        </a:p>
      </c:txPr>
    </c:legend>
    <c:plotVisOnly val="1"/>
  </c:chart>
  <c:spPr>
    <a:noFill/>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l-GR"/>
  <c:chart>
    <c:autoTitleDeleted val="1"/>
    <c:view3D>
      <c:rotX val="40"/>
      <c:rotY val="90"/>
      <c:rAngAx val="1"/>
    </c:view3D>
    <c:floor>
      <c:spPr>
        <a:solidFill>
          <a:srgbClr val="E7E6E6"/>
        </a:solidFill>
      </c:spPr>
    </c:floor>
    <c:sideWall>
      <c:spPr>
        <a:solidFill>
          <a:schemeClr val="bg2"/>
        </a:solidFill>
      </c:spPr>
    </c:sideWall>
    <c:backWall>
      <c:spPr>
        <a:solidFill>
          <a:schemeClr val="bg2"/>
        </a:solidFill>
      </c:spPr>
    </c:backWall>
    <c:plotArea>
      <c:layout>
        <c:manualLayout>
          <c:layoutTarget val="inner"/>
          <c:xMode val="edge"/>
          <c:yMode val="edge"/>
          <c:x val="0.13100926945123745"/>
          <c:y val="1.7519388883410959E-2"/>
          <c:w val="0.83464878857616664"/>
          <c:h val="0.79459695089460958"/>
        </c:manualLayout>
      </c:layout>
      <c:bar3DChart>
        <c:barDir val="col"/>
        <c:grouping val="clustered"/>
        <c:ser>
          <c:idx val="0"/>
          <c:order val="0"/>
          <c:tx>
            <c:strRef>
              <c:f>Φύλλο1!$E$341</c:f>
              <c:strCache>
                <c:ptCount val="1"/>
                <c:pt idx="0">
                  <c:v>Greece</c:v>
                </c:pt>
              </c:strCache>
            </c:strRef>
          </c:tx>
          <c:cat>
            <c:numRef>
              <c:f>Φύλλο1!$D$342:$D$354</c:f>
              <c:numCache>
                <c:formatCode>General</c:formatCode>
                <c:ptCount val="13"/>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numCache>
            </c:numRef>
          </c:cat>
          <c:val>
            <c:numRef>
              <c:f>Φύλλο1!$E$342:$E$354</c:f>
              <c:numCache>
                <c:formatCode>General</c:formatCode>
                <c:ptCount val="13"/>
                <c:pt idx="0">
                  <c:v>57.993000000000002</c:v>
                </c:pt>
                <c:pt idx="1">
                  <c:v>59.788000000000011</c:v>
                </c:pt>
                <c:pt idx="2">
                  <c:v>59.125000000000092</c:v>
                </c:pt>
                <c:pt idx="3">
                  <c:v>60.112000000000002</c:v>
                </c:pt>
                <c:pt idx="4">
                  <c:v>62.032000000000011</c:v>
                </c:pt>
                <c:pt idx="5">
                  <c:v>60.347999999999999</c:v>
                </c:pt>
                <c:pt idx="6">
                  <c:v>59.943999999999996</c:v>
                </c:pt>
                <c:pt idx="7">
                  <c:v>69.455000000000013</c:v>
                </c:pt>
                <c:pt idx="8">
                  <c:v>67.679999999999978</c:v>
                </c:pt>
                <c:pt idx="9">
                  <c:v>68.387999999999991</c:v>
                </c:pt>
                <c:pt idx="10">
                  <c:v>67.885999999999981</c:v>
                </c:pt>
                <c:pt idx="11">
                  <c:v>65.531999999999996</c:v>
                </c:pt>
                <c:pt idx="12">
                  <c:v>61.663000000000011</c:v>
                </c:pt>
              </c:numCache>
            </c:numRef>
          </c:val>
        </c:ser>
        <c:ser>
          <c:idx val="1"/>
          <c:order val="1"/>
          <c:tx>
            <c:strRef>
              <c:f>Φύλλο1!$F$341</c:f>
              <c:strCache>
                <c:ptCount val="1"/>
                <c:pt idx="0">
                  <c:v>Portugal</c:v>
                </c:pt>
              </c:strCache>
            </c:strRef>
          </c:tx>
          <c:cat>
            <c:numRef>
              <c:f>Φύλλο1!$D$342:$D$354</c:f>
              <c:numCache>
                <c:formatCode>General</c:formatCode>
                <c:ptCount val="13"/>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numCache>
            </c:numRef>
          </c:cat>
          <c:val>
            <c:numRef>
              <c:f>Φύλλο1!$F$342:$F$354</c:f>
              <c:numCache>
                <c:formatCode>General</c:formatCode>
                <c:ptCount val="13"/>
                <c:pt idx="0">
                  <c:v>70.590999999999994</c:v>
                </c:pt>
                <c:pt idx="1">
                  <c:v>68.801000000000002</c:v>
                </c:pt>
                <c:pt idx="2">
                  <c:v>70.070999999999998</c:v>
                </c:pt>
                <c:pt idx="3">
                  <c:v>70.063999999999993</c:v>
                </c:pt>
                <c:pt idx="4">
                  <c:v>68.063000000000002</c:v>
                </c:pt>
                <c:pt idx="5">
                  <c:v>67.641000000000005</c:v>
                </c:pt>
                <c:pt idx="6">
                  <c:v>67.423000000000002</c:v>
                </c:pt>
                <c:pt idx="7">
                  <c:v>68.728999999999999</c:v>
                </c:pt>
                <c:pt idx="8">
                  <c:v>68.714000000000027</c:v>
                </c:pt>
                <c:pt idx="9">
                  <c:v>66.55</c:v>
                </c:pt>
                <c:pt idx="10">
                  <c:v>64.031000000000006</c:v>
                </c:pt>
                <c:pt idx="11">
                  <c:v>65.235000000000014</c:v>
                </c:pt>
                <c:pt idx="12">
                  <c:v>64.816000000000003</c:v>
                </c:pt>
              </c:numCache>
            </c:numRef>
          </c:val>
        </c:ser>
        <c:shape val="cylinder"/>
        <c:axId val="170368000"/>
        <c:axId val="170383232"/>
        <c:axId val="0"/>
      </c:bar3DChart>
      <c:catAx>
        <c:axId val="170368000"/>
        <c:scaling>
          <c:orientation val="minMax"/>
        </c:scaling>
        <c:axPos val="b"/>
        <c:numFmt formatCode="General" sourceLinked="1"/>
        <c:majorTickMark val="none"/>
        <c:tickLblPos val="nextTo"/>
        <c:crossAx val="170383232"/>
        <c:crosses val="autoZero"/>
        <c:auto val="1"/>
        <c:lblAlgn val="ctr"/>
        <c:lblOffset val="100"/>
      </c:catAx>
      <c:valAx>
        <c:axId val="170383232"/>
        <c:scaling>
          <c:orientation val="minMax"/>
        </c:scaling>
        <c:axPos val="l"/>
        <c:majorGridlines/>
        <c:title>
          <c:tx>
            <c:rich>
              <a:bodyPr rot="-5400000" vert="horz"/>
              <a:lstStyle/>
              <a:p>
                <a:pPr>
                  <a:defRPr/>
                </a:pPr>
                <a:r>
                  <a:rPr lang="el-GR"/>
                  <a:t> %</a:t>
                </a:r>
                <a:r>
                  <a:rPr lang="en-US"/>
                  <a:t> of total health expenditure</a:t>
                </a:r>
                <a:endParaRPr lang="el-GR"/>
              </a:p>
            </c:rich>
          </c:tx>
          <c:layout>
            <c:manualLayout>
              <c:xMode val="edge"/>
              <c:yMode val="edge"/>
              <c:x val="3.9524418422056222E-2"/>
              <c:y val="0.18345724588580736"/>
            </c:manualLayout>
          </c:layout>
        </c:title>
        <c:numFmt formatCode="General" sourceLinked="1"/>
        <c:majorTickMark val="none"/>
        <c:tickLblPos val="nextTo"/>
        <c:crossAx val="170368000"/>
        <c:crosses val="autoZero"/>
        <c:crossBetween val="between"/>
      </c:valAx>
      <c:dTable>
        <c:showHorzBorder val="1"/>
        <c:showVertBorder val="1"/>
        <c:showOutline val="1"/>
        <c:showKeys val="1"/>
        <c:txPr>
          <a:bodyPr/>
          <a:lstStyle/>
          <a:p>
            <a:pPr rtl="0">
              <a:defRPr sz="900"/>
            </a:pPr>
            <a:endParaRPr lang="el-GR"/>
          </a:p>
        </c:txPr>
      </c:dTable>
    </c:plotArea>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l-GR"/>
  <c:chart>
    <c:autoTitleDeleted val="1"/>
    <c:view3D>
      <c:rotX val="10"/>
      <c:rotY val="10"/>
      <c:perspective val="30"/>
    </c:view3D>
    <c:sideWall>
      <c:spPr>
        <a:solidFill>
          <a:srgbClr val="E7E6E6"/>
        </a:solidFill>
      </c:spPr>
    </c:sideWall>
    <c:backWall>
      <c:spPr>
        <a:solidFill>
          <a:srgbClr val="E7E6E6"/>
        </a:solidFill>
      </c:spPr>
    </c:backWall>
    <c:plotArea>
      <c:layout>
        <c:manualLayout>
          <c:layoutTarget val="inner"/>
          <c:xMode val="edge"/>
          <c:yMode val="edge"/>
          <c:x val="7.020584424063038E-2"/>
          <c:y val="8.2525043457032571E-2"/>
          <c:w val="0.85244060915373265"/>
          <c:h val="0.82993187869063401"/>
        </c:manualLayout>
      </c:layout>
      <c:bar3DChart>
        <c:barDir val="col"/>
        <c:grouping val="clustered"/>
        <c:ser>
          <c:idx val="0"/>
          <c:order val="0"/>
          <c:tx>
            <c:strRef>
              <c:f>Φύλλο1!$E$323</c:f>
              <c:strCache>
                <c:ptCount val="1"/>
                <c:pt idx="0">
                  <c:v>Greece</c:v>
                </c:pt>
              </c:strCache>
            </c:strRef>
          </c:tx>
          <c:dLbls>
            <c:txPr>
              <a:bodyPr/>
              <a:lstStyle/>
              <a:p>
                <a:pPr>
                  <a:defRPr sz="800"/>
                </a:pPr>
                <a:endParaRPr lang="el-GR"/>
              </a:p>
            </c:txPr>
            <c:showVal val="1"/>
          </c:dLbls>
          <c:cat>
            <c:numRef>
              <c:f>Φύλλο1!$D$324:$D$336</c:f>
              <c:numCache>
                <c:formatCode>General</c:formatCode>
                <c:ptCount val="13"/>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numCache>
            </c:numRef>
          </c:cat>
          <c:val>
            <c:numRef>
              <c:f>Φύλλο1!$E$324:$E$336</c:f>
              <c:numCache>
                <c:formatCode>General</c:formatCode>
                <c:ptCount val="13"/>
                <c:pt idx="0">
                  <c:v>8.7179999999999982</c:v>
                </c:pt>
                <c:pt idx="1">
                  <c:v>8.6079999999999988</c:v>
                </c:pt>
                <c:pt idx="2">
                  <c:v>8.3020000000000067</c:v>
                </c:pt>
                <c:pt idx="3">
                  <c:v>9.3610000000000007</c:v>
                </c:pt>
                <c:pt idx="4">
                  <c:v>9.3350000000000026</c:v>
                </c:pt>
                <c:pt idx="5">
                  <c:v>9.4080000000000013</c:v>
                </c:pt>
                <c:pt idx="6">
                  <c:v>9.7590000000000003</c:v>
                </c:pt>
                <c:pt idx="7">
                  <c:v>9.7630000000000035</c:v>
                </c:pt>
                <c:pt idx="8">
                  <c:v>9.1850000000000005</c:v>
                </c:pt>
                <c:pt idx="9">
                  <c:v>9.7720000000000002</c:v>
                </c:pt>
                <c:pt idx="10">
                  <c:v>9.2429999999999986</c:v>
                </c:pt>
                <c:pt idx="11">
                  <c:v>9.2570000000000014</c:v>
                </c:pt>
                <c:pt idx="12">
                  <c:v>8.0840000000000014</c:v>
                </c:pt>
              </c:numCache>
            </c:numRef>
          </c:val>
        </c:ser>
        <c:ser>
          <c:idx val="1"/>
          <c:order val="1"/>
          <c:tx>
            <c:strRef>
              <c:f>Φύλλο1!$F$323</c:f>
              <c:strCache>
                <c:ptCount val="1"/>
                <c:pt idx="0">
                  <c:v>Portugal</c:v>
                </c:pt>
              </c:strCache>
            </c:strRef>
          </c:tx>
          <c:dLbls>
            <c:txPr>
              <a:bodyPr/>
              <a:lstStyle/>
              <a:p>
                <a:pPr>
                  <a:defRPr sz="800"/>
                </a:pPr>
                <a:endParaRPr lang="el-GR"/>
              </a:p>
            </c:txPr>
            <c:showVal val="1"/>
          </c:dLbls>
          <c:cat>
            <c:numRef>
              <c:f>Φύλλο1!$D$324:$D$336</c:f>
              <c:numCache>
                <c:formatCode>General</c:formatCode>
                <c:ptCount val="13"/>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numCache>
            </c:numRef>
          </c:cat>
          <c:val>
            <c:numRef>
              <c:f>Φύλλο1!$F$324:$F$336</c:f>
              <c:numCache>
                <c:formatCode>General</c:formatCode>
                <c:ptCount val="13"/>
                <c:pt idx="0">
                  <c:v>9.1550000000000047</c:v>
                </c:pt>
                <c:pt idx="1">
                  <c:v>9.5409999999999986</c:v>
                </c:pt>
                <c:pt idx="2">
                  <c:v>9.838000000000001</c:v>
                </c:pt>
                <c:pt idx="3">
                  <c:v>9.9760000000000026</c:v>
                </c:pt>
                <c:pt idx="4">
                  <c:v>9.673</c:v>
                </c:pt>
                <c:pt idx="5">
                  <c:v>9.620000000000001</c:v>
                </c:pt>
                <c:pt idx="6">
                  <c:v>9.8990000000000027</c:v>
                </c:pt>
                <c:pt idx="7">
                  <c:v>10.418000000000001</c:v>
                </c:pt>
                <c:pt idx="8">
                  <c:v>10.437000000000001</c:v>
                </c:pt>
                <c:pt idx="9">
                  <c:v>10.069000000000004</c:v>
                </c:pt>
                <c:pt idx="10">
                  <c:v>9.7409999999999997</c:v>
                </c:pt>
                <c:pt idx="11">
                  <c:v>9.5530000000000008</c:v>
                </c:pt>
                <c:pt idx="12">
                  <c:v>9.5010000000000012</c:v>
                </c:pt>
              </c:numCache>
            </c:numRef>
          </c:val>
        </c:ser>
        <c:dLbls>
          <c:showVal val="1"/>
        </c:dLbls>
        <c:shape val="box"/>
        <c:axId val="171928192"/>
        <c:axId val="171943424"/>
        <c:axId val="0"/>
      </c:bar3DChart>
      <c:catAx>
        <c:axId val="171928192"/>
        <c:scaling>
          <c:orientation val="minMax"/>
        </c:scaling>
        <c:axPos val="b"/>
        <c:title>
          <c:tx>
            <c:rich>
              <a:bodyPr/>
              <a:lstStyle/>
              <a:p>
                <a:pPr>
                  <a:defRPr/>
                </a:pPr>
                <a:r>
                  <a:rPr lang="en-US"/>
                  <a:t>Year</a:t>
                </a:r>
                <a:endParaRPr lang="el-GR"/>
              </a:p>
            </c:rich>
          </c:tx>
        </c:title>
        <c:numFmt formatCode="General" sourceLinked="1"/>
        <c:tickLblPos val="nextTo"/>
        <c:crossAx val="171943424"/>
        <c:crosses val="autoZero"/>
        <c:auto val="1"/>
        <c:lblAlgn val="ctr"/>
        <c:lblOffset val="100"/>
      </c:catAx>
      <c:valAx>
        <c:axId val="171943424"/>
        <c:scaling>
          <c:orientation val="minMax"/>
          <c:max val="10.5"/>
          <c:min val="8"/>
        </c:scaling>
        <c:axPos val="l"/>
        <c:majorGridlines/>
        <c:title>
          <c:tx>
            <c:rich>
              <a:bodyPr rot="-5400000" vert="horz"/>
              <a:lstStyle/>
              <a:p>
                <a:pPr>
                  <a:defRPr/>
                </a:pPr>
                <a:r>
                  <a:rPr lang="el-GR"/>
                  <a:t> % </a:t>
                </a:r>
                <a:r>
                  <a:rPr lang="en-US"/>
                  <a:t> of </a:t>
                </a:r>
                <a:r>
                  <a:rPr lang="el-GR"/>
                  <a:t> </a:t>
                </a:r>
                <a:r>
                  <a:rPr lang="en-US"/>
                  <a:t>GDP</a:t>
                </a:r>
                <a:endParaRPr lang="el-GR"/>
              </a:p>
            </c:rich>
          </c:tx>
          <c:layout>
            <c:manualLayout>
              <c:xMode val="edge"/>
              <c:yMode val="edge"/>
              <c:x val="6.0331541218638001E-3"/>
              <c:y val="0.34847769028871395"/>
            </c:manualLayout>
          </c:layout>
        </c:title>
        <c:numFmt formatCode="General" sourceLinked="1"/>
        <c:tickLblPos val="nextTo"/>
        <c:crossAx val="171928192"/>
        <c:crosses val="autoZero"/>
        <c:crossBetween val="between"/>
        <c:majorUnit val="0.30000000000000032"/>
      </c:valAx>
    </c:plotArea>
    <c:legend>
      <c:legendPos val="r"/>
      <c:layout>
        <c:manualLayout>
          <c:xMode val="edge"/>
          <c:yMode val="edge"/>
          <c:x val="0.88323172043010767"/>
          <c:y val="0.42824240719910017"/>
          <c:w val="0.11676827956989248"/>
          <c:h val="0.14351518560179982"/>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l-GR"/>
  <c:chart>
    <c:plotArea>
      <c:layout>
        <c:manualLayout>
          <c:layoutTarget val="inner"/>
          <c:xMode val="edge"/>
          <c:yMode val="edge"/>
          <c:x val="7.4170487296006934E-2"/>
          <c:y val="4.138492871690428E-2"/>
          <c:w val="0.75503295577518204"/>
          <c:h val="0.81047169042769862"/>
        </c:manualLayout>
      </c:layout>
      <c:lineChart>
        <c:grouping val="standard"/>
        <c:ser>
          <c:idx val="0"/>
          <c:order val="0"/>
          <c:tx>
            <c:strRef>
              <c:f>Φύλλο1!$AC$430</c:f>
              <c:strCache>
                <c:ptCount val="1"/>
                <c:pt idx="0">
                  <c:v>Very Good</c:v>
                </c:pt>
              </c:strCache>
            </c:strRef>
          </c:tx>
          <c:cat>
            <c:strRef>
              <c:f>Φύλλο1!$AB$431:$AB$437</c:f>
              <c:strCache>
                <c:ptCount val="7"/>
                <c:pt idx="0">
                  <c:v>15-24</c:v>
                </c:pt>
                <c:pt idx="1">
                  <c:v>25-34</c:v>
                </c:pt>
                <c:pt idx="2">
                  <c:v>35-44</c:v>
                </c:pt>
                <c:pt idx="3">
                  <c:v>45-54</c:v>
                </c:pt>
                <c:pt idx="4">
                  <c:v>55-64</c:v>
                </c:pt>
                <c:pt idx="5">
                  <c:v>65-74</c:v>
                </c:pt>
                <c:pt idx="6">
                  <c:v>75+</c:v>
                </c:pt>
              </c:strCache>
            </c:strRef>
          </c:cat>
          <c:val>
            <c:numRef>
              <c:f>Φύλλο1!$AC$431:$AC$437</c:f>
              <c:numCache>
                <c:formatCode>General</c:formatCode>
                <c:ptCount val="7"/>
                <c:pt idx="0">
                  <c:v>77.2</c:v>
                </c:pt>
                <c:pt idx="1">
                  <c:v>67.900000000000006</c:v>
                </c:pt>
                <c:pt idx="2">
                  <c:v>53.6</c:v>
                </c:pt>
                <c:pt idx="3">
                  <c:v>34.1</c:v>
                </c:pt>
                <c:pt idx="4">
                  <c:v>20.399999999999999</c:v>
                </c:pt>
                <c:pt idx="5">
                  <c:v>10.3</c:v>
                </c:pt>
                <c:pt idx="6">
                  <c:v>4.8</c:v>
                </c:pt>
              </c:numCache>
            </c:numRef>
          </c:val>
        </c:ser>
        <c:ser>
          <c:idx val="1"/>
          <c:order val="1"/>
          <c:tx>
            <c:strRef>
              <c:f>Φύλλο1!$AD$430</c:f>
              <c:strCache>
                <c:ptCount val="1"/>
                <c:pt idx="0">
                  <c:v>Good</c:v>
                </c:pt>
              </c:strCache>
            </c:strRef>
          </c:tx>
          <c:dLbls>
            <c:dLbl>
              <c:idx val="4"/>
              <c:layout>
                <c:manualLayout>
                  <c:x val="-6.4216914160897684E-2"/>
                  <c:y val="-3.0828516377649329E-2"/>
                </c:manualLayout>
              </c:layout>
              <c:dLblPos val="r"/>
              <c:showVal val="1"/>
            </c:dLbl>
            <c:dLbl>
              <c:idx val="5"/>
              <c:layout>
                <c:manualLayout>
                  <c:x val="-2.618559425038313E-2"/>
                  <c:y val="-4.6242774566473979E-2"/>
                </c:manualLayout>
              </c:layout>
              <c:dLblPos val="r"/>
              <c:showVal val="1"/>
            </c:dLbl>
            <c:dLblPos val="l"/>
            <c:showVal val="1"/>
          </c:dLbls>
          <c:cat>
            <c:strRef>
              <c:f>Φύλλο1!$AB$431:$AB$437</c:f>
              <c:strCache>
                <c:ptCount val="7"/>
                <c:pt idx="0">
                  <c:v>15-24</c:v>
                </c:pt>
                <c:pt idx="1">
                  <c:v>25-34</c:v>
                </c:pt>
                <c:pt idx="2">
                  <c:v>35-44</c:v>
                </c:pt>
                <c:pt idx="3">
                  <c:v>45-54</c:v>
                </c:pt>
                <c:pt idx="4">
                  <c:v>55-64</c:v>
                </c:pt>
                <c:pt idx="5">
                  <c:v>65-74</c:v>
                </c:pt>
                <c:pt idx="6">
                  <c:v>75+</c:v>
                </c:pt>
              </c:strCache>
            </c:strRef>
          </c:cat>
          <c:val>
            <c:numRef>
              <c:f>Φύλλο1!$AD$431:$AD$437</c:f>
              <c:numCache>
                <c:formatCode>General</c:formatCode>
                <c:ptCount val="7"/>
                <c:pt idx="0">
                  <c:v>18.899999999999999</c:v>
                </c:pt>
                <c:pt idx="1">
                  <c:v>26.4</c:v>
                </c:pt>
                <c:pt idx="2">
                  <c:v>37.4</c:v>
                </c:pt>
                <c:pt idx="3">
                  <c:v>46.8</c:v>
                </c:pt>
                <c:pt idx="4">
                  <c:v>49.3</c:v>
                </c:pt>
                <c:pt idx="5">
                  <c:v>39.9</c:v>
                </c:pt>
                <c:pt idx="6">
                  <c:v>26.1</c:v>
                </c:pt>
              </c:numCache>
            </c:numRef>
          </c:val>
        </c:ser>
        <c:ser>
          <c:idx val="2"/>
          <c:order val="2"/>
          <c:tx>
            <c:strRef>
              <c:f>Φύλλο1!$AE$430</c:f>
              <c:strCache>
                <c:ptCount val="1"/>
                <c:pt idx="0">
                  <c:v>Fair</c:v>
                </c:pt>
              </c:strCache>
            </c:strRef>
          </c:tx>
          <c:dLbls>
            <c:dLbl>
              <c:idx val="5"/>
              <c:layout>
                <c:manualLayout>
                  <c:x val="-5.2729306487695672E-2"/>
                  <c:y val="-1.966288895968929E-2"/>
                </c:manualLayout>
              </c:layout>
              <c:dLblPos val="r"/>
              <c:showVal val="1"/>
            </c:dLbl>
            <c:dLblPos val="t"/>
            <c:showVal val="1"/>
          </c:dLbls>
          <c:cat>
            <c:strRef>
              <c:f>Φύλλο1!$AB$431:$AB$437</c:f>
              <c:strCache>
                <c:ptCount val="7"/>
                <c:pt idx="0">
                  <c:v>15-24</c:v>
                </c:pt>
                <c:pt idx="1">
                  <c:v>25-34</c:v>
                </c:pt>
                <c:pt idx="2">
                  <c:v>35-44</c:v>
                </c:pt>
                <c:pt idx="3">
                  <c:v>45-54</c:v>
                </c:pt>
                <c:pt idx="4">
                  <c:v>55-64</c:v>
                </c:pt>
                <c:pt idx="5">
                  <c:v>65-74</c:v>
                </c:pt>
                <c:pt idx="6">
                  <c:v>75+</c:v>
                </c:pt>
              </c:strCache>
            </c:strRef>
          </c:cat>
          <c:val>
            <c:numRef>
              <c:f>Φύλλο1!$AE$431:$AE$437</c:f>
              <c:numCache>
                <c:formatCode>General</c:formatCode>
                <c:ptCount val="7"/>
                <c:pt idx="0">
                  <c:v>3.5</c:v>
                </c:pt>
                <c:pt idx="1">
                  <c:v>4.7</c:v>
                </c:pt>
                <c:pt idx="2">
                  <c:v>7.5</c:v>
                </c:pt>
                <c:pt idx="3">
                  <c:v>15.6</c:v>
                </c:pt>
                <c:pt idx="4">
                  <c:v>23.3</c:v>
                </c:pt>
                <c:pt idx="5">
                  <c:v>36</c:v>
                </c:pt>
                <c:pt idx="6">
                  <c:v>43.2</c:v>
                </c:pt>
              </c:numCache>
            </c:numRef>
          </c:val>
        </c:ser>
        <c:ser>
          <c:idx val="3"/>
          <c:order val="3"/>
          <c:tx>
            <c:strRef>
              <c:f>Φύλλο1!$AF$430</c:f>
              <c:strCache>
                <c:ptCount val="1"/>
                <c:pt idx="0">
                  <c:v>Bad</c:v>
                </c:pt>
              </c:strCache>
            </c:strRef>
          </c:tx>
          <c:dLbls>
            <c:dLblPos val="l"/>
            <c:showVal val="1"/>
          </c:dLbls>
          <c:cat>
            <c:strRef>
              <c:f>Φύλλο1!$AB$431:$AB$437</c:f>
              <c:strCache>
                <c:ptCount val="7"/>
                <c:pt idx="0">
                  <c:v>15-24</c:v>
                </c:pt>
                <c:pt idx="1">
                  <c:v>25-34</c:v>
                </c:pt>
                <c:pt idx="2">
                  <c:v>35-44</c:v>
                </c:pt>
                <c:pt idx="3">
                  <c:v>45-54</c:v>
                </c:pt>
                <c:pt idx="4">
                  <c:v>55-64</c:v>
                </c:pt>
                <c:pt idx="5">
                  <c:v>65-74</c:v>
                </c:pt>
                <c:pt idx="6">
                  <c:v>75+</c:v>
                </c:pt>
              </c:strCache>
            </c:strRef>
          </c:cat>
          <c:val>
            <c:numRef>
              <c:f>Φύλλο1!$AF$431:$AF$437</c:f>
              <c:numCache>
                <c:formatCode>General</c:formatCode>
                <c:ptCount val="7"/>
                <c:pt idx="0">
                  <c:v>0</c:v>
                </c:pt>
                <c:pt idx="1">
                  <c:v>0.60000000000000064</c:v>
                </c:pt>
                <c:pt idx="2">
                  <c:v>0.9</c:v>
                </c:pt>
                <c:pt idx="3">
                  <c:v>3</c:v>
                </c:pt>
                <c:pt idx="4">
                  <c:v>5</c:v>
                </c:pt>
                <c:pt idx="5">
                  <c:v>10.1</c:v>
                </c:pt>
                <c:pt idx="6">
                  <c:v>19.600000000000001</c:v>
                </c:pt>
              </c:numCache>
            </c:numRef>
          </c:val>
        </c:ser>
        <c:ser>
          <c:idx val="4"/>
          <c:order val="4"/>
          <c:tx>
            <c:strRef>
              <c:f>Φύλλο1!$AG$430</c:f>
              <c:strCache>
                <c:ptCount val="1"/>
                <c:pt idx="0">
                  <c:v>Very Bad</c:v>
                </c:pt>
              </c:strCache>
            </c:strRef>
          </c:tx>
          <c:dLbls>
            <c:dLbl>
              <c:idx val="6"/>
              <c:layout>
                <c:manualLayout>
                  <c:x val="-2.2371364653243856E-2"/>
                  <c:y val="-2.3121387283236993E-2"/>
                </c:manualLayout>
              </c:layout>
              <c:dLblPos val="r"/>
              <c:showVal val="1"/>
            </c:dLbl>
            <c:dLblPos val="r"/>
            <c:showVal val="1"/>
          </c:dLbls>
          <c:cat>
            <c:strRef>
              <c:f>Φύλλο1!$AB$431:$AB$437</c:f>
              <c:strCache>
                <c:ptCount val="7"/>
                <c:pt idx="0">
                  <c:v>15-24</c:v>
                </c:pt>
                <c:pt idx="1">
                  <c:v>25-34</c:v>
                </c:pt>
                <c:pt idx="2">
                  <c:v>35-44</c:v>
                </c:pt>
                <c:pt idx="3">
                  <c:v>45-54</c:v>
                </c:pt>
                <c:pt idx="4">
                  <c:v>55-64</c:v>
                </c:pt>
                <c:pt idx="5">
                  <c:v>65-74</c:v>
                </c:pt>
                <c:pt idx="6">
                  <c:v>75+</c:v>
                </c:pt>
              </c:strCache>
            </c:strRef>
          </c:cat>
          <c:val>
            <c:numRef>
              <c:f>Φύλλο1!$AG$431:$AG$437</c:f>
              <c:numCache>
                <c:formatCode>General</c:formatCode>
                <c:ptCount val="7"/>
                <c:pt idx="0">
                  <c:v>0.30000000000000032</c:v>
                </c:pt>
                <c:pt idx="1">
                  <c:v>0.4</c:v>
                </c:pt>
                <c:pt idx="2">
                  <c:v>0.60000000000000064</c:v>
                </c:pt>
                <c:pt idx="3">
                  <c:v>0.60000000000000064</c:v>
                </c:pt>
                <c:pt idx="4">
                  <c:v>2</c:v>
                </c:pt>
                <c:pt idx="5">
                  <c:v>3.7</c:v>
                </c:pt>
                <c:pt idx="6">
                  <c:v>6.2</c:v>
                </c:pt>
              </c:numCache>
            </c:numRef>
          </c:val>
        </c:ser>
        <c:dLbls>
          <c:showVal val="1"/>
        </c:dLbls>
        <c:marker val="1"/>
        <c:axId val="94083328"/>
        <c:axId val="94382336"/>
      </c:lineChart>
      <c:catAx>
        <c:axId val="94083328"/>
        <c:scaling>
          <c:orientation val="minMax"/>
        </c:scaling>
        <c:axPos val="b"/>
        <c:title>
          <c:tx>
            <c:rich>
              <a:bodyPr/>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Population</a:t>
                </a:r>
                <a:r>
                  <a:rPr lang="en-US" sz="1100" baseline="0">
                    <a:latin typeface="Times New Roman" pitchFamily="18" charset="0"/>
                    <a:cs typeface="Times New Roman" pitchFamily="18" charset="0"/>
                  </a:rPr>
                  <a:t> age</a:t>
                </a:r>
                <a:endParaRPr lang="el-GR" sz="1100">
                  <a:latin typeface="Times New Roman" pitchFamily="18" charset="0"/>
                  <a:cs typeface="Times New Roman" pitchFamily="18" charset="0"/>
                </a:endParaRPr>
              </a:p>
            </c:rich>
          </c:tx>
          <c:layout>
            <c:manualLayout>
              <c:xMode val="edge"/>
              <c:yMode val="edge"/>
              <c:x val="0.40198908931516275"/>
              <c:y val="0.95032505091649844"/>
            </c:manualLayout>
          </c:layout>
        </c:title>
        <c:tickLblPos val="nextTo"/>
        <c:txPr>
          <a:bodyPr/>
          <a:lstStyle/>
          <a:p>
            <a:pPr>
              <a:defRPr>
                <a:latin typeface="Times New Roman" pitchFamily="18" charset="0"/>
                <a:cs typeface="Times New Roman" pitchFamily="18" charset="0"/>
              </a:defRPr>
            </a:pPr>
            <a:endParaRPr lang="el-GR"/>
          </a:p>
        </c:txPr>
        <c:crossAx val="94382336"/>
        <c:crosses val="autoZero"/>
        <c:auto val="1"/>
        <c:lblAlgn val="ctr"/>
        <c:lblOffset val="100"/>
      </c:catAx>
      <c:valAx>
        <c:axId val="94382336"/>
        <c:scaling>
          <c:orientation val="minMax"/>
        </c:scaling>
        <c:axPos val="l"/>
        <c:majorGridlines/>
        <c:title>
          <c:tx>
            <c:rich>
              <a:bodyPr rot="-5400000" vert="horz"/>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Health</a:t>
                </a:r>
                <a:r>
                  <a:rPr lang="en-US" sz="1100" baseline="0">
                    <a:latin typeface="Times New Roman" pitchFamily="18" charset="0"/>
                    <a:cs typeface="Times New Roman" pitchFamily="18" charset="0"/>
                  </a:rPr>
                  <a:t> status</a:t>
                </a:r>
                <a:endParaRPr lang="el-GR" sz="1100">
                  <a:latin typeface="Times New Roman" pitchFamily="18" charset="0"/>
                  <a:cs typeface="Times New Roman" pitchFamily="18" charset="0"/>
                </a:endParaRPr>
              </a:p>
            </c:rich>
          </c:tx>
          <c:layout>
            <c:manualLayout>
              <c:xMode val="edge"/>
              <c:yMode val="edge"/>
              <c:x val="0"/>
              <c:y val="0.31167842458999001"/>
            </c:manualLayout>
          </c:layout>
        </c:title>
        <c:numFmt formatCode="General" sourceLinked="1"/>
        <c:tickLblPos val="nextTo"/>
        <c:txPr>
          <a:bodyPr/>
          <a:lstStyle/>
          <a:p>
            <a:pPr>
              <a:defRPr>
                <a:latin typeface="Times New Roman" pitchFamily="18" charset="0"/>
                <a:cs typeface="Times New Roman" pitchFamily="18" charset="0"/>
              </a:defRPr>
            </a:pPr>
            <a:endParaRPr lang="el-GR"/>
          </a:p>
        </c:txPr>
        <c:crossAx val="94083328"/>
        <c:crosses val="autoZero"/>
        <c:crossBetween val="between"/>
      </c:valAx>
      <c:spPr>
        <a:solidFill>
          <a:schemeClr val="bg2"/>
        </a:solidFill>
        <a:effectLst>
          <a:outerShdw blurRad="50800" dist="50800" dir="5400000" algn="ctr" rotWithShape="0">
            <a:srgbClr val="BAB7AC"/>
          </a:outerShdw>
        </a:effectLst>
      </c:spPr>
    </c:plotArea>
    <c:legend>
      <c:legendPos val="r"/>
      <c:layout>
        <c:manualLayout>
          <c:xMode val="edge"/>
          <c:yMode val="edge"/>
          <c:x val="0.83286353467561525"/>
          <c:y val="0.33656850697131091"/>
          <c:w val="0.16713646532438478"/>
          <c:h val="0.32686268262709967"/>
        </c:manualLayout>
      </c:layout>
      <c:txPr>
        <a:bodyPr/>
        <a:lstStyle/>
        <a:p>
          <a:pPr>
            <a:defRPr>
              <a:latin typeface="Times New Roman" pitchFamily="18" charset="0"/>
              <a:cs typeface="Times New Roman" pitchFamily="18" charset="0"/>
            </a:defRPr>
          </a:pPr>
          <a:endParaRPr lang="el-GR"/>
        </a:p>
      </c:txPr>
    </c:legend>
    <c:plotVisOnly val="1"/>
  </c:chart>
  <c:spPr>
    <a:noFill/>
    <a:ln>
      <a:solidFill>
        <a:schemeClr val="accent6">
          <a:lumMod val="50000"/>
        </a:schemeClr>
      </a:solidFill>
    </a:ln>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l-GR"/>
  <c:style val="3"/>
  <c:chart>
    <c:autoTitleDeleted val="1"/>
    <c:view3D>
      <c:perspective val="30"/>
    </c:view3D>
    <c:floor>
      <c:spPr>
        <a:solidFill>
          <a:srgbClr val="E7E6E6"/>
        </a:solidFill>
      </c:spPr>
    </c:floor>
    <c:sideWall>
      <c:spPr>
        <a:solidFill>
          <a:schemeClr val="bg2"/>
        </a:solidFill>
      </c:spPr>
    </c:sideWall>
    <c:backWall>
      <c:spPr>
        <a:solidFill>
          <a:schemeClr val="bg2"/>
        </a:solidFill>
      </c:spPr>
    </c:backWall>
    <c:plotArea>
      <c:layout>
        <c:manualLayout>
          <c:layoutTarget val="inner"/>
          <c:xMode val="edge"/>
          <c:yMode val="edge"/>
          <c:x val="0.16912424114924568"/>
          <c:y val="8.3540958158440343E-2"/>
          <c:w val="0.79525234918154308"/>
          <c:h val="0.81242971087758009"/>
        </c:manualLayout>
      </c:layout>
      <c:bar3DChart>
        <c:barDir val="col"/>
        <c:grouping val="clustered"/>
        <c:ser>
          <c:idx val="0"/>
          <c:order val="0"/>
          <c:tx>
            <c:strRef>
              <c:f>Φύλλο1!$D$388</c:f>
              <c:strCache>
                <c:ptCount val="1"/>
                <c:pt idx="0">
                  <c:v>Γία κάθε ασφαλισμένο</c:v>
                </c:pt>
              </c:strCache>
            </c:strRef>
          </c:tx>
          <c:cat>
            <c:strRef>
              <c:f>Φύλλο1!$E$386:$F$387</c:f>
              <c:strCache>
                <c:ptCount val="2"/>
                <c:pt idx="0">
                  <c:v>Greece</c:v>
                </c:pt>
                <c:pt idx="1">
                  <c:v>Portugal</c:v>
                </c:pt>
              </c:strCache>
            </c:strRef>
          </c:cat>
          <c:val>
            <c:numRef>
              <c:f>Φύλλο1!$E$388:$F$388</c:f>
              <c:numCache>
                <c:formatCode>General</c:formatCode>
                <c:ptCount val="2"/>
                <c:pt idx="0">
                  <c:v>1439</c:v>
                </c:pt>
                <c:pt idx="1">
                  <c:v>1480</c:v>
                </c:pt>
              </c:numCache>
            </c:numRef>
          </c:val>
        </c:ser>
        <c:dLbls>
          <c:showVal val="1"/>
        </c:dLbls>
        <c:shape val="cone"/>
        <c:axId val="172608512"/>
        <c:axId val="172643840"/>
        <c:axId val="0"/>
      </c:bar3DChart>
      <c:catAx>
        <c:axId val="172608512"/>
        <c:scaling>
          <c:orientation val="minMax"/>
        </c:scaling>
        <c:axPos val="b"/>
        <c:tickLblPos val="nextTo"/>
        <c:txPr>
          <a:bodyPr/>
          <a:lstStyle/>
          <a:p>
            <a:pPr>
              <a:defRPr b="1"/>
            </a:pPr>
            <a:endParaRPr lang="el-GR"/>
          </a:p>
        </c:txPr>
        <c:crossAx val="172643840"/>
        <c:crosses val="autoZero"/>
        <c:auto val="1"/>
        <c:lblAlgn val="ctr"/>
        <c:lblOffset val="100"/>
      </c:catAx>
      <c:valAx>
        <c:axId val="172643840"/>
        <c:scaling>
          <c:orientation val="minMax"/>
          <c:max val="1490"/>
        </c:scaling>
        <c:axPos val="l"/>
        <c:majorGridlines/>
        <c:title>
          <c:tx>
            <c:rich>
              <a:bodyPr rot="-5400000" vert="horz"/>
              <a:lstStyle/>
              <a:p>
                <a:pPr>
                  <a:defRPr/>
                </a:pPr>
                <a:r>
                  <a:rPr lang="en-US"/>
                  <a:t>Health expenditure per capita in euro</a:t>
                </a:r>
                <a:endParaRPr lang="el-GR"/>
              </a:p>
            </c:rich>
          </c:tx>
          <c:layout>
            <c:manualLayout>
              <c:xMode val="edge"/>
              <c:yMode val="edge"/>
              <c:x val="7.1608463064254377E-2"/>
              <c:y val="6.1451229102198801E-2"/>
            </c:manualLayout>
          </c:layout>
        </c:title>
        <c:numFmt formatCode="General" sourceLinked="1"/>
        <c:tickLblPos val="nextTo"/>
        <c:crossAx val="172608512"/>
        <c:crosses val="autoZero"/>
        <c:crossBetween val="between"/>
      </c:valAx>
    </c:plotArea>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l-GR"/>
  <c:chart>
    <c:autoTitleDeleted val="1"/>
    <c:plotArea>
      <c:layout>
        <c:manualLayout>
          <c:layoutTarget val="inner"/>
          <c:xMode val="edge"/>
          <c:yMode val="edge"/>
          <c:x val="0.1325483012540099"/>
          <c:y val="4.1167664670658681E-2"/>
          <c:w val="0.72059529017206192"/>
          <c:h val="0.78571596963553203"/>
        </c:manualLayout>
      </c:layout>
      <c:barChart>
        <c:barDir val="bar"/>
        <c:grouping val="clustered"/>
        <c:ser>
          <c:idx val="0"/>
          <c:order val="0"/>
          <c:tx>
            <c:strRef>
              <c:f>Φύλλο1!$E$419</c:f>
              <c:strCache>
                <c:ptCount val="1"/>
                <c:pt idx="0">
                  <c:v>Greece</c:v>
                </c:pt>
              </c:strCache>
            </c:strRef>
          </c:tx>
          <c:cat>
            <c:numRef>
              <c:f>Φύλλο1!$D$420:$D$432</c:f>
              <c:numCache>
                <c:formatCode>General</c:formatCode>
                <c:ptCount val="13"/>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numCache>
            </c:numRef>
          </c:cat>
          <c:val>
            <c:numRef>
              <c:f>Φύλλο1!$E$420:$E$432</c:f>
              <c:numCache>
                <c:formatCode>General</c:formatCode>
                <c:ptCount val="13"/>
                <c:pt idx="0">
                  <c:v>1222.751</c:v>
                </c:pt>
                <c:pt idx="1">
                  <c:v>1580.4649999999999</c:v>
                </c:pt>
                <c:pt idx="2">
                  <c:v>1809.3529999999998</c:v>
                </c:pt>
                <c:pt idx="3">
                  <c:v>2094.7839999999997</c:v>
                </c:pt>
                <c:pt idx="4">
                  <c:v>2296.047</c:v>
                </c:pt>
                <c:pt idx="5">
                  <c:v>2689.0619999999999</c:v>
                </c:pt>
                <c:pt idx="6">
                  <c:v>3093.5770000000002</c:v>
                </c:pt>
                <c:pt idx="7">
                  <c:v>2879.078</c:v>
                </c:pt>
                <c:pt idx="8">
                  <c:v>2458.7279999999987</c:v>
                </c:pt>
                <c:pt idx="9">
                  <c:v>2528.3920000000012</c:v>
                </c:pt>
                <c:pt idx="10">
                  <c:v>2048.9270000000001</c:v>
                </c:pt>
                <c:pt idx="11">
                  <c:v>2017.223</c:v>
                </c:pt>
                <c:pt idx="12">
                  <c:v>1743.038</c:v>
                </c:pt>
              </c:numCache>
            </c:numRef>
          </c:val>
        </c:ser>
        <c:ser>
          <c:idx val="1"/>
          <c:order val="1"/>
          <c:tx>
            <c:strRef>
              <c:f>Φύλλο1!$F$419</c:f>
              <c:strCache>
                <c:ptCount val="1"/>
                <c:pt idx="0">
                  <c:v>Portugal</c:v>
                </c:pt>
              </c:strCache>
            </c:strRef>
          </c:tx>
          <c:cat>
            <c:numRef>
              <c:f>Φύλλο1!$D$420:$D$432</c:f>
              <c:numCache>
                <c:formatCode>General</c:formatCode>
                <c:ptCount val="13"/>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numCache>
            </c:numRef>
          </c:cat>
          <c:val>
            <c:numRef>
              <c:f>Φύλλο1!$F$420:$F$432</c:f>
              <c:numCache>
                <c:formatCode>General</c:formatCode>
                <c:ptCount val="13"/>
                <c:pt idx="0">
                  <c:v>1182.2929999999999</c:v>
                </c:pt>
                <c:pt idx="1">
                  <c:v>1506.9580000000001</c:v>
                </c:pt>
                <c:pt idx="2">
                  <c:v>1777.1889999999999</c:v>
                </c:pt>
                <c:pt idx="3">
                  <c:v>1875.6949999999968</c:v>
                </c:pt>
                <c:pt idx="4">
                  <c:v>1917.22</c:v>
                </c:pt>
                <c:pt idx="5">
                  <c:v>2193.5030000000002</c:v>
                </c:pt>
                <c:pt idx="6">
                  <c:v>2457.7150000000001</c:v>
                </c:pt>
                <c:pt idx="7">
                  <c:v>2403.9580000000001</c:v>
                </c:pt>
                <c:pt idx="8">
                  <c:v>2352.3200000000002</c:v>
                </c:pt>
                <c:pt idx="9">
                  <c:v>2333.3520000000012</c:v>
                </c:pt>
                <c:pt idx="10">
                  <c:v>1999.816</c:v>
                </c:pt>
                <c:pt idx="11">
                  <c:v>2059.4609999999998</c:v>
                </c:pt>
                <c:pt idx="12">
                  <c:v>2096.8229999999999</c:v>
                </c:pt>
              </c:numCache>
            </c:numRef>
          </c:val>
        </c:ser>
        <c:gapWidth val="300"/>
        <c:axId val="175149440"/>
        <c:axId val="175151744"/>
      </c:barChart>
      <c:catAx>
        <c:axId val="175149440"/>
        <c:scaling>
          <c:orientation val="minMax"/>
        </c:scaling>
        <c:axPos val="l"/>
        <c:title>
          <c:tx>
            <c:rich>
              <a:bodyPr rot="-5400000" vert="horz"/>
              <a:lstStyle/>
              <a:p>
                <a:pPr>
                  <a:defRPr/>
                </a:pPr>
                <a:r>
                  <a:rPr lang="en-US"/>
                  <a:t>Year</a:t>
                </a:r>
                <a:endParaRPr lang="el-GR"/>
              </a:p>
            </c:rich>
          </c:tx>
          <c:layout>
            <c:manualLayout>
              <c:xMode val="edge"/>
              <c:yMode val="edge"/>
              <c:x val="1.1574074074074073E-2"/>
              <c:y val="0.38776816445848467"/>
            </c:manualLayout>
          </c:layout>
        </c:title>
        <c:numFmt formatCode="General" sourceLinked="1"/>
        <c:majorTickMark val="none"/>
        <c:tickLblPos val="nextTo"/>
        <c:crossAx val="175151744"/>
        <c:crosses val="autoZero"/>
        <c:auto val="1"/>
        <c:lblAlgn val="ctr"/>
        <c:lblOffset val="100"/>
      </c:catAx>
      <c:valAx>
        <c:axId val="175151744"/>
        <c:scaling>
          <c:orientation val="minMax"/>
        </c:scaling>
        <c:axPos val="b"/>
        <c:majorGridlines/>
        <c:minorGridlines/>
        <c:title>
          <c:tx>
            <c:rich>
              <a:bodyPr/>
              <a:lstStyle/>
              <a:p>
                <a:pPr>
                  <a:defRPr/>
                </a:pPr>
                <a:r>
                  <a:rPr lang="en-US"/>
                  <a:t>Health expenditure per capita (current</a:t>
                </a:r>
                <a:r>
                  <a:rPr lang="el-GR"/>
                  <a:t> </a:t>
                </a:r>
                <a:r>
                  <a:rPr lang="en-US"/>
                  <a:t>US $</a:t>
                </a:r>
                <a:r>
                  <a:rPr lang="el-GR"/>
                  <a:t>)</a:t>
                </a:r>
              </a:p>
            </c:rich>
          </c:tx>
          <c:layout>
            <c:manualLayout>
              <c:xMode val="edge"/>
              <c:yMode val="edge"/>
              <c:x val="0.26583770778652671"/>
              <c:y val="0.91315479277665146"/>
            </c:manualLayout>
          </c:layout>
        </c:title>
        <c:numFmt formatCode="General" sourceLinked="1"/>
        <c:tickLblPos val="nextTo"/>
        <c:crossAx val="175149440"/>
        <c:crosses val="autoZero"/>
        <c:crossBetween val="between"/>
      </c:valAx>
      <c:spPr>
        <a:solidFill>
          <a:schemeClr val="bg2"/>
        </a:solidFill>
      </c:spPr>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l-GR"/>
  <c:chart>
    <c:autoTitleDeleted val="1"/>
    <c:view3D>
      <c:perspective val="30"/>
    </c:view3D>
    <c:floor>
      <c:spPr>
        <a:solidFill>
          <a:srgbClr val="E7E6E6"/>
        </a:solidFill>
      </c:spPr>
    </c:floor>
    <c:sideWall>
      <c:spPr>
        <a:solidFill>
          <a:srgbClr val="E7E6E6"/>
        </a:solidFill>
      </c:spPr>
    </c:sideWall>
    <c:backWall>
      <c:spPr>
        <a:solidFill>
          <a:srgbClr val="E7E6E6"/>
        </a:solidFill>
      </c:spPr>
    </c:backWall>
    <c:plotArea>
      <c:layout>
        <c:manualLayout>
          <c:layoutTarget val="inner"/>
          <c:xMode val="edge"/>
          <c:yMode val="edge"/>
          <c:x val="7.7481506527233512E-2"/>
          <c:y val="3.2657366320356852E-2"/>
          <c:w val="0.79516483641377111"/>
          <c:h val="0.66005136629765915"/>
        </c:manualLayout>
      </c:layout>
      <c:bar3DChart>
        <c:barDir val="col"/>
        <c:grouping val="standard"/>
        <c:ser>
          <c:idx val="0"/>
          <c:order val="0"/>
          <c:tx>
            <c:strRef>
              <c:f>Φύλλο1!$R$406</c:f>
              <c:strCache>
                <c:ptCount val="1"/>
                <c:pt idx="0">
                  <c:v>men</c:v>
                </c:pt>
              </c:strCache>
            </c:strRef>
          </c:tx>
          <c:cat>
            <c:strRef>
              <c:f>Φύλλο1!$S$404:$W$405</c:f>
              <c:strCache>
                <c:ptCount val="5"/>
                <c:pt idx="0">
                  <c:v>Very Good</c:v>
                </c:pt>
                <c:pt idx="1">
                  <c:v>Good</c:v>
                </c:pt>
                <c:pt idx="2">
                  <c:v>Fair</c:v>
                </c:pt>
                <c:pt idx="3">
                  <c:v>Bad</c:v>
                </c:pt>
                <c:pt idx="4">
                  <c:v>Very Bad</c:v>
                </c:pt>
              </c:strCache>
            </c:strRef>
          </c:cat>
          <c:val>
            <c:numRef>
              <c:f>Φύλλο1!$S$406:$W$406</c:f>
              <c:numCache>
                <c:formatCode>General</c:formatCode>
                <c:ptCount val="5"/>
                <c:pt idx="0">
                  <c:v>43.5</c:v>
                </c:pt>
                <c:pt idx="1">
                  <c:v>35.4</c:v>
                </c:pt>
                <c:pt idx="2">
                  <c:v>15.2</c:v>
                </c:pt>
                <c:pt idx="3">
                  <c:v>4.2</c:v>
                </c:pt>
                <c:pt idx="4">
                  <c:v>1.7</c:v>
                </c:pt>
              </c:numCache>
            </c:numRef>
          </c:val>
        </c:ser>
        <c:ser>
          <c:idx val="1"/>
          <c:order val="1"/>
          <c:tx>
            <c:strRef>
              <c:f>Φύλλο1!$R$407</c:f>
              <c:strCache>
                <c:ptCount val="1"/>
                <c:pt idx="0">
                  <c:v>women</c:v>
                </c:pt>
              </c:strCache>
            </c:strRef>
          </c:tx>
          <c:cat>
            <c:strRef>
              <c:f>Φύλλο1!$S$404:$W$405</c:f>
              <c:strCache>
                <c:ptCount val="5"/>
                <c:pt idx="0">
                  <c:v>Very Good</c:v>
                </c:pt>
                <c:pt idx="1">
                  <c:v>Good</c:v>
                </c:pt>
                <c:pt idx="2">
                  <c:v>Fair</c:v>
                </c:pt>
                <c:pt idx="3">
                  <c:v>Bad</c:v>
                </c:pt>
                <c:pt idx="4">
                  <c:v>Very Bad</c:v>
                </c:pt>
              </c:strCache>
            </c:strRef>
          </c:cat>
          <c:val>
            <c:numRef>
              <c:f>Φύλλο1!$S$407:$W$407</c:f>
              <c:numCache>
                <c:formatCode>General</c:formatCode>
                <c:ptCount val="5"/>
                <c:pt idx="0">
                  <c:v>34.6</c:v>
                </c:pt>
                <c:pt idx="1">
                  <c:v>36.4</c:v>
                </c:pt>
                <c:pt idx="2">
                  <c:v>21</c:v>
                </c:pt>
                <c:pt idx="3">
                  <c:v>6</c:v>
                </c:pt>
                <c:pt idx="4">
                  <c:v>2</c:v>
                </c:pt>
              </c:numCache>
            </c:numRef>
          </c:val>
        </c:ser>
        <c:ser>
          <c:idx val="2"/>
          <c:order val="2"/>
          <c:tx>
            <c:strRef>
              <c:f>Φύλλο1!$R$408</c:f>
              <c:strCache>
                <c:ptCount val="1"/>
                <c:pt idx="0">
                  <c:v>total</c:v>
                </c:pt>
              </c:strCache>
            </c:strRef>
          </c:tx>
          <c:cat>
            <c:strRef>
              <c:f>Φύλλο1!$S$404:$W$405</c:f>
              <c:strCache>
                <c:ptCount val="5"/>
                <c:pt idx="0">
                  <c:v>Very Good</c:v>
                </c:pt>
                <c:pt idx="1">
                  <c:v>Good</c:v>
                </c:pt>
                <c:pt idx="2">
                  <c:v>Fair</c:v>
                </c:pt>
                <c:pt idx="3">
                  <c:v>Bad</c:v>
                </c:pt>
                <c:pt idx="4">
                  <c:v>Very Bad</c:v>
                </c:pt>
              </c:strCache>
            </c:strRef>
          </c:cat>
          <c:val>
            <c:numRef>
              <c:f>Φύλλο1!$S$408:$W$408</c:f>
              <c:numCache>
                <c:formatCode>General</c:formatCode>
                <c:ptCount val="5"/>
                <c:pt idx="0">
                  <c:v>38.800000000000004</c:v>
                </c:pt>
                <c:pt idx="1">
                  <c:v>36</c:v>
                </c:pt>
                <c:pt idx="2">
                  <c:v>18.2</c:v>
                </c:pt>
                <c:pt idx="3">
                  <c:v>5.2</c:v>
                </c:pt>
                <c:pt idx="4">
                  <c:v>1.8</c:v>
                </c:pt>
              </c:numCache>
            </c:numRef>
          </c:val>
        </c:ser>
        <c:shape val="cylinder"/>
        <c:axId val="95744768"/>
        <c:axId val="95747456"/>
        <c:axId val="85578624"/>
      </c:bar3DChart>
      <c:catAx>
        <c:axId val="95744768"/>
        <c:scaling>
          <c:orientation val="minMax"/>
        </c:scaling>
        <c:axPos val="b"/>
        <c:majorTickMark val="none"/>
        <c:tickLblPos val="nextTo"/>
        <c:txPr>
          <a:bodyPr/>
          <a:lstStyle/>
          <a:p>
            <a:pPr>
              <a:defRPr>
                <a:latin typeface="Times New Roman" pitchFamily="18" charset="0"/>
                <a:cs typeface="Times New Roman" pitchFamily="18" charset="0"/>
              </a:defRPr>
            </a:pPr>
            <a:endParaRPr lang="el-GR"/>
          </a:p>
        </c:txPr>
        <c:crossAx val="95747456"/>
        <c:crosses val="autoZero"/>
        <c:auto val="1"/>
        <c:lblAlgn val="ctr"/>
        <c:lblOffset val="100"/>
      </c:catAx>
      <c:valAx>
        <c:axId val="95747456"/>
        <c:scaling>
          <c:orientation val="minMax"/>
        </c:scaling>
        <c:axPos val="l"/>
        <c:majorGridlines>
          <c:spPr>
            <a:ln>
              <a:solidFill>
                <a:srgbClr val="70AD47">
                  <a:lumMod val="50000"/>
                </a:srgbClr>
              </a:solidFill>
            </a:ln>
          </c:spPr>
        </c:majorGridlines>
        <c:title>
          <c:tx>
            <c:rich>
              <a:bodyPr/>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Age</a:t>
                </a:r>
                <a:endParaRPr lang="el-GR" sz="1100">
                  <a:latin typeface="Times New Roman" pitchFamily="18" charset="0"/>
                  <a:cs typeface="Times New Roman" pitchFamily="18" charset="0"/>
                </a:endParaRPr>
              </a:p>
            </c:rich>
          </c:tx>
          <c:layout>
            <c:manualLayout>
              <c:xMode val="edge"/>
              <c:yMode val="edge"/>
              <c:x val="1.0479209579322117E-4"/>
              <c:y val="0.34272417870843075"/>
            </c:manualLayout>
          </c:layout>
        </c:title>
        <c:numFmt formatCode="General" sourceLinked="1"/>
        <c:majorTickMark val="none"/>
        <c:tickLblPos val="nextTo"/>
        <c:crossAx val="95744768"/>
        <c:crosses val="autoZero"/>
        <c:crossBetween val="between"/>
      </c:valAx>
      <c:serAx>
        <c:axId val="85578624"/>
        <c:scaling>
          <c:orientation val="minMax"/>
        </c:scaling>
        <c:axPos val="b"/>
        <c:majorTickMark val="none"/>
        <c:tickLblPos val="nextTo"/>
        <c:txPr>
          <a:bodyPr/>
          <a:lstStyle/>
          <a:p>
            <a:pPr>
              <a:defRPr>
                <a:latin typeface="Times New Roman" pitchFamily="18" charset="0"/>
                <a:cs typeface="Times New Roman" pitchFamily="18" charset="0"/>
              </a:defRPr>
            </a:pPr>
            <a:endParaRPr lang="el-GR"/>
          </a:p>
        </c:txPr>
        <c:crossAx val="95747456"/>
        <c:crosses val="autoZero"/>
      </c:serAx>
      <c:dTable>
        <c:showHorzBorder val="1"/>
        <c:showVertBorder val="1"/>
        <c:showOutline val="1"/>
        <c:showKeys val="1"/>
        <c:txPr>
          <a:bodyPr/>
          <a:lstStyle/>
          <a:p>
            <a:pPr rtl="0">
              <a:defRPr>
                <a:latin typeface="Times New Roman" pitchFamily="18" charset="0"/>
                <a:cs typeface="Times New Roman" pitchFamily="18" charset="0"/>
              </a:defRPr>
            </a:pPr>
            <a:endParaRPr lang="el-GR"/>
          </a:p>
        </c:txPr>
      </c:dTable>
      <c:spPr>
        <a:noFill/>
      </c:spPr>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l-GR"/>
  <c:style val="26"/>
  <c:chart>
    <c:autoTitleDeleted val="1"/>
    <c:plotArea>
      <c:layout>
        <c:manualLayout>
          <c:layoutTarget val="inner"/>
          <c:xMode val="edge"/>
          <c:yMode val="edge"/>
          <c:x val="8.101851851851849E-2"/>
          <c:y val="0.23859111361079871"/>
          <c:w val="0.82407407407409694"/>
          <c:h val="0.70853205849268841"/>
        </c:manualLayout>
      </c:layout>
      <c:pieChart>
        <c:varyColors val="1"/>
        <c:ser>
          <c:idx val="0"/>
          <c:order val="0"/>
          <c:tx>
            <c:strRef>
              <c:f>Φύλλο1!$B$1</c:f>
              <c:strCache>
                <c:ptCount val="1"/>
                <c:pt idx="0">
                  <c:v>Γράφημα 4.1: Κύριες αιτίες θανάτου του ελληνικού πληθυσμου το 2008</c:v>
                </c:pt>
              </c:strCache>
            </c:strRef>
          </c:tx>
          <c:explosion val="15"/>
          <c:dLbls>
            <c:dLbl>
              <c:idx val="0"/>
              <c:layout>
                <c:manualLayout>
                  <c:x val="5.9030750689683394E-2"/>
                  <c:y val="3.2043598612473558E-2"/>
                </c:manualLayout>
              </c:layout>
              <c:tx>
                <c:rich>
                  <a:bodyPr/>
                  <a:lstStyle/>
                  <a:p>
                    <a:r>
                      <a:rPr lang="en-US"/>
                      <a:t>cardiovascular diseases</a:t>
                    </a:r>
                    <a:r>
                      <a:rPr lang="el-GR"/>
                      <a:t>
48%</a:t>
                    </a:r>
                  </a:p>
                </c:rich>
              </c:tx>
              <c:showCatName val="1"/>
              <c:showPercent val="1"/>
            </c:dLbl>
            <c:dLbl>
              <c:idx val="1"/>
              <c:layout>
                <c:manualLayout>
                  <c:x val="-6.8982827913350794E-2"/>
                  <c:y val="-0.11992428373519955"/>
                </c:manualLayout>
              </c:layout>
              <c:tx>
                <c:rich>
                  <a:bodyPr/>
                  <a:lstStyle/>
                  <a:p>
                    <a:pPr algn="just">
                      <a:defRPr sz="1000">
                        <a:latin typeface="Times New Roman" pitchFamily="18" charset="0"/>
                        <a:cs typeface="Times New Roman" pitchFamily="18" charset="0"/>
                      </a:defRPr>
                    </a:pPr>
                    <a:r>
                      <a:rPr lang="en-US"/>
                      <a:t>malignat neoplasms(cancer)</a:t>
                    </a:r>
                    <a:r>
                      <a:rPr lang="el-GR"/>
                      <a:t>
26%</a:t>
                    </a:r>
                  </a:p>
                </c:rich>
              </c:tx>
              <c:spPr>
                <a:noFill/>
                <a:ln>
                  <a:noFill/>
                </a:ln>
                <a:effectLst/>
              </c:spPr>
              <c:showCatName val="1"/>
              <c:showPercent val="1"/>
            </c:dLbl>
            <c:dLbl>
              <c:idx val="2"/>
              <c:layout>
                <c:manualLayout>
                  <c:x val="-2.2059433053904592E-2"/>
                  <c:y val="6.4453075263454142E-3"/>
                </c:manualLayout>
              </c:layout>
              <c:tx>
                <c:rich>
                  <a:bodyPr/>
                  <a:lstStyle/>
                  <a:p>
                    <a:pPr algn="just">
                      <a:defRPr sz="1000">
                        <a:latin typeface="Times New Roman" pitchFamily="18" charset="0"/>
                        <a:cs typeface="Times New Roman" pitchFamily="18" charset="0"/>
                      </a:defRPr>
                    </a:pPr>
                    <a:r>
                      <a:rPr lang="en-US"/>
                      <a:t>infectious</a:t>
                    </a:r>
                    <a:r>
                      <a:rPr lang="en-US" baseline="0"/>
                      <a:t> diseases</a:t>
                    </a:r>
                    <a:r>
                      <a:rPr lang="el-GR"/>
                      <a:t>
6%</a:t>
                    </a:r>
                  </a:p>
                </c:rich>
              </c:tx>
              <c:spPr>
                <a:noFill/>
                <a:ln>
                  <a:noFill/>
                </a:ln>
                <a:effectLst/>
              </c:spPr>
              <c:showCatName val="1"/>
              <c:showPercent val="1"/>
            </c:dLbl>
            <c:dLbl>
              <c:idx val="3"/>
              <c:tx>
                <c:rich>
                  <a:bodyPr/>
                  <a:lstStyle/>
                  <a:p>
                    <a:pPr algn="just">
                      <a:defRPr sz="1000">
                        <a:latin typeface="Times New Roman" pitchFamily="18" charset="0"/>
                        <a:cs typeface="Times New Roman" pitchFamily="18" charset="0"/>
                      </a:defRPr>
                    </a:pPr>
                    <a:r>
                      <a:rPr lang="en-US"/>
                      <a:t>chronic</a:t>
                    </a:r>
                    <a:r>
                      <a:rPr lang="en-US" baseline="0"/>
                      <a:t> respiratory diseases</a:t>
                    </a:r>
                    <a:r>
                      <a:rPr lang="el-GR"/>
                      <a:t>
7%</a:t>
                    </a:r>
                  </a:p>
                </c:rich>
              </c:tx>
              <c:spPr>
                <a:noFill/>
                <a:ln>
                  <a:noFill/>
                </a:ln>
                <a:effectLst/>
              </c:spPr>
              <c:showCatName val="1"/>
              <c:showPercent val="1"/>
            </c:dLbl>
            <c:dLbl>
              <c:idx val="4"/>
              <c:tx>
                <c:rich>
                  <a:bodyPr/>
                  <a:lstStyle/>
                  <a:p>
                    <a:r>
                      <a:rPr lang="en-US"/>
                      <a:t>injuries</a:t>
                    </a:r>
                    <a:r>
                      <a:rPr lang="el-GR"/>
                      <a:t>
4%</a:t>
                    </a:r>
                  </a:p>
                </c:rich>
              </c:tx>
              <c:showCatName val="1"/>
              <c:showPercent val="1"/>
            </c:dLbl>
            <c:dLbl>
              <c:idx val="5"/>
              <c:tx>
                <c:rich>
                  <a:bodyPr/>
                  <a:lstStyle/>
                  <a:p>
                    <a:r>
                      <a:rPr lang="en-US"/>
                      <a:t>diabetes</a:t>
                    </a:r>
                    <a:r>
                      <a:rPr lang="el-GR"/>
                      <a:t>
1%</a:t>
                    </a:r>
                  </a:p>
                </c:rich>
              </c:tx>
              <c:showCatName val="1"/>
              <c:showPercent val="1"/>
            </c:dLbl>
            <c:dLbl>
              <c:idx val="6"/>
              <c:tx>
                <c:rich>
                  <a:bodyPr/>
                  <a:lstStyle/>
                  <a:p>
                    <a:r>
                      <a:rPr lang="en-US"/>
                      <a:t>other</a:t>
                    </a:r>
                    <a:r>
                      <a:rPr lang="en-US" baseline="0"/>
                      <a:t> causes </a:t>
                    </a:r>
                    <a:r>
                      <a:rPr lang="el-GR"/>
                      <a:t>8%</a:t>
                    </a:r>
                  </a:p>
                </c:rich>
              </c:tx>
              <c:showCatName val="1"/>
              <c:showPercent val="1"/>
            </c:dLbl>
            <c:spPr>
              <a:noFill/>
              <a:ln>
                <a:noFill/>
              </a:ln>
              <a:effectLst/>
            </c:spPr>
            <c:txPr>
              <a:bodyPr/>
              <a:lstStyle/>
              <a:p>
                <a:pPr>
                  <a:defRPr sz="1000">
                    <a:latin typeface="Times New Roman" pitchFamily="18" charset="0"/>
                    <a:cs typeface="Times New Roman" pitchFamily="18" charset="0"/>
                  </a:defRPr>
                </a:pPr>
                <a:endParaRPr lang="el-GR"/>
              </a:p>
            </c:txPr>
            <c:showCatName val="1"/>
            <c:showPercent val="1"/>
            <c:extLst xmlns:c16r2="http://schemas.microsoft.com/office/drawing/2015/06/chart">
              <c:ext xmlns:c15="http://schemas.microsoft.com/office/drawing/2012/chart" uri="{CE6537A1-D6FC-4f65-9D91-7224C49458BB}"/>
            </c:extLst>
          </c:dLbls>
          <c:cat>
            <c:strRef>
              <c:f>Φύλλο1!$A$2:$A$8</c:f>
              <c:strCache>
                <c:ptCount val="7"/>
                <c:pt idx="0">
                  <c:v>Καρδιαγγειακά νοσήματα</c:v>
                </c:pt>
                <c:pt idx="1">
                  <c:v>Κακοήθη νεοπλάσματα</c:v>
                </c:pt>
                <c:pt idx="2">
                  <c:v>Μεταδοτικές παθησεις</c:v>
                </c:pt>
                <c:pt idx="3">
                  <c:v>Χρόνιες αναπνευστικές Παθησεις</c:v>
                </c:pt>
                <c:pt idx="4">
                  <c:v>Τραυματισμοί</c:v>
                </c:pt>
                <c:pt idx="5">
                  <c:v>Διάβητης</c:v>
                </c:pt>
                <c:pt idx="6">
                  <c:v>Άλλα αίτια</c:v>
                </c:pt>
              </c:strCache>
            </c:strRef>
          </c:cat>
          <c:val>
            <c:numRef>
              <c:f>Φύλλο1!$B$2:$B$8</c:f>
              <c:numCache>
                <c:formatCode>0%</c:formatCode>
                <c:ptCount val="7"/>
                <c:pt idx="0">
                  <c:v>0.48000000000000032</c:v>
                </c:pt>
                <c:pt idx="1">
                  <c:v>0.26</c:v>
                </c:pt>
                <c:pt idx="2">
                  <c:v>6.0000000000000032E-2</c:v>
                </c:pt>
                <c:pt idx="3">
                  <c:v>7.0000000000000021E-2</c:v>
                </c:pt>
                <c:pt idx="4">
                  <c:v>4.0000000000000022E-2</c:v>
                </c:pt>
                <c:pt idx="5">
                  <c:v>1.0000000000000005E-2</c:v>
                </c:pt>
                <c:pt idx="6">
                  <c:v>8.0000000000000043E-2</c:v>
                </c:pt>
              </c:numCache>
            </c:numRef>
          </c:val>
          <c:extLst xmlns:c16r2="http://schemas.microsoft.com/office/drawing/2015/06/chart">
            <c:ext xmlns:c16="http://schemas.microsoft.com/office/drawing/2014/chart" uri="{C3380CC4-5D6E-409C-BE32-E72D297353CC}">
              <c16:uniqueId val="{00000000-944A-4FCF-8C87-392140C58932}"/>
            </c:ext>
          </c:extLst>
        </c:ser>
        <c:dLbls>
          <c:showCatName val="1"/>
          <c:showPercent val="1"/>
        </c:dLbls>
        <c:firstSliceAng val="0"/>
      </c:pieChart>
      <c:spPr>
        <a:noFill/>
        <a:ln w="25391">
          <a:noFill/>
        </a:ln>
      </c:spPr>
    </c:plotArea>
    <c:plotVisOnly val="1"/>
    <c:dispBlanksAs val="zero"/>
  </c:chart>
  <c:spPr>
    <a:ln>
      <a:solidFill>
        <a:schemeClr val="accent1"/>
      </a:solidFill>
    </a:ln>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l-GR"/>
  <c:chart>
    <c:autoTitleDeleted val="1"/>
    <c:plotArea>
      <c:layout/>
      <c:barChart>
        <c:barDir val="bar"/>
        <c:grouping val="clustered"/>
        <c:ser>
          <c:idx val="0"/>
          <c:order val="0"/>
          <c:dLbls>
            <c:dLbl>
              <c:idx val="21"/>
              <c:layout>
                <c:manualLayout>
                  <c:x val="-7.2988505747126446E-3"/>
                  <c:y val="0"/>
                </c:manualLayout>
              </c:layout>
              <c:dLblPos val="outEnd"/>
              <c:showVal val="1"/>
            </c:dLbl>
            <c:txPr>
              <a:bodyPr/>
              <a:lstStyle/>
              <a:p>
                <a:pPr>
                  <a:defRPr sz="800">
                    <a:latin typeface="Times New Roman" pitchFamily="18" charset="0"/>
                    <a:cs typeface="Times New Roman" pitchFamily="18" charset="0"/>
                  </a:defRPr>
                </a:pPr>
                <a:endParaRPr lang="el-GR"/>
              </a:p>
            </c:txPr>
            <c:dLblPos val="outEnd"/>
            <c:showVal val="1"/>
          </c:dLbls>
          <c:cat>
            <c:strRef>
              <c:f>Φύλλο1!$F$212:$F$234</c:f>
              <c:strCache>
                <c:ptCount val="22"/>
                <c:pt idx="0">
                  <c:v>Under 1 year</c:v>
                </c:pt>
                <c:pt idx="1">
                  <c:v>1 year</c:v>
                </c:pt>
                <c:pt idx="2">
                  <c:v>2 year</c:v>
                </c:pt>
                <c:pt idx="3">
                  <c:v>3 &gt;&gt;</c:v>
                </c:pt>
                <c:pt idx="4">
                  <c:v>4 &gt;&gt;</c:v>
                </c:pt>
                <c:pt idx="5">
                  <c:v>5-9 &gt;&gt;</c:v>
                </c:pt>
                <c:pt idx="6">
                  <c:v>10-14 &gt;&gt;</c:v>
                </c:pt>
                <c:pt idx="7">
                  <c:v>15-19 &gt;&gt;</c:v>
                </c:pt>
                <c:pt idx="8">
                  <c:v>20-24 &gt;&gt;</c:v>
                </c:pt>
                <c:pt idx="9">
                  <c:v>25-29 &gt;&gt;</c:v>
                </c:pt>
                <c:pt idx="10">
                  <c:v>30-34 &gt;&gt;</c:v>
                </c:pt>
                <c:pt idx="11">
                  <c:v>35-39 &gt;&gt;</c:v>
                </c:pt>
                <c:pt idx="12">
                  <c:v>40-44 &gt;&gt;</c:v>
                </c:pt>
                <c:pt idx="13">
                  <c:v>45-49 &gt;&gt;</c:v>
                </c:pt>
                <c:pt idx="14">
                  <c:v>50-54 &gt;&gt;</c:v>
                </c:pt>
                <c:pt idx="15">
                  <c:v>55-59 &gt;&gt;</c:v>
                </c:pt>
                <c:pt idx="16">
                  <c:v>60-64 &gt;&gt;</c:v>
                </c:pt>
                <c:pt idx="17">
                  <c:v>65-69 &gt;&gt;</c:v>
                </c:pt>
                <c:pt idx="18">
                  <c:v>70-74 &gt;&gt;</c:v>
                </c:pt>
                <c:pt idx="19">
                  <c:v>75-79 &gt;&gt;</c:v>
                </c:pt>
                <c:pt idx="20">
                  <c:v>80-84 &gt;&gt;</c:v>
                </c:pt>
                <c:pt idx="21">
                  <c:v>85 years and over</c:v>
                </c:pt>
              </c:strCache>
            </c:strRef>
          </c:cat>
          <c:val>
            <c:numRef>
              <c:f>Φύλλο1!$G$212:$G$234</c:f>
              <c:numCache>
                <c:formatCode>General</c:formatCode>
                <c:ptCount val="23"/>
                <c:pt idx="0">
                  <c:v>0.36400000000000032</c:v>
                </c:pt>
                <c:pt idx="1">
                  <c:v>2.5999999999999999E-2</c:v>
                </c:pt>
                <c:pt idx="2">
                  <c:v>1.4E-2</c:v>
                </c:pt>
                <c:pt idx="3">
                  <c:v>8.000000000000021E-3</c:v>
                </c:pt>
                <c:pt idx="4">
                  <c:v>6.0000000000000105E-3</c:v>
                </c:pt>
                <c:pt idx="5">
                  <c:v>3.3000000000000002E-2</c:v>
                </c:pt>
                <c:pt idx="6">
                  <c:v>5.5000000000000014E-2</c:v>
                </c:pt>
                <c:pt idx="7">
                  <c:v>0.14900000000000024</c:v>
                </c:pt>
                <c:pt idx="8">
                  <c:v>0.224</c:v>
                </c:pt>
                <c:pt idx="9">
                  <c:v>0.28000000000000008</c:v>
                </c:pt>
                <c:pt idx="10">
                  <c:v>0.44700000000000001</c:v>
                </c:pt>
                <c:pt idx="11">
                  <c:v>0.64700000000000135</c:v>
                </c:pt>
                <c:pt idx="12">
                  <c:v>0.96800000000000064</c:v>
                </c:pt>
                <c:pt idx="13">
                  <c:v>1.7009999999999972</c:v>
                </c:pt>
                <c:pt idx="14">
                  <c:v>2.484</c:v>
                </c:pt>
                <c:pt idx="15">
                  <c:v>3.9509999999999987</c:v>
                </c:pt>
                <c:pt idx="16">
                  <c:v>5.19599999999999</c:v>
                </c:pt>
                <c:pt idx="17">
                  <c:v>7.5919999999999996</c:v>
                </c:pt>
                <c:pt idx="18">
                  <c:v>8.9760000000000026</c:v>
                </c:pt>
                <c:pt idx="19">
                  <c:v>15.777999999999999</c:v>
                </c:pt>
                <c:pt idx="20">
                  <c:v>24.364000000000001</c:v>
                </c:pt>
                <c:pt idx="21">
                  <c:v>47.949000000000005</c:v>
                </c:pt>
              </c:numCache>
            </c:numRef>
          </c:val>
        </c:ser>
        <c:gapWidth val="75"/>
        <c:overlap val="40"/>
        <c:axId val="98431744"/>
        <c:axId val="98434048"/>
      </c:barChart>
      <c:catAx>
        <c:axId val="98431744"/>
        <c:scaling>
          <c:orientation val="minMax"/>
        </c:scaling>
        <c:axPos val="l"/>
        <c:title>
          <c:tx>
            <c:rich>
              <a:bodyPr rot="-5400000" vert="horz"/>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Age</a:t>
                </a:r>
                <a:r>
                  <a:rPr lang="en-US" sz="1200" baseline="0">
                    <a:latin typeface="Times New Roman" pitchFamily="18" charset="0"/>
                    <a:cs typeface="Times New Roman" pitchFamily="18" charset="0"/>
                  </a:rPr>
                  <a:t> in years</a:t>
                </a:r>
                <a:endParaRPr lang="el-GR" sz="1200">
                  <a:latin typeface="Times New Roman" pitchFamily="18" charset="0"/>
                  <a:cs typeface="Times New Roman" pitchFamily="18" charset="0"/>
                </a:endParaRPr>
              </a:p>
            </c:rich>
          </c:tx>
          <c:layout>
            <c:manualLayout>
              <c:xMode val="edge"/>
              <c:yMode val="edge"/>
              <c:x val="6.3256704980842918E-2"/>
              <c:y val="0.30208355720240865"/>
            </c:manualLayout>
          </c:layout>
        </c:title>
        <c:majorTickMark val="none"/>
        <c:tickLblPos val="nextTo"/>
        <c:txPr>
          <a:bodyPr/>
          <a:lstStyle/>
          <a:p>
            <a:pPr>
              <a:defRPr sz="1050">
                <a:latin typeface="Times New Roman" pitchFamily="18" charset="0"/>
                <a:cs typeface="Times New Roman" pitchFamily="18" charset="0"/>
              </a:defRPr>
            </a:pPr>
            <a:endParaRPr lang="el-GR"/>
          </a:p>
        </c:txPr>
        <c:crossAx val="98434048"/>
        <c:crosses val="autoZero"/>
        <c:auto val="1"/>
        <c:lblAlgn val="ctr"/>
        <c:lblOffset val="100"/>
      </c:catAx>
      <c:valAx>
        <c:axId val="98434048"/>
        <c:scaling>
          <c:orientation val="minMax"/>
        </c:scaling>
        <c:axPos val="b"/>
        <c:majorGridlines/>
        <c:title>
          <c:tx>
            <c:rich>
              <a:bodyPr/>
              <a:lstStyle/>
              <a:p>
                <a:pPr algn="ctr">
                  <a:defRPr sz="1200">
                    <a:latin typeface="Times New Roman" pitchFamily="18" charset="0"/>
                    <a:cs typeface="Times New Roman" pitchFamily="18" charset="0"/>
                  </a:defRPr>
                </a:pPr>
                <a:r>
                  <a:rPr lang="en-US" sz="1200" baseline="0">
                    <a:latin typeface="Times New Roman" pitchFamily="18" charset="0"/>
                    <a:cs typeface="Times New Roman" pitchFamily="18" charset="0"/>
                  </a:rPr>
                  <a:t>Deaths per </a:t>
                </a:r>
                <a:r>
                  <a:rPr lang="el-GR" sz="1200" baseline="0">
                    <a:latin typeface="Times New Roman" pitchFamily="18" charset="0"/>
                    <a:cs typeface="Times New Roman" pitchFamily="18" charset="0"/>
                  </a:rPr>
                  <a:t>1</a:t>
                </a:r>
                <a:r>
                  <a:rPr lang="en-US" sz="1200" baseline="0">
                    <a:latin typeface="Times New Roman" pitchFamily="18" charset="0"/>
                    <a:cs typeface="Times New Roman" pitchFamily="18" charset="0"/>
                  </a:rPr>
                  <a:t>,</a:t>
                </a:r>
                <a:r>
                  <a:rPr lang="el-GR" sz="1200" baseline="0">
                    <a:latin typeface="Times New Roman" pitchFamily="18" charset="0"/>
                    <a:cs typeface="Times New Roman" pitchFamily="18" charset="0"/>
                  </a:rPr>
                  <a:t>000 </a:t>
                </a:r>
                <a:r>
                  <a:rPr lang="en-US" sz="1200" baseline="0">
                    <a:latin typeface="Times New Roman" pitchFamily="18" charset="0"/>
                    <a:cs typeface="Times New Roman" pitchFamily="18" charset="0"/>
                  </a:rPr>
                  <a:t>inhabitants of population</a:t>
                </a:r>
                <a:endParaRPr lang="el-GR" sz="1200">
                  <a:latin typeface="Times New Roman" pitchFamily="18" charset="0"/>
                  <a:cs typeface="Times New Roman" pitchFamily="18" charset="0"/>
                </a:endParaRPr>
              </a:p>
            </c:rich>
          </c:tx>
          <c:layout>
            <c:manualLayout>
              <c:xMode val="edge"/>
              <c:yMode val="edge"/>
              <c:x val="0.26239003831417629"/>
              <c:y val="0.92533333333333334"/>
            </c:manualLayout>
          </c:layout>
        </c:title>
        <c:numFmt formatCode="General" sourceLinked="1"/>
        <c:majorTickMark val="none"/>
        <c:tickLblPos val="nextTo"/>
        <c:crossAx val="98431744"/>
        <c:crosses val="autoZero"/>
        <c:crossBetween val="between"/>
        <c:majorUnit val="5"/>
      </c:valAx>
      <c:spPr>
        <a:solidFill>
          <a:schemeClr val="bg2"/>
        </a:solidFill>
      </c:spPr>
    </c:plotArea>
    <c:plotVisOnly val="1"/>
  </c:chart>
  <c:spPr>
    <a:noFill/>
    <a:ln>
      <a:gradFill>
        <a:gsLst>
          <a:gs pos="0">
            <a:schemeClr val="bg1">
              <a:lumMod val="85000"/>
            </a:schemeClr>
          </a:gs>
          <a:gs pos="7001">
            <a:srgbClr val="E6E6E6"/>
          </a:gs>
          <a:gs pos="32001">
            <a:srgbClr val="7D8496"/>
          </a:gs>
          <a:gs pos="47000">
            <a:srgbClr val="E6E6E6"/>
          </a:gs>
          <a:gs pos="85001">
            <a:srgbClr val="7D8496"/>
          </a:gs>
          <a:gs pos="100000">
            <a:srgbClr val="E6E6E6"/>
          </a:gs>
        </a:gsLst>
        <a:lin ang="5400000" scaled="0"/>
      </a:grad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l-GR"/>
  <c:chart>
    <c:autoTitleDeleted val="1"/>
    <c:plotArea>
      <c:layout/>
      <c:barChart>
        <c:barDir val="bar"/>
        <c:grouping val="clustered"/>
        <c:ser>
          <c:idx val="0"/>
          <c:order val="0"/>
          <c:tx>
            <c:strRef>
              <c:f>Φύλλο1!$F$22</c:f>
              <c:strCache>
                <c:ptCount val="1"/>
                <c:pt idx="0">
                  <c:v>Greece</c:v>
                </c:pt>
              </c:strCache>
            </c:strRef>
          </c:tx>
          <c:dLbls>
            <c:txPr>
              <a:bodyPr/>
              <a:lstStyle/>
              <a:p>
                <a:pPr>
                  <a:defRPr sz="900"/>
                </a:pPr>
                <a:endParaRPr lang="el-GR"/>
              </a:p>
            </c:txPr>
            <c:showVal val="1"/>
          </c:dLbls>
          <c:cat>
            <c:strRef>
              <c:f>Φύλλο1!$D$23:$E$28</c:f>
              <c:strCache>
                <c:ptCount val="6"/>
                <c:pt idx="0">
                  <c:v>2007</c:v>
                </c:pt>
                <c:pt idx="1">
                  <c:v>2008</c:v>
                </c:pt>
                <c:pt idx="2">
                  <c:v>2009</c:v>
                </c:pt>
                <c:pt idx="3">
                  <c:v>2010</c:v>
                </c:pt>
                <c:pt idx="4">
                  <c:v>2011</c:v>
                </c:pt>
                <c:pt idx="5">
                  <c:v>2012</c:v>
                </c:pt>
              </c:strCache>
            </c:strRef>
          </c:cat>
          <c:val>
            <c:numRef>
              <c:f>Φύλλο1!$F$23:$F$28</c:f>
              <c:numCache>
                <c:formatCode>General</c:formatCode>
                <c:ptCount val="6"/>
                <c:pt idx="0">
                  <c:v>79.7</c:v>
                </c:pt>
                <c:pt idx="1">
                  <c:v>80.3</c:v>
                </c:pt>
                <c:pt idx="2">
                  <c:v>80.400000000000006</c:v>
                </c:pt>
                <c:pt idx="3">
                  <c:v>80.7</c:v>
                </c:pt>
                <c:pt idx="4">
                  <c:v>80.8</c:v>
                </c:pt>
                <c:pt idx="5">
                  <c:v>80.7</c:v>
                </c:pt>
              </c:numCache>
            </c:numRef>
          </c:val>
        </c:ser>
        <c:ser>
          <c:idx val="1"/>
          <c:order val="1"/>
          <c:tx>
            <c:strRef>
              <c:f>Φύλλο1!$G$22</c:f>
              <c:strCache>
                <c:ptCount val="1"/>
                <c:pt idx="0">
                  <c:v>Portugal</c:v>
                </c:pt>
              </c:strCache>
            </c:strRef>
          </c:tx>
          <c:dLbls>
            <c:txPr>
              <a:bodyPr/>
              <a:lstStyle/>
              <a:p>
                <a:pPr>
                  <a:defRPr sz="900"/>
                </a:pPr>
                <a:endParaRPr lang="el-GR"/>
              </a:p>
            </c:txPr>
            <c:showVal val="1"/>
          </c:dLbls>
          <c:cat>
            <c:strRef>
              <c:f>Φύλλο1!$D$23:$E$28</c:f>
              <c:strCache>
                <c:ptCount val="6"/>
                <c:pt idx="0">
                  <c:v>2007</c:v>
                </c:pt>
                <c:pt idx="1">
                  <c:v>2008</c:v>
                </c:pt>
                <c:pt idx="2">
                  <c:v>2009</c:v>
                </c:pt>
                <c:pt idx="3">
                  <c:v>2010</c:v>
                </c:pt>
                <c:pt idx="4">
                  <c:v>2011</c:v>
                </c:pt>
                <c:pt idx="5">
                  <c:v>2012</c:v>
                </c:pt>
              </c:strCache>
            </c:strRef>
          </c:cat>
          <c:val>
            <c:numRef>
              <c:f>Φύλλο1!$G$23:$G$28</c:f>
              <c:numCache>
                <c:formatCode>General</c:formatCode>
                <c:ptCount val="6"/>
                <c:pt idx="0">
                  <c:v>79.2</c:v>
                </c:pt>
                <c:pt idx="1">
                  <c:v>79.5</c:v>
                </c:pt>
                <c:pt idx="2">
                  <c:v>79.7</c:v>
                </c:pt>
                <c:pt idx="3">
                  <c:v>80</c:v>
                </c:pt>
                <c:pt idx="4">
                  <c:v>80.599999999999994</c:v>
                </c:pt>
                <c:pt idx="5">
                  <c:v>80.5</c:v>
                </c:pt>
              </c:numCache>
            </c:numRef>
          </c:val>
        </c:ser>
        <c:dLbls>
          <c:showVal val="1"/>
        </c:dLbls>
        <c:overlap val="-25"/>
        <c:axId val="99214848"/>
        <c:axId val="99216768"/>
      </c:barChart>
      <c:catAx>
        <c:axId val="99214848"/>
        <c:scaling>
          <c:orientation val="minMax"/>
        </c:scaling>
        <c:axPos val="l"/>
        <c:title>
          <c:tx>
            <c:rich>
              <a:bodyPr rot="-5400000" vert="horz"/>
              <a:lstStyle/>
              <a:p>
                <a:pPr>
                  <a:defRPr/>
                </a:pPr>
                <a:r>
                  <a:rPr lang="en-US" sz="1100">
                    <a:latin typeface="Times New Roman" pitchFamily="18" charset="0"/>
                    <a:cs typeface="Times New Roman" pitchFamily="18" charset="0"/>
                  </a:rPr>
                  <a:t>Year</a:t>
                </a:r>
                <a:endParaRPr lang="el-GR" sz="1100">
                  <a:latin typeface="Times New Roman" pitchFamily="18" charset="0"/>
                  <a:cs typeface="Times New Roman" pitchFamily="18" charset="0"/>
                </a:endParaRPr>
              </a:p>
            </c:rich>
          </c:tx>
          <c:layout>
            <c:manualLayout>
              <c:xMode val="edge"/>
              <c:yMode val="edge"/>
              <c:x val="1.8300653594771243E-2"/>
              <c:y val="0.45082798796491919"/>
            </c:manualLayout>
          </c:layout>
        </c:title>
        <c:majorTickMark val="none"/>
        <c:tickLblPos val="nextTo"/>
        <c:crossAx val="99216768"/>
        <c:crosses val="autoZero"/>
        <c:auto val="1"/>
        <c:lblAlgn val="ctr"/>
        <c:lblOffset val="100"/>
      </c:catAx>
      <c:valAx>
        <c:axId val="99216768"/>
        <c:scaling>
          <c:orientation val="minMax"/>
        </c:scaling>
        <c:delete val="1"/>
        <c:axPos val="b"/>
        <c:numFmt formatCode="General" sourceLinked="1"/>
        <c:tickLblPos val="none"/>
        <c:crossAx val="99214848"/>
        <c:crosses val="autoZero"/>
        <c:crossBetween val="between"/>
      </c:valAx>
      <c:spPr>
        <a:solidFill>
          <a:srgbClr val="E7E6E6"/>
        </a:solidFill>
      </c:spPr>
    </c:plotArea>
    <c:legend>
      <c:legendPos val="t"/>
      <c:txPr>
        <a:bodyPr/>
        <a:lstStyle/>
        <a:p>
          <a:pPr>
            <a:defRPr b="1">
              <a:latin typeface="Times New Roman" pitchFamily="18" charset="0"/>
              <a:cs typeface="Times New Roman" pitchFamily="18" charset="0"/>
            </a:defRPr>
          </a:pPr>
          <a:endParaRPr lang="el-GR"/>
        </a:p>
      </c:txPr>
    </c:legend>
    <c:plotVisOnly val="1"/>
  </c:chart>
  <c:spPr>
    <a:noFill/>
    <a:effectLst>
      <a:outerShdw blurRad="50800" dist="50800" dir="5400000" algn="ctr" rotWithShape="0">
        <a:schemeClr val="tx2">
          <a:lumMod val="20000"/>
          <a:lumOff val="80000"/>
        </a:scheme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l-GR"/>
  <c:chart>
    <c:autoTitleDeleted val="1"/>
    <c:view3D>
      <c:perspective val="30"/>
    </c:view3D>
    <c:plotArea>
      <c:layout/>
      <c:bar3DChart>
        <c:barDir val="col"/>
        <c:grouping val="clustered"/>
        <c:ser>
          <c:idx val="0"/>
          <c:order val="0"/>
          <c:tx>
            <c:strRef>
              <c:f>Φύλλο1!$D$93</c:f>
              <c:strCache>
                <c:ptCount val="1"/>
                <c:pt idx="0">
                  <c:v>Greece</c:v>
                </c:pt>
              </c:strCache>
            </c:strRef>
          </c:tx>
          <c:cat>
            <c:strRef>
              <c:f>Φύλλο1!$B$94:$C$106</c:f>
              <c:strCache>
                <c:ptCount val="13"/>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strCache>
            </c:strRef>
          </c:cat>
          <c:val>
            <c:numRef>
              <c:f>Φύλλο1!$D$94:$D$106</c:f>
              <c:numCache>
                <c:formatCode>General</c:formatCode>
                <c:ptCount val="13"/>
                <c:pt idx="0">
                  <c:v>78.641000000000005</c:v>
                </c:pt>
                <c:pt idx="1">
                  <c:v>78.840999999999994</c:v>
                </c:pt>
                <c:pt idx="2">
                  <c:v>79.039000000000001</c:v>
                </c:pt>
                <c:pt idx="3">
                  <c:v>79.239000000000004</c:v>
                </c:pt>
                <c:pt idx="4">
                  <c:v>79.438999999999993</c:v>
                </c:pt>
                <c:pt idx="5">
                  <c:v>79.438999999999993</c:v>
                </c:pt>
                <c:pt idx="6">
                  <c:v>79.938999999999993</c:v>
                </c:pt>
                <c:pt idx="7">
                  <c:v>80.187999999999988</c:v>
                </c:pt>
                <c:pt idx="8">
                  <c:v>80.387999999999991</c:v>
                </c:pt>
                <c:pt idx="9">
                  <c:v>80.732000000000014</c:v>
                </c:pt>
                <c:pt idx="10">
                  <c:v>80.634</c:v>
                </c:pt>
                <c:pt idx="11">
                  <c:v>81.284999999999997</c:v>
                </c:pt>
                <c:pt idx="12">
                  <c:v>81.284999999999997</c:v>
                </c:pt>
              </c:numCache>
            </c:numRef>
          </c:val>
        </c:ser>
        <c:ser>
          <c:idx val="1"/>
          <c:order val="1"/>
          <c:tx>
            <c:strRef>
              <c:f>Φύλλο1!$E$93</c:f>
              <c:strCache>
                <c:ptCount val="1"/>
                <c:pt idx="0">
                  <c:v>Portugal</c:v>
                </c:pt>
              </c:strCache>
            </c:strRef>
          </c:tx>
          <c:cat>
            <c:strRef>
              <c:f>Φύλλο1!$B$94:$C$106</c:f>
              <c:strCache>
                <c:ptCount val="13"/>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strCache>
            </c:strRef>
          </c:cat>
          <c:val>
            <c:numRef>
              <c:f>Φύλλο1!$E$94:$E$106</c:f>
              <c:numCache>
                <c:formatCode>General</c:formatCode>
                <c:ptCount val="13"/>
                <c:pt idx="0">
                  <c:v>77.066000000000003</c:v>
                </c:pt>
                <c:pt idx="1">
                  <c:v>77.22</c:v>
                </c:pt>
                <c:pt idx="2">
                  <c:v>77.670999999999978</c:v>
                </c:pt>
                <c:pt idx="3">
                  <c:v>78.070999999999998</c:v>
                </c:pt>
                <c:pt idx="4">
                  <c:v>78.42</c:v>
                </c:pt>
                <c:pt idx="5">
                  <c:v>78.321999999999989</c:v>
                </c:pt>
                <c:pt idx="6">
                  <c:v>78.524000000000001</c:v>
                </c:pt>
                <c:pt idx="7">
                  <c:v>78.727000000000004</c:v>
                </c:pt>
                <c:pt idx="8">
                  <c:v>79.027000000000001</c:v>
                </c:pt>
                <c:pt idx="9">
                  <c:v>80.471000000000004</c:v>
                </c:pt>
                <c:pt idx="10">
                  <c:v>80.372999999999948</c:v>
                </c:pt>
                <c:pt idx="11">
                  <c:v>80.721999999999994</c:v>
                </c:pt>
                <c:pt idx="12">
                  <c:v>80.721999999999994</c:v>
                </c:pt>
              </c:numCache>
            </c:numRef>
          </c:val>
        </c:ser>
        <c:gapWidth val="75"/>
        <c:shape val="box"/>
        <c:axId val="151178240"/>
        <c:axId val="151536384"/>
        <c:axId val="0"/>
      </c:bar3DChart>
      <c:catAx>
        <c:axId val="151178240"/>
        <c:scaling>
          <c:orientation val="minMax"/>
        </c:scaling>
        <c:axPos val="b"/>
        <c:majorTickMark val="none"/>
        <c:tickLblPos val="nextTo"/>
        <c:crossAx val="151536384"/>
        <c:crosses val="autoZero"/>
        <c:auto val="1"/>
        <c:lblAlgn val="ctr"/>
        <c:lblOffset val="100"/>
      </c:catAx>
      <c:valAx>
        <c:axId val="151536384"/>
        <c:scaling>
          <c:orientation val="minMax"/>
          <c:max val="83"/>
          <c:min val="75"/>
        </c:scaling>
        <c:axPos val="l"/>
        <c:majorGridlines/>
        <c:numFmt formatCode="General" sourceLinked="1"/>
        <c:majorTickMark val="none"/>
        <c:tickLblPos val="nextTo"/>
        <c:spPr>
          <a:ln w="9525">
            <a:noFill/>
          </a:ln>
        </c:spPr>
        <c:crossAx val="151178240"/>
        <c:crosses val="autoZero"/>
        <c:crossBetween val="between"/>
        <c:majorUnit val="1"/>
      </c:valAx>
      <c:spPr>
        <a:solidFill>
          <a:srgbClr val="E7E6E6"/>
        </a:solidFill>
      </c:spPr>
    </c:plotArea>
    <c:legend>
      <c:legendPos val="b"/>
      <c:layout>
        <c:manualLayout>
          <c:xMode val="edge"/>
          <c:yMode val="edge"/>
          <c:x val="0.34489670041244846"/>
          <c:y val="0.90549015303004232"/>
          <c:w val="0.2435399325084365"/>
          <c:h val="6.8134564377644202E-2"/>
        </c:manualLayout>
      </c:layout>
    </c:legend>
    <c:plotVisOnly val="1"/>
  </c:chart>
  <c:spPr>
    <a:noFill/>
    <a:ln>
      <a:solidFill>
        <a:schemeClr val="tx2">
          <a:lumMod val="20000"/>
          <a:lumOff val="80000"/>
        </a:schemeClr>
      </a:solid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l-GR"/>
  <c:chart>
    <c:autoTitleDeleted val="1"/>
    <c:plotArea>
      <c:layout/>
      <c:barChart>
        <c:barDir val="bar"/>
        <c:grouping val="clustered"/>
        <c:ser>
          <c:idx val="0"/>
          <c:order val="0"/>
          <c:tx>
            <c:strRef>
              <c:f>Φύλλο1!$D$153</c:f>
              <c:strCache>
                <c:ptCount val="1"/>
                <c:pt idx="0">
                  <c:v>Greece</c:v>
                </c:pt>
              </c:strCache>
            </c:strRef>
          </c:tx>
          <c:dLbls>
            <c:txPr>
              <a:bodyPr/>
              <a:lstStyle/>
              <a:p>
                <a:pPr>
                  <a:defRPr sz="800"/>
                </a:pPr>
                <a:endParaRPr lang="el-GR"/>
              </a:p>
            </c:txPr>
            <c:showVal val="1"/>
          </c:dLbls>
          <c:cat>
            <c:strRef>
              <c:f>Φύλλο1!$B$154:$C$167</c:f>
              <c:strCache>
                <c:ptCount val="14"/>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strCache>
            </c:strRef>
          </c:cat>
          <c:val>
            <c:numRef>
              <c:f>Φύλλο1!$D$154:$D$167</c:f>
              <c:numCache>
                <c:formatCode>General</c:formatCode>
                <c:ptCount val="14"/>
                <c:pt idx="0">
                  <c:v>0.36700000000000038</c:v>
                </c:pt>
                <c:pt idx="1">
                  <c:v>0.23900000000000021</c:v>
                </c:pt>
                <c:pt idx="2">
                  <c:v>0.24700000000000036</c:v>
                </c:pt>
                <c:pt idx="3">
                  <c:v>0.29300000000000032</c:v>
                </c:pt>
                <c:pt idx="4">
                  <c:v>0.30000000000000032</c:v>
                </c:pt>
                <c:pt idx="5">
                  <c:v>0.255</c:v>
                </c:pt>
                <c:pt idx="6">
                  <c:v>0.26500000000000001</c:v>
                </c:pt>
                <c:pt idx="7">
                  <c:v>0.26300000000000001</c:v>
                </c:pt>
                <c:pt idx="8">
                  <c:v>0.129</c:v>
                </c:pt>
                <c:pt idx="9">
                  <c:v>-0.14800000000000021</c:v>
                </c:pt>
                <c:pt idx="10">
                  <c:v>-0.54100000000000004</c:v>
                </c:pt>
                <c:pt idx="11">
                  <c:v>-0.72500000000000064</c:v>
                </c:pt>
                <c:pt idx="12">
                  <c:v>-0.66600000000000192</c:v>
                </c:pt>
                <c:pt idx="13">
                  <c:v>-0.63300000000000156</c:v>
                </c:pt>
              </c:numCache>
            </c:numRef>
          </c:val>
        </c:ser>
        <c:ser>
          <c:idx val="1"/>
          <c:order val="1"/>
          <c:tx>
            <c:strRef>
              <c:f>Φύλλο1!$E$153</c:f>
              <c:strCache>
                <c:ptCount val="1"/>
                <c:pt idx="0">
                  <c:v>Portugal</c:v>
                </c:pt>
              </c:strCache>
            </c:strRef>
          </c:tx>
          <c:dLbls>
            <c:txPr>
              <a:bodyPr/>
              <a:lstStyle/>
              <a:p>
                <a:pPr>
                  <a:defRPr sz="800"/>
                </a:pPr>
                <a:endParaRPr lang="el-GR"/>
              </a:p>
            </c:txPr>
            <c:showVal val="1"/>
          </c:dLbls>
          <c:cat>
            <c:strRef>
              <c:f>Φύλλο1!$B$154:$C$167</c:f>
              <c:strCache>
                <c:ptCount val="14"/>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strCache>
            </c:strRef>
          </c:cat>
          <c:val>
            <c:numRef>
              <c:f>Φύλλο1!$E$154:$E$167</c:f>
              <c:numCache>
                <c:formatCode>General</c:formatCode>
                <c:ptCount val="14"/>
                <c:pt idx="0">
                  <c:v>0.54800000000000004</c:v>
                </c:pt>
                <c:pt idx="1">
                  <c:v>0.37500000000000072</c:v>
                </c:pt>
                <c:pt idx="2">
                  <c:v>0.23900000000000021</c:v>
                </c:pt>
                <c:pt idx="3">
                  <c:v>0.18600000000000039</c:v>
                </c:pt>
                <c:pt idx="4">
                  <c:v>0.18000000000000024</c:v>
                </c:pt>
                <c:pt idx="5">
                  <c:v>0.19600000000000001</c:v>
                </c:pt>
                <c:pt idx="6">
                  <c:v>0.44</c:v>
                </c:pt>
                <c:pt idx="7">
                  <c:v>9.5000000000000043E-2</c:v>
                </c:pt>
                <c:pt idx="8">
                  <c:v>4.5999999999999999E-2</c:v>
                </c:pt>
                <c:pt idx="9">
                  <c:v>-0.14700000000000021</c:v>
                </c:pt>
                <c:pt idx="10">
                  <c:v>-0.40500000000000008</c:v>
                </c:pt>
                <c:pt idx="11">
                  <c:v>-0.54900000000000004</c:v>
                </c:pt>
                <c:pt idx="12">
                  <c:v>-0.53900000000000003</c:v>
                </c:pt>
                <c:pt idx="13">
                  <c:v>-0.505</c:v>
                </c:pt>
              </c:numCache>
            </c:numRef>
          </c:val>
        </c:ser>
        <c:dLbls>
          <c:showVal val="1"/>
        </c:dLbls>
        <c:gapWidth val="75"/>
        <c:axId val="151859200"/>
        <c:axId val="151893888"/>
      </c:barChart>
      <c:catAx>
        <c:axId val="151859200"/>
        <c:scaling>
          <c:orientation val="minMax"/>
        </c:scaling>
        <c:axPos val="l"/>
        <c:title>
          <c:tx>
            <c:rich>
              <a:bodyPr/>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Year</a:t>
                </a:r>
                <a:endParaRPr lang="el-GR" sz="1100">
                  <a:latin typeface="Times New Roman" pitchFamily="18" charset="0"/>
                  <a:cs typeface="Times New Roman" pitchFamily="18" charset="0"/>
                </a:endParaRPr>
              </a:p>
            </c:rich>
          </c:tx>
          <c:layout>
            <c:manualLayout>
              <c:xMode val="edge"/>
              <c:yMode val="edge"/>
              <c:x val="3.5476571015215278E-3"/>
              <c:y val="0.39018346056996694"/>
            </c:manualLayout>
          </c:layout>
        </c:title>
        <c:majorTickMark val="none"/>
        <c:tickLblPos val="nextTo"/>
        <c:crossAx val="151893888"/>
        <c:crosses val="autoZero"/>
        <c:auto val="1"/>
        <c:lblAlgn val="ctr"/>
        <c:lblOffset val="100"/>
      </c:catAx>
      <c:valAx>
        <c:axId val="151893888"/>
        <c:scaling>
          <c:orientation val="minMax"/>
          <c:max val="0.70000000000000062"/>
          <c:min val="-0.8"/>
        </c:scaling>
        <c:axPos val="b"/>
        <c:majorGridlines/>
        <c:title>
          <c:tx>
            <c:rich>
              <a:bodyPr/>
              <a:lstStyle/>
              <a:p>
                <a:pPr>
                  <a:defRPr sz="1100">
                    <a:latin typeface="Times New Roman" pitchFamily="18" charset="0"/>
                    <a:cs typeface="Times New Roman" pitchFamily="18" charset="0"/>
                  </a:defRPr>
                </a:pPr>
                <a:r>
                  <a:rPr lang="el-GR" sz="1100" baseline="0">
                    <a:latin typeface="Times New Roman" pitchFamily="18" charset="0"/>
                    <a:cs typeface="Times New Roman" pitchFamily="18" charset="0"/>
                  </a:rPr>
                  <a:t> %</a:t>
                </a:r>
                <a:endParaRPr lang="el-GR" sz="1100">
                  <a:latin typeface="Times New Roman" pitchFamily="18" charset="0"/>
                  <a:cs typeface="Times New Roman" pitchFamily="18" charset="0"/>
                </a:endParaRPr>
              </a:p>
            </c:rich>
          </c:tx>
        </c:title>
        <c:numFmt formatCode="General" sourceLinked="1"/>
        <c:majorTickMark val="none"/>
        <c:tickLblPos val="nextTo"/>
        <c:crossAx val="151859200"/>
        <c:crosses val="autoZero"/>
        <c:crossBetween val="between"/>
      </c:valAx>
      <c:spPr>
        <a:solidFill>
          <a:schemeClr val="bg2">
            <a:alpha val="87000"/>
          </a:schemeClr>
        </a:solidFill>
        <a:ln>
          <a:gradFill>
            <a:gsLst>
              <a:gs pos="49000">
                <a:srgbClr val="5B9BD5">
                  <a:tint val="66000"/>
                  <a:satMod val="160000"/>
                </a:srgbClr>
              </a:gs>
              <a:gs pos="50000">
                <a:srgbClr val="5B9BD5">
                  <a:tint val="44500"/>
                  <a:satMod val="160000"/>
                </a:srgbClr>
              </a:gs>
              <a:gs pos="100000">
                <a:srgbClr val="5B9BD5">
                  <a:tint val="23500"/>
                  <a:satMod val="160000"/>
                </a:srgbClr>
              </a:gs>
            </a:gsLst>
            <a:lin ang="5400000" scaled="0"/>
          </a:gradFill>
        </a:ln>
      </c:spPr>
    </c:plotArea>
    <c:legend>
      <c:legendPos val="r"/>
      <c:txPr>
        <a:bodyPr/>
        <a:lstStyle/>
        <a:p>
          <a:pPr>
            <a:defRPr>
              <a:latin typeface="Times New Roman" pitchFamily="18" charset="0"/>
              <a:cs typeface="Times New Roman" pitchFamily="18" charset="0"/>
            </a:defRPr>
          </a:pPr>
          <a:endParaRPr lang="el-GR"/>
        </a:p>
      </c:txPr>
    </c:legend>
    <c:plotVisOnly val="1"/>
  </c:chart>
  <c:spPr>
    <a:noFill/>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l-GR"/>
  <c:chart>
    <c:autoTitleDeleted val="1"/>
    <c:view3D>
      <c:perspective val="0"/>
    </c:view3D>
    <c:floor>
      <c:spPr>
        <a:solidFill>
          <a:srgbClr val="E7E6E6"/>
        </a:solidFill>
      </c:spPr>
    </c:floor>
    <c:sideWall>
      <c:spPr>
        <a:solidFill>
          <a:srgbClr val="E7E6E6"/>
        </a:solidFill>
      </c:spPr>
    </c:sideWall>
    <c:backWall>
      <c:spPr>
        <a:solidFill>
          <a:srgbClr val="E7E6E6"/>
        </a:solidFill>
      </c:spPr>
    </c:backWall>
    <c:plotArea>
      <c:layout>
        <c:manualLayout>
          <c:layoutTarget val="inner"/>
          <c:xMode val="edge"/>
          <c:yMode val="edge"/>
          <c:x val="9.9554968701095523E-2"/>
          <c:y val="8.6017885424806928E-2"/>
          <c:w val="0.75295680735529646"/>
          <c:h val="0.76437563797209962"/>
        </c:manualLayout>
      </c:layout>
      <c:bar3DChart>
        <c:barDir val="col"/>
        <c:grouping val="standard"/>
        <c:ser>
          <c:idx val="0"/>
          <c:order val="0"/>
          <c:tx>
            <c:strRef>
              <c:f>Φύλλο1!$C$272</c:f>
              <c:strCache>
                <c:ptCount val="1"/>
                <c:pt idx="0">
                  <c:v>Greece</c:v>
                </c:pt>
              </c:strCache>
            </c:strRef>
          </c:tx>
          <c:dLbls>
            <c:txPr>
              <a:bodyPr/>
              <a:lstStyle/>
              <a:p>
                <a:pPr>
                  <a:defRPr sz="900"/>
                </a:pPr>
                <a:endParaRPr lang="el-GR"/>
              </a:p>
            </c:txPr>
            <c:showVal val="1"/>
          </c:dLbls>
          <c:cat>
            <c:numRef>
              <c:f>Φύλλο1!$B$273:$B$283</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Φύλλο1!$C$273:$C$283</c:f>
              <c:numCache>
                <c:formatCode>General</c:formatCode>
                <c:ptCount val="11"/>
                <c:pt idx="0">
                  <c:v>74.3</c:v>
                </c:pt>
                <c:pt idx="1">
                  <c:v>74.599999999999994</c:v>
                </c:pt>
                <c:pt idx="2">
                  <c:v>73.7</c:v>
                </c:pt>
                <c:pt idx="3">
                  <c:v>73.8</c:v>
                </c:pt>
                <c:pt idx="4">
                  <c:v>73.099999999999994</c:v>
                </c:pt>
                <c:pt idx="5">
                  <c:v>72.3</c:v>
                </c:pt>
                <c:pt idx="6">
                  <c:v>73.3</c:v>
                </c:pt>
                <c:pt idx="7">
                  <c:v>74.099999999999994</c:v>
                </c:pt>
                <c:pt idx="8">
                  <c:v>72.099999999999994</c:v>
                </c:pt>
                <c:pt idx="9">
                  <c:v>71.099999999999994</c:v>
                </c:pt>
                <c:pt idx="10">
                  <c:v>71</c:v>
                </c:pt>
              </c:numCache>
            </c:numRef>
          </c:val>
        </c:ser>
        <c:ser>
          <c:idx val="1"/>
          <c:order val="1"/>
          <c:tx>
            <c:strRef>
              <c:f>Φύλλο1!$D$272</c:f>
              <c:strCache>
                <c:ptCount val="1"/>
                <c:pt idx="0">
                  <c:v>Portugal</c:v>
                </c:pt>
              </c:strCache>
            </c:strRef>
          </c:tx>
          <c:dLbls>
            <c:txPr>
              <a:bodyPr/>
              <a:lstStyle/>
              <a:p>
                <a:pPr>
                  <a:defRPr sz="900"/>
                </a:pPr>
                <a:endParaRPr lang="el-GR"/>
              </a:p>
            </c:txPr>
            <c:showVal val="1"/>
          </c:dLbls>
          <c:cat>
            <c:numRef>
              <c:f>Φύλλο1!$B$273:$B$283</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Φύλλο1!$D$273:$D$283</c:f>
              <c:numCache>
                <c:formatCode>General</c:formatCode>
                <c:ptCount val="11"/>
                <c:pt idx="0">
                  <c:v>40.300000000000004</c:v>
                </c:pt>
                <c:pt idx="1">
                  <c:v>40.700000000000003</c:v>
                </c:pt>
                <c:pt idx="2">
                  <c:v>43.2</c:v>
                </c:pt>
                <c:pt idx="3">
                  <c:v>41.2</c:v>
                </c:pt>
                <c:pt idx="4">
                  <c:v>43.1</c:v>
                </c:pt>
                <c:pt idx="5">
                  <c:v>42.4</c:v>
                </c:pt>
                <c:pt idx="6">
                  <c:v>44.1</c:v>
                </c:pt>
                <c:pt idx="7">
                  <c:v>44.5</c:v>
                </c:pt>
                <c:pt idx="8">
                  <c:v>42.7</c:v>
                </c:pt>
                <c:pt idx="9">
                  <c:v>41.4</c:v>
                </c:pt>
                <c:pt idx="10">
                  <c:v>41.9</c:v>
                </c:pt>
              </c:numCache>
            </c:numRef>
          </c:val>
        </c:ser>
        <c:dLbls>
          <c:showVal val="1"/>
        </c:dLbls>
        <c:gapWidth val="75"/>
        <c:shape val="cylinder"/>
        <c:axId val="152591744"/>
        <c:axId val="152734720"/>
        <c:axId val="94634432"/>
      </c:bar3DChart>
      <c:catAx>
        <c:axId val="152591744"/>
        <c:scaling>
          <c:orientation val="minMax"/>
        </c:scaling>
        <c:axPos val="b"/>
        <c:title>
          <c:tx>
            <c:rich>
              <a:bodyPr/>
              <a:lstStyle/>
              <a:p>
                <a:pPr>
                  <a:defRPr sz="1100">
                    <a:latin typeface="Times New Roman" pitchFamily="18" charset="0"/>
                    <a:cs typeface="Times New Roman" pitchFamily="18" charset="0"/>
                  </a:defRPr>
                </a:pPr>
                <a:r>
                  <a:rPr lang="en-US" sz="1100" baseline="0">
                    <a:latin typeface="Times New Roman" pitchFamily="18" charset="0"/>
                    <a:cs typeface="Times New Roman" pitchFamily="18" charset="0"/>
                  </a:rPr>
                  <a:t>Year</a:t>
                </a:r>
                <a:r>
                  <a:rPr lang="el-GR" sz="1100" baseline="0">
                    <a:latin typeface="Times New Roman" pitchFamily="18" charset="0"/>
                    <a:cs typeface="Times New Roman" pitchFamily="18" charset="0"/>
                  </a:rPr>
                  <a:t> </a:t>
                </a:r>
                <a:endParaRPr lang="el-GR" sz="1100">
                  <a:latin typeface="Times New Roman" pitchFamily="18" charset="0"/>
                  <a:cs typeface="Times New Roman" pitchFamily="18" charset="0"/>
                </a:endParaRPr>
              </a:p>
            </c:rich>
          </c:tx>
        </c:title>
        <c:numFmt formatCode="General" sourceLinked="1"/>
        <c:majorTickMark val="none"/>
        <c:tickLblPos val="nextTo"/>
        <c:crossAx val="152734720"/>
        <c:crosses val="autoZero"/>
        <c:auto val="1"/>
        <c:lblAlgn val="ctr"/>
        <c:lblOffset val="100"/>
      </c:catAx>
      <c:valAx>
        <c:axId val="152734720"/>
        <c:scaling>
          <c:orientation val="minMax"/>
          <c:min val="20"/>
        </c:scaling>
        <c:axPos val="l"/>
        <c:majorGridlines>
          <c:spPr>
            <a:ln>
              <a:solidFill>
                <a:schemeClr val="tx1">
                  <a:lumMod val="95000"/>
                  <a:lumOff val="5000"/>
                </a:schemeClr>
              </a:solidFill>
            </a:ln>
          </c:spPr>
        </c:majorGridlines>
        <c:title>
          <c:tx>
            <c:rich>
              <a:bodyPr rot="-5400000" vert="horz"/>
              <a:lstStyle/>
              <a:p>
                <a:pPr>
                  <a:defRPr sz="1100">
                    <a:latin typeface="Times New Roman" pitchFamily="18" charset="0"/>
                    <a:cs typeface="Times New Roman" pitchFamily="18" charset="0"/>
                  </a:defRPr>
                </a:pPr>
                <a:r>
                  <a:rPr lang="el-GR" sz="1100" baseline="0">
                    <a:latin typeface="Times New Roman" pitchFamily="18" charset="0"/>
                    <a:cs typeface="Times New Roman" pitchFamily="18" charset="0"/>
                  </a:rPr>
                  <a:t> %</a:t>
                </a:r>
                <a:endParaRPr lang="el-GR" sz="1100">
                  <a:latin typeface="Times New Roman" pitchFamily="18" charset="0"/>
                  <a:cs typeface="Times New Roman" pitchFamily="18" charset="0"/>
                </a:endParaRPr>
              </a:p>
            </c:rich>
          </c:tx>
          <c:layout>
            <c:manualLayout>
              <c:xMode val="edge"/>
              <c:yMode val="edge"/>
              <c:x val="6.1688184663536774E-3"/>
              <c:y val="0.35605378143709215"/>
            </c:manualLayout>
          </c:layout>
        </c:title>
        <c:numFmt formatCode="General" sourceLinked="1"/>
        <c:majorTickMark val="none"/>
        <c:tickLblPos val="nextTo"/>
        <c:crossAx val="152591744"/>
        <c:crosses val="autoZero"/>
        <c:crossBetween val="between"/>
      </c:valAx>
      <c:serAx>
        <c:axId val="94634432"/>
        <c:scaling>
          <c:orientation val="minMax"/>
        </c:scaling>
        <c:delete val="1"/>
        <c:axPos val="b"/>
        <c:tickLblPos val="none"/>
        <c:crossAx val="152734720"/>
        <c:crosses val="autoZero"/>
      </c:serAx>
      <c:spPr>
        <a:noFill/>
      </c:spPr>
    </c:plotArea>
    <c:legend>
      <c:legendPos val="r"/>
      <c:txPr>
        <a:bodyPr/>
        <a:lstStyle/>
        <a:p>
          <a:pPr>
            <a:defRPr>
              <a:latin typeface="Times New Roman" pitchFamily="18" charset="0"/>
              <a:cs typeface="Times New Roman" pitchFamily="18" charset="0"/>
            </a:defRPr>
          </a:pPr>
          <a:endParaRPr lang="el-GR"/>
        </a:p>
      </c:txPr>
    </c:legend>
    <c:plotVisOnly val="1"/>
  </c:chart>
  <c:spPr>
    <a:noFill/>
  </c:spPr>
  <c:externalData r:id="rId1"/>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6F28B-1A10-4459-9224-80B7A4EEE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18</Pages>
  <Words>4431</Words>
  <Characters>23928</Characters>
  <Application>Microsoft Office Word</Application>
  <DocSecurity>0</DocSecurity>
  <Lines>199</Lines>
  <Paragraphs>56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dc:creator>
  <cp:keywords/>
  <dc:description/>
  <cp:lastModifiedBy>User</cp:lastModifiedBy>
  <cp:revision>71</cp:revision>
  <cp:lastPrinted>2017-12-21T06:57:00Z</cp:lastPrinted>
  <dcterms:created xsi:type="dcterms:W3CDTF">2017-12-22T19:14:00Z</dcterms:created>
  <dcterms:modified xsi:type="dcterms:W3CDTF">2017-12-22T23:40:00Z</dcterms:modified>
</cp:coreProperties>
</file>