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35C" w:rsidRPr="00987287" w:rsidRDefault="007E742A" w:rsidP="00987287">
      <w:pPr>
        <w:jc w:val="center"/>
        <w:rPr>
          <w:rFonts w:ascii="Garamond" w:hAnsi="Garamond" w:cs="Times New Roman"/>
          <w:b/>
          <w:sz w:val="24"/>
          <w:szCs w:val="24"/>
        </w:rPr>
      </w:pPr>
      <w:r w:rsidRPr="00987287">
        <w:rPr>
          <w:rFonts w:ascii="Garamond" w:hAnsi="Garamond" w:cs="Times New Roman"/>
          <w:b/>
          <w:sz w:val="24"/>
          <w:szCs w:val="24"/>
        </w:rPr>
        <w:t>CEO Compensation Structure in China Financial Firms</w:t>
      </w:r>
    </w:p>
    <w:p w:rsidR="001E6AB9" w:rsidRPr="00987287" w:rsidRDefault="001E6AB9" w:rsidP="00987287">
      <w:pPr>
        <w:jc w:val="center"/>
        <w:rPr>
          <w:rFonts w:ascii="Garamond" w:hAnsi="Garamond" w:cs="Times New Roman"/>
          <w:b/>
          <w:sz w:val="24"/>
          <w:szCs w:val="24"/>
        </w:rPr>
      </w:pPr>
      <w:r w:rsidRPr="00987287">
        <w:rPr>
          <w:rFonts w:ascii="Garamond" w:hAnsi="Garamond" w:cs="Times New Roman"/>
          <w:b/>
          <w:sz w:val="24"/>
          <w:szCs w:val="24"/>
        </w:rPr>
        <w:t>Xiaolou Yang</w:t>
      </w:r>
      <w:r w:rsidRPr="00987287">
        <w:rPr>
          <w:rStyle w:val="FootnoteReference"/>
          <w:rFonts w:ascii="Garamond" w:hAnsi="Garamond" w:cs="Times New Roman"/>
          <w:b/>
          <w:sz w:val="24"/>
          <w:szCs w:val="24"/>
        </w:rPr>
        <w:footnoteReference w:id="1"/>
      </w:r>
    </w:p>
    <w:p w:rsidR="001E6AB9" w:rsidRPr="00987287" w:rsidRDefault="001E6AB9" w:rsidP="00987287">
      <w:pPr>
        <w:rPr>
          <w:rFonts w:ascii="Garamond" w:hAnsi="Garamond" w:cs="Times New Roman"/>
          <w:b/>
          <w:sz w:val="24"/>
          <w:szCs w:val="24"/>
        </w:rPr>
      </w:pPr>
      <w:r w:rsidRPr="00987287">
        <w:rPr>
          <w:rFonts w:ascii="Garamond" w:hAnsi="Garamond" w:cs="Times New Roman"/>
          <w:b/>
          <w:sz w:val="24"/>
          <w:szCs w:val="24"/>
        </w:rPr>
        <w:t xml:space="preserve">Abstract </w:t>
      </w:r>
    </w:p>
    <w:p w:rsidR="005B1AC1" w:rsidRPr="00987287" w:rsidRDefault="005B1AC1" w:rsidP="00987287">
      <w:pPr>
        <w:spacing w:line="240" w:lineRule="auto"/>
        <w:ind w:firstLine="720"/>
        <w:rPr>
          <w:rFonts w:ascii="Garamond" w:hAnsi="Garamond" w:cs="Times New Roman"/>
          <w:sz w:val="24"/>
          <w:szCs w:val="24"/>
        </w:rPr>
      </w:pPr>
      <w:r w:rsidRPr="00987287">
        <w:rPr>
          <w:rFonts w:ascii="Garamond" w:eastAsia="Times New Roman" w:hAnsi="Garamond" w:cs="Times New Roman"/>
          <w:sz w:val="24"/>
          <w:szCs w:val="24"/>
        </w:rPr>
        <w:t>The effect of ownership and compensation structure on risk-taking in the banking industry is a topic of importance to academics, practitioners, and particularly to regulators. While incredible little research has been done to examine the association bet</w:t>
      </w:r>
      <w:r w:rsidR="005F5D83" w:rsidRPr="00987287">
        <w:rPr>
          <w:rFonts w:ascii="Garamond" w:eastAsia="Times New Roman" w:hAnsi="Garamond" w:cs="Times New Roman"/>
          <w:sz w:val="24"/>
          <w:szCs w:val="24"/>
        </w:rPr>
        <w:t>we</w:t>
      </w:r>
      <w:r w:rsidRPr="00987287">
        <w:rPr>
          <w:rFonts w:ascii="Garamond" w:eastAsia="Times New Roman" w:hAnsi="Garamond" w:cs="Times New Roman"/>
          <w:sz w:val="24"/>
          <w:szCs w:val="24"/>
        </w:rPr>
        <w:t xml:space="preserve">en managerial incentive compensation, board and ownership structure and bank risk-taking strategy. Furthermore, no study has explored the magnitude of the convexity of this relation and its effect on risk-taking. </w:t>
      </w:r>
      <w:r w:rsidRPr="00987287">
        <w:rPr>
          <w:rFonts w:ascii="Garamond" w:hAnsi="Garamond" w:cs="Times New Roman"/>
          <w:sz w:val="24"/>
          <w:szCs w:val="24"/>
        </w:rPr>
        <w:t>This study examines the relationship bet</w:t>
      </w:r>
      <w:r w:rsidR="005F5D83" w:rsidRPr="00987287">
        <w:rPr>
          <w:rFonts w:ascii="Garamond" w:hAnsi="Garamond" w:cs="Times New Roman"/>
          <w:sz w:val="24"/>
          <w:szCs w:val="24"/>
        </w:rPr>
        <w:t>we</w:t>
      </w:r>
      <w:r w:rsidRPr="00987287">
        <w:rPr>
          <w:rFonts w:ascii="Garamond" w:hAnsi="Garamond" w:cs="Times New Roman"/>
          <w:sz w:val="24"/>
          <w:szCs w:val="24"/>
        </w:rPr>
        <w:t xml:space="preserve">en executive compensation, ownership structure, and financial firm performance for Chinese </w:t>
      </w:r>
      <w:r w:rsidR="005F5D83" w:rsidRPr="00987287">
        <w:rPr>
          <w:rFonts w:ascii="Garamond" w:hAnsi="Garamond" w:cs="Times New Roman"/>
          <w:sz w:val="24"/>
          <w:szCs w:val="24"/>
        </w:rPr>
        <w:t>publically</w:t>
      </w:r>
      <w:r w:rsidRPr="00987287">
        <w:rPr>
          <w:rFonts w:ascii="Garamond" w:hAnsi="Garamond" w:cs="Times New Roman"/>
          <w:sz w:val="24"/>
          <w:szCs w:val="24"/>
        </w:rPr>
        <w:t xml:space="preserve"> listed financial corporations. </w:t>
      </w:r>
      <w:r w:rsidRPr="00987287">
        <w:rPr>
          <w:rFonts w:ascii="Garamond" w:eastAsia="Times New Roman" w:hAnsi="Garamond" w:cs="Times New Roman"/>
          <w:sz w:val="24"/>
          <w:szCs w:val="24"/>
        </w:rPr>
        <w:t>The empirical results reveal that executive compensation in China financial firms has increased remarkably after the discriminated share reform. Both board of director characteristics and ownership structure have a strong association with CEO incentive compensations after controlling for standard economic determinants of the level of CEO compensation.</w:t>
      </w:r>
      <w:r w:rsidRPr="00987287">
        <w:rPr>
          <w:rFonts w:ascii="Garamond" w:eastAsia="Calibri" w:hAnsi="Garamond" w:cs="Times New Roman"/>
          <w:sz w:val="24"/>
          <w:szCs w:val="24"/>
        </w:rPr>
        <w:t xml:space="preserve"> The empirical findings suggest that the </w:t>
      </w:r>
      <w:r w:rsidR="005F5D83" w:rsidRPr="00987287">
        <w:rPr>
          <w:rFonts w:ascii="Garamond" w:eastAsia="Calibri" w:hAnsi="Garamond" w:cs="Times New Roman"/>
          <w:sz w:val="24"/>
          <w:szCs w:val="24"/>
        </w:rPr>
        <w:t>we</w:t>
      </w:r>
      <w:r w:rsidRPr="00987287">
        <w:rPr>
          <w:rFonts w:ascii="Garamond" w:eastAsia="Calibri" w:hAnsi="Garamond" w:cs="Times New Roman"/>
          <w:sz w:val="24"/>
          <w:szCs w:val="24"/>
        </w:rPr>
        <w:t xml:space="preserve">ightings of the board and ownership variables in the compensation equation are related to the effectiveness of banks’ investment strategies and performance. The results have important implications for regulators and board members on the measurement of CEO compensation and incentive as </w:t>
      </w:r>
      <w:r w:rsidR="00C848F8">
        <w:rPr>
          <w:rFonts w:ascii="Garamond" w:eastAsia="Calibri" w:hAnsi="Garamond" w:cs="Times New Roman"/>
          <w:sz w:val="24"/>
          <w:szCs w:val="24"/>
        </w:rPr>
        <w:t>we</w:t>
      </w:r>
      <w:r w:rsidRPr="00987287">
        <w:rPr>
          <w:rFonts w:ascii="Garamond" w:eastAsia="Calibri" w:hAnsi="Garamond" w:cs="Times New Roman"/>
          <w:sz w:val="24"/>
          <w:szCs w:val="24"/>
        </w:rPr>
        <w:t xml:space="preserve">ll as risk </w:t>
      </w:r>
      <w:r w:rsidR="001F2728" w:rsidRPr="00987287">
        <w:rPr>
          <w:rFonts w:ascii="Garamond" w:eastAsia="Calibri" w:hAnsi="Garamond" w:cs="Times New Roman"/>
          <w:sz w:val="24"/>
          <w:szCs w:val="24"/>
        </w:rPr>
        <w:t>control and financial industry.</w:t>
      </w:r>
    </w:p>
    <w:p w:rsidR="001E6AB9" w:rsidRPr="00987287" w:rsidRDefault="001E6AB9" w:rsidP="00987287">
      <w:pPr>
        <w:rPr>
          <w:rFonts w:ascii="Garamond" w:hAnsi="Garamond" w:cs="Times New Roman"/>
          <w:b/>
          <w:sz w:val="24"/>
          <w:szCs w:val="24"/>
        </w:rPr>
      </w:pPr>
      <w:r w:rsidRPr="00987287">
        <w:rPr>
          <w:rFonts w:ascii="Garamond" w:hAnsi="Garamond" w:cs="Times New Roman"/>
          <w:b/>
          <w:sz w:val="24"/>
          <w:szCs w:val="24"/>
        </w:rPr>
        <w:t>Introduction</w:t>
      </w:r>
    </w:p>
    <w:p w:rsidR="009F1E75" w:rsidRPr="00987287" w:rsidRDefault="009F1E75" w:rsidP="00987287">
      <w:pPr>
        <w:ind w:firstLine="720"/>
        <w:rPr>
          <w:rFonts w:ascii="Garamond" w:hAnsi="Garamond" w:cs="Times New Roman"/>
          <w:sz w:val="24"/>
          <w:szCs w:val="24"/>
        </w:rPr>
      </w:pPr>
      <w:r w:rsidRPr="00987287">
        <w:rPr>
          <w:rFonts w:ascii="Garamond" w:hAnsi="Garamond" w:cs="Times New Roman"/>
          <w:sz w:val="24"/>
          <w:szCs w:val="24"/>
        </w:rPr>
        <w:t xml:space="preserve">Executive compensation in banking industry has been </w:t>
      </w:r>
      <w:r w:rsidR="005F5D83" w:rsidRPr="00987287">
        <w:rPr>
          <w:rFonts w:ascii="Garamond" w:hAnsi="Garamond" w:cs="Times New Roman"/>
          <w:sz w:val="24"/>
          <w:szCs w:val="24"/>
        </w:rPr>
        <w:t>citizen</w:t>
      </w:r>
      <w:r w:rsidRPr="00987287">
        <w:rPr>
          <w:rFonts w:ascii="Garamond" w:hAnsi="Garamond" w:cs="Times New Roman"/>
          <w:sz w:val="24"/>
          <w:szCs w:val="24"/>
        </w:rPr>
        <w:t xml:space="preserve"> as playing an important role in causing the </w:t>
      </w:r>
      <w:r w:rsidR="005F5D83" w:rsidRPr="00987287">
        <w:rPr>
          <w:rFonts w:ascii="Garamond" w:hAnsi="Garamond" w:cs="Times New Roman"/>
          <w:sz w:val="24"/>
          <w:szCs w:val="24"/>
        </w:rPr>
        <w:t>recent</w:t>
      </w:r>
      <w:r w:rsidRPr="00987287">
        <w:rPr>
          <w:rFonts w:ascii="Garamond" w:hAnsi="Garamond" w:cs="Times New Roman"/>
          <w:sz w:val="24"/>
          <w:szCs w:val="24"/>
        </w:rPr>
        <w:t xml:space="preserve"> financial crisis (</w:t>
      </w:r>
      <w:proofErr w:type="spellStart"/>
      <w:r w:rsidRPr="00987287">
        <w:rPr>
          <w:rFonts w:ascii="Garamond" w:hAnsi="Garamond" w:cs="Times New Roman"/>
          <w:sz w:val="24"/>
          <w:szCs w:val="24"/>
        </w:rPr>
        <w:t>Bebchuk</w:t>
      </w:r>
      <w:proofErr w:type="spellEnd"/>
      <w:r w:rsidRPr="00987287">
        <w:rPr>
          <w:rFonts w:ascii="Garamond" w:hAnsi="Garamond" w:cs="Times New Roman"/>
          <w:sz w:val="24"/>
          <w:szCs w:val="24"/>
        </w:rPr>
        <w:t xml:space="preserve"> and </w:t>
      </w:r>
      <w:proofErr w:type="spellStart"/>
      <w:r w:rsidRPr="00987287">
        <w:rPr>
          <w:rFonts w:ascii="Garamond" w:hAnsi="Garamond" w:cs="Times New Roman"/>
          <w:sz w:val="24"/>
          <w:szCs w:val="24"/>
        </w:rPr>
        <w:t>Spamann</w:t>
      </w:r>
      <w:proofErr w:type="spellEnd"/>
      <w:r w:rsidRPr="00987287">
        <w:rPr>
          <w:rFonts w:ascii="Garamond" w:hAnsi="Garamond" w:cs="Times New Roman"/>
          <w:sz w:val="24"/>
          <w:szCs w:val="24"/>
        </w:rPr>
        <w:t>, 2009). A large body of literature shows that the chief executive officer (CEO) examine the CEO compensation in the U.S. and Europe and find that banks with CEO stock options display higher default risk and pay incentives are related to higher bank risk. Managerial compensation is vie</w:t>
      </w:r>
      <w:r w:rsidR="005F5D83" w:rsidRPr="00987287">
        <w:rPr>
          <w:rFonts w:ascii="Garamond" w:hAnsi="Garamond" w:cs="Times New Roman"/>
          <w:sz w:val="24"/>
          <w:szCs w:val="24"/>
        </w:rPr>
        <w:t>we</w:t>
      </w:r>
      <w:r w:rsidRPr="00987287">
        <w:rPr>
          <w:rFonts w:ascii="Garamond" w:hAnsi="Garamond" w:cs="Times New Roman"/>
          <w:sz w:val="24"/>
          <w:szCs w:val="24"/>
        </w:rPr>
        <w:t xml:space="preserve">d as a contractual </w:t>
      </w:r>
      <w:r w:rsidR="005F5D83" w:rsidRPr="00987287">
        <w:rPr>
          <w:rFonts w:ascii="Garamond" w:hAnsi="Garamond" w:cs="Times New Roman"/>
          <w:sz w:val="24"/>
          <w:szCs w:val="24"/>
        </w:rPr>
        <w:t>relationship</w:t>
      </w:r>
      <w:r w:rsidRPr="00987287">
        <w:rPr>
          <w:rFonts w:ascii="Garamond" w:hAnsi="Garamond" w:cs="Times New Roman"/>
          <w:sz w:val="24"/>
          <w:szCs w:val="24"/>
        </w:rPr>
        <w:t xml:space="preserve"> that attempts to align the incentives of top managers with the interest of shareholders (</w:t>
      </w:r>
      <w:proofErr w:type="spellStart"/>
      <w:r w:rsidRPr="00987287">
        <w:rPr>
          <w:rFonts w:ascii="Garamond" w:hAnsi="Garamond" w:cs="Times New Roman"/>
          <w:sz w:val="24"/>
          <w:szCs w:val="24"/>
        </w:rPr>
        <w:t>Fama</w:t>
      </w:r>
      <w:proofErr w:type="spellEnd"/>
      <w:r w:rsidRPr="00987287">
        <w:rPr>
          <w:rFonts w:ascii="Garamond" w:hAnsi="Garamond" w:cs="Times New Roman"/>
          <w:sz w:val="24"/>
          <w:szCs w:val="24"/>
        </w:rPr>
        <w:t xml:space="preserve"> and Jensen, 1983, Yang, 2013). In developed countries, CEO stock options and equity incentive are frequently utilized to align with shareholders’ </w:t>
      </w:r>
      <w:r w:rsidR="005F5D83" w:rsidRPr="00987287">
        <w:rPr>
          <w:rFonts w:ascii="Garamond" w:hAnsi="Garamond" w:cs="Times New Roman"/>
          <w:sz w:val="24"/>
          <w:szCs w:val="24"/>
        </w:rPr>
        <w:t>we</w:t>
      </w:r>
      <w:r w:rsidRPr="00987287">
        <w:rPr>
          <w:rFonts w:ascii="Garamond" w:hAnsi="Garamond" w:cs="Times New Roman"/>
          <w:sz w:val="24"/>
          <w:szCs w:val="24"/>
        </w:rPr>
        <w:t xml:space="preserve">alth. Recent studies cast doubt on the effectiveness of commonly used corporate governance mechanisms in developed economies being able to achieve similar results in emerging economics (Ball et al., 2000 and Bushman and </w:t>
      </w:r>
      <w:proofErr w:type="spellStart"/>
      <w:r w:rsidRPr="00987287">
        <w:rPr>
          <w:rFonts w:ascii="Garamond" w:hAnsi="Garamond" w:cs="Times New Roman"/>
          <w:sz w:val="24"/>
          <w:szCs w:val="24"/>
        </w:rPr>
        <w:t>Piotroski</w:t>
      </w:r>
      <w:proofErr w:type="spellEnd"/>
      <w:r w:rsidRPr="00987287">
        <w:rPr>
          <w:rFonts w:ascii="Garamond" w:hAnsi="Garamond" w:cs="Times New Roman"/>
          <w:sz w:val="24"/>
          <w:szCs w:val="24"/>
        </w:rPr>
        <w:t xml:space="preserve">, 2006). The argument rely on the fact that political influence within state-owned enterprises (SOEs) in emerging economies could lead to a relation-based rather than market-based contract (Ball et al., 2000). </w:t>
      </w:r>
    </w:p>
    <w:p w:rsidR="009F1E75" w:rsidRPr="00987287" w:rsidRDefault="009F1E75" w:rsidP="00987287">
      <w:pPr>
        <w:ind w:firstLine="720"/>
        <w:rPr>
          <w:rFonts w:ascii="Garamond" w:hAnsi="Garamond" w:cs="Times New Roman"/>
          <w:sz w:val="24"/>
          <w:szCs w:val="24"/>
        </w:rPr>
      </w:pPr>
      <w:r w:rsidRPr="00987287">
        <w:rPr>
          <w:rFonts w:ascii="Garamond" w:hAnsi="Garamond" w:cs="Times New Roman"/>
          <w:sz w:val="24"/>
          <w:szCs w:val="24"/>
        </w:rPr>
        <w:t>This study examines the relationship bet</w:t>
      </w:r>
      <w:r w:rsidR="005F5D83" w:rsidRPr="00987287">
        <w:rPr>
          <w:rFonts w:ascii="Garamond" w:hAnsi="Garamond" w:cs="Times New Roman"/>
          <w:sz w:val="24"/>
          <w:szCs w:val="24"/>
        </w:rPr>
        <w:t>we</w:t>
      </w:r>
      <w:r w:rsidRPr="00987287">
        <w:rPr>
          <w:rFonts w:ascii="Garamond" w:hAnsi="Garamond" w:cs="Times New Roman"/>
          <w:sz w:val="24"/>
          <w:szCs w:val="24"/>
        </w:rPr>
        <w:t xml:space="preserve">en executive compensation, ownership structure, and </w:t>
      </w:r>
      <w:r w:rsidR="00AA5FB9" w:rsidRPr="00987287">
        <w:rPr>
          <w:rFonts w:ascii="Garamond" w:hAnsi="Garamond" w:cs="Times New Roman"/>
          <w:sz w:val="24"/>
          <w:szCs w:val="24"/>
        </w:rPr>
        <w:t>financial firm</w:t>
      </w:r>
      <w:r w:rsidRPr="00987287">
        <w:rPr>
          <w:rFonts w:ascii="Garamond" w:hAnsi="Garamond" w:cs="Times New Roman"/>
          <w:sz w:val="24"/>
          <w:szCs w:val="24"/>
        </w:rPr>
        <w:t xml:space="preserve"> performance for Chinese </w:t>
      </w:r>
      <w:r w:rsidR="005F5D83" w:rsidRPr="00987287">
        <w:rPr>
          <w:rFonts w:ascii="Garamond" w:hAnsi="Garamond" w:cs="Times New Roman"/>
          <w:sz w:val="24"/>
          <w:szCs w:val="24"/>
        </w:rPr>
        <w:t>publically</w:t>
      </w:r>
      <w:r w:rsidRPr="00987287">
        <w:rPr>
          <w:rFonts w:ascii="Garamond" w:hAnsi="Garamond" w:cs="Times New Roman"/>
          <w:sz w:val="24"/>
          <w:szCs w:val="24"/>
        </w:rPr>
        <w:t xml:space="preserve"> listed financial corporations. Chinese banks have very unique </w:t>
      </w:r>
      <w:r w:rsidR="005F5D83" w:rsidRPr="00987287">
        <w:rPr>
          <w:rFonts w:ascii="Garamond" w:hAnsi="Garamond" w:cs="Times New Roman"/>
          <w:sz w:val="24"/>
          <w:szCs w:val="24"/>
        </w:rPr>
        <w:t>characteristics</w:t>
      </w:r>
      <w:r w:rsidRPr="00987287">
        <w:rPr>
          <w:rFonts w:ascii="Garamond" w:hAnsi="Garamond" w:cs="Times New Roman"/>
          <w:sz w:val="24"/>
          <w:szCs w:val="24"/>
        </w:rPr>
        <w:t xml:space="preserve"> in contrast to other financial market and banking systems. For example, </w:t>
      </w:r>
      <w:r w:rsidR="005F5D83" w:rsidRPr="00987287">
        <w:rPr>
          <w:rFonts w:ascii="Garamond" w:hAnsi="Garamond" w:cs="Times New Roman"/>
          <w:sz w:val="24"/>
          <w:szCs w:val="24"/>
        </w:rPr>
        <w:t>commercial</w:t>
      </w:r>
      <w:r w:rsidRPr="00987287">
        <w:rPr>
          <w:rFonts w:ascii="Garamond" w:hAnsi="Garamond" w:cs="Times New Roman"/>
          <w:sz w:val="24"/>
          <w:szCs w:val="24"/>
        </w:rPr>
        <w:t xml:space="preserve"> banks in the U.S. are overse</w:t>
      </w:r>
      <w:r w:rsidR="005F5D83" w:rsidRPr="00987287">
        <w:rPr>
          <w:rFonts w:ascii="Garamond" w:hAnsi="Garamond" w:cs="Times New Roman"/>
          <w:sz w:val="24"/>
          <w:szCs w:val="24"/>
        </w:rPr>
        <w:t>en by several regulatory agenci</w:t>
      </w:r>
      <w:r w:rsidRPr="00987287">
        <w:rPr>
          <w:rFonts w:ascii="Garamond" w:hAnsi="Garamond" w:cs="Times New Roman"/>
          <w:sz w:val="24"/>
          <w:szCs w:val="24"/>
        </w:rPr>
        <w:t xml:space="preserve">es. Banks with state banking charters are supervised jointly by the state from which they have a charter and also by either the Federal Reserve or the Federal </w:t>
      </w:r>
      <w:r w:rsidR="005F5D83" w:rsidRPr="00987287">
        <w:rPr>
          <w:rFonts w:ascii="Garamond" w:hAnsi="Garamond" w:cs="Times New Roman"/>
          <w:sz w:val="24"/>
          <w:szCs w:val="24"/>
        </w:rPr>
        <w:t>Deposit</w:t>
      </w:r>
      <w:r w:rsidRPr="00987287">
        <w:rPr>
          <w:rFonts w:ascii="Garamond" w:hAnsi="Garamond" w:cs="Times New Roman"/>
          <w:sz w:val="24"/>
          <w:szCs w:val="24"/>
        </w:rPr>
        <w:t xml:space="preserve"> Insurance Corporation (FDIC); nationally chartered </w:t>
      </w:r>
      <w:r w:rsidRPr="00987287">
        <w:rPr>
          <w:rFonts w:ascii="Garamond" w:hAnsi="Garamond" w:cs="Times New Roman"/>
          <w:sz w:val="24"/>
          <w:szCs w:val="24"/>
        </w:rPr>
        <w:lastRenderedPageBreak/>
        <w:t xml:space="preserve">banks are overseen by office of the Comptroller of Currency (OCC); while Chinese banks are ultimately state-owned and controlled by the government. </w:t>
      </w:r>
      <w:proofErr w:type="spellStart"/>
      <w:r w:rsidRPr="00987287">
        <w:rPr>
          <w:rFonts w:ascii="Garamond" w:hAnsi="Garamond" w:cs="Times New Roman"/>
          <w:sz w:val="24"/>
          <w:szCs w:val="24"/>
        </w:rPr>
        <w:t>Palvia</w:t>
      </w:r>
      <w:proofErr w:type="spellEnd"/>
      <w:r w:rsidRPr="00987287">
        <w:rPr>
          <w:rFonts w:ascii="Garamond" w:hAnsi="Garamond" w:cs="Times New Roman"/>
          <w:sz w:val="24"/>
          <w:szCs w:val="24"/>
        </w:rPr>
        <w:t xml:space="preserve"> (2011) shows that most U.S. commercial banks are private and </w:t>
      </w:r>
      <w:proofErr w:type="spellStart"/>
      <w:r w:rsidRPr="00987287">
        <w:rPr>
          <w:rFonts w:ascii="Garamond" w:hAnsi="Garamond" w:cs="Times New Roman"/>
          <w:sz w:val="24"/>
          <w:szCs w:val="24"/>
        </w:rPr>
        <w:t>its</w:t>
      </w:r>
      <w:proofErr w:type="spellEnd"/>
      <w:r w:rsidRPr="00987287">
        <w:rPr>
          <w:rFonts w:ascii="Garamond" w:hAnsi="Garamond" w:cs="Times New Roman"/>
          <w:sz w:val="24"/>
          <w:szCs w:val="24"/>
        </w:rPr>
        <w:t xml:space="preserve"> is impossible to separate the private and public banks because over 95% of the banks have </w:t>
      </w:r>
      <w:r w:rsidR="005F5D83" w:rsidRPr="00987287">
        <w:rPr>
          <w:rFonts w:ascii="Garamond" w:hAnsi="Garamond" w:cs="Times New Roman"/>
          <w:sz w:val="24"/>
          <w:szCs w:val="24"/>
        </w:rPr>
        <w:t>assets</w:t>
      </w:r>
      <w:r w:rsidRPr="00987287">
        <w:rPr>
          <w:rFonts w:ascii="Garamond" w:hAnsi="Garamond" w:cs="Times New Roman"/>
          <w:sz w:val="24"/>
          <w:szCs w:val="24"/>
        </w:rPr>
        <w:t xml:space="preserve"> less than $1 billion and about 75% of them have branc</w:t>
      </w:r>
      <w:r w:rsidR="005F5D83" w:rsidRPr="00987287">
        <w:rPr>
          <w:rFonts w:ascii="Garamond" w:hAnsi="Garamond" w:cs="Times New Roman"/>
          <w:sz w:val="24"/>
          <w:szCs w:val="24"/>
        </w:rPr>
        <w:t>h</w:t>
      </w:r>
      <w:r w:rsidRPr="00987287">
        <w:rPr>
          <w:rFonts w:ascii="Garamond" w:hAnsi="Garamond" w:cs="Times New Roman"/>
          <w:sz w:val="24"/>
          <w:szCs w:val="24"/>
        </w:rPr>
        <w:t>es fe</w:t>
      </w:r>
      <w:r w:rsidR="005F5D83" w:rsidRPr="00987287">
        <w:rPr>
          <w:rFonts w:ascii="Garamond" w:hAnsi="Garamond" w:cs="Times New Roman"/>
          <w:sz w:val="24"/>
          <w:szCs w:val="24"/>
        </w:rPr>
        <w:t>we</w:t>
      </w:r>
      <w:r w:rsidRPr="00987287">
        <w:rPr>
          <w:rFonts w:ascii="Garamond" w:hAnsi="Garamond" w:cs="Times New Roman"/>
          <w:sz w:val="24"/>
          <w:szCs w:val="24"/>
        </w:rPr>
        <w:t xml:space="preserve">r than five; while Chinese banks are </w:t>
      </w:r>
      <w:r w:rsidR="005F5D83" w:rsidRPr="00987287">
        <w:rPr>
          <w:rFonts w:ascii="Garamond" w:hAnsi="Garamond" w:cs="Times New Roman"/>
          <w:sz w:val="24"/>
          <w:szCs w:val="24"/>
        </w:rPr>
        <w:t>overwhelmingly</w:t>
      </w:r>
      <w:r w:rsidRPr="00987287">
        <w:rPr>
          <w:rFonts w:ascii="Garamond" w:hAnsi="Garamond" w:cs="Times New Roman"/>
          <w:sz w:val="24"/>
          <w:szCs w:val="24"/>
        </w:rPr>
        <w:t xml:space="preserve"> controlled by the government and have very large market capitalization. Thus, regulators need to continually improve their understanding of corporate governance in the banking system in an effort to adequately monitor bank risks (</w:t>
      </w:r>
      <w:proofErr w:type="spellStart"/>
      <w:r w:rsidRPr="00987287">
        <w:rPr>
          <w:rFonts w:ascii="Garamond" w:hAnsi="Garamond" w:cs="Times New Roman"/>
          <w:sz w:val="24"/>
          <w:szCs w:val="24"/>
        </w:rPr>
        <w:t>Hagendorff</w:t>
      </w:r>
      <w:proofErr w:type="spellEnd"/>
      <w:r w:rsidRPr="00987287">
        <w:rPr>
          <w:rFonts w:ascii="Garamond" w:hAnsi="Garamond" w:cs="Times New Roman"/>
          <w:sz w:val="24"/>
          <w:szCs w:val="24"/>
        </w:rPr>
        <w:t xml:space="preserve"> et al., 2007) </w:t>
      </w:r>
    </w:p>
    <w:p w:rsidR="009F1E75" w:rsidRPr="00987287" w:rsidRDefault="009F1E75" w:rsidP="00987287">
      <w:pPr>
        <w:ind w:firstLine="720"/>
        <w:rPr>
          <w:rFonts w:ascii="Garamond" w:hAnsi="Garamond" w:cs="Times New Roman"/>
          <w:sz w:val="24"/>
          <w:szCs w:val="24"/>
        </w:rPr>
      </w:pPr>
      <w:r w:rsidRPr="00987287">
        <w:rPr>
          <w:rFonts w:ascii="Garamond" w:hAnsi="Garamond" w:cs="Times New Roman"/>
          <w:sz w:val="24"/>
          <w:szCs w:val="24"/>
        </w:rPr>
        <w:t xml:space="preserve">There is no </w:t>
      </w:r>
      <w:r w:rsidR="005F5D83" w:rsidRPr="00987287">
        <w:rPr>
          <w:rFonts w:ascii="Garamond" w:hAnsi="Garamond" w:cs="Times New Roman"/>
          <w:sz w:val="24"/>
          <w:szCs w:val="24"/>
        </w:rPr>
        <w:t>relevant</w:t>
      </w:r>
      <w:r w:rsidRPr="00987287">
        <w:rPr>
          <w:rFonts w:ascii="Garamond" w:hAnsi="Garamond" w:cs="Times New Roman"/>
          <w:sz w:val="24"/>
          <w:szCs w:val="24"/>
        </w:rPr>
        <w:t xml:space="preserve"> study on how executive compensation of Chinese banks. This paper contributes to the existing literature in several ways. First, since previous evidence relating to the determinants of executive compensation in banks is inconclusive and has not simultaneously explored the joint impacts of performance, board structure, and regulatory monitoring, this study adds to the understanding of how managerial compensation is related to corporate performance and board characteristics in a broad cross-section of financial </w:t>
      </w:r>
      <w:r w:rsidR="00AA5FB9" w:rsidRPr="00987287">
        <w:rPr>
          <w:rFonts w:ascii="Garamond" w:hAnsi="Garamond" w:cs="Times New Roman"/>
          <w:sz w:val="24"/>
          <w:szCs w:val="24"/>
        </w:rPr>
        <w:t>firm</w:t>
      </w:r>
      <w:r w:rsidRPr="00987287">
        <w:rPr>
          <w:rFonts w:ascii="Garamond" w:hAnsi="Garamond" w:cs="Times New Roman"/>
          <w:sz w:val="24"/>
          <w:szCs w:val="24"/>
        </w:rPr>
        <w:t xml:space="preserve">s in an emerging market. Second, this paper examines the connection of ownership structure and executive remuneration when publicly listed banks face greater scrutiny through regulatory monitoring as </w:t>
      </w:r>
      <w:r w:rsidR="00C848F8">
        <w:rPr>
          <w:rFonts w:ascii="Garamond" w:hAnsi="Garamond" w:cs="Times New Roman"/>
          <w:sz w:val="24"/>
          <w:szCs w:val="24"/>
        </w:rPr>
        <w:t>we</w:t>
      </w:r>
      <w:r w:rsidRPr="00987287">
        <w:rPr>
          <w:rFonts w:ascii="Garamond" w:hAnsi="Garamond" w:cs="Times New Roman"/>
          <w:sz w:val="24"/>
          <w:szCs w:val="24"/>
        </w:rPr>
        <w:t xml:space="preserve">ll as the role of board monitoring when there is a more stringent regulatory regime in determining management </w:t>
      </w:r>
      <w:r w:rsidR="005F5D83" w:rsidRPr="00987287">
        <w:rPr>
          <w:rFonts w:ascii="Garamond" w:hAnsi="Garamond" w:cs="Times New Roman"/>
          <w:sz w:val="24"/>
          <w:szCs w:val="24"/>
        </w:rPr>
        <w:t>compensation</w:t>
      </w:r>
      <w:r w:rsidRPr="00987287">
        <w:rPr>
          <w:rFonts w:ascii="Garamond" w:hAnsi="Garamond" w:cs="Times New Roman"/>
          <w:sz w:val="24"/>
          <w:szCs w:val="24"/>
        </w:rPr>
        <w:t xml:space="preserve"> relative to private non-</w:t>
      </w:r>
      <w:proofErr w:type="spellStart"/>
      <w:r w:rsidRPr="00987287">
        <w:rPr>
          <w:rFonts w:ascii="Garamond" w:hAnsi="Garamond" w:cs="Times New Roman"/>
          <w:sz w:val="24"/>
          <w:szCs w:val="24"/>
        </w:rPr>
        <w:t>finanical</w:t>
      </w:r>
      <w:proofErr w:type="spellEnd"/>
      <w:r w:rsidRPr="00987287">
        <w:rPr>
          <w:rFonts w:ascii="Garamond" w:hAnsi="Garamond" w:cs="Times New Roman"/>
          <w:sz w:val="24"/>
          <w:szCs w:val="24"/>
        </w:rPr>
        <w:t xml:space="preserve"> companies. Thir</w:t>
      </w:r>
      <w:r w:rsidR="005F5D83" w:rsidRPr="00987287">
        <w:rPr>
          <w:rFonts w:ascii="Garamond" w:hAnsi="Garamond" w:cs="Times New Roman"/>
          <w:sz w:val="24"/>
          <w:szCs w:val="24"/>
        </w:rPr>
        <w:t>d</w:t>
      </w:r>
      <w:r w:rsidRPr="00987287">
        <w:rPr>
          <w:rFonts w:ascii="Garamond" w:hAnsi="Garamond" w:cs="Times New Roman"/>
          <w:sz w:val="24"/>
          <w:szCs w:val="24"/>
        </w:rPr>
        <w:t xml:space="preserve">, this study contributes to existing literature in the area of investigating the </w:t>
      </w:r>
      <w:r w:rsidR="005F5D83" w:rsidRPr="00987287">
        <w:rPr>
          <w:rFonts w:ascii="Garamond" w:hAnsi="Garamond" w:cs="Times New Roman"/>
          <w:sz w:val="24"/>
          <w:szCs w:val="24"/>
        </w:rPr>
        <w:t>effectiveness</w:t>
      </w:r>
      <w:r w:rsidRPr="00987287">
        <w:rPr>
          <w:rFonts w:ascii="Garamond" w:hAnsi="Garamond" w:cs="Times New Roman"/>
          <w:sz w:val="24"/>
          <w:szCs w:val="24"/>
        </w:rPr>
        <w:t xml:space="preserve"> of the relation-based governance mechanism of CEO compensation, and it provides future insight into the measure of management remuneration and incentive levels in an emerging economy. The results</w:t>
      </w:r>
      <w:r w:rsidR="005F5D83" w:rsidRPr="00987287">
        <w:rPr>
          <w:rFonts w:ascii="Garamond" w:hAnsi="Garamond" w:cs="Times New Roman"/>
          <w:sz w:val="24"/>
          <w:szCs w:val="24"/>
        </w:rPr>
        <w:t xml:space="preserve"> </w:t>
      </w:r>
      <w:r w:rsidRPr="00987287">
        <w:rPr>
          <w:rFonts w:ascii="Garamond" w:hAnsi="Garamond" w:cs="Times New Roman"/>
          <w:sz w:val="24"/>
          <w:szCs w:val="24"/>
        </w:rPr>
        <w:t xml:space="preserve">have important implication for regulators and board </w:t>
      </w:r>
      <w:r w:rsidR="005F5D83" w:rsidRPr="00987287">
        <w:rPr>
          <w:rFonts w:ascii="Garamond" w:hAnsi="Garamond" w:cs="Times New Roman"/>
          <w:sz w:val="24"/>
          <w:szCs w:val="24"/>
        </w:rPr>
        <w:t>members</w:t>
      </w:r>
      <w:r w:rsidRPr="00987287">
        <w:rPr>
          <w:rFonts w:ascii="Garamond" w:hAnsi="Garamond" w:cs="Times New Roman"/>
          <w:sz w:val="24"/>
          <w:szCs w:val="24"/>
        </w:rPr>
        <w:t xml:space="preserve"> of publicly traded banks and financial</w:t>
      </w:r>
      <w:r w:rsidR="00AA5FB9" w:rsidRPr="00987287">
        <w:rPr>
          <w:rFonts w:ascii="Garamond" w:hAnsi="Garamond" w:cs="Times New Roman"/>
          <w:sz w:val="24"/>
          <w:szCs w:val="24"/>
        </w:rPr>
        <w:t xml:space="preserve"> firm</w:t>
      </w:r>
      <w:r w:rsidRPr="00987287">
        <w:rPr>
          <w:rFonts w:ascii="Garamond" w:hAnsi="Garamond" w:cs="Times New Roman"/>
          <w:sz w:val="24"/>
          <w:szCs w:val="24"/>
        </w:rPr>
        <w:t xml:space="preserve">s. </w:t>
      </w:r>
    </w:p>
    <w:p w:rsidR="009F1E75" w:rsidRPr="00987287" w:rsidRDefault="009F1E75" w:rsidP="00987287">
      <w:pPr>
        <w:widowControl w:val="0"/>
        <w:autoSpaceDE w:val="0"/>
        <w:autoSpaceDN w:val="0"/>
        <w:adjustRightInd w:val="0"/>
        <w:spacing w:after="120" w:line="240" w:lineRule="auto"/>
        <w:ind w:firstLine="720"/>
        <w:rPr>
          <w:rFonts w:ascii="Garamond" w:eastAsia="Times New Roman" w:hAnsi="Garamond" w:cs="Times New Roman"/>
          <w:color w:val="000000"/>
          <w:sz w:val="24"/>
          <w:szCs w:val="24"/>
        </w:rPr>
      </w:pPr>
      <w:r w:rsidRPr="00987287">
        <w:rPr>
          <w:rFonts w:ascii="Garamond" w:eastAsia="Times New Roman" w:hAnsi="Garamond" w:cs="Times New Roman"/>
          <w:color w:val="000000"/>
          <w:sz w:val="24"/>
          <w:szCs w:val="24"/>
        </w:rPr>
        <w:t>A central theme of corporate governance is how to align executives’ self-interest pursuit and value-maximizing behavior. Equity-based CEO incentive compensation was considered as an important device for this matter. Ho</w:t>
      </w:r>
      <w:r w:rsidR="005F5D83" w:rsidRPr="00987287">
        <w:rPr>
          <w:rFonts w:ascii="Garamond" w:eastAsia="Times New Roman" w:hAnsi="Garamond" w:cs="Times New Roman"/>
          <w:color w:val="000000"/>
          <w:sz w:val="24"/>
          <w:szCs w:val="24"/>
        </w:rPr>
        <w:t>we</w:t>
      </w:r>
      <w:r w:rsidRPr="00987287">
        <w:rPr>
          <w:rFonts w:ascii="Garamond" w:eastAsia="Times New Roman" w:hAnsi="Garamond" w:cs="Times New Roman"/>
          <w:color w:val="000000"/>
          <w:sz w:val="24"/>
          <w:szCs w:val="24"/>
        </w:rPr>
        <w:t>ver, the managerial incentive compensation, or the pay-for-performance on chief executive officer (CEOs) has been a topic of considerable controversy in the past fifteen years. In this paper I investigate how banks’ governance structure affects executive compensation contract and the subsequent managerial risk-taking investments in banking industry. The purpose of this paper is to examine the dynamic relations bet</w:t>
      </w:r>
      <w:r w:rsidR="005F5D83" w:rsidRPr="00987287">
        <w:rPr>
          <w:rFonts w:ascii="Garamond" w:eastAsia="Times New Roman" w:hAnsi="Garamond" w:cs="Times New Roman"/>
          <w:color w:val="000000"/>
          <w:sz w:val="24"/>
          <w:szCs w:val="24"/>
        </w:rPr>
        <w:t>we</w:t>
      </w:r>
      <w:r w:rsidRPr="00987287">
        <w:rPr>
          <w:rFonts w:ascii="Garamond" w:eastAsia="Times New Roman" w:hAnsi="Garamond" w:cs="Times New Roman"/>
          <w:color w:val="000000"/>
          <w:sz w:val="24"/>
          <w:szCs w:val="24"/>
        </w:rPr>
        <w:t xml:space="preserve">en bank governance structure, CEO incentive compensation and managerial risk-taking investments. </w:t>
      </w:r>
    </w:p>
    <w:p w:rsidR="009F1E75" w:rsidRPr="00987287" w:rsidRDefault="009F1E75" w:rsidP="00987287">
      <w:pPr>
        <w:spacing w:line="240" w:lineRule="auto"/>
        <w:ind w:firstLine="720"/>
        <w:rPr>
          <w:rFonts w:ascii="Garamond" w:eastAsia="Calibri" w:hAnsi="Garamond" w:cs="Times New Roman"/>
          <w:sz w:val="24"/>
          <w:szCs w:val="24"/>
        </w:rPr>
      </w:pPr>
      <w:r w:rsidRPr="00987287">
        <w:rPr>
          <w:rFonts w:ascii="Garamond" w:eastAsia="Calibri" w:hAnsi="Garamond" w:cs="Times New Roman"/>
          <w:sz w:val="24"/>
          <w:szCs w:val="24"/>
        </w:rPr>
        <w:t>I further examine whether higher equity-based CEO incentive compensation is associated with banks’ risk-taking investment strategies and performance. I find consistent evidence of a positive relation bet</w:t>
      </w:r>
      <w:r w:rsidR="005F5D83" w:rsidRPr="00987287">
        <w:rPr>
          <w:rFonts w:ascii="Garamond" w:eastAsia="Calibri" w:hAnsi="Garamond" w:cs="Times New Roman"/>
          <w:sz w:val="24"/>
          <w:szCs w:val="24"/>
        </w:rPr>
        <w:t>we</w:t>
      </w:r>
      <w:r w:rsidRPr="00987287">
        <w:rPr>
          <w:rFonts w:ascii="Garamond" w:eastAsia="Calibri" w:hAnsi="Garamond" w:cs="Times New Roman"/>
          <w:sz w:val="24"/>
          <w:szCs w:val="24"/>
        </w:rPr>
        <w:t>en CEO incentive compensation and managerial risk-taking investments. In particular, incentive compensation is posit</w:t>
      </w:r>
      <w:r w:rsidR="00AC6C11" w:rsidRPr="00987287">
        <w:rPr>
          <w:rFonts w:ascii="Garamond" w:eastAsia="Calibri" w:hAnsi="Garamond" w:cs="Times New Roman"/>
          <w:sz w:val="24"/>
          <w:szCs w:val="24"/>
        </w:rPr>
        <w:t>ively associated with bank risk and performance</w:t>
      </w:r>
      <w:r w:rsidRPr="00987287">
        <w:rPr>
          <w:rFonts w:ascii="Garamond" w:eastAsia="Calibri" w:hAnsi="Garamond" w:cs="Times New Roman"/>
          <w:sz w:val="24"/>
          <w:szCs w:val="24"/>
        </w:rPr>
        <w:t xml:space="preserve">. The empirical findings suggest that the </w:t>
      </w:r>
      <w:r w:rsidR="005F5D83" w:rsidRPr="00987287">
        <w:rPr>
          <w:rFonts w:ascii="Garamond" w:eastAsia="Calibri" w:hAnsi="Garamond" w:cs="Times New Roman"/>
          <w:sz w:val="24"/>
          <w:szCs w:val="24"/>
        </w:rPr>
        <w:t>we</w:t>
      </w:r>
      <w:r w:rsidRPr="00987287">
        <w:rPr>
          <w:rFonts w:ascii="Garamond" w:eastAsia="Calibri" w:hAnsi="Garamond" w:cs="Times New Roman"/>
          <w:sz w:val="24"/>
          <w:szCs w:val="24"/>
        </w:rPr>
        <w:t>ightings of the board and ownership variables in the compensation equation are related to the effectiveness of banks’ investment strategies and performance. The results are robust across alternative methodologies, and model specifications.</w:t>
      </w:r>
    </w:p>
    <w:p w:rsidR="00A80F9F" w:rsidRDefault="009F1E75" w:rsidP="00A80F9F">
      <w:pPr>
        <w:spacing w:after="120" w:line="240" w:lineRule="auto"/>
        <w:ind w:firstLine="720"/>
        <w:rPr>
          <w:rFonts w:ascii="Garamond" w:hAnsi="Garamond" w:cs="Times New Roman"/>
          <w:sz w:val="24"/>
          <w:szCs w:val="24"/>
        </w:rPr>
      </w:pPr>
      <w:r w:rsidRPr="00987287">
        <w:rPr>
          <w:rFonts w:ascii="Garamond" w:eastAsia="Calibri" w:hAnsi="Garamond" w:cs="Times New Roman"/>
          <w:sz w:val="24"/>
          <w:szCs w:val="24"/>
        </w:rPr>
        <w:t xml:space="preserve">This study suggests that regulatory oversight of the governance structure and CEO incentive compensations employed in the banking industry is important. Indeed, these results are supportive of the theoretical arguments presented by John el al. (2000) who suggests that regulators need to </w:t>
      </w:r>
      <w:r w:rsidRPr="00987287">
        <w:rPr>
          <w:rFonts w:ascii="Garamond" w:eastAsia="Calibri" w:hAnsi="Garamond" w:cs="Times New Roman"/>
          <w:sz w:val="24"/>
          <w:szCs w:val="24"/>
        </w:rPr>
        <w:lastRenderedPageBreak/>
        <w:t>consider a new paradigm that explicitly provides appropriate incentives for risk-taking within the compensation structure. Especially in banking industry, the managerial incentives to shift risk to the deposit insurance agency (FDIC) depend on the sensitivity of compensation to managerial risk-taking.</w:t>
      </w:r>
      <w:r w:rsidRPr="00987287">
        <w:rPr>
          <w:rFonts w:ascii="Garamond" w:eastAsia="Calibri" w:hAnsi="Garamond" w:cs="Times New Roman"/>
          <w:sz w:val="24"/>
          <w:szCs w:val="24"/>
          <w:vertAlign w:val="superscript"/>
        </w:rPr>
        <w:footnoteReference w:id="2"/>
      </w:r>
      <w:r w:rsidRPr="00987287">
        <w:rPr>
          <w:rFonts w:ascii="Garamond" w:eastAsia="Calibri" w:hAnsi="Garamond" w:cs="Times New Roman"/>
          <w:sz w:val="24"/>
          <w:szCs w:val="24"/>
        </w:rPr>
        <w:t xml:space="preserve"> Most concerns to be raised about compensation within the banking industry. Many of the dramatic losses resulting from the decline of the Savings and Loan industry in the 1990s </w:t>
      </w:r>
      <w:r w:rsidR="00AA5FB9" w:rsidRPr="00987287">
        <w:rPr>
          <w:rFonts w:ascii="Garamond" w:eastAsia="Calibri" w:hAnsi="Garamond" w:cs="Times New Roman"/>
          <w:sz w:val="24"/>
          <w:szCs w:val="24"/>
        </w:rPr>
        <w:t>I</w:t>
      </w:r>
      <w:r w:rsidRPr="00987287">
        <w:rPr>
          <w:rFonts w:ascii="Garamond" w:eastAsia="Calibri" w:hAnsi="Garamond" w:cs="Times New Roman"/>
          <w:sz w:val="24"/>
          <w:szCs w:val="24"/>
        </w:rPr>
        <w:t xml:space="preserve">re attributed to policies with failed to limit managerial incentives for risk-taking. The recent collapse of many banks, because of large losses from trading derivatives, </w:t>
      </w:r>
      <w:proofErr w:type="spellStart"/>
      <w:r w:rsidRPr="00987287">
        <w:rPr>
          <w:rFonts w:ascii="Garamond" w:eastAsia="Calibri" w:hAnsi="Garamond" w:cs="Times New Roman"/>
          <w:sz w:val="24"/>
          <w:szCs w:val="24"/>
        </w:rPr>
        <w:t>rene</w:t>
      </w:r>
      <w:r w:rsidR="00AA5FB9" w:rsidRPr="00987287">
        <w:rPr>
          <w:rFonts w:ascii="Garamond" w:eastAsia="Calibri" w:hAnsi="Garamond" w:cs="Times New Roman"/>
          <w:sz w:val="24"/>
          <w:szCs w:val="24"/>
        </w:rPr>
        <w:t>I</w:t>
      </w:r>
      <w:r w:rsidRPr="00987287">
        <w:rPr>
          <w:rFonts w:ascii="Garamond" w:eastAsia="Calibri" w:hAnsi="Garamond" w:cs="Times New Roman"/>
          <w:sz w:val="24"/>
          <w:szCs w:val="24"/>
        </w:rPr>
        <w:t>d</w:t>
      </w:r>
      <w:proofErr w:type="spellEnd"/>
      <w:r w:rsidRPr="00987287">
        <w:rPr>
          <w:rFonts w:ascii="Garamond" w:eastAsia="Calibri" w:hAnsi="Garamond" w:cs="Times New Roman"/>
          <w:sz w:val="24"/>
          <w:szCs w:val="24"/>
        </w:rPr>
        <w:t xml:space="preserve"> questions about whether the CEO compensations in banks and savings and loan industry increase managers’ incentive to take on exorbitant risks. Therefore, the parameter of executive compensation may be used to curb the risk-shifting incentives of managers and utilized as input for banking regulatory schemes.</w:t>
      </w:r>
    </w:p>
    <w:p w:rsidR="00AC6C11" w:rsidRPr="00987287" w:rsidRDefault="00AC6C11" w:rsidP="00A80F9F">
      <w:pPr>
        <w:spacing w:after="120" w:line="240" w:lineRule="auto"/>
        <w:ind w:firstLine="720"/>
        <w:rPr>
          <w:rFonts w:ascii="Garamond" w:hAnsi="Garamond" w:cs="Times New Roman"/>
          <w:sz w:val="24"/>
          <w:szCs w:val="24"/>
        </w:rPr>
      </w:pPr>
      <w:r w:rsidRPr="00987287">
        <w:rPr>
          <w:rFonts w:ascii="Garamond" w:hAnsi="Garamond" w:cs="Times New Roman"/>
          <w:sz w:val="24"/>
          <w:szCs w:val="24"/>
        </w:rPr>
        <w:t xml:space="preserve">I applied three-simultaneous-equation using 3 Stage least Square (3SLS) method in which </w:t>
      </w:r>
      <w:proofErr w:type="spellStart"/>
      <w:r w:rsidRPr="00987287">
        <w:rPr>
          <w:rFonts w:ascii="Garamond" w:hAnsi="Garamond" w:cs="Times New Roman"/>
          <w:sz w:val="24"/>
          <w:szCs w:val="24"/>
        </w:rPr>
        <w:t>vega</w:t>
      </w:r>
      <w:proofErr w:type="spellEnd"/>
      <w:r w:rsidRPr="00987287">
        <w:rPr>
          <w:rFonts w:ascii="Garamond" w:hAnsi="Garamond" w:cs="Times New Roman"/>
          <w:sz w:val="24"/>
          <w:szCs w:val="24"/>
        </w:rPr>
        <w:t xml:space="preserve">, delta and </w:t>
      </w:r>
      <w:r w:rsidR="00AA5FB9" w:rsidRPr="00987287">
        <w:rPr>
          <w:rFonts w:ascii="Garamond" w:hAnsi="Garamond" w:cs="Times New Roman"/>
          <w:sz w:val="24"/>
          <w:szCs w:val="24"/>
        </w:rPr>
        <w:t>financial firm</w:t>
      </w:r>
      <w:r w:rsidRPr="00987287">
        <w:rPr>
          <w:rFonts w:ascii="Garamond" w:hAnsi="Garamond" w:cs="Times New Roman"/>
          <w:sz w:val="24"/>
          <w:szCs w:val="24"/>
        </w:rPr>
        <w:t xml:space="preserve"> risk/performance are all treated as endogenous variables and are jointly determined, which avoid spurious inferences in OLS estimate and provide asymptotically correct estimates of the standard errors (</w:t>
      </w:r>
      <w:proofErr w:type="spellStart"/>
      <w:r w:rsidRPr="00987287">
        <w:rPr>
          <w:rFonts w:ascii="Garamond" w:hAnsi="Garamond" w:cs="Times New Roman"/>
          <w:sz w:val="24"/>
          <w:szCs w:val="24"/>
        </w:rPr>
        <w:t>Sawa</w:t>
      </w:r>
      <w:proofErr w:type="spellEnd"/>
      <w:r w:rsidRPr="00987287">
        <w:rPr>
          <w:rFonts w:ascii="Garamond" w:hAnsi="Garamond" w:cs="Times New Roman"/>
          <w:sz w:val="24"/>
          <w:szCs w:val="24"/>
        </w:rPr>
        <w:t xml:space="preserve">, 1969). </w:t>
      </w:r>
    </w:p>
    <w:p w:rsidR="009F1E75" w:rsidRPr="00987287" w:rsidRDefault="009F1E75" w:rsidP="00987287">
      <w:pPr>
        <w:spacing w:after="120" w:line="240" w:lineRule="auto"/>
        <w:ind w:firstLine="720"/>
        <w:rPr>
          <w:rFonts w:ascii="Garamond" w:eastAsia="Calibri" w:hAnsi="Garamond" w:cs="Times New Roman"/>
          <w:sz w:val="24"/>
          <w:szCs w:val="24"/>
        </w:rPr>
      </w:pPr>
      <w:r w:rsidRPr="00987287">
        <w:rPr>
          <w:rFonts w:ascii="Garamond" w:eastAsia="Calibri" w:hAnsi="Garamond" w:cs="Times New Roman"/>
          <w:sz w:val="24"/>
          <w:szCs w:val="24"/>
        </w:rPr>
        <w:t>The remainder of this paper is organized as the follows. Section 2 describes the prior literature and background. Section 3 introduces measures and methodology. Data is described in section 4. Section 5 and 6 reports the empirical results follo</w:t>
      </w:r>
      <w:r w:rsidR="005F5D83" w:rsidRPr="00987287">
        <w:rPr>
          <w:rFonts w:ascii="Garamond" w:eastAsia="Calibri" w:hAnsi="Garamond" w:cs="Times New Roman"/>
          <w:sz w:val="24"/>
          <w:szCs w:val="24"/>
        </w:rPr>
        <w:t>we</w:t>
      </w:r>
      <w:r w:rsidRPr="00987287">
        <w:rPr>
          <w:rFonts w:ascii="Garamond" w:eastAsia="Calibri" w:hAnsi="Garamond" w:cs="Times New Roman"/>
          <w:sz w:val="24"/>
          <w:szCs w:val="24"/>
        </w:rPr>
        <w:t xml:space="preserve">d by a conclusion remarks. </w:t>
      </w:r>
    </w:p>
    <w:p w:rsidR="001E6AB9" w:rsidRPr="00987287" w:rsidRDefault="001E6AB9" w:rsidP="00987287">
      <w:pPr>
        <w:widowControl w:val="0"/>
        <w:autoSpaceDE w:val="0"/>
        <w:autoSpaceDN w:val="0"/>
        <w:adjustRightInd w:val="0"/>
        <w:spacing w:after="120" w:line="240" w:lineRule="auto"/>
        <w:rPr>
          <w:rFonts w:ascii="Garamond" w:eastAsia="Times New Roman" w:hAnsi="Garamond" w:cs="Times New Roman"/>
          <w:b/>
          <w:sz w:val="24"/>
          <w:szCs w:val="24"/>
        </w:rPr>
      </w:pPr>
    </w:p>
    <w:p w:rsidR="00072C98" w:rsidRPr="00987287" w:rsidRDefault="001E6AB9" w:rsidP="00987287">
      <w:pPr>
        <w:widowControl w:val="0"/>
        <w:autoSpaceDE w:val="0"/>
        <w:autoSpaceDN w:val="0"/>
        <w:adjustRightInd w:val="0"/>
        <w:spacing w:after="120" w:line="240" w:lineRule="auto"/>
        <w:rPr>
          <w:rFonts w:ascii="Garamond" w:eastAsia="Times New Roman" w:hAnsi="Garamond" w:cs="Times New Roman"/>
          <w:b/>
          <w:sz w:val="24"/>
          <w:szCs w:val="24"/>
        </w:rPr>
      </w:pPr>
      <w:r w:rsidRPr="00987287">
        <w:rPr>
          <w:rFonts w:ascii="Garamond" w:eastAsia="Times New Roman" w:hAnsi="Garamond" w:cs="Times New Roman"/>
          <w:b/>
          <w:sz w:val="24"/>
          <w:szCs w:val="24"/>
        </w:rPr>
        <w:t xml:space="preserve">Background and Literature </w:t>
      </w:r>
    </w:p>
    <w:p w:rsidR="00072C98" w:rsidRPr="00987287" w:rsidRDefault="00072C98" w:rsidP="00987287">
      <w:pPr>
        <w:widowControl w:val="0"/>
        <w:autoSpaceDE w:val="0"/>
        <w:autoSpaceDN w:val="0"/>
        <w:adjustRightInd w:val="0"/>
        <w:spacing w:after="120" w:line="240" w:lineRule="auto"/>
        <w:ind w:left="720"/>
        <w:rPr>
          <w:rFonts w:ascii="Garamond" w:eastAsia="Times New Roman" w:hAnsi="Garamond" w:cs="Times New Roman"/>
          <w:b/>
          <w:sz w:val="24"/>
          <w:szCs w:val="24"/>
        </w:rPr>
      </w:pPr>
      <w:r w:rsidRPr="00987287">
        <w:rPr>
          <w:rFonts w:ascii="Garamond" w:eastAsia="Times New Roman" w:hAnsi="Garamond" w:cs="Times New Roman"/>
          <w:b/>
          <w:sz w:val="24"/>
          <w:szCs w:val="24"/>
        </w:rPr>
        <w:tab/>
        <w:t xml:space="preserve"> </w:t>
      </w:r>
    </w:p>
    <w:p w:rsidR="00072C98" w:rsidRPr="00987287" w:rsidRDefault="00072C98" w:rsidP="00987287">
      <w:pPr>
        <w:widowControl w:val="0"/>
        <w:autoSpaceDE w:val="0"/>
        <w:autoSpaceDN w:val="0"/>
        <w:adjustRightInd w:val="0"/>
        <w:spacing w:after="120" w:line="240" w:lineRule="auto"/>
        <w:ind w:firstLine="720"/>
        <w:rPr>
          <w:rFonts w:ascii="Garamond" w:eastAsia="Times New Roman" w:hAnsi="Garamond" w:cs="Times New Roman"/>
          <w:sz w:val="24"/>
          <w:szCs w:val="24"/>
        </w:rPr>
      </w:pPr>
      <w:r w:rsidRPr="00987287">
        <w:rPr>
          <w:rFonts w:ascii="Garamond" w:eastAsia="Times New Roman" w:hAnsi="Garamond" w:cs="Times New Roman"/>
          <w:sz w:val="24"/>
          <w:szCs w:val="24"/>
        </w:rPr>
        <w:t xml:space="preserve">The academic literature on corporate governance examines the efficiency of alternative ownership structures and alternative structures for the board of directors. While there is mounting evidence of the failure of certain governance structures to motivate managers to increase bank’s performance, the empirical evidence to date is mixed and gives little coherent evidence for the shape of an optimal governance structure. For example, Jensen (1990) argues that boards of directors are ineffective because board culture discourages conflicts, the CEO determines the agenda and information given the board, there is little equity ownership by managers and </w:t>
      </w:r>
      <w:proofErr w:type="spellStart"/>
      <w:r w:rsidRPr="00987287">
        <w:rPr>
          <w:rFonts w:ascii="Garamond" w:eastAsia="Times New Roman" w:hAnsi="Garamond" w:cs="Times New Roman"/>
          <w:sz w:val="24"/>
          <w:szCs w:val="24"/>
        </w:rPr>
        <w:t>non managers</w:t>
      </w:r>
      <w:proofErr w:type="spellEnd"/>
      <w:r w:rsidRPr="00987287">
        <w:rPr>
          <w:rFonts w:ascii="Garamond" w:eastAsia="Times New Roman" w:hAnsi="Garamond" w:cs="Times New Roman"/>
          <w:sz w:val="24"/>
          <w:szCs w:val="24"/>
        </w:rPr>
        <w:t xml:space="preserve"> on the typical board. The CEOs and the board chairs are frequently the same person. Crystal (1991) argues that boards of directors are ineffective in setting appropriate levels of compensation because outside directors are essentially hired by the CEO and can be removed by the CEO. As such, board members may be unwilling to take positions adversarial to the CEO, especially concerning the CEO’s compensation. Moreover, boards usually rely on the compensation consultants hired by the CEO, and this may lead to compensation contracts that have been optimized not for the </w:t>
      </w:r>
      <w:r w:rsidR="00AA5FB9" w:rsidRPr="00987287">
        <w:rPr>
          <w:rFonts w:ascii="Garamond" w:eastAsia="Times New Roman" w:hAnsi="Garamond" w:cs="Times New Roman"/>
          <w:sz w:val="24"/>
          <w:szCs w:val="24"/>
        </w:rPr>
        <w:t>financial firm</w:t>
      </w:r>
      <w:r w:rsidRPr="00987287">
        <w:rPr>
          <w:rFonts w:ascii="Garamond" w:eastAsia="Times New Roman" w:hAnsi="Garamond" w:cs="Times New Roman"/>
          <w:sz w:val="24"/>
          <w:szCs w:val="24"/>
        </w:rPr>
        <w:t xml:space="preserve">s, but for the CEO. </w:t>
      </w:r>
    </w:p>
    <w:p w:rsidR="00072C98" w:rsidRPr="00987287" w:rsidRDefault="00072C98" w:rsidP="00987287">
      <w:pPr>
        <w:widowControl w:val="0"/>
        <w:autoSpaceDE w:val="0"/>
        <w:autoSpaceDN w:val="0"/>
        <w:adjustRightInd w:val="0"/>
        <w:spacing w:after="120" w:line="240" w:lineRule="auto"/>
        <w:ind w:firstLine="720"/>
        <w:rPr>
          <w:rFonts w:ascii="Garamond" w:eastAsia="Times New Roman" w:hAnsi="Garamond" w:cs="Times New Roman"/>
          <w:sz w:val="24"/>
          <w:szCs w:val="24"/>
        </w:rPr>
      </w:pPr>
      <w:r w:rsidRPr="00987287">
        <w:rPr>
          <w:rFonts w:ascii="Garamond" w:eastAsia="Times New Roman" w:hAnsi="Garamond" w:cs="Times New Roman"/>
          <w:sz w:val="24"/>
          <w:szCs w:val="24"/>
        </w:rPr>
        <w:t>The relation bet</w:t>
      </w:r>
      <w:r w:rsidR="005F5D83" w:rsidRPr="00987287">
        <w:rPr>
          <w:rFonts w:ascii="Garamond" w:eastAsia="Times New Roman" w:hAnsi="Garamond" w:cs="Times New Roman"/>
          <w:sz w:val="24"/>
          <w:szCs w:val="24"/>
        </w:rPr>
        <w:t>we</w:t>
      </w:r>
      <w:r w:rsidRPr="00987287">
        <w:rPr>
          <w:rFonts w:ascii="Garamond" w:eastAsia="Times New Roman" w:hAnsi="Garamond" w:cs="Times New Roman"/>
          <w:sz w:val="24"/>
          <w:szCs w:val="24"/>
        </w:rPr>
        <w:t>en top executive compensation and board composition has been examined in many prior empirical papers, with mixed findings. For example, Lambert et al. (1993) and Boyd (1994) use confidential compensation data document a positive relation bet</w:t>
      </w:r>
      <w:r w:rsidR="005F5D83" w:rsidRPr="00987287">
        <w:rPr>
          <w:rFonts w:ascii="Garamond" w:eastAsia="Times New Roman" w:hAnsi="Garamond" w:cs="Times New Roman"/>
          <w:sz w:val="24"/>
          <w:szCs w:val="24"/>
        </w:rPr>
        <w:t>we</w:t>
      </w:r>
      <w:r w:rsidRPr="00987287">
        <w:rPr>
          <w:rFonts w:ascii="Garamond" w:eastAsia="Times New Roman" w:hAnsi="Garamond" w:cs="Times New Roman"/>
          <w:sz w:val="24"/>
          <w:szCs w:val="24"/>
        </w:rPr>
        <w:t xml:space="preserve">en CEO compensation and the percentage of the board composed of outside directors, whereas Finkelstein and </w:t>
      </w:r>
      <w:proofErr w:type="spellStart"/>
      <w:r w:rsidRPr="00987287">
        <w:rPr>
          <w:rFonts w:ascii="Garamond" w:eastAsia="Times New Roman" w:hAnsi="Garamond" w:cs="Times New Roman"/>
          <w:sz w:val="24"/>
          <w:szCs w:val="24"/>
        </w:rPr>
        <w:t>Hambrick</w:t>
      </w:r>
      <w:proofErr w:type="spellEnd"/>
      <w:r w:rsidRPr="00987287">
        <w:rPr>
          <w:rFonts w:ascii="Garamond" w:eastAsia="Times New Roman" w:hAnsi="Garamond" w:cs="Times New Roman"/>
          <w:sz w:val="24"/>
          <w:szCs w:val="24"/>
        </w:rPr>
        <w:t xml:space="preserve"> (1989) find that compensation, measured by salary and bonus is unrelated to the </w:t>
      </w:r>
      <w:r w:rsidRPr="00987287">
        <w:rPr>
          <w:rFonts w:ascii="Garamond" w:eastAsia="Times New Roman" w:hAnsi="Garamond" w:cs="Times New Roman"/>
          <w:sz w:val="24"/>
          <w:szCs w:val="24"/>
        </w:rPr>
        <w:lastRenderedPageBreak/>
        <w:t xml:space="preserve">percentage of outside directors on the board. Other characteristics of the board have also been explored. </w:t>
      </w:r>
      <w:proofErr w:type="spellStart"/>
      <w:r w:rsidRPr="00987287">
        <w:rPr>
          <w:rFonts w:ascii="Garamond" w:eastAsia="Times New Roman" w:hAnsi="Garamond" w:cs="Times New Roman"/>
          <w:sz w:val="24"/>
          <w:szCs w:val="24"/>
        </w:rPr>
        <w:t>Hallock</w:t>
      </w:r>
      <w:proofErr w:type="spellEnd"/>
      <w:r w:rsidRPr="00987287">
        <w:rPr>
          <w:rFonts w:ascii="Garamond" w:eastAsia="Times New Roman" w:hAnsi="Garamond" w:cs="Times New Roman"/>
          <w:sz w:val="24"/>
          <w:szCs w:val="24"/>
        </w:rPr>
        <w:t xml:space="preserve"> (1997) finds that CEO compensation is higher at </w:t>
      </w:r>
      <w:r w:rsidR="00AA5FB9" w:rsidRPr="00987287">
        <w:rPr>
          <w:rFonts w:ascii="Garamond" w:eastAsia="Times New Roman" w:hAnsi="Garamond" w:cs="Times New Roman"/>
          <w:sz w:val="24"/>
          <w:szCs w:val="24"/>
        </w:rPr>
        <w:t>financial firm</w:t>
      </w:r>
      <w:r w:rsidRPr="00987287">
        <w:rPr>
          <w:rFonts w:ascii="Garamond" w:eastAsia="Times New Roman" w:hAnsi="Garamond" w:cs="Times New Roman"/>
          <w:sz w:val="24"/>
          <w:szCs w:val="24"/>
        </w:rPr>
        <w:t xml:space="preserve">s with interlocked outside directors. Lambert et al. (1993) find that CEOs receive higher pay when they have appointed a greater proportion of the board. </w:t>
      </w:r>
    </w:p>
    <w:p w:rsidR="00072C98" w:rsidRPr="00987287" w:rsidRDefault="00072C98" w:rsidP="00987287">
      <w:pPr>
        <w:widowControl w:val="0"/>
        <w:autoSpaceDE w:val="0"/>
        <w:autoSpaceDN w:val="0"/>
        <w:adjustRightInd w:val="0"/>
        <w:spacing w:after="120" w:line="240" w:lineRule="auto"/>
        <w:ind w:firstLine="720"/>
        <w:rPr>
          <w:rFonts w:ascii="Garamond" w:eastAsia="Times New Roman" w:hAnsi="Garamond" w:cs="Times New Roman"/>
          <w:sz w:val="24"/>
          <w:szCs w:val="24"/>
        </w:rPr>
      </w:pPr>
      <w:r w:rsidRPr="00987287">
        <w:rPr>
          <w:rFonts w:ascii="Garamond" w:eastAsia="Times New Roman" w:hAnsi="Garamond" w:cs="Times New Roman"/>
          <w:sz w:val="24"/>
          <w:szCs w:val="24"/>
        </w:rPr>
        <w:t xml:space="preserve">Other empirical research examines whether certain board structures are associated with better </w:t>
      </w:r>
      <w:r w:rsidR="00AA5FB9" w:rsidRPr="00987287">
        <w:rPr>
          <w:rFonts w:ascii="Garamond" w:eastAsia="Times New Roman" w:hAnsi="Garamond" w:cs="Times New Roman"/>
          <w:sz w:val="24"/>
          <w:szCs w:val="24"/>
        </w:rPr>
        <w:t>financial firm</w:t>
      </w:r>
      <w:r w:rsidRPr="00987287">
        <w:rPr>
          <w:rFonts w:ascii="Garamond" w:eastAsia="Times New Roman" w:hAnsi="Garamond" w:cs="Times New Roman"/>
          <w:sz w:val="24"/>
          <w:szCs w:val="24"/>
        </w:rPr>
        <w:t xml:space="preserve"> value and performance. For example, Rosenstein and Wyatt (1990) provide evidence that shareholder </w:t>
      </w:r>
      <w:r w:rsidR="005F5D83" w:rsidRPr="00987287">
        <w:rPr>
          <w:rFonts w:ascii="Garamond" w:eastAsia="Times New Roman" w:hAnsi="Garamond" w:cs="Times New Roman"/>
          <w:sz w:val="24"/>
          <w:szCs w:val="24"/>
        </w:rPr>
        <w:t>we</w:t>
      </w:r>
      <w:r w:rsidRPr="00987287">
        <w:rPr>
          <w:rFonts w:ascii="Garamond" w:eastAsia="Times New Roman" w:hAnsi="Garamond" w:cs="Times New Roman"/>
          <w:sz w:val="24"/>
          <w:szCs w:val="24"/>
        </w:rPr>
        <w:t xml:space="preserve">alth is affected by the proportion of outside directors by documenting a positive stock price reaction at the announcement of the appointment of an additional outside director. Byrd and Hickman (1992) find that bidding </w:t>
      </w:r>
      <w:r w:rsidR="00AA5FB9" w:rsidRPr="00987287">
        <w:rPr>
          <w:rFonts w:ascii="Garamond" w:eastAsia="Times New Roman" w:hAnsi="Garamond" w:cs="Times New Roman"/>
          <w:sz w:val="24"/>
          <w:szCs w:val="24"/>
        </w:rPr>
        <w:t>financial firm</w:t>
      </w:r>
      <w:r w:rsidRPr="00987287">
        <w:rPr>
          <w:rFonts w:ascii="Garamond" w:eastAsia="Times New Roman" w:hAnsi="Garamond" w:cs="Times New Roman"/>
          <w:sz w:val="24"/>
          <w:szCs w:val="24"/>
        </w:rPr>
        <w:t xml:space="preserve">s on which independent outside directors hold at least 50% of the seats have higher announcement-date abnormal returns than other bidders, except when the independent directors hold a very high proportion of board seats. In contrast, </w:t>
      </w:r>
      <w:proofErr w:type="spellStart"/>
      <w:r w:rsidRPr="00987287">
        <w:rPr>
          <w:rFonts w:ascii="Garamond" w:eastAsia="Times New Roman" w:hAnsi="Garamond" w:cs="Times New Roman"/>
          <w:sz w:val="24"/>
          <w:szCs w:val="24"/>
        </w:rPr>
        <w:t>Yermack</w:t>
      </w:r>
      <w:proofErr w:type="spellEnd"/>
      <w:r w:rsidRPr="00987287">
        <w:rPr>
          <w:rFonts w:ascii="Garamond" w:eastAsia="Times New Roman" w:hAnsi="Garamond" w:cs="Times New Roman"/>
          <w:sz w:val="24"/>
          <w:szCs w:val="24"/>
        </w:rPr>
        <w:t xml:space="preserve"> (1996) finds no association bet</w:t>
      </w:r>
      <w:r w:rsidR="005F5D83" w:rsidRPr="00987287">
        <w:rPr>
          <w:rFonts w:ascii="Garamond" w:eastAsia="Times New Roman" w:hAnsi="Garamond" w:cs="Times New Roman"/>
          <w:sz w:val="24"/>
          <w:szCs w:val="24"/>
        </w:rPr>
        <w:t>we</w:t>
      </w:r>
      <w:r w:rsidRPr="00987287">
        <w:rPr>
          <w:rFonts w:ascii="Garamond" w:eastAsia="Times New Roman" w:hAnsi="Garamond" w:cs="Times New Roman"/>
          <w:sz w:val="24"/>
          <w:szCs w:val="24"/>
        </w:rPr>
        <w:t xml:space="preserve">en the percentage of outside directors and </w:t>
      </w:r>
      <w:r w:rsidR="00AA5FB9" w:rsidRPr="00987287">
        <w:rPr>
          <w:rFonts w:ascii="Garamond" w:eastAsia="Times New Roman" w:hAnsi="Garamond" w:cs="Times New Roman"/>
          <w:sz w:val="24"/>
          <w:szCs w:val="24"/>
        </w:rPr>
        <w:t>financial firm</w:t>
      </w:r>
      <w:r w:rsidRPr="00987287">
        <w:rPr>
          <w:rFonts w:ascii="Garamond" w:eastAsia="Times New Roman" w:hAnsi="Garamond" w:cs="Times New Roman"/>
          <w:sz w:val="24"/>
          <w:szCs w:val="24"/>
        </w:rPr>
        <w:t xml:space="preserve"> performance. Thus, the evidence for the importance of outside directors is mixed. </w:t>
      </w:r>
      <w:proofErr w:type="spellStart"/>
      <w:r w:rsidRPr="00987287">
        <w:rPr>
          <w:rFonts w:ascii="Garamond" w:eastAsia="Times New Roman" w:hAnsi="Garamond" w:cs="Times New Roman"/>
          <w:sz w:val="24"/>
          <w:szCs w:val="24"/>
        </w:rPr>
        <w:t>Yermack</w:t>
      </w:r>
      <w:proofErr w:type="spellEnd"/>
      <w:r w:rsidRPr="00987287">
        <w:rPr>
          <w:rFonts w:ascii="Garamond" w:eastAsia="Times New Roman" w:hAnsi="Garamond" w:cs="Times New Roman"/>
          <w:sz w:val="24"/>
          <w:szCs w:val="24"/>
        </w:rPr>
        <w:t xml:space="preserve"> (1996) also provides evidence that </w:t>
      </w:r>
      <w:r w:rsidR="00AA5FB9" w:rsidRPr="00987287">
        <w:rPr>
          <w:rFonts w:ascii="Garamond" w:eastAsia="Times New Roman" w:hAnsi="Garamond" w:cs="Times New Roman"/>
          <w:sz w:val="24"/>
          <w:szCs w:val="24"/>
        </w:rPr>
        <w:t>financial firm</w:t>
      </w:r>
      <w:r w:rsidRPr="00987287">
        <w:rPr>
          <w:rFonts w:ascii="Garamond" w:eastAsia="Times New Roman" w:hAnsi="Garamond" w:cs="Times New Roman"/>
          <w:sz w:val="24"/>
          <w:szCs w:val="24"/>
        </w:rPr>
        <w:t xml:space="preserve"> value and performance is a decreasing function of board size, while </w:t>
      </w:r>
      <w:proofErr w:type="spellStart"/>
      <w:r w:rsidRPr="00987287">
        <w:rPr>
          <w:rFonts w:ascii="Garamond" w:eastAsia="Times New Roman" w:hAnsi="Garamond" w:cs="Times New Roman"/>
          <w:sz w:val="24"/>
          <w:szCs w:val="24"/>
        </w:rPr>
        <w:t>Baysinger</w:t>
      </w:r>
      <w:proofErr w:type="spellEnd"/>
      <w:r w:rsidRPr="00987287">
        <w:rPr>
          <w:rFonts w:ascii="Garamond" w:eastAsia="Times New Roman" w:hAnsi="Garamond" w:cs="Times New Roman"/>
          <w:sz w:val="24"/>
          <w:szCs w:val="24"/>
        </w:rPr>
        <w:t xml:space="preserve"> and Butler (1985), </w:t>
      </w:r>
      <w:proofErr w:type="spellStart"/>
      <w:r w:rsidRPr="00987287">
        <w:rPr>
          <w:rFonts w:ascii="Garamond" w:eastAsia="Times New Roman" w:hAnsi="Garamond" w:cs="Times New Roman"/>
          <w:sz w:val="24"/>
          <w:szCs w:val="24"/>
        </w:rPr>
        <w:t>Hermalin</w:t>
      </w:r>
      <w:proofErr w:type="spellEnd"/>
      <w:r w:rsidRPr="00987287">
        <w:rPr>
          <w:rFonts w:ascii="Garamond" w:eastAsia="Times New Roman" w:hAnsi="Garamond" w:cs="Times New Roman"/>
          <w:sz w:val="24"/>
          <w:szCs w:val="24"/>
        </w:rPr>
        <w:t xml:space="preserve"> and </w:t>
      </w:r>
      <w:proofErr w:type="spellStart"/>
      <w:r w:rsidR="00AA5FB9" w:rsidRPr="00987287">
        <w:rPr>
          <w:rFonts w:ascii="Garamond" w:eastAsia="Times New Roman" w:hAnsi="Garamond" w:cs="Times New Roman"/>
          <w:sz w:val="24"/>
          <w:szCs w:val="24"/>
        </w:rPr>
        <w:t>I</w:t>
      </w:r>
      <w:r w:rsidRPr="00987287">
        <w:rPr>
          <w:rFonts w:ascii="Garamond" w:eastAsia="Times New Roman" w:hAnsi="Garamond" w:cs="Times New Roman"/>
          <w:sz w:val="24"/>
          <w:szCs w:val="24"/>
        </w:rPr>
        <w:t>isbach</w:t>
      </w:r>
      <w:proofErr w:type="spellEnd"/>
      <w:r w:rsidRPr="00987287">
        <w:rPr>
          <w:rFonts w:ascii="Garamond" w:eastAsia="Times New Roman" w:hAnsi="Garamond" w:cs="Times New Roman"/>
          <w:sz w:val="24"/>
          <w:szCs w:val="24"/>
        </w:rPr>
        <w:t xml:space="preserve"> (1991), and </w:t>
      </w:r>
      <w:proofErr w:type="spellStart"/>
      <w:r w:rsidRPr="00987287">
        <w:rPr>
          <w:rFonts w:ascii="Garamond" w:eastAsia="Times New Roman" w:hAnsi="Garamond" w:cs="Times New Roman"/>
          <w:sz w:val="24"/>
          <w:szCs w:val="24"/>
        </w:rPr>
        <w:t>Bhagat</w:t>
      </w:r>
      <w:proofErr w:type="spellEnd"/>
      <w:r w:rsidRPr="00987287">
        <w:rPr>
          <w:rFonts w:ascii="Garamond" w:eastAsia="Times New Roman" w:hAnsi="Garamond" w:cs="Times New Roman"/>
          <w:sz w:val="24"/>
          <w:szCs w:val="24"/>
        </w:rPr>
        <w:t xml:space="preserve"> and Black (1997) find no meaningful relation bet</w:t>
      </w:r>
      <w:r w:rsidR="005F5D83" w:rsidRPr="00987287">
        <w:rPr>
          <w:rFonts w:ascii="Garamond" w:eastAsia="Times New Roman" w:hAnsi="Garamond" w:cs="Times New Roman"/>
          <w:sz w:val="24"/>
          <w:szCs w:val="24"/>
        </w:rPr>
        <w:t>we</w:t>
      </w:r>
      <w:r w:rsidRPr="00987287">
        <w:rPr>
          <w:rFonts w:ascii="Garamond" w:eastAsia="Times New Roman" w:hAnsi="Garamond" w:cs="Times New Roman"/>
          <w:sz w:val="24"/>
          <w:szCs w:val="24"/>
        </w:rPr>
        <w:t xml:space="preserve">en various characteristics of board composition and </w:t>
      </w:r>
      <w:r w:rsidR="00AA5FB9" w:rsidRPr="00987287">
        <w:rPr>
          <w:rFonts w:ascii="Garamond" w:eastAsia="Times New Roman" w:hAnsi="Garamond" w:cs="Times New Roman"/>
          <w:sz w:val="24"/>
          <w:szCs w:val="24"/>
        </w:rPr>
        <w:t>financial firm</w:t>
      </w:r>
      <w:r w:rsidRPr="00987287">
        <w:rPr>
          <w:rFonts w:ascii="Garamond" w:eastAsia="Times New Roman" w:hAnsi="Garamond" w:cs="Times New Roman"/>
          <w:sz w:val="24"/>
          <w:szCs w:val="24"/>
        </w:rPr>
        <w:t xml:space="preserve"> performance. </w:t>
      </w:r>
    </w:p>
    <w:p w:rsidR="00072C98" w:rsidRPr="00987287" w:rsidRDefault="00072C98" w:rsidP="00987287">
      <w:pPr>
        <w:widowControl w:val="0"/>
        <w:autoSpaceDE w:val="0"/>
        <w:autoSpaceDN w:val="0"/>
        <w:adjustRightInd w:val="0"/>
        <w:spacing w:after="120" w:line="240" w:lineRule="auto"/>
        <w:ind w:firstLine="720"/>
        <w:rPr>
          <w:rFonts w:ascii="Garamond" w:eastAsia="Times New Roman" w:hAnsi="Garamond" w:cs="Times New Roman"/>
          <w:sz w:val="24"/>
          <w:szCs w:val="24"/>
        </w:rPr>
      </w:pPr>
      <w:r w:rsidRPr="00987287">
        <w:rPr>
          <w:rFonts w:ascii="Garamond" w:eastAsia="Times New Roman" w:hAnsi="Garamond" w:cs="Times New Roman"/>
          <w:sz w:val="24"/>
          <w:szCs w:val="24"/>
        </w:rPr>
        <w:t>In contrast to the analysis of board structure, there have been relatively few studies of the relation bet</w:t>
      </w:r>
      <w:r w:rsidR="005F5D83" w:rsidRPr="00987287">
        <w:rPr>
          <w:rFonts w:ascii="Garamond" w:eastAsia="Times New Roman" w:hAnsi="Garamond" w:cs="Times New Roman"/>
          <w:sz w:val="24"/>
          <w:szCs w:val="24"/>
        </w:rPr>
        <w:t>we</w:t>
      </w:r>
      <w:r w:rsidRPr="00987287">
        <w:rPr>
          <w:rFonts w:ascii="Garamond" w:eastAsia="Times New Roman" w:hAnsi="Garamond" w:cs="Times New Roman"/>
          <w:sz w:val="24"/>
          <w:szCs w:val="24"/>
        </w:rPr>
        <w:t>en ownership structure and the level of CEO compensation. Holderness and Sheehan (1988) provide evidence those managers who are majority shareholders (defined as individuals owning at least half but not all of the common stock) in publicly held corporations receive marginally higher salaries than other officers. Ho</w:t>
      </w:r>
      <w:r w:rsidR="005F5D83" w:rsidRPr="00987287">
        <w:rPr>
          <w:rFonts w:ascii="Garamond" w:eastAsia="Times New Roman" w:hAnsi="Garamond" w:cs="Times New Roman"/>
          <w:sz w:val="24"/>
          <w:szCs w:val="24"/>
        </w:rPr>
        <w:t>we</w:t>
      </w:r>
      <w:r w:rsidRPr="00987287">
        <w:rPr>
          <w:rFonts w:ascii="Garamond" w:eastAsia="Times New Roman" w:hAnsi="Garamond" w:cs="Times New Roman"/>
          <w:sz w:val="24"/>
          <w:szCs w:val="24"/>
        </w:rPr>
        <w:t xml:space="preserve">ver, Allen (1981) finds that the level of CEO compensation is a decreasing function of the equity held by the CEO (and his family), as </w:t>
      </w:r>
      <w:r w:rsidR="008B56FF" w:rsidRPr="00987287">
        <w:rPr>
          <w:rFonts w:ascii="Garamond" w:eastAsia="Times New Roman" w:hAnsi="Garamond" w:cs="Times New Roman"/>
          <w:sz w:val="24"/>
          <w:szCs w:val="24"/>
        </w:rPr>
        <w:t>we</w:t>
      </w:r>
      <w:r w:rsidRPr="00987287">
        <w:rPr>
          <w:rFonts w:ascii="Garamond" w:eastAsia="Times New Roman" w:hAnsi="Garamond" w:cs="Times New Roman"/>
          <w:sz w:val="24"/>
          <w:szCs w:val="24"/>
        </w:rPr>
        <w:t>ll as the extent of equity holdings by board members not related to the CEO. Lambert et al. (1993) find that CEO compensation is lo</w:t>
      </w:r>
      <w:r w:rsidR="005F5D83" w:rsidRPr="00987287">
        <w:rPr>
          <w:rFonts w:ascii="Garamond" w:eastAsia="Times New Roman" w:hAnsi="Garamond" w:cs="Times New Roman"/>
          <w:sz w:val="24"/>
          <w:szCs w:val="24"/>
        </w:rPr>
        <w:t>we</w:t>
      </w:r>
      <w:r w:rsidRPr="00987287">
        <w:rPr>
          <w:rFonts w:ascii="Garamond" w:eastAsia="Times New Roman" w:hAnsi="Garamond" w:cs="Times New Roman"/>
          <w:sz w:val="24"/>
          <w:szCs w:val="24"/>
        </w:rPr>
        <w:t xml:space="preserve">r when the CEO’s ownership is higher and when there is an internal member on the board other than the CEO who owns at least 5% of the shares. Finally, using a sample of Canadian companies (30% of which have multiple classes of voting stock), Core et al. (2002a) finds that CEO compensation is increasing in insider control of share votes and decreasing in insider ownership of share value. </w:t>
      </w:r>
    </w:p>
    <w:p w:rsidR="00AC6C11" w:rsidRPr="00987287" w:rsidRDefault="00AC6C11" w:rsidP="00987287">
      <w:pPr>
        <w:ind w:firstLine="720"/>
        <w:rPr>
          <w:rFonts w:ascii="Garamond" w:hAnsi="Garamond" w:cs="Times New Roman"/>
          <w:sz w:val="24"/>
          <w:szCs w:val="24"/>
        </w:rPr>
      </w:pPr>
      <w:r w:rsidRPr="00987287">
        <w:rPr>
          <w:rFonts w:ascii="Garamond" w:eastAsia="Times New Roman" w:hAnsi="Garamond" w:cs="Times New Roman"/>
          <w:sz w:val="24"/>
          <w:szCs w:val="24"/>
        </w:rPr>
        <w:t xml:space="preserve">Comparatively, executive compensation and CEO equity incentives have not been </w:t>
      </w:r>
      <w:r w:rsidR="0092098C">
        <w:rPr>
          <w:rFonts w:ascii="Garamond" w:eastAsia="Times New Roman" w:hAnsi="Garamond" w:cs="Times New Roman"/>
          <w:sz w:val="24"/>
          <w:szCs w:val="24"/>
        </w:rPr>
        <w:t>Well</w:t>
      </w:r>
      <w:r w:rsidRPr="00987287">
        <w:rPr>
          <w:rFonts w:ascii="Garamond" w:eastAsia="Times New Roman" w:hAnsi="Garamond" w:cs="Times New Roman"/>
          <w:sz w:val="24"/>
          <w:szCs w:val="24"/>
        </w:rPr>
        <w:t xml:space="preserve"> studies in emerging economies (Kato and Long, 2006). Moreover, little is known about how Chinese CEOs are compensated compared to those in developed countries. </w:t>
      </w:r>
      <w:r w:rsidRPr="00987287">
        <w:rPr>
          <w:rFonts w:ascii="Garamond" w:hAnsi="Garamond" w:cs="Times New Roman"/>
          <w:sz w:val="24"/>
          <w:szCs w:val="24"/>
        </w:rPr>
        <w:t>This paper contributes to the literature on executive compensation in emerging markets by, it is the first to look at pay-performance sensitivities and elasticities for listed financial</w:t>
      </w:r>
      <w:r w:rsidR="00AA5FB9" w:rsidRPr="00987287">
        <w:rPr>
          <w:rFonts w:ascii="Garamond" w:hAnsi="Garamond" w:cs="Times New Roman"/>
          <w:sz w:val="24"/>
          <w:szCs w:val="24"/>
        </w:rPr>
        <w:t xml:space="preserve"> firm</w:t>
      </w:r>
      <w:r w:rsidRPr="00987287">
        <w:rPr>
          <w:rFonts w:ascii="Garamond" w:hAnsi="Garamond" w:cs="Times New Roman"/>
          <w:sz w:val="24"/>
          <w:szCs w:val="24"/>
        </w:rPr>
        <w:t xml:space="preserve">s in China. Systematic research outside the US on executive compensation is still in its infancy, especially in emerging markets, this study aims to fill this gap. </w:t>
      </w:r>
    </w:p>
    <w:p w:rsidR="00BC226B" w:rsidRPr="00987287" w:rsidRDefault="00BC226B" w:rsidP="00987287">
      <w:pPr>
        <w:rPr>
          <w:rFonts w:ascii="Garamond" w:hAnsi="Garamond" w:cs="Times New Roman"/>
          <w:b/>
          <w:sz w:val="24"/>
          <w:szCs w:val="24"/>
        </w:rPr>
      </w:pPr>
      <w:r w:rsidRPr="00987287">
        <w:rPr>
          <w:rFonts w:ascii="Garamond" w:hAnsi="Garamond" w:cs="Times New Roman"/>
          <w:b/>
          <w:sz w:val="24"/>
          <w:szCs w:val="24"/>
        </w:rPr>
        <w:t>Methodology and Model</w:t>
      </w:r>
    </w:p>
    <w:p w:rsidR="00C107BE" w:rsidRPr="00987287" w:rsidRDefault="00C107BE" w:rsidP="00987287">
      <w:pPr>
        <w:ind w:firstLine="720"/>
        <w:rPr>
          <w:rFonts w:ascii="Garamond" w:hAnsi="Garamond" w:cs="Times New Roman"/>
          <w:sz w:val="24"/>
          <w:szCs w:val="24"/>
        </w:rPr>
      </w:pPr>
      <w:r w:rsidRPr="00987287">
        <w:rPr>
          <w:rFonts w:ascii="Garamond" w:hAnsi="Garamond" w:cs="Times New Roman"/>
          <w:sz w:val="24"/>
          <w:szCs w:val="24"/>
        </w:rPr>
        <w:t xml:space="preserve">Most prior studies use the ratio of stock option based compensation to total compensation as a measure of compensation structure or the value of accumulated stock options as a measure of option based </w:t>
      </w:r>
      <w:r w:rsidR="005F5D83" w:rsidRPr="00987287">
        <w:rPr>
          <w:rFonts w:ascii="Garamond" w:hAnsi="Garamond" w:cs="Times New Roman"/>
          <w:sz w:val="24"/>
          <w:szCs w:val="24"/>
        </w:rPr>
        <w:t>we</w:t>
      </w:r>
      <w:r w:rsidRPr="00987287">
        <w:rPr>
          <w:rFonts w:ascii="Garamond" w:hAnsi="Garamond" w:cs="Times New Roman"/>
          <w:sz w:val="24"/>
          <w:szCs w:val="24"/>
        </w:rPr>
        <w:t>alth. Such compensation measures, ho</w:t>
      </w:r>
      <w:r w:rsidR="005F5D83" w:rsidRPr="00987287">
        <w:rPr>
          <w:rFonts w:ascii="Garamond" w:hAnsi="Garamond" w:cs="Times New Roman"/>
          <w:sz w:val="24"/>
          <w:szCs w:val="24"/>
        </w:rPr>
        <w:t>we</w:t>
      </w:r>
      <w:r w:rsidRPr="00987287">
        <w:rPr>
          <w:rFonts w:ascii="Garamond" w:hAnsi="Garamond" w:cs="Times New Roman"/>
          <w:sz w:val="24"/>
          <w:szCs w:val="24"/>
        </w:rPr>
        <w:t xml:space="preserve">ver, cannot precisely capture risk-taking incentives of managers induced by their compensation schemes. Core and </w:t>
      </w:r>
      <w:proofErr w:type="spellStart"/>
      <w:r w:rsidRPr="00987287">
        <w:rPr>
          <w:rFonts w:ascii="Garamond" w:hAnsi="Garamond" w:cs="Times New Roman"/>
          <w:sz w:val="24"/>
          <w:szCs w:val="24"/>
        </w:rPr>
        <w:t>Guay</w:t>
      </w:r>
      <w:proofErr w:type="spellEnd"/>
      <w:r w:rsidRPr="00987287">
        <w:rPr>
          <w:rFonts w:ascii="Garamond" w:hAnsi="Garamond" w:cs="Times New Roman"/>
          <w:sz w:val="24"/>
          <w:szCs w:val="24"/>
        </w:rPr>
        <w:t xml:space="preserve"> (2002a) argue such measures are noisy proxies for </w:t>
      </w:r>
      <w:proofErr w:type="spellStart"/>
      <w:proofErr w:type="gramStart"/>
      <w:r w:rsidRPr="00987287">
        <w:rPr>
          <w:rFonts w:ascii="Garamond" w:hAnsi="Garamond" w:cs="Times New Roman"/>
          <w:sz w:val="24"/>
          <w:szCs w:val="24"/>
        </w:rPr>
        <w:t>vega</w:t>
      </w:r>
      <w:proofErr w:type="spellEnd"/>
      <w:proofErr w:type="gramEnd"/>
      <w:r w:rsidRPr="00987287">
        <w:rPr>
          <w:rFonts w:ascii="Garamond" w:hAnsi="Garamond" w:cs="Times New Roman"/>
          <w:sz w:val="24"/>
          <w:szCs w:val="24"/>
        </w:rPr>
        <w:t xml:space="preserve"> and delta.</w:t>
      </w:r>
      <w:r w:rsidRPr="00987287">
        <w:rPr>
          <w:rFonts w:ascii="Garamond" w:hAnsi="Garamond" w:cs="Times New Roman"/>
          <w:position w:val="9"/>
          <w:sz w:val="24"/>
          <w:szCs w:val="24"/>
          <w:vertAlign w:val="superscript"/>
        </w:rPr>
        <w:t xml:space="preserve"> </w:t>
      </w:r>
      <w:r w:rsidRPr="00987287">
        <w:rPr>
          <w:rFonts w:ascii="Garamond" w:hAnsi="Garamond" w:cs="Times New Roman"/>
          <w:sz w:val="24"/>
          <w:szCs w:val="24"/>
        </w:rPr>
        <w:t>For instance, a positive relation bet</w:t>
      </w:r>
      <w:r w:rsidR="005F5D83" w:rsidRPr="00987287">
        <w:rPr>
          <w:rFonts w:ascii="Garamond" w:hAnsi="Garamond" w:cs="Times New Roman"/>
          <w:sz w:val="24"/>
          <w:szCs w:val="24"/>
        </w:rPr>
        <w:t>we</w:t>
      </w:r>
      <w:r w:rsidRPr="00987287">
        <w:rPr>
          <w:rFonts w:ascii="Garamond" w:hAnsi="Garamond" w:cs="Times New Roman"/>
          <w:sz w:val="24"/>
          <w:szCs w:val="24"/>
        </w:rPr>
        <w:t xml:space="preserve">en the ratio of </w:t>
      </w:r>
      <w:r w:rsidRPr="00987287">
        <w:rPr>
          <w:rFonts w:ascii="Garamond" w:hAnsi="Garamond" w:cs="Times New Roman"/>
          <w:sz w:val="24"/>
          <w:szCs w:val="24"/>
        </w:rPr>
        <w:lastRenderedPageBreak/>
        <w:t xml:space="preserve">stock option compensation to total compensation and stock return volatilities could result from a certain factor having a positive effect on the volatility of stock returns. In such a case, the positive relation is not the result of greater incentives for risk-taking by managers due to the structure of their compensation. By estimating </w:t>
      </w:r>
      <w:proofErr w:type="spellStart"/>
      <w:proofErr w:type="gramStart"/>
      <w:r w:rsidRPr="00987287">
        <w:rPr>
          <w:rFonts w:ascii="Garamond" w:hAnsi="Garamond" w:cs="Times New Roman"/>
          <w:sz w:val="24"/>
          <w:szCs w:val="24"/>
        </w:rPr>
        <w:t>vega</w:t>
      </w:r>
      <w:proofErr w:type="spellEnd"/>
      <w:proofErr w:type="gramEnd"/>
      <w:r w:rsidRPr="00987287">
        <w:rPr>
          <w:rFonts w:ascii="Garamond" w:hAnsi="Garamond" w:cs="Times New Roman"/>
          <w:sz w:val="24"/>
          <w:szCs w:val="24"/>
        </w:rPr>
        <w:t xml:space="preserve"> and delta for managers’ option portfolio, I obtain a more precise measure of the incentives faced by managers rather than the potentially noisy proxies. Moreover, I include both </w:t>
      </w:r>
      <w:proofErr w:type="spellStart"/>
      <w:proofErr w:type="gramStart"/>
      <w:r w:rsidRPr="00987287">
        <w:rPr>
          <w:rFonts w:ascii="Garamond" w:hAnsi="Garamond" w:cs="Times New Roman"/>
          <w:sz w:val="24"/>
          <w:szCs w:val="24"/>
        </w:rPr>
        <w:t>vega</w:t>
      </w:r>
      <w:proofErr w:type="spellEnd"/>
      <w:proofErr w:type="gramEnd"/>
      <w:r w:rsidRPr="00987287">
        <w:rPr>
          <w:rFonts w:ascii="Garamond" w:hAnsi="Garamond" w:cs="Times New Roman"/>
          <w:sz w:val="24"/>
          <w:szCs w:val="24"/>
        </w:rPr>
        <w:t xml:space="preserve"> and delta into empirical models, which allows me to isolate the effect of </w:t>
      </w:r>
      <w:proofErr w:type="spellStart"/>
      <w:r w:rsidRPr="00987287">
        <w:rPr>
          <w:rFonts w:ascii="Garamond" w:hAnsi="Garamond" w:cs="Times New Roman"/>
          <w:sz w:val="24"/>
          <w:szCs w:val="24"/>
        </w:rPr>
        <w:t>vega</w:t>
      </w:r>
      <w:proofErr w:type="spellEnd"/>
      <w:r w:rsidRPr="00987287">
        <w:rPr>
          <w:rFonts w:ascii="Garamond" w:hAnsi="Garamond" w:cs="Times New Roman"/>
          <w:sz w:val="24"/>
          <w:szCs w:val="24"/>
        </w:rPr>
        <w:t xml:space="preserve"> and delta. With the exception of Rogers (2002) and Coles et al. (2006), prior studies tend to focus on one dimension of compensation structure, such as delta or </w:t>
      </w:r>
      <w:proofErr w:type="spellStart"/>
      <w:proofErr w:type="gramStart"/>
      <w:r w:rsidRPr="00987287">
        <w:rPr>
          <w:rFonts w:ascii="Garamond" w:hAnsi="Garamond" w:cs="Times New Roman"/>
          <w:sz w:val="24"/>
          <w:szCs w:val="24"/>
        </w:rPr>
        <w:t>vega</w:t>
      </w:r>
      <w:proofErr w:type="spellEnd"/>
      <w:proofErr w:type="gramEnd"/>
      <w:r w:rsidRPr="00987287">
        <w:rPr>
          <w:rFonts w:ascii="Garamond" w:hAnsi="Garamond" w:cs="Times New Roman"/>
          <w:sz w:val="24"/>
          <w:szCs w:val="24"/>
        </w:rPr>
        <w:t xml:space="preserve">, without controlling for the other. The mix of </w:t>
      </w:r>
      <w:proofErr w:type="spellStart"/>
      <w:proofErr w:type="gramStart"/>
      <w:r w:rsidRPr="00987287">
        <w:rPr>
          <w:rFonts w:ascii="Garamond" w:hAnsi="Garamond" w:cs="Times New Roman"/>
          <w:sz w:val="24"/>
          <w:szCs w:val="24"/>
        </w:rPr>
        <w:t>vega</w:t>
      </w:r>
      <w:proofErr w:type="spellEnd"/>
      <w:proofErr w:type="gramEnd"/>
      <w:r w:rsidRPr="00987287">
        <w:rPr>
          <w:rFonts w:ascii="Garamond" w:hAnsi="Garamond" w:cs="Times New Roman"/>
          <w:sz w:val="24"/>
          <w:szCs w:val="24"/>
        </w:rPr>
        <w:t xml:space="preserve"> and delta are likely to have substantially cross-sectional differences and both affect risk-taking behavior (</w:t>
      </w:r>
      <w:proofErr w:type="spellStart"/>
      <w:r w:rsidRPr="00987287">
        <w:rPr>
          <w:rFonts w:ascii="Garamond" w:hAnsi="Garamond" w:cs="Times New Roman"/>
          <w:sz w:val="24"/>
          <w:szCs w:val="24"/>
        </w:rPr>
        <w:t>Guay</w:t>
      </w:r>
      <w:proofErr w:type="spellEnd"/>
      <w:r w:rsidRPr="00987287">
        <w:rPr>
          <w:rFonts w:ascii="Garamond" w:hAnsi="Garamond" w:cs="Times New Roman"/>
          <w:sz w:val="24"/>
          <w:szCs w:val="24"/>
        </w:rPr>
        <w:t>, 1999). Therefore, any attempt to isolate the relation bet</w:t>
      </w:r>
      <w:r w:rsidR="005F5D83" w:rsidRPr="00987287">
        <w:rPr>
          <w:rFonts w:ascii="Garamond" w:hAnsi="Garamond" w:cs="Times New Roman"/>
          <w:sz w:val="24"/>
          <w:szCs w:val="24"/>
        </w:rPr>
        <w:t>we</w:t>
      </w:r>
      <w:r w:rsidRPr="00987287">
        <w:rPr>
          <w:rFonts w:ascii="Garamond" w:hAnsi="Garamond" w:cs="Times New Roman"/>
          <w:sz w:val="24"/>
          <w:szCs w:val="24"/>
        </w:rPr>
        <w:t xml:space="preserve">en risk-taking investments and financial strategies and </w:t>
      </w:r>
      <w:proofErr w:type="spellStart"/>
      <w:proofErr w:type="gramStart"/>
      <w:r w:rsidRPr="00987287">
        <w:rPr>
          <w:rFonts w:ascii="Garamond" w:hAnsi="Garamond" w:cs="Times New Roman"/>
          <w:sz w:val="24"/>
          <w:szCs w:val="24"/>
        </w:rPr>
        <w:t>vega</w:t>
      </w:r>
      <w:proofErr w:type="spellEnd"/>
      <w:proofErr w:type="gramEnd"/>
      <w:r w:rsidRPr="00987287">
        <w:rPr>
          <w:rFonts w:ascii="Garamond" w:hAnsi="Garamond" w:cs="Times New Roman"/>
          <w:sz w:val="24"/>
          <w:szCs w:val="24"/>
        </w:rPr>
        <w:t xml:space="preserve"> should also control for delta. </w:t>
      </w:r>
    </w:p>
    <w:p w:rsidR="00C107BE" w:rsidRPr="00987287" w:rsidRDefault="00C107BE" w:rsidP="00987287">
      <w:pPr>
        <w:ind w:firstLine="720"/>
        <w:rPr>
          <w:rFonts w:ascii="Garamond" w:hAnsi="Garamond" w:cs="Times New Roman"/>
          <w:sz w:val="24"/>
          <w:szCs w:val="24"/>
        </w:rPr>
      </w:pPr>
      <w:r w:rsidRPr="00987287">
        <w:rPr>
          <w:rFonts w:ascii="Garamond" w:hAnsi="Garamond" w:cs="Times New Roman"/>
          <w:sz w:val="24"/>
          <w:szCs w:val="24"/>
        </w:rPr>
        <w:t>Moreover, very few studies on the association bet</w:t>
      </w:r>
      <w:r w:rsidR="005F5D83" w:rsidRPr="00987287">
        <w:rPr>
          <w:rFonts w:ascii="Garamond" w:hAnsi="Garamond" w:cs="Times New Roman"/>
          <w:sz w:val="24"/>
          <w:szCs w:val="24"/>
        </w:rPr>
        <w:t>we</w:t>
      </w:r>
      <w:r w:rsidRPr="00987287">
        <w:rPr>
          <w:rFonts w:ascii="Garamond" w:hAnsi="Garamond" w:cs="Times New Roman"/>
          <w:sz w:val="24"/>
          <w:szCs w:val="24"/>
        </w:rPr>
        <w:t>en risk and compensation structure allow estimation of the underlying causal relationships. Rogers (2002) questions if a positive association bet</w:t>
      </w:r>
      <w:r w:rsidR="005F5D83" w:rsidRPr="00987287">
        <w:rPr>
          <w:rFonts w:ascii="Garamond" w:hAnsi="Garamond" w:cs="Times New Roman"/>
          <w:sz w:val="24"/>
          <w:szCs w:val="24"/>
        </w:rPr>
        <w:t>we</w:t>
      </w:r>
      <w:r w:rsidRPr="00987287">
        <w:rPr>
          <w:rFonts w:ascii="Garamond" w:hAnsi="Garamond" w:cs="Times New Roman"/>
          <w:sz w:val="24"/>
          <w:szCs w:val="24"/>
        </w:rPr>
        <w:t xml:space="preserve">en stock return volatility and </w:t>
      </w:r>
      <w:proofErr w:type="spellStart"/>
      <w:proofErr w:type="gramStart"/>
      <w:r w:rsidRPr="00987287">
        <w:rPr>
          <w:rFonts w:ascii="Garamond" w:hAnsi="Garamond" w:cs="Times New Roman"/>
          <w:sz w:val="24"/>
          <w:szCs w:val="24"/>
        </w:rPr>
        <w:t>vega</w:t>
      </w:r>
      <w:proofErr w:type="spellEnd"/>
      <w:proofErr w:type="gramEnd"/>
      <w:r w:rsidRPr="00987287">
        <w:rPr>
          <w:rFonts w:ascii="Garamond" w:hAnsi="Garamond" w:cs="Times New Roman"/>
          <w:sz w:val="24"/>
          <w:szCs w:val="24"/>
        </w:rPr>
        <w:t xml:space="preserve"> indicates that </w:t>
      </w:r>
      <w:proofErr w:type="spellStart"/>
      <w:r w:rsidRPr="00987287">
        <w:rPr>
          <w:rFonts w:ascii="Garamond" w:hAnsi="Garamond" w:cs="Times New Roman"/>
          <w:sz w:val="24"/>
          <w:szCs w:val="24"/>
        </w:rPr>
        <w:t>vega</w:t>
      </w:r>
      <w:proofErr w:type="spellEnd"/>
      <w:r w:rsidRPr="00987287">
        <w:rPr>
          <w:rFonts w:ascii="Garamond" w:hAnsi="Garamond" w:cs="Times New Roman"/>
          <w:sz w:val="24"/>
          <w:szCs w:val="24"/>
        </w:rPr>
        <w:t xml:space="preserve"> is used to implement high-risk decisions, or does it suggest that some underlying and omitted primitive factor drives the association bet</w:t>
      </w:r>
      <w:r w:rsidR="005F5D83" w:rsidRPr="00987287">
        <w:rPr>
          <w:rFonts w:ascii="Garamond" w:hAnsi="Garamond" w:cs="Times New Roman"/>
          <w:sz w:val="24"/>
          <w:szCs w:val="24"/>
        </w:rPr>
        <w:t>we</w:t>
      </w:r>
      <w:r w:rsidRPr="00987287">
        <w:rPr>
          <w:rFonts w:ascii="Garamond" w:hAnsi="Garamond" w:cs="Times New Roman"/>
          <w:sz w:val="24"/>
          <w:szCs w:val="24"/>
        </w:rPr>
        <w:t xml:space="preserve">en </w:t>
      </w:r>
      <w:proofErr w:type="spellStart"/>
      <w:r w:rsidRPr="00987287">
        <w:rPr>
          <w:rFonts w:ascii="Garamond" w:hAnsi="Garamond" w:cs="Times New Roman"/>
          <w:sz w:val="24"/>
          <w:szCs w:val="24"/>
        </w:rPr>
        <w:t>vega</w:t>
      </w:r>
      <w:proofErr w:type="spellEnd"/>
      <w:r w:rsidRPr="00987287">
        <w:rPr>
          <w:rFonts w:ascii="Garamond" w:hAnsi="Garamond" w:cs="Times New Roman"/>
          <w:sz w:val="24"/>
          <w:szCs w:val="24"/>
        </w:rPr>
        <w:t xml:space="preserve"> and volatility? Similar questions arise over the association bet</w:t>
      </w:r>
      <w:r w:rsidR="005F5D83" w:rsidRPr="00987287">
        <w:rPr>
          <w:rFonts w:ascii="Garamond" w:hAnsi="Garamond" w:cs="Times New Roman"/>
          <w:sz w:val="24"/>
          <w:szCs w:val="24"/>
        </w:rPr>
        <w:t>we</w:t>
      </w:r>
      <w:r w:rsidRPr="00987287">
        <w:rPr>
          <w:rFonts w:ascii="Garamond" w:hAnsi="Garamond" w:cs="Times New Roman"/>
          <w:sz w:val="24"/>
          <w:szCs w:val="24"/>
        </w:rPr>
        <w:t xml:space="preserve">en </w:t>
      </w:r>
      <w:proofErr w:type="spellStart"/>
      <w:proofErr w:type="gramStart"/>
      <w:r w:rsidRPr="00987287">
        <w:rPr>
          <w:rFonts w:ascii="Garamond" w:hAnsi="Garamond" w:cs="Times New Roman"/>
          <w:sz w:val="24"/>
          <w:szCs w:val="24"/>
        </w:rPr>
        <w:t>vega</w:t>
      </w:r>
      <w:proofErr w:type="spellEnd"/>
      <w:proofErr w:type="gramEnd"/>
      <w:r w:rsidRPr="00987287">
        <w:rPr>
          <w:rFonts w:ascii="Garamond" w:hAnsi="Garamond" w:cs="Times New Roman"/>
          <w:sz w:val="24"/>
          <w:szCs w:val="24"/>
        </w:rPr>
        <w:t xml:space="preserve"> and other managerial decisions. All of these examples imply that causation is likely to run in both directions for </w:t>
      </w:r>
      <w:proofErr w:type="spellStart"/>
      <w:proofErr w:type="gramStart"/>
      <w:r w:rsidRPr="00987287">
        <w:rPr>
          <w:rFonts w:ascii="Garamond" w:hAnsi="Garamond" w:cs="Times New Roman"/>
          <w:sz w:val="24"/>
          <w:szCs w:val="24"/>
        </w:rPr>
        <w:t>vega</w:t>
      </w:r>
      <w:proofErr w:type="spellEnd"/>
      <w:proofErr w:type="gramEnd"/>
      <w:r w:rsidRPr="00987287">
        <w:rPr>
          <w:rFonts w:ascii="Garamond" w:hAnsi="Garamond" w:cs="Times New Roman"/>
          <w:sz w:val="24"/>
          <w:szCs w:val="24"/>
        </w:rPr>
        <w:t xml:space="preserve"> and delta. It is critical to account for how investment choices and characteristics of the managerial compensation schemes are jointly determined. When both compensation characteristics and managerial decisions are endogenous, OLS results are not appropriate because the </w:t>
      </w:r>
      <w:r w:rsidR="005F5D83" w:rsidRPr="00987287">
        <w:rPr>
          <w:rFonts w:ascii="Garamond" w:hAnsi="Garamond" w:cs="Times New Roman"/>
          <w:sz w:val="24"/>
          <w:szCs w:val="24"/>
        </w:rPr>
        <w:t>orthogonality</w:t>
      </w:r>
      <w:r w:rsidRPr="00987287">
        <w:rPr>
          <w:rFonts w:ascii="Garamond" w:hAnsi="Garamond" w:cs="Times New Roman"/>
          <w:sz w:val="24"/>
          <w:szCs w:val="24"/>
        </w:rPr>
        <w:t xml:space="preserve"> assumption is violated, and the use of OLS leads to biased and inconsistent parameter estimates. The usual t and F tests for these parameters are no longer valid. </w:t>
      </w:r>
    </w:p>
    <w:p w:rsidR="00C107BE" w:rsidRPr="00987287" w:rsidRDefault="00C107BE" w:rsidP="00987287">
      <w:pPr>
        <w:spacing w:after="0" w:line="240" w:lineRule="auto"/>
        <w:ind w:firstLine="720"/>
        <w:jc w:val="both"/>
        <w:rPr>
          <w:rFonts w:ascii="Garamond" w:hAnsi="Garamond" w:cs="Times New Roman"/>
          <w:sz w:val="24"/>
          <w:szCs w:val="24"/>
        </w:rPr>
      </w:pPr>
      <w:r w:rsidRPr="00987287">
        <w:rPr>
          <w:rFonts w:ascii="Garamond" w:hAnsi="Garamond" w:cs="Times New Roman"/>
          <w:sz w:val="24"/>
          <w:szCs w:val="24"/>
        </w:rPr>
        <w:t xml:space="preserve">The primary characteristic of compensation considered in this study is the sensitivity of CEO </w:t>
      </w:r>
      <w:r w:rsidR="005F5D83" w:rsidRPr="00987287">
        <w:rPr>
          <w:rFonts w:ascii="Garamond" w:hAnsi="Garamond" w:cs="Times New Roman"/>
          <w:sz w:val="24"/>
          <w:szCs w:val="24"/>
        </w:rPr>
        <w:t>we</w:t>
      </w:r>
      <w:r w:rsidRPr="00987287">
        <w:rPr>
          <w:rFonts w:ascii="Garamond" w:hAnsi="Garamond" w:cs="Times New Roman"/>
          <w:sz w:val="24"/>
          <w:szCs w:val="24"/>
        </w:rPr>
        <w:t xml:space="preserve">alth to stock return volatility, or </w:t>
      </w:r>
      <w:proofErr w:type="spellStart"/>
      <w:proofErr w:type="gramStart"/>
      <w:r w:rsidRPr="00987287">
        <w:rPr>
          <w:rFonts w:ascii="Garamond" w:hAnsi="Garamond" w:cs="Times New Roman"/>
          <w:sz w:val="24"/>
          <w:szCs w:val="24"/>
        </w:rPr>
        <w:t>vega</w:t>
      </w:r>
      <w:proofErr w:type="spellEnd"/>
      <w:proofErr w:type="gramEnd"/>
      <w:r w:rsidRPr="00987287">
        <w:rPr>
          <w:rFonts w:ascii="Garamond" w:hAnsi="Garamond" w:cs="Times New Roman"/>
          <w:sz w:val="24"/>
          <w:szCs w:val="24"/>
        </w:rPr>
        <w:t xml:space="preserve">. Vega is defined as the change in the dollar value of the executive’s </w:t>
      </w:r>
      <w:r w:rsidR="005F5D83" w:rsidRPr="00987287">
        <w:rPr>
          <w:rFonts w:ascii="Garamond" w:hAnsi="Garamond" w:cs="Times New Roman"/>
          <w:sz w:val="24"/>
          <w:szCs w:val="24"/>
        </w:rPr>
        <w:t>we</w:t>
      </w:r>
      <w:r w:rsidRPr="00987287">
        <w:rPr>
          <w:rFonts w:ascii="Garamond" w:hAnsi="Garamond" w:cs="Times New Roman"/>
          <w:sz w:val="24"/>
          <w:szCs w:val="24"/>
        </w:rPr>
        <w:t xml:space="preserve">alth for a one percentage point change in the annualized standard deviation of stock returns. Delta is defined as the change in the dollar value of the executive’s </w:t>
      </w:r>
      <w:r w:rsidR="005F5D83" w:rsidRPr="00987287">
        <w:rPr>
          <w:rFonts w:ascii="Garamond" w:hAnsi="Garamond" w:cs="Times New Roman"/>
          <w:sz w:val="24"/>
          <w:szCs w:val="24"/>
        </w:rPr>
        <w:t>we</w:t>
      </w:r>
      <w:r w:rsidRPr="00987287">
        <w:rPr>
          <w:rFonts w:ascii="Garamond" w:hAnsi="Garamond" w:cs="Times New Roman"/>
          <w:sz w:val="24"/>
          <w:szCs w:val="24"/>
        </w:rPr>
        <w:t xml:space="preserve">alth for a one percentage point change in stock price. </w:t>
      </w:r>
      <w:proofErr w:type="spellStart"/>
      <w:r w:rsidRPr="00987287">
        <w:rPr>
          <w:rFonts w:ascii="Garamond" w:hAnsi="Garamond" w:cs="Times New Roman"/>
          <w:sz w:val="24"/>
          <w:szCs w:val="24"/>
        </w:rPr>
        <w:t>Guay</w:t>
      </w:r>
      <w:proofErr w:type="spellEnd"/>
      <w:r w:rsidRPr="00987287">
        <w:rPr>
          <w:rFonts w:ascii="Garamond" w:hAnsi="Garamond" w:cs="Times New Roman"/>
          <w:sz w:val="24"/>
          <w:szCs w:val="24"/>
        </w:rPr>
        <w:t xml:space="preserve"> (1999) shows that option </w:t>
      </w:r>
      <w:proofErr w:type="spellStart"/>
      <w:proofErr w:type="gramStart"/>
      <w:r w:rsidRPr="00987287">
        <w:rPr>
          <w:rFonts w:ascii="Garamond" w:hAnsi="Garamond" w:cs="Times New Roman"/>
          <w:sz w:val="24"/>
          <w:szCs w:val="24"/>
        </w:rPr>
        <w:t>vega</w:t>
      </w:r>
      <w:proofErr w:type="spellEnd"/>
      <w:proofErr w:type="gramEnd"/>
      <w:r w:rsidRPr="00987287">
        <w:rPr>
          <w:rFonts w:ascii="Garamond" w:hAnsi="Garamond" w:cs="Times New Roman"/>
          <w:sz w:val="24"/>
          <w:szCs w:val="24"/>
        </w:rPr>
        <w:t xml:space="preserve"> is many times higher than stock </w:t>
      </w:r>
      <w:proofErr w:type="spellStart"/>
      <w:r w:rsidRPr="00987287">
        <w:rPr>
          <w:rFonts w:ascii="Garamond" w:hAnsi="Garamond" w:cs="Times New Roman"/>
          <w:sz w:val="24"/>
          <w:szCs w:val="24"/>
        </w:rPr>
        <w:t>vega</w:t>
      </w:r>
      <w:proofErr w:type="spellEnd"/>
      <w:r w:rsidRPr="00987287">
        <w:rPr>
          <w:rFonts w:ascii="Garamond" w:hAnsi="Garamond" w:cs="Times New Roman"/>
          <w:sz w:val="24"/>
          <w:szCs w:val="24"/>
        </w:rPr>
        <w:t xml:space="preserve">. </w:t>
      </w:r>
      <w:proofErr w:type="spellStart"/>
      <w:r w:rsidRPr="00987287">
        <w:rPr>
          <w:rFonts w:ascii="Garamond" w:hAnsi="Garamond" w:cs="Times New Roman"/>
          <w:sz w:val="24"/>
          <w:szCs w:val="24"/>
        </w:rPr>
        <w:t>Rajgopal</w:t>
      </w:r>
      <w:proofErr w:type="spellEnd"/>
      <w:r w:rsidRPr="00987287">
        <w:rPr>
          <w:rFonts w:ascii="Garamond" w:hAnsi="Garamond" w:cs="Times New Roman"/>
          <w:sz w:val="24"/>
          <w:szCs w:val="24"/>
        </w:rPr>
        <w:t xml:space="preserve"> and </w:t>
      </w:r>
      <w:proofErr w:type="spellStart"/>
      <w:r w:rsidRPr="00987287">
        <w:rPr>
          <w:rFonts w:ascii="Garamond" w:hAnsi="Garamond" w:cs="Times New Roman"/>
          <w:sz w:val="24"/>
          <w:szCs w:val="24"/>
        </w:rPr>
        <w:t>Shevlin</w:t>
      </w:r>
      <w:proofErr w:type="spellEnd"/>
      <w:r w:rsidRPr="00987287">
        <w:rPr>
          <w:rFonts w:ascii="Garamond" w:hAnsi="Garamond" w:cs="Times New Roman"/>
          <w:sz w:val="24"/>
          <w:szCs w:val="24"/>
        </w:rPr>
        <w:t xml:space="preserve"> (2002), Rogers (2002) and Coles et al. (2006) adopt the same approach. The </w:t>
      </w:r>
      <w:proofErr w:type="spellStart"/>
      <w:proofErr w:type="gramStart"/>
      <w:r w:rsidRPr="00987287">
        <w:rPr>
          <w:rFonts w:ascii="Garamond" w:hAnsi="Garamond" w:cs="Times New Roman"/>
          <w:sz w:val="24"/>
          <w:szCs w:val="24"/>
        </w:rPr>
        <w:t>vega</w:t>
      </w:r>
      <w:proofErr w:type="spellEnd"/>
      <w:proofErr w:type="gramEnd"/>
      <w:r w:rsidRPr="00987287">
        <w:rPr>
          <w:rFonts w:ascii="Garamond" w:hAnsi="Garamond" w:cs="Times New Roman"/>
          <w:sz w:val="24"/>
          <w:szCs w:val="24"/>
        </w:rPr>
        <w:t xml:space="preserve"> and delta calculations follows </w:t>
      </w:r>
      <w:proofErr w:type="spellStart"/>
      <w:r w:rsidRPr="00987287">
        <w:rPr>
          <w:rFonts w:ascii="Garamond" w:hAnsi="Garamond" w:cs="Times New Roman"/>
          <w:sz w:val="24"/>
          <w:szCs w:val="24"/>
        </w:rPr>
        <w:t>Guay</w:t>
      </w:r>
      <w:proofErr w:type="spellEnd"/>
      <w:r w:rsidRPr="00987287">
        <w:rPr>
          <w:rFonts w:ascii="Garamond" w:hAnsi="Garamond" w:cs="Times New Roman"/>
          <w:sz w:val="24"/>
          <w:szCs w:val="24"/>
        </w:rPr>
        <w:t xml:space="preserve"> (1999) and Core and </w:t>
      </w:r>
      <w:proofErr w:type="spellStart"/>
      <w:r w:rsidRPr="00987287">
        <w:rPr>
          <w:rFonts w:ascii="Garamond" w:hAnsi="Garamond" w:cs="Times New Roman"/>
          <w:sz w:val="24"/>
          <w:szCs w:val="24"/>
        </w:rPr>
        <w:t>Guay</w:t>
      </w:r>
      <w:proofErr w:type="spellEnd"/>
      <w:r w:rsidRPr="00987287">
        <w:rPr>
          <w:rFonts w:ascii="Garamond" w:hAnsi="Garamond" w:cs="Times New Roman"/>
          <w:sz w:val="24"/>
          <w:szCs w:val="24"/>
        </w:rPr>
        <w:t xml:space="preserve"> (2002a). Vega is computed as the partial derivative of the Black-Scholes option pricing model with respect to stock return volatility as follows:</w:t>
      </w:r>
    </w:p>
    <w:p w:rsidR="00C107BE" w:rsidRPr="00987287" w:rsidRDefault="00C107BE" w:rsidP="00987287">
      <w:pPr>
        <w:spacing w:after="0" w:line="240" w:lineRule="auto"/>
        <w:ind w:firstLine="720"/>
        <w:jc w:val="both"/>
        <w:rPr>
          <w:rFonts w:ascii="Garamond" w:hAnsi="Garamond" w:cs="Times New Roman"/>
          <w:sz w:val="24"/>
          <w:szCs w:val="24"/>
        </w:rPr>
      </w:pPr>
    </w:p>
    <w:p w:rsidR="00C107BE" w:rsidRPr="00987287" w:rsidRDefault="00C107BE" w:rsidP="00987287">
      <w:pPr>
        <w:spacing w:after="120" w:line="480" w:lineRule="auto"/>
        <w:jc w:val="both"/>
        <w:rPr>
          <w:rFonts w:ascii="Garamond" w:hAnsi="Garamond" w:cs="Times New Roman"/>
          <w:sz w:val="24"/>
          <w:szCs w:val="24"/>
        </w:rPr>
      </w:pPr>
      <w:r w:rsidRPr="00987287">
        <w:rPr>
          <w:rFonts w:ascii="Garamond" w:hAnsi="Garamond" w:cs="Times New Roman"/>
          <w:position w:val="-30"/>
          <w:sz w:val="24"/>
          <w:szCs w:val="24"/>
        </w:rPr>
        <w:object w:dxaOrig="373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55pt;height:33.4pt" o:ole="">
            <v:imagedata r:id="rId8" o:title=""/>
          </v:shape>
          <o:OLEObject Type="Embed" ProgID="Equation.3" ShapeID="_x0000_i1025" DrawAspect="Content" ObjectID="_1563267093" r:id="rId9"/>
        </w:object>
      </w:r>
      <w:r w:rsidRPr="00987287">
        <w:rPr>
          <w:rFonts w:ascii="Garamond" w:hAnsi="Garamond" w:cs="Times New Roman"/>
          <w:sz w:val="24"/>
          <w:szCs w:val="24"/>
        </w:rPr>
        <w:t xml:space="preserve">,        </w:t>
      </w:r>
    </w:p>
    <w:p w:rsidR="00C107BE" w:rsidRPr="00987287" w:rsidRDefault="00C107BE" w:rsidP="00987287">
      <w:pPr>
        <w:spacing w:after="0" w:line="240" w:lineRule="auto"/>
        <w:ind w:firstLine="720"/>
        <w:jc w:val="both"/>
        <w:rPr>
          <w:rFonts w:ascii="Garamond" w:hAnsi="Garamond" w:cs="Times New Roman"/>
          <w:sz w:val="24"/>
          <w:szCs w:val="24"/>
        </w:rPr>
      </w:pPr>
      <w:r w:rsidRPr="00987287">
        <w:rPr>
          <w:rFonts w:ascii="Garamond" w:hAnsi="Garamond" w:cs="Times New Roman"/>
          <w:sz w:val="24"/>
          <w:szCs w:val="24"/>
        </w:rPr>
        <w:t xml:space="preserve">Where </w:t>
      </w:r>
      <w:r w:rsidRPr="00987287">
        <w:rPr>
          <w:rFonts w:ascii="Garamond" w:hAnsi="Garamond" w:cs="Times New Roman"/>
          <w:position w:val="-6"/>
          <w:sz w:val="24"/>
          <w:szCs w:val="24"/>
        </w:rPr>
        <w:object w:dxaOrig="320" w:dyaOrig="279">
          <v:shape id="_x0000_i1026" type="#_x0000_t75" style="width:15.5pt;height:14.3pt" o:ole="">
            <v:imagedata r:id="rId10" o:title=""/>
          </v:shape>
          <o:OLEObject Type="Embed" ProgID="Equation.3" ShapeID="_x0000_i1026" DrawAspect="Content" ObjectID="_1563267094" r:id="rId11"/>
        </w:object>
      </w:r>
      <w:r w:rsidRPr="00987287">
        <w:rPr>
          <w:rFonts w:ascii="Garamond" w:hAnsi="Garamond" w:cs="Times New Roman"/>
          <w:sz w:val="24"/>
          <w:szCs w:val="24"/>
        </w:rPr>
        <w:t xml:space="preserve">is the normal density </w:t>
      </w:r>
      <w:proofErr w:type="gramStart"/>
      <w:r w:rsidRPr="00987287">
        <w:rPr>
          <w:rFonts w:ascii="Garamond" w:hAnsi="Garamond" w:cs="Times New Roman"/>
          <w:sz w:val="24"/>
          <w:szCs w:val="24"/>
        </w:rPr>
        <w:t>function.</w:t>
      </w:r>
      <w:proofErr w:type="gramEnd"/>
      <w:r w:rsidRPr="00987287">
        <w:rPr>
          <w:rFonts w:ascii="Garamond" w:hAnsi="Garamond" w:cs="Times New Roman"/>
          <w:sz w:val="24"/>
          <w:szCs w:val="24"/>
        </w:rPr>
        <w:t xml:space="preserve"> The dollar value measures the magnitude of managers’ incentives of risk-taking. Indeed, the higher the sensitivity of the manager’s compensation to risk the more he/she gains from increasing risk. Therefore, this measure captures directly the incentives of executives to increase risk. The sensitivity with respect to a 1% change in stock price, delta, is partial derivative with respect to stock price: </w:t>
      </w:r>
    </w:p>
    <w:p w:rsidR="00C107BE" w:rsidRPr="00987287" w:rsidRDefault="00C107BE" w:rsidP="00987287">
      <w:pPr>
        <w:spacing w:after="0" w:line="240" w:lineRule="auto"/>
        <w:jc w:val="both"/>
        <w:rPr>
          <w:rFonts w:ascii="Garamond" w:hAnsi="Garamond" w:cs="Times New Roman"/>
          <w:sz w:val="24"/>
          <w:szCs w:val="24"/>
        </w:rPr>
      </w:pPr>
    </w:p>
    <w:p w:rsidR="00C107BE" w:rsidRPr="00987287" w:rsidRDefault="00C107BE" w:rsidP="00987287">
      <w:pPr>
        <w:spacing w:after="120" w:line="480" w:lineRule="auto"/>
        <w:jc w:val="both"/>
        <w:rPr>
          <w:rFonts w:ascii="Garamond" w:hAnsi="Garamond" w:cs="Times New Roman"/>
          <w:sz w:val="24"/>
          <w:szCs w:val="24"/>
        </w:rPr>
      </w:pPr>
      <w:r w:rsidRPr="00987287">
        <w:rPr>
          <w:rFonts w:ascii="Garamond" w:hAnsi="Garamond" w:cs="Times New Roman"/>
          <w:position w:val="-30"/>
          <w:sz w:val="24"/>
          <w:szCs w:val="24"/>
        </w:rPr>
        <w:object w:dxaOrig="4480" w:dyaOrig="700">
          <v:shape id="_x0000_i1027" type="#_x0000_t75" style="width:224.75pt;height:35.4pt" o:ole="">
            <v:imagedata r:id="rId12" o:title=""/>
          </v:shape>
          <o:OLEObject Type="Embed" ProgID="Equation.3" ShapeID="_x0000_i1027" DrawAspect="Content" ObjectID="_1563267095" r:id="rId13"/>
        </w:object>
      </w:r>
      <w:r w:rsidRPr="00987287">
        <w:rPr>
          <w:rFonts w:ascii="Garamond" w:hAnsi="Garamond" w:cs="Times New Roman"/>
          <w:sz w:val="24"/>
          <w:szCs w:val="24"/>
        </w:rPr>
        <w:t>,</w:t>
      </w:r>
    </w:p>
    <w:p w:rsidR="00C107BE" w:rsidRPr="00987287" w:rsidRDefault="00C107BE" w:rsidP="00987287">
      <w:pPr>
        <w:ind w:firstLine="720"/>
        <w:rPr>
          <w:rFonts w:ascii="Garamond" w:hAnsi="Garamond" w:cs="Times New Roman"/>
          <w:sz w:val="24"/>
          <w:szCs w:val="24"/>
        </w:rPr>
      </w:pPr>
      <w:r w:rsidRPr="00987287">
        <w:rPr>
          <w:rFonts w:ascii="Garamond" w:hAnsi="Garamond" w:cs="Times New Roman"/>
          <w:sz w:val="24"/>
          <w:szCs w:val="24"/>
        </w:rPr>
        <w:t>In this study, in order to avoid spurious inferences and to isolate causation, I apply 3 stage least square (3SLS) method follo</w:t>
      </w:r>
      <w:r w:rsidR="005F5D83" w:rsidRPr="00987287">
        <w:rPr>
          <w:rFonts w:ascii="Garamond" w:hAnsi="Garamond" w:cs="Times New Roman"/>
          <w:sz w:val="24"/>
          <w:szCs w:val="24"/>
        </w:rPr>
        <w:t>we</w:t>
      </w:r>
      <w:r w:rsidRPr="00987287">
        <w:rPr>
          <w:rFonts w:ascii="Garamond" w:hAnsi="Garamond" w:cs="Times New Roman"/>
          <w:sz w:val="24"/>
          <w:szCs w:val="24"/>
        </w:rPr>
        <w:t xml:space="preserve">d by Coles et al. (2006) and Yang (2010),  where one of the interested variables (bank risk, security underwriting, mortgage loan or write-offs), </w:t>
      </w:r>
      <w:proofErr w:type="spellStart"/>
      <w:r w:rsidRPr="00987287">
        <w:rPr>
          <w:rFonts w:ascii="Garamond" w:hAnsi="Garamond" w:cs="Times New Roman"/>
          <w:sz w:val="24"/>
          <w:szCs w:val="24"/>
        </w:rPr>
        <w:t>vega</w:t>
      </w:r>
      <w:proofErr w:type="spellEnd"/>
      <w:r w:rsidRPr="00987287">
        <w:rPr>
          <w:rFonts w:ascii="Garamond" w:hAnsi="Garamond" w:cs="Times New Roman"/>
          <w:sz w:val="24"/>
          <w:szCs w:val="24"/>
        </w:rPr>
        <w:t xml:space="preserve"> and delta, are contemporaneously determined to disentangle the causality bet</w:t>
      </w:r>
      <w:r w:rsidR="005F5D83" w:rsidRPr="00987287">
        <w:rPr>
          <w:rFonts w:ascii="Garamond" w:hAnsi="Garamond" w:cs="Times New Roman"/>
          <w:sz w:val="24"/>
          <w:szCs w:val="24"/>
        </w:rPr>
        <w:t>we</w:t>
      </w:r>
      <w:r w:rsidRPr="00987287">
        <w:rPr>
          <w:rFonts w:ascii="Garamond" w:hAnsi="Garamond" w:cs="Times New Roman"/>
          <w:sz w:val="24"/>
          <w:szCs w:val="24"/>
        </w:rPr>
        <w:t xml:space="preserve">en compensation incentives and risk-taking.  I used the model to testing: (1) How board and ownership structure affect banks’ CEOs’ incentive compensation, or </w:t>
      </w:r>
      <w:proofErr w:type="spellStart"/>
      <w:proofErr w:type="gramStart"/>
      <w:r w:rsidRPr="00987287">
        <w:rPr>
          <w:rFonts w:ascii="Garamond" w:hAnsi="Garamond" w:cs="Times New Roman"/>
          <w:sz w:val="24"/>
          <w:szCs w:val="24"/>
        </w:rPr>
        <w:t>vega</w:t>
      </w:r>
      <w:proofErr w:type="spellEnd"/>
      <w:proofErr w:type="gramEnd"/>
      <w:r w:rsidRPr="00987287">
        <w:rPr>
          <w:rFonts w:ascii="Garamond" w:hAnsi="Garamond" w:cs="Times New Roman"/>
          <w:sz w:val="24"/>
          <w:szCs w:val="24"/>
        </w:rPr>
        <w:t xml:space="preserve"> (controlling for delta), and (2) How equity-based compensation, </w:t>
      </w:r>
      <w:proofErr w:type="spellStart"/>
      <w:r w:rsidRPr="00987287">
        <w:rPr>
          <w:rFonts w:ascii="Garamond" w:hAnsi="Garamond" w:cs="Times New Roman"/>
          <w:sz w:val="24"/>
          <w:szCs w:val="24"/>
        </w:rPr>
        <w:t>vega</w:t>
      </w:r>
      <w:proofErr w:type="spellEnd"/>
      <w:r w:rsidRPr="00987287">
        <w:rPr>
          <w:rFonts w:ascii="Garamond" w:hAnsi="Garamond" w:cs="Times New Roman"/>
          <w:sz w:val="24"/>
          <w:szCs w:val="24"/>
        </w:rPr>
        <w:t xml:space="preserve"> and delta, affect banks’ risk-raking investments.</w:t>
      </w:r>
    </w:p>
    <w:p w:rsidR="00C107BE" w:rsidRPr="00987287" w:rsidRDefault="00C107BE" w:rsidP="00987287">
      <w:pPr>
        <w:spacing w:after="0" w:line="240" w:lineRule="auto"/>
        <w:ind w:firstLine="720"/>
        <w:rPr>
          <w:rFonts w:ascii="Garamond" w:hAnsi="Garamond" w:cs="Times New Roman"/>
          <w:sz w:val="24"/>
          <w:szCs w:val="24"/>
        </w:rPr>
      </w:pPr>
      <w:r w:rsidRPr="00987287">
        <w:rPr>
          <w:rFonts w:ascii="Garamond" w:hAnsi="Garamond" w:cs="Times New Roman"/>
          <w:sz w:val="24"/>
          <w:szCs w:val="24"/>
        </w:rPr>
        <w:t>In order to assess the relation bet</w:t>
      </w:r>
      <w:r w:rsidR="005F5D83" w:rsidRPr="00987287">
        <w:rPr>
          <w:rFonts w:ascii="Garamond" w:hAnsi="Garamond" w:cs="Times New Roman"/>
          <w:sz w:val="24"/>
          <w:szCs w:val="24"/>
        </w:rPr>
        <w:t>we</w:t>
      </w:r>
      <w:r w:rsidRPr="00987287">
        <w:rPr>
          <w:rFonts w:ascii="Garamond" w:hAnsi="Garamond" w:cs="Times New Roman"/>
          <w:sz w:val="24"/>
          <w:szCs w:val="24"/>
        </w:rPr>
        <w:t xml:space="preserve">en board and ownership structure and </w:t>
      </w:r>
      <w:proofErr w:type="spellStart"/>
      <w:r w:rsidRPr="00987287">
        <w:rPr>
          <w:rFonts w:ascii="Garamond" w:hAnsi="Garamond" w:cs="Times New Roman"/>
          <w:sz w:val="24"/>
          <w:szCs w:val="24"/>
        </w:rPr>
        <w:t>vega</w:t>
      </w:r>
      <w:proofErr w:type="spellEnd"/>
      <w:r w:rsidRPr="00987287">
        <w:rPr>
          <w:rFonts w:ascii="Garamond" w:hAnsi="Garamond" w:cs="Times New Roman"/>
          <w:sz w:val="24"/>
          <w:szCs w:val="24"/>
        </w:rPr>
        <w:t xml:space="preserve"> and bank risk, I apply a three-simultaneous-equation using a 3 Stage Least Square (3SLS) method in which </w:t>
      </w:r>
      <w:proofErr w:type="spellStart"/>
      <w:r w:rsidRPr="00987287">
        <w:rPr>
          <w:rFonts w:ascii="Garamond" w:hAnsi="Garamond" w:cs="Times New Roman"/>
          <w:sz w:val="24"/>
          <w:szCs w:val="24"/>
        </w:rPr>
        <w:t>vega</w:t>
      </w:r>
      <w:proofErr w:type="spellEnd"/>
      <w:r w:rsidRPr="00987287">
        <w:rPr>
          <w:rFonts w:ascii="Garamond" w:hAnsi="Garamond" w:cs="Times New Roman"/>
          <w:sz w:val="24"/>
          <w:szCs w:val="24"/>
        </w:rPr>
        <w:t>, delta, and bank risk are all treated as endogenous variables and are jointly determined. The 3SLS estimate could avoid spurious inferences in OLS estimate and provide asymptotically correct estimates of the standard errors (</w:t>
      </w:r>
      <w:proofErr w:type="spellStart"/>
      <w:r w:rsidRPr="00987287">
        <w:rPr>
          <w:rFonts w:ascii="Garamond" w:hAnsi="Garamond" w:cs="Times New Roman"/>
          <w:sz w:val="24"/>
          <w:szCs w:val="24"/>
        </w:rPr>
        <w:t>Sawa</w:t>
      </w:r>
      <w:proofErr w:type="spellEnd"/>
      <w:r w:rsidRPr="00987287">
        <w:rPr>
          <w:rFonts w:ascii="Garamond" w:hAnsi="Garamond" w:cs="Times New Roman"/>
          <w:sz w:val="24"/>
          <w:szCs w:val="24"/>
        </w:rPr>
        <w:t xml:space="preserve">, 1969). While I focus on </w:t>
      </w:r>
      <w:proofErr w:type="spellStart"/>
      <w:proofErr w:type="gramStart"/>
      <w:r w:rsidRPr="00987287">
        <w:rPr>
          <w:rFonts w:ascii="Garamond" w:hAnsi="Garamond" w:cs="Times New Roman"/>
          <w:sz w:val="24"/>
          <w:szCs w:val="24"/>
        </w:rPr>
        <w:t>vega</w:t>
      </w:r>
      <w:proofErr w:type="spellEnd"/>
      <w:proofErr w:type="gramEnd"/>
      <w:r w:rsidRPr="00987287">
        <w:rPr>
          <w:rFonts w:ascii="Garamond" w:hAnsi="Garamond" w:cs="Times New Roman"/>
          <w:sz w:val="24"/>
          <w:szCs w:val="24"/>
        </w:rPr>
        <w:t xml:space="preserve"> as the primary explanatory variable, here and in subsequent sections, all model specifications include both delta and control variables based on evidence elsewhere in the literature. Accordingly, I control for </w:t>
      </w:r>
      <w:r w:rsidR="00AA5FB9" w:rsidRPr="00987287">
        <w:rPr>
          <w:rFonts w:ascii="Garamond" w:hAnsi="Garamond" w:cs="Times New Roman"/>
          <w:sz w:val="24"/>
          <w:szCs w:val="24"/>
        </w:rPr>
        <w:t>financial firm</w:t>
      </w:r>
      <w:r w:rsidRPr="00987287">
        <w:rPr>
          <w:rFonts w:ascii="Garamond" w:hAnsi="Garamond" w:cs="Times New Roman"/>
          <w:sz w:val="24"/>
          <w:szCs w:val="24"/>
        </w:rPr>
        <w:t xml:space="preserve"> size, stock prices, </w:t>
      </w:r>
      <w:proofErr w:type="gramStart"/>
      <w:r w:rsidRPr="00987287">
        <w:rPr>
          <w:rFonts w:ascii="Garamond" w:hAnsi="Garamond" w:cs="Times New Roman"/>
          <w:sz w:val="24"/>
          <w:szCs w:val="24"/>
        </w:rPr>
        <w:t>long</w:t>
      </w:r>
      <w:proofErr w:type="gramEnd"/>
      <w:r w:rsidRPr="00987287">
        <w:rPr>
          <w:rFonts w:ascii="Garamond" w:hAnsi="Garamond" w:cs="Times New Roman"/>
          <w:sz w:val="24"/>
          <w:szCs w:val="24"/>
        </w:rPr>
        <w:t>-term debt ratio and growth opportunities.  (</w:t>
      </w:r>
      <w:proofErr w:type="spellStart"/>
      <w:r w:rsidRPr="00987287">
        <w:rPr>
          <w:rFonts w:ascii="Garamond" w:hAnsi="Garamond" w:cs="Times New Roman"/>
          <w:sz w:val="24"/>
          <w:szCs w:val="24"/>
        </w:rPr>
        <w:t>Servaes</w:t>
      </w:r>
      <w:proofErr w:type="spellEnd"/>
      <w:r w:rsidRPr="00987287">
        <w:rPr>
          <w:rFonts w:ascii="Garamond" w:hAnsi="Garamond" w:cs="Times New Roman"/>
          <w:sz w:val="24"/>
          <w:szCs w:val="24"/>
        </w:rPr>
        <w:t xml:space="preserve">, 1994; </w:t>
      </w:r>
      <w:proofErr w:type="spellStart"/>
      <w:r w:rsidRPr="00987287">
        <w:rPr>
          <w:rFonts w:ascii="Garamond" w:hAnsi="Garamond" w:cs="Times New Roman"/>
          <w:sz w:val="24"/>
          <w:szCs w:val="24"/>
        </w:rPr>
        <w:t>Bhagat</w:t>
      </w:r>
      <w:proofErr w:type="spellEnd"/>
      <w:r w:rsidRPr="00987287">
        <w:rPr>
          <w:rFonts w:ascii="Garamond" w:hAnsi="Garamond" w:cs="Times New Roman"/>
          <w:sz w:val="24"/>
          <w:szCs w:val="24"/>
        </w:rPr>
        <w:t xml:space="preserve"> and </w:t>
      </w:r>
      <w:r w:rsidR="005F5D83" w:rsidRPr="00987287">
        <w:rPr>
          <w:rFonts w:ascii="Garamond" w:hAnsi="Garamond" w:cs="Times New Roman"/>
          <w:sz w:val="24"/>
          <w:szCs w:val="24"/>
        </w:rPr>
        <w:t>we</w:t>
      </w:r>
      <w:r w:rsidRPr="00987287">
        <w:rPr>
          <w:rFonts w:ascii="Garamond" w:hAnsi="Garamond" w:cs="Times New Roman"/>
          <w:sz w:val="24"/>
          <w:szCs w:val="24"/>
        </w:rPr>
        <w:t xml:space="preserve">lch, 1995; and </w:t>
      </w:r>
      <w:proofErr w:type="spellStart"/>
      <w:r w:rsidRPr="00987287">
        <w:rPr>
          <w:rFonts w:ascii="Garamond" w:hAnsi="Garamond" w:cs="Times New Roman"/>
          <w:sz w:val="24"/>
          <w:szCs w:val="24"/>
        </w:rPr>
        <w:t>Opler</w:t>
      </w:r>
      <w:proofErr w:type="spellEnd"/>
      <w:r w:rsidRPr="00987287">
        <w:rPr>
          <w:rFonts w:ascii="Garamond" w:hAnsi="Garamond" w:cs="Times New Roman"/>
          <w:sz w:val="24"/>
          <w:szCs w:val="24"/>
        </w:rPr>
        <w:t xml:space="preserve"> et al., 1999). An important reason to include control variables is to represent forces that drive both </w:t>
      </w:r>
      <w:proofErr w:type="spellStart"/>
      <w:proofErr w:type="gramStart"/>
      <w:r w:rsidRPr="00987287">
        <w:rPr>
          <w:rFonts w:ascii="Garamond" w:hAnsi="Garamond" w:cs="Times New Roman"/>
          <w:sz w:val="24"/>
          <w:szCs w:val="24"/>
        </w:rPr>
        <w:t>vega</w:t>
      </w:r>
      <w:proofErr w:type="spellEnd"/>
      <w:proofErr w:type="gramEnd"/>
      <w:r w:rsidRPr="00987287">
        <w:rPr>
          <w:rFonts w:ascii="Garamond" w:hAnsi="Garamond" w:cs="Times New Roman"/>
          <w:sz w:val="24"/>
          <w:szCs w:val="24"/>
        </w:rPr>
        <w:t xml:space="preserve"> and delta together with investment or financial strategies. The regression equations include, </w:t>
      </w:r>
    </w:p>
    <w:p w:rsidR="001E6AB9" w:rsidRPr="00987287" w:rsidRDefault="001E6AB9" w:rsidP="00987287">
      <w:pPr>
        <w:spacing w:after="0" w:line="240" w:lineRule="auto"/>
        <w:ind w:firstLine="720"/>
        <w:rPr>
          <w:rFonts w:ascii="Garamond" w:hAnsi="Garamond" w:cs="Times New Roman"/>
          <w:sz w:val="24"/>
          <w:szCs w:val="24"/>
        </w:rPr>
      </w:pPr>
    </w:p>
    <w:p w:rsidR="00C107BE" w:rsidRPr="00987287" w:rsidRDefault="00C107BE" w:rsidP="00987287">
      <w:pPr>
        <w:spacing w:after="120" w:line="240" w:lineRule="auto"/>
        <w:ind w:firstLine="720"/>
        <w:rPr>
          <w:rFonts w:ascii="Garamond" w:hAnsi="Garamond" w:cs="Times New Roman"/>
          <w:sz w:val="24"/>
          <w:szCs w:val="24"/>
        </w:rPr>
      </w:pPr>
      <w:r w:rsidRPr="00987287">
        <w:rPr>
          <w:rFonts w:ascii="Garamond" w:hAnsi="Garamond" w:cs="Times New Roman"/>
          <w:position w:val="-12"/>
          <w:sz w:val="24"/>
          <w:szCs w:val="24"/>
        </w:rPr>
        <w:object w:dxaOrig="5400" w:dyaOrig="360">
          <v:shape id="_x0000_i1028" type="#_x0000_t75" style="width:270.1pt;height:17.9pt" o:ole="">
            <v:imagedata r:id="rId14" o:title=""/>
          </v:shape>
          <o:OLEObject Type="Embed" ProgID="Equation.3" ShapeID="_x0000_i1028" DrawAspect="Content" ObjectID="_1563267096" r:id="rId15"/>
        </w:object>
      </w:r>
    </w:p>
    <w:p w:rsidR="00C107BE" w:rsidRPr="00987287" w:rsidRDefault="00C107BE" w:rsidP="00987287">
      <w:pPr>
        <w:spacing w:after="120" w:line="240" w:lineRule="auto"/>
        <w:ind w:firstLine="720"/>
        <w:rPr>
          <w:rFonts w:ascii="Garamond" w:hAnsi="Garamond" w:cs="Times New Roman"/>
          <w:sz w:val="24"/>
          <w:szCs w:val="24"/>
        </w:rPr>
      </w:pPr>
      <w:r w:rsidRPr="00987287">
        <w:rPr>
          <w:rFonts w:ascii="Garamond" w:hAnsi="Garamond" w:cs="Times New Roman"/>
          <w:position w:val="-12"/>
          <w:sz w:val="24"/>
          <w:szCs w:val="24"/>
        </w:rPr>
        <w:object w:dxaOrig="5400" w:dyaOrig="360">
          <v:shape id="_x0000_i1029" type="#_x0000_t75" style="width:270.1pt;height:17.9pt" o:ole="">
            <v:imagedata r:id="rId16" o:title=""/>
          </v:shape>
          <o:OLEObject Type="Embed" ProgID="Equation.3" ShapeID="_x0000_i1029" DrawAspect="Content" ObjectID="_1563267097" r:id="rId17"/>
        </w:object>
      </w:r>
    </w:p>
    <w:p w:rsidR="00C107BE" w:rsidRPr="00987287" w:rsidRDefault="00C107BE" w:rsidP="00987287">
      <w:pPr>
        <w:spacing w:after="240" w:line="240" w:lineRule="auto"/>
        <w:ind w:firstLine="720"/>
        <w:rPr>
          <w:rFonts w:ascii="Garamond" w:hAnsi="Garamond" w:cs="Times New Roman"/>
          <w:sz w:val="24"/>
          <w:szCs w:val="24"/>
        </w:rPr>
      </w:pPr>
      <w:r w:rsidRPr="00987287">
        <w:rPr>
          <w:rFonts w:ascii="Garamond" w:hAnsi="Garamond" w:cs="Times New Roman"/>
          <w:position w:val="-12"/>
          <w:sz w:val="24"/>
          <w:szCs w:val="24"/>
        </w:rPr>
        <w:object w:dxaOrig="5340" w:dyaOrig="360">
          <v:shape id="_x0000_i1030" type="#_x0000_t75" style="width:266.9pt;height:17.9pt" o:ole="">
            <v:imagedata r:id="rId18" o:title=""/>
          </v:shape>
          <o:OLEObject Type="Embed" ProgID="Equation.3" ShapeID="_x0000_i1030" DrawAspect="Content" ObjectID="_1563267098" r:id="rId19"/>
        </w:object>
      </w:r>
    </w:p>
    <w:p w:rsidR="00C107BE" w:rsidRPr="00987287" w:rsidRDefault="00C107BE" w:rsidP="00987287">
      <w:pPr>
        <w:spacing w:after="240" w:line="240" w:lineRule="auto"/>
        <w:ind w:firstLine="720"/>
        <w:rPr>
          <w:rFonts w:ascii="Garamond" w:hAnsi="Garamond" w:cs="Times New Roman"/>
          <w:sz w:val="24"/>
          <w:szCs w:val="24"/>
        </w:rPr>
      </w:pPr>
      <w:proofErr w:type="gramStart"/>
      <w:r w:rsidRPr="00987287">
        <w:rPr>
          <w:rFonts w:ascii="Garamond" w:hAnsi="Garamond" w:cs="Times New Roman"/>
          <w:sz w:val="24"/>
          <w:szCs w:val="24"/>
        </w:rPr>
        <w:t>where</w:t>
      </w:r>
      <w:proofErr w:type="gramEnd"/>
      <w:r w:rsidRPr="00987287">
        <w:rPr>
          <w:rFonts w:ascii="Garamond" w:hAnsi="Garamond" w:cs="Times New Roman"/>
          <w:sz w:val="24"/>
          <w:szCs w:val="24"/>
        </w:rPr>
        <w:t xml:space="preserve"> </w:t>
      </w:r>
      <w:r w:rsidRPr="00987287">
        <w:rPr>
          <w:rFonts w:ascii="Garamond" w:hAnsi="Garamond" w:cs="Times New Roman"/>
          <w:position w:val="-12"/>
          <w:sz w:val="24"/>
          <w:szCs w:val="24"/>
        </w:rPr>
        <w:object w:dxaOrig="360" w:dyaOrig="360">
          <v:shape id="_x0000_i1031" type="#_x0000_t75" style="width:17.9pt;height:17.9pt" o:ole="">
            <v:imagedata r:id="rId20" o:title=""/>
          </v:shape>
          <o:OLEObject Type="Embed" ProgID="Equation.3" ShapeID="_x0000_i1031" DrawAspect="Content" ObjectID="_1563267099" r:id="rId21"/>
        </w:object>
      </w:r>
      <w:r w:rsidRPr="00987287">
        <w:rPr>
          <w:rFonts w:ascii="Garamond" w:hAnsi="Garamond" w:cs="Times New Roman"/>
          <w:sz w:val="24"/>
          <w:szCs w:val="24"/>
        </w:rPr>
        <w:t xml:space="preserve">are the explanatory variables for </w:t>
      </w:r>
      <w:r w:rsidR="00AA5FB9" w:rsidRPr="00987287">
        <w:rPr>
          <w:rFonts w:ascii="Garamond" w:hAnsi="Garamond" w:cs="Times New Roman"/>
          <w:sz w:val="24"/>
          <w:szCs w:val="24"/>
        </w:rPr>
        <w:t>financial firm</w:t>
      </w:r>
      <w:r w:rsidRPr="00987287">
        <w:rPr>
          <w:rFonts w:ascii="Garamond" w:hAnsi="Garamond" w:cs="Times New Roman"/>
          <w:sz w:val="24"/>
          <w:szCs w:val="24"/>
        </w:rPr>
        <w:t xml:space="preserve"> risk equation, including </w:t>
      </w:r>
      <w:r w:rsidR="00AA5FB9" w:rsidRPr="00987287">
        <w:rPr>
          <w:rFonts w:ascii="Garamond" w:hAnsi="Garamond" w:cs="Times New Roman"/>
          <w:sz w:val="24"/>
          <w:szCs w:val="24"/>
        </w:rPr>
        <w:t>financial firm</w:t>
      </w:r>
      <w:r w:rsidRPr="00987287">
        <w:rPr>
          <w:rFonts w:ascii="Garamond" w:hAnsi="Garamond" w:cs="Times New Roman"/>
          <w:sz w:val="24"/>
          <w:szCs w:val="24"/>
        </w:rPr>
        <w:t xml:space="preserve"> size. </w:t>
      </w:r>
      <w:r w:rsidRPr="00987287">
        <w:rPr>
          <w:rFonts w:ascii="Garamond" w:hAnsi="Garamond" w:cs="Times New Roman"/>
          <w:position w:val="-12"/>
          <w:sz w:val="24"/>
          <w:szCs w:val="24"/>
        </w:rPr>
        <w:object w:dxaOrig="255" w:dyaOrig="360">
          <v:shape id="_x0000_i1032" type="#_x0000_t75" style="width:12.75pt;height:17.9pt" o:ole="">
            <v:imagedata r:id="rId22" o:title=""/>
          </v:shape>
          <o:OLEObject Type="Embed" ProgID="Equation.3" ShapeID="_x0000_i1032" DrawAspect="Content" ObjectID="_1563267100" r:id="rId23"/>
        </w:object>
      </w:r>
      <w:proofErr w:type="gramStart"/>
      <w:r w:rsidRPr="00987287">
        <w:rPr>
          <w:rFonts w:ascii="Garamond" w:hAnsi="Garamond" w:cs="Times New Roman"/>
          <w:sz w:val="24"/>
          <w:szCs w:val="24"/>
        </w:rPr>
        <w:t>are</w:t>
      </w:r>
      <w:proofErr w:type="gramEnd"/>
      <w:r w:rsidRPr="00987287">
        <w:rPr>
          <w:rFonts w:ascii="Garamond" w:hAnsi="Garamond" w:cs="Times New Roman"/>
          <w:sz w:val="24"/>
          <w:szCs w:val="24"/>
        </w:rPr>
        <w:t xml:space="preserve"> the explanatory variables for the equation of </w:t>
      </w:r>
      <w:proofErr w:type="spellStart"/>
      <w:r w:rsidRPr="00987287">
        <w:rPr>
          <w:rFonts w:ascii="Garamond" w:hAnsi="Garamond" w:cs="Times New Roman"/>
          <w:sz w:val="24"/>
          <w:szCs w:val="24"/>
        </w:rPr>
        <w:t>vega</w:t>
      </w:r>
      <w:proofErr w:type="spellEnd"/>
      <w:r w:rsidRPr="00987287">
        <w:rPr>
          <w:rFonts w:ascii="Garamond" w:hAnsi="Garamond" w:cs="Times New Roman"/>
          <w:sz w:val="24"/>
          <w:szCs w:val="24"/>
        </w:rPr>
        <w:t xml:space="preserve">, including </w:t>
      </w:r>
      <w:r w:rsidR="00AA5FB9" w:rsidRPr="00987287">
        <w:rPr>
          <w:rFonts w:ascii="Garamond" w:hAnsi="Garamond" w:cs="Times New Roman"/>
          <w:sz w:val="24"/>
          <w:szCs w:val="24"/>
        </w:rPr>
        <w:t>financial firm</w:t>
      </w:r>
      <w:r w:rsidRPr="00987287">
        <w:rPr>
          <w:rFonts w:ascii="Garamond" w:hAnsi="Garamond" w:cs="Times New Roman"/>
          <w:sz w:val="24"/>
          <w:szCs w:val="24"/>
        </w:rPr>
        <w:t xml:space="preserve"> size, growth opportunities (market value to book value of assets) and long-term debt ratio. </w:t>
      </w:r>
      <w:r w:rsidRPr="00987287">
        <w:rPr>
          <w:rFonts w:ascii="Garamond" w:hAnsi="Garamond" w:cs="Times New Roman"/>
          <w:position w:val="-12"/>
          <w:sz w:val="24"/>
          <w:szCs w:val="24"/>
        </w:rPr>
        <w:object w:dxaOrig="320" w:dyaOrig="360">
          <v:shape id="_x0000_i1033" type="#_x0000_t75" style="width:15.5pt;height:17.9pt" o:ole="">
            <v:imagedata r:id="rId24" o:title=""/>
          </v:shape>
          <o:OLEObject Type="Embed" ProgID="Equation.3" ShapeID="_x0000_i1033" DrawAspect="Content" ObjectID="_1563267101" r:id="rId25"/>
        </w:object>
      </w:r>
      <w:proofErr w:type="gramStart"/>
      <w:r w:rsidRPr="00987287">
        <w:rPr>
          <w:rFonts w:ascii="Garamond" w:hAnsi="Garamond" w:cs="Times New Roman"/>
          <w:sz w:val="24"/>
          <w:szCs w:val="24"/>
        </w:rPr>
        <w:t>are</w:t>
      </w:r>
      <w:proofErr w:type="gramEnd"/>
      <w:r w:rsidRPr="00987287">
        <w:rPr>
          <w:rFonts w:ascii="Garamond" w:hAnsi="Garamond" w:cs="Times New Roman"/>
          <w:sz w:val="24"/>
          <w:szCs w:val="24"/>
        </w:rPr>
        <w:t xml:space="preserve"> the explanatory variables for the equation of delta, including </w:t>
      </w:r>
      <w:r w:rsidR="00AA5FB9" w:rsidRPr="00987287">
        <w:rPr>
          <w:rFonts w:ascii="Garamond" w:hAnsi="Garamond" w:cs="Times New Roman"/>
          <w:sz w:val="24"/>
          <w:szCs w:val="24"/>
        </w:rPr>
        <w:t>financial firm</w:t>
      </w:r>
      <w:r w:rsidRPr="00987287">
        <w:rPr>
          <w:rFonts w:ascii="Garamond" w:hAnsi="Garamond" w:cs="Times New Roman"/>
          <w:sz w:val="24"/>
          <w:szCs w:val="24"/>
        </w:rPr>
        <w:t xml:space="preserve"> size and stock price. The reasons for choosing these variables as instrument variables are, first, they are informative for the dependent variables, and second, these variables are exogenous in the system equations. </w:t>
      </w:r>
      <w:r w:rsidRPr="00987287">
        <w:rPr>
          <w:rFonts w:ascii="Garamond" w:hAnsi="Garamond" w:cs="Times New Roman"/>
          <w:noProof/>
          <w:position w:val="-12"/>
          <w:sz w:val="24"/>
          <w:szCs w:val="24"/>
        </w:rPr>
        <w:drawing>
          <wp:inline distT="0" distB="0" distL="0" distR="0" wp14:anchorId="2C3FEA9B" wp14:editId="2B17F4D8">
            <wp:extent cx="182245" cy="2286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2245" cy="228600"/>
                    </a:xfrm>
                    <a:prstGeom prst="rect">
                      <a:avLst/>
                    </a:prstGeom>
                    <a:noFill/>
                    <a:ln>
                      <a:noFill/>
                    </a:ln>
                  </pic:spPr>
                </pic:pic>
              </a:graphicData>
            </a:graphic>
          </wp:inline>
        </w:drawing>
      </w:r>
      <w:r w:rsidRPr="00987287">
        <w:rPr>
          <w:rFonts w:ascii="Garamond" w:hAnsi="Garamond" w:cs="Times New Roman"/>
          <w:sz w:val="24"/>
          <w:szCs w:val="24"/>
        </w:rPr>
        <w:t xml:space="preserve">, </w:t>
      </w:r>
      <w:r w:rsidRPr="00987287">
        <w:rPr>
          <w:rFonts w:ascii="Garamond" w:hAnsi="Garamond" w:cs="Times New Roman"/>
          <w:noProof/>
          <w:position w:val="-12"/>
          <w:sz w:val="24"/>
          <w:szCs w:val="24"/>
        </w:rPr>
        <w:drawing>
          <wp:inline distT="0" distB="0" distL="0" distR="0" wp14:anchorId="5118CAF6" wp14:editId="3F2F224F">
            <wp:extent cx="1524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987287">
        <w:rPr>
          <w:rFonts w:ascii="Garamond" w:hAnsi="Garamond" w:cs="Times New Roman"/>
          <w:sz w:val="24"/>
          <w:szCs w:val="24"/>
        </w:rPr>
        <w:t xml:space="preserve">and </w:t>
      </w:r>
      <w:r w:rsidRPr="00987287">
        <w:rPr>
          <w:rFonts w:ascii="Garamond" w:hAnsi="Garamond" w:cs="Times New Roman"/>
          <w:position w:val="-12"/>
          <w:sz w:val="24"/>
          <w:szCs w:val="24"/>
        </w:rPr>
        <w:object w:dxaOrig="260" w:dyaOrig="360">
          <v:shape id="_x0000_i1034" type="#_x0000_t75" style="width:12.75pt;height:17.9pt" o:ole="">
            <v:imagedata r:id="rId28" o:title=""/>
          </v:shape>
          <o:OLEObject Type="Embed" ProgID="Equation.3" ShapeID="_x0000_i1034" DrawAspect="Content" ObjectID="_1563267102" r:id="rId29"/>
        </w:object>
      </w:r>
      <w:r w:rsidRPr="00987287">
        <w:rPr>
          <w:rFonts w:ascii="Garamond" w:hAnsi="Garamond" w:cs="Times New Roman"/>
          <w:sz w:val="24"/>
          <w:szCs w:val="24"/>
        </w:rPr>
        <w:t xml:space="preserve">represent a </w:t>
      </w:r>
      <w:r w:rsidR="00AA5FB9" w:rsidRPr="00987287">
        <w:rPr>
          <w:rFonts w:ascii="Garamond" w:hAnsi="Garamond" w:cs="Times New Roman"/>
          <w:sz w:val="24"/>
          <w:szCs w:val="24"/>
        </w:rPr>
        <w:t>financial firm</w:t>
      </w:r>
      <w:r w:rsidRPr="00987287">
        <w:rPr>
          <w:rFonts w:ascii="Garamond" w:hAnsi="Garamond" w:cs="Times New Roman"/>
          <w:sz w:val="24"/>
          <w:szCs w:val="24"/>
        </w:rPr>
        <w:t>-specific effect</w:t>
      </w:r>
      <w:proofErr w:type="gramStart"/>
      <w:r w:rsidRPr="00987287">
        <w:rPr>
          <w:rFonts w:ascii="Garamond" w:hAnsi="Garamond" w:cs="Times New Roman"/>
          <w:sz w:val="24"/>
          <w:szCs w:val="24"/>
        </w:rPr>
        <w:t xml:space="preserve">, </w:t>
      </w:r>
      <w:proofErr w:type="gramEnd"/>
      <w:r w:rsidRPr="00987287">
        <w:rPr>
          <w:rFonts w:ascii="Garamond" w:hAnsi="Garamond" w:cs="Times New Roman"/>
          <w:position w:val="-12"/>
          <w:sz w:val="24"/>
          <w:szCs w:val="24"/>
        </w:rPr>
        <w:object w:dxaOrig="240" w:dyaOrig="360">
          <v:shape id="_x0000_i1035" type="#_x0000_t75" style="width:11.95pt;height:17.9pt" o:ole="">
            <v:imagedata r:id="rId30" o:title=""/>
          </v:shape>
          <o:OLEObject Type="Embed" ProgID="Equation.3" ShapeID="_x0000_i1035" DrawAspect="Content" ObjectID="_1563267103" r:id="rId31"/>
        </w:object>
      </w:r>
      <w:r w:rsidRPr="00987287">
        <w:rPr>
          <w:rFonts w:ascii="Garamond" w:hAnsi="Garamond" w:cs="Times New Roman"/>
          <w:sz w:val="24"/>
          <w:szCs w:val="24"/>
        </w:rPr>
        <w:t xml:space="preserve">, </w:t>
      </w:r>
      <w:r w:rsidRPr="00987287">
        <w:rPr>
          <w:rFonts w:ascii="Garamond" w:hAnsi="Garamond" w:cs="Times New Roman"/>
          <w:position w:val="-12"/>
          <w:sz w:val="24"/>
          <w:szCs w:val="24"/>
        </w:rPr>
        <w:object w:dxaOrig="240" w:dyaOrig="360">
          <v:shape id="_x0000_i1036" type="#_x0000_t75" style="width:11.95pt;height:17.9pt" o:ole="">
            <v:imagedata r:id="rId32" o:title=""/>
          </v:shape>
          <o:OLEObject Type="Embed" ProgID="Equation.3" ShapeID="_x0000_i1036" DrawAspect="Content" ObjectID="_1563267104" r:id="rId33"/>
        </w:object>
      </w:r>
      <w:r w:rsidRPr="00987287">
        <w:rPr>
          <w:rFonts w:ascii="Garamond" w:hAnsi="Garamond" w:cs="Times New Roman"/>
          <w:sz w:val="24"/>
          <w:szCs w:val="24"/>
        </w:rPr>
        <w:t xml:space="preserve">and </w:t>
      </w:r>
      <w:r w:rsidRPr="00987287">
        <w:rPr>
          <w:rFonts w:ascii="Garamond" w:hAnsi="Garamond" w:cs="Times New Roman"/>
          <w:position w:val="-12"/>
          <w:sz w:val="24"/>
          <w:szCs w:val="24"/>
        </w:rPr>
        <w:object w:dxaOrig="240" w:dyaOrig="360">
          <v:shape id="_x0000_i1037" type="#_x0000_t75" style="width:11.95pt;height:17.9pt" o:ole="">
            <v:imagedata r:id="rId34" o:title=""/>
          </v:shape>
          <o:OLEObject Type="Embed" ProgID="Equation.3" ShapeID="_x0000_i1037" DrawAspect="Content" ObjectID="_1563267105" r:id="rId35"/>
        </w:object>
      </w:r>
      <w:r w:rsidRPr="00987287">
        <w:rPr>
          <w:rFonts w:ascii="Garamond" w:hAnsi="Garamond" w:cs="Times New Roman"/>
          <w:sz w:val="24"/>
          <w:szCs w:val="24"/>
        </w:rPr>
        <w:t>represent a cross-sectional time-specific effect, and</w:t>
      </w:r>
      <w:r w:rsidRPr="00987287">
        <w:rPr>
          <w:rFonts w:ascii="Garamond" w:hAnsi="Garamond" w:cs="Times New Roman"/>
          <w:noProof/>
          <w:position w:val="-12"/>
          <w:sz w:val="24"/>
          <w:szCs w:val="24"/>
        </w:rPr>
        <w:drawing>
          <wp:inline distT="0" distB="0" distL="0" distR="0" wp14:anchorId="0E441841" wp14:editId="65632A23">
            <wp:extent cx="182245" cy="2286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2245" cy="228600"/>
                    </a:xfrm>
                    <a:prstGeom prst="rect">
                      <a:avLst/>
                    </a:prstGeom>
                    <a:noFill/>
                    <a:ln>
                      <a:noFill/>
                    </a:ln>
                  </pic:spPr>
                </pic:pic>
              </a:graphicData>
            </a:graphic>
          </wp:inline>
        </w:drawing>
      </w:r>
      <w:r w:rsidRPr="00987287">
        <w:rPr>
          <w:rFonts w:ascii="Garamond" w:hAnsi="Garamond" w:cs="Times New Roman"/>
          <w:sz w:val="24"/>
          <w:szCs w:val="24"/>
        </w:rPr>
        <w:t xml:space="preserve">, </w:t>
      </w:r>
      <w:r w:rsidRPr="00987287">
        <w:rPr>
          <w:rFonts w:ascii="Garamond" w:hAnsi="Garamond" w:cs="Times New Roman"/>
          <w:position w:val="-12"/>
          <w:sz w:val="24"/>
          <w:szCs w:val="24"/>
        </w:rPr>
        <w:object w:dxaOrig="300" w:dyaOrig="360">
          <v:shape id="_x0000_i1038" type="#_x0000_t75" style="width:15.1pt;height:17.9pt" o:ole="">
            <v:imagedata r:id="rId37" o:title=""/>
          </v:shape>
          <o:OLEObject Type="Embed" ProgID="Equation.3" ShapeID="_x0000_i1038" DrawAspect="Content" ObjectID="_1563267106" r:id="rId38"/>
        </w:object>
      </w:r>
      <w:r w:rsidRPr="00987287">
        <w:rPr>
          <w:rFonts w:ascii="Garamond" w:hAnsi="Garamond" w:cs="Times New Roman"/>
          <w:sz w:val="24"/>
          <w:szCs w:val="24"/>
        </w:rPr>
        <w:t xml:space="preserve">and </w:t>
      </w:r>
      <w:r w:rsidRPr="00987287">
        <w:rPr>
          <w:rFonts w:ascii="Garamond" w:hAnsi="Garamond" w:cs="Times New Roman"/>
          <w:position w:val="-12"/>
          <w:sz w:val="24"/>
          <w:szCs w:val="24"/>
        </w:rPr>
        <w:object w:dxaOrig="279" w:dyaOrig="360">
          <v:shape id="_x0000_i1039" type="#_x0000_t75" style="width:14.3pt;height:17.9pt" o:ole="">
            <v:imagedata r:id="rId39" o:title=""/>
          </v:shape>
          <o:OLEObject Type="Embed" ProgID="Equation.3" ShapeID="_x0000_i1039" DrawAspect="Content" ObjectID="_1563267107" r:id="rId40"/>
        </w:object>
      </w:r>
      <w:r w:rsidRPr="00987287">
        <w:rPr>
          <w:rFonts w:ascii="Garamond" w:hAnsi="Garamond" w:cs="Times New Roman"/>
          <w:sz w:val="24"/>
          <w:szCs w:val="24"/>
        </w:rPr>
        <w:t xml:space="preserve"> captures the measurement errors. In the following sections, the 3SLS models are specified in a similar way, where the dependent variable in the first equation, bank risk, is replaced by one the of investment variables (security underwriting, mortgage loan, and write-offs). </w:t>
      </w:r>
    </w:p>
    <w:p w:rsidR="00BC226B" w:rsidRPr="00987287" w:rsidRDefault="00BC226B" w:rsidP="00987287">
      <w:pPr>
        <w:rPr>
          <w:rFonts w:ascii="Garamond" w:hAnsi="Garamond" w:cs="Times New Roman"/>
          <w:b/>
          <w:sz w:val="24"/>
          <w:szCs w:val="24"/>
        </w:rPr>
      </w:pPr>
      <w:r w:rsidRPr="00987287">
        <w:rPr>
          <w:rFonts w:ascii="Garamond" w:hAnsi="Garamond" w:cs="Times New Roman"/>
          <w:b/>
          <w:sz w:val="24"/>
          <w:szCs w:val="24"/>
        </w:rPr>
        <w:t>Data</w:t>
      </w:r>
    </w:p>
    <w:p w:rsidR="00BC226B" w:rsidRPr="00987287" w:rsidRDefault="00BC226B" w:rsidP="00987287">
      <w:pPr>
        <w:ind w:firstLine="720"/>
        <w:rPr>
          <w:rFonts w:ascii="Garamond" w:hAnsi="Garamond" w:cs="Times New Roman"/>
          <w:sz w:val="24"/>
          <w:szCs w:val="24"/>
        </w:rPr>
      </w:pPr>
      <w:r w:rsidRPr="00987287">
        <w:rPr>
          <w:rFonts w:ascii="Garamond" w:hAnsi="Garamond" w:cs="Times New Roman"/>
          <w:sz w:val="24"/>
          <w:szCs w:val="24"/>
        </w:rPr>
        <w:lastRenderedPageBreak/>
        <w:t xml:space="preserve">Executive compensation data for China listed companies </w:t>
      </w:r>
      <w:r w:rsidR="00C848F8">
        <w:rPr>
          <w:rFonts w:ascii="Garamond" w:hAnsi="Garamond" w:cs="Times New Roman"/>
          <w:sz w:val="24"/>
          <w:szCs w:val="24"/>
        </w:rPr>
        <w:t>we</w:t>
      </w:r>
      <w:r w:rsidRPr="00987287">
        <w:rPr>
          <w:rFonts w:ascii="Garamond" w:hAnsi="Garamond" w:cs="Times New Roman"/>
          <w:sz w:val="24"/>
          <w:szCs w:val="24"/>
        </w:rPr>
        <w:t xml:space="preserve">re not available until 1998. Since then, listed companies have been required to disclose top executive compensation. Required compensation disclosures in the annual report are total remuneration to the members of the board of directors, the supervisory board, and senior management. Compensation of the highest paid executive in the company is also disclosed and </w:t>
      </w:r>
      <w:r w:rsidR="00AA5FB9" w:rsidRPr="00987287">
        <w:rPr>
          <w:rFonts w:ascii="Garamond" w:hAnsi="Garamond" w:cs="Times New Roman"/>
          <w:sz w:val="24"/>
          <w:szCs w:val="24"/>
        </w:rPr>
        <w:t>I</w:t>
      </w:r>
      <w:r w:rsidRPr="00987287">
        <w:rPr>
          <w:rFonts w:ascii="Garamond" w:hAnsi="Garamond" w:cs="Times New Roman"/>
          <w:sz w:val="24"/>
          <w:szCs w:val="24"/>
        </w:rPr>
        <w:t xml:space="preserve"> use it as a proxy for the pay of the CEO. The pay is the total cash compensation and includes base salary, bonuses, and commissions. Bonus pay is incentive payment tied to </w:t>
      </w:r>
      <w:r w:rsidR="00AA5FB9" w:rsidRPr="00987287">
        <w:rPr>
          <w:rFonts w:ascii="Garamond" w:hAnsi="Garamond" w:cs="Times New Roman"/>
          <w:sz w:val="24"/>
          <w:szCs w:val="24"/>
        </w:rPr>
        <w:t>financial firm</w:t>
      </w:r>
      <w:r w:rsidRPr="00987287">
        <w:rPr>
          <w:rFonts w:ascii="Garamond" w:hAnsi="Garamond" w:cs="Times New Roman"/>
          <w:sz w:val="24"/>
          <w:szCs w:val="24"/>
        </w:rPr>
        <w:t xml:space="preserve"> performance. The sample include all non-financial corporations which have been listed on the stock exchanges of Shanghai and Shenzhen since 1998. In line with other studies, I exclude companies in the financial sector. The sample consists of 549 companies and 1647 </w:t>
      </w:r>
      <w:r w:rsidR="00AA5FB9" w:rsidRPr="00987287">
        <w:rPr>
          <w:rFonts w:ascii="Garamond" w:hAnsi="Garamond" w:cs="Times New Roman"/>
          <w:sz w:val="24"/>
          <w:szCs w:val="24"/>
        </w:rPr>
        <w:t>financial firm</w:t>
      </w:r>
      <w:r w:rsidRPr="00987287">
        <w:rPr>
          <w:rFonts w:ascii="Garamond" w:hAnsi="Garamond" w:cs="Times New Roman"/>
          <w:sz w:val="24"/>
          <w:szCs w:val="24"/>
        </w:rPr>
        <w:t xml:space="preserve">-year observations. </w:t>
      </w:r>
    </w:p>
    <w:p w:rsidR="00BC226B" w:rsidRPr="00987287" w:rsidRDefault="00BC226B" w:rsidP="00987287">
      <w:pPr>
        <w:ind w:firstLine="720"/>
        <w:rPr>
          <w:rFonts w:ascii="Garamond" w:hAnsi="Garamond" w:cs="Times New Roman"/>
          <w:sz w:val="24"/>
          <w:szCs w:val="24"/>
        </w:rPr>
      </w:pPr>
      <w:r w:rsidRPr="00987287">
        <w:rPr>
          <w:rFonts w:ascii="Garamond" w:hAnsi="Garamond" w:cs="Times New Roman"/>
          <w:sz w:val="24"/>
          <w:szCs w:val="24"/>
        </w:rPr>
        <w:t xml:space="preserve">I use the company annual reports as our source of information for executive compensation, </w:t>
      </w:r>
      <w:proofErr w:type="spellStart"/>
      <w:r w:rsidRPr="00987287">
        <w:rPr>
          <w:rFonts w:ascii="Garamond" w:hAnsi="Garamond" w:cs="Times New Roman"/>
          <w:sz w:val="24"/>
          <w:szCs w:val="24"/>
        </w:rPr>
        <w:t>share holdings</w:t>
      </w:r>
      <w:proofErr w:type="spellEnd"/>
      <w:r w:rsidRPr="00987287">
        <w:rPr>
          <w:rFonts w:ascii="Garamond" w:hAnsi="Garamond" w:cs="Times New Roman"/>
          <w:sz w:val="24"/>
          <w:szCs w:val="24"/>
        </w:rPr>
        <w:t xml:space="preserve"> of the three largest shareholders, board size, and board compensations. The analysis is based on information extracted from annual reports over the 1998-2006. The rest of the data, including performance, </w:t>
      </w:r>
      <w:r w:rsidR="00AA5FB9" w:rsidRPr="00987287">
        <w:rPr>
          <w:rFonts w:ascii="Garamond" w:hAnsi="Garamond" w:cs="Times New Roman"/>
          <w:sz w:val="24"/>
          <w:szCs w:val="24"/>
        </w:rPr>
        <w:t>financial firm</w:t>
      </w:r>
      <w:r w:rsidRPr="00987287">
        <w:rPr>
          <w:rFonts w:ascii="Garamond" w:hAnsi="Garamond" w:cs="Times New Roman"/>
          <w:sz w:val="24"/>
          <w:szCs w:val="24"/>
        </w:rPr>
        <w:t xml:space="preserve"> characteristics and ownership structure are obtained from China Stock Market &amp; Accounting Research Database. </w:t>
      </w:r>
    </w:p>
    <w:p w:rsidR="00723B3D" w:rsidRPr="00987287" w:rsidRDefault="00723B3D" w:rsidP="00987287">
      <w:pPr>
        <w:ind w:firstLine="720"/>
        <w:rPr>
          <w:rFonts w:ascii="Garamond" w:hAnsi="Garamond" w:cs="Times New Roman"/>
          <w:sz w:val="24"/>
          <w:szCs w:val="24"/>
        </w:rPr>
      </w:pPr>
      <w:r w:rsidRPr="00987287">
        <w:rPr>
          <w:rFonts w:ascii="Garamond" w:hAnsi="Garamond" w:cs="Times New Roman"/>
          <w:sz w:val="24"/>
          <w:szCs w:val="24"/>
        </w:rPr>
        <w:t xml:space="preserve">Table 1 reports descriptive statistics on compensation, </w:t>
      </w:r>
      <w:r w:rsidR="00AA5FB9" w:rsidRPr="00987287">
        <w:rPr>
          <w:rFonts w:ascii="Garamond" w:hAnsi="Garamond" w:cs="Times New Roman"/>
          <w:sz w:val="24"/>
          <w:szCs w:val="24"/>
        </w:rPr>
        <w:t>financial firm</w:t>
      </w:r>
      <w:r w:rsidRPr="00987287">
        <w:rPr>
          <w:rFonts w:ascii="Garamond" w:hAnsi="Garamond" w:cs="Times New Roman"/>
          <w:sz w:val="24"/>
          <w:szCs w:val="24"/>
        </w:rPr>
        <w:t xml:space="preserve"> characteristics, and other control variables. The mean and median cash compensation are RMB432</w:t>
      </w:r>
      <w:proofErr w:type="gramStart"/>
      <w:r w:rsidRPr="00987287">
        <w:rPr>
          <w:rFonts w:ascii="Garamond" w:hAnsi="Garamond" w:cs="Times New Roman"/>
          <w:sz w:val="24"/>
          <w:szCs w:val="24"/>
        </w:rPr>
        <w:t>,570</w:t>
      </w:r>
      <w:proofErr w:type="gramEnd"/>
      <w:r w:rsidRPr="00987287">
        <w:rPr>
          <w:rFonts w:ascii="Garamond" w:hAnsi="Garamond" w:cs="Times New Roman"/>
          <w:sz w:val="24"/>
          <w:szCs w:val="24"/>
        </w:rPr>
        <w:t xml:space="preserve">/US55,458. Mean and median </w:t>
      </w:r>
      <w:proofErr w:type="spellStart"/>
      <w:proofErr w:type="gramStart"/>
      <w:r w:rsidRPr="00987287">
        <w:rPr>
          <w:rFonts w:ascii="Garamond" w:hAnsi="Garamond" w:cs="Times New Roman"/>
          <w:sz w:val="24"/>
          <w:szCs w:val="24"/>
        </w:rPr>
        <w:t>vega</w:t>
      </w:r>
      <w:proofErr w:type="spellEnd"/>
      <w:proofErr w:type="gramEnd"/>
      <w:r w:rsidRPr="00987287">
        <w:rPr>
          <w:rFonts w:ascii="Garamond" w:hAnsi="Garamond" w:cs="Times New Roman"/>
          <w:sz w:val="24"/>
          <w:szCs w:val="24"/>
        </w:rPr>
        <w:t xml:space="preserve"> are 10.45 and 12.36. While mean and median delta are 10.23 and 8.57. Means stock return during sample period is high, which is 42.15% while is associated with high standard deviation of 71%. Debt to ratio is on average low. Mean and median debt ratio are 5% and 8%. State ownership takes more than a half of </w:t>
      </w:r>
      <w:r w:rsidR="00AA5FB9" w:rsidRPr="00987287">
        <w:rPr>
          <w:rFonts w:ascii="Garamond" w:hAnsi="Garamond" w:cs="Times New Roman"/>
          <w:sz w:val="24"/>
          <w:szCs w:val="24"/>
        </w:rPr>
        <w:t>financial firm</w:t>
      </w:r>
      <w:r w:rsidRPr="00987287">
        <w:rPr>
          <w:rFonts w:ascii="Garamond" w:hAnsi="Garamond" w:cs="Times New Roman"/>
          <w:sz w:val="24"/>
          <w:szCs w:val="24"/>
        </w:rPr>
        <w:t xml:space="preserve">s. Ownership concentration on average is 23%. Foreign shares take on average of 10% with median of 5%. Board size on average around 9. </w:t>
      </w:r>
    </w:p>
    <w:p w:rsidR="00830013" w:rsidRPr="00987287" w:rsidRDefault="001E6AB9" w:rsidP="00987287">
      <w:pPr>
        <w:rPr>
          <w:rFonts w:ascii="Garamond" w:hAnsi="Garamond" w:cs="Times New Roman"/>
          <w:b/>
          <w:sz w:val="24"/>
          <w:szCs w:val="24"/>
        </w:rPr>
      </w:pPr>
      <w:r w:rsidRPr="00987287">
        <w:rPr>
          <w:rFonts w:ascii="Garamond" w:hAnsi="Garamond" w:cs="Times New Roman"/>
          <w:b/>
          <w:sz w:val="24"/>
          <w:szCs w:val="24"/>
        </w:rPr>
        <w:t xml:space="preserve">Empirical Results </w:t>
      </w:r>
    </w:p>
    <w:p w:rsidR="00D5566D" w:rsidRPr="00987287" w:rsidRDefault="00D5566D" w:rsidP="00987287">
      <w:pPr>
        <w:pStyle w:val="CM11"/>
        <w:spacing w:line="240" w:lineRule="auto"/>
        <w:ind w:firstLine="720"/>
        <w:jc w:val="both"/>
        <w:rPr>
          <w:rFonts w:ascii="Garamond" w:hAnsi="Garamond"/>
        </w:rPr>
      </w:pPr>
      <w:r w:rsidRPr="00987287">
        <w:rPr>
          <w:rFonts w:ascii="Garamond" w:hAnsi="Garamond"/>
        </w:rPr>
        <w:t>If there is a relation bet</w:t>
      </w:r>
      <w:r w:rsidR="005F5D83" w:rsidRPr="00987287">
        <w:rPr>
          <w:rFonts w:ascii="Garamond" w:hAnsi="Garamond"/>
        </w:rPr>
        <w:t>we</w:t>
      </w:r>
      <w:r w:rsidRPr="00987287">
        <w:rPr>
          <w:rFonts w:ascii="Garamond" w:hAnsi="Garamond"/>
        </w:rPr>
        <w:t xml:space="preserve">en </w:t>
      </w:r>
      <w:proofErr w:type="spellStart"/>
      <w:proofErr w:type="gramStart"/>
      <w:r w:rsidRPr="00987287">
        <w:rPr>
          <w:rFonts w:ascii="Garamond" w:hAnsi="Garamond"/>
        </w:rPr>
        <w:t>vega</w:t>
      </w:r>
      <w:proofErr w:type="spellEnd"/>
      <w:proofErr w:type="gramEnd"/>
      <w:r w:rsidRPr="00987287">
        <w:rPr>
          <w:rFonts w:ascii="Garamond" w:hAnsi="Garamond"/>
        </w:rPr>
        <w:t xml:space="preserve"> incentives and managerial decisions, it is likely to be observable in both the cross-section and through time. Cross-sectional differences among banks in the fundamental characteristics of the bank such as bank size, leverage, bank should imply cross-sectional differences in optimal investment, bank performance and compensation structure. Through time, as those characteristics either change or remain constant, so will </w:t>
      </w:r>
      <w:proofErr w:type="spellStart"/>
      <w:proofErr w:type="gramStart"/>
      <w:r w:rsidRPr="00987287">
        <w:rPr>
          <w:rFonts w:ascii="Garamond" w:hAnsi="Garamond"/>
        </w:rPr>
        <w:t>vega</w:t>
      </w:r>
      <w:proofErr w:type="spellEnd"/>
      <w:proofErr w:type="gramEnd"/>
      <w:r w:rsidRPr="00987287">
        <w:rPr>
          <w:rFonts w:ascii="Garamond" w:hAnsi="Garamond"/>
        </w:rPr>
        <w:t xml:space="preserve"> and delta and the implemented policy will change or remain constant. </w:t>
      </w:r>
    </w:p>
    <w:p w:rsidR="00C848F8" w:rsidRDefault="00C848F8" w:rsidP="00987287">
      <w:pPr>
        <w:pStyle w:val="CM11"/>
        <w:spacing w:line="240" w:lineRule="auto"/>
        <w:ind w:firstLine="720"/>
        <w:jc w:val="both"/>
        <w:rPr>
          <w:rFonts w:ascii="Garamond" w:hAnsi="Garamond"/>
        </w:rPr>
      </w:pPr>
    </w:p>
    <w:p w:rsidR="002E1DC8" w:rsidRPr="00987287" w:rsidRDefault="00D5566D" w:rsidP="00987287">
      <w:pPr>
        <w:pStyle w:val="CM11"/>
        <w:spacing w:line="240" w:lineRule="auto"/>
        <w:ind w:firstLine="720"/>
        <w:jc w:val="both"/>
        <w:rPr>
          <w:rFonts w:ascii="Garamond" w:hAnsi="Garamond"/>
        </w:rPr>
      </w:pPr>
      <w:bookmarkStart w:id="0" w:name="_GoBack"/>
      <w:bookmarkEnd w:id="0"/>
      <w:r w:rsidRPr="00987287">
        <w:rPr>
          <w:rFonts w:ascii="Garamond" w:hAnsi="Garamond"/>
        </w:rPr>
        <w:t xml:space="preserve">While </w:t>
      </w:r>
      <w:r w:rsidR="002E1DC8" w:rsidRPr="00987287">
        <w:rPr>
          <w:rFonts w:ascii="Garamond" w:hAnsi="Garamond"/>
        </w:rPr>
        <w:t>I use delta mainly as a control variable, the effects of delta on policy choices and bank risk are of some interest. These effects, ho</w:t>
      </w:r>
      <w:r w:rsidR="005F5D83" w:rsidRPr="00987287">
        <w:rPr>
          <w:rFonts w:ascii="Garamond" w:hAnsi="Garamond"/>
        </w:rPr>
        <w:t>we</w:t>
      </w:r>
      <w:r w:rsidR="002E1DC8" w:rsidRPr="00987287">
        <w:rPr>
          <w:rFonts w:ascii="Garamond" w:hAnsi="Garamond"/>
        </w:rPr>
        <w:t>ver, are unclear. John and John (1993) suggest that higher delta increases the incentive to shift risk to debt holders. In addition, if higher NPV projects tend to be relatively risky, increased delta could provide the incentive to implement higher risk projects. On the other hand, higher delta exposes the manager to more risk, in which case managers could choose less risky projects (</w:t>
      </w:r>
      <w:proofErr w:type="spellStart"/>
      <w:r w:rsidR="002E1DC8" w:rsidRPr="00987287">
        <w:rPr>
          <w:rFonts w:ascii="Garamond" w:hAnsi="Garamond"/>
        </w:rPr>
        <w:t>Guay</w:t>
      </w:r>
      <w:proofErr w:type="spellEnd"/>
      <w:r w:rsidR="002E1DC8" w:rsidRPr="00987287">
        <w:rPr>
          <w:rFonts w:ascii="Garamond" w:hAnsi="Garamond"/>
        </w:rPr>
        <w:t xml:space="preserve">, 1999). Banks for which it is optimal to implement risky policies are likely to determine that it is efficient to provide higher </w:t>
      </w:r>
      <w:proofErr w:type="spellStart"/>
      <w:proofErr w:type="gramStart"/>
      <w:r w:rsidR="002E1DC8" w:rsidRPr="00987287">
        <w:rPr>
          <w:rFonts w:ascii="Garamond" w:hAnsi="Garamond"/>
        </w:rPr>
        <w:t>vega</w:t>
      </w:r>
      <w:proofErr w:type="spellEnd"/>
      <w:proofErr w:type="gramEnd"/>
      <w:r w:rsidR="002E1DC8" w:rsidRPr="00987287">
        <w:rPr>
          <w:rFonts w:ascii="Garamond" w:hAnsi="Garamond"/>
        </w:rPr>
        <w:t xml:space="preserve">. </w:t>
      </w:r>
    </w:p>
    <w:p w:rsidR="001E6AB9" w:rsidRPr="00987287" w:rsidRDefault="001E6AB9" w:rsidP="00987287">
      <w:pPr>
        <w:spacing w:after="0" w:line="240" w:lineRule="auto"/>
        <w:ind w:firstLine="720"/>
        <w:jc w:val="both"/>
        <w:rPr>
          <w:rFonts w:ascii="Garamond" w:hAnsi="Garamond" w:cs="Times New Roman"/>
          <w:sz w:val="24"/>
          <w:szCs w:val="24"/>
        </w:rPr>
      </w:pPr>
    </w:p>
    <w:p w:rsidR="002E1DC8" w:rsidRPr="00987287" w:rsidRDefault="002E1DC8" w:rsidP="00987287">
      <w:pPr>
        <w:spacing w:after="0" w:line="240" w:lineRule="auto"/>
        <w:ind w:firstLine="720"/>
        <w:jc w:val="both"/>
        <w:rPr>
          <w:rFonts w:ascii="Garamond" w:hAnsi="Garamond" w:cs="Times New Roman"/>
          <w:sz w:val="24"/>
          <w:szCs w:val="24"/>
        </w:rPr>
      </w:pPr>
      <w:r w:rsidRPr="00987287">
        <w:rPr>
          <w:rFonts w:ascii="Garamond" w:hAnsi="Garamond" w:cs="Times New Roman"/>
          <w:sz w:val="24"/>
          <w:szCs w:val="24"/>
        </w:rPr>
        <w:t>In this section I assess the relation bet</w:t>
      </w:r>
      <w:r w:rsidR="005F5D83" w:rsidRPr="00987287">
        <w:rPr>
          <w:rFonts w:ascii="Garamond" w:hAnsi="Garamond" w:cs="Times New Roman"/>
          <w:sz w:val="24"/>
          <w:szCs w:val="24"/>
        </w:rPr>
        <w:t>we</w:t>
      </w:r>
      <w:r w:rsidRPr="00987287">
        <w:rPr>
          <w:rFonts w:ascii="Garamond" w:hAnsi="Garamond" w:cs="Times New Roman"/>
          <w:sz w:val="24"/>
          <w:szCs w:val="24"/>
        </w:rPr>
        <w:t xml:space="preserve">en executive incentives and bank risk-taking investments. I examine the relation among three variables: </w:t>
      </w:r>
      <w:proofErr w:type="spellStart"/>
      <w:proofErr w:type="gramStart"/>
      <w:r w:rsidRPr="00987287">
        <w:rPr>
          <w:rFonts w:ascii="Garamond" w:hAnsi="Garamond" w:cs="Times New Roman"/>
          <w:sz w:val="24"/>
          <w:szCs w:val="24"/>
        </w:rPr>
        <w:t>vega</w:t>
      </w:r>
      <w:proofErr w:type="spellEnd"/>
      <w:proofErr w:type="gramEnd"/>
      <w:r w:rsidRPr="00987287">
        <w:rPr>
          <w:rFonts w:ascii="Garamond" w:hAnsi="Garamond" w:cs="Times New Roman"/>
          <w:sz w:val="24"/>
          <w:szCs w:val="24"/>
        </w:rPr>
        <w:t xml:space="preserve">, delta, and bank risk. Therefore I apply </w:t>
      </w:r>
      <w:r w:rsidRPr="00987287">
        <w:rPr>
          <w:rFonts w:ascii="Garamond" w:hAnsi="Garamond" w:cs="Times New Roman"/>
          <w:sz w:val="24"/>
          <w:szCs w:val="24"/>
        </w:rPr>
        <w:lastRenderedPageBreak/>
        <w:t xml:space="preserve">a three-simultaneous-equation using a 3 Stage Least Square (3SLS) method in which </w:t>
      </w:r>
      <w:proofErr w:type="spellStart"/>
      <w:r w:rsidRPr="00987287">
        <w:rPr>
          <w:rFonts w:ascii="Garamond" w:hAnsi="Garamond" w:cs="Times New Roman"/>
          <w:sz w:val="24"/>
          <w:szCs w:val="24"/>
        </w:rPr>
        <w:t>vega</w:t>
      </w:r>
      <w:proofErr w:type="spellEnd"/>
      <w:r w:rsidRPr="00987287">
        <w:rPr>
          <w:rFonts w:ascii="Garamond" w:hAnsi="Garamond" w:cs="Times New Roman"/>
          <w:sz w:val="24"/>
          <w:szCs w:val="24"/>
        </w:rPr>
        <w:t>, delta and bank risk are all treated as endogenous variables and are jointly determined. The 3SLS estimate could avoid spurious inferences in OLS estimate and provide asymptotically correct estimates of the standard errors (</w:t>
      </w:r>
      <w:proofErr w:type="spellStart"/>
      <w:r w:rsidRPr="00987287">
        <w:rPr>
          <w:rFonts w:ascii="Garamond" w:hAnsi="Garamond" w:cs="Times New Roman"/>
          <w:sz w:val="24"/>
          <w:szCs w:val="24"/>
        </w:rPr>
        <w:t>Sawa</w:t>
      </w:r>
      <w:proofErr w:type="spellEnd"/>
      <w:r w:rsidRPr="00987287">
        <w:rPr>
          <w:rFonts w:ascii="Garamond" w:hAnsi="Garamond" w:cs="Times New Roman"/>
          <w:sz w:val="24"/>
          <w:szCs w:val="24"/>
        </w:rPr>
        <w:t xml:space="preserve">, 1969). </w:t>
      </w:r>
    </w:p>
    <w:p w:rsidR="001E6AB9" w:rsidRPr="00987287" w:rsidRDefault="001E6AB9" w:rsidP="00987287">
      <w:pPr>
        <w:spacing w:after="0" w:line="240" w:lineRule="auto"/>
        <w:ind w:firstLine="720"/>
        <w:jc w:val="both"/>
        <w:rPr>
          <w:rFonts w:ascii="Garamond" w:hAnsi="Garamond" w:cs="Times New Roman"/>
          <w:sz w:val="24"/>
          <w:szCs w:val="24"/>
        </w:rPr>
      </w:pPr>
    </w:p>
    <w:p w:rsidR="002E1DC8" w:rsidRPr="00987287" w:rsidRDefault="002E1DC8" w:rsidP="00987287">
      <w:pPr>
        <w:spacing w:after="0" w:line="240" w:lineRule="auto"/>
        <w:ind w:firstLine="720"/>
        <w:jc w:val="both"/>
        <w:rPr>
          <w:rFonts w:ascii="Garamond" w:hAnsi="Garamond" w:cs="Times New Roman"/>
          <w:sz w:val="24"/>
          <w:szCs w:val="24"/>
        </w:rPr>
      </w:pPr>
      <w:r w:rsidRPr="00987287">
        <w:rPr>
          <w:rFonts w:ascii="Garamond" w:hAnsi="Garamond" w:cs="Times New Roman"/>
          <w:sz w:val="24"/>
          <w:szCs w:val="24"/>
        </w:rPr>
        <w:t xml:space="preserve">While I focus on </w:t>
      </w:r>
      <w:proofErr w:type="spellStart"/>
      <w:proofErr w:type="gramStart"/>
      <w:r w:rsidRPr="00987287">
        <w:rPr>
          <w:rFonts w:ascii="Garamond" w:hAnsi="Garamond" w:cs="Times New Roman"/>
          <w:sz w:val="24"/>
          <w:szCs w:val="24"/>
        </w:rPr>
        <w:t>vega</w:t>
      </w:r>
      <w:proofErr w:type="spellEnd"/>
      <w:proofErr w:type="gramEnd"/>
      <w:r w:rsidRPr="00987287">
        <w:rPr>
          <w:rFonts w:ascii="Garamond" w:hAnsi="Garamond" w:cs="Times New Roman"/>
          <w:sz w:val="24"/>
          <w:szCs w:val="24"/>
        </w:rPr>
        <w:t xml:space="preserve"> as the primary explanatory variable, here and in subsequent sections all model specifications include both delta and control variables based on evidence elsewhere in the literature. Accordingly, I control for bank size, cash compensation, stock price and bank risk. (</w:t>
      </w:r>
      <w:proofErr w:type="spellStart"/>
      <w:r w:rsidRPr="00987287">
        <w:rPr>
          <w:rFonts w:ascii="Garamond" w:hAnsi="Garamond" w:cs="Times New Roman"/>
          <w:sz w:val="24"/>
          <w:szCs w:val="24"/>
        </w:rPr>
        <w:t>Servaes</w:t>
      </w:r>
      <w:proofErr w:type="spellEnd"/>
      <w:r w:rsidRPr="00987287">
        <w:rPr>
          <w:rFonts w:ascii="Garamond" w:hAnsi="Garamond" w:cs="Times New Roman"/>
          <w:sz w:val="24"/>
          <w:szCs w:val="24"/>
        </w:rPr>
        <w:t xml:space="preserve">, 1994; </w:t>
      </w:r>
      <w:proofErr w:type="spellStart"/>
      <w:r w:rsidRPr="00987287">
        <w:rPr>
          <w:rFonts w:ascii="Garamond" w:hAnsi="Garamond" w:cs="Times New Roman"/>
          <w:sz w:val="24"/>
          <w:szCs w:val="24"/>
        </w:rPr>
        <w:t>Bhagat</w:t>
      </w:r>
      <w:proofErr w:type="spellEnd"/>
      <w:r w:rsidRPr="00987287">
        <w:rPr>
          <w:rFonts w:ascii="Garamond" w:hAnsi="Garamond" w:cs="Times New Roman"/>
          <w:sz w:val="24"/>
          <w:szCs w:val="24"/>
        </w:rPr>
        <w:t xml:space="preserve"> and </w:t>
      </w:r>
      <w:r w:rsidR="005F5D83" w:rsidRPr="00987287">
        <w:rPr>
          <w:rFonts w:ascii="Garamond" w:hAnsi="Garamond" w:cs="Times New Roman"/>
          <w:sz w:val="24"/>
          <w:szCs w:val="24"/>
        </w:rPr>
        <w:t>we</w:t>
      </w:r>
      <w:r w:rsidRPr="00987287">
        <w:rPr>
          <w:rFonts w:ascii="Garamond" w:hAnsi="Garamond" w:cs="Times New Roman"/>
          <w:sz w:val="24"/>
          <w:szCs w:val="24"/>
        </w:rPr>
        <w:t xml:space="preserve">lch, 1995; and </w:t>
      </w:r>
      <w:proofErr w:type="spellStart"/>
      <w:r w:rsidRPr="00987287">
        <w:rPr>
          <w:rFonts w:ascii="Garamond" w:hAnsi="Garamond" w:cs="Times New Roman"/>
          <w:sz w:val="24"/>
          <w:szCs w:val="24"/>
        </w:rPr>
        <w:t>Opler</w:t>
      </w:r>
      <w:proofErr w:type="spellEnd"/>
      <w:r w:rsidRPr="00987287">
        <w:rPr>
          <w:rFonts w:ascii="Garamond" w:hAnsi="Garamond" w:cs="Times New Roman"/>
          <w:sz w:val="24"/>
          <w:szCs w:val="24"/>
        </w:rPr>
        <w:t xml:space="preserve"> et al., 1999). An important reason to include control variables is to represent forces that drive both </w:t>
      </w:r>
      <w:proofErr w:type="spellStart"/>
      <w:proofErr w:type="gramStart"/>
      <w:r w:rsidRPr="00987287">
        <w:rPr>
          <w:rFonts w:ascii="Garamond" w:hAnsi="Garamond" w:cs="Times New Roman"/>
          <w:sz w:val="24"/>
          <w:szCs w:val="24"/>
        </w:rPr>
        <w:t>vega</w:t>
      </w:r>
      <w:proofErr w:type="spellEnd"/>
      <w:proofErr w:type="gramEnd"/>
      <w:r w:rsidRPr="00987287">
        <w:rPr>
          <w:rFonts w:ascii="Garamond" w:hAnsi="Garamond" w:cs="Times New Roman"/>
          <w:sz w:val="24"/>
          <w:szCs w:val="24"/>
        </w:rPr>
        <w:t xml:space="preserve"> and delta together with investment or financial strategies. To address the possibility that there are other omitted variables, all specifications throughout include both industry (two-digit SIC) fixed and year effects. I include all of the endogenous variables on the right-hand side. </w:t>
      </w:r>
    </w:p>
    <w:p w:rsidR="001E6AB9" w:rsidRPr="00987287" w:rsidRDefault="001E6AB9" w:rsidP="00987287">
      <w:pPr>
        <w:spacing w:after="0" w:line="240" w:lineRule="auto"/>
        <w:ind w:firstLine="720"/>
        <w:jc w:val="both"/>
        <w:rPr>
          <w:rFonts w:ascii="Garamond" w:hAnsi="Garamond" w:cs="Times New Roman"/>
          <w:sz w:val="24"/>
          <w:szCs w:val="24"/>
        </w:rPr>
      </w:pPr>
    </w:p>
    <w:p w:rsidR="002E1DC8" w:rsidRPr="00987287" w:rsidRDefault="002E1DC8" w:rsidP="00987287">
      <w:pPr>
        <w:pStyle w:val="CM29"/>
        <w:spacing w:after="0"/>
        <w:ind w:firstLine="720"/>
        <w:jc w:val="both"/>
        <w:rPr>
          <w:rFonts w:ascii="Garamond" w:hAnsi="Garamond"/>
        </w:rPr>
      </w:pPr>
      <w:r w:rsidRPr="00987287">
        <w:rPr>
          <w:rFonts w:ascii="Garamond" w:hAnsi="Garamond"/>
        </w:rPr>
        <w:t xml:space="preserve">Table </w:t>
      </w:r>
      <w:r w:rsidR="00A65F7E" w:rsidRPr="00987287">
        <w:rPr>
          <w:rFonts w:ascii="Garamond" w:hAnsi="Garamond"/>
        </w:rPr>
        <w:t>2</w:t>
      </w:r>
      <w:r w:rsidRPr="00987287">
        <w:rPr>
          <w:rFonts w:ascii="Garamond" w:hAnsi="Garamond"/>
        </w:rPr>
        <w:t xml:space="preserve"> reports the estimates of three-simultaneous-equation model (3SLS). The jointly determined variables are </w:t>
      </w:r>
      <w:proofErr w:type="spellStart"/>
      <w:proofErr w:type="gramStart"/>
      <w:r w:rsidRPr="00987287">
        <w:rPr>
          <w:rFonts w:ascii="Garamond" w:hAnsi="Garamond"/>
        </w:rPr>
        <w:t>vega</w:t>
      </w:r>
      <w:proofErr w:type="spellEnd"/>
      <w:proofErr w:type="gramEnd"/>
      <w:r w:rsidRPr="00987287">
        <w:rPr>
          <w:rFonts w:ascii="Garamond" w:hAnsi="Garamond"/>
        </w:rPr>
        <w:t xml:space="preserve">, delta, and bank risk. Here and throughout, reported </w:t>
      </w:r>
      <w:r w:rsidRPr="00987287">
        <w:rPr>
          <w:rFonts w:ascii="Garamond" w:hAnsi="Garamond"/>
          <w:i/>
        </w:rPr>
        <w:t>t</w:t>
      </w:r>
      <w:r w:rsidRPr="00987287">
        <w:rPr>
          <w:rFonts w:ascii="Garamond" w:hAnsi="Garamond"/>
        </w:rPr>
        <w:t xml:space="preserve">-statistics are based on robust standard errors. I draw independent variables from the prior literature (e.g., </w:t>
      </w:r>
      <w:proofErr w:type="spellStart"/>
      <w:r w:rsidRPr="00987287">
        <w:rPr>
          <w:rFonts w:ascii="Garamond" w:hAnsi="Garamond"/>
        </w:rPr>
        <w:t>Bizjak</w:t>
      </w:r>
      <w:proofErr w:type="spellEnd"/>
      <w:r w:rsidRPr="00987287">
        <w:rPr>
          <w:rFonts w:ascii="Garamond" w:hAnsi="Garamond"/>
        </w:rPr>
        <w:t xml:space="preserve"> et al., 1993; </w:t>
      </w:r>
      <w:proofErr w:type="spellStart"/>
      <w:r w:rsidRPr="00987287">
        <w:rPr>
          <w:rFonts w:ascii="Garamond" w:hAnsi="Garamond"/>
        </w:rPr>
        <w:t>Guay</w:t>
      </w:r>
      <w:proofErr w:type="spellEnd"/>
      <w:r w:rsidRPr="00987287">
        <w:rPr>
          <w:rFonts w:ascii="Garamond" w:hAnsi="Garamond"/>
        </w:rPr>
        <w:t xml:space="preserve">, 1999; Core and </w:t>
      </w:r>
      <w:proofErr w:type="spellStart"/>
      <w:r w:rsidRPr="00987287">
        <w:rPr>
          <w:rFonts w:ascii="Garamond" w:hAnsi="Garamond"/>
        </w:rPr>
        <w:t>Guay</w:t>
      </w:r>
      <w:proofErr w:type="spellEnd"/>
      <w:r w:rsidRPr="00987287">
        <w:rPr>
          <w:rFonts w:ascii="Garamond" w:hAnsi="Garamond"/>
        </w:rPr>
        <w:t xml:space="preserve">, 1999) for </w:t>
      </w:r>
      <w:proofErr w:type="spellStart"/>
      <w:proofErr w:type="gramStart"/>
      <w:r w:rsidRPr="00987287">
        <w:rPr>
          <w:rFonts w:ascii="Garamond" w:hAnsi="Garamond"/>
        </w:rPr>
        <w:t>vega</w:t>
      </w:r>
      <w:proofErr w:type="spellEnd"/>
      <w:proofErr w:type="gramEnd"/>
      <w:r w:rsidRPr="00987287">
        <w:rPr>
          <w:rFonts w:ascii="Garamond" w:hAnsi="Garamond"/>
        </w:rPr>
        <w:t xml:space="preserve"> and delta. </w:t>
      </w:r>
      <w:r w:rsidRPr="00987287">
        <w:rPr>
          <w:rFonts w:ascii="Garamond" w:hAnsi="Garamond"/>
          <w:shd w:val="clear" w:color="auto" w:fill="FFFFFF"/>
        </w:rPr>
        <w:t xml:space="preserve">First, </w:t>
      </w:r>
      <w:proofErr w:type="spellStart"/>
      <w:proofErr w:type="gramStart"/>
      <w:r w:rsidRPr="00987287">
        <w:rPr>
          <w:rFonts w:ascii="Garamond" w:hAnsi="Garamond"/>
          <w:shd w:val="clear" w:color="auto" w:fill="FFFFFF"/>
        </w:rPr>
        <w:t>vega</w:t>
      </w:r>
      <w:proofErr w:type="spellEnd"/>
      <w:proofErr w:type="gramEnd"/>
      <w:r w:rsidRPr="00987287">
        <w:rPr>
          <w:rFonts w:ascii="Garamond" w:hAnsi="Garamond"/>
          <w:shd w:val="clear" w:color="auto" w:fill="FFFFFF"/>
        </w:rPr>
        <w:t xml:space="preserve"> is significantly positively correlated with delta, which is consistent with prior literature.</w:t>
      </w:r>
      <w:r w:rsidRPr="00987287">
        <w:rPr>
          <w:rFonts w:ascii="Garamond" w:hAnsi="Garamond"/>
        </w:rPr>
        <w:t xml:space="preserve"> Second, the coefficients on </w:t>
      </w:r>
      <w:r w:rsidR="00D5566D" w:rsidRPr="00987287">
        <w:rPr>
          <w:rFonts w:ascii="Garamond" w:hAnsi="Garamond"/>
        </w:rPr>
        <w:t>bank risk</w:t>
      </w:r>
      <w:r w:rsidRPr="00987287">
        <w:rPr>
          <w:rFonts w:ascii="Garamond" w:hAnsi="Garamond"/>
        </w:rPr>
        <w:t xml:space="preserve"> is positive and significant different from zero. It implies that higher level of </w:t>
      </w:r>
      <w:r w:rsidR="00D5566D" w:rsidRPr="00987287">
        <w:rPr>
          <w:rFonts w:ascii="Garamond" w:hAnsi="Garamond"/>
        </w:rPr>
        <w:t>bank risk</w:t>
      </w:r>
      <w:r w:rsidRPr="00987287">
        <w:rPr>
          <w:rFonts w:ascii="Garamond" w:hAnsi="Garamond"/>
        </w:rPr>
        <w:t xml:space="preserve"> increase the managerial incentive in compensation, as reflected in </w:t>
      </w:r>
      <w:proofErr w:type="spellStart"/>
      <w:proofErr w:type="gramStart"/>
      <w:r w:rsidRPr="00987287">
        <w:rPr>
          <w:rFonts w:ascii="Garamond" w:hAnsi="Garamond"/>
        </w:rPr>
        <w:t>vega</w:t>
      </w:r>
      <w:proofErr w:type="spellEnd"/>
      <w:proofErr w:type="gramEnd"/>
      <w:r w:rsidRPr="00987287">
        <w:rPr>
          <w:rFonts w:ascii="Garamond" w:hAnsi="Garamond"/>
        </w:rPr>
        <w:t xml:space="preserve">, which is consistent with my expectations. Moreover, </w:t>
      </w:r>
      <w:proofErr w:type="spellStart"/>
      <w:proofErr w:type="gramStart"/>
      <w:r w:rsidRPr="00987287">
        <w:rPr>
          <w:rFonts w:ascii="Garamond" w:hAnsi="Garamond"/>
        </w:rPr>
        <w:t>vega</w:t>
      </w:r>
      <w:proofErr w:type="spellEnd"/>
      <w:proofErr w:type="gramEnd"/>
      <w:r w:rsidRPr="00987287">
        <w:rPr>
          <w:rFonts w:ascii="Garamond" w:hAnsi="Garamond"/>
        </w:rPr>
        <w:t xml:space="preserve"> is positively correlated with bank size, which are consistent with prior literature. Finally, in this study, I find the coefficient on bank risk is positive and significant. It implies that higher risk level of bank will induce higher managerial incentives, which cause higher </w:t>
      </w:r>
      <w:proofErr w:type="spellStart"/>
      <w:proofErr w:type="gramStart"/>
      <w:r w:rsidRPr="00987287">
        <w:rPr>
          <w:rFonts w:ascii="Garamond" w:hAnsi="Garamond"/>
        </w:rPr>
        <w:t>vega</w:t>
      </w:r>
      <w:proofErr w:type="spellEnd"/>
      <w:proofErr w:type="gramEnd"/>
      <w:r w:rsidRPr="00987287">
        <w:rPr>
          <w:rFonts w:ascii="Garamond" w:hAnsi="Garamond"/>
        </w:rPr>
        <w:t xml:space="preserve">. From the equation of delta, delta depends positively on </w:t>
      </w:r>
      <w:proofErr w:type="spellStart"/>
      <w:proofErr w:type="gramStart"/>
      <w:r w:rsidRPr="00987287">
        <w:rPr>
          <w:rFonts w:ascii="Garamond" w:hAnsi="Garamond"/>
        </w:rPr>
        <w:t>vega</w:t>
      </w:r>
      <w:proofErr w:type="spellEnd"/>
      <w:proofErr w:type="gramEnd"/>
      <w:r w:rsidRPr="00987287">
        <w:rPr>
          <w:rFonts w:ascii="Garamond" w:hAnsi="Garamond"/>
        </w:rPr>
        <w:t xml:space="preserve">. Delta is also positively correlated with stock price and negatively correlated with bank size. These findings are consistent with </w:t>
      </w:r>
      <w:proofErr w:type="spellStart"/>
      <w:r w:rsidRPr="00987287">
        <w:rPr>
          <w:rFonts w:ascii="Garamond" w:hAnsi="Garamond"/>
        </w:rPr>
        <w:t>Guay</w:t>
      </w:r>
      <w:proofErr w:type="spellEnd"/>
      <w:r w:rsidRPr="00987287">
        <w:rPr>
          <w:rFonts w:ascii="Garamond" w:hAnsi="Garamond"/>
        </w:rPr>
        <w:t xml:space="preserve"> (1999, 2002) among the others. As banks expand more risky investments, the risk level of the bank is expected to be higher. Therefore, banks risk should be positively related to </w:t>
      </w:r>
      <w:proofErr w:type="spellStart"/>
      <w:proofErr w:type="gramStart"/>
      <w:r w:rsidRPr="00987287">
        <w:rPr>
          <w:rFonts w:ascii="Garamond" w:hAnsi="Garamond"/>
        </w:rPr>
        <w:t>vega</w:t>
      </w:r>
      <w:proofErr w:type="spellEnd"/>
      <w:proofErr w:type="gramEnd"/>
      <w:r w:rsidRPr="00987287">
        <w:rPr>
          <w:rFonts w:ascii="Garamond" w:hAnsi="Garamond"/>
        </w:rPr>
        <w:t xml:space="preserve"> and negatively related to delta. The regression results in Table </w:t>
      </w:r>
      <w:r w:rsidR="00A65F7E" w:rsidRPr="00987287">
        <w:rPr>
          <w:rFonts w:ascii="Garamond" w:hAnsi="Garamond"/>
        </w:rPr>
        <w:t>2</w:t>
      </w:r>
      <w:r w:rsidRPr="00987287">
        <w:rPr>
          <w:rFonts w:ascii="Garamond" w:hAnsi="Garamond"/>
        </w:rPr>
        <w:t xml:space="preserve"> are consistent with predictions. The estimated coefficient on </w:t>
      </w:r>
      <w:proofErr w:type="spellStart"/>
      <w:proofErr w:type="gramStart"/>
      <w:r w:rsidRPr="00987287">
        <w:rPr>
          <w:rFonts w:ascii="Garamond" w:hAnsi="Garamond"/>
        </w:rPr>
        <w:t>vega</w:t>
      </w:r>
      <w:proofErr w:type="spellEnd"/>
      <w:proofErr w:type="gramEnd"/>
      <w:r w:rsidRPr="00987287">
        <w:rPr>
          <w:rFonts w:ascii="Garamond" w:hAnsi="Garamond"/>
        </w:rPr>
        <w:t xml:space="preserve"> is positive and is significant at 5% level. It suggests that higher </w:t>
      </w:r>
      <w:proofErr w:type="spellStart"/>
      <w:proofErr w:type="gramStart"/>
      <w:r w:rsidRPr="00987287">
        <w:rPr>
          <w:rFonts w:ascii="Garamond" w:hAnsi="Garamond"/>
        </w:rPr>
        <w:t>vega</w:t>
      </w:r>
      <w:proofErr w:type="spellEnd"/>
      <w:proofErr w:type="gramEnd"/>
      <w:r w:rsidRPr="00987287">
        <w:rPr>
          <w:rFonts w:ascii="Garamond" w:hAnsi="Garamond"/>
        </w:rPr>
        <w:t xml:space="preserve"> induce higher risk level of the bank. On the other hand, higher delta implements </w:t>
      </w:r>
      <w:proofErr w:type="spellStart"/>
      <w:proofErr w:type="gramStart"/>
      <w:r w:rsidRPr="00987287">
        <w:rPr>
          <w:rFonts w:ascii="Garamond" w:hAnsi="Garamond"/>
        </w:rPr>
        <w:t>lo</w:t>
      </w:r>
      <w:r w:rsidR="00AA5FB9" w:rsidRPr="00987287">
        <w:rPr>
          <w:rFonts w:ascii="Garamond" w:hAnsi="Garamond"/>
        </w:rPr>
        <w:t>I</w:t>
      </w:r>
      <w:r w:rsidRPr="00987287">
        <w:rPr>
          <w:rFonts w:ascii="Garamond" w:hAnsi="Garamond"/>
        </w:rPr>
        <w:t>r</w:t>
      </w:r>
      <w:proofErr w:type="spellEnd"/>
      <w:proofErr w:type="gramEnd"/>
      <w:r w:rsidRPr="00987287">
        <w:rPr>
          <w:rFonts w:ascii="Garamond" w:hAnsi="Garamond"/>
        </w:rPr>
        <w:t xml:space="preserve"> risk level. The coefficient on delta is negative and significant. It implies that bank risk level is negatively associated with delta. </w:t>
      </w:r>
      <w:r w:rsidR="000738DB" w:rsidRPr="00987287">
        <w:rPr>
          <w:rFonts w:ascii="Garamond" w:hAnsi="Garamond"/>
        </w:rPr>
        <w:t xml:space="preserve">The coefficient on State Ownership is negative and significant. It implies that the CEOs in the state owned </w:t>
      </w:r>
      <w:r w:rsidR="00AA5FB9" w:rsidRPr="00987287">
        <w:rPr>
          <w:rFonts w:ascii="Garamond" w:hAnsi="Garamond"/>
        </w:rPr>
        <w:t>financial firm</w:t>
      </w:r>
      <w:r w:rsidR="000738DB" w:rsidRPr="00987287">
        <w:rPr>
          <w:rFonts w:ascii="Garamond" w:hAnsi="Garamond"/>
        </w:rPr>
        <w:t xml:space="preserve"> has less incentive pay structure, so the </w:t>
      </w:r>
      <w:proofErr w:type="spellStart"/>
      <w:proofErr w:type="gramStart"/>
      <w:r w:rsidR="000738DB" w:rsidRPr="00987287">
        <w:rPr>
          <w:rFonts w:ascii="Garamond" w:hAnsi="Garamond"/>
        </w:rPr>
        <w:t>vega</w:t>
      </w:r>
      <w:proofErr w:type="spellEnd"/>
      <w:proofErr w:type="gramEnd"/>
      <w:r w:rsidR="000738DB" w:rsidRPr="00987287">
        <w:rPr>
          <w:rFonts w:ascii="Garamond" w:hAnsi="Garamond"/>
        </w:rPr>
        <w:t xml:space="preserve"> is </w:t>
      </w:r>
      <w:proofErr w:type="spellStart"/>
      <w:r w:rsidR="000738DB" w:rsidRPr="00987287">
        <w:rPr>
          <w:rFonts w:ascii="Garamond" w:hAnsi="Garamond"/>
        </w:rPr>
        <w:t>lo</w:t>
      </w:r>
      <w:r w:rsidR="00AA5FB9" w:rsidRPr="00987287">
        <w:rPr>
          <w:rFonts w:ascii="Garamond" w:hAnsi="Garamond"/>
        </w:rPr>
        <w:t>I</w:t>
      </w:r>
      <w:r w:rsidR="000738DB" w:rsidRPr="00987287">
        <w:rPr>
          <w:rFonts w:ascii="Garamond" w:hAnsi="Garamond"/>
        </w:rPr>
        <w:t>r</w:t>
      </w:r>
      <w:proofErr w:type="spellEnd"/>
      <w:r w:rsidR="000738DB" w:rsidRPr="00987287">
        <w:rPr>
          <w:rFonts w:ascii="Garamond" w:hAnsi="Garamond"/>
        </w:rPr>
        <w:t xml:space="preserve"> in state owned </w:t>
      </w:r>
      <w:r w:rsidR="00AA5FB9" w:rsidRPr="00987287">
        <w:rPr>
          <w:rFonts w:ascii="Garamond" w:hAnsi="Garamond"/>
        </w:rPr>
        <w:t>financial firm</w:t>
      </w:r>
      <w:r w:rsidR="000738DB" w:rsidRPr="00987287">
        <w:rPr>
          <w:rFonts w:ascii="Garamond" w:hAnsi="Garamond"/>
        </w:rPr>
        <w:t>. This finding is consistent with prediction. Ho</w:t>
      </w:r>
      <w:r w:rsidR="005F5D83" w:rsidRPr="00987287">
        <w:rPr>
          <w:rFonts w:ascii="Garamond" w:hAnsi="Garamond"/>
        </w:rPr>
        <w:t>we</w:t>
      </w:r>
      <w:r w:rsidR="000738DB" w:rsidRPr="00987287">
        <w:rPr>
          <w:rFonts w:ascii="Garamond" w:hAnsi="Garamond"/>
        </w:rPr>
        <w:t xml:space="preserve">ver, Board Size is positively correlated with </w:t>
      </w:r>
      <w:proofErr w:type="spellStart"/>
      <w:proofErr w:type="gramStart"/>
      <w:r w:rsidR="000738DB" w:rsidRPr="00987287">
        <w:rPr>
          <w:rFonts w:ascii="Garamond" w:hAnsi="Garamond"/>
        </w:rPr>
        <w:t>vega</w:t>
      </w:r>
      <w:proofErr w:type="spellEnd"/>
      <w:proofErr w:type="gramEnd"/>
      <w:r w:rsidR="000738DB" w:rsidRPr="00987287">
        <w:rPr>
          <w:rFonts w:ascii="Garamond" w:hAnsi="Garamond"/>
        </w:rPr>
        <w:t xml:space="preserve">. It implies that the </w:t>
      </w:r>
      <w:r w:rsidR="00AA5FB9" w:rsidRPr="00987287">
        <w:rPr>
          <w:rFonts w:ascii="Garamond" w:hAnsi="Garamond"/>
        </w:rPr>
        <w:t>financial firm</w:t>
      </w:r>
      <w:r w:rsidR="000738DB" w:rsidRPr="00987287">
        <w:rPr>
          <w:rFonts w:ascii="Garamond" w:hAnsi="Garamond"/>
        </w:rPr>
        <w:t xml:space="preserve"> that has larger board size has more CEO incentive pay thus higher </w:t>
      </w:r>
      <w:proofErr w:type="spellStart"/>
      <w:proofErr w:type="gramStart"/>
      <w:r w:rsidR="000738DB" w:rsidRPr="00987287">
        <w:rPr>
          <w:rFonts w:ascii="Garamond" w:hAnsi="Garamond"/>
        </w:rPr>
        <w:t>vega</w:t>
      </w:r>
      <w:proofErr w:type="spellEnd"/>
      <w:proofErr w:type="gramEnd"/>
      <w:r w:rsidR="000738DB" w:rsidRPr="00987287">
        <w:rPr>
          <w:rFonts w:ascii="Garamond" w:hAnsi="Garamond"/>
        </w:rPr>
        <w:t xml:space="preserve">. These findings are consistent with prediction. </w:t>
      </w:r>
      <w:r w:rsidRPr="00987287">
        <w:rPr>
          <w:rFonts w:ascii="Garamond" w:hAnsi="Garamond"/>
        </w:rPr>
        <w:t xml:space="preserve">All coefficients are significant.   </w:t>
      </w:r>
    </w:p>
    <w:p w:rsidR="001E6AB9" w:rsidRPr="00987287" w:rsidRDefault="001E6AB9" w:rsidP="00987287">
      <w:pPr>
        <w:rPr>
          <w:rFonts w:ascii="Garamond" w:hAnsi="Garamond"/>
          <w:sz w:val="24"/>
          <w:szCs w:val="24"/>
        </w:rPr>
      </w:pPr>
    </w:p>
    <w:p w:rsidR="00A65F7E" w:rsidRPr="00987287" w:rsidRDefault="00A65F7E" w:rsidP="00987287">
      <w:pPr>
        <w:pStyle w:val="CM29"/>
        <w:spacing w:after="0"/>
        <w:ind w:firstLine="720"/>
        <w:jc w:val="both"/>
        <w:rPr>
          <w:rFonts w:ascii="Garamond" w:hAnsi="Garamond"/>
        </w:rPr>
      </w:pPr>
      <w:r w:rsidRPr="00987287">
        <w:rPr>
          <w:rFonts w:ascii="Garamond" w:hAnsi="Garamond"/>
        </w:rPr>
        <w:t xml:space="preserve">Table 3 reports the 3SLS model for the jointly determined variables on </w:t>
      </w:r>
      <w:proofErr w:type="spellStart"/>
      <w:proofErr w:type="gramStart"/>
      <w:r w:rsidRPr="00987287">
        <w:rPr>
          <w:rFonts w:ascii="Garamond" w:hAnsi="Garamond"/>
        </w:rPr>
        <w:t>vega</w:t>
      </w:r>
      <w:proofErr w:type="spellEnd"/>
      <w:proofErr w:type="gramEnd"/>
      <w:r w:rsidRPr="00987287">
        <w:rPr>
          <w:rFonts w:ascii="Garamond" w:hAnsi="Garamond"/>
        </w:rPr>
        <w:t xml:space="preserve">, delta, and </w:t>
      </w:r>
      <w:r w:rsidR="00AA5FB9" w:rsidRPr="00987287">
        <w:rPr>
          <w:rFonts w:ascii="Garamond" w:hAnsi="Garamond"/>
        </w:rPr>
        <w:t>financial firm</w:t>
      </w:r>
      <w:r w:rsidRPr="00987287">
        <w:rPr>
          <w:rFonts w:ascii="Garamond" w:hAnsi="Garamond"/>
        </w:rPr>
        <w:t xml:space="preserve"> performance (ROA). The coefficients on both </w:t>
      </w:r>
      <w:proofErr w:type="spellStart"/>
      <w:proofErr w:type="gramStart"/>
      <w:r w:rsidRPr="00987287">
        <w:rPr>
          <w:rFonts w:ascii="Garamond" w:hAnsi="Garamond"/>
        </w:rPr>
        <w:t>vega</w:t>
      </w:r>
      <w:proofErr w:type="spellEnd"/>
      <w:proofErr w:type="gramEnd"/>
      <w:r w:rsidRPr="00987287">
        <w:rPr>
          <w:rFonts w:ascii="Garamond" w:hAnsi="Garamond"/>
        </w:rPr>
        <w:t xml:space="preserve"> and delta are positive and significant. It implies that increase CEO incentive compensation as indicated as </w:t>
      </w:r>
      <w:proofErr w:type="spellStart"/>
      <w:proofErr w:type="gramStart"/>
      <w:r w:rsidRPr="00987287">
        <w:rPr>
          <w:rFonts w:ascii="Garamond" w:hAnsi="Garamond"/>
        </w:rPr>
        <w:t>vega</w:t>
      </w:r>
      <w:proofErr w:type="spellEnd"/>
      <w:proofErr w:type="gramEnd"/>
      <w:r w:rsidRPr="00987287">
        <w:rPr>
          <w:rFonts w:ascii="Garamond" w:hAnsi="Garamond"/>
        </w:rPr>
        <w:t xml:space="preserve"> and delta is positively associated with </w:t>
      </w:r>
      <w:r w:rsidR="00AA5FB9" w:rsidRPr="00987287">
        <w:rPr>
          <w:rFonts w:ascii="Garamond" w:hAnsi="Garamond"/>
        </w:rPr>
        <w:t>financial firm</w:t>
      </w:r>
      <w:r w:rsidRPr="00987287">
        <w:rPr>
          <w:rFonts w:ascii="Garamond" w:hAnsi="Garamond"/>
        </w:rPr>
        <w:t xml:space="preserve"> performance. </w:t>
      </w:r>
      <w:r w:rsidR="00AA5FB9" w:rsidRPr="00987287">
        <w:rPr>
          <w:rFonts w:ascii="Garamond" w:hAnsi="Garamond"/>
        </w:rPr>
        <w:t>Financial firm</w:t>
      </w:r>
      <w:r w:rsidRPr="00987287">
        <w:rPr>
          <w:rFonts w:ascii="Garamond" w:hAnsi="Garamond"/>
        </w:rPr>
        <w:t xml:space="preserve"> size is positively correlated with </w:t>
      </w:r>
      <w:r w:rsidR="00AA5FB9" w:rsidRPr="00987287">
        <w:rPr>
          <w:rFonts w:ascii="Garamond" w:hAnsi="Garamond"/>
        </w:rPr>
        <w:t>financial firm</w:t>
      </w:r>
      <w:r w:rsidRPr="00987287">
        <w:rPr>
          <w:rFonts w:ascii="Garamond" w:hAnsi="Garamond"/>
        </w:rPr>
        <w:t xml:space="preserve"> ROA, which is consistent with literature. For relation bet</w:t>
      </w:r>
      <w:r w:rsidR="005F5D83" w:rsidRPr="00987287">
        <w:rPr>
          <w:rFonts w:ascii="Garamond" w:hAnsi="Garamond"/>
        </w:rPr>
        <w:t>we</w:t>
      </w:r>
      <w:r w:rsidRPr="00987287">
        <w:rPr>
          <w:rFonts w:ascii="Garamond" w:hAnsi="Garamond"/>
        </w:rPr>
        <w:t xml:space="preserve">en </w:t>
      </w:r>
      <w:proofErr w:type="spellStart"/>
      <w:proofErr w:type="gramStart"/>
      <w:r w:rsidRPr="00987287">
        <w:rPr>
          <w:rFonts w:ascii="Garamond" w:hAnsi="Garamond"/>
        </w:rPr>
        <w:t>vega</w:t>
      </w:r>
      <w:proofErr w:type="spellEnd"/>
      <w:proofErr w:type="gramEnd"/>
      <w:r w:rsidRPr="00987287">
        <w:rPr>
          <w:rFonts w:ascii="Garamond" w:hAnsi="Garamond"/>
        </w:rPr>
        <w:t xml:space="preserve"> and delta, </w:t>
      </w:r>
      <w:proofErr w:type="spellStart"/>
      <w:r w:rsidRPr="00987287">
        <w:rPr>
          <w:rFonts w:ascii="Garamond" w:hAnsi="Garamond"/>
          <w:shd w:val="clear" w:color="auto" w:fill="FFFFFF"/>
        </w:rPr>
        <w:t>vega</w:t>
      </w:r>
      <w:proofErr w:type="spellEnd"/>
      <w:r w:rsidRPr="00987287">
        <w:rPr>
          <w:rFonts w:ascii="Garamond" w:hAnsi="Garamond"/>
          <w:shd w:val="clear" w:color="auto" w:fill="FFFFFF"/>
        </w:rPr>
        <w:t xml:space="preserve"> is significantly positively correlated with delta as predicted.</w:t>
      </w:r>
      <w:r w:rsidRPr="00987287">
        <w:rPr>
          <w:rFonts w:ascii="Garamond" w:hAnsi="Garamond"/>
        </w:rPr>
        <w:t xml:space="preserve"> The coefficients on ROA is positive and significant different from zero. It implies that higher level of </w:t>
      </w:r>
      <w:r w:rsidR="00AA5FB9" w:rsidRPr="00987287">
        <w:rPr>
          <w:rFonts w:ascii="Garamond" w:hAnsi="Garamond"/>
        </w:rPr>
        <w:t>financial firm</w:t>
      </w:r>
      <w:r w:rsidRPr="00987287">
        <w:rPr>
          <w:rFonts w:ascii="Garamond" w:hAnsi="Garamond"/>
        </w:rPr>
        <w:t xml:space="preserve"> performance increase the managerial </w:t>
      </w:r>
      <w:r w:rsidRPr="00987287">
        <w:rPr>
          <w:rFonts w:ascii="Garamond" w:hAnsi="Garamond"/>
        </w:rPr>
        <w:lastRenderedPageBreak/>
        <w:t xml:space="preserve">incentive in compensation, as reflected in </w:t>
      </w:r>
      <w:proofErr w:type="spellStart"/>
      <w:proofErr w:type="gramStart"/>
      <w:r w:rsidRPr="00987287">
        <w:rPr>
          <w:rFonts w:ascii="Garamond" w:hAnsi="Garamond"/>
        </w:rPr>
        <w:t>vega</w:t>
      </w:r>
      <w:proofErr w:type="spellEnd"/>
      <w:proofErr w:type="gramEnd"/>
      <w:r w:rsidRPr="00987287">
        <w:rPr>
          <w:rFonts w:ascii="Garamond" w:hAnsi="Garamond"/>
        </w:rPr>
        <w:t xml:space="preserve">, which is consistent with my expectations. Moreover, </w:t>
      </w:r>
      <w:proofErr w:type="spellStart"/>
      <w:proofErr w:type="gramStart"/>
      <w:r w:rsidRPr="00987287">
        <w:rPr>
          <w:rFonts w:ascii="Garamond" w:hAnsi="Garamond"/>
        </w:rPr>
        <w:t>vega</w:t>
      </w:r>
      <w:proofErr w:type="spellEnd"/>
      <w:proofErr w:type="gramEnd"/>
      <w:r w:rsidRPr="00987287">
        <w:rPr>
          <w:rFonts w:ascii="Garamond" w:hAnsi="Garamond"/>
        </w:rPr>
        <w:t xml:space="preserve"> is positively correlated with </w:t>
      </w:r>
      <w:r w:rsidR="00AA5FB9" w:rsidRPr="00987287">
        <w:rPr>
          <w:rFonts w:ascii="Garamond" w:hAnsi="Garamond"/>
        </w:rPr>
        <w:t>financial firm</w:t>
      </w:r>
      <w:r w:rsidRPr="00987287">
        <w:rPr>
          <w:rFonts w:ascii="Garamond" w:hAnsi="Garamond"/>
        </w:rPr>
        <w:t xml:space="preserve"> size which are consistent with prior literature. From the equation of delta, delta depends positively on </w:t>
      </w:r>
      <w:proofErr w:type="spellStart"/>
      <w:proofErr w:type="gramStart"/>
      <w:r w:rsidRPr="00987287">
        <w:rPr>
          <w:rFonts w:ascii="Garamond" w:hAnsi="Garamond"/>
        </w:rPr>
        <w:t>vega</w:t>
      </w:r>
      <w:proofErr w:type="spellEnd"/>
      <w:proofErr w:type="gramEnd"/>
      <w:r w:rsidRPr="00987287">
        <w:rPr>
          <w:rFonts w:ascii="Garamond" w:hAnsi="Garamond"/>
        </w:rPr>
        <w:t xml:space="preserve">. Delta is also positively correlated with stock price and negatively correlated with </w:t>
      </w:r>
      <w:r w:rsidR="00AA5FB9" w:rsidRPr="00987287">
        <w:rPr>
          <w:rFonts w:ascii="Garamond" w:hAnsi="Garamond"/>
        </w:rPr>
        <w:t>financial firm</w:t>
      </w:r>
      <w:r w:rsidRPr="00987287">
        <w:rPr>
          <w:rFonts w:ascii="Garamond" w:hAnsi="Garamond"/>
        </w:rPr>
        <w:t xml:space="preserve"> size. As </w:t>
      </w:r>
      <w:r w:rsidR="00AA5FB9" w:rsidRPr="00987287">
        <w:rPr>
          <w:rFonts w:ascii="Garamond" w:hAnsi="Garamond"/>
        </w:rPr>
        <w:t>financial firm</w:t>
      </w:r>
      <w:r w:rsidRPr="00987287">
        <w:rPr>
          <w:rFonts w:ascii="Garamond" w:hAnsi="Garamond"/>
        </w:rPr>
        <w:t xml:space="preserve">s expand and have higher level of return as reflected on higher ROA, CEO incentive compensation should be higher. Therefore, ROA should be positively related to </w:t>
      </w:r>
      <w:proofErr w:type="spellStart"/>
      <w:proofErr w:type="gramStart"/>
      <w:r w:rsidRPr="00987287">
        <w:rPr>
          <w:rFonts w:ascii="Garamond" w:hAnsi="Garamond"/>
        </w:rPr>
        <w:t>vega</w:t>
      </w:r>
      <w:proofErr w:type="spellEnd"/>
      <w:proofErr w:type="gramEnd"/>
      <w:r w:rsidRPr="00987287">
        <w:rPr>
          <w:rFonts w:ascii="Garamond" w:hAnsi="Garamond"/>
        </w:rPr>
        <w:t xml:space="preserve"> and delta. The regression results in Table 3 are consistent with predictions. The estimated coefficient on </w:t>
      </w:r>
      <w:proofErr w:type="spellStart"/>
      <w:proofErr w:type="gramStart"/>
      <w:r w:rsidRPr="00987287">
        <w:rPr>
          <w:rFonts w:ascii="Garamond" w:hAnsi="Garamond"/>
        </w:rPr>
        <w:t>vega</w:t>
      </w:r>
      <w:proofErr w:type="spellEnd"/>
      <w:proofErr w:type="gramEnd"/>
      <w:r w:rsidRPr="00987287">
        <w:rPr>
          <w:rFonts w:ascii="Garamond" w:hAnsi="Garamond"/>
        </w:rPr>
        <w:t xml:space="preserve"> is positive and is significant at 5% level. It suggests that higher </w:t>
      </w:r>
      <w:proofErr w:type="spellStart"/>
      <w:proofErr w:type="gramStart"/>
      <w:r w:rsidRPr="00987287">
        <w:rPr>
          <w:rFonts w:ascii="Garamond" w:hAnsi="Garamond"/>
        </w:rPr>
        <w:t>vega</w:t>
      </w:r>
      <w:proofErr w:type="spellEnd"/>
      <w:proofErr w:type="gramEnd"/>
      <w:r w:rsidRPr="00987287">
        <w:rPr>
          <w:rFonts w:ascii="Garamond" w:hAnsi="Garamond"/>
        </w:rPr>
        <w:t xml:space="preserve"> induce higher performance of the </w:t>
      </w:r>
      <w:r w:rsidR="00AA5FB9" w:rsidRPr="00987287">
        <w:rPr>
          <w:rFonts w:ascii="Garamond" w:hAnsi="Garamond"/>
        </w:rPr>
        <w:t>financial firm</w:t>
      </w:r>
      <w:r w:rsidRPr="00987287">
        <w:rPr>
          <w:rFonts w:ascii="Garamond" w:hAnsi="Garamond"/>
        </w:rPr>
        <w:t xml:space="preserve">. On the other hand, higher delta implements higher level of </w:t>
      </w:r>
      <w:r w:rsidR="00AA5FB9" w:rsidRPr="00987287">
        <w:rPr>
          <w:rFonts w:ascii="Garamond" w:hAnsi="Garamond"/>
        </w:rPr>
        <w:t>financial firm</w:t>
      </w:r>
      <w:r w:rsidRPr="00987287">
        <w:rPr>
          <w:rFonts w:ascii="Garamond" w:hAnsi="Garamond"/>
        </w:rPr>
        <w:t xml:space="preserve"> performance. The coefficient on delta is positive and significant. </w:t>
      </w:r>
    </w:p>
    <w:p w:rsidR="001E6AB9" w:rsidRPr="00987287" w:rsidRDefault="001E6AB9" w:rsidP="00987287">
      <w:pPr>
        <w:rPr>
          <w:rFonts w:ascii="Garamond" w:hAnsi="Garamond"/>
          <w:sz w:val="24"/>
          <w:szCs w:val="24"/>
        </w:rPr>
      </w:pPr>
    </w:p>
    <w:p w:rsidR="002E1DC8" w:rsidRPr="00987287" w:rsidRDefault="00A65F7E" w:rsidP="00987287">
      <w:pPr>
        <w:ind w:firstLine="720"/>
        <w:rPr>
          <w:rFonts w:ascii="Garamond" w:hAnsi="Garamond" w:cs="Times New Roman"/>
          <w:sz w:val="24"/>
          <w:szCs w:val="24"/>
        </w:rPr>
      </w:pPr>
      <w:r w:rsidRPr="00987287">
        <w:rPr>
          <w:rFonts w:ascii="Garamond" w:hAnsi="Garamond" w:cs="Times New Roman"/>
          <w:sz w:val="24"/>
          <w:szCs w:val="24"/>
        </w:rPr>
        <w:t xml:space="preserve">Table 4 reports the 3SLS model for the jointly determined variables on </w:t>
      </w:r>
      <w:proofErr w:type="spellStart"/>
      <w:proofErr w:type="gramStart"/>
      <w:r w:rsidRPr="00987287">
        <w:rPr>
          <w:rFonts w:ascii="Garamond" w:hAnsi="Garamond" w:cs="Times New Roman"/>
          <w:sz w:val="24"/>
          <w:szCs w:val="24"/>
        </w:rPr>
        <w:t>vega</w:t>
      </w:r>
      <w:proofErr w:type="spellEnd"/>
      <w:proofErr w:type="gramEnd"/>
      <w:r w:rsidRPr="00987287">
        <w:rPr>
          <w:rFonts w:ascii="Garamond" w:hAnsi="Garamond" w:cs="Times New Roman"/>
          <w:sz w:val="24"/>
          <w:szCs w:val="24"/>
        </w:rPr>
        <w:t xml:space="preserve">, delta, and </w:t>
      </w:r>
      <w:r w:rsidR="00AA5FB9" w:rsidRPr="00987287">
        <w:rPr>
          <w:rFonts w:ascii="Garamond" w:hAnsi="Garamond" w:cs="Times New Roman"/>
          <w:sz w:val="24"/>
          <w:szCs w:val="24"/>
        </w:rPr>
        <w:t>financial firm</w:t>
      </w:r>
      <w:r w:rsidRPr="00987287">
        <w:rPr>
          <w:rFonts w:ascii="Garamond" w:hAnsi="Garamond" w:cs="Times New Roman"/>
          <w:sz w:val="24"/>
          <w:szCs w:val="24"/>
        </w:rPr>
        <w:t xml:space="preserve"> performance (Return). The coefficients on both </w:t>
      </w:r>
      <w:proofErr w:type="spellStart"/>
      <w:proofErr w:type="gramStart"/>
      <w:r w:rsidRPr="00987287">
        <w:rPr>
          <w:rFonts w:ascii="Garamond" w:hAnsi="Garamond" w:cs="Times New Roman"/>
          <w:sz w:val="24"/>
          <w:szCs w:val="24"/>
        </w:rPr>
        <w:t>vega</w:t>
      </w:r>
      <w:proofErr w:type="spellEnd"/>
      <w:proofErr w:type="gramEnd"/>
      <w:r w:rsidRPr="00987287">
        <w:rPr>
          <w:rFonts w:ascii="Garamond" w:hAnsi="Garamond" w:cs="Times New Roman"/>
          <w:sz w:val="24"/>
          <w:szCs w:val="24"/>
        </w:rPr>
        <w:t xml:space="preserve"> and delta are positive and significant. It implies that increase CEO incentive compensation as indicated as </w:t>
      </w:r>
      <w:proofErr w:type="spellStart"/>
      <w:proofErr w:type="gramStart"/>
      <w:r w:rsidRPr="00987287">
        <w:rPr>
          <w:rFonts w:ascii="Garamond" w:hAnsi="Garamond" w:cs="Times New Roman"/>
          <w:sz w:val="24"/>
          <w:szCs w:val="24"/>
        </w:rPr>
        <w:t>vega</w:t>
      </w:r>
      <w:proofErr w:type="spellEnd"/>
      <w:proofErr w:type="gramEnd"/>
      <w:r w:rsidRPr="00987287">
        <w:rPr>
          <w:rFonts w:ascii="Garamond" w:hAnsi="Garamond" w:cs="Times New Roman"/>
          <w:sz w:val="24"/>
          <w:szCs w:val="24"/>
        </w:rPr>
        <w:t xml:space="preserve"> and delta is positively associated with </w:t>
      </w:r>
      <w:r w:rsidR="00AA5FB9" w:rsidRPr="00987287">
        <w:rPr>
          <w:rFonts w:ascii="Garamond" w:hAnsi="Garamond" w:cs="Times New Roman"/>
          <w:sz w:val="24"/>
          <w:szCs w:val="24"/>
        </w:rPr>
        <w:t>financial firm</w:t>
      </w:r>
      <w:r w:rsidRPr="00987287">
        <w:rPr>
          <w:rFonts w:ascii="Garamond" w:hAnsi="Garamond" w:cs="Times New Roman"/>
          <w:sz w:val="24"/>
          <w:szCs w:val="24"/>
        </w:rPr>
        <w:t xml:space="preserve"> stock return. </w:t>
      </w:r>
      <w:r w:rsidR="00AA5FB9" w:rsidRPr="00987287">
        <w:rPr>
          <w:rFonts w:ascii="Garamond" w:hAnsi="Garamond" w:cs="Times New Roman"/>
          <w:sz w:val="24"/>
          <w:szCs w:val="24"/>
        </w:rPr>
        <w:t>Financial firm</w:t>
      </w:r>
      <w:r w:rsidRPr="00987287">
        <w:rPr>
          <w:rFonts w:ascii="Garamond" w:hAnsi="Garamond" w:cs="Times New Roman"/>
          <w:sz w:val="24"/>
          <w:szCs w:val="24"/>
        </w:rPr>
        <w:t xml:space="preserve"> size is positively correlated with return, which is consistent with literature. For relation bet</w:t>
      </w:r>
      <w:r w:rsidR="005F5D83" w:rsidRPr="00987287">
        <w:rPr>
          <w:rFonts w:ascii="Garamond" w:hAnsi="Garamond" w:cs="Times New Roman"/>
          <w:sz w:val="24"/>
          <w:szCs w:val="24"/>
        </w:rPr>
        <w:t>we</w:t>
      </w:r>
      <w:r w:rsidRPr="00987287">
        <w:rPr>
          <w:rFonts w:ascii="Garamond" w:hAnsi="Garamond" w:cs="Times New Roman"/>
          <w:sz w:val="24"/>
          <w:szCs w:val="24"/>
        </w:rPr>
        <w:t xml:space="preserve">en </w:t>
      </w:r>
      <w:proofErr w:type="spellStart"/>
      <w:proofErr w:type="gramStart"/>
      <w:r w:rsidRPr="00987287">
        <w:rPr>
          <w:rFonts w:ascii="Garamond" w:hAnsi="Garamond" w:cs="Times New Roman"/>
          <w:sz w:val="24"/>
          <w:szCs w:val="24"/>
        </w:rPr>
        <w:t>vega</w:t>
      </w:r>
      <w:proofErr w:type="spellEnd"/>
      <w:proofErr w:type="gramEnd"/>
      <w:r w:rsidRPr="00987287">
        <w:rPr>
          <w:rFonts w:ascii="Garamond" w:hAnsi="Garamond" w:cs="Times New Roman"/>
          <w:sz w:val="24"/>
          <w:szCs w:val="24"/>
        </w:rPr>
        <w:t xml:space="preserve"> and delta, </w:t>
      </w:r>
      <w:proofErr w:type="spellStart"/>
      <w:r w:rsidRPr="00987287">
        <w:rPr>
          <w:rFonts w:ascii="Garamond" w:hAnsi="Garamond" w:cs="Times New Roman"/>
          <w:sz w:val="24"/>
          <w:szCs w:val="24"/>
          <w:shd w:val="clear" w:color="auto" w:fill="FFFFFF"/>
        </w:rPr>
        <w:t>vega</w:t>
      </w:r>
      <w:proofErr w:type="spellEnd"/>
      <w:r w:rsidRPr="00987287">
        <w:rPr>
          <w:rFonts w:ascii="Garamond" w:hAnsi="Garamond" w:cs="Times New Roman"/>
          <w:sz w:val="24"/>
          <w:szCs w:val="24"/>
          <w:shd w:val="clear" w:color="auto" w:fill="FFFFFF"/>
        </w:rPr>
        <w:t xml:space="preserve"> is significantly positively correlated with delta as predicted.</w:t>
      </w:r>
      <w:r w:rsidRPr="00987287">
        <w:rPr>
          <w:rFonts w:ascii="Garamond" w:hAnsi="Garamond" w:cs="Times New Roman"/>
          <w:sz w:val="24"/>
          <w:szCs w:val="24"/>
        </w:rPr>
        <w:t xml:space="preserve"> The coefficients on ROA is positive and significant different from zero. It implies that higher level of stock return increases the managerial incentive in compensation, as reflected in </w:t>
      </w:r>
      <w:proofErr w:type="spellStart"/>
      <w:proofErr w:type="gramStart"/>
      <w:r w:rsidRPr="00987287">
        <w:rPr>
          <w:rFonts w:ascii="Garamond" w:hAnsi="Garamond" w:cs="Times New Roman"/>
          <w:sz w:val="24"/>
          <w:szCs w:val="24"/>
        </w:rPr>
        <w:t>vega</w:t>
      </w:r>
      <w:proofErr w:type="spellEnd"/>
      <w:proofErr w:type="gramEnd"/>
      <w:r w:rsidRPr="00987287">
        <w:rPr>
          <w:rFonts w:ascii="Garamond" w:hAnsi="Garamond" w:cs="Times New Roman"/>
          <w:sz w:val="24"/>
          <w:szCs w:val="24"/>
        </w:rPr>
        <w:t xml:space="preserve">, which is consistent with my expectations. Moreover, </w:t>
      </w:r>
      <w:proofErr w:type="spellStart"/>
      <w:proofErr w:type="gramStart"/>
      <w:r w:rsidRPr="00987287">
        <w:rPr>
          <w:rFonts w:ascii="Garamond" w:hAnsi="Garamond" w:cs="Times New Roman"/>
          <w:sz w:val="24"/>
          <w:szCs w:val="24"/>
        </w:rPr>
        <w:t>vega</w:t>
      </w:r>
      <w:proofErr w:type="spellEnd"/>
      <w:proofErr w:type="gramEnd"/>
      <w:r w:rsidRPr="00987287">
        <w:rPr>
          <w:rFonts w:ascii="Garamond" w:hAnsi="Garamond" w:cs="Times New Roman"/>
          <w:sz w:val="24"/>
          <w:szCs w:val="24"/>
        </w:rPr>
        <w:t xml:space="preserve"> is positively correlated with </w:t>
      </w:r>
      <w:r w:rsidR="00AA5FB9" w:rsidRPr="00987287">
        <w:rPr>
          <w:rFonts w:ascii="Garamond" w:hAnsi="Garamond" w:cs="Times New Roman"/>
          <w:sz w:val="24"/>
          <w:szCs w:val="24"/>
        </w:rPr>
        <w:t>financial firm</w:t>
      </w:r>
      <w:r w:rsidRPr="00987287">
        <w:rPr>
          <w:rFonts w:ascii="Garamond" w:hAnsi="Garamond" w:cs="Times New Roman"/>
          <w:sz w:val="24"/>
          <w:szCs w:val="24"/>
        </w:rPr>
        <w:t xml:space="preserve"> size as predicted. From the equation of delta, delta depends positively on </w:t>
      </w:r>
      <w:proofErr w:type="spellStart"/>
      <w:proofErr w:type="gramStart"/>
      <w:r w:rsidRPr="00987287">
        <w:rPr>
          <w:rFonts w:ascii="Garamond" w:hAnsi="Garamond" w:cs="Times New Roman"/>
          <w:sz w:val="24"/>
          <w:szCs w:val="24"/>
        </w:rPr>
        <w:t>vega</w:t>
      </w:r>
      <w:proofErr w:type="spellEnd"/>
      <w:proofErr w:type="gramEnd"/>
      <w:r w:rsidRPr="00987287">
        <w:rPr>
          <w:rFonts w:ascii="Garamond" w:hAnsi="Garamond" w:cs="Times New Roman"/>
          <w:sz w:val="24"/>
          <w:szCs w:val="24"/>
        </w:rPr>
        <w:t xml:space="preserve">. Delta is also positively correlated with stock price and negatively correlated with </w:t>
      </w:r>
      <w:r w:rsidR="00AA5FB9" w:rsidRPr="00987287">
        <w:rPr>
          <w:rFonts w:ascii="Garamond" w:hAnsi="Garamond" w:cs="Times New Roman"/>
          <w:sz w:val="24"/>
          <w:szCs w:val="24"/>
        </w:rPr>
        <w:t>financial firm</w:t>
      </w:r>
      <w:r w:rsidRPr="00987287">
        <w:rPr>
          <w:rFonts w:ascii="Garamond" w:hAnsi="Garamond" w:cs="Times New Roman"/>
          <w:sz w:val="24"/>
          <w:szCs w:val="24"/>
        </w:rPr>
        <w:t xml:space="preserve"> size. As </w:t>
      </w:r>
      <w:r w:rsidR="00AA5FB9" w:rsidRPr="00987287">
        <w:rPr>
          <w:rFonts w:ascii="Garamond" w:hAnsi="Garamond" w:cs="Times New Roman"/>
          <w:sz w:val="24"/>
          <w:szCs w:val="24"/>
        </w:rPr>
        <w:t>financial firm</w:t>
      </w:r>
      <w:r w:rsidRPr="00987287">
        <w:rPr>
          <w:rFonts w:ascii="Garamond" w:hAnsi="Garamond" w:cs="Times New Roman"/>
          <w:sz w:val="24"/>
          <w:szCs w:val="24"/>
        </w:rPr>
        <w:t xml:space="preserve">s expand and have higher level of return, CEO incentive compensation should be higher. Therefore, stock return should be positively related to </w:t>
      </w:r>
      <w:proofErr w:type="spellStart"/>
      <w:proofErr w:type="gramStart"/>
      <w:r w:rsidRPr="00987287">
        <w:rPr>
          <w:rFonts w:ascii="Garamond" w:hAnsi="Garamond" w:cs="Times New Roman"/>
          <w:sz w:val="24"/>
          <w:szCs w:val="24"/>
        </w:rPr>
        <w:t>vega</w:t>
      </w:r>
      <w:proofErr w:type="spellEnd"/>
      <w:proofErr w:type="gramEnd"/>
      <w:r w:rsidRPr="00987287">
        <w:rPr>
          <w:rFonts w:ascii="Garamond" w:hAnsi="Garamond" w:cs="Times New Roman"/>
          <w:sz w:val="24"/>
          <w:szCs w:val="24"/>
        </w:rPr>
        <w:t xml:space="preserve"> and delta. The regression results in Table 4 are consistent with predictions. The estimated coefficient on </w:t>
      </w:r>
      <w:proofErr w:type="spellStart"/>
      <w:proofErr w:type="gramStart"/>
      <w:r w:rsidRPr="00987287">
        <w:rPr>
          <w:rFonts w:ascii="Garamond" w:hAnsi="Garamond" w:cs="Times New Roman"/>
          <w:sz w:val="24"/>
          <w:szCs w:val="24"/>
        </w:rPr>
        <w:t>vega</w:t>
      </w:r>
      <w:proofErr w:type="spellEnd"/>
      <w:proofErr w:type="gramEnd"/>
      <w:r w:rsidRPr="00987287">
        <w:rPr>
          <w:rFonts w:ascii="Garamond" w:hAnsi="Garamond" w:cs="Times New Roman"/>
          <w:sz w:val="24"/>
          <w:szCs w:val="24"/>
        </w:rPr>
        <w:t xml:space="preserve"> is positive and is significant at 5% level. On the other hand, higher delta implements higher level of return. The coefficient on delta is positive and significant.</w:t>
      </w:r>
    </w:p>
    <w:p w:rsidR="002A5846" w:rsidRPr="00987287" w:rsidRDefault="002A5846" w:rsidP="00987287">
      <w:pPr>
        <w:ind w:firstLine="720"/>
        <w:rPr>
          <w:rFonts w:ascii="Garamond" w:hAnsi="Garamond" w:cs="Times New Roman"/>
          <w:sz w:val="24"/>
          <w:szCs w:val="24"/>
        </w:rPr>
      </w:pPr>
      <w:r w:rsidRPr="00987287">
        <w:rPr>
          <w:rFonts w:ascii="Garamond" w:hAnsi="Garamond" w:cs="Times New Roman"/>
          <w:sz w:val="24"/>
          <w:szCs w:val="24"/>
        </w:rPr>
        <w:t xml:space="preserve">Table 5 reports the 3SLS model for the jointly determined variables on </w:t>
      </w:r>
      <w:proofErr w:type="spellStart"/>
      <w:proofErr w:type="gramStart"/>
      <w:r w:rsidRPr="00987287">
        <w:rPr>
          <w:rFonts w:ascii="Garamond" w:hAnsi="Garamond" w:cs="Times New Roman"/>
          <w:sz w:val="24"/>
          <w:szCs w:val="24"/>
        </w:rPr>
        <w:t>vega</w:t>
      </w:r>
      <w:proofErr w:type="spellEnd"/>
      <w:proofErr w:type="gramEnd"/>
      <w:r w:rsidRPr="00987287">
        <w:rPr>
          <w:rFonts w:ascii="Garamond" w:hAnsi="Garamond" w:cs="Times New Roman"/>
          <w:sz w:val="24"/>
          <w:szCs w:val="24"/>
        </w:rPr>
        <w:t>, delta, and bank write-offs. The coefficient</w:t>
      </w:r>
      <w:r w:rsidR="00BD3B3F" w:rsidRPr="00987287">
        <w:rPr>
          <w:rFonts w:ascii="Garamond" w:hAnsi="Garamond" w:cs="Times New Roman"/>
          <w:sz w:val="24"/>
          <w:szCs w:val="24"/>
        </w:rPr>
        <w:t xml:space="preserve"> on </w:t>
      </w:r>
      <w:proofErr w:type="spellStart"/>
      <w:proofErr w:type="gramStart"/>
      <w:r w:rsidR="00BD3B3F" w:rsidRPr="00987287">
        <w:rPr>
          <w:rFonts w:ascii="Garamond" w:hAnsi="Garamond" w:cs="Times New Roman"/>
          <w:sz w:val="24"/>
          <w:szCs w:val="24"/>
        </w:rPr>
        <w:t>vega</w:t>
      </w:r>
      <w:proofErr w:type="spellEnd"/>
      <w:proofErr w:type="gramEnd"/>
      <w:r w:rsidR="00BD3B3F" w:rsidRPr="00987287">
        <w:rPr>
          <w:rFonts w:ascii="Garamond" w:hAnsi="Garamond" w:cs="Times New Roman"/>
          <w:sz w:val="24"/>
          <w:szCs w:val="24"/>
        </w:rPr>
        <w:t xml:space="preserve"> is positive and significant, which implies higher </w:t>
      </w:r>
      <w:proofErr w:type="spellStart"/>
      <w:r w:rsidR="00BD3B3F" w:rsidRPr="00987287">
        <w:rPr>
          <w:rFonts w:ascii="Garamond" w:hAnsi="Garamond" w:cs="Times New Roman"/>
          <w:sz w:val="24"/>
          <w:szCs w:val="24"/>
        </w:rPr>
        <w:t>vega</w:t>
      </w:r>
      <w:proofErr w:type="spellEnd"/>
      <w:r w:rsidR="00BD3B3F" w:rsidRPr="00987287">
        <w:rPr>
          <w:rFonts w:ascii="Garamond" w:hAnsi="Garamond" w:cs="Times New Roman"/>
          <w:sz w:val="24"/>
          <w:szCs w:val="24"/>
        </w:rPr>
        <w:t xml:space="preserve"> is associate with higher risk level thus more write-offs. While interesting the coefficient on delta is negative and significant. This finding is consistent with previous discussion that delta align the CEO compensation with </w:t>
      </w:r>
      <w:proofErr w:type="spellStart"/>
      <w:r w:rsidR="00BD3B3F" w:rsidRPr="00987287">
        <w:rPr>
          <w:rFonts w:ascii="Garamond" w:hAnsi="Garamond" w:cs="Times New Roman"/>
          <w:sz w:val="24"/>
          <w:szCs w:val="24"/>
        </w:rPr>
        <w:t>shareholders</w:t>
      </w:r>
      <w:proofErr w:type="spellEnd"/>
      <w:r w:rsidR="00BD3B3F" w:rsidRPr="00987287">
        <w:rPr>
          <w:rFonts w:ascii="Garamond" w:hAnsi="Garamond" w:cs="Times New Roman"/>
          <w:sz w:val="24"/>
          <w:szCs w:val="24"/>
        </w:rPr>
        <w:t xml:space="preserve"> interests, thus associate with less risk which attribute to less write-offs. The empirical finding also show the bank size is positively associates with write-offs. </w:t>
      </w:r>
      <w:r w:rsidRPr="00987287">
        <w:rPr>
          <w:rFonts w:ascii="Garamond" w:hAnsi="Garamond" w:cs="Times New Roman"/>
          <w:sz w:val="24"/>
          <w:szCs w:val="24"/>
        </w:rPr>
        <w:t>For relation bet</w:t>
      </w:r>
      <w:r w:rsidR="005F5D83" w:rsidRPr="00987287">
        <w:rPr>
          <w:rFonts w:ascii="Garamond" w:hAnsi="Garamond" w:cs="Times New Roman"/>
          <w:sz w:val="24"/>
          <w:szCs w:val="24"/>
        </w:rPr>
        <w:t>we</w:t>
      </w:r>
      <w:r w:rsidRPr="00987287">
        <w:rPr>
          <w:rFonts w:ascii="Garamond" w:hAnsi="Garamond" w:cs="Times New Roman"/>
          <w:sz w:val="24"/>
          <w:szCs w:val="24"/>
        </w:rPr>
        <w:t xml:space="preserve">en </w:t>
      </w:r>
      <w:proofErr w:type="spellStart"/>
      <w:proofErr w:type="gramStart"/>
      <w:r w:rsidRPr="00987287">
        <w:rPr>
          <w:rFonts w:ascii="Garamond" w:hAnsi="Garamond" w:cs="Times New Roman"/>
          <w:sz w:val="24"/>
          <w:szCs w:val="24"/>
        </w:rPr>
        <w:t>vega</w:t>
      </w:r>
      <w:proofErr w:type="spellEnd"/>
      <w:proofErr w:type="gramEnd"/>
      <w:r w:rsidRPr="00987287">
        <w:rPr>
          <w:rFonts w:ascii="Garamond" w:hAnsi="Garamond" w:cs="Times New Roman"/>
          <w:sz w:val="24"/>
          <w:szCs w:val="24"/>
        </w:rPr>
        <w:t xml:space="preserve"> and delta, </w:t>
      </w:r>
      <w:proofErr w:type="spellStart"/>
      <w:r w:rsidRPr="00987287">
        <w:rPr>
          <w:rFonts w:ascii="Garamond" w:hAnsi="Garamond" w:cs="Times New Roman"/>
          <w:sz w:val="24"/>
          <w:szCs w:val="24"/>
          <w:shd w:val="clear" w:color="auto" w:fill="FFFFFF"/>
        </w:rPr>
        <w:t>vega</w:t>
      </w:r>
      <w:proofErr w:type="spellEnd"/>
      <w:r w:rsidRPr="00987287">
        <w:rPr>
          <w:rFonts w:ascii="Garamond" w:hAnsi="Garamond" w:cs="Times New Roman"/>
          <w:sz w:val="24"/>
          <w:szCs w:val="24"/>
          <w:shd w:val="clear" w:color="auto" w:fill="FFFFFF"/>
        </w:rPr>
        <w:t xml:space="preserve"> is significantly positively correlated with delta as predicted.</w:t>
      </w:r>
      <w:r w:rsidRPr="00987287">
        <w:rPr>
          <w:rFonts w:ascii="Garamond" w:hAnsi="Garamond" w:cs="Times New Roman"/>
          <w:sz w:val="24"/>
          <w:szCs w:val="24"/>
        </w:rPr>
        <w:t xml:space="preserve"> Moreover, </w:t>
      </w:r>
      <w:proofErr w:type="spellStart"/>
      <w:proofErr w:type="gramStart"/>
      <w:r w:rsidRPr="00987287">
        <w:rPr>
          <w:rFonts w:ascii="Garamond" w:hAnsi="Garamond" w:cs="Times New Roman"/>
          <w:sz w:val="24"/>
          <w:szCs w:val="24"/>
        </w:rPr>
        <w:t>vega</w:t>
      </w:r>
      <w:proofErr w:type="spellEnd"/>
      <w:proofErr w:type="gramEnd"/>
      <w:r w:rsidRPr="00987287">
        <w:rPr>
          <w:rFonts w:ascii="Garamond" w:hAnsi="Garamond" w:cs="Times New Roman"/>
          <w:sz w:val="24"/>
          <w:szCs w:val="24"/>
        </w:rPr>
        <w:t xml:space="preserve"> is positively correlated with </w:t>
      </w:r>
      <w:r w:rsidR="00AA5FB9" w:rsidRPr="00987287">
        <w:rPr>
          <w:rFonts w:ascii="Garamond" w:hAnsi="Garamond" w:cs="Times New Roman"/>
          <w:sz w:val="24"/>
          <w:szCs w:val="24"/>
        </w:rPr>
        <w:t>financial firm</w:t>
      </w:r>
      <w:r w:rsidRPr="00987287">
        <w:rPr>
          <w:rFonts w:ascii="Garamond" w:hAnsi="Garamond" w:cs="Times New Roman"/>
          <w:sz w:val="24"/>
          <w:szCs w:val="24"/>
        </w:rPr>
        <w:t xml:space="preserve"> size as predicted. From the equation of delta, delta depends positively on </w:t>
      </w:r>
      <w:proofErr w:type="spellStart"/>
      <w:proofErr w:type="gramStart"/>
      <w:r w:rsidRPr="00987287">
        <w:rPr>
          <w:rFonts w:ascii="Garamond" w:hAnsi="Garamond" w:cs="Times New Roman"/>
          <w:sz w:val="24"/>
          <w:szCs w:val="24"/>
        </w:rPr>
        <w:t>vega</w:t>
      </w:r>
      <w:proofErr w:type="spellEnd"/>
      <w:proofErr w:type="gramEnd"/>
      <w:r w:rsidRPr="00987287">
        <w:rPr>
          <w:rFonts w:ascii="Garamond" w:hAnsi="Garamond" w:cs="Times New Roman"/>
          <w:sz w:val="24"/>
          <w:szCs w:val="24"/>
        </w:rPr>
        <w:t xml:space="preserve">. Delta is positively correlated with stock price and negatively correlated with </w:t>
      </w:r>
      <w:r w:rsidR="00AA5FB9" w:rsidRPr="00987287">
        <w:rPr>
          <w:rFonts w:ascii="Garamond" w:hAnsi="Garamond" w:cs="Times New Roman"/>
          <w:sz w:val="24"/>
          <w:szCs w:val="24"/>
        </w:rPr>
        <w:t>financial firm</w:t>
      </w:r>
      <w:r w:rsidRPr="00987287">
        <w:rPr>
          <w:rFonts w:ascii="Garamond" w:hAnsi="Garamond" w:cs="Times New Roman"/>
          <w:sz w:val="24"/>
          <w:szCs w:val="24"/>
        </w:rPr>
        <w:t xml:space="preserve"> size</w:t>
      </w:r>
      <w:r w:rsidR="00BD3B3F" w:rsidRPr="00987287">
        <w:rPr>
          <w:rFonts w:ascii="Garamond" w:hAnsi="Garamond" w:cs="Times New Roman"/>
          <w:sz w:val="24"/>
          <w:szCs w:val="24"/>
        </w:rPr>
        <w:t xml:space="preserve"> which is consistent with previous table </w:t>
      </w:r>
      <w:proofErr w:type="spellStart"/>
      <w:r w:rsidR="00BD3B3F" w:rsidRPr="00987287">
        <w:rPr>
          <w:rFonts w:ascii="Garamond" w:hAnsi="Garamond" w:cs="Times New Roman"/>
          <w:sz w:val="24"/>
          <w:szCs w:val="24"/>
        </w:rPr>
        <w:t>resutls</w:t>
      </w:r>
      <w:proofErr w:type="spellEnd"/>
      <w:r w:rsidRPr="00987287">
        <w:rPr>
          <w:rFonts w:ascii="Garamond" w:hAnsi="Garamond" w:cs="Times New Roman"/>
          <w:sz w:val="24"/>
          <w:szCs w:val="24"/>
        </w:rPr>
        <w:t xml:space="preserve">. </w:t>
      </w:r>
    </w:p>
    <w:p w:rsidR="002E1DC8" w:rsidRPr="00987287" w:rsidRDefault="002E1DC8" w:rsidP="00987287">
      <w:pPr>
        <w:spacing w:after="0" w:line="240" w:lineRule="auto"/>
        <w:jc w:val="both"/>
        <w:rPr>
          <w:rFonts w:ascii="Garamond" w:hAnsi="Garamond" w:cs="Times New Roman"/>
          <w:i/>
          <w:sz w:val="24"/>
          <w:szCs w:val="24"/>
        </w:rPr>
      </w:pPr>
    </w:p>
    <w:p w:rsidR="002E1DC8" w:rsidRPr="00987287" w:rsidRDefault="002E1DC8" w:rsidP="00987287">
      <w:pPr>
        <w:pStyle w:val="CM11"/>
        <w:spacing w:line="240" w:lineRule="auto"/>
        <w:ind w:firstLine="720"/>
        <w:jc w:val="both"/>
        <w:rPr>
          <w:rFonts w:ascii="Garamond" w:hAnsi="Garamond"/>
        </w:rPr>
      </w:pPr>
      <w:r w:rsidRPr="00987287">
        <w:rPr>
          <w:rFonts w:ascii="Garamond" w:hAnsi="Garamond"/>
        </w:rPr>
        <w:t xml:space="preserve">Additionally, for the regressions in both Tables 5 and 6, I include year dummy variables, and I use logarithmic values of </w:t>
      </w:r>
      <w:proofErr w:type="spellStart"/>
      <w:proofErr w:type="gramStart"/>
      <w:r w:rsidRPr="00987287">
        <w:rPr>
          <w:rFonts w:ascii="Garamond" w:hAnsi="Garamond"/>
        </w:rPr>
        <w:t>vega</w:t>
      </w:r>
      <w:proofErr w:type="spellEnd"/>
      <w:proofErr w:type="gramEnd"/>
      <w:r w:rsidRPr="00987287">
        <w:rPr>
          <w:rFonts w:ascii="Garamond" w:hAnsi="Garamond"/>
        </w:rPr>
        <w:t xml:space="preserve"> and delta rather than the raw values. The results on </w:t>
      </w:r>
      <w:proofErr w:type="spellStart"/>
      <w:proofErr w:type="gramStart"/>
      <w:r w:rsidRPr="00987287">
        <w:rPr>
          <w:rFonts w:ascii="Garamond" w:hAnsi="Garamond"/>
        </w:rPr>
        <w:t>vega</w:t>
      </w:r>
      <w:proofErr w:type="spellEnd"/>
      <w:proofErr w:type="gramEnd"/>
      <w:r w:rsidRPr="00987287">
        <w:rPr>
          <w:rFonts w:ascii="Garamond" w:hAnsi="Garamond"/>
        </w:rPr>
        <w:t xml:space="preserve"> are robust to all these alternative specifications.</w:t>
      </w:r>
    </w:p>
    <w:p w:rsidR="002E1DC8" w:rsidRPr="00987287" w:rsidRDefault="002E1DC8" w:rsidP="00987287">
      <w:pPr>
        <w:spacing w:after="120" w:line="240" w:lineRule="auto"/>
        <w:ind w:firstLine="720"/>
        <w:rPr>
          <w:rFonts w:ascii="Garamond" w:hAnsi="Garamond" w:cs="Times New Roman"/>
          <w:sz w:val="24"/>
          <w:szCs w:val="24"/>
        </w:rPr>
      </w:pPr>
    </w:p>
    <w:p w:rsidR="00072C98" w:rsidRPr="00987287" w:rsidRDefault="00072C98" w:rsidP="00987287">
      <w:pPr>
        <w:spacing w:after="120" w:line="240" w:lineRule="auto"/>
        <w:rPr>
          <w:rFonts w:ascii="Garamond" w:eastAsia="Calibri" w:hAnsi="Garamond" w:cs="Times New Roman"/>
          <w:b/>
          <w:sz w:val="24"/>
          <w:szCs w:val="24"/>
        </w:rPr>
      </w:pPr>
      <w:r w:rsidRPr="00987287">
        <w:rPr>
          <w:rFonts w:ascii="Garamond" w:eastAsia="Calibri" w:hAnsi="Garamond" w:cs="Times New Roman"/>
          <w:b/>
          <w:sz w:val="24"/>
          <w:szCs w:val="24"/>
        </w:rPr>
        <w:t xml:space="preserve">Conclusions </w:t>
      </w:r>
    </w:p>
    <w:p w:rsidR="00072C98" w:rsidRPr="00987287" w:rsidRDefault="00072C98" w:rsidP="00987287">
      <w:pPr>
        <w:widowControl w:val="0"/>
        <w:autoSpaceDE w:val="0"/>
        <w:autoSpaceDN w:val="0"/>
        <w:adjustRightInd w:val="0"/>
        <w:spacing w:after="120" w:line="240" w:lineRule="auto"/>
        <w:ind w:firstLine="720"/>
        <w:rPr>
          <w:rFonts w:ascii="Garamond" w:eastAsia="Times New Roman" w:hAnsi="Garamond" w:cs="Times New Roman"/>
          <w:sz w:val="24"/>
          <w:szCs w:val="24"/>
        </w:rPr>
      </w:pPr>
      <w:r w:rsidRPr="00987287">
        <w:rPr>
          <w:rFonts w:ascii="Garamond" w:eastAsia="Times New Roman" w:hAnsi="Garamond" w:cs="Times New Roman"/>
          <w:sz w:val="24"/>
          <w:szCs w:val="24"/>
        </w:rPr>
        <w:t>The effect of ownership and compensation structure on risk-taking in the banking industry is a topic of importance to academics, practitioners, and particularly to regulators. While incredible little research has been done to examine the association bet</w:t>
      </w:r>
      <w:r w:rsidR="005F5D83" w:rsidRPr="00987287">
        <w:rPr>
          <w:rFonts w:ascii="Garamond" w:eastAsia="Times New Roman" w:hAnsi="Garamond" w:cs="Times New Roman"/>
          <w:sz w:val="24"/>
          <w:szCs w:val="24"/>
        </w:rPr>
        <w:t>we</w:t>
      </w:r>
      <w:r w:rsidRPr="00987287">
        <w:rPr>
          <w:rFonts w:ascii="Garamond" w:eastAsia="Times New Roman" w:hAnsi="Garamond" w:cs="Times New Roman"/>
          <w:sz w:val="24"/>
          <w:szCs w:val="24"/>
        </w:rPr>
        <w:t xml:space="preserve">en managerial incentive compensation, board and ownership structure and bank risk-taking strategy. Furthermore, as much as is known, no study has explored the magnitude of the convexity of this relation and its effect on risk-taking. This study provides important empirical evidence to align this relation. </w:t>
      </w:r>
    </w:p>
    <w:p w:rsidR="00072C98" w:rsidRPr="00987287" w:rsidRDefault="00C107BE" w:rsidP="00987287">
      <w:pPr>
        <w:widowControl w:val="0"/>
        <w:autoSpaceDE w:val="0"/>
        <w:autoSpaceDN w:val="0"/>
        <w:adjustRightInd w:val="0"/>
        <w:spacing w:after="120" w:line="240" w:lineRule="auto"/>
        <w:ind w:firstLine="720"/>
        <w:rPr>
          <w:rFonts w:ascii="Garamond" w:eastAsia="Times New Roman" w:hAnsi="Garamond" w:cs="Times New Roman"/>
          <w:sz w:val="24"/>
          <w:szCs w:val="24"/>
        </w:rPr>
      </w:pPr>
      <w:r w:rsidRPr="00987287">
        <w:rPr>
          <w:rFonts w:ascii="Garamond" w:eastAsia="Times New Roman" w:hAnsi="Garamond" w:cs="Times New Roman"/>
          <w:sz w:val="24"/>
          <w:szCs w:val="24"/>
        </w:rPr>
        <w:t xml:space="preserve">This study examines </w:t>
      </w:r>
      <w:r w:rsidR="00072C98" w:rsidRPr="00987287">
        <w:rPr>
          <w:rFonts w:ascii="Garamond" w:eastAsia="Times New Roman" w:hAnsi="Garamond" w:cs="Times New Roman"/>
          <w:sz w:val="24"/>
          <w:szCs w:val="24"/>
        </w:rPr>
        <w:t xml:space="preserve">the </w:t>
      </w:r>
      <w:r w:rsidRPr="00987287">
        <w:rPr>
          <w:rFonts w:ascii="Garamond" w:eastAsia="Times New Roman" w:hAnsi="Garamond" w:cs="Times New Roman"/>
          <w:sz w:val="24"/>
          <w:szCs w:val="24"/>
        </w:rPr>
        <w:t>relationship</w:t>
      </w:r>
      <w:r w:rsidR="00072C98" w:rsidRPr="00987287">
        <w:rPr>
          <w:rFonts w:ascii="Garamond" w:eastAsia="Times New Roman" w:hAnsi="Garamond" w:cs="Times New Roman"/>
          <w:sz w:val="24"/>
          <w:szCs w:val="24"/>
        </w:rPr>
        <w:t xml:space="preserve"> be</w:t>
      </w:r>
      <w:r w:rsidR="000844C7" w:rsidRPr="00987287">
        <w:rPr>
          <w:rFonts w:ascii="Garamond" w:eastAsia="Times New Roman" w:hAnsi="Garamond" w:cs="Times New Roman"/>
          <w:sz w:val="24"/>
          <w:szCs w:val="24"/>
        </w:rPr>
        <w:t>tween</w:t>
      </w:r>
      <w:r w:rsidR="00072C98" w:rsidRPr="00987287">
        <w:rPr>
          <w:rFonts w:ascii="Garamond" w:eastAsia="Times New Roman" w:hAnsi="Garamond" w:cs="Times New Roman"/>
          <w:sz w:val="24"/>
          <w:szCs w:val="24"/>
        </w:rPr>
        <w:t xml:space="preserve"> executive compensation, ownership </w:t>
      </w:r>
      <w:r w:rsidR="00896AFC" w:rsidRPr="00987287">
        <w:rPr>
          <w:rFonts w:ascii="Garamond" w:eastAsia="Times New Roman" w:hAnsi="Garamond" w:cs="Times New Roman"/>
          <w:sz w:val="24"/>
          <w:szCs w:val="24"/>
        </w:rPr>
        <w:t>structure</w:t>
      </w:r>
      <w:r w:rsidR="00072C98" w:rsidRPr="00987287">
        <w:rPr>
          <w:rFonts w:ascii="Garamond" w:eastAsia="Times New Roman" w:hAnsi="Garamond" w:cs="Times New Roman"/>
          <w:sz w:val="24"/>
          <w:szCs w:val="24"/>
        </w:rPr>
        <w:t xml:space="preserve"> and </w:t>
      </w:r>
      <w:r w:rsidR="00AA5FB9" w:rsidRPr="00987287">
        <w:rPr>
          <w:rFonts w:ascii="Garamond" w:eastAsia="Times New Roman" w:hAnsi="Garamond" w:cs="Times New Roman"/>
          <w:sz w:val="24"/>
          <w:szCs w:val="24"/>
        </w:rPr>
        <w:t>financial firm</w:t>
      </w:r>
      <w:r w:rsidR="00072C98" w:rsidRPr="00987287">
        <w:rPr>
          <w:rFonts w:ascii="Garamond" w:eastAsia="Times New Roman" w:hAnsi="Garamond" w:cs="Times New Roman"/>
          <w:sz w:val="24"/>
          <w:szCs w:val="24"/>
        </w:rPr>
        <w:t xml:space="preserve"> performance for China financial corporation during 1998-2006. The empirical results reveal that executive compensation in China </w:t>
      </w:r>
      <w:r w:rsidR="0092098C">
        <w:rPr>
          <w:rFonts w:ascii="Garamond" w:eastAsia="Times New Roman" w:hAnsi="Garamond" w:cs="Times New Roman"/>
          <w:sz w:val="24"/>
          <w:szCs w:val="24"/>
        </w:rPr>
        <w:t>financial firm</w:t>
      </w:r>
      <w:r w:rsidR="00072C98" w:rsidRPr="00987287">
        <w:rPr>
          <w:rFonts w:ascii="Garamond" w:eastAsia="Times New Roman" w:hAnsi="Garamond" w:cs="Times New Roman"/>
          <w:sz w:val="24"/>
          <w:szCs w:val="24"/>
        </w:rPr>
        <w:t xml:space="preserve">s has increased remarkably after the discriminated share reform. In this study, I find that both board of director characteristics and ownership structure have a strong association with CEO incentive compensations after controlling for standard economic determinants of the level of CEO compensation. </w:t>
      </w:r>
    </w:p>
    <w:p w:rsidR="00072C98" w:rsidRPr="00987287" w:rsidRDefault="00C107BE" w:rsidP="00987287">
      <w:pPr>
        <w:spacing w:line="240" w:lineRule="auto"/>
        <w:ind w:firstLine="720"/>
        <w:rPr>
          <w:rFonts w:ascii="Garamond" w:eastAsia="Calibri" w:hAnsi="Garamond" w:cs="Times New Roman"/>
          <w:sz w:val="24"/>
          <w:szCs w:val="24"/>
        </w:rPr>
      </w:pPr>
      <w:r w:rsidRPr="00987287">
        <w:rPr>
          <w:rFonts w:ascii="Garamond" w:eastAsia="Calibri" w:hAnsi="Garamond" w:cs="Times New Roman"/>
          <w:sz w:val="24"/>
          <w:szCs w:val="24"/>
        </w:rPr>
        <w:t xml:space="preserve">The results also show that ownership structure has a significant impact on China executive compensation. Ownership concentration tends to have a negative impact on CEO compensation. The involvement of state ownership tends to limit CEO compensation.  The results are consistent with previous findings of Shleifer and </w:t>
      </w:r>
      <w:proofErr w:type="spellStart"/>
      <w:r w:rsidRPr="00987287">
        <w:rPr>
          <w:rFonts w:ascii="Garamond" w:eastAsia="Calibri" w:hAnsi="Garamond" w:cs="Times New Roman"/>
          <w:sz w:val="24"/>
          <w:szCs w:val="24"/>
        </w:rPr>
        <w:t>Vishny</w:t>
      </w:r>
      <w:proofErr w:type="spellEnd"/>
      <w:r w:rsidRPr="00987287">
        <w:rPr>
          <w:rFonts w:ascii="Garamond" w:eastAsia="Calibri" w:hAnsi="Garamond" w:cs="Times New Roman"/>
          <w:sz w:val="24"/>
          <w:szCs w:val="24"/>
        </w:rPr>
        <w:t xml:space="preserve"> (1997) and Chang et al. (2004) that the government or regulation may ensure efficient corporate governance in business activity as a helping hand when corporate governance is </w:t>
      </w:r>
      <w:r w:rsidR="005F5D83" w:rsidRPr="00987287">
        <w:rPr>
          <w:rFonts w:ascii="Garamond" w:eastAsia="Calibri" w:hAnsi="Garamond" w:cs="Times New Roman"/>
          <w:sz w:val="24"/>
          <w:szCs w:val="24"/>
        </w:rPr>
        <w:t>we</w:t>
      </w:r>
      <w:r w:rsidRPr="00987287">
        <w:rPr>
          <w:rFonts w:ascii="Garamond" w:eastAsia="Calibri" w:hAnsi="Garamond" w:cs="Times New Roman"/>
          <w:sz w:val="24"/>
          <w:szCs w:val="24"/>
        </w:rPr>
        <w:t xml:space="preserve">ak. </w:t>
      </w:r>
      <w:r w:rsidR="00072C98" w:rsidRPr="00987287">
        <w:rPr>
          <w:rFonts w:ascii="Garamond" w:eastAsia="Calibri" w:hAnsi="Garamond" w:cs="Times New Roman"/>
          <w:sz w:val="24"/>
          <w:szCs w:val="24"/>
        </w:rPr>
        <w:t>I further examine whether higher equity-based CEO incentive compensation is associated with banks’ risk-taking investment strategies and performance. I find consistent evidence of a positive relation bet</w:t>
      </w:r>
      <w:r w:rsidR="005F5D83" w:rsidRPr="00987287">
        <w:rPr>
          <w:rFonts w:ascii="Garamond" w:eastAsia="Calibri" w:hAnsi="Garamond" w:cs="Times New Roman"/>
          <w:sz w:val="24"/>
          <w:szCs w:val="24"/>
        </w:rPr>
        <w:t>we</w:t>
      </w:r>
      <w:r w:rsidR="00072C98" w:rsidRPr="00987287">
        <w:rPr>
          <w:rFonts w:ascii="Garamond" w:eastAsia="Calibri" w:hAnsi="Garamond" w:cs="Times New Roman"/>
          <w:sz w:val="24"/>
          <w:szCs w:val="24"/>
        </w:rPr>
        <w:t xml:space="preserve">en CEO incentive compensation and managerial risk-taking investments. In particular, incentive compensation is positively associated with bank risk, </w:t>
      </w:r>
      <w:r w:rsidRPr="00987287">
        <w:rPr>
          <w:rFonts w:ascii="Garamond" w:eastAsia="Calibri" w:hAnsi="Garamond" w:cs="Times New Roman"/>
          <w:sz w:val="24"/>
          <w:szCs w:val="24"/>
        </w:rPr>
        <w:t xml:space="preserve">performance </w:t>
      </w:r>
      <w:r w:rsidR="00072C98" w:rsidRPr="00987287">
        <w:rPr>
          <w:rFonts w:ascii="Garamond" w:eastAsia="Calibri" w:hAnsi="Garamond" w:cs="Times New Roman"/>
          <w:sz w:val="24"/>
          <w:szCs w:val="24"/>
        </w:rPr>
        <w:t xml:space="preserve">and total loan write-offs. The empirical findings suggest that the </w:t>
      </w:r>
      <w:r w:rsidR="005F5D83" w:rsidRPr="00987287">
        <w:rPr>
          <w:rFonts w:ascii="Garamond" w:eastAsia="Calibri" w:hAnsi="Garamond" w:cs="Times New Roman"/>
          <w:sz w:val="24"/>
          <w:szCs w:val="24"/>
        </w:rPr>
        <w:t>we</w:t>
      </w:r>
      <w:r w:rsidR="00072C98" w:rsidRPr="00987287">
        <w:rPr>
          <w:rFonts w:ascii="Garamond" w:eastAsia="Calibri" w:hAnsi="Garamond" w:cs="Times New Roman"/>
          <w:sz w:val="24"/>
          <w:szCs w:val="24"/>
        </w:rPr>
        <w:t>ightings of the board and ownership variables in the compensation equation are related to the effectiveness of banks’ investment strategies and performance. The results are robust across alternative methodologies, and model specifications.</w:t>
      </w:r>
      <w:r w:rsidRPr="00987287">
        <w:rPr>
          <w:rFonts w:ascii="Garamond" w:eastAsia="Calibri" w:hAnsi="Garamond" w:cs="Times New Roman"/>
          <w:sz w:val="24"/>
          <w:szCs w:val="24"/>
        </w:rPr>
        <w:t xml:space="preserve"> </w:t>
      </w:r>
      <w:r w:rsidR="00814713" w:rsidRPr="00987287">
        <w:rPr>
          <w:rFonts w:ascii="Garamond" w:eastAsia="Calibri" w:hAnsi="Garamond" w:cs="Times New Roman"/>
          <w:sz w:val="24"/>
          <w:szCs w:val="24"/>
        </w:rPr>
        <w:t xml:space="preserve">The results have important </w:t>
      </w:r>
      <w:r w:rsidR="00896AFC" w:rsidRPr="00987287">
        <w:rPr>
          <w:rFonts w:ascii="Garamond" w:eastAsia="Calibri" w:hAnsi="Garamond" w:cs="Times New Roman"/>
          <w:sz w:val="24"/>
          <w:szCs w:val="24"/>
        </w:rPr>
        <w:t>implications</w:t>
      </w:r>
      <w:r w:rsidR="00814713" w:rsidRPr="00987287">
        <w:rPr>
          <w:rFonts w:ascii="Garamond" w:eastAsia="Calibri" w:hAnsi="Garamond" w:cs="Times New Roman"/>
          <w:sz w:val="24"/>
          <w:szCs w:val="24"/>
        </w:rPr>
        <w:t xml:space="preserve"> for regulators and board members on the measurement of CEO compensation and incentive as </w:t>
      </w:r>
      <w:r w:rsidR="0092098C">
        <w:rPr>
          <w:rFonts w:ascii="Garamond" w:eastAsia="Calibri" w:hAnsi="Garamond" w:cs="Times New Roman"/>
          <w:sz w:val="24"/>
          <w:szCs w:val="24"/>
        </w:rPr>
        <w:t>Well</w:t>
      </w:r>
      <w:r w:rsidR="00814713" w:rsidRPr="00987287">
        <w:rPr>
          <w:rFonts w:ascii="Garamond" w:eastAsia="Calibri" w:hAnsi="Garamond" w:cs="Times New Roman"/>
          <w:sz w:val="24"/>
          <w:szCs w:val="24"/>
        </w:rPr>
        <w:t xml:space="preserve"> as risk control and financial industry. </w:t>
      </w:r>
    </w:p>
    <w:p w:rsidR="00EF37C2" w:rsidRPr="00987287" w:rsidRDefault="00EF37C2" w:rsidP="00987287">
      <w:pPr>
        <w:spacing w:after="0" w:line="240" w:lineRule="auto"/>
        <w:rPr>
          <w:rFonts w:ascii="Garamond" w:eastAsia="Calibri" w:hAnsi="Garamond" w:cs="Times New Roman"/>
          <w:b/>
          <w:sz w:val="24"/>
          <w:szCs w:val="24"/>
        </w:rPr>
      </w:pPr>
      <w:r w:rsidRPr="00987287">
        <w:rPr>
          <w:rFonts w:ascii="Garamond" w:eastAsia="Calibri" w:hAnsi="Garamond" w:cs="Times New Roman"/>
          <w:b/>
          <w:sz w:val="24"/>
          <w:szCs w:val="24"/>
        </w:rPr>
        <w:t xml:space="preserve">References </w:t>
      </w:r>
    </w:p>
    <w:p w:rsidR="00EF37C2" w:rsidRPr="00987287" w:rsidRDefault="00EF37C2" w:rsidP="00987287">
      <w:pPr>
        <w:spacing w:after="0" w:line="240" w:lineRule="auto"/>
        <w:rPr>
          <w:rFonts w:ascii="Garamond" w:eastAsia="Calibri" w:hAnsi="Garamond" w:cs="Times New Roman"/>
          <w:b/>
          <w:sz w:val="24"/>
          <w:szCs w:val="24"/>
        </w:rPr>
      </w:pPr>
    </w:p>
    <w:p w:rsidR="00EF37C2" w:rsidRPr="00987287" w:rsidRDefault="00EF37C2" w:rsidP="00987287">
      <w:pPr>
        <w:spacing w:after="0" w:line="240" w:lineRule="auto"/>
        <w:rPr>
          <w:rFonts w:ascii="Garamond" w:eastAsia="Calibri" w:hAnsi="Garamond" w:cs="Times New Roman"/>
          <w:sz w:val="24"/>
          <w:szCs w:val="24"/>
        </w:rPr>
      </w:pPr>
      <w:r w:rsidRPr="00987287">
        <w:rPr>
          <w:rFonts w:ascii="Garamond" w:eastAsia="Calibri" w:hAnsi="Garamond" w:cs="Times New Roman"/>
          <w:sz w:val="24"/>
          <w:szCs w:val="24"/>
        </w:rPr>
        <w:t xml:space="preserve">Allen, M. (1981). Power and privilege in the large corporation: corporate control and managerial </w:t>
      </w:r>
    </w:p>
    <w:p w:rsidR="00EF37C2" w:rsidRPr="00987287" w:rsidRDefault="00EF37C2" w:rsidP="00987287">
      <w:pPr>
        <w:spacing w:after="0" w:line="240" w:lineRule="auto"/>
        <w:ind w:firstLine="720"/>
        <w:rPr>
          <w:rFonts w:ascii="Garamond" w:eastAsia="Calibri" w:hAnsi="Garamond" w:cs="Times New Roman"/>
          <w:sz w:val="24"/>
          <w:szCs w:val="24"/>
        </w:rPr>
      </w:pPr>
      <w:r w:rsidRPr="00987287">
        <w:rPr>
          <w:rFonts w:ascii="Garamond" w:eastAsia="Calibri" w:hAnsi="Garamond" w:cs="Times New Roman"/>
          <w:sz w:val="24"/>
          <w:szCs w:val="24"/>
        </w:rPr>
        <w:t xml:space="preserve">Compensation. </w:t>
      </w:r>
      <w:r w:rsidRPr="00987287">
        <w:rPr>
          <w:rFonts w:ascii="Garamond" w:eastAsia="Calibri" w:hAnsi="Garamond" w:cs="Times New Roman"/>
          <w:i/>
          <w:sz w:val="24"/>
          <w:szCs w:val="24"/>
        </w:rPr>
        <w:t>American Journal of Sociology</w:t>
      </w:r>
      <w:r w:rsidRPr="00987287">
        <w:rPr>
          <w:rFonts w:ascii="Garamond" w:eastAsia="Calibri" w:hAnsi="Garamond" w:cs="Times New Roman"/>
          <w:sz w:val="24"/>
          <w:szCs w:val="24"/>
        </w:rPr>
        <w:t xml:space="preserve">, 86, 1112-1123. </w:t>
      </w:r>
    </w:p>
    <w:p w:rsidR="00EF37C2" w:rsidRPr="00987287" w:rsidRDefault="00EF37C2" w:rsidP="00987287">
      <w:pPr>
        <w:spacing w:after="0" w:line="240" w:lineRule="auto"/>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sz w:val="24"/>
          <w:szCs w:val="24"/>
        </w:rPr>
      </w:pPr>
      <w:r w:rsidRPr="00987287">
        <w:rPr>
          <w:rFonts w:ascii="Garamond" w:eastAsia="Calibri" w:hAnsi="Garamond" w:cs="Times New Roman"/>
          <w:sz w:val="24"/>
          <w:szCs w:val="24"/>
        </w:rPr>
        <w:t xml:space="preserve">Ball, R., Robin, A., &amp; Wu, J. (2000). Accounting standards, the institutional environment and </w:t>
      </w:r>
    </w:p>
    <w:p w:rsidR="00EF37C2" w:rsidRPr="00987287" w:rsidRDefault="00EF37C2" w:rsidP="00987287">
      <w:pPr>
        <w:spacing w:after="0" w:line="240" w:lineRule="auto"/>
        <w:ind w:left="720"/>
        <w:rPr>
          <w:rFonts w:ascii="Garamond" w:eastAsia="Calibri" w:hAnsi="Garamond" w:cs="Times New Roman"/>
          <w:sz w:val="24"/>
          <w:szCs w:val="24"/>
        </w:rPr>
      </w:pPr>
      <w:proofErr w:type="gramStart"/>
      <w:r w:rsidRPr="00987287">
        <w:rPr>
          <w:rFonts w:ascii="Garamond" w:eastAsia="Calibri" w:hAnsi="Garamond" w:cs="Times New Roman"/>
          <w:sz w:val="24"/>
          <w:szCs w:val="24"/>
        </w:rPr>
        <w:t>issuer</w:t>
      </w:r>
      <w:proofErr w:type="gramEnd"/>
      <w:r w:rsidRPr="00987287">
        <w:rPr>
          <w:rFonts w:ascii="Garamond" w:eastAsia="Calibri" w:hAnsi="Garamond" w:cs="Times New Roman"/>
          <w:sz w:val="24"/>
          <w:szCs w:val="24"/>
        </w:rPr>
        <w:t xml:space="preserve"> incentives: effect on timely loss recognition in China. </w:t>
      </w:r>
      <w:r w:rsidRPr="00987287">
        <w:rPr>
          <w:rFonts w:ascii="Garamond" w:eastAsia="Calibri" w:hAnsi="Garamond" w:cs="Times New Roman"/>
          <w:i/>
          <w:sz w:val="24"/>
          <w:szCs w:val="24"/>
        </w:rPr>
        <w:t>Asia Pacific Journal of Accounting and Economics</w:t>
      </w:r>
      <w:r w:rsidRPr="00987287">
        <w:rPr>
          <w:rFonts w:ascii="Garamond" w:eastAsia="Calibri" w:hAnsi="Garamond" w:cs="Times New Roman"/>
          <w:sz w:val="24"/>
          <w:szCs w:val="24"/>
        </w:rPr>
        <w:t xml:space="preserve">, 7, 71-96. </w:t>
      </w:r>
    </w:p>
    <w:p w:rsidR="00EF37C2" w:rsidRPr="00987287" w:rsidRDefault="00EF37C2" w:rsidP="00987287">
      <w:pPr>
        <w:spacing w:after="0" w:line="240" w:lineRule="auto"/>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i/>
          <w:sz w:val="24"/>
          <w:szCs w:val="24"/>
        </w:rPr>
      </w:pPr>
      <w:r w:rsidRPr="00987287">
        <w:rPr>
          <w:rFonts w:ascii="Garamond" w:eastAsia="Calibri" w:hAnsi="Garamond" w:cs="Times New Roman"/>
          <w:sz w:val="24"/>
          <w:szCs w:val="24"/>
        </w:rPr>
        <w:t xml:space="preserve">Barclay, M., E. </w:t>
      </w:r>
      <w:proofErr w:type="spellStart"/>
      <w:r w:rsidRPr="00987287">
        <w:rPr>
          <w:rFonts w:ascii="Garamond" w:eastAsia="Calibri" w:hAnsi="Garamond" w:cs="Times New Roman"/>
          <w:sz w:val="24"/>
          <w:szCs w:val="24"/>
        </w:rPr>
        <w:t>Morellect</w:t>
      </w:r>
      <w:proofErr w:type="spellEnd"/>
      <w:r w:rsidRPr="00987287">
        <w:rPr>
          <w:rFonts w:ascii="Garamond" w:eastAsia="Calibri" w:hAnsi="Garamond" w:cs="Times New Roman"/>
          <w:sz w:val="24"/>
          <w:szCs w:val="24"/>
        </w:rPr>
        <w:t xml:space="preserve"> and Smith, C. (2003).  On the debt capacity of growth options. </w:t>
      </w:r>
      <w:r w:rsidRPr="00987287">
        <w:rPr>
          <w:rFonts w:ascii="Garamond" w:eastAsia="Calibri" w:hAnsi="Garamond" w:cs="Times New Roman"/>
          <w:i/>
          <w:sz w:val="24"/>
          <w:szCs w:val="24"/>
        </w:rPr>
        <w:t xml:space="preserve">Journal </w:t>
      </w:r>
    </w:p>
    <w:p w:rsidR="00EF37C2" w:rsidRPr="00987287" w:rsidRDefault="00EF37C2" w:rsidP="00987287">
      <w:pPr>
        <w:spacing w:after="0" w:line="240" w:lineRule="auto"/>
        <w:rPr>
          <w:rFonts w:ascii="Garamond" w:eastAsia="Calibri" w:hAnsi="Garamond" w:cs="Times New Roman"/>
          <w:sz w:val="24"/>
          <w:szCs w:val="24"/>
        </w:rPr>
      </w:pPr>
      <w:r w:rsidRPr="00987287">
        <w:rPr>
          <w:rFonts w:ascii="Garamond" w:eastAsia="Calibri" w:hAnsi="Garamond" w:cs="Times New Roman"/>
          <w:i/>
          <w:sz w:val="24"/>
          <w:szCs w:val="24"/>
        </w:rPr>
        <w:t xml:space="preserve"> </w:t>
      </w:r>
      <w:r w:rsidRPr="00987287">
        <w:rPr>
          <w:rFonts w:ascii="Garamond" w:eastAsia="Calibri" w:hAnsi="Garamond" w:cs="Times New Roman"/>
          <w:i/>
          <w:sz w:val="24"/>
          <w:szCs w:val="24"/>
        </w:rPr>
        <w:tab/>
      </w:r>
      <w:proofErr w:type="gramStart"/>
      <w:r w:rsidRPr="00987287">
        <w:rPr>
          <w:rFonts w:ascii="Garamond" w:eastAsia="Calibri" w:hAnsi="Garamond" w:cs="Times New Roman"/>
          <w:i/>
          <w:sz w:val="24"/>
          <w:szCs w:val="24"/>
        </w:rPr>
        <w:t>of</w:t>
      </w:r>
      <w:proofErr w:type="gramEnd"/>
      <w:r w:rsidRPr="00987287">
        <w:rPr>
          <w:rFonts w:ascii="Garamond" w:eastAsia="Calibri" w:hAnsi="Garamond" w:cs="Times New Roman"/>
          <w:i/>
          <w:sz w:val="24"/>
          <w:szCs w:val="24"/>
        </w:rPr>
        <w:t xml:space="preserve"> Business</w:t>
      </w:r>
      <w:r w:rsidRPr="00987287">
        <w:rPr>
          <w:rFonts w:ascii="Garamond" w:eastAsia="Calibri" w:hAnsi="Garamond" w:cs="Times New Roman"/>
          <w:sz w:val="24"/>
          <w:szCs w:val="24"/>
        </w:rPr>
        <w:t>.</w:t>
      </w:r>
    </w:p>
    <w:p w:rsidR="00EF37C2" w:rsidRPr="00987287" w:rsidRDefault="00EF37C2" w:rsidP="00987287">
      <w:pPr>
        <w:spacing w:after="0" w:line="240" w:lineRule="auto"/>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sz w:val="24"/>
          <w:szCs w:val="24"/>
        </w:rPr>
      </w:pPr>
      <w:proofErr w:type="spellStart"/>
      <w:r w:rsidRPr="00987287">
        <w:rPr>
          <w:rFonts w:ascii="Garamond" w:eastAsia="Calibri" w:hAnsi="Garamond" w:cs="Times New Roman"/>
          <w:sz w:val="24"/>
          <w:szCs w:val="24"/>
        </w:rPr>
        <w:t>Baysinger</w:t>
      </w:r>
      <w:proofErr w:type="spellEnd"/>
      <w:r w:rsidRPr="00987287">
        <w:rPr>
          <w:rFonts w:ascii="Garamond" w:eastAsia="Calibri" w:hAnsi="Garamond" w:cs="Times New Roman"/>
          <w:sz w:val="24"/>
          <w:szCs w:val="24"/>
        </w:rPr>
        <w:t>, B.</w:t>
      </w:r>
      <w:proofErr w:type="gramStart"/>
      <w:r w:rsidRPr="00987287">
        <w:rPr>
          <w:rFonts w:ascii="Garamond" w:eastAsia="Calibri" w:hAnsi="Garamond" w:cs="Times New Roman"/>
          <w:sz w:val="24"/>
          <w:szCs w:val="24"/>
        </w:rPr>
        <w:t>,  and</w:t>
      </w:r>
      <w:proofErr w:type="gramEnd"/>
      <w:r w:rsidRPr="00987287">
        <w:rPr>
          <w:rFonts w:ascii="Garamond" w:eastAsia="Calibri" w:hAnsi="Garamond" w:cs="Times New Roman"/>
          <w:sz w:val="24"/>
          <w:szCs w:val="24"/>
        </w:rPr>
        <w:t xml:space="preserve"> Butler, H. (1985). Corporate governance and the board of directors: </w:t>
      </w:r>
    </w:p>
    <w:p w:rsidR="00EF37C2" w:rsidRPr="00987287" w:rsidRDefault="00EF37C2" w:rsidP="00987287">
      <w:pPr>
        <w:spacing w:after="0" w:line="240" w:lineRule="auto"/>
        <w:ind w:firstLine="720"/>
        <w:rPr>
          <w:rFonts w:ascii="Garamond" w:eastAsia="Calibri" w:hAnsi="Garamond" w:cs="Times New Roman"/>
          <w:i/>
          <w:sz w:val="24"/>
          <w:szCs w:val="24"/>
        </w:rPr>
      </w:pPr>
      <w:proofErr w:type="gramStart"/>
      <w:r w:rsidRPr="00987287">
        <w:rPr>
          <w:rFonts w:ascii="Garamond" w:eastAsia="Calibri" w:hAnsi="Garamond" w:cs="Times New Roman"/>
          <w:sz w:val="24"/>
          <w:szCs w:val="24"/>
        </w:rPr>
        <w:t>performance</w:t>
      </w:r>
      <w:proofErr w:type="gramEnd"/>
      <w:r w:rsidRPr="00987287">
        <w:rPr>
          <w:rFonts w:ascii="Garamond" w:eastAsia="Calibri" w:hAnsi="Garamond" w:cs="Times New Roman"/>
          <w:sz w:val="24"/>
          <w:szCs w:val="24"/>
        </w:rPr>
        <w:t xml:space="preserve"> effects of changes in board composition.  </w:t>
      </w:r>
      <w:r w:rsidRPr="00987287">
        <w:rPr>
          <w:rFonts w:ascii="Garamond" w:eastAsia="Calibri" w:hAnsi="Garamond" w:cs="Times New Roman"/>
          <w:i/>
          <w:sz w:val="24"/>
          <w:szCs w:val="24"/>
        </w:rPr>
        <w:t xml:space="preserve">Journal of Law, Economics and </w:t>
      </w:r>
    </w:p>
    <w:p w:rsidR="00EF37C2" w:rsidRPr="00987287" w:rsidRDefault="00EF37C2" w:rsidP="00987287">
      <w:pPr>
        <w:spacing w:after="0" w:line="240" w:lineRule="auto"/>
        <w:ind w:left="720"/>
        <w:rPr>
          <w:rFonts w:ascii="Garamond" w:eastAsia="Calibri" w:hAnsi="Garamond" w:cs="Times New Roman"/>
          <w:sz w:val="24"/>
          <w:szCs w:val="24"/>
        </w:rPr>
      </w:pPr>
      <w:r w:rsidRPr="00987287">
        <w:rPr>
          <w:rFonts w:ascii="Garamond" w:eastAsia="Calibri" w:hAnsi="Garamond" w:cs="Times New Roman"/>
          <w:i/>
          <w:sz w:val="24"/>
          <w:szCs w:val="24"/>
        </w:rPr>
        <w:t>Organizations</w:t>
      </w:r>
      <w:proofErr w:type="gramStart"/>
      <w:r w:rsidRPr="00987287">
        <w:rPr>
          <w:rFonts w:ascii="Garamond" w:eastAsia="Calibri" w:hAnsi="Garamond" w:cs="Times New Roman"/>
          <w:sz w:val="24"/>
          <w:szCs w:val="24"/>
        </w:rPr>
        <w:t>,1</w:t>
      </w:r>
      <w:proofErr w:type="gramEnd"/>
      <w:r w:rsidRPr="00987287">
        <w:rPr>
          <w:rFonts w:ascii="Garamond" w:eastAsia="Calibri" w:hAnsi="Garamond" w:cs="Times New Roman"/>
          <w:sz w:val="24"/>
          <w:szCs w:val="24"/>
        </w:rPr>
        <w:t>, 101-124.</w:t>
      </w:r>
    </w:p>
    <w:p w:rsidR="00EF37C2" w:rsidRPr="00987287" w:rsidRDefault="00EF37C2" w:rsidP="00987287">
      <w:pPr>
        <w:spacing w:after="0" w:line="240" w:lineRule="auto"/>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sz w:val="24"/>
          <w:szCs w:val="24"/>
        </w:rPr>
      </w:pPr>
      <w:proofErr w:type="spellStart"/>
      <w:r w:rsidRPr="00987287">
        <w:rPr>
          <w:rFonts w:ascii="Garamond" w:eastAsia="Calibri" w:hAnsi="Garamond" w:cs="Times New Roman"/>
          <w:sz w:val="24"/>
          <w:szCs w:val="24"/>
        </w:rPr>
        <w:t>Bebchuk</w:t>
      </w:r>
      <w:proofErr w:type="spellEnd"/>
      <w:r w:rsidRPr="00987287">
        <w:rPr>
          <w:rFonts w:ascii="Garamond" w:eastAsia="Calibri" w:hAnsi="Garamond" w:cs="Times New Roman"/>
          <w:sz w:val="24"/>
          <w:szCs w:val="24"/>
        </w:rPr>
        <w:t xml:space="preserve">, L.A., &amp; </w:t>
      </w:r>
      <w:proofErr w:type="spellStart"/>
      <w:r w:rsidRPr="00987287">
        <w:rPr>
          <w:rFonts w:ascii="Garamond" w:eastAsia="Calibri" w:hAnsi="Garamond" w:cs="Times New Roman"/>
          <w:sz w:val="24"/>
          <w:szCs w:val="24"/>
        </w:rPr>
        <w:t>Spamann</w:t>
      </w:r>
      <w:proofErr w:type="spellEnd"/>
      <w:r w:rsidRPr="00987287">
        <w:rPr>
          <w:rFonts w:ascii="Garamond" w:eastAsia="Calibri" w:hAnsi="Garamond" w:cs="Times New Roman"/>
          <w:sz w:val="24"/>
          <w:szCs w:val="24"/>
        </w:rPr>
        <w:t xml:space="preserve">, H. (2009). Regulating bankers’ pay. </w:t>
      </w:r>
      <w:r w:rsidRPr="00987287">
        <w:rPr>
          <w:rFonts w:ascii="Garamond" w:eastAsia="Calibri" w:hAnsi="Garamond" w:cs="Times New Roman"/>
          <w:i/>
          <w:sz w:val="24"/>
          <w:szCs w:val="24"/>
        </w:rPr>
        <w:t>Georgetown Law Journal</w:t>
      </w:r>
      <w:r w:rsidRPr="00987287">
        <w:rPr>
          <w:rFonts w:ascii="Garamond" w:eastAsia="Calibri" w:hAnsi="Garamond" w:cs="Times New Roman"/>
          <w:sz w:val="24"/>
          <w:szCs w:val="24"/>
        </w:rPr>
        <w:t xml:space="preserve">, 98, </w:t>
      </w:r>
    </w:p>
    <w:p w:rsidR="00EF37C2" w:rsidRPr="00987287" w:rsidRDefault="00EF37C2" w:rsidP="00987287">
      <w:pPr>
        <w:spacing w:after="0" w:line="240" w:lineRule="auto"/>
        <w:ind w:firstLine="720"/>
        <w:rPr>
          <w:rFonts w:ascii="Garamond" w:eastAsia="Calibri" w:hAnsi="Garamond" w:cs="Times New Roman"/>
          <w:sz w:val="24"/>
          <w:szCs w:val="24"/>
        </w:rPr>
      </w:pPr>
      <w:r w:rsidRPr="00987287">
        <w:rPr>
          <w:rFonts w:ascii="Garamond" w:eastAsia="Calibri" w:hAnsi="Garamond" w:cs="Times New Roman"/>
          <w:sz w:val="24"/>
          <w:szCs w:val="24"/>
        </w:rPr>
        <w:t xml:space="preserve">247-287. </w:t>
      </w:r>
    </w:p>
    <w:p w:rsidR="00EF37C2" w:rsidRPr="00987287" w:rsidRDefault="00EF37C2" w:rsidP="00987287">
      <w:pPr>
        <w:spacing w:after="0" w:line="240" w:lineRule="auto"/>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sz w:val="24"/>
          <w:szCs w:val="24"/>
        </w:rPr>
      </w:pPr>
      <w:r w:rsidRPr="00987287">
        <w:rPr>
          <w:rFonts w:ascii="Garamond" w:eastAsia="Calibri" w:hAnsi="Garamond" w:cs="Times New Roman"/>
          <w:sz w:val="24"/>
          <w:szCs w:val="24"/>
        </w:rPr>
        <w:t xml:space="preserve">Berger, P., </w:t>
      </w:r>
      <w:proofErr w:type="spellStart"/>
      <w:r w:rsidRPr="00987287">
        <w:rPr>
          <w:rFonts w:ascii="Garamond" w:eastAsia="Calibri" w:hAnsi="Garamond" w:cs="Times New Roman"/>
          <w:sz w:val="24"/>
          <w:szCs w:val="24"/>
        </w:rPr>
        <w:t>Ofek</w:t>
      </w:r>
      <w:proofErr w:type="spellEnd"/>
      <w:r w:rsidRPr="00987287">
        <w:rPr>
          <w:rFonts w:ascii="Garamond" w:eastAsia="Calibri" w:hAnsi="Garamond" w:cs="Times New Roman"/>
          <w:sz w:val="24"/>
          <w:szCs w:val="24"/>
        </w:rPr>
        <w:t xml:space="preserve">, E. and </w:t>
      </w:r>
      <w:proofErr w:type="spellStart"/>
      <w:r w:rsidRPr="00987287">
        <w:rPr>
          <w:rFonts w:ascii="Garamond" w:eastAsia="Calibri" w:hAnsi="Garamond" w:cs="Times New Roman"/>
          <w:sz w:val="24"/>
          <w:szCs w:val="24"/>
        </w:rPr>
        <w:t>Yermack</w:t>
      </w:r>
      <w:proofErr w:type="spellEnd"/>
      <w:r w:rsidRPr="00987287">
        <w:rPr>
          <w:rFonts w:ascii="Garamond" w:eastAsia="Calibri" w:hAnsi="Garamond" w:cs="Times New Roman"/>
          <w:sz w:val="24"/>
          <w:szCs w:val="24"/>
        </w:rPr>
        <w:t xml:space="preserve">, D. (1997). Managerial entrenchment and capital structure </w:t>
      </w:r>
    </w:p>
    <w:p w:rsidR="00EF37C2" w:rsidRPr="00987287" w:rsidRDefault="00EF37C2" w:rsidP="00987287">
      <w:pPr>
        <w:spacing w:after="0" w:line="240" w:lineRule="auto"/>
        <w:ind w:firstLine="720"/>
        <w:rPr>
          <w:rFonts w:ascii="Garamond" w:eastAsia="Calibri" w:hAnsi="Garamond" w:cs="Times New Roman"/>
          <w:sz w:val="24"/>
          <w:szCs w:val="24"/>
        </w:rPr>
      </w:pPr>
      <w:proofErr w:type="gramStart"/>
      <w:r w:rsidRPr="00987287">
        <w:rPr>
          <w:rFonts w:ascii="Garamond" w:eastAsia="Calibri" w:hAnsi="Garamond" w:cs="Times New Roman"/>
          <w:sz w:val="24"/>
          <w:szCs w:val="24"/>
        </w:rPr>
        <w:t>decisions</w:t>
      </w:r>
      <w:proofErr w:type="gramEnd"/>
      <w:r w:rsidRPr="00987287">
        <w:rPr>
          <w:rFonts w:ascii="Garamond" w:eastAsia="Calibri" w:hAnsi="Garamond" w:cs="Times New Roman"/>
          <w:sz w:val="24"/>
          <w:szCs w:val="24"/>
        </w:rPr>
        <w:t xml:space="preserve">. </w:t>
      </w:r>
      <w:r w:rsidRPr="00987287">
        <w:rPr>
          <w:rFonts w:ascii="Garamond" w:eastAsia="Calibri" w:hAnsi="Garamond" w:cs="Times New Roman"/>
          <w:i/>
          <w:sz w:val="24"/>
          <w:szCs w:val="24"/>
        </w:rPr>
        <w:t>Journal of Finance,</w:t>
      </w:r>
      <w:r w:rsidRPr="00987287">
        <w:rPr>
          <w:rFonts w:ascii="Garamond" w:eastAsia="Calibri" w:hAnsi="Garamond" w:cs="Times New Roman"/>
          <w:sz w:val="24"/>
          <w:szCs w:val="24"/>
        </w:rPr>
        <w:t xml:space="preserve"> 52, 1411-1438.</w:t>
      </w:r>
    </w:p>
    <w:p w:rsidR="00EF37C2" w:rsidRPr="00987287" w:rsidRDefault="00EF37C2" w:rsidP="00987287">
      <w:pPr>
        <w:spacing w:after="0" w:line="240" w:lineRule="auto"/>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sz w:val="24"/>
          <w:szCs w:val="24"/>
        </w:rPr>
      </w:pPr>
      <w:proofErr w:type="spellStart"/>
      <w:r w:rsidRPr="00987287">
        <w:rPr>
          <w:rFonts w:ascii="Garamond" w:eastAsia="Calibri" w:hAnsi="Garamond" w:cs="Times New Roman"/>
          <w:sz w:val="24"/>
          <w:szCs w:val="24"/>
        </w:rPr>
        <w:t>Bhagat</w:t>
      </w:r>
      <w:proofErr w:type="spellEnd"/>
      <w:r w:rsidRPr="00987287">
        <w:rPr>
          <w:rFonts w:ascii="Garamond" w:eastAsia="Calibri" w:hAnsi="Garamond" w:cs="Times New Roman"/>
          <w:sz w:val="24"/>
          <w:szCs w:val="24"/>
        </w:rPr>
        <w:t xml:space="preserve">, S., Black, B. (1997). Do independent directors matter? Working Paper, University of </w:t>
      </w:r>
    </w:p>
    <w:p w:rsidR="00EF37C2" w:rsidRPr="00987287" w:rsidRDefault="00EF37C2" w:rsidP="00987287">
      <w:pPr>
        <w:spacing w:after="0" w:line="240" w:lineRule="auto"/>
        <w:ind w:firstLine="720"/>
        <w:rPr>
          <w:rFonts w:ascii="Garamond" w:eastAsia="Calibri" w:hAnsi="Garamond" w:cs="Times New Roman"/>
          <w:sz w:val="24"/>
          <w:szCs w:val="24"/>
        </w:rPr>
      </w:pPr>
      <w:r w:rsidRPr="00987287">
        <w:rPr>
          <w:rFonts w:ascii="Garamond" w:eastAsia="Calibri" w:hAnsi="Garamond" w:cs="Times New Roman"/>
          <w:sz w:val="24"/>
          <w:szCs w:val="24"/>
        </w:rPr>
        <w:t>Colorado, Boulder.</w:t>
      </w:r>
    </w:p>
    <w:p w:rsidR="00EF37C2" w:rsidRPr="00987287" w:rsidRDefault="00EF37C2" w:rsidP="00987287">
      <w:pPr>
        <w:spacing w:after="0" w:line="240" w:lineRule="auto"/>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sz w:val="24"/>
          <w:szCs w:val="24"/>
        </w:rPr>
      </w:pPr>
      <w:proofErr w:type="spellStart"/>
      <w:r w:rsidRPr="00987287">
        <w:rPr>
          <w:rFonts w:ascii="Garamond" w:eastAsia="Calibri" w:hAnsi="Garamond" w:cs="Times New Roman"/>
          <w:sz w:val="24"/>
          <w:szCs w:val="24"/>
        </w:rPr>
        <w:t>Bhagat</w:t>
      </w:r>
      <w:proofErr w:type="spellEnd"/>
      <w:r w:rsidRPr="00987287">
        <w:rPr>
          <w:rFonts w:ascii="Garamond" w:eastAsia="Calibri" w:hAnsi="Garamond" w:cs="Times New Roman"/>
          <w:sz w:val="24"/>
          <w:szCs w:val="24"/>
        </w:rPr>
        <w:t xml:space="preserve">, S., welch I. (1995). Corporate research and development investments: international </w:t>
      </w:r>
    </w:p>
    <w:p w:rsidR="00EF37C2" w:rsidRPr="00987287" w:rsidRDefault="00EF37C2" w:rsidP="00987287">
      <w:pPr>
        <w:spacing w:after="0" w:line="240" w:lineRule="auto"/>
        <w:ind w:firstLine="720"/>
        <w:rPr>
          <w:rFonts w:ascii="Garamond" w:eastAsia="Calibri" w:hAnsi="Garamond" w:cs="Times New Roman"/>
          <w:sz w:val="24"/>
          <w:szCs w:val="24"/>
        </w:rPr>
      </w:pPr>
      <w:r w:rsidRPr="00987287">
        <w:rPr>
          <w:rFonts w:ascii="Garamond" w:eastAsia="Calibri" w:hAnsi="Garamond" w:cs="Times New Roman"/>
          <w:sz w:val="24"/>
          <w:szCs w:val="24"/>
        </w:rPr>
        <w:t xml:space="preserve">Comparisons. </w:t>
      </w:r>
      <w:r w:rsidRPr="00987287">
        <w:rPr>
          <w:rFonts w:ascii="Garamond" w:eastAsia="Calibri" w:hAnsi="Garamond" w:cs="Times New Roman"/>
          <w:i/>
          <w:sz w:val="24"/>
          <w:szCs w:val="24"/>
        </w:rPr>
        <w:t>Journal of Accounting and Economics</w:t>
      </w:r>
      <w:r w:rsidRPr="00987287">
        <w:rPr>
          <w:rFonts w:ascii="Garamond" w:eastAsia="Calibri" w:hAnsi="Garamond" w:cs="Times New Roman"/>
          <w:sz w:val="24"/>
          <w:szCs w:val="24"/>
        </w:rPr>
        <w:t xml:space="preserve"> 19, 443-47, 1995.</w:t>
      </w:r>
    </w:p>
    <w:p w:rsidR="00EF37C2" w:rsidRPr="00987287" w:rsidRDefault="00EF37C2" w:rsidP="00987287">
      <w:pPr>
        <w:spacing w:after="0" w:line="240" w:lineRule="auto"/>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i/>
          <w:sz w:val="24"/>
          <w:szCs w:val="24"/>
        </w:rPr>
      </w:pPr>
      <w:r w:rsidRPr="00987287">
        <w:rPr>
          <w:rFonts w:ascii="Garamond" w:eastAsia="Calibri" w:hAnsi="Garamond" w:cs="Times New Roman"/>
          <w:sz w:val="24"/>
          <w:szCs w:val="24"/>
        </w:rPr>
        <w:t xml:space="preserve">Black, F., Scholes M. (1973). The pricing of options and corporate liabilities. </w:t>
      </w:r>
      <w:r w:rsidRPr="00987287">
        <w:rPr>
          <w:rFonts w:ascii="Garamond" w:eastAsia="Calibri" w:hAnsi="Garamond" w:cs="Times New Roman"/>
          <w:i/>
          <w:sz w:val="24"/>
          <w:szCs w:val="24"/>
        </w:rPr>
        <w:t xml:space="preserve">Journal of </w:t>
      </w:r>
    </w:p>
    <w:p w:rsidR="00EF37C2" w:rsidRPr="00987287" w:rsidRDefault="00EF37C2" w:rsidP="00987287">
      <w:pPr>
        <w:spacing w:after="0" w:line="240" w:lineRule="auto"/>
        <w:ind w:firstLine="720"/>
        <w:rPr>
          <w:rFonts w:ascii="Garamond" w:eastAsia="Calibri" w:hAnsi="Garamond" w:cs="Times New Roman"/>
          <w:sz w:val="24"/>
          <w:szCs w:val="24"/>
        </w:rPr>
      </w:pPr>
      <w:r w:rsidRPr="00987287">
        <w:rPr>
          <w:rFonts w:ascii="Garamond" w:eastAsia="Calibri" w:hAnsi="Garamond" w:cs="Times New Roman"/>
          <w:i/>
          <w:sz w:val="24"/>
          <w:szCs w:val="24"/>
        </w:rPr>
        <w:t>Political Economy</w:t>
      </w:r>
      <w:r w:rsidRPr="00987287">
        <w:rPr>
          <w:rFonts w:ascii="Garamond" w:eastAsia="Calibri" w:hAnsi="Garamond" w:cs="Times New Roman"/>
          <w:sz w:val="24"/>
          <w:szCs w:val="24"/>
        </w:rPr>
        <w:t xml:space="preserve"> 81, 637-654.</w:t>
      </w:r>
    </w:p>
    <w:p w:rsidR="00EF37C2" w:rsidRPr="00987287" w:rsidRDefault="00EF37C2" w:rsidP="00987287">
      <w:pPr>
        <w:spacing w:after="0" w:line="240" w:lineRule="auto"/>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sz w:val="24"/>
          <w:szCs w:val="24"/>
        </w:rPr>
      </w:pPr>
      <w:r w:rsidRPr="00987287">
        <w:rPr>
          <w:rFonts w:ascii="Garamond" w:eastAsia="Calibri" w:hAnsi="Garamond" w:cs="Times New Roman"/>
          <w:sz w:val="24"/>
          <w:szCs w:val="24"/>
        </w:rPr>
        <w:t xml:space="preserve">Boyd, B.K. (1994). Board control and CEO compensation. </w:t>
      </w:r>
      <w:r w:rsidRPr="00987287">
        <w:rPr>
          <w:rFonts w:ascii="Garamond" w:eastAsia="Calibri" w:hAnsi="Garamond" w:cs="Times New Roman"/>
          <w:i/>
          <w:sz w:val="24"/>
          <w:szCs w:val="24"/>
        </w:rPr>
        <w:t>Strategic Management Journal,</w:t>
      </w:r>
      <w:r w:rsidRPr="00987287">
        <w:rPr>
          <w:rFonts w:ascii="Garamond" w:eastAsia="Calibri" w:hAnsi="Garamond" w:cs="Times New Roman"/>
          <w:sz w:val="24"/>
          <w:szCs w:val="24"/>
        </w:rPr>
        <w:t xml:space="preserve"> 15, </w:t>
      </w:r>
    </w:p>
    <w:p w:rsidR="00EF37C2" w:rsidRPr="00987287" w:rsidRDefault="00EF37C2" w:rsidP="00987287">
      <w:pPr>
        <w:spacing w:after="0" w:line="240" w:lineRule="auto"/>
        <w:ind w:firstLine="720"/>
        <w:rPr>
          <w:rFonts w:ascii="Garamond" w:eastAsia="Calibri" w:hAnsi="Garamond" w:cs="Times New Roman"/>
          <w:sz w:val="24"/>
          <w:szCs w:val="24"/>
        </w:rPr>
      </w:pPr>
      <w:r w:rsidRPr="00987287">
        <w:rPr>
          <w:rFonts w:ascii="Garamond" w:eastAsia="Calibri" w:hAnsi="Garamond" w:cs="Times New Roman"/>
          <w:sz w:val="24"/>
          <w:szCs w:val="24"/>
        </w:rPr>
        <w:t>335-344.</w:t>
      </w:r>
    </w:p>
    <w:p w:rsidR="00EF37C2" w:rsidRPr="00987287" w:rsidRDefault="00EF37C2" w:rsidP="00987287">
      <w:pPr>
        <w:spacing w:after="0" w:line="240" w:lineRule="auto"/>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sz w:val="24"/>
          <w:szCs w:val="24"/>
        </w:rPr>
      </w:pPr>
      <w:r w:rsidRPr="00987287">
        <w:rPr>
          <w:rFonts w:ascii="Garamond" w:eastAsia="Calibri" w:hAnsi="Garamond" w:cs="Times New Roman"/>
          <w:sz w:val="24"/>
          <w:szCs w:val="24"/>
        </w:rPr>
        <w:t xml:space="preserve">Byrd, J., Hickman, K. (1992). Do outside directors monitor managers? Evidence from tender </w:t>
      </w:r>
    </w:p>
    <w:p w:rsidR="00EF37C2" w:rsidRPr="00987287" w:rsidRDefault="00EF37C2" w:rsidP="00987287">
      <w:pPr>
        <w:spacing w:after="0" w:line="240" w:lineRule="auto"/>
        <w:ind w:firstLine="720"/>
        <w:rPr>
          <w:rFonts w:ascii="Garamond" w:eastAsia="Calibri" w:hAnsi="Garamond" w:cs="Times New Roman"/>
          <w:sz w:val="24"/>
          <w:szCs w:val="24"/>
        </w:rPr>
      </w:pPr>
      <w:proofErr w:type="gramStart"/>
      <w:r w:rsidRPr="00987287">
        <w:rPr>
          <w:rFonts w:ascii="Garamond" w:eastAsia="Calibri" w:hAnsi="Garamond" w:cs="Times New Roman"/>
          <w:sz w:val="24"/>
          <w:szCs w:val="24"/>
        </w:rPr>
        <w:t>offer</w:t>
      </w:r>
      <w:proofErr w:type="gramEnd"/>
      <w:r w:rsidRPr="00987287">
        <w:rPr>
          <w:rFonts w:ascii="Garamond" w:eastAsia="Calibri" w:hAnsi="Garamond" w:cs="Times New Roman"/>
          <w:sz w:val="24"/>
          <w:szCs w:val="24"/>
        </w:rPr>
        <w:t xml:space="preserve"> Bids. </w:t>
      </w:r>
      <w:r w:rsidRPr="00987287">
        <w:rPr>
          <w:rFonts w:ascii="Garamond" w:eastAsia="Calibri" w:hAnsi="Garamond" w:cs="Times New Roman"/>
          <w:i/>
          <w:sz w:val="24"/>
          <w:szCs w:val="24"/>
        </w:rPr>
        <w:t>Journal of Financial Economics,</w:t>
      </w:r>
      <w:r w:rsidRPr="00987287">
        <w:rPr>
          <w:rFonts w:ascii="Garamond" w:eastAsia="Calibri" w:hAnsi="Garamond" w:cs="Times New Roman"/>
          <w:sz w:val="24"/>
          <w:szCs w:val="24"/>
        </w:rPr>
        <w:t xml:space="preserve"> 32, 195-221.</w:t>
      </w:r>
    </w:p>
    <w:p w:rsidR="00EF37C2" w:rsidRPr="00987287" w:rsidRDefault="00EF37C2" w:rsidP="00987287">
      <w:pPr>
        <w:widowControl w:val="0"/>
        <w:autoSpaceDE w:val="0"/>
        <w:autoSpaceDN w:val="0"/>
        <w:adjustRightInd w:val="0"/>
        <w:spacing w:after="0" w:line="240" w:lineRule="auto"/>
        <w:rPr>
          <w:rFonts w:ascii="Garamond" w:eastAsia="Times New Roman" w:hAnsi="Garamond" w:cs="Times New Roman"/>
          <w:color w:val="000000"/>
          <w:sz w:val="24"/>
          <w:szCs w:val="24"/>
        </w:rPr>
      </w:pPr>
    </w:p>
    <w:p w:rsidR="00EF37C2" w:rsidRPr="00987287" w:rsidRDefault="00EF37C2" w:rsidP="00987287">
      <w:pPr>
        <w:spacing w:after="0" w:line="240" w:lineRule="auto"/>
        <w:rPr>
          <w:rFonts w:ascii="Garamond" w:eastAsia="Calibri" w:hAnsi="Garamond" w:cs="Times New Roman"/>
          <w:sz w:val="24"/>
          <w:szCs w:val="24"/>
        </w:rPr>
      </w:pPr>
      <w:r w:rsidRPr="00987287">
        <w:rPr>
          <w:rFonts w:ascii="Garamond" w:eastAsia="Calibri" w:hAnsi="Garamond" w:cs="Times New Roman"/>
          <w:sz w:val="24"/>
          <w:szCs w:val="24"/>
        </w:rPr>
        <w:t xml:space="preserve">Bushman, R., &amp; </w:t>
      </w:r>
      <w:proofErr w:type="spellStart"/>
      <w:r w:rsidRPr="00987287">
        <w:rPr>
          <w:rFonts w:ascii="Garamond" w:eastAsia="Calibri" w:hAnsi="Garamond" w:cs="Times New Roman"/>
          <w:sz w:val="24"/>
          <w:szCs w:val="24"/>
        </w:rPr>
        <w:t>Piotroski</w:t>
      </w:r>
      <w:proofErr w:type="spellEnd"/>
      <w:r w:rsidRPr="00987287">
        <w:rPr>
          <w:rFonts w:ascii="Garamond" w:eastAsia="Calibri" w:hAnsi="Garamond" w:cs="Times New Roman"/>
          <w:sz w:val="24"/>
          <w:szCs w:val="24"/>
        </w:rPr>
        <w:t xml:space="preserve">, J.D. (2006). Financial reporting incentives for conservative </w:t>
      </w:r>
    </w:p>
    <w:p w:rsidR="00EF37C2" w:rsidRPr="00987287" w:rsidRDefault="00EF37C2" w:rsidP="00987287">
      <w:pPr>
        <w:spacing w:after="0" w:line="240" w:lineRule="auto"/>
        <w:ind w:left="720"/>
        <w:rPr>
          <w:rFonts w:ascii="Garamond" w:eastAsia="Calibri" w:hAnsi="Garamond" w:cs="Times New Roman"/>
          <w:sz w:val="24"/>
          <w:szCs w:val="24"/>
        </w:rPr>
      </w:pPr>
      <w:proofErr w:type="gramStart"/>
      <w:r w:rsidRPr="00987287">
        <w:rPr>
          <w:rFonts w:ascii="Garamond" w:eastAsia="Calibri" w:hAnsi="Garamond" w:cs="Times New Roman"/>
          <w:sz w:val="24"/>
          <w:szCs w:val="24"/>
        </w:rPr>
        <w:t>accounting</w:t>
      </w:r>
      <w:proofErr w:type="gramEnd"/>
      <w:r w:rsidRPr="00987287">
        <w:rPr>
          <w:rFonts w:ascii="Garamond" w:eastAsia="Calibri" w:hAnsi="Garamond" w:cs="Times New Roman"/>
          <w:sz w:val="24"/>
          <w:szCs w:val="24"/>
        </w:rPr>
        <w:t xml:space="preserve">: the influence of legal and political Institutions. </w:t>
      </w:r>
      <w:r w:rsidRPr="00987287">
        <w:rPr>
          <w:rFonts w:ascii="Garamond" w:eastAsia="Calibri" w:hAnsi="Garamond" w:cs="Times New Roman"/>
          <w:i/>
          <w:sz w:val="24"/>
          <w:szCs w:val="24"/>
        </w:rPr>
        <w:t>Journal of Accounting and Economics</w:t>
      </w:r>
      <w:r w:rsidRPr="00987287">
        <w:rPr>
          <w:rFonts w:ascii="Garamond" w:eastAsia="Calibri" w:hAnsi="Garamond" w:cs="Times New Roman"/>
          <w:sz w:val="24"/>
          <w:szCs w:val="24"/>
        </w:rPr>
        <w:t xml:space="preserve">, 42, 107-148. </w:t>
      </w:r>
    </w:p>
    <w:p w:rsidR="00EF37C2" w:rsidRPr="00987287" w:rsidRDefault="00EF37C2" w:rsidP="00987287">
      <w:pPr>
        <w:spacing w:after="0" w:line="240" w:lineRule="auto"/>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sz w:val="24"/>
          <w:szCs w:val="24"/>
        </w:rPr>
      </w:pPr>
      <w:r w:rsidRPr="00987287">
        <w:rPr>
          <w:rFonts w:ascii="Garamond" w:eastAsia="Calibri" w:hAnsi="Garamond" w:cs="Times New Roman"/>
          <w:sz w:val="24"/>
          <w:szCs w:val="24"/>
        </w:rPr>
        <w:t xml:space="preserve">Chena, C. R., </w:t>
      </w:r>
      <w:proofErr w:type="spellStart"/>
      <w:r w:rsidRPr="00987287">
        <w:rPr>
          <w:rFonts w:ascii="Garamond" w:eastAsia="Calibri" w:hAnsi="Garamond" w:cs="Times New Roman"/>
          <w:sz w:val="24"/>
          <w:szCs w:val="24"/>
        </w:rPr>
        <w:t>Steinerb</w:t>
      </w:r>
      <w:proofErr w:type="spellEnd"/>
      <w:r w:rsidRPr="00987287">
        <w:rPr>
          <w:rFonts w:ascii="Garamond" w:eastAsia="Calibri" w:hAnsi="Garamond" w:cs="Times New Roman"/>
          <w:sz w:val="24"/>
          <w:szCs w:val="24"/>
        </w:rPr>
        <w:t xml:space="preserve">, T. L. and </w:t>
      </w:r>
      <w:proofErr w:type="spellStart"/>
      <w:r w:rsidRPr="00987287">
        <w:rPr>
          <w:rFonts w:ascii="Garamond" w:eastAsia="Calibri" w:hAnsi="Garamond" w:cs="Times New Roman"/>
          <w:sz w:val="24"/>
          <w:szCs w:val="24"/>
        </w:rPr>
        <w:t>Whytec</w:t>
      </w:r>
      <w:proofErr w:type="spellEnd"/>
      <w:r w:rsidRPr="00987287">
        <w:rPr>
          <w:rFonts w:ascii="Garamond" w:eastAsia="Calibri" w:hAnsi="Garamond" w:cs="Times New Roman"/>
          <w:sz w:val="24"/>
          <w:szCs w:val="24"/>
        </w:rPr>
        <w:t xml:space="preserve">, A. M. (2006). Does stock option-based executive </w:t>
      </w:r>
    </w:p>
    <w:p w:rsidR="00EF37C2" w:rsidRPr="00987287" w:rsidRDefault="00EF37C2" w:rsidP="00987287">
      <w:pPr>
        <w:spacing w:after="0" w:line="240" w:lineRule="auto"/>
        <w:ind w:firstLine="720"/>
        <w:rPr>
          <w:rFonts w:ascii="Garamond" w:eastAsia="Calibri" w:hAnsi="Garamond" w:cs="Times New Roman"/>
          <w:i/>
          <w:sz w:val="24"/>
          <w:szCs w:val="24"/>
        </w:rPr>
      </w:pPr>
      <w:proofErr w:type="gramStart"/>
      <w:r w:rsidRPr="00987287">
        <w:rPr>
          <w:rFonts w:ascii="Garamond" w:eastAsia="Calibri" w:hAnsi="Garamond" w:cs="Times New Roman"/>
          <w:sz w:val="24"/>
          <w:szCs w:val="24"/>
        </w:rPr>
        <w:t>compensation</w:t>
      </w:r>
      <w:proofErr w:type="gramEnd"/>
      <w:r w:rsidRPr="00987287">
        <w:rPr>
          <w:rFonts w:ascii="Garamond" w:eastAsia="Calibri" w:hAnsi="Garamond" w:cs="Times New Roman"/>
          <w:sz w:val="24"/>
          <w:szCs w:val="24"/>
        </w:rPr>
        <w:t xml:space="preserve"> induce risk-taking? An analysis of the firming industry. </w:t>
      </w:r>
      <w:r w:rsidRPr="00987287">
        <w:rPr>
          <w:rFonts w:ascii="Garamond" w:eastAsia="Calibri" w:hAnsi="Garamond" w:cs="Times New Roman"/>
          <w:i/>
          <w:sz w:val="24"/>
          <w:szCs w:val="24"/>
        </w:rPr>
        <w:t xml:space="preserve">Journal of </w:t>
      </w:r>
    </w:p>
    <w:p w:rsidR="00EF37C2" w:rsidRPr="00987287" w:rsidRDefault="00EF37C2" w:rsidP="00987287">
      <w:pPr>
        <w:spacing w:after="0" w:line="240" w:lineRule="auto"/>
        <w:ind w:left="720"/>
        <w:rPr>
          <w:rFonts w:ascii="Garamond" w:eastAsia="Calibri" w:hAnsi="Garamond" w:cs="Times New Roman"/>
          <w:sz w:val="24"/>
          <w:szCs w:val="24"/>
        </w:rPr>
      </w:pPr>
      <w:r w:rsidRPr="00987287">
        <w:rPr>
          <w:rFonts w:ascii="Garamond" w:eastAsia="Calibri" w:hAnsi="Garamond" w:cs="Times New Roman"/>
          <w:i/>
          <w:sz w:val="24"/>
          <w:szCs w:val="24"/>
        </w:rPr>
        <w:t xml:space="preserve">Firming &amp; Finance, </w:t>
      </w:r>
      <w:r w:rsidRPr="00987287">
        <w:rPr>
          <w:rFonts w:ascii="Garamond" w:eastAsia="Calibri" w:hAnsi="Garamond" w:cs="Times New Roman"/>
          <w:sz w:val="24"/>
          <w:szCs w:val="24"/>
        </w:rPr>
        <w:t>Volume 30, Issue 3, March, 915-945.</w:t>
      </w:r>
    </w:p>
    <w:p w:rsidR="00EF37C2" w:rsidRPr="00987287" w:rsidRDefault="00EF37C2" w:rsidP="00987287">
      <w:pPr>
        <w:spacing w:after="0" w:line="240" w:lineRule="auto"/>
        <w:ind w:left="720"/>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sz w:val="24"/>
          <w:szCs w:val="24"/>
        </w:rPr>
      </w:pPr>
      <w:r w:rsidRPr="00987287">
        <w:rPr>
          <w:rFonts w:ascii="Garamond" w:eastAsia="Calibri" w:hAnsi="Garamond" w:cs="Times New Roman"/>
          <w:sz w:val="24"/>
          <w:szCs w:val="24"/>
        </w:rPr>
        <w:t xml:space="preserve">Chen, C.R., Steiner, T.L., and Whyte, A.M. (2006). Does stock option-based executive </w:t>
      </w:r>
    </w:p>
    <w:p w:rsidR="00EF37C2" w:rsidRPr="00987287" w:rsidRDefault="00EF37C2" w:rsidP="00987287">
      <w:pPr>
        <w:spacing w:after="0" w:line="240" w:lineRule="auto"/>
        <w:ind w:left="720"/>
        <w:rPr>
          <w:rFonts w:ascii="Garamond" w:eastAsia="Calibri" w:hAnsi="Garamond" w:cs="Times New Roman"/>
          <w:i/>
          <w:sz w:val="24"/>
          <w:szCs w:val="24"/>
        </w:rPr>
      </w:pPr>
      <w:proofErr w:type="gramStart"/>
      <w:r w:rsidRPr="00987287">
        <w:rPr>
          <w:rFonts w:ascii="Garamond" w:eastAsia="Calibri" w:hAnsi="Garamond" w:cs="Times New Roman"/>
          <w:sz w:val="24"/>
          <w:szCs w:val="24"/>
        </w:rPr>
        <w:t>compensation</w:t>
      </w:r>
      <w:proofErr w:type="gramEnd"/>
      <w:r w:rsidRPr="00987287">
        <w:rPr>
          <w:rFonts w:ascii="Garamond" w:eastAsia="Calibri" w:hAnsi="Garamond" w:cs="Times New Roman"/>
          <w:sz w:val="24"/>
          <w:szCs w:val="24"/>
        </w:rPr>
        <w:t xml:space="preserve"> induce risk-taking? An analysis of the firming industry. </w:t>
      </w:r>
      <w:r w:rsidRPr="00987287">
        <w:rPr>
          <w:rFonts w:ascii="Garamond" w:eastAsia="Calibri" w:hAnsi="Garamond" w:cs="Times New Roman"/>
          <w:i/>
          <w:sz w:val="24"/>
          <w:szCs w:val="24"/>
        </w:rPr>
        <w:t xml:space="preserve">Journal of </w:t>
      </w:r>
    </w:p>
    <w:p w:rsidR="00EF37C2" w:rsidRPr="00987287" w:rsidRDefault="00EF37C2" w:rsidP="00987287">
      <w:pPr>
        <w:spacing w:after="0" w:line="240" w:lineRule="auto"/>
        <w:ind w:left="720"/>
        <w:rPr>
          <w:rFonts w:ascii="Garamond" w:eastAsia="Calibri" w:hAnsi="Garamond" w:cs="Times New Roman"/>
          <w:sz w:val="24"/>
          <w:szCs w:val="24"/>
        </w:rPr>
      </w:pPr>
      <w:r w:rsidRPr="00987287">
        <w:rPr>
          <w:rFonts w:ascii="Garamond" w:eastAsia="Calibri" w:hAnsi="Garamond" w:cs="Times New Roman"/>
          <w:i/>
          <w:sz w:val="24"/>
          <w:szCs w:val="24"/>
        </w:rPr>
        <w:t>Firming &amp; Finance</w:t>
      </w:r>
      <w:r w:rsidRPr="00987287">
        <w:rPr>
          <w:rFonts w:ascii="Garamond" w:eastAsia="Calibri" w:hAnsi="Garamond" w:cs="Times New Roman"/>
          <w:sz w:val="24"/>
          <w:szCs w:val="24"/>
        </w:rPr>
        <w:t xml:space="preserve"> 30, 915-945. </w:t>
      </w:r>
    </w:p>
    <w:p w:rsidR="00EF37C2" w:rsidRPr="00987287" w:rsidRDefault="00EF37C2" w:rsidP="00987287">
      <w:pPr>
        <w:spacing w:after="0" w:line="240" w:lineRule="auto"/>
        <w:ind w:left="720"/>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i/>
          <w:sz w:val="24"/>
          <w:szCs w:val="24"/>
        </w:rPr>
      </w:pPr>
      <w:r w:rsidRPr="00987287">
        <w:rPr>
          <w:rFonts w:ascii="Garamond" w:eastAsia="Calibri" w:hAnsi="Garamond" w:cs="Times New Roman"/>
          <w:sz w:val="24"/>
          <w:szCs w:val="24"/>
        </w:rPr>
        <w:t xml:space="preserve">Coles, J.L., Daniel, N.D. and Naveen, L. (2006). Managerial incentives and risk-taking. </w:t>
      </w:r>
      <w:r w:rsidRPr="00987287">
        <w:rPr>
          <w:rFonts w:ascii="Garamond" w:eastAsia="Calibri" w:hAnsi="Garamond" w:cs="Times New Roman"/>
          <w:i/>
          <w:sz w:val="24"/>
          <w:szCs w:val="24"/>
        </w:rPr>
        <w:t xml:space="preserve">Journal </w:t>
      </w:r>
    </w:p>
    <w:p w:rsidR="00EF37C2" w:rsidRPr="00987287" w:rsidRDefault="00EF37C2" w:rsidP="00987287">
      <w:pPr>
        <w:spacing w:after="0" w:line="240" w:lineRule="auto"/>
        <w:ind w:firstLine="720"/>
        <w:rPr>
          <w:rFonts w:ascii="Garamond" w:eastAsia="Calibri" w:hAnsi="Garamond" w:cs="Times New Roman"/>
          <w:sz w:val="24"/>
          <w:szCs w:val="24"/>
        </w:rPr>
      </w:pPr>
      <w:proofErr w:type="gramStart"/>
      <w:r w:rsidRPr="00987287">
        <w:rPr>
          <w:rFonts w:ascii="Garamond" w:eastAsia="Calibri" w:hAnsi="Garamond" w:cs="Times New Roman"/>
          <w:i/>
          <w:sz w:val="24"/>
          <w:szCs w:val="24"/>
        </w:rPr>
        <w:t>of</w:t>
      </w:r>
      <w:proofErr w:type="gramEnd"/>
      <w:r w:rsidRPr="00987287">
        <w:rPr>
          <w:rFonts w:ascii="Garamond" w:eastAsia="Calibri" w:hAnsi="Garamond" w:cs="Times New Roman"/>
          <w:i/>
          <w:sz w:val="24"/>
          <w:szCs w:val="24"/>
        </w:rPr>
        <w:t xml:space="preserve"> Financial Economics</w:t>
      </w:r>
      <w:r w:rsidRPr="00987287">
        <w:rPr>
          <w:rFonts w:ascii="Garamond" w:eastAsia="Calibri" w:hAnsi="Garamond" w:cs="Times New Roman"/>
          <w:sz w:val="24"/>
          <w:szCs w:val="24"/>
        </w:rPr>
        <w:t xml:space="preserve"> 79, 431-468.</w:t>
      </w:r>
    </w:p>
    <w:p w:rsidR="00EF37C2" w:rsidRPr="00987287" w:rsidRDefault="00EF37C2" w:rsidP="00987287">
      <w:pPr>
        <w:spacing w:after="0" w:line="240" w:lineRule="auto"/>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sz w:val="24"/>
          <w:szCs w:val="24"/>
        </w:rPr>
      </w:pPr>
      <w:r w:rsidRPr="00987287">
        <w:rPr>
          <w:rFonts w:ascii="Garamond" w:eastAsia="Calibri" w:hAnsi="Garamond" w:cs="Times New Roman"/>
          <w:sz w:val="24"/>
          <w:szCs w:val="24"/>
        </w:rPr>
        <w:t xml:space="preserve">Core, J., </w:t>
      </w:r>
      <w:proofErr w:type="spellStart"/>
      <w:r w:rsidRPr="00987287">
        <w:rPr>
          <w:rFonts w:ascii="Garamond" w:eastAsia="Calibri" w:hAnsi="Garamond" w:cs="Times New Roman"/>
          <w:sz w:val="24"/>
          <w:szCs w:val="24"/>
        </w:rPr>
        <w:t>Guay</w:t>
      </w:r>
      <w:proofErr w:type="spellEnd"/>
      <w:r w:rsidRPr="00987287">
        <w:rPr>
          <w:rFonts w:ascii="Garamond" w:eastAsia="Calibri" w:hAnsi="Garamond" w:cs="Times New Roman"/>
          <w:sz w:val="24"/>
          <w:szCs w:val="24"/>
        </w:rPr>
        <w:t xml:space="preserve">, W. (1999). The use of equity grants to manage optimal equity incentive levels. </w:t>
      </w:r>
    </w:p>
    <w:p w:rsidR="00EF37C2" w:rsidRPr="00987287" w:rsidRDefault="00EF37C2" w:rsidP="00987287">
      <w:pPr>
        <w:spacing w:after="0" w:line="240" w:lineRule="auto"/>
        <w:ind w:firstLine="720"/>
        <w:rPr>
          <w:rFonts w:ascii="Garamond" w:eastAsia="Calibri" w:hAnsi="Garamond" w:cs="Times New Roman"/>
          <w:sz w:val="24"/>
          <w:szCs w:val="24"/>
        </w:rPr>
      </w:pPr>
      <w:r w:rsidRPr="00987287">
        <w:rPr>
          <w:rFonts w:ascii="Garamond" w:eastAsia="Calibri" w:hAnsi="Garamond" w:cs="Times New Roman"/>
          <w:i/>
          <w:sz w:val="24"/>
          <w:szCs w:val="24"/>
        </w:rPr>
        <w:t>Journal of Accounting and Economics</w:t>
      </w:r>
      <w:r w:rsidRPr="00987287">
        <w:rPr>
          <w:rFonts w:ascii="Garamond" w:eastAsia="Calibri" w:hAnsi="Garamond" w:cs="Times New Roman"/>
          <w:sz w:val="24"/>
          <w:szCs w:val="24"/>
        </w:rPr>
        <w:t xml:space="preserve"> 28, 151-184.</w:t>
      </w:r>
    </w:p>
    <w:p w:rsidR="00EF37C2" w:rsidRPr="00987287" w:rsidRDefault="00EF37C2" w:rsidP="00987287">
      <w:pPr>
        <w:spacing w:after="0" w:line="240" w:lineRule="auto"/>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sz w:val="24"/>
          <w:szCs w:val="24"/>
        </w:rPr>
      </w:pPr>
      <w:r w:rsidRPr="00987287">
        <w:rPr>
          <w:rFonts w:ascii="Garamond" w:eastAsia="Calibri" w:hAnsi="Garamond" w:cs="Times New Roman"/>
          <w:sz w:val="24"/>
          <w:szCs w:val="24"/>
        </w:rPr>
        <w:t xml:space="preserve">Core, J., </w:t>
      </w:r>
      <w:proofErr w:type="spellStart"/>
      <w:r w:rsidRPr="00987287">
        <w:rPr>
          <w:rFonts w:ascii="Garamond" w:eastAsia="Calibri" w:hAnsi="Garamond" w:cs="Times New Roman"/>
          <w:sz w:val="24"/>
          <w:szCs w:val="24"/>
        </w:rPr>
        <w:t>Guay</w:t>
      </w:r>
      <w:proofErr w:type="spellEnd"/>
      <w:r w:rsidRPr="00987287">
        <w:rPr>
          <w:rFonts w:ascii="Garamond" w:eastAsia="Calibri" w:hAnsi="Garamond" w:cs="Times New Roman"/>
          <w:sz w:val="24"/>
          <w:szCs w:val="24"/>
        </w:rPr>
        <w:t xml:space="preserve">, W. (2002a). Estimating the value of employee stock option portfolios and their </w:t>
      </w:r>
    </w:p>
    <w:p w:rsidR="00EF37C2" w:rsidRPr="00987287" w:rsidRDefault="00EF37C2" w:rsidP="00987287">
      <w:pPr>
        <w:spacing w:after="0" w:line="240" w:lineRule="auto"/>
        <w:ind w:firstLine="720"/>
        <w:rPr>
          <w:rFonts w:ascii="Garamond" w:eastAsia="Calibri" w:hAnsi="Garamond" w:cs="Times New Roman"/>
          <w:sz w:val="24"/>
          <w:szCs w:val="24"/>
        </w:rPr>
      </w:pPr>
      <w:proofErr w:type="gramStart"/>
      <w:r w:rsidRPr="00987287">
        <w:rPr>
          <w:rFonts w:ascii="Garamond" w:eastAsia="Calibri" w:hAnsi="Garamond" w:cs="Times New Roman"/>
          <w:sz w:val="24"/>
          <w:szCs w:val="24"/>
        </w:rPr>
        <w:t>sensitivities</w:t>
      </w:r>
      <w:proofErr w:type="gramEnd"/>
      <w:r w:rsidRPr="00987287">
        <w:rPr>
          <w:rFonts w:ascii="Garamond" w:eastAsia="Calibri" w:hAnsi="Garamond" w:cs="Times New Roman"/>
          <w:sz w:val="24"/>
          <w:szCs w:val="24"/>
        </w:rPr>
        <w:t xml:space="preserve"> to price and volatility.  </w:t>
      </w:r>
      <w:r w:rsidRPr="00987287">
        <w:rPr>
          <w:rFonts w:ascii="Garamond" w:eastAsia="Calibri" w:hAnsi="Garamond" w:cs="Times New Roman"/>
          <w:i/>
          <w:sz w:val="24"/>
          <w:szCs w:val="24"/>
        </w:rPr>
        <w:t>Journal of Accounting Research</w:t>
      </w:r>
      <w:r w:rsidRPr="00987287">
        <w:rPr>
          <w:rFonts w:ascii="Garamond" w:eastAsia="Calibri" w:hAnsi="Garamond" w:cs="Times New Roman"/>
          <w:sz w:val="24"/>
          <w:szCs w:val="24"/>
        </w:rPr>
        <w:t xml:space="preserve"> 40, 613-630.</w:t>
      </w:r>
    </w:p>
    <w:p w:rsidR="00EF37C2" w:rsidRPr="00987287" w:rsidRDefault="00EF37C2" w:rsidP="00987287">
      <w:pPr>
        <w:spacing w:after="0" w:line="240" w:lineRule="auto"/>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sz w:val="24"/>
          <w:szCs w:val="24"/>
        </w:rPr>
      </w:pPr>
      <w:r w:rsidRPr="00987287">
        <w:rPr>
          <w:rFonts w:ascii="Garamond" w:eastAsia="Calibri" w:hAnsi="Garamond" w:cs="Times New Roman"/>
          <w:sz w:val="24"/>
          <w:szCs w:val="24"/>
        </w:rPr>
        <w:t xml:space="preserve">Crystal, G. (1991). In search of excess: the overcompensation of American executives. W.W. </w:t>
      </w:r>
    </w:p>
    <w:p w:rsidR="00EF37C2" w:rsidRPr="00987287" w:rsidRDefault="00EF37C2" w:rsidP="00987287">
      <w:pPr>
        <w:spacing w:after="0" w:line="240" w:lineRule="auto"/>
        <w:ind w:firstLine="720"/>
        <w:rPr>
          <w:rFonts w:ascii="Garamond" w:eastAsia="Calibri" w:hAnsi="Garamond" w:cs="Times New Roman"/>
          <w:sz w:val="24"/>
          <w:szCs w:val="24"/>
        </w:rPr>
      </w:pPr>
      <w:r w:rsidRPr="00987287">
        <w:rPr>
          <w:rFonts w:ascii="Garamond" w:eastAsia="Calibri" w:hAnsi="Garamond" w:cs="Times New Roman"/>
          <w:sz w:val="24"/>
          <w:szCs w:val="24"/>
        </w:rPr>
        <w:t>Norton and Company, New York.</w:t>
      </w:r>
    </w:p>
    <w:p w:rsidR="00EF37C2" w:rsidRPr="00987287" w:rsidRDefault="00EF37C2" w:rsidP="00987287">
      <w:pPr>
        <w:spacing w:after="0" w:line="240" w:lineRule="auto"/>
        <w:rPr>
          <w:rFonts w:ascii="Garamond" w:eastAsia="Calibri" w:hAnsi="Garamond" w:cs="Times New Roman"/>
          <w:i/>
          <w:sz w:val="24"/>
          <w:szCs w:val="24"/>
        </w:rPr>
      </w:pPr>
      <w:proofErr w:type="spellStart"/>
      <w:r w:rsidRPr="00987287">
        <w:rPr>
          <w:rFonts w:ascii="Garamond" w:eastAsia="Calibri" w:hAnsi="Garamond" w:cs="Times New Roman"/>
          <w:sz w:val="24"/>
          <w:szCs w:val="24"/>
        </w:rPr>
        <w:lastRenderedPageBreak/>
        <w:t>Fama</w:t>
      </w:r>
      <w:proofErr w:type="spellEnd"/>
      <w:r w:rsidRPr="00987287">
        <w:rPr>
          <w:rFonts w:ascii="Garamond" w:eastAsia="Calibri" w:hAnsi="Garamond" w:cs="Times New Roman"/>
          <w:sz w:val="24"/>
          <w:szCs w:val="24"/>
        </w:rPr>
        <w:t xml:space="preserve">, E.F., &amp; Jensen, M.C. (1983). Separation of ownership and control. </w:t>
      </w:r>
      <w:r w:rsidRPr="00987287">
        <w:rPr>
          <w:rFonts w:ascii="Garamond" w:eastAsia="Calibri" w:hAnsi="Garamond" w:cs="Times New Roman"/>
          <w:i/>
          <w:sz w:val="24"/>
          <w:szCs w:val="24"/>
        </w:rPr>
        <w:t xml:space="preserve">Journal of Law and </w:t>
      </w:r>
    </w:p>
    <w:p w:rsidR="00EF37C2" w:rsidRPr="00987287" w:rsidRDefault="00EF37C2" w:rsidP="00987287">
      <w:pPr>
        <w:spacing w:after="0" w:line="240" w:lineRule="auto"/>
        <w:ind w:firstLine="720"/>
        <w:rPr>
          <w:rFonts w:ascii="Garamond" w:eastAsia="Calibri" w:hAnsi="Garamond" w:cs="Times New Roman"/>
          <w:sz w:val="24"/>
          <w:szCs w:val="24"/>
        </w:rPr>
      </w:pPr>
      <w:r w:rsidRPr="00987287">
        <w:rPr>
          <w:rFonts w:ascii="Garamond" w:eastAsia="Calibri" w:hAnsi="Garamond" w:cs="Times New Roman"/>
          <w:i/>
          <w:sz w:val="24"/>
          <w:szCs w:val="24"/>
        </w:rPr>
        <w:t>Economics</w:t>
      </w:r>
      <w:r w:rsidRPr="00987287">
        <w:rPr>
          <w:rFonts w:ascii="Garamond" w:eastAsia="Calibri" w:hAnsi="Garamond" w:cs="Times New Roman"/>
          <w:sz w:val="24"/>
          <w:szCs w:val="24"/>
        </w:rPr>
        <w:t>. 26, 301-325.</w:t>
      </w:r>
    </w:p>
    <w:p w:rsidR="00EF37C2" w:rsidRPr="00987287" w:rsidRDefault="00EF37C2" w:rsidP="00987287">
      <w:pPr>
        <w:spacing w:after="0" w:line="240" w:lineRule="auto"/>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sz w:val="24"/>
          <w:szCs w:val="24"/>
        </w:rPr>
      </w:pPr>
      <w:r w:rsidRPr="00987287">
        <w:rPr>
          <w:rFonts w:ascii="Garamond" w:eastAsia="Calibri" w:hAnsi="Garamond" w:cs="Times New Roman"/>
          <w:sz w:val="24"/>
          <w:szCs w:val="24"/>
        </w:rPr>
        <w:t xml:space="preserve">Finkelstein, S., </w:t>
      </w:r>
      <w:proofErr w:type="spellStart"/>
      <w:r w:rsidRPr="00987287">
        <w:rPr>
          <w:rFonts w:ascii="Garamond" w:eastAsia="Calibri" w:hAnsi="Garamond" w:cs="Times New Roman"/>
          <w:sz w:val="24"/>
          <w:szCs w:val="24"/>
        </w:rPr>
        <w:t>Hambrick</w:t>
      </w:r>
      <w:proofErr w:type="spellEnd"/>
      <w:r w:rsidRPr="00987287">
        <w:rPr>
          <w:rFonts w:ascii="Garamond" w:eastAsia="Calibri" w:hAnsi="Garamond" w:cs="Times New Roman"/>
          <w:sz w:val="24"/>
          <w:szCs w:val="24"/>
        </w:rPr>
        <w:t xml:space="preserve">, D. (1989). Chief executive </w:t>
      </w:r>
      <w:proofErr w:type="gramStart"/>
      <w:r w:rsidRPr="00987287">
        <w:rPr>
          <w:rFonts w:ascii="Garamond" w:eastAsia="Calibri" w:hAnsi="Garamond" w:cs="Times New Roman"/>
          <w:sz w:val="24"/>
          <w:szCs w:val="24"/>
        </w:rPr>
        <w:t>compensation</w:t>
      </w:r>
      <w:proofErr w:type="gramEnd"/>
      <w:r w:rsidRPr="00987287">
        <w:rPr>
          <w:rFonts w:ascii="Garamond" w:eastAsia="Calibri" w:hAnsi="Garamond" w:cs="Times New Roman"/>
          <w:sz w:val="24"/>
          <w:szCs w:val="24"/>
        </w:rPr>
        <w:t xml:space="preserve">: a study of the intersection </w:t>
      </w:r>
    </w:p>
    <w:p w:rsidR="00EF37C2" w:rsidRPr="00987287" w:rsidRDefault="00EF37C2" w:rsidP="00987287">
      <w:pPr>
        <w:spacing w:after="0" w:line="240" w:lineRule="auto"/>
        <w:ind w:firstLine="720"/>
        <w:rPr>
          <w:rFonts w:ascii="Garamond" w:eastAsia="Calibri" w:hAnsi="Garamond" w:cs="Times New Roman"/>
          <w:sz w:val="24"/>
          <w:szCs w:val="24"/>
        </w:rPr>
      </w:pPr>
      <w:proofErr w:type="gramStart"/>
      <w:r w:rsidRPr="00987287">
        <w:rPr>
          <w:rFonts w:ascii="Garamond" w:eastAsia="Calibri" w:hAnsi="Garamond" w:cs="Times New Roman"/>
          <w:sz w:val="24"/>
          <w:szCs w:val="24"/>
        </w:rPr>
        <w:t>of</w:t>
      </w:r>
      <w:proofErr w:type="gramEnd"/>
      <w:r w:rsidRPr="00987287">
        <w:rPr>
          <w:rFonts w:ascii="Garamond" w:eastAsia="Calibri" w:hAnsi="Garamond" w:cs="Times New Roman"/>
          <w:sz w:val="24"/>
          <w:szCs w:val="24"/>
        </w:rPr>
        <w:t xml:space="preserve"> markets and political processes. </w:t>
      </w:r>
      <w:r w:rsidRPr="00987287">
        <w:rPr>
          <w:rFonts w:ascii="Garamond" w:eastAsia="Calibri" w:hAnsi="Garamond" w:cs="Times New Roman"/>
          <w:i/>
          <w:sz w:val="24"/>
          <w:szCs w:val="24"/>
        </w:rPr>
        <w:t>Strategic Management Journal</w:t>
      </w:r>
      <w:r w:rsidRPr="00987287">
        <w:rPr>
          <w:rFonts w:ascii="Garamond" w:eastAsia="Calibri" w:hAnsi="Garamond" w:cs="Times New Roman"/>
          <w:sz w:val="24"/>
          <w:szCs w:val="24"/>
        </w:rPr>
        <w:t xml:space="preserve"> 10, 121-134.</w:t>
      </w:r>
    </w:p>
    <w:p w:rsidR="00EF37C2" w:rsidRPr="00987287" w:rsidRDefault="00EF37C2" w:rsidP="00987287">
      <w:pPr>
        <w:widowControl w:val="0"/>
        <w:autoSpaceDE w:val="0"/>
        <w:autoSpaceDN w:val="0"/>
        <w:adjustRightInd w:val="0"/>
        <w:spacing w:after="0" w:line="240" w:lineRule="auto"/>
        <w:rPr>
          <w:rFonts w:ascii="Garamond" w:eastAsia="Times New Roman" w:hAnsi="Garamond" w:cs="Times New Roman"/>
          <w:color w:val="000000"/>
          <w:sz w:val="24"/>
          <w:szCs w:val="24"/>
        </w:rPr>
      </w:pPr>
    </w:p>
    <w:p w:rsidR="00EF37C2" w:rsidRPr="00987287" w:rsidRDefault="00EF37C2" w:rsidP="00987287">
      <w:pPr>
        <w:spacing w:after="0" w:line="240" w:lineRule="auto"/>
        <w:rPr>
          <w:rFonts w:ascii="Garamond" w:eastAsia="Calibri" w:hAnsi="Garamond" w:cs="Times New Roman"/>
          <w:sz w:val="24"/>
          <w:szCs w:val="24"/>
        </w:rPr>
      </w:pPr>
      <w:proofErr w:type="spellStart"/>
      <w:r w:rsidRPr="00987287">
        <w:rPr>
          <w:rFonts w:ascii="Garamond" w:eastAsia="Calibri" w:hAnsi="Garamond" w:cs="Times New Roman"/>
          <w:sz w:val="24"/>
          <w:szCs w:val="24"/>
        </w:rPr>
        <w:t>Guay</w:t>
      </w:r>
      <w:proofErr w:type="spellEnd"/>
      <w:r w:rsidRPr="00987287">
        <w:rPr>
          <w:rFonts w:ascii="Garamond" w:eastAsia="Calibri" w:hAnsi="Garamond" w:cs="Times New Roman"/>
          <w:sz w:val="24"/>
          <w:szCs w:val="24"/>
        </w:rPr>
        <w:t xml:space="preserve">, W. (1999). The sensitivity of CEO wealth to equity risk: an analysis of the magnitude </w:t>
      </w:r>
    </w:p>
    <w:p w:rsidR="00EF37C2" w:rsidRPr="00987287" w:rsidRDefault="00EF37C2" w:rsidP="00987287">
      <w:pPr>
        <w:spacing w:after="0" w:line="240" w:lineRule="auto"/>
        <w:ind w:firstLine="720"/>
        <w:rPr>
          <w:rFonts w:ascii="Garamond" w:eastAsia="Calibri" w:hAnsi="Garamond" w:cs="Times New Roman"/>
          <w:sz w:val="24"/>
          <w:szCs w:val="24"/>
        </w:rPr>
      </w:pPr>
      <w:proofErr w:type="gramStart"/>
      <w:r w:rsidRPr="00987287">
        <w:rPr>
          <w:rFonts w:ascii="Garamond" w:eastAsia="Calibri" w:hAnsi="Garamond" w:cs="Times New Roman"/>
          <w:sz w:val="24"/>
          <w:szCs w:val="24"/>
        </w:rPr>
        <w:t>and</w:t>
      </w:r>
      <w:proofErr w:type="gramEnd"/>
      <w:r w:rsidRPr="00987287">
        <w:rPr>
          <w:rFonts w:ascii="Garamond" w:eastAsia="Calibri" w:hAnsi="Garamond" w:cs="Times New Roman"/>
          <w:sz w:val="24"/>
          <w:szCs w:val="24"/>
        </w:rPr>
        <w:t xml:space="preserve"> determinants. </w:t>
      </w:r>
      <w:r w:rsidRPr="00987287">
        <w:rPr>
          <w:rFonts w:ascii="Garamond" w:eastAsia="Calibri" w:hAnsi="Garamond" w:cs="Times New Roman"/>
          <w:i/>
          <w:sz w:val="24"/>
          <w:szCs w:val="24"/>
        </w:rPr>
        <w:t>Journal of Financial Economics</w:t>
      </w:r>
      <w:r w:rsidRPr="00987287">
        <w:rPr>
          <w:rFonts w:ascii="Garamond" w:eastAsia="Calibri" w:hAnsi="Garamond" w:cs="Times New Roman"/>
          <w:sz w:val="24"/>
          <w:szCs w:val="24"/>
        </w:rPr>
        <w:t xml:space="preserve"> 53, 43-71.</w:t>
      </w:r>
    </w:p>
    <w:p w:rsidR="00EF37C2" w:rsidRPr="00987287" w:rsidRDefault="00EF37C2" w:rsidP="00987287">
      <w:pPr>
        <w:spacing w:after="0" w:line="240" w:lineRule="auto"/>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sz w:val="24"/>
          <w:szCs w:val="24"/>
        </w:rPr>
      </w:pPr>
      <w:proofErr w:type="spellStart"/>
      <w:r w:rsidRPr="00987287">
        <w:rPr>
          <w:rFonts w:ascii="Garamond" w:eastAsia="Calibri" w:hAnsi="Garamond" w:cs="Times New Roman"/>
          <w:sz w:val="24"/>
          <w:szCs w:val="24"/>
        </w:rPr>
        <w:t>Hagendorff</w:t>
      </w:r>
      <w:proofErr w:type="spellEnd"/>
      <w:r w:rsidRPr="00987287">
        <w:rPr>
          <w:rFonts w:ascii="Garamond" w:eastAsia="Calibri" w:hAnsi="Garamond" w:cs="Times New Roman"/>
          <w:sz w:val="24"/>
          <w:szCs w:val="24"/>
        </w:rPr>
        <w:t xml:space="preserve">, J., Collins, M., &amp; </w:t>
      </w:r>
      <w:proofErr w:type="spellStart"/>
      <w:r w:rsidRPr="00987287">
        <w:rPr>
          <w:rFonts w:ascii="Garamond" w:eastAsia="Calibri" w:hAnsi="Garamond" w:cs="Times New Roman"/>
          <w:sz w:val="24"/>
          <w:szCs w:val="24"/>
        </w:rPr>
        <w:t>Keasey</w:t>
      </w:r>
      <w:proofErr w:type="spellEnd"/>
      <w:r w:rsidRPr="00987287">
        <w:rPr>
          <w:rFonts w:ascii="Garamond" w:eastAsia="Calibri" w:hAnsi="Garamond" w:cs="Times New Roman"/>
          <w:sz w:val="24"/>
          <w:szCs w:val="24"/>
        </w:rPr>
        <w:t xml:space="preserve">, K. (2007). Bank governance and acquisition performance. </w:t>
      </w:r>
    </w:p>
    <w:p w:rsidR="00EF37C2" w:rsidRPr="00987287" w:rsidRDefault="00EF37C2" w:rsidP="00987287">
      <w:pPr>
        <w:spacing w:after="0" w:line="240" w:lineRule="auto"/>
        <w:ind w:firstLine="720"/>
        <w:rPr>
          <w:rFonts w:ascii="Garamond" w:eastAsia="Calibri" w:hAnsi="Garamond" w:cs="Times New Roman"/>
          <w:sz w:val="24"/>
          <w:szCs w:val="24"/>
        </w:rPr>
      </w:pPr>
      <w:r w:rsidRPr="00987287">
        <w:rPr>
          <w:rFonts w:ascii="Garamond" w:eastAsia="Calibri" w:hAnsi="Garamond" w:cs="Times New Roman"/>
          <w:i/>
          <w:sz w:val="24"/>
          <w:szCs w:val="24"/>
        </w:rPr>
        <w:t>Corporate Governance: An International Review</w:t>
      </w:r>
      <w:r w:rsidRPr="00987287">
        <w:rPr>
          <w:rFonts w:ascii="Garamond" w:eastAsia="Calibri" w:hAnsi="Garamond" w:cs="Times New Roman"/>
          <w:sz w:val="24"/>
          <w:szCs w:val="24"/>
        </w:rPr>
        <w:t xml:space="preserve"> 15, 957-968. </w:t>
      </w:r>
    </w:p>
    <w:p w:rsidR="00EF37C2" w:rsidRPr="00987287" w:rsidRDefault="00EF37C2" w:rsidP="00987287">
      <w:pPr>
        <w:spacing w:after="0" w:line="240" w:lineRule="auto"/>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sz w:val="24"/>
          <w:szCs w:val="24"/>
        </w:rPr>
      </w:pPr>
      <w:proofErr w:type="spellStart"/>
      <w:r w:rsidRPr="00987287">
        <w:rPr>
          <w:rFonts w:ascii="Garamond" w:eastAsia="Calibri" w:hAnsi="Garamond" w:cs="Times New Roman"/>
          <w:sz w:val="24"/>
          <w:szCs w:val="24"/>
        </w:rPr>
        <w:t>Hallock</w:t>
      </w:r>
      <w:proofErr w:type="spellEnd"/>
      <w:r w:rsidRPr="00987287">
        <w:rPr>
          <w:rFonts w:ascii="Garamond" w:eastAsia="Calibri" w:hAnsi="Garamond" w:cs="Times New Roman"/>
          <w:sz w:val="24"/>
          <w:szCs w:val="24"/>
        </w:rPr>
        <w:t>, K.F. (1997). Reciprocally interlocking boards of directors and executive compensation.</w:t>
      </w:r>
    </w:p>
    <w:p w:rsidR="00EF37C2" w:rsidRPr="00987287" w:rsidRDefault="00EF37C2" w:rsidP="00987287">
      <w:pPr>
        <w:spacing w:after="0" w:line="240" w:lineRule="auto"/>
        <w:ind w:firstLine="720"/>
        <w:rPr>
          <w:rFonts w:ascii="Garamond" w:eastAsia="Calibri" w:hAnsi="Garamond" w:cs="Times New Roman"/>
          <w:sz w:val="24"/>
          <w:szCs w:val="24"/>
        </w:rPr>
      </w:pPr>
      <w:r w:rsidRPr="00987287">
        <w:rPr>
          <w:rFonts w:ascii="Garamond" w:eastAsia="Calibri" w:hAnsi="Garamond" w:cs="Times New Roman"/>
          <w:i/>
          <w:sz w:val="24"/>
          <w:szCs w:val="24"/>
        </w:rPr>
        <w:t>Journal of Financial and Quantitative Analysis</w:t>
      </w:r>
      <w:r w:rsidRPr="00987287">
        <w:rPr>
          <w:rFonts w:ascii="Garamond" w:eastAsia="Calibri" w:hAnsi="Garamond" w:cs="Times New Roman"/>
          <w:sz w:val="24"/>
          <w:szCs w:val="24"/>
        </w:rPr>
        <w:t xml:space="preserve"> 32, 331-344.</w:t>
      </w:r>
    </w:p>
    <w:p w:rsidR="00EF37C2" w:rsidRPr="00987287" w:rsidRDefault="00EF37C2" w:rsidP="00987287">
      <w:pPr>
        <w:spacing w:after="0" w:line="240" w:lineRule="auto"/>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sz w:val="24"/>
          <w:szCs w:val="24"/>
        </w:rPr>
      </w:pPr>
      <w:proofErr w:type="spellStart"/>
      <w:r w:rsidRPr="00987287">
        <w:rPr>
          <w:rFonts w:ascii="Garamond" w:eastAsia="Calibri" w:hAnsi="Garamond" w:cs="Times New Roman"/>
          <w:sz w:val="24"/>
          <w:szCs w:val="24"/>
        </w:rPr>
        <w:t>Hermalin</w:t>
      </w:r>
      <w:proofErr w:type="spellEnd"/>
      <w:r w:rsidRPr="00987287">
        <w:rPr>
          <w:rFonts w:ascii="Garamond" w:eastAsia="Calibri" w:hAnsi="Garamond" w:cs="Times New Roman"/>
          <w:sz w:val="24"/>
          <w:szCs w:val="24"/>
        </w:rPr>
        <w:t xml:space="preserve">, B., </w:t>
      </w:r>
      <w:proofErr w:type="spellStart"/>
      <w:r w:rsidRPr="00987287">
        <w:rPr>
          <w:rFonts w:ascii="Garamond" w:eastAsia="Calibri" w:hAnsi="Garamond" w:cs="Times New Roman"/>
          <w:sz w:val="24"/>
          <w:szCs w:val="24"/>
        </w:rPr>
        <w:t>Iisbach</w:t>
      </w:r>
      <w:proofErr w:type="spellEnd"/>
      <w:r w:rsidRPr="00987287">
        <w:rPr>
          <w:rFonts w:ascii="Garamond" w:eastAsia="Calibri" w:hAnsi="Garamond" w:cs="Times New Roman"/>
          <w:sz w:val="24"/>
          <w:szCs w:val="24"/>
        </w:rPr>
        <w:t xml:space="preserve">, M. (1991). The effects of board composition and direct incentives on </w:t>
      </w:r>
    </w:p>
    <w:p w:rsidR="00EF37C2" w:rsidRPr="00987287" w:rsidRDefault="00EF37C2" w:rsidP="00987287">
      <w:pPr>
        <w:spacing w:after="0" w:line="240" w:lineRule="auto"/>
        <w:ind w:firstLine="720"/>
        <w:rPr>
          <w:rFonts w:ascii="Garamond" w:eastAsia="Calibri" w:hAnsi="Garamond" w:cs="Times New Roman"/>
          <w:sz w:val="24"/>
          <w:szCs w:val="24"/>
        </w:rPr>
      </w:pPr>
      <w:proofErr w:type="gramStart"/>
      <w:r w:rsidRPr="00987287">
        <w:rPr>
          <w:rFonts w:ascii="Garamond" w:eastAsia="Calibri" w:hAnsi="Garamond" w:cs="Times New Roman"/>
          <w:sz w:val="24"/>
          <w:szCs w:val="24"/>
        </w:rPr>
        <w:t>firm</w:t>
      </w:r>
      <w:proofErr w:type="gramEnd"/>
      <w:r w:rsidRPr="00987287">
        <w:rPr>
          <w:rFonts w:ascii="Garamond" w:eastAsia="Calibri" w:hAnsi="Garamond" w:cs="Times New Roman"/>
          <w:sz w:val="24"/>
          <w:szCs w:val="24"/>
        </w:rPr>
        <w:t xml:space="preserve"> Performance. </w:t>
      </w:r>
      <w:r w:rsidRPr="00987287">
        <w:rPr>
          <w:rFonts w:ascii="Garamond" w:eastAsia="Calibri" w:hAnsi="Garamond" w:cs="Times New Roman"/>
          <w:i/>
          <w:sz w:val="24"/>
          <w:szCs w:val="24"/>
        </w:rPr>
        <w:t>Financial Management</w:t>
      </w:r>
      <w:r w:rsidRPr="00987287">
        <w:rPr>
          <w:rFonts w:ascii="Garamond" w:eastAsia="Calibri" w:hAnsi="Garamond" w:cs="Times New Roman"/>
          <w:sz w:val="24"/>
          <w:szCs w:val="24"/>
        </w:rPr>
        <w:t xml:space="preserve"> 20, 101-112.</w:t>
      </w:r>
    </w:p>
    <w:p w:rsidR="00EF37C2" w:rsidRPr="00987287" w:rsidRDefault="00EF37C2" w:rsidP="00987287">
      <w:pPr>
        <w:spacing w:after="0" w:line="240" w:lineRule="auto"/>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sz w:val="24"/>
          <w:szCs w:val="24"/>
        </w:rPr>
      </w:pPr>
      <w:r w:rsidRPr="00987287">
        <w:rPr>
          <w:rFonts w:ascii="Garamond" w:eastAsia="Calibri" w:hAnsi="Garamond" w:cs="Times New Roman"/>
          <w:sz w:val="24"/>
          <w:szCs w:val="24"/>
        </w:rPr>
        <w:t xml:space="preserve">Holderness, C., Sheehan, D. (1988). The role of majority shareholders in publicly-held </w:t>
      </w:r>
    </w:p>
    <w:p w:rsidR="00EF37C2" w:rsidRPr="00987287" w:rsidRDefault="00EF37C2" w:rsidP="00987287">
      <w:pPr>
        <w:spacing w:after="0" w:line="240" w:lineRule="auto"/>
        <w:ind w:firstLine="720"/>
        <w:rPr>
          <w:rFonts w:ascii="Garamond" w:eastAsia="Calibri" w:hAnsi="Garamond" w:cs="Times New Roman"/>
          <w:sz w:val="24"/>
          <w:szCs w:val="24"/>
        </w:rPr>
      </w:pPr>
      <w:proofErr w:type="gramStart"/>
      <w:r w:rsidRPr="00987287">
        <w:rPr>
          <w:rFonts w:ascii="Garamond" w:eastAsia="Calibri" w:hAnsi="Garamond" w:cs="Times New Roman"/>
          <w:sz w:val="24"/>
          <w:szCs w:val="24"/>
        </w:rPr>
        <w:t>corporations</w:t>
      </w:r>
      <w:proofErr w:type="gramEnd"/>
      <w:r w:rsidRPr="00987287">
        <w:rPr>
          <w:rFonts w:ascii="Garamond" w:eastAsia="Calibri" w:hAnsi="Garamond" w:cs="Times New Roman"/>
          <w:sz w:val="24"/>
          <w:szCs w:val="24"/>
        </w:rPr>
        <w:t xml:space="preserve">: an exploratory analysis. </w:t>
      </w:r>
      <w:r w:rsidRPr="00987287">
        <w:rPr>
          <w:rFonts w:ascii="Garamond" w:eastAsia="Calibri" w:hAnsi="Garamond" w:cs="Times New Roman"/>
          <w:i/>
          <w:sz w:val="24"/>
          <w:szCs w:val="24"/>
        </w:rPr>
        <w:t>Journal of Financial Economics</w:t>
      </w:r>
      <w:r w:rsidRPr="00987287">
        <w:rPr>
          <w:rFonts w:ascii="Garamond" w:eastAsia="Calibri" w:hAnsi="Garamond" w:cs="Times New Roman"/>
          <w:sz w:val="24"/>
          <w:szCs w:val="24"/>
        </w:rPr>
        <w:t xml:space="preserve"> 20, 317-346.</w:t>
      </w:r>
    </w:p>
    <w:p w:rsidR="00EF37C2" w:rsidRPr="00987287" w:rsidRDefault="00EF37C2" w:rsidP="00987287">
      <w:pPr>
        <w:widowControl w:val="0"/>
        <w:autoSpaceDE w:val="0"/>
        <w:autoSpaceDN w:val="0"/>
        <w:adjustRightInd w:val="0"/>
        <w:spacing w:after="0" w:line="240" w:lineRule="auto"/>
        <w:rPr>
          <w:rFonts w:ascii="Garamond" w:eastAsia="Times New Roman" w:hAnsi="Garamond" w:cs="Times New Roman"/>
          <w:color w:val="000000"/>
          <w:sz w:val="24"/>
          <w:szCs w:val="24"/>
        </w:rPr>
      </w:pPr>
    </w:p>
    <w:p w:rsidR="00EF37C2" w:rsidRPr="00987287" w:rsidRDefault="00EF37C2" w:rsidP="00987287">
      <w:pPr>
        <w:spacing w:after="0" w:line="240" w:lineRule="auto"/>
        <w:rPr>
          <w:rFonts w:ascii="Garamond" w:eastAsia="Calibri" w:hAnsi="Garamond" w:cs="Times New Roman"/>
          <w:i/>
          <w:sz w:val="24"/>
          <w:szCs w:val="24"/>
        </w:rPr>
      </w:pPr>
      <w:r w:rsidRPr="00987287">
        <w:rPr>
          <w:rFonts w:ascii="Garamond" w:eastAsia="Calibri" w:hAnsi="Garamond" w:cs="Times New Roman"/>
          <w:sz w:val="24"/>
          <w:szCs w:val="24"/>
        </w:rPr>
        <w:t xml:space="preserve">Jensen, M., Murphy, K. (1990). Performance pay and top-management </w:t>
      </w:r>
      <w:proofErr w:type="gramStart"/>
      <w:r w:rsidRPr="00987287">
        <w:rPr>
          <w:rFonts w:ascii="Garamond" w:eastAsia="Calibri" w:hAnsi="Garamond" w:cs="Times New Roman"/>
          <w:sz w:val="24"/>
          <w:szCs w:val="24"/>
        </w:rPr>
        <w:t>incentives.,</w:t>
      </w:r>
      <w:proofErr w:type="gramEnd"/>
      <w:r w:rsidRPr="00987287">
        <w:rPr>
          <w:rFonts w:ascii="Garamond" w:eastAsia="Calibri" w:hAnsi="Garamond" w:cs="Times New Roman"/>
          <w:sz w:val="24"/>
          <w:szCs w:val="24"/>
        </w:rPr>
        <w:t xml:space="preserve"> </w:t>
      </w:r>
      <w:r w:rsidRPr="00987287">
        <w:rPr>
          <w:rFonts w:ascii="Garamond" w:eastAsia="Calibri" w:hAnsi="Garamond" w:cs="Times New Roman"/>
          <w:i/>
          <w:sz w:val="24"/>
          <w:szCs w:val="24"/>
        </w:rPr>
        <w:t xml:space="preserve">Journal of </w:t>
      </w:r>
    </w:p>
    <w:p w:rsidR="00EF37C2" w:rsidRPr="00987287" w:rsidRDefault="00EF37C2" w:rsidP="00987287">
      <w:pPr>
        <w:spacing w:after="0" w:line="240" w:lineRule="auto"/>
        <w:ind w:firstLine="720"/>
        <w:rPr>
          <w:rFonts w:ascii="Garamond" w:eastAsia="Calibri" w:hAnsi="Garamond" w:cs="Times New Roman"/>
          <w:sz w:val="24"/>
          <w:szCs w:val="24"/>
        </w:rPr>
      </w:pPr>
      <w:r w:rsidRPr="00987287">
        <w:rPr>
          <w:rFonts w:ascii="Garamond" w:eastAsia="Calibri" w:hAnsi="Garamond" w:cs="Times New Roman"/>
          <w:i/>
          <w:sz w:val="24"/>
          <w:szCs w:val="24"/>
        </w:rPr>
        <w:t>Political Economy</w:t>
      </w:r>
      <w:r w:rsidRPr="00987287">
        <w:rPr>
          <w:rFonts w:ascii="Garamond" w:eastAsia="Calibri" w:hAnsi="Garamond" w:cs="Times New Roman"/>
          <w:sz w:val="24"/>
          <w:szCs w:val="24"/>
        </w:rPr>
        <w:t xml:space="preserve"> 98, 225-264.</w:t>
      </w:r>
    </w:p>
    <w:p w:rsidR="00EF37C2" w:rsidRPr="00987287" w:rsidRDefault="00EF37C2" w:rsidP="00987287">
      <w:pPr>
        <w:spacing w:after="0" w:line="240" w:lineRule="auto"/>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i/>
          <w:sz w:val="24"/>
          <w:szCs w:val="24"/>
        </w:rPr>
      </w:pPr>
      <w:r w:rsidRPr="00987287">
        <w:rPr>
          <w:rFonts w:ascii="Garamond" w:eastAsia="Calibri" w:hAnsi="Garamond" w:cs="Times New Roman"/>
          <w:sz w:val="24"/>
          <w:szCs w:val="24"/>
        </w:rPr>
        <w:t xml:space="preserve">John, T., John, K. (1993). Top-management compensation and capital structure. </w:t>
      </w:r>
      <w:r w:rsidRPr="00987287">
        <w:rPr>
          <w:rFonts w:ascii="Garamond" w:eastAsia="Calibri" w:hAnsi="Garamond" w:cs="Times New Roman"/>
          <w:i/>
          <w:sz w:val="24"/>
          <w:szCs w:val="24"/>
        </w:rPr>
        <w:t xml:space="preserve">Journal of </w:t>
      </w:r>
    </w:p>
    <w:p w:rsidR="00EF37C2" w:rsidRPr="00987287" w:rsidRDefault="00EF37C2" w:rsidP="00987287">
      <w:pPr>
        <w:spacing w:after="0" w:line="240" w:lineRule="auto"/>
        <w:ind w:firstLine="720"/>
        <w:rPr>
          <w:rFonts w:ascii="Garamond" w:eastAsia="Calibri" w:hAnsi="Garamond" w:cs="Times New Roman"/>
          <w:sz w:val="24"/>
          <w:szCs w:val="24"/>
        </w:rPr>
      </w:pPr>
      <w:r w:rsidRPr="00987287">
        <w:rPr>
          <w:rFonts w:ascii="Garamond" w:eastAsia="Calibri" w:hAnsi="Garamond" w:cs="Times New Roman"/>
          <w:i/>
          <w:sz w:val="24"/>
          <w:szCs w:val="24"/>
        </w:rPr>
        <w:t>Finance</w:t>
      </w:r>
      <w:r w:rsidRPr="00987287">
        <w:rPr>
          <w:rFonts w:ascii="Garamond" w:eastAsia="Calibri" w:hAnsi="Garamond" w:cs="Times New Roman"/>
          <w:sz w:val="24"/>
          <w:szCs w:val="24"/>
        </w:rPr>
        <w:t xml:space="preserve"> 48, 949-974.</w:t>
      </w:r>
    </w:p>
    <w:p w:rsidR="00EF37C2" w:rsidRPr="00987287" w:rsidRDefault="00EF37C2" w:rsidP="00987287">
      <w:pPr>
        <w:spacing w:after="0" w:line="240" w:lineRule="auto"/>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sz w:val="24"/>
          <w:szCs w:val="24"/>
        </w:rPr>
      </w:pPr>
      <w:r w:rsidRPr="00987287">
        <w:rPr>
          <w:rFonts w:ascii="Garamond" w:eastAsia="Calibri" w:hAnsi="Garamond" w:cs="Times New Roman"/>
          <w:sz w:val="24"/>
          <w:szCs w:val="24"/>
        </w:rPr>
        <w:t xml:space="preserve">John, K., Saunders, A. and </w:t>
      </w:r>
      <w:proofErr w:type="spellStart"/>
      <w:r w:rsidRPr="00987287">
        <w:rPr>
          <w:rFonts w:ascii="Garamond" w:eastAsia="Calibri" w:hAnsi="Garamond" w:cs="Times New Roman"/>
          <w:sz w:val="24"/>
          <w:szCs w:val="24"/>
        </w:rPr>
        <w:t>Senbet</w:t>
      </w:r>
      <w:proofErr w:type="spellEnd"/>
      <w:r w:rsidRPr="00987287">
        <w:rPr>
          <w:rFonts w:ascii="Garamond" w:eastAsia="Calibri" w:hAnsi="Garamond" w:cs="Times New Roman"/>
          <w:sz w:val="24"/>
          <w:szCs w:val="24"/>
        </w:rPr>
        <w:t xml:space="preserve">, L.W. (2000). A theory of firm regulation and management </w:t>
      </w:r>
    </w:p>
    <w:p w:rsidR="00EF37C2" w:rsidRPr="00987287" w:rsidRDefault="00EF37C2" w:rsidP="00987287">
      <w:pPr>
        <w:spacing w:after="0" w:line="240" w:lineRule="auto"/>
        <w:ind w:firstLine="720"/>
        <w:rPr>
          <w:rFonts w:ascii="Garamond" w:eastAsia="Calibri" w:hAnsi="Garamond" w:cs="Times New Roman"/>
          <w:sz w:val="24"/>
          <w:szCs w:val="24"/>
        </w:rPr>
      </w:pPr>
      <w:r w:rsidRPr="00987287">
        <w:rPr>
          <w:rFonts w:ascii="Garamond" w:eastAsia="Calibri" w:hAnsi="Garamond" w:cs="Times New Roman"/>
          <w:sz w:val="24"/>
          <w:szCs w:val="24"/>
        </w:rPr>
        <w:t xml:space="preserve">Compensation. </w:t>
      </w:r>
      <w:r w:rsidRPr="00987287">
        <w:rPr>
          <w:rFonts w:ascii="Garamond" w:eastAsia="Calibri" w:hAnsi="Garamond" w:cs="Times New Roman"/>
          <w:i/>
          <w:sz w:val="24"/>
          <w:szCs w:val="24"/>
        </w:rPr>
        <w:t>Review of Financial Studies</w:t>
      </w:r>
      <w:r w:rsidRPr="00987287">
        <w:rPr>
          <w:rFonts w:ascii="Garamond" w:eastAsia="Calibri" w:hAnsi="Garamond" w:cs="Times New Roman"/>
          <w:sz w:val="24"/>
          <w:szCs w:val="24"/>
        </w:rPr>
        <w:t xml:space="preserve"> 13, 95-125.</w:t>
      </w:r>
    </w:p>
    <w:p w:rsidR="00EF37C2" w:rsidRPr="00987287" w:rsidRDefault="00EF37C2" w:rsidP="00987287">
      <w:pPr>
        <w:spacing w:after="0" w:line="240" w:lineRule="auto"/>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sz w:val="24"/>
          <w:szCs w:val="24"/>
        </w:rPr>
      </w:pPr>
      <w:r w:rsidRPr="00987287">
        <w:rPr>
          <w:rFonts w:ascii="Garamond" w:eastAsia="Calibri" w:hAnsi="Garamond" w:cs="Times New Roman"/>
          <w:sz w:val="24"/>
          <w:szCs w:val="24"/>
        </w:rPr>
        <w:t xml:space="preserve">Kato, T. K., &amp; Long, C. S. (2006). Executive compensation, firm performance, and corporate </w:t>
      </w:r>
    </w:p>
    <w:p w:rsidR="00EF37C2" w:rsidRPr="00987287" w:rsidRDefault="00EF37C2" w:rsidP="00987287">
      <w:pPr>
        <w:spacing w:after="0" w:line="240" w:lineRule="auto"/>
        <w:ind w:left="720"/>
        <w:rPr>
          <w:rFonts w:ascii="Garamond" w:eastAsia="Calibri" w:hAnsi="Garamond" w:cs="Times New Roman"/>
          <w:sz w:val="24"/>
          <w:szCs w:val="24"/>
        </w:rPr>
      </w:pPr>
      <w:proofErr w:type="gramStart"/>
      <w:r w:rsidRPr="00987287">
        <w:rPr>
          <w:rFonts w:ascii="Garamond" w:eastAsia="Calibri" w:hAnsi="Garamond" w:cs="Times New Roman"/>
          <w:sz w:val="24"/>
          <w:szCs w:val="24"/>
        </w:rPr>
        <w:t>governance</w:t>
      </w:r>
      <w:proofErr w:type="gramEnd"/>
      <w:r w:rsidRPr="00987287">
        <w:rPr>
          <w:rFonts w:ascii="Garamond" w:eastAsia="Calibri" w:hAnsi="Garamond" w:cs="Times New Roman"/>
          <w:sz w:val="24"/>
          <w:szCs w:val="24"/>
        </w:rPr>
        <w:t xml:space="preserve"> in China: evidence from firms listed in the Shanghai and Shenzhen stock exchanges. Economic Development and Cultural Change, 54, 945-983. </w:t>
      </w:r>
    </w:p>
    <w:p w:rsidR="00EF37C2" w:rsidRPr="00987287" w:rsidRDefault="00EF37C2" w:rsidP="00987287">
      <w:pPr>
        <w:spacing w:after="0" w:line="240" w:lineRule="auto"/>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i/>
          <w:sz w:val="24"/>
          <w:szCs w:val="24"/>
        </w:rPr>
      </w:pPr>
      <w:proofErr w:type="spellStart"/>
      <w:r w:rsidRPr="00987287">
        <w:rPr>
          <w:rFonts w:ascii="Garamond" w:eastAsia="Calibri" w:hAnsi="Garamond" w:cs="Times New Roman"/>
          <w:sz w:val="24"/>
          <w:szCs w:val="24"/>
        </w:rPr>
        <w:t>Laeven</w:t>
      </w:r>
      <w:proofErr w:type="spellEnd"/>
      <w:r w:rsidRPr="00987287">
        <w:rPr>
          <w:rFonts w:ascii="Garamond" w:eastAsia="Calibri" w:hAnsi="Garamond" w:cs="Times New Roman"/>
          <w:sz w:val="24"/>
          <w:szCs w:val="24"/>
        </w:rPr>
        <w:t xml:space="preserve">, L. and Levine, R. (2009). Firm governance, regulation and risk taking. </w:t>
      </w:r>
      <w:r w:rsidRPr="00987287">
        <w:rPr>
          <w:rFonts w:ascii="Garamond" w:eastAsia="Calibri" w:hAnsi="Garamond" w:cs="Times New Roman"/>
          <w:i/>
          <w:sz w:val="24"/>
          <w:szCs w:val="24"/>
        </w:rPr>
        <w:t xml:space="preserve">Journal of </w:t>
      </w:r>
    </w:p>
    <w:p w:rsidR="00EF37C2" w:rsidRPr="00987287" w:rsidRDefault="00EF37C2" w:rsidP="00987287">
      <w:pPr>
        <w:spacing w:after="0" w:line="240" w:lineRule="auto"/>
        <w:ind w:firstLine="720"/>
        <w:rPr>
          <w:rFonts w:ascii="Garamond" w:eastAsia="Calibri" w:hAnsi="Garamond" w:cs="Times New Roman"/>
          <w:sz w:val="24"/>
          <w:szCs w:val="24"/>
        </w:rPr>
      </w:pPr>
      <w:r w:rsidRPr="00987287">
        <w:rPr>
          <w:rFonts w:ascii="Garamond" w:eastAsia="Calibri" w:hAnsi="Garamond" w:cs="Times New Roman"/>
          <w:i/>
          <w:sz w:val="24"/>
          <w:szCs w:val="24"/>
        </w:rPr>
        <w:t xml:space="preserve">Financial Economics, </w:t>
      </w:r>
      <w:r w:rsidRPr="00987287">
        <w:rPr>
          <w:rFonts w:ascii="Garamond" w:eastAsia="Calibri" w:hAnsi="Garamond" w:cs="Times New Roman"/>
          <w:sz w:val="24"/>
          <w:szCs w:val="24"/>
        </w:rPr>
        <w:t>Volume 93, Issue 2, August, 259-275.</w:t>
      </w:r>
    </w:p>
    <w:p w:rsidR="00EF37C2" w:rsidRPr="00987287" w:rsidRDefault="00EF37C2" w:rsidP="00987287">
      <w:pPr>
        <w:spacing w:after="0" w:line="240" w:lineRule="auto"/>
        <w:ind w:left="720"/>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sz w:val="24"/>
          <w:szCs w:val="24"/>
        </w:rPr>
      </w:pPr>
      <w:r w:rsidRPr="00987287">
        <w:rPr>
          <w:rFonts w:ascii="Garamond" w:eastAsia="Calibri" w:hAnsi="Garamond" w:cs="Times New Roman"/>
          <w:sz w:val="24"/>
          <w:szCs w:val="24"/>
        </w:rPr>
        <w:t xml:space="preserve">Lambert, R., </w:t>
      </w:r>
      <w:proofErr w:type="spellStart"/>
      <w:r w:rsidRPr="00987287">
        <w:rPr>
          <w:rFonts w:ascii="Garamond" w:eastAsia="Calibri" w:hAnsi="Garamond" w:cs="Times New Roman"/>
          <w:sz w:val="24"/>
          <w:szCs w:val="24"/>
        </w:rPr>
        <w:t>Larcker</w:t>
      </w:r>
      <w:proofErr w:type="spellEnd"/>
      <w:r w:rsidRPr="00987287">
        <w:rPr>
          <w:rFonts w:ascii="Garamond" w:eastAsia="Calibri" w:hAnsi="Garamond" w:cs="Times New Roman"/>
          <w:sz w:val="24"/>
          <w:szCs w:val="24"/>
        </w:rPr>
        <w:t xml:space="preserve">, D. and </w:t>
      </w:r>
      <w:proofErr w:type="spellStart"/>
      <w:r w:rsidRPr="00987287">
        <w:rPr>
          <w:rFonts w:ascii="Garamond" w:eastAsia="Calibri" w:hAnsi="Garamond" w:cs="Times New Roman"/>
          <w:sz w:val="24"/>
          <w:szCs w:val="24"/>
        </w:rPr>
        <w:t>Iigelt</w:t>
      </w:r>
      <w:proofErr w:type="spellEnd"/>
      <w:r w:rsidRPr="00987287">
        <w:rPr>
          <w:rFonts w:ascii="Garamond" w:eastAsia="Calibri" w:hAnsi="Garamond" w:cs="Times New Roman"/>
          <w:sz w:val="24"/>
          <w:szCs w:val="24"/>
        </w:rPr>
        <w:t>, K. (1993). The structure of organizational incentives.</w:t>
      </w:r>
    </w:p>
    <w:p w:rsidR="00EF37C2" w:rsidRPr="00987287" w:rsidRDefault="00EF37C2" w:rsidP="00987287">
      <w:pPr>
        <w:spacing w:after="0" w:line="240" w:lineRule="auto"/>
        <w:ind w:firstLine="720"/>
        <w:rPr>
          <w:rFonts w:ascii="Garamond" w:eastAsia="Calibri" w:hAnsi="Garamond" w:cs="Times New Roman"/>
          <w:sz w:val="24"/>
          <w:szCs w:val="24"/>
        </w:rPr>
      </w:pPr>
      <w:r w:rsidRPr="00987287">
        <w:rPr>
          <w:rFonts w:ascii="Garamond" w:eastAsia="Calibri" w:hAnsi="Garamond" w:cs="Times New Roman"/>
          <w:i/>
          <w:sz w:val="24"/>
          <w:szCs w:val="24"/>
        </w:rPr>
        <w:t>Administrative Science Quarterly</w:t>
      </w:r>
      <w:r w:rsidRPr="00987287">
        <w:rPr>
          <w:rFonts w:ascii="Garamond" w:eastAsia="Calibri" w:hAnsi="Garamond" w:cs="Times New Roman"/>
          <w:sz w:val="24"/>
          <w:szCs w:val="24"/>
        </w:rPr>
        <w:t xml:space="preserve"> 38, 438-461.</w:t>
      </w:r>
    </w:p>
    <w:p w:rsidR="00EF37C2" w:rsidRPr="00987287" w:rsidRDefault="00EF37C2" w:rsidP="00987287">
      <w:pPr>
        <w:spacing w:after="0" w:line="240" w:lineRule="auto"/>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i/>
          <w:sz w:val="24"/>
          <w:szCs w:val="24"/>
        </w:rPr>
      </w:pPr>
      <w:r w:rsidRPr="00987287">
        <w:rPr>
          <w:rFonts w:ascii="Garamond" w:eastAsia="Calibri" w:hAnsi="Garamond" w:cs="Times New Roman"/>
          <w:sz w:val="24"/>
          <w:szCs w:val="24"/>
        </w:rPr>
        <w:t xml:space="preserve">Merton, R. (1973). Theory of rational option pricing. </w:t>
      </w:r>
      <w:r w:rsidRPr="00987287">
        <w:rPr>
          <w:rFonts w:ascii="Garamond" w:eastAsia="Calibri" w:hAnsi="Garamond" w:cs="Times New Roman"/>
          <w:i/>
          <w:sz w:val="24"/>
          <w:szCs w:val="24"/>
        </w:rPr>
        <w:t xml:space="preserve">Bell journal of Economics and </w:t>
      </w:r>
    </w:p>
    <w:p w:rsidR="00EF37C2" w:rsidRPr="00987287" w:rsidRDefault="00EF37C2" w:rsidP="00987287">
      <w:pPr>
        <w:spacing w:after="0" w:line="240" w:lineRule="auto"/>
        <w:ind w:firstLine="720"/>
        <w:rPr>
          <w:rFonts w:ascii="Garamond" w:eastAsia="Calibri" w:hAnsi="Garamond" w:cs="Times New Roman"/>
          <w:sz w:val="24"/>
          <w:szCs w:val="24"/>
        </w:rPr>
      </w:pPr>
      <w:proofErr w:type="gramStart"/>
      <w:r w:rsidRPr="00987287">
        <w:rPr>
          <w:rFonts w:ascii="Garamond" w:eastAsia="Calibri" w:hAnsi="Garamond" w:cs="Times New Roman"/>
          <w:i/>
          <w:sz w:val="24"/>
          <w:szCs w:val="24"/>
        </w:rPr>
        <w:t>management</w:t>
      </w:r>
      <w:proofErr w:type="gramEnd"/>
      <w:r w:rsidRPr="00987287">
        <w:rPr>
          <w:rFonts w:ascii="Garamond" w:eastAsia="Calibri" w:hAnsi="Garamond" w:cs="Times New Roman"/>
          <w:i/>
          <w:sz w:val="24"/>
          <w:szCs w:val="24"/>
        </w:rPr>
        <w:t xml:space="preserve"> Science </w:t>
      </w:r>
      <w:r w:rsidRPr="00987287">
        <w:rPr>
          <w:rFonts w:ascii="Garamond" w:eastAsia="Calibri" w:hAnsi="Garamond" w:cs="Times New Roman"/>
          <w:sz w:val="24"/>
          <w:szCs w:val="24"/>
        </w:rPr>
        <w:t>4, 141-183.</w:t>
      </w:r>
    </w:p>
    <w:p w:rsidR="00EF37C2" w:rsidRPr="00987287" w:rsidRDefault="00EF37C2" w:rsidP="00987287">
      <w:pPr>
        <w:spacing w:after="0" w:line="240" w:lineRule="auto"/>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sz w:val="24"/>
          <w:szCs w:val="24"/>
        </w:rPr>
      </w:pPr>
      <w:proofErr w:type="spellStart"/>
      <w:r w:rsidRPr="00987287">
        <w:rPr>
          <w:rFonts w:ascii="Garamond" w:eastAsia="Calibri" w:hAnsi="Garamond" w:cs="Times New Roman"/>
          <w:sz w:val="24"/>
          <w:szCs w:val="24"/>
        </w:rPr>
        <w:t>Opler</w:t>
      </w:r>
      <w:proofErr w:type="spellEnd"/>
      <w:r w:rsidRPr="00987287">
        <w:rPr>
          <w:rFonts w:ascii="Garamond" w:eastAsia="Calibri" w:hAnsi="Garamond" w:cs="Times New Roman"/>
          <w:sz w:val="24"/>
          <w:szCs w:val="24"/>
        </w:rPr>
        <w:t xml:space="preserve">, T., </w:t>
      </w:r>
      <w:proofErr w:type="spellStart"/>
      <w:r w:rsidRPr="00987287">
        <w:rPr>
          <w:rFonts w:ascii="Garamond" w:eastAsia="Calibri" w:hAnsi="Garamond" w:cs="Times New Roman"/>
          <w:sz w:val="24"/>
          <w:szCs w:val="24"/>
        </w:rPr>
        <w:t>Pinkowitz</w:t>
      </w:r>
      <w:proofErr w:type="spellEnd"/>
      <w:r w:rsidRPr="00987287">
        <w:rPr>
          <w:rFonts w:ascii="Garamond" w:eastAsia="Calibri" w:hAnsi="Garamond" w:cs="Times New Roman"/>
          <w:sz w:val="24"/>
          <w:szCs w:val="24"/>
        </w:rPr>
        <w:t xml:space="preserve">, R., </w:t>
      </w:r>
      <w:proofErr w:type="spellStart"/>
      <w:r w:rsidRPr="00987287">
        <w:rPr>
          <w:rFonts w:ascii="Garamond" w:eastAsia="Calibri" w:hAnsi="Garamond" w:cs="Times New Roman"/>
          <w:sz w:val="24"/>
          <w:szCs w:val="24"/>
        </w:rPr>
        <w:t>Stulza</w:t>
      </w:r>
      <w:proofErr w:type="spellEnd"/>
      <w:r w:rsidRPr="00987287">
        <w:rPr>
          <w:rFonts w:ascii="Garamond" w:eastAsia="Calibri" w:hAnsi="Garamond" w:cs="Times New Roman"/>
          <w:sz w:val="24"/>
          <w:szCs w:val="24"/>
        </w:rPr>
        <w:t xml:space="preserve">, R. and Williamson, R. (1999). The determinants and </w:t>
      </w:r>
    </w:p>
    <w:p w:rsidR="00EF37C2" w:rsidRPr="00987287" w:rsidRDefault="00EF37C2" w:rsidP="00987287">
      <w:pPr>
        <w:spacing w:after="0" w:line="240" w:lineRule="auto"/>
        <w:ind w:firstLine="720"/>
        <w:rPr>
          <w:rFonts w:ascii="Garamond" w:eastAsia="Calibri" w:hAnsi="Garamond" w:cs="Times New Roman"/>
          <w:sz w:val="24"/>
          <w:szCs w:val="24"/>
        </w:rPr>
      </w:pPr>
      <w:proofErr w:type="gramStart"/>
      <w:r w:rsidRPr="00987287">
        <w:rPr>
          <w:rFonts w:ascii="Garamond" w:eastAsia="Calibri" w:hAnsi="Garamond" w:cs="Times New Roman"/>
          <w:sz w:val="24"/>
          <w:szCs w:val="24"/>
        </w:rPr>
        <w:t>implications</w:t>
      </w:r>
      <w:proofErr w:type="gramEnd"/>
      <w:r w:rsidRPr="00987287">
        <w:rPr>
          <w:rFonts w:ascii="Garamond" w:eastAsia="Calibri" w:hAnsi="Garamond" w:cs="Times New Roman"/>
          <w:sz w:val="24"/>
          <w:szCs w:val="24"/>
        </w:rPr>
        <w:t xml:space="preserve"> of corporate cash holdings. </w:t>
      </w:r>
      <w:r w:rsidRPr="00987287">
        <w:rPr>
          <w:rFonts w:ascii="Garamond" w:eastAsia="Calibri" w:hAnsi="Garamond" w:cs="Times New Roman"/>
          <w:i/>
          <w:sz w:val="24"/>
          <w:szCs w:val="24"/>
        </w:rPr>
        <w:t>Journal of Financial Economics</w:t>
      </w:r>
      <w:r w:rsidRPr="00987287">
        <w:rPr>
          <w:rFonts w:ascii="Garamond" w:eastAsia="Calibri" w:hAnsi="Garamond" w:cs="Times New Roman"/>
          <w:sz w:val="24"/>
          <w:szCs w:val="24"/>
        </w:rPr>
        <w:t xml:space="preserve"> 52, 3-46.</w:t>
      </w:r>
    </w:p>
    <w:p w:rsidR="00EF37C2" w:rsidRPr="00987287" w:rsidRDefault="00EF37C2" w:rsidP="00987287">
      <w:pPr>
        <w:spacing w:after="0" w:line="240" w:lineRule="auto"/>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sz w:val="24"/>
          <w:szCs w:val="24"/>
        </w:rPr>
      </w:pPr>
      <w:proofErr w:type="spellStart"/>
      <w:r w:rsidRPr="00987287">
        <w:rPr>
          <w:rFonts w:ascii="Garamond" w:eastAsia="Calibri" w:hAnsi="Garamond" w:cs="Times New Roman"/>
          <w:sz w:val="24"/>
          <w:szCs w:val="24"/>
        </w:rPr>
        <w:lastRenderedPageBreak/>
        <w:t>Palvia</w:t>
      </w:r>
      <w:proofErr w:type="spellEnd"/>
      <w:r w:rsidRPr="00987287">
        <w:rPr>
          <w:rFonts w:ascii="Garamond" w:eastAsia="Calibri" w:hAnsi="Garamond" w:cs="Times New Roman"/>
          <w:sz w:val="24"/>
          <w:szCs w:val="24"/>
        </w:rPr>
        <w:t xml:space="preserve">, A. (2011). Banks and managerial discipline: does regulatory monitoring play a role? The </w:t>
      </w:r>
    </w:p>
    <w:p w:rsidR="00EF37C2" w:rsidRPr="00987287" w:rsidRDefault="00EF37C2" w:rsidP="00987287">
      <w:pPr>
        <w:spacing w:after="0" w:line="240" w:lineRule="auto"/>
        <w:ind w:firstLine="720"/>
        <w:rPr>
          <w:rFonts w:ascii="Garamond" w:eastAsia="Calibri" w:hAnsi="Garamond" w:cs="Times New Roman"/>
          <w:sz w:val="24"/>
          <w:szCs w:val="24"/>
        </w:rPr>
      </w:pPr>
      <w:r w:rsidRPr="00987287">
        <w:rPr>
          <w:rFonts w:ascii="Garamond" w:eastAsia="Calibri" w:hAnsi="Garamond" w:cs="Times New Roman"/>
          <w:sz w:val="24"/>
          <w:szCs w:val="24"/>
        </w:rPr>
        <w:t xml:space="preserve">Quarterly Review of Economics and Finance, 51, 56-68. </w:t>
      </w:r>
    </w:p>
    <w:p w:rsidR="00EF37C2" w:rsidRPr="00987287" w:rsidRDefault="00EF37C2" w:rsidP="00987287">
      <w:pPr>
        <w:spacing w:after="0" w:line="240" w:lineRule="auto"/>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i/>
          <w:sz w:val="24"/>
          <w:szCs w:val="24"/>
        </w:rPr>
      </w:pPr>
      <w:proofErr w:type="spellStart"/>
      <w:r w:rsidRPr="00987287">
        <w:rPr>
          <w:rFonts w:ascii="Garamond" w:eastAsia="Calibri" w:hAnsi="Garamond" w:cs="Times New Roman"/>
          <w:sz w:val="24"/>
          <w:szCs w:val="24"/>
        </w:rPr>
        <w:t>Pathan</w:t>
      </w:r>
      <w:proofErr w:type="spellEnd"/>
      <w:r w:rsidRPr="00987287">
        <w:rPr>
          <w:rFonts w:ascii="Garamond" w:eastAsia="Calibri" w:hAnsi="Garamond" w:cs="Times New Roman"/>
          <w:sz w:val="24"/>
          <w:szCs w:val="24"/>
        </w:rPr>
        <w:t xml:space="preserve">, S. (2009). Strong boards, CEO power and firm risk-taking. </w:t>
      </w:r>
      <w:r w:rsidRPr="00987287">
        <w:rPr>
          <w:rFonts w:ascii="Garamond" w:eastAsia="Calibri" w:hAnsi="Garamond" w:cs="Times New Roman"/>
          <w:i/>
          <w:sz w:val="24"/>
          <w:szCs w:val="24"/>
        </w:rPr>
        <w:t xml:space="preserve">Journal of Firming &amp; </w:t>
      </w:r>
    </w:p>
    <w:p w:rsidR="00EF37C2" w:rsidRPr="00987287" w:rsidRDefault="00EF37C2" w:rsidP="00987287">
      <w:pPr>
        <w:spacing w:after="0" w:line="240" w:lineRule="auto"/>
        <w:ind w:firstLine="720"/>
        <w:rPr>
          <w:rFonts w:ascii="Garamond" w:eastAsia="Calibri" w:hAnsi="Garamond" w:cs="Times New Roman"/>
          <w:sz w:val="24"/>
          <w:szCs w:val="24"/>
        </w:rPr>
      </w:pPr>
      <w:r w:rsidRPr="00987287">
        <w:rPr>
          <w:rFonts w:ascii="Garamond" w:eastAsia="Calibri" w:hAnsi="Garamond" w:cs="Times New Roman"/>
          <w:i/>
          <w:sz w:val="24"/>
          <w:szCs w:val="24"/>
        </w:rPr>
        <w:t xml:space="preserve">Finance, </w:t>
      </w:r>
      <w:r w:rsidRPr="00987287">
        <w:rPr>
          <w:rFonts w:ascii="Garamond" w:eastAsia="Calibri" w:hAnsi="Garamond" w:cs="Times New Roman"/>
          <w:sz w:val="24"/>
          <w:szCs w:val="24"/>
        </w:rPr>
        <w:t>Volume 33, Issue 7, July, 1340-1350.</w:t>
      </w:r>
    </w:p>
    <w:p w:rsidR="00EF37C2" w:rsidRPr="00987287" w:rsidRDefault="00EF37C2" w:rsidP="00987287">
      <w:pPr>
        <w:spacing w:after="0" w:line="240" w:lineRule="auto"/>
        <w:ind w:left="720"/>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sz w:val="24"/>
          <w:szCs w:val="24"/>
        </w:rPr>
      </w:pPr>
      <w:proofErr w:type="spellStart"/>
      <w:r w:rsidRPr="00987287">
        <w:rPr>
          <w:rFonts w:ascii="Garamond" w:eastAsia="Calibri" w:hAnsi="Garamond" w:cs="Times New Roman"/>
          <w:sz w:val="24"/>
          <w:szCs w:val="24"/>
        </w:rPr>
        <w:t>Rajgopal</w:t>
      </w:r>
      <w:proofErr w:type="spellEnd"/>
      <w:r w:rsidRPr="00987287">
        <w:rPr>
          <w:rFonts w:ascii="Garamond" w:eastAsia="Calibri" w:hAnsi="Garamond" w:cs="Times New Roman"/>
          <w:sz w:val="24"/>
          <w:szCs w:val="24"/>
        </w:rPr>
        <w:t xml:space="preserve">, S., </w:t>
      </w:r>
      <w:proofErr w:type="spellStart"/>
      <w:r w:rsidRPr="00987287">
        <w:rPr>
          <w:rFonts w:ascii="Garamond" w:eastAsia="Calibri" w:hAnsi="Garamond" w:cs="Times New Roman"/>
          <w:sz w:val="24"/>
          <w:szCs w:val="24"/>
        </w:rPr>
        <w:t>Shevlin</w:t>
      </w:r>
      <w:proofErr w:type="spellEnd"/>
      <w:r w:rsidRPr="00987287">
        <w:rPr>
          <w:rFonts w:ascii="Garamond" w:eastAsia="Calibri" w:hAnsi="Garamond" w:cs="Times New Roman"/>
          <w:sz w:val="24"/>
          <w:szCs w:val="24"/>
        </w:rPr>
        <w:t xml:space="preserve">, T. (2002). Empirical evidence on the relation </w:t>
      </w:r>
      <w:proofErr w:type="gramStart"/>
      <w:r w:rsidRPr="00987287">
        <w:rPr>
          <w:rFonts w:ascii="Garamond" w:eastAsia="Calibri" w:hAnsi="Garamond" w:cs="Times New Roman"/>
          <w:sz w:val="24"/>
          <w:szCs w:val="24"/>
        </w:rPr>
        <w:t>between stock option</w:t>
      </w:r>
      <w:proofErr w:type="gramEnd"/>
      <w:r w:rsidRPr="00987287">
        <w:rPr>
          <w:rFonts w:ascii="Garamond" w:eastAsia="Calibri" w:hAnsi="Garamond" w:cs="Times New Roman"/>
          <w:sz w:val="24"/>
          <w:szCs w:val="24"/>
        </w:rPr>
        <w:t xml:space="preserve"> </w:t>
      </w:r>
    </w:p>
    <w:p w:rsidR="00EF37C2" w:rsidRPr="00987287" w:rsidRDefault="00EF37C2" w:rsidP="00987287">
      <w:pPr>
        <w:spacing w:after="0" w:line="240" w:lineRule="auto"/>
        <w:ind w:firstLine="720"/>
        <w:rPr>
          <w:rFonts w:ascii="Garamond" w:eastAsia="Calibri" w:hAnsi="Garamond" w:cs="Times New Roman"/>
          <w:sz w:val="24"/>
          <w:szCs w:val="24"/>
        </w:rPr>
      </w:pPr>
      <w:proofErr w:type="gramStart"/>
      <w:r w:rsidRPr="00987287">
        <w:rPr>
          <w:rFonts w:ascii="Garamond" w:eastAsia="Calibri" w:hAnsi="Garamond" w:cs="Times New Roman"/>
          <w:sz w:val="24"/>
          <w:szCs w:val="24"/>
        </w:rPr>
        <w:t>compensation</w:t>
      </w:r>
      <w:proofErr w:type="gramEnd"/>
      <w:r w:rsidRPr="00987287">
        <w:rPr>
          <w:rFonts w:ascii="Garamond" w:eastAsia="Calibri" w:hAnsi="Garamond" w:cs="Times New Roman"/>
          <w:sz w:val="24"/>
          <w:szCs w:val="24"/>
        </w:rPr>
        <w:t xml:space="preserve"> and risk taking. </w:t>
      </w:r>
      <w:r w:rsidRPr="00987287">
        <w:rPr>
          <w:rFonts w:ascii="Garamond" w:eastAsia="Calibri" w:hAnsi="Garamond" w:cs="Times New Roman"/>
          <w:i/>
          <w:sz w:val="24"/>
          <w:szCs w:val="24"/>
        </w:rPr>
        <w:t>Journal of Accounting and Economics</w:t>
      </w:r>
      <w:r w:rsidRPr="00987287">
        <w:rPr>
          <w:rFonts w:ascii="Garamond" w:eastAsia="Calibri" w:hAnsi="Garamond" w:cs="Times New Roman"/>
          <w:sz w:val="24"/>
          <w:szCs w:val="24"/>
        </w:rPr>
        <w:t xml:space="preserve"> 33, 145-171.</w:t>
      </w:r>
    </w:p>
    <w:p w:rsidR="00EF37C2" w:rsidRPr="00987287" w:rsidRDefault="00EF37C2" w:rsidP="00987287">
      <w:pPr>
        <w:spacing w:after="0" w:line="240" w:lineRule="auto"/>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sz w:val="24"/>
          <w:szCs w:val="24"/>
        </w:rPr>
      </w:pPr>
      <w:r w:rsidRPr="00987287">
        <w:rPr>
          <w:rFonts w:ascii="Garamond" w:eastAsia="Calibri" w:hAnsi="Garamond" w:cs="Times New Roman"/>
          <w:sz w:val="24"/>
          <w:szCs w:val="24"/>
        </w:rPr>
        <w:t xml:space="preserve">Rogers, D. (2002). Does executive portfolio structure affect risk management? CEO risk-taking </w:t>
      </w:r>
    </w:p>
    <w:p w:rsidR="00EF37C2" w:rsidRPr="00987287" w:rsidRDefault="00EF37C2" w:rsidP="00987287">
      <w:pPr>
        <w:spacing w:after="0" w:line="240" w:lineRule="auto"/>
        <w:ind w:firstLine="720"/>
        <w:rPr>
          <w:rFonts w:ascii="Garamond" w:eastAsia="Calibri" w:hAnsi="Garamond" w:cs="Times New Roman"/>
          <w:sz w:val="24"/>
          <w:szCs w:val="24"/>
        </w:rPr>
      </w:pPr>
      <w:proofErr w:type="gramStart"/>
      <w:r w:rsidRPr="00987287">
        <w:rPr>
          <w:rFonts w:ascii="Garamond" w:eastAsia="Calibri" w:hAnsi="Garamond" w:cs="Times New Roman"/>
          <w:sz w:val="24"/>
          <w:szCs w:val="24"/>
        </w:rPr>
        <w:t>incentives</w:t>
      </w:r>
      <w:proofErr w:type="gramEnd"/>
      <w:r w:rsidRPr="00987287">
        <w:rPr>
          <w:rFonts w:ascii="Garamond" w:eastAsia="Calibri" w:hAnsi="Garamond" w:cs="Times New Roman"/>
          <w:sz w:val="24"/>
          <w:szCs w:val="24"/>
        </w:rPr>
        <w:t xml:space="preserve"> and corporate derivatives usage. </w:t>
      </w:r>
      <w:r w:rsidRPr="00987287">
        <w:rPr>
          <w:rFonts w:ascii="Garamond" w:eastAsia="Calibri" w:hAnsi="Garamond" w:cs="Times New Roman"/>
          <w:i/>
          <w:sz w:val="24"/>
          <w:szCs w:val="24"/>
        </w:rPr>
        <w:t>Journal of Firming and Finance</w:t>
      </w:r>
      <w:r w:rsidRPr="00987287">
        <w:rPr>
          <w:rFonts w:ascii="Garamond" w:eastAsia="Calibri" w:hAnsi="Garamond" w:cs="Times New Roman"/>
          <w:sz w:val="24"/>
          <w:szCs w:val="24"/>
        </w:rPr>
        <w:t xml:space="preserve"> 26, 271-</w:t>
      </w:r>
    </w:p>
    <w:p w:rsidR="00EF37C2" w:rsidRPr="00987287" w:rsidRDefault="00EF37C2" w:rsidP="00987287">
      <w:pPr>
        <w:spacing w:after="0" w:line="240" w:lineRule="auto"/>
        <w:ind w:firstLine="720"/>
        <w:rPr>
          <w:rFonts w:ascii="Garamond" w:eastAsia="Calibri" w:hAnsi="Garamond" w:cs="Times New Roman"/>
          <w:sz w:val="24"/>
          <w:szCs w:val="24"/>
        </w:rPr>
      </w:pPr>
      <w:r w:rsidRPr="00987287">
        <w:rPr>
          <w:rFonts w:ascii="Garamond" w:eastAsia="Calibri" w:hAnsi="Garamond" w:cs="Times New Roman"/>
          <w:sz w:val="24"/>
          <w:szCs w:val="24"/>
        </w:rPr>
        <w:t>295.</w:t>
      </w:r>
    </w:p>
    <w:p w:rsidR="00EF37C2" w:rsidRPr="00987287" w:rsidRDefault="00EF37C2" w:rsidP="00987287">
      <w:pPr>
        <w:spacing w:after="0" w:line="240" w:lineRule="auto"/>
        <w:ind w:firstLine="720"/>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sz w:val="24"/>
          <w:szCs w:val="24"/>
        </w:rPr>
      </w:pPr>
      <w:r w:rsidRPr="00987287">
        <w:rPr>
          <w:rFonts w:ascii="Garamond" w:eastAsia="Calibri" w:hAnsi="Garamond" w:cs="Times New Roman"/>
          <w:sz w:val="24"/>
          <w:szCs w:val="24"/>
        </w:rPr>
        <w:t xml:space="preserve">Rosenstein, S., Wyatt, J. (1990). Outside directors, board independence and shareholder wealth. </w:t>
      </w:r>
    </w:p>
    <w:p w:rsidR="00EF37C2" w:rsidRPr="00987287" w:rsidRDefault="00EF37C2" w:rsidP="00987287">
      <w:pPr>
        <w:spacing w:after="0" w:line="240" w:lineRule="auto"/>
        <w:ind w:firstLine="720"/>
        <w:rPr>
          <w:rFonts w:ascii="Garamond" w:eastAsia="Calibri" w:hAnsi="Garamond" w:cs="Times New Roman"/>
          <w:sz w:val="24"/>
          <w:szCs w:val="24"/>
        </w:rPr>
      </w:pPr>
      <w:r w:rsidRPr="00987287">
        <w:rPr>
          <w:rFonts w:ascii="Garamond" w:eastAsia="Calibri" w:hAnsi="Garamond" w:cs="Times New Roman"/>
          <w:i/>
          <w:sz w:val="24"/>
          <w:szCs w:val="24"/>
        </w:rPr>
        <w:t>Journal of Financial Economics</w:t>
      </w:r>
      <w:r w:rsidRPr="00987287">
        <w:rPr>
          <w:rFonts w:ascii="Garamond" w:eastAsia="Calibri" w:hAnsi="Garamond" w:cs="Times New Roman"/>
          <w:sz w:val="24"/>
          <w:szCs w:val="24"/>
        </w:rPr>
        <w:t xml:space="preserve"> 26, 175-191.  </w:t>
      </w:r>
    </w:p>
    <w:p w:rsidR="00EF37C2" w:rsidRPr="00987287" w:rsidRDefault="00EF37C2" w:rsidP="00987287">
      <w:pPr>
        <w:spacing w:after="0" w:line="240" w:lineRule="auto"/>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sz w:val="24"/>
          <w:szCs w:val="24"/>
        </w:rPr>
      </w:pPr>
      <w:proofErr w:type="spellStart"/>
      <w:r w:rsidRPr="00987287">
        <w:rPr>
          <w:rFonts w:ascii="Garamond" w:eastAsia="Calibri" w:hAnsi="Garamond" w:cs="Times New Roman"/>
          <w:sz w:val="24"/>
          <w:szCs w:val="24"/>
        </w:rPr>
        <w:t>Sawa</w:t>
      </w:r>
      <w:proofErr w:type="spellEnd"/>
      <w:r w:rsidRPr="00987287">
        <w:rPr>
          <w:rFonts w:ascii="Garamond" w:eastAsia="Calibri" w:hAnsi="Garamond" w:cs="Times New Roman"/>
          <w:sz w:val="24"/>
          <w:szCs w:val="24"/>
        </w:rPr>
        <w:t xml:space="preserve">, T. (1969). The exact sampling distribution of ordinary least squares and two stage least </w:t>
      </w:r>
    </w:p>
    <w:p w:rsidR="00EF37C2" w:rsidRPr="00987287" w:rsidRDefault="00EF37C2" w:rsidP="00987287">
      <w:pPr>
        <w:spacing w:after="0" w:line="240" w:lineRule="auto"/>
        <w:ind w:firstLine="720"/>
        <w:rPr>
          <w:rFonts w:ascii="Garamond" w:eastAsia="Calibri" w:hAnsi="Garamond" w:cs="Times New Roman"/>
          <w:sz w:val="24"/>
          <w:szCs w:val="24"/>
        </w:rPr>
      </w:pPr>
      <w:proofErr w:type="gramStart"/>
      <w:r w:rsidRPr="00987287">
        <w:rPr>
          <w:rFonts w:ascii="Garamond" w:eastAsia="Calibri" w:hAnsi="Garamond" w:cs="Times New Roman"/>
          <w:sz w:val="24"/>
          <w:szCs w:val="24"/>
        </w:rPr>
        <w:t>squares</w:t>
      </w:r>
      <w:proofErr w:type="gramEnd"/>
      <w:r w:rsidRPr="00987287">
        <w:rPr>
          <w:rFonts w:ascii="Garamond" w:eastAsia="Calibri" w:hAnsi="Garamond" w:cs="Times New Roman"/>
          <w:sz w:val="24"/>
          <w:szCs w:val="24"/>
        </w:rPr>
        <w:t xml:space="preserve"> estimators. </w:t>
      </w:r>
      <w:r w:rsidRPr="00987287">
        <w:rPr>
          <w:rFonts w:ascii="Garamond" w:eastAsia="Calibri" w:hAnsi="Garamond" w:cs="Times New Roman"/>
          <w:i/>
          <w:sz w:val="24"/>
          <w:szCs w:val="24"/>
        </w:rPr>
        <w:t>Journal of the American Statistical Association</w:t>
      </w:r>
      <w:r w:rsidRPr="00987287">
        <w:rPr>
          <w:rFonts w:ascii="Garamond" w:eastAsia="Calibri" w:hAnsi="Garamond" w:cs="Times New Roman"/>
          <w:sz w:val="24"/>
          <w:szCs w:val="24"/>
        </w:rPr>
        <w:t xml:space="preserve"> 64, 923-937.</w:t>
      </w:r>
    </w:p>
    <w:p w:rsidR="00EF37C2" w:rsidRPr="00987287" w:rsidRDefault="00EF37C2" w:rsidP="00987287">
      <w:pPr>
        <w:spacing w:after="0" w:line="240" w:lineRule="auto"/>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sz w:val="24"/>
          <w:szCs w:val="24"/>
        </w:rPr>
      </w:pPr>
      <w:proofErr w:type="spellStart"/>
      <w:r w:rsidRPr="00987287">
        <w:rPr>
          <w:rFonts w:ascii="Garamond" w:eastAsia="Calibri" w:hAnsi="Garamond" w:cs="Times New Roman"/>
          <w:sz w:val="24"/>
          <w:szCs w:val="24"/>
        </w:rPr>
        <w:t>Servaes</w:t>
      </w:r>
      <w:proofErr w:type="spellEnd"/>
      <w:r w:rsidRPr="00987287">
        <w:rPr>
          <w:rFonts w:ascii="Garamond" w:eastAsia="Calibri" w:hAnsi="Garamond" w:cs="Times New Roman"/>
          <w:sz w:val="24"/>
          <w:szCs w:val="24"/>
        </w:rPr>
        <w:t xml:space="preserve">, H. (1994). Do takeover targets overinvest? </w:t>
      </w:r>
      <w:r w:rsidRPr="00987287">
        <w:rPr>
          <w:rFonts w:ascii="Garamond" w:eastAsia="Calibri" w:hAnsi="Garamond" w:cs="Times New Roman"/>
          <w:i/>
          <w:sz w:val="24"/>
          <w:szCs w:val="24"/>
        </w:rPr>
        <w:t>Review of Financial Studies</w:t>
      </w:r>
      <w:r w:rsidRPr="00987287">
        <w:rPr>
          <w:rFonts w:ascii="Garamond" w:eastAsia="Calibri" w:hAnsi="Garamond" w:cs="Times New Roman"/>
          <w:sz w:val="24"/>
          <w:szCs w:val="24"/>
        </w:rPr>
        <w:t xml:space="preserve"> 7, 253-277.</w:t>
      </w:r>
    </w:p>
    <w:p w:rsidR="00EF37C2" w:rsidRPr="00987287" w:rsidRDefault="00EF37C2" w:rsidP="00987287">
      <w:pPr>
        <w:spacing w:after="0" w:line="240" w:lineRule="auto"/>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i/>
          <w:sz w:val="24"/>
          <w:szCs w:val="24"/>
        </w:rPr>
      </w:pPr>
      <w:proofErr w:type="spellStart"/>
      <w:r w:rsidRPr="00987287">
        <w:rPr>
          <w:rFonts w:ascii="Garamond" w:eastAsia="Calibri" w:hAnsi="Garamond" w:cs="Times New Roman"/>
          <w:sz w:val="24"/>
          <w:szCs w:val="24"/>
        </w:rPr>
        <w:t>Yermack</w:t>
      </w:r>
      <w:proofErr w:type="spellEnd"/>
      <w:r w:rsidRPr="00987287">
        <w:rPr>
          <w:rFonts w:ascii="Garamond" w:eastAsia="Calibri" w:hAnsi="Garamond" w:cs="Times New Roman"/>
          <w:sz w:val="24"/>
          <w:szCs w:val="24"/>
        </w:rPr>
        <w:t xml:space="preserve">, D. (1996). Higher market valuation for firms with a small board of directors. </w:t>
      </w:r>
      <w:r w:rsidRPr="00987287">
        <w:rPr>
          <w:rFonts w:ascii="Garamond" w:eastAsia="Calibri" w:hAnsi="Garamond" w:cs="Times New Roman"/>
          <w:i/>
          <w:sz w:val="24"/>
          <w:szCs w:val="24"/>
        </w:rPr>
        <w:t xml:space="preserve">Journal </w:t>
      </w:r>
    </w:p>
    <w:p w:rsidR="00EF37C2" w:rsidRPr="00987287" w:rsidRDefault="00EF37C2" w:rsidP="00987287">
      <w:pPr>
        <w:spacing w:after="0" w:line="240" w:lineRule="auto"/>
        <w:ind w:firstLine="720"/>
        <w:rPr>
          <w:rFonts w:ascii="Garamond" w:eastAsia="Calibri" w:hAnsi="Garamond" w:cs="Times New Roman"/>
          <w:sz w:val="24"/>
          <w:szCs w:val="24"/>
        </w:rPr>
      </w:pPr>
      <w:proofErr w:type="gramStart"/>
      <w:r w:rsidRPr="00987287">
        <w:rPr>
          <w:rFonts w:ascii="Garamond" w:eastAsia="Calibri" w:hAnsi="Garamond" w:cs="Times New Roman"/>
          <w:i/>
          <w:sz w:val="24"/>
          <w:szCs w:val="24"/>
        </w:rPr>
        <w:t>of</w:t>
      </w:r>
      <w:proofErr w:type="gramEnd"/>
      <w:r w:rsidRPr="00987287">
        <w:rPr>
          <w:rFonts w:ascii="Garamond" w:eastAsia="Calibri" w:hAnsi="Garamond" w:cs="Times New Roman"/>
          <w:i/>
          <w:sz w:val="24"/>
          <w:szCs w:val="24"/>
        </w:rPr>
        <w:t xml:space="preserve"> Financial Economics</w:t>
      </w:r>
      <w:r w:rsidRPr="00987287">
        <w:rPr>
          <w:rFonts w:ascii="Garamond" w:eastAsia="Calibri" w:hAnsi="Garamond" w:cs="Times New Roman"/>
          <w:sz w:val="24"/>
          <w:szCs w:val="24"/>
        </w:rPr>
        <w:t xml:space="preserve"> 40, 185-211.</w:t>
      </w:r>
    </w:p>
    <w:p w:rsidR="00EF37C2" w:rsidRPr="00987287" w:rsidRDefault="00EF37C2" w:rsidP="00987287">
      <w:pPr>
        <w:spacing w:after="0" w:line="240" w:lineRule="auto"/>
        <w:ind w:firstLine="720"/>
        <w:rPr>
          <w:rFonts w:ascii="Garamond" w:eastAsia="Calibri" w:hAnsi="Garamond" w:cs="Times New Roman"/>
          <w:sz w:val="24"/>
          <w:szCs w:val="24"/>
        </w:rPr>
      </w:pPr>
    </w:p>
    <w:p w:rsidR="00EF37C2" w:rsidRPr="00987287" w:rsidRDefault="00EF37C2" w:rsidP="00987287">
      <w:pPr>
        <w:spacing w:after="0" w:line="240" w:lineRule="auto"/>
        <w:rPr>
          <w:rFonts w:ascii="Garamond" w:eastAsia="Calibri" w:hAnsi="Garamond" w:cs="Times New Roman"/>
          <w:i/>
          <w:sz w:val="24"/>
          <w:szCs w:val="24"/>
        </w:rPr>
      </w:pPr>
      <w:r w:rsidRPr="00987287">
        <w:rPr>
          <w:rFonts w:ascii="Garamond" w:eastAsia="Calibri" w:hAnsi="Garamond" w:cs="Times New Roman"/>
          <w:sz w:val="24"/>
          <w:szCs w:val="24"/>
        </w:rPr>
        <w:t xml:space="preserve">Yang, X. (2010). Firm risk-taking investments and managerial incentives. </w:t>
      </w:r>
      <w:r w:rsidRPr="00987287">
        <w:rPr>
          <w:rFonts w:ascii="Garamond" w:eastAsia="Calibri" w:hAnsi="Garamond" w:cs="Times New Roman"/>
          <w:i/>
          <w:sz w:val="24"/>
          <w:szCs w:val="24"/>
        </w:rPr>
        <w:t xml:space="preserve">Firming and Finance </w:t>
      </w:r>
    </w:p>
    <w:p w:rsidR="00EF37C2" w:rsidRPr="00987287" w:rsidRDefault="00EF37C2" w:rsidP="00987287">
      <w:pPr>
        <w:spacing w:after="0" w:line="240" w:lineRule="auto"/>
        <w:ind w:firstLine="720"/>
        <w:rPr>
          <w:rFonts w:ascii="Garamond" w:eastAsia="Calibri" w:hAnsi="Garamond" w:cs="Times New Roman"/>
          <w:sz w:val="24"/>
          <w:szCs w:val="24"/>
        </w:rPr>
      </w:pPr>
      <w:r w:rsidRPr="00987287">
        <w:rPr>
          <w:rFonts w:ascii="Garamond" w:eastAsia="Calibri" w:hAnsi="Garamond" w:cs="Times New Roman"/>
          <w:i/>
          <w:sz w:val="24"/>
          <w:szCs w:val="24"/>
        </w:rPr>
        <w:t>Review</w:t>
      </w:r>
      <w:proofErr w:type="gramStart"/>
      <w:r w:rsidRPr="00987287">
        <w:rPr>
          <w:rFonts w:ascii="Garamond" w:eastAsia="Calibri" w:hAnsi="Garamond" w:cs="Times New Roman"/>
          <w:sz w:val="24"/>
          <w:szCs w:val="24"/>
        </w:rPr>
        <w:t>,  Volume</w:t>
      </w:r>
      <w:proofErr w:type="gramEnd"/>
      <w:r w:rsidRPr="00987287">
        <w:rPr>
          <w:rFonts w:ascii="Garamond" w:eastAsia="Calibri" w:hAnsi="Garamond" w:cs="Times New Roman"/>
          <w:sz w:val="24"/>
          <w:szCs w:val="24"/>
        </w:rPr>
        <w:t xml:space="preserve"> 2 • Issue 2 • December, 73-87.</w:t>
      </w:r>
    </w:p>
    <w:p w:rsidR="00EF37C2" w:rsidRPr="00987287" w:rsidRDefault="00EF37C2" w:rsidP="00987287">
      <w:pPr>
        <w:spacing w:after="0" w:line="240" w:lineRule="auto"/>
        <w:ind w:right="-180"/>
        <w:rPr>
          <w:rFonts w:ascii="Garamond" w:eastAsia="Times New Roman" w:hAnsi="Garamond" w:cs="Times New Roman"/>
          <w:sz w:val="24"/>
          <w:szCs w:val="24"/>
        </w:rPr>
      </w:pPr>
    </w:p>
    <w:p w:rsidR="00EF37C2" w:rsidRPr="00987287" w:rsidRDefault="00EF37C2" w:rsidP="00987287">
      <w:pPr>
        <w:spacing w:after="0" w:line="240" w:lineRule="auto"/>
        <w:ind w:right="-180"/>
        <w:rPr>
          <w:rFonts w:ascii="Garamond" w:eastAsia="Times New Roman" w:hAnsi="Garamond" w:cs="Times New Roman"/>
          <w:sz w:val="24"/>
          <w:szCs w:val="24"/>
        </w:rPr>
      </w:pPr>
    </w:p>
    <w:p w:rsidR="00EF37C2" w:rsidRPr="00987287" w:rsidRDefault="00EF37C2" w:rsidP="00987287">
      <w:pPr>
        <w:spacing w:after="0" w:line="240" w:lineRule="auto"/>
        <w:ind w:right="-180"/>
        <w:rPr>
          <w:rFonts w:ascii="Garamond" w:eastAsia="Times New Roman" w:hAnsi="Garamond" w:cs="Times New Roman"/>
          <w:i/>
          <w:sz w:val="24"/>
          <w:szCs w:val="24"/>
        </w:rPr>
      </w:pPr>
      <w:r w:rsidRPr="00987287">
        <w:rPr>
          <w:rFonts w:ascii="Garamond" w:eastAsia="Times New Roman" w:hAnsi="Garamond" w:cs="Times New Roman"/>
          <w:sz w:val="24"/>
          <w:szCs w:val="24"/>
        </w:rPr>
        <w:t xml:space="preserve">Black, F. and Scholes, M., 1973. The pricing of options and corporate liabilities. </w:t>
      </w:r>
      <w:r w:rsidRPr="00987287">
        <w:rPr>
          <w:rFonts w:ascii="Garamond" w:eastAsia="Times New Roman" w:hAnsi="Garamond" w:cs="Times New Roman"/>
          <w:i/>
          <w:sz w:val="24"/>
          <w:szCs w:val="24"/>
        </w:rPr>
        <w:t xml:space="preserve">Journal of </w:t>
      </w:r>
    </w:p>
    <w:p w:rsidR="00EF37C2" w:rsidRPr="00987287" w:rsidRDefault="00EF37C2" w:rsidP="00987287">
      <w:pPr>
        <w:spacing w:after="0" w:line="240" w:lineRule="auto"/>
        <w:ind w:right="-180" w:firstLine="720"/>
        <w:rPr>
          <w:rFonts w:ascii="Garamond" w:eastAsia="Times New Roman" w:hAnsi="Garamond" w:cs="Times New Roman"/>
          <w:sz w:val="24"/>
          <w:szCs w:val="24"/>
        </w:rPr>
      </w:pPr>
      <w:r w:rsidRPr="00987287">
        <w:rPr>
          <w:rFonts w:ascii="Garamond" w:eastAsia="Times New Roman" w:hAnsi="Garamond" w:cs="Times New Roman"/>
          <w:i/>
          <w:sz w:val="24"/>
          <w:szCs w:val="24"/>
        </w:rPr>
        <w:t>Political Economy</w:t>
      </w:r>
      <w:r w:rsidRPr="00987287">
        <w:rPr>
          <w:rFonts w:ascii="Garamond" w:eastAsia="Times New Roman" w:hAnsi="Garamond" w:cs="Times New Roman"/>
          <w:sz w:val="24"/>
          <w:szCs w:val="24"/>
        </w:rPr>
        <w:t xml:space="preserve"> 81, p637-654.</w:t>
      </w:r>
    </w:p>
    <w:p w:rsidR="00EF37C2" w:rsidRPr="00987287" w:rsidRDefault="00EF37C2" w:rsidP="00987287">
      <w:pPr>
        <w:spacing w:after="0" w:line="240" w:lineRule="auto"/>
        <w:ind w:right="-180"/>
        <w:rPr>
          <w:rFonts w:ascii="Garamond" w:eastAsia="Times New Roman" w:hAnsi="Garamond" w:cs="Times New Roman"/>
          <w:sz w:val="24"/>
          <w:szCs w:val="24"/>
        </w:rPr>
      </w:pPr>
    </w:p>
    <w:p w:rsidR="00EF37C2" w:rsidRPr="00987287" w:rsidRDefault="00EF37C2" w:rsidP="00987287">
      <w:pPr>
        <w:spacing w:after="0" w:line="240" w:lineRule="auto"/>
        <w:rPr>
          <w:rFonts w:ascii="Garamond" w:eastAsia="Calibri" w:hAnsi="Garamond" w:cs="Times New Roman"/>
          <w:i/>
          <w:color w:val="000000"/>
          <w:sz w:val="24"/>
          <w:szCs w:val="24"/>
        </w:rPr>
      </w:pPr>
      <w:r w:rsidRPr="00987287">
        <w:rPr>
          <w:rFonts w:ascii="Garamond" w:eastAsia="Calibri" w:hAnsi="Garamond" w:cs="Times New Roman"/>
          <w:color w:val="000000"/>
          <w:sz w:val="24"/>
          <w:szCs w:val="24"/>
        </w:rPr>
        <w:t xml:space="preserve">Cao, L., 2000. Chinese privatization: between plan and market. </w:t>
      </w:r>
      <w:r w:rsidRPr="00987287">
        <w:rPr>
          <w:rFonts w:ascii="Garamond" w:eastAsia="Calibri" w:hAnsi="Garamond" w:cs="Times New Roman"/>
          <w:i/>
          <w:color w:val="000000"/>
          <w:sz w:val="24"/>
          <w:szCs w:val="24"/>
        </w:rPr>
        <w:t xml:space="preserve">Law and Contemporary </w:t>
      </w:r>
    </w:p>
    <w:p w:rsidR="00EF37C2" w:rsidRPr="00987287" w:rsidRDefault="00EF37C2" w:rsidP="00987287">
      <w:pPr>
        <w:spacing w:after="0" w:line="240" w:lineRule="auto"/>
        <w:ind w:firstLine="720"/>
        <w:rPr>
          <w:rFonts w:ascii="Garamond" w:eastAsia="Calibri" w:hAnsi="Garamond" w:cs="Times New Roman"/>
          <w:color w:val="000000"/>
          <w:sz w:val="24"/>
          <w:szCs w:val="24"/>
        </w:rPr>
      </w:pPr>
      <w:r w:rsidRPr="00987287">
        <w:rPr>
          <w:rFonts w:ascii="Garamond" w:eastAsia="Calibri" w:hAnsi="Garamond" w:cs="Times New Roman"/>
          <w:i/>
          <w:color w:val="000000"/>
          <w:sz w:val="24"/>
          <w:szCs w:val="24"/>
        </w:rPr>
        <w:t>Problems</w:t>
      </w:r>
      <w:r w:rsidRPr="00987287">
        <w:rPr>
          <w:rFonts w:ascii="Garamond" w:eastAsia="Calibri" w:hAnsi="Garamond" w:cs="Times New Roman"/>
          <w:color w:val="000000"/>
          <w:sz w:val="24"/>
          <w:szCs w:val="24"/>
        </w:rPr>
        <w:t xml:space="preserve"> 63 (4), p13-62. </w:t>
      </w:r>
    </w:p>
    <w:p w:rsidR="00EF37C2" w:rsidRPr="00987287" w:rsidRDefault="00EF37C2" w:rsidP="00987287">
      <w:pPr>
        <w:spacing w:after="0" w:line="240" w:lineRule="auto"/>
        <w:rPr>
          <w:rFonts w:ascii="Garamond" w:eastAsia="Calibri" w:hAnsi="Garamond" w:cs="Times New Roman"/>
          <w:color w:val="000000"/>
          <w:sz w:val="24"/>
          <w:szCs w:val="24"/>
        </w:rPr>
      </w:pPr>
    </w:p>
    <w:p w:rsidR="00EF37C2" w:rsidRPr="00987287" w:rsidRDefault="00EF37C2" w:rsidP="00987287">
      <w:pPr>
        <w:spacing w:after="0" w:line="240" w:lineRule="auto"/>
        <w:rPr>
          <w:rFonts w:ascii="Garamond" w:eastAsia="Calibri" w:hAnsi="Garamond" w:cs="Times New Roman"/>
          <w:i/>
          <w:color w:val="000000"/>
          <w:sz w:val="24"/>
          <w:szCs w:val="24"/>
        </w:rPr>
      </w:pPr>
      <w:r w:rsidRPr="00987287">
        <w:rPr>
          <w:rFonts w:ascii="Garamond" w:eastAsia="Calibri" w:hAnsi="Garamond" w:cs="Times New Roman"/>
          <w:color w:val="000000"/>
          <w:sz w:val="24"/>
          <w:szCs w:val="24"/>
        </w:rPr>
        <w:t xml:space="preserve">Coles, J.L., </w:t>
      </w:r>
      <w:proofErr w:type="spellStart"/>
      <w:r w:rsidRPr="00987287">
        <w:rPr>
          <w:rFonts w:ascii="Garamond" w:eastAsia="Calibri" w:hAnsi="Garamond" w:cs="Times New Roman"/>
          <w:color w:val="000000"/>
          <w:sz w:val="24"/>
          <w:szCs w:val="24"/>
        </w:rPr>
        <w:t>Daniek</w:t>
      </w:r>
      <w:proofErr w:type="spellEnd"/>
      <w:r w:rsidRPr="00987287">
        <w:rPr>
          <w:rFonts w:ascii="Garamond" w:eastAsia="Calibri" w:hAnsi="Garamond" w:cs="Times New Roman"/>
          <w:color w:val="000000"/>
          <w:sz w:val="24"/>
          <w:szCs w:val="24"/>
        </w:rPr>
        <w:t xml:space="preserve">, N.D., and Naveen, L., 2006. Managerial incentives and risk-taking. </w:t>
      </w:r>
      <w:r w:rsidRPr="00987287">
        <w:rPr>
          <w:rFonts w:ascii="Garamond" w:eastAsia="Calibri" w:hAnsi="Garamond" w:cs="Times New Roman"/>
          <w:i/>
          <w:color w:val="000000"/>
          <w:sz w:val="24"/>
          <w:szCs w:val="24"/>
        </w:rPr>
        <w:t xml:space="preserve">Journal </w:t>
      </w:r>
    </w:p>
    <w:p w:rsidR="00EF37C2" w:rsidRPr="00987287" w:rsidRDefault="00EF37C2" w:rsidP="00987287">
      <w:pPr>
        <w:spacing w:after="0" w:line="240" w:lineRule="auto"/>
        <w:ind w:firstLine="720"/>
        <w:rPr>
          <w:rFonts w:ascii="Garamond" w:eastAsia="Calibri" w:hAnsi="Garamond" w:cs="Times New Roman"/>
          <w:color w:val="000000"/>
          <w:sz w:val="24"/>
          <w:szCs w:val="24"/>
        </w:rPr>
      </w:pPr>
      <w:proofErr w:type="gramStart"/>
      <w:r w:rsidRPr="00987287">
        <w:rPr>
          <w:rFonts w:ascii="Garamond" w:eastAsia="Calibri" w:hAnsi="Garamond" w:cs="Times New Roman"/>
          <w:i/>
          <w:color w:val="000000"/>
          <w:sz w:val="24"/>
          <w:szCs w:val="24"/>
        </w:rPr>
        <w:t>of</w:t>
      </w:r>
      <w:proofErr w:type="gramEnd"/>
      <w:r w:rsidRPr="00987287">
        <w:rPr>
          <w:rFonts w:ascii="Garamond" w:eastAsia="Calibri" w:hAnsi="Garamond" w:cs="Times New Roman"/>
          <w:i/>
          <w:color w:val="000000"/>
          <w:sz w:val="24"/>
          <w:szCs w:val="24"/>
        </w:rPr>
        <w:t xml:space="preserve"> Financial Economics</w:t>
      </w:r>
      <w:r w:rsidRPr="00987287">
        <w:rPr>
          <w:rFonts w:ascii="Garamond" w:eastAsia="Calibri" w:hAnsi="Garamond" w:cs="Times New Roman"/>
          <w:color w:val="000000"/>
          <w:sz w:val="24"/>
          <w:szCs w:val="24"/>
        </w:rPr>
        <w:t xml:space="preserve"> 79, p431-468. </w:t>
      </w:r>
    </w:p>
    <w:p w:rsidR="00EF37C2" w:rsidRPr="00987287" w:rsidRDefault="00EF37C2" w:rsidP="00987287">
      <w:pPr>
        <w:spacing w:after="0" w:line="240" w:lineRule="auto"/>
        <w:rPr>
          <w:rFonts w:ascii="Garamond" w:eastAsia="Calibri" w:hAnsi="Garamond" w:cs="Times New Roman"/>
          <w:color w:val="000000"/>
          <w:sz w:val="24"/>
          <w:szCs w:val="24"/>
        </w:rPr>
      </w:pPr>
    </w:p>
    <w:p w:rsidR="00EF37C2" w:rsidRPr="00987287" w:rsidRDefault="00EF37C2" w:rsidP="00987287">
      <w:pPr>
        <w:spacing w:after="0" w:line="240" w:lineRule="auto"/>
        <w:rPr>
          <w:rFonts w:ascii="Garamond" w:eastAsia="Calibri" w:hAnsi="Garamond" w:cs="Times New Roman"/>
          <w:i/>
          <w:color w:val="000000"/>
          <w:sz w:val="24"/>
          <w:szCs w:val="24"/>
        </w:rPr>
      </w:pPr>
      <w:proofErr w:type="spellStart"/>
      <w:r w:rsidRPr="00987287">
        <w:rPr>
          <w:rFonts w:ascii="Garamond" w:eastAsia="Calibri" w:hAnsi="Garamond" w:cs="Times New Roman"/>
          <w:color w:val="000000"/>
          <w:sz w:val="24"/>
          <w:szCs w:val="24"/>
        </w:rPr>
        <w:t>Fahlenbrach</w:t>
      </w:r>
      <w:proofErr w:type="spellEnd"/>
      <w:r w:rsidRPr="00987287">
        <w:rPr>
          <w:rFonts w:ascii="Garamond" w:eastAsia="Calibri" w:hAnsi="Garamond" w:cs="Times New Roman"/>
          <w:color w:val="000000"/>
          <w:sz w:val="24"/>
          <w:szCs w:val="24"/>
        </w:rPr>
        <w:t xml:space="preserve">, R. and </w:t>
      </w:r>
      <w:proofErr w:type="spellStart"/>
      <w:r w:rsidRPr="00987287">
        <w:rPr>
          <w:rFonts w:ascii="Garamond" w:eastAsia="Calibri" w:hAnsi="Garamond" w:cs="Times New Roman"/>
          <w:color w:val="000000"/>
          <w:sz w:val="24"/>
          <w:szCs w:val="24"/>
        </w:rPr>
        <w:t>Stulz</w:t>
      </w:r>
      <w:proofErr w:type="spellEnd"/>
      <w:r w:rsidRPr="00987287">
        <w:rPr>
          <w:rFonts w:ascii="Garamond" w:eastAsia="Calibri" w:hAnsi="Garamond" w:cs="Times New Roman"/>
          <w:color w:val="000000"/>
          <w:sz w:val="24"/>
          <w:szCs w:val="24"/>
        </w:rPr>
        <w:t xml:space="preserve">, R. 2012. Firm CEO Incentives and the Credit Crisis. </w:t>
      </w:r>
      <w:r w:rsidRPr="00987287">
        <w:rPr>
          <w:rFonts w:ascii="Garamond" w:eastAsia="Calibri" w:hAnsi="Garamond" w:cs="Times New Roman"/>
          <w:i/>
          <w:color w:val="000000"/>
          <w:sz w:val="24"/>
          <w:szCs w:val="24"/>
        </w:rPr>
        <w:t xml:space="preserve">Journal of </w:t>
      </w:r>
    </w:p>
    <w:p w:rsidR="00EF37C2" w:rsidRPr="00987287" w:rsidRDefault="00EF37C2" w:rsidP="00987287">
      <w:pPr>
        <w:spacing w:after="0" w:line="240" w:lineRule="auto"/>
        <w:ind w:firstLine="720"/>
        <w:rPr>
          <w:rFonts w:ascii="Garamond" w:eastAsia="Calibri" w:hAnsi="Garamond" w:cs="Times New Roman"/>
          <w:color w:val="000000"/>
          <w:sz w:val="24"/>
          <w:szCs w:val="24"/>
        </w:rPr>
      </w:pPr>
      <w:r w:rsidRPr="00987287">
        <w:rPr>
          <w:rFonts w:ascii="Garamond" w:eastAsia="Calibri" w:hAnsi="Garamond" w:cs="Times New Roman"/>
          <w:i/>
          <w:color w:val="000000"/>
          <w:sz w:val="24"/>
          <w:szCs w:val="24"/>
        </w:rPr>
        <w:t>Financial Economics</w:t>
      </w:r>
      <w:r w:rsidRPr="00987287">
        <w:rPr>
          <w:rFonts w:ascii="Garamond" w:eastAsia="Calibri" w:hAnsi="Garamond" w:cs="Times New Roman"/>
          <w:color w:val="000000"/>
          <w:sz w:val="24"/>
          <w:szCs w:val="24"/>
        </w:rPr>
        <w:t xml:space="preserve">, forthcoming. </w:t>
      </w:r>
    </w:p>
    <w:p w:rsidR="00EF37C2" w:rsidRPr="00987287" w:rsidRDefault="00EF37C2" w:rsidP="00987287">
      <w:pPr>
        <w:spacing w:after="0" w:line="240" w:lineRule="auto"/>
        <w:rPr>
          <w:rFonts w:ascii="Garamond" w:eastAsia="Calibri" w:hAnsi="Garamond" w:cs="Times New Roman"/>
          <w:color w:val="000000"/>
          <w:sz w:val="24"/>
          <w:szCs w:val="24"/>
        </w:rPr>
      </w:pPr>
    </w:p>
    <w:p w:rsidR="00EF37C2" w:rsidRPr="00987287" w:rsidRDefault="00EF37C2" w:rsidP="00987287">
      <w:pPr>
        <w:spacing w:after="0" w:line="240" w:lineRule="auto"/>
        <w:rPr>
          <w:rFonts w:ascii="Garamond" w:eastAsia="Calibri" w:hAnsi="Garamond" w:cs="Times New Roman"/>
          <w:color w:val="000000"/>
          <w:sz w:val="24"/>
          <w:szCs w:val="24"/>
        </w:rPr>
      </w:pPr>
      <w:proofErr w:type="gramStart"/>
      <w:r w:rsidRPr="00987287">
        <w:rPr>
          <w:rFonts w:ascii="Garamond" w:eastAsia="Calibri" w:hAnsi="Garamond" w:cs="Times New Roman"/>
          <w:color w:val="000000"/>
          <w:sz w:val="24"/>
          <w:szCs w:val="24"/>
        </w:rPr>
        <w:t>Gao</w:t>
      </w:r>
      <w:proofErr w:type="gramEnd"/>
      <w:r w:rsidRPr="00987287">
        <w:rPr>
          <w:rFonts w:ascii="Garamond" w:eastAsia="Calibri" w:hAnsi="Garamond" w:cs="Times New Roman"/>
          <w:color w:val="000000"/>
          <w:sz w:val="24"/>
          <w:szCs w:val="24"/>
        </w:rPr>
        <w:t xml:space="preserve">, N. 2004. Do ownership structure and governance mechanisms have an influence on </w:t>
      </w:r>
    </w:p>
    <w:p w:rsidR="00EF37C2" w:rsidRPr="00987287" w:rsidRDefault="00EF37C2" w:rsidP="00987287">
      <w:pPr>
        <w:spacing w:after="0" w:line="240" w:lineRule="auto"/>
        <w:ind w:firstLine="720"/>
        <w:rPr>
          <w:rFonts w:ascii="Garamond" w:eastAsia="Calibri" w:hAnsi="Garamond" w:cs="Times New Roman"/>
          <w:color w:val="000000"/>
          <w:sz w:val="24"/>
          <w:szCs w:val="24"/>
        </w:rPr>
      </w:pPr>
      <w:proofErr w:type="gramStart"/>
      <w:r w:rsidRPr="00987287">
        <w:rPr>
          <w:rFonts w:ascii="Garamond" w:eastAsia="Calibri" w:hAnsi="Garamond" w:cs="Times New Roman"/>
          <w:color w:val="000000"/>
          <w:sz w:val="24"/>
          <w:szCs w:val="24"/>
        </w:rPr>
        <w:t>deterring</w:t>
      </w:r>
      <w:proofErr w:type="gramEnd"/>
      <w:r w:rsidRPr="00987287">
        <w:rPr>
          <w:rFonts w:ascii="Garamond" w:eastAsia="Calibri" w:hAnsi="Garamond" w:cs="Times New Roman"/>
          <w:color w:val="000000"/>
          <w:sz w:val="24"/>
          <w:szCs w:val="24"/>
        </w:rPr>
        <w:t xml:space="preserve"> corporate financial fraud in China. Working paper. GTA Corporation. </w:t>
      </w:r>
    </w:p>
    <w:p w:rsidR="00EF37C2" w:rsidRPr="00987287" w:rsidRDefault="00EF37C2" w:rsidP="00987287">
      <w:pPr>
        <w:spacing w:after="0" w:line="240" w:lineRule="auto"/>
        <w:rPr>
          <w:rFonts w:ascii="Garamond" w:eastAsia="Calibri" w:hAnsi="Garamond" w:cs="Times New Roman"/>
          <w:color w:val="000000"/>
          <w:sz w:val="24"/>
          <w:szCs w:val="24"/>
        </w:rPr>
      </w:pPr>
    </w:p>
    <w:p w:rsidR="00EF37C2" w:rsidRPr="00987287" w:rsidRDefault="00EF37C2" w:rsidP="00987287">
      <w:pPr>
        <w:spacing w:after="0" w:line="240" w:lineRule="auto"/>
        <w:rPr>
          <w:rFonts w:ascii="Garamond" w:eastAsia="Calibri" w:hAnsi="Garamond" w:cs="Times New Roman"/>
          <w:color w:val="000000"/>
          <w:sz w:val="24"/>
          <w:szCs w:val="24"/>
        </w:rPr>
      </w:pPr>
      <w:proofErr w:type="spellStart"/>
      <w:r w:rsidRPr="00987287">
        <w:rPr>
          <w:rFonts w:ascii="Garamond" w:eastAsia="Calibri" w:hAnsi="Garamond" w:cs="Times New Roman"/>
          <w:color w:val="000000"/>
          <w:sz w:val="24"/>
          <w:szCs w:val="24"/>
        </w:rPr>
        <w:t>Guay</w:t>
      </w:r>
      <w:proofErr w:type="spellEnd"/>
      <w:r w:rsidRPr="00987287">
        <w:rPr>
          <w:rFonts w:ascii="Garamond" w:eastAsia="Calibri" w:hAnsi="Garamond" w:cs="Times New Roman"/>
          <w:color w:val="000000"/>
          <w:sz w:val="24"/>
          <w:szCs w:val="24"/>
        </w:rPr>
        <w:t xml:space="preserve">, W., 1999. The sensitivity of CEO wealth to equity risk: an analysis of the magnitude and </w:t>
      </w:r>
    </w:p>
    <w:p w:rsidR="00EF37C2" w:rsidRPr="00987287" w:rsidRDefault="00EF37C2" w:rsidP="00987287">
      <w:pPr>
        <w:spacing w:after="0" w:line="240" w:lineRule="auto"/>
        <w:ind w:firstLine="720"/>
        <w:rPr>
          <w:rFonts w:ascii="Garamond" w:eastAsia="Calibri" w:hAnsi="Garamond" w:cs="Times New Roman"/>
          <w:color w:val="000000"/>
          <w:sz w:val="24"/>
          <w:szCs w:val="24"/>
        </w:rPr>
      </w:pPr>
      <w:proofErr w:type="gramStart"/>
      <w:r w:rsidRPr="00987287">
        <w:rPr>
          <w:rFonts w:ascii="Garamond" w:eastAsia="Calibri" w:hAnsi="Garamond" w:cs="Times New Roman"/>
          <w:color w:val="000000"/>
          <w:sz w:val="24"/>
          <w:szCs w:val="24"/>
        </w:rPr>
        <w:t>determinants</w:t>
      </w:r>
      <w:proofErr w:type="gramEnd"/>
      <w:r w:rsidRPr="00987287">
        <w:rPr>
          <w:rFonts w:ascii="Garamond" w:eastAsia="Calibri" w:hAnsi="Garamond" w:cs="Times New Roman"/>
          <w:color w:val="000000"/>
          <w:sz w:val="24"/>
          <w:szCs w:val="24"/>
        </w:rPr>
        <w:t xml:space="preserve">. </w:t>
      </w:r>
      <w:r w:rsidRPr="00987287">
        <w:rPr>
          <w:rFonts w:ascii="Garamond" w:eastAsia="Calibri" w:hAnsi="Garamond" w:cs="Times New Roman"/>
          <w:i/>
          <w:color w:val="000000"/>
          <w:sz w:val="24"/>
          <w:szCs w:val="24"/>
        </w:rPr>
        <w:t>Journal of Financial Economics</w:t>
      </w:r>
      <w:r w:rsidRPr="00987287">
        <w:rPr>
          <w:rFonts w:ascii="Garamond" w:eastAsia="Calibri" w:hAnsi="Garamond" w:cs="Times New Roman"/>
          <w:color w:val="000000"/>
          <w:sz w:val="24"/>
          <w:szCs w:val="24"/>
        </w:rPr>
        <w:t xml:space="preserve"> 53, p43-71. </w:t>
      </w:r>
    </w:p>
    <w:p w:rsidR="00EF37C2" w:rsidRPr="00987287" w:rsidRDefault="00EF37C2" w:rsidP="00987287">
      <w:pPr>
        <w:spacing w:after="0" w:line="240" w:lineRule="auto"/>
        <w:rPr>
          <w:rFonts w:ascii="Garamond" w:eastAsia="Calibri" w:hAnsi="Garamond" w:cs="Times New Roman"/>
          <w:color w:val="000000"/>
          <w:sz w:val="24"/>
          <w:szCs w:val="24"/>
        </w:rPr>
      </w:pPr>
    </w:p>
    <w:p w:rsidR="00EF37C2" w:rsidRPr="00987287" w:rsidRDefault="00EF37C2" w:rsidP="00987287">
      <w:pPr>
        <w:spacing w:after="0" w:line="240" w:lineRule="auto"/>
        <w:rPr>
          <w:rFonts w:ascii="Garamond" w:eastAsia="Calibri" w:hAnsi="Garamond" w:cs="Times New Roman"/>
          <w:color w:val="000000"/>
          <w:sz w:val="24"/>
          <w:szCs w:val="24"/>
        </w:rPr>
      </w:pPr>
      <w:r w:rsidRPr="00987287">
        <w:rPr>
          <w:rFonts w:ascii="Garamond" w:eastAsia="Calibri" w:hAnsi="Garamond" w:cs="Times New Roman"/>
          <w:color w:val="000000"/>
          <w:sz w:val="24"/>
          <w:szCs w:val="24"/>
        </w:rPr>
        <w:lastRenderedPageBreak/>
        <w:t>Qian, Y., 1995a. Reforming corporate governance and finance in China. The World Firm, p215-</w:t>
      </w:r>
    </w:p>
    <w:p w:rsidR="00EF37C2" w:rsidRPr="00987287" w:rsidRDefault="00EF37C2" w:rsidP="00987287">
      <w:pPr>
        <w:spacing w:after="0" w:line="240" w:lineRule="auto"/>
        <w:ind w:firstLine="720"/>
        <w:rPr>
          <w:rFonts w:ascii="Garamond" w:eastAsia="Calibri" w:hAnsi="Garamond" w:cs="Times New Roman"/>
          <w:color w:val="000000"/>
          <w:sz w:val="24"/>
          <w:szCs w:val="24"/>
        </w:rPr>
      </w:pPr>
      <w:r w:rsidRPr="00987287">
        <w:rPr>
          <w:rFonts w:ascii="Garamond" w:eastAsia="Calibri" w:hAnsi="Garamond" w:cs="Times New Roman"/>
          <w:color w:val="000000"/>
          <w:sz w:val="24"/>
          <w:szCs w:val="24"/>
        </w:rPr>
        <w:t>252.</w:t>
      </w:r>
    </w:p>
    <w:p w:rsidR="00EF37C2" w:rsidRPr="00987287" w:rsidRDefault="00EF37C2" w:rsidP="00987287">
      <w:pPr>
        <w:widowControl w:val="0"/>
        <w:spacing w:after="0" w:line="240" w:lineRule="auto"/>
        <w:ind w:right="-324"/>
        <w:jc w:val="both"/>
        <w:rPr>
          <w:rFonts w:ascii="Garamond" w:eastAsia="Times New Roman" w:hAnsi="Garamond" w:cs="Times New Roman"/>
          <w:sz w:val="24"/>
          <w:szCs w:val="24"/>
        </w:rPr>
      </w:pPr>
    </w:p>
    <w:p w:rsidR="00EF37C2" w:rsidRPr="00987287" w:rsidRDefault="00EF37C2" w:rsidP="00987287">
      <w:pPr>
        <w:spacing w:after="0" w:line="240" w:lineRule="auto"/>
        <w:rPr>
          <w:rFonts w:ascii="Garamond" w:eastAsia="Calibri" w:hAnsi="Garamond" w:cs="Times New Roman"/>
          <w:i/>
          <w:color w:val="000000"/>
          <w:sz w:val="24"/>
          <w:szCs w:val="24"/>
        </w:rPr>
      </w:pPr>
      <w:r w:rsidRPr="00987287">
        <w:rPr>
          <w:rFonts w:ascii="Garamond" w:eastAsia="Calibri" w:hAnsi="Garamond" w:cs="Times New Roman"/>
          <w:color w:val="000000"/>
          <w:sz w:val="24"/>
          <w:szCs w:val="24"/>
        </w:rPr>
        <w:t xml:space="preserve">Yang, X. 2011a. Firm risk-taking investments and managerial incentives. </w:t>
      </w:r>
      <w:r w:rsidRPr="00987287">
        <w:rPr>
          <w:rFonts w:ascii="Garamond" w:eastAsia="Calibri" w:hAnsi="Garamond" w:cs="Times New Roman"/>
          <w:i/>
          <w:color w:val="000000"/>
          <w:sz w:val="24"/>
          <w:szCs w:val="24"/>
        </w:rPr>
        <w:t xml:space="preserve">Firming and Finance </w:t>
      </w:r>
    </w:p>
    <w:p w:rsidR="00EF37C2" w:rsidRPr="00987287" w:rsidRDefault="00EF37C2" w:rsidP="00987287">
      <w:pPr>
        <w:spacing w:after="0" w:line="240" w:lineRule="auto"/>
        <w:ind w:firstLine="720"/>
        <w:rPr>
          <w:rFonts w:ascii="Garamond" w:eastAsia="Calibri" w:hAnsi="Garamond" w:cs="Times New Roman"/>
          <w:sz w:val="24"/>
          <w:szCs w:val="24"/>
        </w:rPr>
      </w:pPr>
      <w:r w:rsidRPr="00987287">
        <w:rPr>
          <w:rFonts w:ascii="Garamond" w:eastAsia="Calibri" w:hAnsi="Garamond" w:cs="Times New Roman"/>
          <w:i/>
          <w:color w:val="000000"/>
          <w:sz w:val="24"/>
          <w:szCs w:val="24"/>
        </w:rPr>
        <w:t>Review</w:t>
      </w:r>
      <w:r w:rsidRPr="00987287">
        <w:rPr>
          <w:rFonts w:ascii="Garamond" w:eastAsia="Calibri" w:hAnsi="Garamond" w:cs="Times New Roman"/>
          <w:color w:val="000000"/>
          <w:sz w:val="24"/>
          <w:szCs w:val="24"/>
        </w:rPr>
        <w:t xml:space="preserve">, Vol. 2, No. 2, p73-87. </w:t>
      </w:r>
      <w:r w:rsidRPr="00987287">
        <w:rPr>
          <w:rFonts w:ascii="Garamond" w:eastAsia="Calibri" w:hAnsi="Garamond" w:cs="Times New Roman"/>
          <w:sz w:val="24"/>
          <w:szCs w:val="24"/>
        </w:rPr>
        <w:t xml:space="preserve"> </w:t>
      </w:r>
    </w:p>
    <w:p w:rsidR="00EF37C2" w:rsidRPr="00987287" w:rsidRDefault="00EF37C2" w:rsidP="00987287">
      <w:pPr>
        <w:spacing w:after="0" w:line="240" w:lineRule="auto"/>
        <w:rPr>
          <w:rFonts w:ascii="Garamond" w:eastAsia="Calibri" w:hAnsi="Garamond" w:cs="Times New Roman"/>
          <w:sz w:val="24"/>
          <w:szCs w:val="24"/>
        </w:rPr>
      </w:pPr>
    </w:p>
    <w:p w:rsidR="00EF37C2" w:rsidRPr="00987287" w:rsidRDefault="00EF37C2" w:rsidP="00987287">
      <w:pPr>
        <w:widowControl w:val="0"/>
        <w:spacing w:after="0" w:line="240" w:lineRule="auto"/>
        <w:ind w:right="-324"/>
        <w:jc w:val="both"/>
        <w:rPr>
          <w:rFonts w:ascii="Garamond" w:eastAsia="Times New Roman" w:hAnsi="Garamond" w:cs="Times New Roman"/>
          <w:i/>
          <w:sz w:val="24"/>
          <w:szCs w:val="24"/>
        </w:rPr>
      </w:pPr>
      <w:r w:rsidRPr="00987287">
        <w:rPr>
          <w:rFonts w:ascii="Garamond" w:eastAsia="Times New Roman" w:hAnsi="Garamond" w:cs="Times New Roman"/>
          <w:sz w:val="24"/>
          <w:szCs w:val="24"/>
        </w:rPr>
        <w:t xml:space="preserve">Yang, X. 2011b. Deregulation and firm risk. </w:t>
      </w:r>
      <w:r w:rsidRPr="00987287">
        <w:rPr>
          <w:rFonts w:ascii="Garamond" w:eastAsia="Times New Roman" w:hAnsi="Garamond" w:cs="Times New Roman"/>
          <w:i/>
          <w:sz w:val="24"/>
          <w:szCs w:val="24"/>
        </w:rPr>
        <w:t xml:space="preserve">International Journal of Business and Economic </w:t>
      </w:r>
    </w:p>
    <w:p w:rsidR="00EF37C2" w:rsidRPr="00987287" w:rsidRDefault="00EF37C2" w:rsidP="00987287">
      <w:pPr>
        <w:widowControl w:val="0"/>
        <w:spacing w:after="0" w:line="240" w:lineRule="auto"/>
        <w:ind w:right="-324" w:firstLine="720"/>
        <w:jc w:val="both"/>
        <w:rPr>
          <w:rFonts w:ascii="Garamond" w:eastAsia="Times New Roman" w:hAnsi="Garamond" w:cs="Times New Roman"/>
          <w:sz w:val="24"/>
          <w:szCs w:val="24"/>
        </w:rPr>
      </w:pPr>
      <w:r w:rsidRPr="00987287">
        <w:rPr>
          <w:rFonts w:ascii="Garamond" w:eastAsia="Times New Roman" w:hAnsi="Garamond" w:cs="Times New Roman"/>
          <w:i/>
          <w:sz w:val="24"/>
          <w:szCs w:val="24"/>
        </w:rPr>
        <w:t>Perspective</w:t>
      </w:r>
      <w:r w:rsidRPr="00987287">
        <w:rPr>
          <w:rFonts w:ascii="Garamond" w:eastAsia="Times New Roman" w:hAnsi="Garamond" w:cs="Times New Roman"/>
          <w:sz w:val="24"/>
          <w:szCs w:val="24"/>
        </w:rPr>
        <w:t xml:space="preserve">, Vol. 6, No. 2, p127-137. </w:t>
      </w:r>
    </w:p>
    <w:p w:rsidR="00EF37C2" w:rsidRPr="00987287" w:rsidRDefault="00EF37C2" w:rsidP="00987287">
      <w:pPr>
        <w:widowControl w:val="0"/>
        <w:spacing w:after="0" w:line="240" w:lineRule="auto"/>
        <w:ind w:right="-324"/>
        <w:jc w:val="both"/>
        <w:rPr>
          <w:rFonts w:ascii="Garamond" w:eastAsia="Times New Roman" w:hAnsi="Garamond" w:cs="Times New Roman"/>
          <w:b/>
          <w:sz w:val="24"/>
          <w:szCs w:val="24"/>
        </w:rPr>
      </w:pPr>
    </w:p>
    <w:p w:rsidR="00EF37C2" w:rsidRPr="00987287" w:rsidRDefault="00EF37C2" w:rsidP="00987287">
      <w:pPr>
        <w:widowControl w:val="0"/>
        <w:spacing w:after="0" w:line="240" w:lineRule="auto"/>
        <w:ind w:right="-324"/>
        <w:jc w:val="both"/>
        <w:rPr>
          <w:rFonts w:ascii="Garamond" w:eastAsia="Times New Roman" w:hAnsi="Garamond" w:cs="Times New Roman"/>
          <w:i/>
          <w:sz w:val="24"/>
          <w:szCs w:val="24"/>
        </w:rPr>
      </w:pPr>
      <w:r w:rsidRPr="00987287">
        <w:rPr>
          <w:rFonts w:ascii="Garamond" w:eastAsia="Times New Roman" w:hAnsi="Garamond" w:cs="Times New Roman"/>
          <w:sz w:val="24"/>
          <w:szCs w:val="24"/>
        </w:rPr>
        <w:t xml:space="preserve">Yang, X. 2011c. Security underwriting and CEOs compensation, </w:t>
      </w:r>
      <w:r w:rsidRPr="00987287">
        <w:rPr>
          <w:rFonts w:ascii="Garamond" w:eastAsia="Times New Roman" w:hAnsi="Garamond" w:cs="Times New Roman"/>
          <w:i/>
          <w:sz w:val="24"/>
          <w:szCs w:val="24"/>
        </w:rPr>
        <w:t xml:space="preserve">Journal of Global Business </w:t>
      </w:r>
    </w:p>
    <w:p w:rsidR="00EF37C2" w:rsidRPr="00987287" w:rsidRDefault="00EF37C2" w:rsidP="00987287">
      <w:pPr>
        <w:widowControl w:val="0"/>
        <w:spacing w:after="0" w:line="240" w:lineRule="auto"/>
        <w:ind w:right="-324" w:firstLine="720"/>
        <w:jc w:val="both"/>
        <w:rPr>
          <w:rFonts w:ascii="Garamond" w:eastAsia="Times New Roman" w:hAnsi="Garamond" w:cs="Times New Roman"/>
          <w:sz w:val="24"/>
          <w:szCs w:val="24"/>
        </w:rPr>
      </w:pPr>
      <w:r w:rsidRPr="00987287">
        <w:rPr>
          <w:rFonts w:ascii="Garamond" w:eastAsia="Times New Roman" w:hAnsi="Garamond" w:cs="Times New Roman"/>
          <w:i/>
          <w:sz w:val="24"/>
          <w:szCs w:val="24"/>
        </w:rPr>
        <w:t>Development</w:t>
      </w:r>
      <w:r w:rsidRPr="00987287">
        <w:rPr>
          <w:rFonts w:ascii="Garamond" w:eastAsia="Times New Roman" w:hAnsi="Garamond" w:cs="Times New Roman"/>
          <w:sz w:val="24"/>
          <w:szCs w:val="24"/>
        </w:rPr>
        <w:t>, Vol. 3, No. 2, p95-105.</w:t>
      </w:r>
    </w:p>
    <w:p w:rsidR="00EF37C2" w:rsidRPr="00987287" w:rsidRDefault="00EF37C2" w:rsidP="00987287">
      <w:pPr>
        <w:widowControl w:val="0"/>
        <w:spacing w:after="0" w:line="240" w:lineRule="auto"/>
        <w:ind w:right="-324"/>
        <w:jc w:val="both"/>
        <w:rPr>
          <w:rFonts w:ascii="Garamond" w:eastAsia="Times New Roman" w:hAnsi="Garamond" w:cs="Times New Roman"/>
          <w:b/>
          <w:sz w:val="24"/>
          <w:szCs w:val="24"/>
        </w:rPr>
      </w:pPr>
    </w:p>
    <w:p w:rsidR="001E6AB9" w:rsidRPr="00987287" w:rsidRDefault="001E6AB9" w:rsidP="00987287">
      <w:pPr>
        <w:widowControl w:val="0"/>
        <w:spacing w:after="0" w:line="240" w:lineRule="auto"/>
        <w:ind w:right="-324" w:firstLine="720"/>
        <w:jc w:val="both"/>
        <w:rPr>
          <w:rFonts w:ascii="Garamond" w:eastAsia="Times New Roman" w:hAnsi="Garamond" w:cs="Times New Roman"/>
          <w:sz w:val="24"/>
          <w:szCs w:val="24"/>
        </w:rPr>
      </w:pPr>
    </w:p>
    <w:p w:rsidR="001E6AB9" w:rsidRPr="00987287" w:rsidRDefault="001E6AB9" w:rsidP="00987287">
      <w:pPr>
        <w:widowControl w:val="0"/>
        <w:spacing w:after="0" w:line="240" w:lineRule="auto"/>
        <w:ind w:right="-324" w:firstLine="720"/>
        <w:jc w:val="both"/>
        <w:rPr>
          <w:rFonts w:ascii="Garamond" w:hAnsi="Garamond" w:cs="Times New Roman"/>
          <w:sz w:val="24"/>
          <w:szCs w:val="24"/>
        </w:rPr>
        <w:sectPr w:rsidR="001E6AB9" w:rsidRPr="00987287">
          <w:footerReference w:type="default" r:id="rId41"/>
          <w:pgSz w:w="12240" w:h="15840"/>
          <w:pgMar w:top="1440" w:right="1440" w:bottom="1440" w:left="1440" w:header="720" w:footer="720" w:gutter="0"/>
          <w:cols w:space="720"/>
          <w:docGrid w:linePitch="360"/>
        </w:sectPr>
      </w:pPr>
    </w:p>
    <w:p w:rsidR="001E6AB9" w:rsidRPr="00987287" w:rsidRDefault="001E6AB9" w:rsidP="00987287">
      <w:pPr>
        <w:widowControl w:val="0"/>
        <w:spacing w:after="0" w:line="240" w:lineRule="auto"/>
        <w:ind w:right="-324" w:firstLine="720"/>
        <w:jc w:val="both"/>
        <w:rPr>
          <w:rFonts w:ascii="Garamond" w:hAnsi="Garamond" w:cs="Times New Roman"/>
          <w:sz w:val="24"/>
          <w:szCs w:val="24"/>
        </w:rPr>
      </w:pPr>
    </w:p>
    <w:p w:rsidR="001E6AB9" w:rsidRPr="00987287" w:rsidRDefault="001E6AB9" w:rsidP="00987287">
      <w:pPr>
        <w:rPr>
          <w:rFonts w:ascii="Garamond" w:hAnsi="Garamond" w:cs="Times New Roman"/>
          <w:sz w:val="24"/>
          <w:szCs w:val="24"/>
        </w:rPr>
      </w:pPr>
      <w:r w:rsidRPr="00987287">
        <w:rPr>
          <w:rFonts w:ascii="Garamond" w:hAnsi="Garamond" w:cs="Times New Roman"/>
          <w:b/>
          <w:sz w:val="24"/>
          <w:szCs w:val="24"/>
        </w:rPr>
        <w:t>Table 1:</w:t>
      </w:r>
      <w:r w:rsidRPr="00987287">
        <w:rPr>
          <w:rFonts w:ascii="Garamond" w:hAnsi="Garamond" w:cs="Times New Roman"/>
          <w:sz w:val="24"/>
          <w:szCs w:val="24"/>
        </w:rPr>
        <w:t xml:space="preserve"> Data descriptive statistics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1009"/>
        <w:gridCol w:w="991"/>
        <w:gridCol w:w="1080"/>
        <w:gridCol w:w="1080"/>
        <w:gridCol w:w="1165"/>
      </w:tblGrid>
      <w:tr w:rsidR="001E6AB9" w:rsidRPr="00987287" w:rsidTr="001E6AB9">
        <w:trPr>
          <w:trHeight w:hRule="exact" w:val="288"/>
        </w:trPr>
        <w:tc>
          <w:tcPr>
            <w:tcW w:w="4025" w:type="dxa"/>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Variables</w:t>
            </w:r>
          </w:p>
        </w:tc>
        <w:tc>
          <w:tcPr>
            <w:tcW w:w="1009" w:type="dxa"/>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Mean</w:t>
            </w:r>
          </w:p>
        </w:tc>
        <w:tc>
          <w:tcPr>
            <w:tcW w:w="991" w:type="dxa"/>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Median</w:t>
            </w:r>
          </w:p>
        </w:tc>
        <w:tc>
          <w:tcPr>
            <w:tcW w:w="1080" w:type="dxa"/>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Min</w:t>
            </w:r>
          </w:p>
        </w:tc>
        <w:tc>
          <w:tcPr>
            <w:tcW w:w="1080" w:type="dxa"/>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Max</w:t>
            </w:r>
          </w:p>
        </w:tc>
        <w:tc>
          <w:tcPr>
            <w:tcW w:w="1165" w:type="dxa"/>
            <w:tcBorders>
              <w:bottom w:val="single" w:sz="4" w:space="0" w:color="auto"/>
            </w:tcBorders>
          </w:tcPr>
          <w:p w:rsidR="001E6AB9" w:rsidRPr="00987287" w:rsidRDefault="001E6AB9" w:rsidP="00987287">
            <w:pPr>
              <w:rPr>
                <w:rFonts w:ascii="Garamond" w:hAnsi="Garamond" w:cs="Times New Roman"/>
                <w:sz w:val="24"/>
                <w:szCs w:val="24"/>
              </w:rPr>
            </w:pPr>
            <w:proofErr w:type="spellStart"/>
            <w:r w:rsidRPr="00987287">
              <w:rPr>
                <w:rFonts w:ascii="Garamond" w:hAnsi="Garamond" w:cs="Times New Roman"/>
                <w:sz w:val="24"/>
                <w:szCs w:val="24"/>
              </w:rPr>
              <w:t>Std</w:t>
            </w:r>
            <w:proofErr w:type="spellEnd"/>
          </w:p>
        </w:tc>
      </w:tr>
      <w:tr w:rsidR="001E6AB9" w:rsidRPr="00987287" w:rsidTr="001E6AB9">
        <w:trPr>
          <w:trHeight w:hRule="exact" w:val="288"/>
        </w:trPr>
        <w:tc>
          <w:tcPr>
            <w:tcW w:w="4025" w:type="dxa"/>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Compensation</w:t>
            </w:r>
          </w:p>
        </w:tc>
        <w:tc>
          <w:tcPr>
            <w:tcW w:w="1009" w:type="dxa"/>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991" w:type="dxa"/>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1080" w:type="dxa"/>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1080" w:type="dxa"/>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1165" w:type="dxa"/>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r>
      <w:tr w:rsidR="001E6AB9" w:rsidRPr="00987287" w:rsidTr="001E6AB9">
        <w:trPr>
          <w:trHeight w:hRule="exact" w:val="288"/>
        </w:trPr>
        <w:tc>
          <w:tcPr>
            <w:tcW w:w="4025" w:type="dxa"/>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Vega</w:t>
            </w:r>
          </w:p>
        </w:tc>
        <w:tc>
          <w:tcPr>
            <w:tcW w:w="1009" w:type="dxa"/>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10.45</w:t>
            </w:r>
          </w:p>
        </w:tc>
        <w:tc>
          <w:tcPr>
            <w:tcW w:w="991" w:type="dxa"/>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12.36</w:t>
            </w:r>
          </w:p>
        </w:tc>
        <w:tc>
          <w:tcPr>
            <w:tcW w:w="1080" w:type="dxa"/>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0.10</w:t>
            </w:r>
          </w:p>
        </w:tc>
        <w:tc>
          <w:tcPr>
            <w:tcW w:w="1080" w:type="dxa"/>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105.42</w:t>
            </w:r>
          </w:p>
        </w:tc>
        <w:tc>
          <w:tcPr>
            <w:tcW w:w="1165" w:type="dxa"/>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32.56</w:t>
            </w:r>
          </w:p>
        </w:tc>
      </w:tr>
      <w:tr w:rsidR="001E6AB9" w:rsidRPr="00987287" w:rsidTr="001E6AB9">
        <w:trPr>
          <w:trHeight w:hRule="exact" w:val="288"/>
        </w:trPr>
        <w:tc>
          <w:tcPr>
            <w:tcW w:w="4025"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Delta</w:t>
            </w:r>
          </w:p>
        </w:tc>
        <w:tc>
          <w:tcPr>
            <w:tcW w:w="1009"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10.23</w:t>
            </w:r>
          </w:p>
          <w:p w:rsidR="001E6AB9" w:rsidRPr="00987287" w:rsidRDefault="001E6AB9" w:rsidP="00987287">
            <w:pPr>
              <w:rPr>
                <w:rFonts w:ascii="Garamond" w:hAnsi="Garamond" w:cs="Times New Roman"/>
                <w:sz w:val="24"/>
                <w:szCs w:val="24"/>
              </w:rPr>
            </w:pPr>
          </w:p>
        </w:tc>
        <w:tc>
          <w:tcPr>
            <w:tcW w:w="991"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8.57</w:t>
            </w:r>
          </w:p>
        </w:tc>
        <w:tc>
          <w:tcPr>
            <w:tcW w:w="1080"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0.21</w:t>
            </w:r>
          </w:p>
        </w:tc>
        <w:tc>
          <w:tcPr>
            <w:tcW w:w="1080"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123.57</w:t>
            </w:r>
          </w:p>
        </w:tc>
        <w:tc>
          <w:tcPr>
            <w:tcW w:w="1165"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35.12</w:t>
            </w:r>
          </w:p>
        </w:tc>
      </w:tr>
      <w:tr w:rsidR="001E6AB9" w:rsidRPr="00987287" w:rsidTr="001E6AB9">
        <w:trPr>
          <w:trHeight w:hRule="exact" w:val="288"/>
        </w:trPr>
        <w:tc>
          <w:tcPr>
            <w:tcW w:w="4025"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Cash compensation (000s)</w:t>
            </w:r>
          </w:p>
        </w:tc>
        <w:tc>
          <w:tcPr>
            <w:tcW w:w="1009"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432.57</w:t>
            </w:r>
          </w:p>
        </w:tc>
        <w:tc>
          <w:tcPr>
            <w:tcW w:w="991"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419.23</w:t>
            </w:r>
          </w:p>
          <w:p w:rsidR="001E6AB9" w:rsidRPr="00987287" w:rsidRDefault="001E6AB9" w:rsidP="00987287">
            <w:pPr>
              <w:rPr>
                <w:rFonts w:ascii="Garamond" w:hAnsi="Garamond" w:cs="Times New Roman"/>
                <w:sz w:val="24"/>
                <w:szCs w:val="24"/>
              </w:rPr>
            </w:pPr>
          </w:p>
        </w:tc>
        <w:tc>
          <w:tcPr>
            <w:tcW w:w="1080"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82.57</w:t>
            </w:r>
          </w:p>
        </w:tc>
        <w:tc>
          <w:tcPr>
            <w:tcW w:w="1080"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2418.33</w:t>
            </w:r>
          </w:p>
        </w:tc>
        <w:tc>
          <w:tcPr>
            <w:tcW w:w="1165"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898.66</w:t>
            </w:r>
          </w:p>
        </w:tc>
      </w:tr>
      <w:tr w:rsidR="001E6AB9" w:rsidRPr="00987287" w:rsidTr="001E6AB9">
        <w:trPr>
          <w:trHeight w:hRule="exact" w:val="288"/>
        </w:trPr>
        <w:tc>
          <w:tcPr>
            <w:tcW w:w="4025"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 xml:space="preserve">Performance  </w:t>
            </w:r>
          </w:p>
        </w:tc>
        <w:tc>
          <w:tcPr>
            <w:tcW w:w="1009" w:type="dxa"/>
          </w:tcPr>
          <w:p w:rsidR="001E6AB9" w:rsidRPr="00987287" w:rsidRDefault="001E6AB9" w:rsidP="00987287">
            <w:pPr>
              <w:rPr>
                <w:rFonts w:ascii="Garamond" w:hAnsi="Garamond" w:cs="Times New Roman"/>
                <w:sz w:val="24"/>
                <w:szCs w:val="24"/>
              </w:rPr>
            </w:pPr>
          </w:p>
        </w:tc>
        <w:tc>
          <w:tcPr>
            <w:tcW w:w="991" w:type="dxa"/>
          </w:tcPr>
          <w:p w:rsidR="001E6AB9" w:rsidRPr="00987287" w:rsidRDefault="001E6AB9" w:rsidP="00987287">
            <w:pPr>
              <w:rPr>
                <w:rFonts w:ascii="Garamond" w:hAnsi="Garamond" w:cs="Times New Roman"/>
                <w:sz w:val="24"/>
                <w:szCs w:val="24"/>
              </w:rPr>
            </w:pPr>
          </w:p>
        </w:tc>
        <w:tc>
          <w:tcPr>
            <w:tcW w:w="1080" w:type="dxa"/>
          </w:tcPr>
          <w:p w:rsidR="001E6AB9" w:rsidRPr="00987287" w:rsidRDefault="001E6AB9" w:rsidP="00987287">
            <w:pPr>
              <w:rPr>
                <w:rFonts w:ascii="Garamond" w:hAnsi="Garamond" w:cs="Times New Roman"/>
                <w:sz w:val="24"/>
                <w:szCs w:val="24"/>
              </w:rPr>
            </w:pPr>
          </w:p>
        </w:tc>
        <w:tc>
          <w:tcPr>
            <w:tcW w:w="1080" w:type="dxa"/>
          </w:tcPr>
          <w:p w:rsidR="001E6AB9" w:rsidRPr="00987287" w:rsidRDefault="001E6AB9" w:rsidP="00987287">
            <w:pPr>
              <w:rPr>
                <w:rFonts w:ascii="Garamond" w:hAnsi="Garamond" w:cs="Times New Roman"/>
                <w:sz w:val="24"/>
                <w:szCs w:val="24"/>
              </w:rPr>
            </w:pPr>
          </w:p>
        </w:tc>
        <w:tc>
          <w:tcPr>
            <w:tcW w:w="1165" w:type="dxa"/>
          </w:tcPr>
          <w:p w:rsidR="001E6AB9" w:rsidRPr="00987287" w:rsidRDefault="001E6AB9" w:rsidP="00987287">
            <w:pPr>
              <w:rPr>
                <w:rFonts w:ascii="Garamond" w:hAnsi="Garamond" w:cs="Times New Roman"/>
                <w:sz w:val="24"/>
                <w:szCs w:val="24"/>
              </w:rPr>
            </w:pPr>
          </w:p>
        </w:tc>
      </w:tr>
      <w:tr w:rsidR="001E6AB9" w:rsidRPr="00987287" w:rsidTr="001E6AB9">
        <w:trPr>
          <w:trHeight w:hRule="exact" w:val="288"/>
        </w:trPr>
        <w:tc>
          <w:tcPr>
            <w:tcW w:w="4025"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ROA</w:t>
            </w:r>
          </w:p>
        </w:tc>
        <w:tc>
          <w:tcPr>
            <w:tcW w:w="1009"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1.86</w:t>
            </w:r>
          </w:p>
        </w:tc>
        <w:tc>
          <w:tcPr>
            <w:tcW w:w="991"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3.28</w:t>
            </w:r>
          </w:p>
        </w:tc>
        <w:tc>
          <w:tcPr>
            <w:tcW w:w="1080"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-57.21</w:t>
            </w:r>
          </w:p>
        </w:tc>
        <w:tc>
          <w:tcPr>
            <w:tcW w:w="1080"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35.73</w:t>
            </w:r>
          </w:p>
        </w:tc>
        <w:tc>
          <w:tcPr>
            <w:tcW w:w="1165"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15.25</w:t>
            </w:r>
          </w:p>
        </w:tc>
      </w:tr>
      <w:tr w:rsidR="001E6AB9" w:rsidRPr="00987287" w:rsidTr="001E6AB9">
        <w:trPr>
          <w:trHeight w:hRule="exact" w:val="288"/>
        </w:trPr>
        <w:tc>
          <w:tcPr>
            <w:tcW w:w="4025" w:type="dxa"/>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Stock return (RETURN)</w:t>
            </w:r>
          </w:p>
        </w:tc>
        <w:tc>
          <w:tcPr>
            <w:tcW w:w="1009" w:type="dxa"/>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42.15</w:t>
            </w:r>
          </w:p>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51.28</w:t>
            </w:r>
          </w:p>
        </w:tc>
        <w:tc>
          <w:tcPr>
            <w:tcW w:w="991" w:type="dxa"/>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51.28</w:t>
            </w:r>
          </w:p>
        </w:tc>
        <w:tc>
          <w:tcPr>
            <w:tcW w:w="1080" w:type="dxa"/>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-25.36</w:t>
            </w:r>
          </w:p>
        </w:tc>
        <w:tc>
          <w:tcPr>
            <w:tcW w:w="1080" w:type="dxa"/>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389.26</w:t>
            </w:r>
          </w:p>
        </w:tc>
        <w:tc>
          <w:tcPr>
            <w:tcW w:w="1165" w:type="dxa"/>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71.23</w:t>
            </w:r>
          </w:p>
        </w:tc>
      </w:tr>
      <w:tr w:rsidR="001E6AB9" w:rsidRPr="00987287" w:rsidTr="001E6AB9">
        <w:trPr>
          <w:trHeight w:hRule="exact" w:val="288"/>
        </w:trPr>
        <w:tc>
          <w:tcPr>
            <w:tcW w:w="4025" w:type="dxa"/>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 xml:space="preserve">Financial firm characteristics </w:t>
            </w:r>
          </w:p>
        </w:tc>
        <w:tc>
          <w:tcPr>
            <w:tcW w:w="1009" w:type="dxa"/>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991" w:type="dxa"/>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1080" w:type="dxa"/>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1080" w:type="dxa"/>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1165" w:type="dxa"/>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r>
      <w:tr w:rsidR="001E6AB9" w:rsidRPr="00987287" w:rsidTr="001E6AB9">
        <w:trPr>
          <w:trHeight w:hRule="exact" w:val="288"/>
        </w:trPr>
        <w:tc>
          <w:tcPr>
            <w:tcW w:w="4025" w:type="dxa"/>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Profit (000,000s)</w:t>
            </w:r>
          </w:p>
        </w:tc>
        <w:tc>
          <w:tcPr>
            <w:tcW w:w="1009" w:type="dxa"/>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42.11</w:t>
            </w:r>
          </w:p>
        </w:tc>
        <w:tc>
          <w:tcPr>
            <w:tcW w:w="991" w:type="dxa"/>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38.43</w:t>
            </w:r>
          </w:p>
        </w:tc>
        <w:tc>
          <w:tcPr>
            <w:tcW w:w="1080" w:type="dxa"/>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-652.56</w:t>
            </w:r>
          </w:p>
        </w:tc>
        <w:tc>
          <w:tcPr>
            <w:tcW w:w="1080" w:type="dxa"/>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1315.19</w:t>
            </w:r>
          </w:p>
        </w:tc>
        <w:tc>
          <w:tcPr>
            <w:tcW w:w="1165" w:type="dxa"/>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142.38</w:t>
            </w:r>
          </w:p>
        </w:tc>
      </w:tr>
      <w:tr w:rsidR="001E6AB9" w:rsidRPr="00987287" w:rsidTr="001E6AB9">
        <w:trPr>
          <w:trHeight w:hRule="exact" w:val="288"/>
        </w:trPr>
        <w:tc>
          <w:tcPr>
            <w:tcW w:w="4025"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Sales (000,000s)</w:t>
            </w:r>
          </w:p>
        </w:tc>
        <w:tc>
          <w:tcPr>
            <w:tcW w:w="1009"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852.34</w:t>
            </w:r>
          </w:p>
        </w:tc>
        <w:tc>
          <w:tcPr>
            <w:tcW w:w="991"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361.78</w:t>
            </w:r>
          </w:p>
        </w:tc>
        <w:tc>
          <w:tcPr>
            <w:tcW w:w="1080"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-58.62</w:t>
            </w:r>
          </w:p>
        </w:tc>
        <w:tc>
          <w:tcPr>
            <w:tcW w:w="1080"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9873.41</w:t>
            </w:r>
          </w:p>
        </w:tc>
        <w:tc>
          <w:tcPr>
            <w:tcW w:w="1165"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889.25</w:t>
            </w:r>
          </w:p>
        </w:tc>
      </w:tr>
      <w:tr w:rsidR="001E6AB9" w:rsidRPr="00987287" w:rsidTr="001E6AB9">
        <w:trPr>
          <w:trHeight w:hRule="exact" w:val="288"/>
        </w:trPr>
        <w:tc>
          <w:tcPr>
            <w:tcW w:w="4025"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Assets (000,000s)</w:t>
            </w:r>
          </w:p>
        </w:tc>
        <w:tc>
          <w:tcPr>
            <w:tcW w:w="1009"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1361.28</w:t>
            </w:r>
          </w:p>
        </w:tc>
        <w:tc>
          <w:tcPr>
            <w:tcW w:w="991"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987.56</w:t>
            </w:r>
          </w:p>
        </w:tc>
        <w:tc>
          <w:tcPr>
            <w:tcW w:w="1080"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105.29</w:t>
            </w:r>
          </w:p>
        </w:tc>
        <w:tc>
          <w:tcPr>
            <w:tcW w:w="1080"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20368.57</w:t>
            </w:r>
          </w:p>
        </w:tc>
        <w:tc>
          <w:tcPr>
            <w:tcW w:w="1165"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1053.22</w:t>
            </w:r>
          </w:p>
        </w:tc>
      </w:tr>
      <w:tr w:rsidR="001E6AB9" w:rsidRPr="00987287" w:rsidTr="001E6AB9">
        <w:trPr>
          <w:trHeight w:hRule="exact" w:val="288"/>
        </w:trPr>
        <w:tc>
          <w:tcPr>
            <w:tcW w:w="4025"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Market to book ratio</w:t>
            </w:r>
          </w:p>
        </w:tc>
        <w:tc>
          <w:tcPr>
            <w:tcW w:w="1009"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2.43</w:t>
            </w:r>
          </w:p>
        </w:tc>
        <w:tc>
          <w:tcPr>
            <w:tcW w:w="991"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2.10</w:t>
            </w:r>
          </w:p>
        </w:tc>
        <w:tc>
          <w:tcPr>
            <w:tcW w:w="1080"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w:t>
            </w:r>
          </w:p>
        </w:tc>
        <w:tc>
          <w:tcPr>
            <w:tcW w:w="1080"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12.35</w:t>
            </w:r>
          </w:p>
        </w:tc>
        <w:tc>
          <w:tcPr>
            <w:tcW w:w="1165"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2.81</w:t>
            </w:r>
          </w:p>
        </w:tc>
      </w:tr>
      <w:tr w:rsidR="001E6AB9" w:rsidRPr="00987287" w:rsidTr="001E6AB9">
        <w:trPr>
          <w:trHeight w:hRule="exact" w:val="288"/>
        </w:trPr>
        <w:tc>
          <w:tcPr>
            <w:tcW w:w="4025" w:type="dxa"/>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Debt ratio (DEBT)</w:t>
            </w:r>
          </w:p>
        </w:tc>
        <w:tc>
          <w:tcPr>
            <w:tcW w:w="1009" w:type="dxa"/>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0.15</w:t>
            </w:r>
          </w:p>
        </w:tc>
        <w:tc>
          <w:tcPr>
            <w:tcW w:w="991" w:type="dxa"/>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0.08</w:t>
            </w:r>
          </w:p>
        </w:tc>
        <w:tc>
          <w:tcPr>
            <w:tcW w:w="1080" w:type="dxa"/>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-0.25</w:t>
            </w:r>
          </w:p>
        </w:tc>
        <w:tc>
          <w:tcPr>
            <w:tcW w:w="1080" w:type="dxa"/>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6.38</w:t>
            </w:r>
          </w:p>
        </w:tc>
        <w:tc>
          <w:tcPr>
            <w:tcW w:w="1165" w:type="dxa"/>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0.42</w:t>
            </w:r>
          </w:p>
        </w:tc>
      </w:tr>
      <w:tr w:rsidR="001E6AB9" w:rsidRPr="00987287" w:rsidTr="001E6AB9">
        <w:trPr>
          <w:trHeight w:hRule="exact" w:val="288"/>
        </w:trPr>
        <w:tc>
          <w:tcPr>
            <w:tcW w:w="4025" w:type="dxa"/>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Governance structure</w:t>
            </w:r>
          </w:p>
        </w:tc>
        <w:tc>
          <w:tcPr>
            <w:tcW w:w="1009" w:type="dxa"/>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991" w:type="dxa"/>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1080" w:type="dxa"/>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1080" w:type="dxa"/>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1165" w:type="dxa"/>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r>
      <w:tr w:rsidR="001E6AB9" w:rsidRPr="00987287" w:rsidTr="001E6AB9">
        <w:trPr>
          <w:trHeight w:hRule="exact" w:val="288"/>
        </w:trPr>
        <w:tc>
          <w:tcPr>
            <w:tcW w:w="4025" w:type="dxa"/>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State ownership (GOV)</w:t>
            </w:r>
          </w:p>
        </w:tc>
        <w:tc>
          <w:tcPr>
            <w:tcW w:w="1009" w:type="dxa"/>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0.56</w:t>
            </w:r>
          </w:p>
        </w:tc>
        <w:tc>
          <w:tcPr>
            <w:tcW w:w="991" w:type="dxa"/>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0.76</w:t>
            </w:r>
          </w:p>
        </w:tc>
        <w:tc>
          <w:tcPr>
            <w:tcW w:w="1080" w:type="dxa"/>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w:t>
            </w:r>
          </w:p>
        </w:tc>
        <w:tc>
          <w:tcPr>
            <w:tcW w:w="1080" w:type="dxa"/>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1</w:t>
            </w:r>
          </w:p>
        </w:tc>
        <w:tc>
          <w:tcPr>
            <w:tcW w:w="1165" w:type="dxa"/>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0.48</w:t>
            </w:r>
          </w:p>
        </w:tc>
      </w:tr>
      <w:tr w:rsidR="001E6AB9" w:rsidRPr="00987287" w:rsidTr="001E6AB9">
        <w:trPr>
          <w:trHeight w:hRule="exact" w:val="288"/>
        </w:trPr>
        <w:tc>
          <w:tcPr>
            <w:tcW w:w="4025"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Ownership concentration (CONC)</w:t>
            </w:r>
          </w:p>
        </w:tc>
        <w:tc>
          <w:tcPr>
            <w:tcW w:w="1009"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0.23</w:t>
            </w:r>
          </w:p>
        </w:tc>
        <w:tc>
          <w:tcPr>
            <w:tcW w:w="991"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0.21</w:t>
            </w:r>
          </w:p>
        </w:tc>
        <w:tc>
          <w:tcPr>
            <w:tcW w:w="1080"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0.02</w:t>
            </w:r>
          </w:p>
        </w:tc>
        <w:tc>
          <w:tcPr>
            <w:tcW w:w="1080"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0.75</w:t>
            </w:r>
          </w:p>
        </w:tc>
        <w:tc>
          <w:tcPr>
            <w:tcW w:w="1165"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0.58</w:t>
            </w:r>
          </w:p>
        </w:tc>
      </w:tr>
      <w:tr w:rsidR="001E6AB9" w:rsidRPr="00987287" w:rsidTr="001E6AB9">
        <w:trPr>
          <w:trHeight w:hRule="exact" w:val="288"/>
        </w:trPr>
        <w:tc>
          <w:tcPr>
            <w:tcW w:w="4025"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Foreign shares (FSHARE)</w:t>
            </w:r>
          </w:p>
        </w:tc>
        <w:tc>
          <w:tcPr>
            <w:tcW w:w="1009"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0.15</w:t>
            </w:r>
          </w:p>
        </w:tc>
        <w:tc>
          <w:tcPr>
            <w:tcW w:w="991"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0.08</w:t>
            </w:r>
          </w:p>
        </w:tc>
        <w:tc>
          <w:tcPr>
            <w:tcW w:w="1080"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w:t>
            </w:r>
          </w:p>
        </w:tc>
        <w:tc>
          <w:tcPr>
            <w:tcW w:w="1080"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1</w:t>
            </w:r>
          </w:p>
        </w:tc>
        <w:tc>
          <w:tcPr>
            <w:tcW w:w="1165"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0.62</w:t>
            </w:r>
          </w:p>
        </w:tc>
      </w:tr>
      <w:tr w:rsidR="001E6AB9" w:rsidRPr="00987287" w:rsidTr="001E6AB9">
        <w:trPr>
          <w:trHeight w:hRule="exact" w:val="288"/>
        </w:trPr>
        <w:tc>
          <w:tcPr>
            <w:tcW w:w="4025"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Board size (BOARD)</w:t>
            </w:r>
          </w:p>
        </w:tc>
        <w:tc>
          <w:tcPr>
            <w:tcW w:w="1009"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9.52</w:t>
            </w:r>
          </w:p>
        </w:tc>
        <w:tc>
          <w:tcPr>
            <w:tcW w:w="991"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8.76</w:t>
            </w:r>
          </w:p>
        </w:tc>
        <w:tc>
          <w:tcPr>
            <w:tcW w:w="1080"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5</w:t>
            </w:r>
          </w:p>
        </w:tc>
        <w:tc>
          <w:tcPr>
            <w:tcW w:w="1080"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22</w:t>
            </w:r>
          </w:p>
        </w:tc>
        <w:tc>
          <w:tcPr>
            <w:tcW w:w="1165" w:type="dxa"/>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2.73</w:t>
            </w:r>
          </w:p>
        </w:tc>
      </w:tr>
    </w:tbl>
    <w:p w:rsidR="001E6AB9" w:rsidRPr="00987287" w:rsidRDefault="001E6AB9" w:rsidP="00987287">
      <w:pPr>
        <w:rPr>
          <w:rFonts w:ascii="Garamond" w:hAnsi="Garamond" w:cs="Times New Roman"/>
          <w:sz w:val="24"/>
          <w:szCs w:val="24"/>
        </w:rPr>
        <w:sectPr w:rsidR="001E6AB9" w:rsidRPr="00987287">
          <w:footerReference w:type="default" r:id="rId42"/>
          <w:pgSz w:w="12240" w:h="15840"/>
          <w:pgMar w:top="1440" w:right="1440" w:bottom="1440" w:left="1440" w:header="720" w:footer="720" w:gutter="0"/>
          <w:cols w:space="720"/>
          <w:docGrid w:linePitch="360"/>
        </w:sectPr>
      </w:pPr>
    </w:p>
    <w:p w:rsidR="001E6AB9" w:rsidRPr="00987287" w:rsidRDefault="001E6AB9" w:rsidP="00987287">
      <w:pPr>
        <w:rPr>
          <w:rFonts w:ascii="Garamond" w:hAnsi="Garamond" w:cs="Times New Roman"/>
          <w:sz w:val="24"/>
          <w:szCs w:val="24"/>
        </w:rPr>
      </w:pPr>
      <w:r w:rsidRPr="00987287">
        <w:rPr>
          <w:rFonts w:ascii="Garamond" w:hAnsi="Garamond" w:cs="Times New Roman"/>
          <w:b/>
          <w:sz w:val="24"/>
          <w:szCs w:val="24"/>
        </w:rPr>
        <w:lastRenderedPageBreak/>
        <w:t>Table 2:</w:t>
      </w:r>
      <w:r w:rsidRPr="00987287">
        <w:rPr>
          <w:rFonts w:ascii="Garamond" w:hAnsi="Garamond" w:cs="Times New Roman"/>
          <w:sz w:val="24"/>
          <w:szCs w:val="24"/>
        </w:rPr>
        <w:t xml:space="preserve"> Simultaneous Equations (3SLS): Bank Risk and CEO compensation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1621"/>
        <w:gridCol w:w="1533"/>
        <w:gridCol w:w="1705"/>
      </w:tblGrid>
      <w:tr w:rsidR="001E6AB9" w:rsidRPr="00987287" w:rsidTr="001E6AB9">
        <w:trPr>
          <w:trHeight w:hRule="exact" w:val="288"/>
        </w:trPr>
        <w:tc>
          <w:tcPr>
            <w:tcW w:w="2404"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Variables</w:t>
            </w:r>
          </w:p>
        </w:tc>
        <w:tc>
          <w:tcPr>
            <w:tcW w:w="866"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 xml:space="preserve">Risk </w:t>
            </w:r>
          </w:p>
        </w:tc>
        <w:tc>
          <w:tcPr>
            <w:tcW w:w="819"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Vega</w:t>
            </w:r>
          </w:p>
        </w:tc>
        <w:tc>
          <w:tcPr>
            <w:tcW w:w="911"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Delta</w:t>
            </w:r>
          </w:p>
        </w:tc>
      </w:tr>
      <w:tr w:rsidR="001E6AB9" w:rsidRPr="00987287" w:rsidTr="001E6AB9">
        <w:trPr>
          <w:trHeight w:hRule="exact" w:val="288"/>
        </w:trPr>
        <w:tc>
          <w:tcPr>
            <w:tcW w:w="2404"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CEO compensation measures</w:t>
            </w:r>
          </w:p>
        </w:tc>
        <w:tc>
          <w:tcPr>
            <w:tcW w:w="866"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819"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911"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r>
      <w:tr w:rsidR="001E6AB9" w:rsidRPr="00987287" w:rsidTr="001E6AB9">
        <w:trPr>
          <w:trHeight w:hRule="exact" w:val="288"/>
        </w:trPr>
        <w:tc>
          <w:tcPr>
            <w:tcW w:w="2404"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Vega</w:t>
            </w:r>
          </w:p>
        </w:tc>
        <w:tc>
          <w:tcPr>
            <w:tcW w:w="866"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0.356***</w:t>
            </w: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tc>
        <w:tc>
          <w:tcPr>
            <w:tcW w:w="819" w:type="pct"/>
            <w:tcBorders>
              <w:top w:val="single" w:sz="4" w:space="0" w:color="auto"/>
            </w:tcBorders>
          </w:tcPr>
          <w:p w:rsidR="001E6AB9" w:rsidRPr="00987287" w:rsidRDefault="001E6AB9" w:rsidP="00987287">
            <w:pPr>
              <w:rPr>
                <w:rFonts w:ascii="Garamond" w:hAnsi="Garamond" w:cs="Times New Roman"/>
                <w:sz w:val="24"/>
                <w:szCs w:val="24"/>
              </w:rPr>
            </w:pPr>
          </w:p>
        </w:tc>
        <w:tc>
          <w:tcPr>
            <w:tcW w:w="911"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1.518***</w:t>
            </w:r>
          </w:p>
        </w:tc>
      </w:tr>
      <w:tr w:rsidR="001E6AB9" w:rsidRPr="00987287" w:rsidTr="001E6AB9">
        <w:trPr>
          <w:trHeight w:hRule="exact" w:val="288"/>
        </w:trPr>
        <w:tc>
          <w:tcPr>
            <w:tcW w:w="2404" w:type="pct"/>
          </w:tcPr>
          <w:p w:rsidR="001E6AB9" w:rsidRPr="00987287" w:rsidRDefault="001E6AB9" w:rsidP="00987287">
            <w:pPr>
              <w:rPr>
                <w:rFonts w:ascii="Garamond" w:hAnsi="Garamond" w:cs="Times New Roman"/>
                <w:sz w:val="24"/>
                <w:szCs w:val="24"/>
              </w:rPr>
            </w:pPr>
          </w:p>
        </w:tc>
        <w:tc>
          <w:tcPr>
            <w:tcW w:w="866"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(0.029)</w:t>
            </w:r>
          </w:p>
        </w:tc>
        <w:tc>
          <w:tcPr>
            <w:tcW w:w="819" w:type="pct"/>
          </w:tcPr>
          <w:p w:rsidR="001E6AB9" w:rsidRPr="00987287" w:rsidRDefault="001E6AB9" w:rsidP="00987287">
            <w:pPr>
              <w:rPr>
                <w:rFonts w:ascii="Garamond" w:hAnsi="Garamond" w:cs="Times New Roman"/>
                <w:sz w:val="24"/>
                <w:szCs w:val="24"/>
              </w:rPr>
            </w:pPr>
          </w:p>
        </w:tc>
        <w:tc>
          <w:tcPr>
            <w:tcW w:w="911"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(0.046)</w:t>
            </w:r>
          </w:p>
        </w:tc>
      </w:tr>
      <w:tr w:rsidR="001E6AB9" w:rsidRPr="00987287" w:rsidTr="001E6AB9">
        <w:trPr>
          <w:trHeight w:hRule="exact" w:val="288"/>
        </w:trPr>
        <w:tc>
          <w:tcPr>
            <w:tcW w:w="2404"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Delta</w:t>
            </w:r>
          </w:p>
        </w:tc>
        <w:tc>
          <w:tcPr>
            <w:tcW w:w="866"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0.418***</w:t>
            </w:r>
          </w:p>
        </w:tc>
        <w:tc>
          <w:tcPr>
            <w:tcW w:w="819"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0.586***</w:t>
            </w:r>
          </w:p>
        </w:tc>
        <w:tc>
          <w:tcPr>
            <w:tcW w:w="911" w:type="pct"/>
          </w:tcPr>
          <w:p w:rsidR="001E6AB9" w:rsidRPr="00987287" w:rsidRDefault="001E6AB9" w:rsidP="00987287">
            <w:pPr>
              <w:rPr>
                <w:rFonts w:ascii="Garamond" w:hAnsi="Garamond" w:cs="Times New Roman"/>
                <w:sz w:val="24"/>
                <w:szCs w:val="24"/>
              </w:rPr>
            </w:pPr>
          </w:p>
        </w:tc>
      </w:tr>
      <w:tr w:rsidR="001E6AB9" w:rsidRPr="00987287" w:rsidTr="001E6AB9">
        <w:trPr>
          <w:trHeight w:hRule="exact" w:val="288"/>
        </w:trPr>
        <w:tc>
          <w:tcPr>
            <w:tcW w:w="2404" w:type="pct"/>
          </w:tcPr>
          <w:p w:rsidR="001E6AB9" w:rsidRPr="00987287" w:rsidRDefault="001E6AB9" w:rsidP="00987287">
            <w:pPr>
              <w:rPr>
                <w:rFonts w:ascii="Garamond" w:hAnsi="Garamond" w:cs="Times New Roman"/>
                <w:sz w:val="24"/>
                <w:szCs w:val="24"/>
              </w:rPr>
            </w:pPr>
          </w:p>
        </w:tc>
        <w:tc>
          <w:tcPr>
            <w:tcW w:w="866"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(0.057)</w:t>
            </w:r>
          </w:p>
        </w:tc>
        <w:tc>
          <w:tcPr>
            <w:tcW w:w="819"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(0.039)</w:t>
            </w:r>
          </w:p>
        </w:tc>
        <w:tc>
          <w:tcPr>
            <w:tcW w:w="911" w:type="pct"/>
          </w:tcPr>
          <w:p w:rsidR="001E6AB9" w:rsidRPr="00987287" w:rsidRDefault="001E6AB9" w:rsidP="00987287">
            <w:pPr>
              <w:rPr>
                <w:rFonts w:ascii="Garamond" w:hAnsi="Garamond" w:cs="Times New Roman"/>
                <w:sz w:val="24"/>
                <w:szCs w:val="24"/>
              </w:rPr>
            </w:pPr>
          </w:p>
        </w:tc>
      </w:tr>
      <w:tr w:rsidR="001E6AB9" w:rsidRPr="00987287" w:rsidTr="001E6AB9">
        <w:trPr>
          <w:trHeight w:hRule="exact" w:val="288"/>
        </w:trPr>
        <w:tc>
          <w:tcPr>
            <w:tcW w:w="2404" w:type="pct"/>
          </w:tcPr>
          <w:p w:rsidR="001E6AB9" w:rsidRPr="00987287" w:rsidRDefault="001E6AB9" w:rsidP="00987287">
            <w:pPr>
              <w:spacing w:after="0"/>
              <w:rPr>
                <w:rFonts w:ascii="Garamond" w:hAnsi="Garamond" w:cs="Times New Roman"/>
                <w:sz w:val="24"/>
                <w:szCs w:val="24"/>
              </w:rPr>
            </w:pPr>
            <w:r w:rsidRPr="00987287">
              <w:rPr>
                <w:rFonts w:ascii="Garamond" w:hAnsi="Garamond" w:cs="Times New Roman"/>
                <w:sz w:val="24"/>
                <w:szCs w:val="24"/>
              </w:rPr>
              <w:t>Risk</w:t>
            </w:r>
          </w:p>
        </w:tc>
        <w:tc>
          <w:tcPr>
            <w:tcW w:w="866" w:type="pct"/>
          </w:tcPr>
          <w:p w:rsidR="001E6AB9" w:rsidRPr="00987287" w:rsidRDefault="001E6AB9" w:rsidP="00987287">
            <w:pPr>
              <w:spacing w:after="0"/>
              <w:rPr>
                <w:rFonts w:ascii="Garamond" w:hAnsi="Garamond" w:cs="Times New Roman"/>
                <w:sz w:val="24"/>
                <w:szCs w:val="24"/>
              </w:rPr>
            </w:pPr>
          </w:p>
        </w:tc>
        <w:tc>
          <w:tcPr>
            <w:tcW w:w="819" w:type="pct"/>
          </w:tcPr>
          <w:p w:rsidR="001E6AB9" w:rsidRPr="00987287" w:rsidRDefault="001E6AB9" w:rsidP="00987287">
            <w:pPr>
              <w:spacing w:after="0"/>
              <w:rPr>
                <w:rFonts w:ascii="Garamond" w:hAnsi="Garamond" w:cs="Times New Roman"/>
                <w:sz w:val="24"/>
                <w:szCs w:val="24"/>
              </w:rPr>
            </w:pPr>
            <w:r w:rsidRPr="00987287">
              <w:rPr>
                <w:rFonts w:ascii="Garamond" w:hAnsi="Garamond" w:cs="Times New Roman"/>
                <w:sz w:val="24"/>
                <w:szCs w:val="24"/>
              </w:rPr>
              <w:t>3.251***</w:t>
            </w:r>
          </w:p>
          <w:p w:rsidR="001E6AB9" w:rsidRPr="00987287" w:rsidRDefault="001E6AB9" w:rsidP="00987287">
            <w:pPr>
              <w:spacing w:after="0"/>
              <w:rPr>
                <w:rFonts w:ascii="Garamond" w:hAnsi="Garamond" w:cs="Times New Roman"/>
                <w:sz w:val="24"/>
                <w:szCs w:val="24"/>
              </w:rPr>
            </w:pPr>
            <w:r w:rsidRPr="00987287">
              <w:rPr>
                <w:rFonts w:ascii="Garamond" w:hAnsi="Garamond" w:cs="Times New Roman"/>
                <w:sz w:val="24"/>
                <w:szCs w:val="24"/>
              </w:rPr>
              <w:t>(-4.03)</w:t>
            </w:r>
          </w:p>
        </w:tc>
        <w:tc>
          <w:tcPr>
            <w:tcW w:w="911" w:type="pct"/>
          </w:tcPr>
          <w:p w:rsidR="001E6AB9" w:rsidRPr="00987287" w:rsidRDefault="001E6AB9" w:rsidP="00987287">
            <w:pPr>
              <w:spacing w:after="0"/>
              <w:rPr>
                <w:rFonts w:ascii="Garamond" w:hAnsi="Garamond" w:cs="Times New Roman"/>
                <w:sz w:val="24"/>
                <w:szCs w:val="24"/>
              </w:rPr>
            </w:pPr>
            <w:r w:rsidRPr="00987287">
              <w:rPr>
                <w:rFonts w:ascii="Garamond" w:hAnsi="Garamond" w:cs="Times New Roman"/>
                <w:sz w:val="24"/>
                <w:szCs w:val="24"/>
              </w:rPr>
              <w:t>2.158**</w:t>
            </w:r>
          </w:p>
          <w:p w:rsidR="001E6AB9" w:rsidRPr="00987287" w:rsidRDefault="001E6AB9" w:rsidP="00987287">
            <w:pPr>
              <w:spacing w:after="0"/>
              <w:rPr>
                <w:rFonts w:ascii="Garamond" w:hAnsi="Garamond" w:cs="Times New Roman"/>
                <w:sz w:val="24"/>
                <w:szCs w:val="24"/>
              </w:rPr>
            </w:pPr>
            <w:r w:rsidRPr="00987287">
              <w:rPr>
                <w:rFonts w:ascii="Garamond" w:hAnsi="Garamond" w:cs="Times New Roman"/>
                <w:sz w:val="24"/>
                <w:szCs w:val="24"/>
              </w:rPr>
              <w:t>(2.69)</w:t>
            </w:r>
          </w:p>
        </w:tc>
      </w:tr>
      <w:tr w:rsidR="001E6AB9" w:rsidRPr="00987287" w:rsidTr="001E6AB9">
        <w:trPr>
          <w:trHeight w:hRule="exact" w:val="288"/>
        </w:trPr>
        <w:tc>
          <w:tcPr>
            <w:tcW w:w="2404" w:type="pct"/>
          </w:tcPr>
          <w:p w:rsidR="001E6AB9" w:rsidRPr="00987287" w:rsidRDefault="001E6AB9" w:rsidP="00987287">
            <w:pPr>
              <w:spacing w:after="0"/>
              <w:rPr>
                <w:rFonts w:ascii="Garamond" w:hAnsi="Garamond" w:cs="Times New Roman"/>
                <w:sz w:val="24"/>
                <w:szCs w:val="24"/>
              </w:rPr>
            </w:pPr>
          </w:p>
        </w:tc>
        <w:tc>
          <w:tcPr>
            <w:tcW w:w="866" w:type="pct"/>
          </w:tcPr>
          <w:p w:rsidR="001E6AB9" w:rsidRPr="00987287" w:rsidRDefault="001E6AB9" w:rsidP="00987287">
            <w:pPr>
              <w:spacing w:after="0"/>
              <w:rPr>
                <w:rFonts w:ascii="Garamond" w:hAnsi="Garamond" w:cs="Times New Roman"/>
                <w:sz w:val="24"/>
                <w:szCs w:val="24"/>
              </w:rPr>
            </w:pPr>
          </w:p>
        </w:tc>
        <w:tc>
          <w:tcPr>
            <w:tcW w:w="819" w:type="pct"/>
          </w:tcPr>
          <w:p w:rsidR="001E6AB9" w:rsidRPr="00987287" w:rsidRDefault="001E6AB9" w:rsidP="00987287">
            <w:pPr>
              <w:spacing w:after="0"/>
              <w:rPr>
                <w:rFonts w:ascii="Garamond" w:hAnsi="Garamond" w:cs="Times New Roman"/>
                <w:sz w:val="24"/>
                <w:szCs w:val="24"/>
              </w:rPr>
            </w:pPr>
            <w:r w:rsidRPr="00987287">
              <w:rPr>
                <w:rFonts w:ascii="Garamond" w:hAnsi="Garamond" w:cs="Times New Roman"/>
                <w:sz w:val="24"/>
                <w:szCs w:val="24"/>
              </w:rPr>
              <w:t>(1.032)</w:t>
            </w:r>
          </w:p>
          <w:p w:rsidR="001E6AB9" w:rsidRPr="00987287" w:rsidRDefault="001E6AB9" w:rsidP="00987287">
            <w:pPr>
              <w:spacing w:after="0"/>
              <w:rPr>
                <w:rFonts w:ascii="Garamond" w:hAnsi="Garamond" w:cs="Times New Roman"/>
                <w:sz w:val="24"/>
                <w:szCs w:val="24"/>
              </w:rPr>
            </w:pPr>
            <w:r w:rsidRPr="00987287">
              <w:rPr>
                <w:rFonts w:ascii="Garamond" w:hAnsi="Garamond" w:cs="Times New Roman"/>
                <w:sz w:val="24"/>
                <w:szCs w:val="24"/>
              </w:rPr>
              <w:t>(-4.03)</w:t>
            </w:r>
          </w:p>
        </w:tc>
        <w:tc>
          <w:tcPr>
            <w:tcW w:w="911" w:type="pct"/>
          </w:tcPr>
          <w:p w:rsidR="001E6AB9" w:rsidRPr="00987287" w:rsidRDefault="001E6AB9" w:rsidP="00987287">
            <w:pPr>
              <w:spacing w:after="0"/>
              <w:rPr>
                <w:rFonts w:ascii="Garamond" w:hAnsi="Garamond" w:cs="Times New Roman"/>
                <w:sz w:val="24"/>
                <w:szCs w:val="24"/>
              </w:rPr>
            </w:pPr>
            <w:r w:rsidRPr="00987287">
              <w:rPr>
                <w:rFonts w:ascii="Garamond" w:hAnsi="Garamond" w:cs="Times New Roman"/>
                <w:sz w:val="24"/>
                <w:szCs w:val="24"/>
              </w:rPr>
              <w:t>(0.043)</w:t>
            </w:r>
          </w:p>
          <w:p w:rsidR="001E6AB9" w:rsidRPr="00987287" w:rsidRDefault="001E6AB9" w:rsidP="00987287">
            <w:pPr>
              <w:spacing w:after="0"/>
              <w:rPr>
                <w:rFonts w:ascii="Garamond" w:hAnsi="Garamond" w:cs="Times New Roman"/>
                <w:sz w:val="24"/>
                <w:szCs w:val="24"/>
              </w:rPr>
            </w:pPr>
            <w:r w:rsidRPr="00987287">
              <w:rPr>
                <w:rFonts w:ascii="Garamond" w:hAnsi="Garamond" w:cs="Times New Roman"/>
                <w:sz w:val="24"/>
                <w:szCs w:val="24"/>
              </w:rPr>
              <w:t>(2.69)</w:t>
            </w:r>
          </w:p>
        </w:tc>
      </w:tr>
      <w:tr w:rsidR="001E6AB9" w:rsidRPr="00987287" w:rsidTr="001E6AB9">
        <w:trPr>
          <w:trHeight w:hRule="exact" w:val="288"/>
        </w:trPr>
        <w:tc>
          <w:tcPr>
            <w:tcW w:w="2404"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Financial firm size</w:t>
            </w:r>
          </w:p>
        </w:tc>
        <w:tc>
          <w:tcPr>
            <w:tcW w:w="866"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0.632***</w:t>
            </w:r>
          </w:p>
        </w:tc>
        <w:tc>
          <w:tcPr>
            <w:tcW w:w="819"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4.321***</w:t>
            </w:r>
          </w:p>
        </w:tc>
        <w:tc>
          <w:tcPr>
            <w:tcW w:w="911"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-3.312*</w:t>
            </w:r>
          </w:p>
        </w:tc>
      </w:tr>
      <w:tr w:rsidR="001E6AB9" w:rsidRPr="00987287" w:rsidTr="001E6AB9">
        <w:trPr>
          <w:trHeight w:hRule="exact" w:val="288"/>
        </w:trPr>
        <w:tc>
          <w:tcPr>
            <w:tcW w:w="2404" w:type="pct"/>
          </w:tcPr>
          <w:p w:rsidR="001E6AB9" w:rsidRPr="00987287" w:rsidRDefault="001E6AB9" w:rsidP="00987287">
            <w:pPr>
              <w:rPr>
                <w:rFonts w:ascii="Garamond" w:hAnsi="Garamond" w:cs="Times New Roman"/>
                <w:sz w:val="24"/>
                <w:szCs w:val="24"/>
              </w:rPr>
            </w:pPr>
          </w:p>
        </w:tc>
        <w:tc>
          <w:tcPr>
            <w:tcW w:w="866"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(0.021)</w:t>
            </w:r>
          </w:p>
        </w:tc>
        <w:tc>
          <w:tcPr>
            <w:tcW w:w="819"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(0.038)</w:t>
            </w:r>
          </w:p>
        </w:tc>
        <w:tc>
          <w:tcPr>
            <w:tcW w:w="911"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(0.045)</w:t>
            </w:r>
          </w:p>
        </w:tc>
      </w:tr>
      <w:tr w:rsidR="001E6AB9" w:rsidRPr="00987287" w:rsidTr="001E6AB9">
        <w:trPr>
          <w:trHeight w:hRule="exact" w:val="288"/>
        </w:trPr>
        <w:tc>
          <w:tcPr>
            <w:tcW w:w="2404"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Stock prices</w:t>
            </w:r>
          </w:p>
        </w:tc>
        <w:tc>
          <w:tcPr>
            <w:tcW w:w="866" w:type="pct"/>
          </w:tcPr>
          <w:p w:rsidR="001E6AB9" w:rsidRPr="00987287" w:rsidRDefault="001E6AB9" w:rsidP="00987287">
            <w:pPr>
              <w:rPr>
                <w:rFonts w:ascii="Garamond" w:hAnsi="Garamond" w:cs="Times New Roman"/>
                <w:sz w:val="24"/>
                <w:szCs w:val="24"/>
              </w:rPr>
            </w:pPr>
          </w:p>
        </w:tc>
        <w:tc>
          <w:tcPr>
            <w:tcW w:w="819" w:type="pct"/>
          </w:tcPr>
          <w:p w:rsidR="001E6AB9" w:rsidRPr="00987287" w:rsidRDefault="001E6AB9" w:rsidP="00987287">
            <w:pPr>
              <w:rPr>
                <w:rFonts w:ascii="Garamond" w:hAnsi="Garamond" w:cs="Times New Roman"/>
                <w:sz w:val="24"/>
                <w:szCs w:val="24"/>
              </w:rPr>
            </w:pPr>
          </w:p>
        </w:tc>
        <w:tc>
          <w:tcPr>
            <w:tcW w:w="911"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1.312***</w:t>
            </w:r>
          </w:p>
        </w:tc>
      </w:tr>
      <w:tr w:rsidR="001E6AB9" w:rsidRPr="00987287" w:rsidTr="0008714A">
        <w:trPr>
          <w:trHeight w:hRule="exact" w:val="288"/>
        </w:trPr>
        <w:tc>
          <w:tcPr>
            <w:tcW w:w="2404" w:type="pct"/>
            <w:tcBorders>
              <w:bottom w:val="single" w:sz="4" w:space="0" w:color="auto"/>
            </w:tcBorders>
          </w:tcPr>
          <w:p w:rsidR="001E6AB9" w:rsidRPr="00987287" w:rsidRDefault="001E6AB9" w:rsidP="00987287">
            <w:pPr>
              <w:rPr>
                <w:rFonts w:ascii="Garamond" w:hAnsi="Garamond" w:cs="Times New Roman"/>
                <w:sz w:val="24"/>
                <w:szCs w:val="24"/>
              </w:rPr>
            </w:pPr>
          </w:p>
        </w:tc>
        <w:tc>
          <w:tcPr>
            <w:tcW w:w="866" w:type="pct"/>
            <w:tcBorders>
              <w:bottom w:val="single" w:sz="4" w:space="0" w:color="auto"/>
            </w:tcBorders>
          </w:tcPr>
          <w:p w:rsidR="001E6AB9" w:rsidRPr="00987287" w:rsidRDefault="001E6AB9" w:rsidP="00987287">
            <w:pPr>
              <w:rPr>
                <w:rFonts w:ascii="Garamond" w:hAnsi="Garamond" w:cs="Times New Roman"/>
                <w:sz w:val="24"/>
                <w:szCs w:val="24"/>
              </w:rPr>
            </w:pPr>
          </w:p>
        </w:tc>
        <w:tc>
          <w:tcPr>
            <w:tcW w:w="819" w:type="pct"/>
            <w:tcBorders>
              <w:bottom w:val="single" w:sz="4" w:space="0" w:color="auto"/>
            </w:tcBorders>
          </w:tcPr>
          <w:p w:rsidR="001E6AB9" w:rsidRPr="00987287" w:rsidRDefault="001E6AB9" w:rsidP="00987287">
            <w:pPr>
              <w:rPr>
                <w:rFonts w:ascii="Garamond" w:hAnsi="Garamond" w:cs="Times New Roman"/>
                <w:sz w:val="24"/>
                <w:szCs w:val="24"/>
              </w:rPr>
            </w:pPr>
          </w:p>
        </w:tc>
        <w:tc>
          <w:tcPr>
            <w:tcW w:w="911"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(0.048)</w:t>
            </w:r>
          </w:p>
        </w:tc>
      </w:tr>
      <w:tr w:rsidR="001E6AB9" w:rsidRPr="00987287" w:rsidTr="0008714A">
        <w:trPr>
          <w:trHeight w:hRule="exact" w:val="288"/>
        </w:trPr>
        <w:tc>
          <w:tcPr>
            <w:tcW w:w="2404"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Governance Structure</w:t>
            </w:r>
          </w:p>
        </w:tc>
        <w:tc>
          <w:tcPr>
            <w:tcW w:w="866"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819"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911"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State ownership</w:t>
            </w:r>
          </w:p>
        </w:tc>
        <w:tc>
          <w:tcPr>
            <w:tcW w:w="866" w:type="pct"/>
            <w:tcBorders>
              <w:top w:val="single" w:sz="4" w:space="0" w:color="auto"/>
            </w:tcBorders>
          </w:tcPr>
          <w:p w:rsidR="001E6AB9" w:rsidRPr="00987287" w:rsidRDefault="001E6AB9" w:rsidP="00987287">
            <w:pPr>
              <w:rPr>
                <w:rFonts w:ascii="Garamond" w:hAnsi="Garamond" w:cs="Times New Roman"/>
                <w:sz w:val="24"/>
                <w:szCs w:val="24"/>
              </w:rPr>
            </w:pPr>
          </w:p>
        </w:tc>
        <w:tc>
          <w:tcPr>
            <w:tcW w:w="819"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-4.332***</w:t>
            </w:r>
          </w:p>
        </w:tc>
        <w:tc>
          <w:tcPr>
            <w:tcW w:w="911" w:type="pct"/>
            <w:tcBorders>
              <w:top w:val="single" w:sz="4" w:space="0" w:color="auto"/>
            </w:tcBorders>
          </w:tcPr>
          <w:p w:rsidR="001E6AB9" w:rsidRPr="00987287" w:rsidRDefault="001E6AB9" w:rsidP="00987287">
            <w:pPr>
              <w:rPr>
                <w:rFonts w:ascii="Garamond" w:hAnsi="Garamond" w:cs="Times New Roman"/>
                <w:sz w:val="24"/>
                <w:szCs w:val="24"/>
              </w:rPr>
            </w:pPr>
          </w:p>
        </w:tc>
      </w:tr>
      <w:tr w:rsidR="001E6AB9" w:rsidRPr="00987287" w:rsidTr="001E6AB9">
        <w:trPr>
          <w:trHeight w:hRule="exact" w:val="288"/>
        </w:trPr>
        <w:tc>
          <w:tcPr>
            <w:tcW w:w="2404" w:type="pct"/>
          </w:tcPr>
          <w:p w:rsidR="001E6AB9" w:rsidRPr="00987287" w:rsidRDefault="001E6AB9" w:rsidP="00987287">
            <w:pPr>
              <w:rPr>
                <w:rFonts w:ascii="Garamond" w:hAnsi="Garamond" w:cs="Times New Roman"/>
                <w:sz w:val="24"/>
                <w:szCs w:val="24"/>
              </w:rPr>
            </w:pPr>
          </w:p>
        </w:tc>
        <w:tc>
          <w:tcPr>
            <w:tcW w:w="866" w:type="pct"/>
          </w:tcPr>
          <w:p w:rsidR="001E6AB9" w:rsidRPr="00987287" w:rsidRDefault="001E6AB9" w:rsidP="00987287">
            <w:pPr>
              <w:rPr>
                <w:rFonts w:ascii="Garamond" w:hAnsi="Garamond" w:cs="Times New Roman"/>
                <w:sz w:val="24"/>
                <w:szCs w:val="24"/>
              </w:rPr>
            </w:pPr>
          </w:p>
        </w:tc>
        <w:tc>
          <w:tcPr>
            <w:tcW w:w="819"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(0.061)</w:t>
            </w:r>
          </w:p>
        </w:tc>
        <w:tc>
          <w:tcPr>
            <w:tcW w:w="911" w:type="pct"/>
          </w:tcPr>
          <w:p w:rsidR="001E6AB9" w:rsidRPr="00987287" w:rsidRDefault="001E6AB9" w:rsidP="00987287">
            <w:pPr>
              <w:rPr>
                <w:rFonts w:ascii="Garamond" w:hAnsi="Garamond" w:cs="Times New Roman"/>
                <w:sz w:val="24"/>
                <w:szCs w:val="24"/>
              </w:rPr>
            </w:pPr>
          </w:p>
        </w:tc>
      </w:tr>
      <w:tr w:rsidR="001E6AB9" w:rsidRPr="00987287" w:rsidTr="001E6AB9">
        <w:trPr>
          <w:trHeight w:hRule="exact" w:val="288"/>
        </w:trPr>
        <w:tc>
          <w:tcPr>
            <w:tcW w:w="2404"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Board size</w:t>
            </w:r>
          </w:p>
        </w:tc>
        <w:tc>
          <w:tcPr>
            <w:tcW w:w="866" w:type="pct"/>
          </w:tcPr>
          <w:p w:rsidR="001E6AB9" w:rsidRPr="00987287" w:rsidRDefault="001E6AB9" w:rsidP="00987287">
            <w:pPr>
              <w:rPr>
                <w:rFonts w:ascii="Garamond" w:hAnsi="Garamond" w:cs="Times New Roman"/>
                <w:sz w:val="24"/>
                <w:szCs w:val="24"/>
              </w:rPr>
            </w:pPr>
          </w:p>
        </w:tc>
        <w:tc>
          <w:tcPr>
            <w:tcW w:w="819"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3.328***</w:t>
            </w:r>
          </w:p>
        </w:tc>
        <w:tc>
          <w:tcPr>
            <w:tcW w:w="911" w:type="pct"/>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Borders>
              <w:bottom w:val="single" w:sz="4" w:space="0" w:color="auto"/>
            </w:tcBorders>
          </w:tcPr>
          <w:p w:rsidR="001E6AB9" w:rsidRPr="00987287" w:rsidRDefault="001E6AB9" w:rsidP="00987287">
            <w:pPr>
              <w:rPr>
                <w:rFonts w:ascii="Garamond" w:hAnsi="Garamond" w:cs="Times New Roman"/>
                <w:sz w:val="24"/>
                <w:szCs w:val="24"/>
              </w:rPr>
            </w:pPr>
          </w:p>
        </w:tc>
        <w:tc>
          <w:tcPr>
            <w:tcW w:w="866" w:type="pct"/>
            <w:tcBorders>
              <w:bottom w:val="single" w:sz="4" w:space="0" w:color="auto"/>
            </w:tcBorders>
          </w:tcPr>
          <w:p w:rsidR="001E6AB9" w:rsidRPr="00987287" w:rsidRDefault="001E6AB9" w:rsidP="00987287">
            <w:pPr>
              <w:rPr>
                <w:rFonts w:ascii="Garamond" w:hAnsi="Garamond" w:cs="Times New Roman"/>
                <w:sz w:val="24"/>
                <w:szCs w:val="24"/>
              </w:rPr>
            </w:pPr>
          </w:p>
        </w:tc>
        <w:tc>
          <w:tcPr>
            <w:tcW w:w="819"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(0.062)</w:t>
            </w:r>
          </w:p>
        </w:tc>
        <w:tc>
          <w:tcPr>
            <w:tcW w:w="911" w:type="pct"/>
            <w:tcBorders>
              <w:bottom w:val="single" w:sz="4" w:space="0" w:color="auto"/>
            </w:tcBorders>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Dummy variables</w:t>
            </w:r>
          </w:p>
        </w:tc>
        <w:tc>
          <w:tcPr>
            <w:tcW w:w="866"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819"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911"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Year dummies</w:t>
            </w:r>
          </w:p>
        </w:tc>
        <w:tc>
          <w:tcPr>
            <w:tcW w:w="866"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YES</w:t>
            </w:r>
          </w:p>
        </w:tc>
        <w:tc>
          <w:tcPr>
            <w:tcW w:w="819"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YES</w:t>
            </w:r>
          </w:p>
        </w:tc>
        <w:tc>
          <w:tcPr>
            <w:tcW w:w="911"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YES</w:t>
            </w:r>
          </w:p>
        </w:tc>
      </w:tr>
      <w:tr w:rsidR="001E6AB9" w:rsidRPr="00987287" w:rsidTr="0008714A">
        <w:trPr>
          <w:trHeight w:hRule="exact" w:val="288"/>
        </w:trPr>
        <w:tc>
          <w:tcPr>
            <w:tcW w:w="2404"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Industry dummies</w:t>
            </w:r>
          </w:p>
        </w:tc>
        <w:tc>
          <w:tcPr>
            <w:tcW w:w="866"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YES</w:t>
            </w:r>
          </w:p>
        </w:tc>
        <w:tc>
          <w:tcPr>
            <w:tcW w:w="819"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YES</w:t>
            </w:r>
          </w:p>
        </w:tc>
        <w:tc>
          <w:tcPr>
            <w:tcW w:w="911"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YES</w:t>
            </w:r>
          </w:p>
        </w:tc>
      </w:tr>
      <w:tr w:rsidR="001E6AB9" w:rsidRPr="00987287" w:rsidTr="0008714A">
        <w:trPr>
          <w:trHeight w:hRule="exact" w:val="288"/>
        </w:trPr>
        <w:tc>
          <w:tcPr>
            <w:tcW w:w="2404"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R-square</w:t>
            </w:r>
          </w:p>
        </w:tc>
        <w:tc>
          <w:tcPr>
            <w:tcW w:w="866"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0.536</w:t>
            </w:r>
          </w:p>
        </w:tc>
        <w:tc>
          <w:tcPr>
            <w:tcW w:w="819"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0.779</w:t>
            </w:r>
          </w:p>
        </w:tc>
        <w:tc>
          <w:tcPr>
            <w:tcW w:w="911"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0.612</w:t>
            </w:r>
          </w:p>
        </w:tc>
      </w:tr>
    </w:tbl>
    <w:p w:rsidR="00527ED1" w:rsidRPr="00AD15B4" w:rsidRDefault="00527ED1" w:rsidP="00527ED1">
      <w:pPr>
        <w:rPr>
          <w:rFonts w:ascii="Garamond" w:hAnsi="Garamond" w:cs="Times New Roman"/>
          <w:color w:val="000000" w:themeColor="text1"/>
          <w:sz w:val="24"/>
          <w:szCs w:val="24"/>
        </w:rPr>
      </w:pPr>
      <w:r w:rsidRPr="00AD15B4">
        <w:rPr>
          <w:rFonts w:ascii="Garamond" w:hAnsi="Garamond" w:cs="Times New Roman"/>
          <w:color w:val="000000" w:themeColor="text1"/>
          <w:sz w:val="24"/>
          <w:szCs w:val="24"/>
        </w:rPr>
        <w:t xml:space="preserve">Robust standard errors are reported in the parentheses. ***, **, and * indicate statistical significance at the 1%, 5% and 10% levels, respectively. </w:t>
      </w: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sectPr w:rsidR="001E6AB9" w:rsidRPr="00987287">
          <w:pgSz w:w="12240" w:h="15840"/>
          <w:pgMar w:top="1440" w:right="1440" w:bottom="1440" w:left="1440" w:header="720" w:footer="720" w:gutter="0"/>
          <w:cols w:space="720"/>
          <w:docGrid w:linePitch="360"/>
        </w:sectPr>
      </w:pPr>
    </w:p>
    <w:p w:rsidR="001E6AB9" w:rsidRPr="00987287" w:rsidRDefault="001E6AB9" w:rsidP="00987287">
      <w:pPr>
        <w:rPr>
          <w:rFonts w:ascii="Garamond" w:hAnsi="Garamond" w:cs="Times New Roman"/>
          <w:sz w:val="24"/>
          <w:szCs w:val="24"/>
        </w:rPr>
      </w:pPr>
      <w:r w:rsidRPr="00987287">
        <w:rPr>
          <w:rFonts w:ascii="Garamond" w:hAnsi="Garamond" w:cs="Times New Roman"/>
          <w:b/>
          <w:sz w:val="24"/>
          <w:szCs w:val="24"/>
        </w:rPr>
        <w:lastRenderedPageBreak/>
        <w:t>Table 3:</w:t>
      </w:r>
      <w:r w:rsidRPr="00987287">
        <w:rPr>
          <w:rFonts w:ascii="Garamond" w:hAnsi="Garamond" w:cs="Times New Roman"/>
          <w:sz w:val="24"/>
          <w:szCs w:val="24"/>
        </w:rPr>
        <w:t xml:space="preserve"> </w:t>
      </w:r>
      <w:r w:rsidR="0008714A" w:rsidRPr="00987287">
        <w:rPr>
          <w:rFonts w:ascii="Garamond" w:hAnsi="Garamond" w:cs="Times New Roman"/>
          <w:sz w:val="24"/>
          <w:szCs w:val="24"/>
        </w:rPr>
        <w:t xml:space="preserve">Simultaneous Equations (3SLS): </w:t>
      </w:r>
      <w:r w:rsidRPr="00987287">
        <w:rPr>
          <w:rFonts w:ascii="Garamond" w:hAnsi="Garamond" w:cs="Times New Roman"/>
          <w:sz w:val="24"/>
          <w:szCs w:val="24"/>
        </w:rPr>
        <w:t>Banking sector performance (ROA) and CEO compensation structure</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1621"/>
        <w:gridCol w:w="1533"/>
        <w:gridCol w:w="1705"/>
      </w:tblGrid>
      <w:tr w:rsidR="001E6AB9" w:rsidRPr="00987287" w:rsidTr="0008714A">
        <w:trPr>
          <w:trHeight w:hRule="exact" w:val="288"/>
        </w:trPr>
        <w:tc>
          <w:tcPr>
            <w:tcW w:w="2404"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Variables</w:t>
            </w:r>
          </w:p>
        </w:tc>
        <w:tc>
          <w:tcPr>
            <w:tcW w:w="866"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ROA</w:t>
            </w:r>
          </w:p>
        </w:tc>
        <w:tc>
          <w:tcPr>
            <w:tcW w:w="819"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Vega</w:t>
            </w:r>
          </w:p>
        </w:tc>
        <w:tc>
          <w:tcPr>
            <w:tcW w:w="911"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Delta</w:t>
            </w:r>
          </w:p>
        </w:tc>
      </w:tr>
      <w:tr w:rsidR="001E6AB9" w:rsidRPr="00987287" w:rsidTr="0008714A">
        <w:trPr>
          <w:trHeight w:hRule="exact" w:val="288"/>
        </w:trPr>
        <w:tc>
          <w:tcPr>
            <w:tcW w:w="2404"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CEO compensation measures</w:t>
            </w:r>
          </w:p>
        </w:tc>
        <w:tc>
          <w:tcPr>
            <w:tcW w:w="866"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819"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911"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Vega</w:t>
            </w:r>
          </w:p>
        </w:tc>
        <w:tc>
          <w:tcPr>
            <w:tcW w:w="866"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0.338***</w:t>
            </w: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tc>
        <w:tc>
          <w:tcPr>
            <w:tcW w:w="819" w:type="pct"/>
            <w:tcBorders>
              <w:top w:val="single" w:sz="4" w:space="0" w:color="auto"/>
            </w:tcBorders>
          </w:tcPr>
          <w:p w:rsidR="001E6AB9" w:rsidRPr="00987287" w:rsidRDefault="001E6AB9" w:rsidP="00987287">
            <w:pPr>
              <w:rPr>
                <w:rFonts w:ascii="Garamond" w:hAnsi="Garamond" w:cs="Times New Roman"/>
                <w:sz w:val="24"/>
                <w:szCs w:val="24"/>
              </w:rPr>
            </w:pPr>
          </w:p>
        </w:tc>
        <w:tc>
          <w:tcPr>
            <w:tcW w:w="911"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1.357***</w:t>
            </w:r>
          </w:p>
        </w:tc>
      </w:tr>
      <w:tr w:rsidR="001E6AB9" w:rsidRPr="00987287" w:rsidTr="0008714A">
        <w:trPr>
          <w:trHeight w:hRule="exact" w:val="288"/>
        </w:trPr>
        <w:tc>
          <w:tcPr>
            <w:tcW w:w="2404" w:type="pct"/>
          </w:tcPr>
          <w:p w:rsidR="001E6AB9" w:rsidRPr="00987287" w:rsidRDefault="001E6AB9" w:rsidP="00987287">
            <w:pPr>
              <w:rPr>
                <w:rFonts w:ascii="Garamond" w:hAnsi="Garamond" w:cs="Times New Roman"/>
                <w:sz w:val="24"/>
                <w:szCs w:val="24"/>
              </w:rPr>
            </w:pPr>
          </w:p>
        </w:tc>
        <w:tc>
          <w:tcPr>
            <w:tcW w:w="866"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(0.064)</w:t>
            </w:r>
          </w:p>
        </w:tc>
        <w:tc>
          <w:tcPr>
            <w:tcW w:w="819" w:type="pct"/>
          </w:tcPr>
          <w:p w:rsidR="001E6AB9" w:rsidRPr="00987287" w:rsidRDefault="001E6AB9" w:rsidP="00987287">
            <w:pPr>
              <w:rPr>
                <w:rFonts w:ascii="Garamond" w:hAnsi="Garamond" w:cs="Times New Roman"/>
                <w:sz w:val="24"/>
                <w:szCs w:val="24"/>
              </w:rPr>
            </w:pPr>
          </w:p>
        </w:tc>
        <w:tc>
          <w:tcPr>
            <w:tcW w:w="911"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(0.043)</w:t>
            </w:r>
          </w:p>
        </w:tc>
      </w:tr>
      <w:tr w:rsidR="001E6AB9" w:rsidRPr="00987287" w:rsidTr="0008714A">
        <w:trPr>
          <w:trHeight w:hRule="exact" w:val="288"/>
        </w:trPr>
        <w:tc>
          <w:tcPr>
            <w:tcW w:w="2404"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Delta</w:t>
            </w:r>
          </w:p>
        </w:tc>
        <w:tc>
          <w:tcPr>
            <w:tcW w:w="866"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0.576***</w:t>
            </w:r>
          </w:p>
        </w:tc>
        <w:tc>
          <w:tcPr>
            <w:tcW w:w="819"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0.591***</w:t>
            </w:r>
          </w:p>
        </w:tc>
        <w:tc>
          <w:tcPr>
            <w:tcW w:w="911" w:type="pct"/>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Pr>
          <w:p w:rsidR="001E6AB9" w:rsidRPr="00987287" w:rsidRDefault="001E6AB9" w:rsidP="00987287">
            <w:pPr>
              <w:rPr>
                <w:rFonts w:ascii="Garamond" w:hAnsi="Garamond" w:cs="Times New Roman"/>
                <w:sz w:val="24"/>
                <w:szCs w:val="24"/>
              </w:rPr>
            </w:pPr>
          </w:p>
        </w:tc>
        <w:tc>
          <w:tcPr>
            <w:tcW w:w="866"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(0.037)</w:t>
            </w:r>
          </w:p>
        </w:tc>
        <w:tc>
          <w:tcPr>
            <w:tcW w:w="819"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(0.042)</w:t>
            </w:r>
          </w:p>
        </w:tc>
        <w:tc>
          <w:tcPr>
            <w:tcW w:w="911" w:type="pct"/>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Pr>
          <w:p w:rsidR="001E6AB9" w:rsidRPr="00987287" w:rsidRDefault="001E6AB9" w:rsidP="00987287">
            <w:pPr>
              <w:spacing w:after="0"/>
              <w:rPr>
                <w:rFonts w:ascii="Garamond" w:hAnsi="Garamond" w:cs="Times New Roman"/>
                <w:sz w:val="24"/>
                <w:szCs w:val="24"/>
              </w:rPr>
            </w:pPr>
            <w:r w:rsidRPr="00987287">
              <w:rPr>
                <w:rFonts w:ascii="Garamond" w:hAnsi="Garamond" w:cs="Times New Roman"/>
                <w:sz w:val="24"/>
                <w:szCs w:val="24"/>
              </w:rPr>
              <w:t>Return</w:t>
            </w:r>
          </w:p>
        </w:tc>
        <w:tc>
          <w:tcPr>
            <w:tcW w:w="866" w:type="pct"/>
          </w:tcPr>
          <w:p w:rsidR="001E6AB9" w:rsidRPr="00987287" w:rsidRDefault="001E6AB9" w:rsidP="00987287">
            <w:pPr>
              <w:spacing w:after="0"/>
              <w:rPr>
                <w:rFonts w:ascii="Garamond" w:hAnsi="Garamond" w:cs="Times New Roman"/>
                <w:sz w:val="24"/>
                <w:szCs w:val="24"/>
              </w:rPr>
            </w:pPr>
          </w:p>
        </w:tc>
        <w:tc>
          <w:tcPr>
            <w:tcW w:w="819" w:type="pct"/>
          </w:tcPr>
          <w:p w:rsidR="001E6AB9" w:rsidRPr="00987287" w:rsidRDefault="001E6AB9" w:rsidP="00987287">
            <w:pPr>
              <w:spacing w:after="0"/>
              <w:rPr>
                <w:rFonts w:ascii="Garamond" w:hAnsi="Garamond" w:cs="Times New Roman"/>
                <w:sz w:val="24"/>
                <w:szCs w:val="24"/>
              </w:rPr>
            </w:pPr>
            <w:r w:rsidRPr="00987287">
              <w:rPr>
                <w:rFonts w:ascii="Garamond" w:hAnsi="Garamond" w:cs="Times New Roman"/>
                <w:sz w:val="24"/>
                <w:szCs w:val="24"/>
              </w:rPr>
              <w:t>2.115***</w:t>
            </w:r>
          </w:p>
          <w:p w:rsidR="001E6AB9" w:rsidRPr="00987287" w:rsidRDefault="001E6AB9" w:rsidP="00987287">
            <w:pPr>
              <w:spacing w:after="0"/>
              <w:rPr>
                <w:rFonts w:ascii="Garamond" w:hAnsi="Garamond" w:cs="Times New Roman"/>
                <w:sz w:val="24"/>
                <w:szCs w:val="24"/>
              </w:rPr>
            </w:pPr>
            <w:r w:rsidRPr="00987287">
              <w:rPr>
                <w:rFonts w:ascii="Garamond" w:hAnsi="Garamond" w:cs="Times New Roman"/>
                <w:sz w:val="24"/>
                <w:szCs w:val="24"/>
              </w:rPr>
              <w:t>(-4.03)</w:t>
            </w:r>
          </w:p>
        </w:tc>
        <w:tc>
          <w:tcPr>
            <w:tcW w:w="911" w:type="pct"/>
          </w:tcPr>
          <w:p w:rsidR="001E6AB9" w:rsidRPr="00987287" w:rsidRDefault="001E6AB9" w:rsidP="00987287">
            <w:pPr>
              <w:spacing w:after="0"/>
              <w:rPr>
                <w:rFonts w:ascii="Garamond" w:hAnsi="Garamond" w:cs="Times New Roman"/>
                <w:sz w:val="24"/>
                <w:szCs w:val="24"/>
              </w:rPr>
            </w:pPr>
            <w:r w:rsidRPr="00987287">
              <w:rPr>
                <w:rFonts w:ascii="Garamond" w:hAnsi="Garamond" w:cs="Times New Roman"/>
                <w:sz w:val="24"/>
                <w:szCs w:val="24"/>
              </w:rPr>
              <w:t>3.132**</w:t>
            </w:r>
          </w:p>
          <w:p w:rsidR="001E6AB9" w:rsidRPr="00987287" w:rsidRDefault="001E6AB9" w:rsidP="00987287">
            <w:pPr>
              <w:spacing w:after="0"/>
              <w:rPr>
                <w:rFonts w:ascii="Garamond" w:hAnsi="Garamond" w:cs="Times New Roman"/>
                <w:sz w:val="24"/>
                <w:szCs w:val="24"/>
              </w:rPr>
            </w:pPr>
            <w:r w:rsidRPr="00987287">
              <w:rPr>
                <w:rFonts w:ascii="Garamond" w:hAnsi="Garamond" w:cs="Times New Roman"/>
                <w:sz w:val="24"/>
                <w:szCs w:val="24"/>
              </w:rPr>
              <w:t>(2.69)</w:t>
            </w:r>
          </w:p>
        </w:tc>
      </w:tr>
      <w:tr w:rsidR="001E6AB9" w:rsidRPr="00987287" w:rsidTr="0008714A">
        <w:trPr>
          <w:trHeight w:hRule="exact" w:val="288"/>
        </w:trPr>
        <w:tc>
          <w:tcPr>
            <w:tcW w:w="2404" w:type="pct"/>
          </w:tcPr>
          <w:p w:rsidR="001E6AB9" w:rsidRPr="00987287" w:rsidRDefault="001E6AB9" w:rsidP="00987287">
            <w:pPr>
              <w:spacing w:after="0"/>
              <w:rPr>
                <w:rFonts w:ascii="Garamond" w:hAnsi="Garamond" w:cs="Times New Roman"/>
                <w:sz w:val="24"/>
                <w:szCs w:val="24"/>
              </w:rPr>
            </w:pPr>
          </w:p>
        </w:tc>
        <w:tc>
          <w:tcPr>
            <w:tcW w:w="866" w:type="pct"/>
          </w:tcPr>
          <w:p w:rsidR="001E6AB9" w:rsidRPr="00987287" w:rsidRDefault="001E6AB9" w:rsidP="00987287">
            <w:pPr>
              <w:spacing w:after="0"/>
              <w:rPr>
                <w:rFonts w:ascii="Garamond" w:hAnsi="Garamond" w:cs="Times New Roman"/>
                <w:sz w:val="24"/>
                <w:szCs w:val="24"/>
              </w:rPr>
            </w:pPr>
          </w:p>
        </w:tc>
        <w:tc>
          <w:tcPr>
            <w:tcW w:w="819" w:type="pct"/>
          </w:tcPr>
          <w:p w:rsidR="001E6AB9" w:rsidRPr="00987287" w:rsidRDefault="001E6AB9" w:rsidP="00987287">
            <w:pPr>
              <w:spacing w:after="0"/>
              <w:rPr>
                <w:rFonts w:ascii="Garamond" w:hAnsi="Garamond" w:cs="Times New Roman"/>
                <w:sz w:val="24"/>
                <w:szCs w:val="24"/>
              </w:rPr>
            </w:pPr>
            <w:r w:rsidRPr="00987287">
              <w:rPr>
                <w:rFonts w:ascii="Garamond" w:hAnsi="Garamond" w:cs="Times New Roman"/>
                <w:sz w:val="24"/>
                <w:szCs w:val="24"/>
              </w:rPr>
              <w:t>(1.062)</w:t>
            </w:r>
          </w:p>
          <w:p w:rsidR="001E6AB9" w:rsidRPr="00987287" w:rsidRDefault="001E6AB9" w:rsidP="00987287">
            <w:pPr>
              <w:spacing w:after="0"/>
              <w:rPr>
                <w:rFonts w:ascii="Garamond" w:hAnsi="Garamond" w:cs="Times New Roman"/>
                <w:sz w:val="24"/>
                <w:szCs w:val="24"/>
              </w:rPr>
            </w:pPr>
            <w:r w:rsidRPr="00987287">
              <w:rPr>
                <w:rFonts w:ascii="Garamond" w:hAnsi="Garamond" w:cs="Times New Roman"/>
                <w:sz w:val="24"/>
                <w:szCs w:val="24"/>
              </w:rPr>
              <w:t>(-4.03)</w:t>
            </w:r>
          </w:p>
        </w:tc>
        <w:tc>
          <w:tcPr>
            <w:tcW w:w="911" w:type="pct"/>
          </w:tcPr>
          <w:p w:rsidR="001E6AB9" w:rsidRPr="00987287" w:rsidRDefault="001E6AB9" w:rsidP="00987287">
            <w:pPr>
              <w:spacing w:after="0"/>
              <w:rPr>
                <w:rFonts w:ascii="Garamond" w:hAnsi="Garamond" w:cs="Times New Roman"/>
                <w:sz w:val="24"/>
                <w:szCs w:val="24"/>
              </w:rPr>
            </w:pPr>
            <w:r w:rsidRPr="00987287">
              <w:rPr>
                <w:rFonts w:ascii="Garamond" w:hAnsi="Garamond" w:cs="Times New Roman"/>
                <w:sz w:val="24"/>
                <w:szCs w:val="24"/>
              </w:rPr>
              <w:t>(0.049)</w:t>
            </w:r>
          </w:p>
          <w:p w:rsidR="001E6AB9" w:rsidRPr="00987287" w:rsidRDefault="001E6AB9" w:rsidP="00987287">
            <w:pPr>
              <w:spacing w:after="0"/>
              <w:rPr>
                <w:rFonts w:ascii="Garamond" w:hAnsi="Garamond" w:cs="Times New Roman"/>
                <w:sz w:val="24"/>
                <w:szCs w:val="24"/>
              </w:rPr>
            </w:pPr>
            <w:r w:rsidRPr="00987287">
              <w:rPr>
                <w:rFonts w:ascii="Garamond" w:hAnsi="Garamond" w:cs="Times New Roman"/>
                <w:sz w:val="24"/>
                <w:szCs w:val="24"/>
              </w:rPr>
              <w:t>(2.69)</w:t>
            </w:r>
          </w:p>
        </w:tc>
      </w:tr>
      <w:tr w:rsidR="001E6AB9" w:rsidRPr="00987287" w:rsidTr="0008714A">
        <w:trPr>
          <w:trHeight w:hRule="exact" w:val="288"/>
        </w:trPr>
        <w:tc>
          <w:tcPr>
            <w:tcW w:w="2404"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Financial firm size</w:t>
            </w:r>
          </w:p>
        </w:tc>
        <w:tc>
          <w:tcPr>
            <w:tcW w:w="866"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0.812***</w:t>
            </w:r>
          </w:p>
        </w:tc>
        <w:tc>
          <w:tcPr>
            <w:tcW w:w="819"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4.339***</w:t>
            </w:r>
          </w:p>
        </w:tc>
        <w:tc>
          <w:tcPr>
            <w:tcW w:w="911"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-3.321*</w:t>
            </w:r>
          </w:p>
        </w:tc>
      </w:tr>
      <w:tr w:rsidR="001E6AB9" w:rsidRPr="00987287" w:rsidTr="0008714A">
        <w:trPr>
          <w:trHeight w:hRule="exact" w:val="288"/>
        </w:trPr>
        <w:tc>
          <w:tcPr>
            <w:tcW w:w="2404" w:type="pct"/>
          </w:tcPr>
          <w:p w:rsidR="001E6AB9" w:rsidRPr="00987287" w:rsidRDefault="001E6AB9" w:rsidP="00987287">
            <w:pPr>
              <w:rPr>
                <w:rFonts w:ascii="Garamond" w:hAnsi="Garamond" w:cs="Times New Roman"/>
                <w:sz w:val="24"/>
                <w:szCs w:val="24"/>
              </w:rPr>
            </w:pPr>
          </w:p>
        </w:tc>
        <w:tc>
          <w:tcPr>
            <w:tcW w:w="866"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(0.059)</w:t>
            </w:r>
          </w:p>
        </w:tc>
        <w:tc>
          <w:tcPr>
            <w:tcW w:w="819"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(0.051)</w:t>
            </w:r>
          </w:p>
        </w:tc>
        <w:tc>
          <w:tcPr>
            <w:tcW w:w="911"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(0.045)</w:t>
            </w:r>
          </w:p>
        </w:tc>
      </w:tr>
      <w:tr w:rsidR="001E6AB9" w:rsidRPr="00987287" w:rsidTr="0008714A">
        <w:trPr>
          <w:trHeight w:hRule="exact" w:val="288"/>
        </w:trPr>
        <w:tc>
          <w:tcPr>
            <w:tcW w:w="2404"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Stock prices</w:t>
            </w:r>
          </w:p>
        </w:tc>
        <w:tc>
          <w:tcPr>
            <w:tcW w:w="866" w:type="pct"/>
          </w:tcPr>
          <w:p w:rsidR="001E6AB9" w:rsidRPr="00987287" w:rsidRDefault="001E6AB9" w:rsidP="00987287">
            <w:pPr>
              <w:rPr>
                <w:rFonts w:ascii="Garamond" w:hAnsi="Garamond" w:cs="Times New Roman"/>
                <w:sz w:val="24"/>
                <w:szCs w:val="24"/>
              </w:rPr>
            </w:pPr>
          </w:p>
        </w:tc>
        <w:tc>
          <w:tcPr>
            <w:tcW w:w="819" w:type="pct"/>
          </w:tcPr>
          <w:p w:rsidR="001E6AB9" w:rsidRPr="00987287" w:rsidRDefault="001E6AB9" w:rsidP="00987287">
            <w:pPr>
              <w:rPr>
                <w:rFonts w:ascii="Garamond" w:hAnsi="Garamond" w:cs="Times New Roman"/>
                <w:sz w:val="24"/>
                <w:szCs w:val="24"/>
              </w:rPr>
            </w:pPr>
          </w:p>
        </w:tc>
        <w:tc>
          <w:tcPr>
            <w:tcW w:w="911"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0.912***</w:t>
            </w:r>
          </w:p>
        </w:tc>
      </w:tr>
      <w:tr w:rsidR="001E6AB9" w:rsidRPr="00987287" w:rsidTr="0008714A">
        <w:trPr>
          <w:trHeight w:hRule="exact" w:val="288"/>
        </w:trPr>
        <w:tc>
          <w:tcPr>
            <w:tcW w:w="2404" w:type="pct"/>
            <w:tcBorders>
              <w:bottom w:val="single" w:sz="4" w:space="0" w:color="auto"/>
            </w:tcBorders>
          </w:tcPr>
          <w:p w:rsidR="001E6AB9" w:rsidRPr="00987287" w:rsidRDefault="001E6AB9" w:rsidP="00987287">
            <w:pPr>
              <w:rPr>
                <w:rFonts w:ascii="Garamond" w:hAnsi="Garamond" w:cs="Times New Roman"/>
                <w:sz w:val="24"/>
                <w:szCs w:val="24"/>
              </w:rPr>
            </w:pPr>
          </w:p>
        </w:tc>
        <w:tc>
          <w:tcPr>
            <w:tcW w:w="866" w:type="pct"/>
            <w:tcBorders>
              <w:bottom w:val="single" w:sz="4" w:space="0" w:color="auto"/>
            </w:tcBorders>
          </w:tcPr>
          <w:p w:rsidR="001E6AB9" w:rsidRPr="00987287" w:rsidRDefault="001E6AB9" w:rsidP="00987287">
            <w:pPr>
              <w:rPr>
                <w:rFonts w:ascii="Garamond" w:hAnsi="Garamond" w:cs="Times New Roman"/>
                <w:sz w:val="24"/>
                <w:szCs w:val="24"/>
              </w:rPr>
            </w:pPr>
          </w:p>
        </w:tc>
        <w:tc>
          <w:tcPr>
            <w:tcW w:w="819" w:type="pct"/>
            <w:tcBorders>
              <w:bottom w:val="single" w:sz="4" w:space="0" w:color="auto"/>
            </w:tcBorders>
          </w:tcPr>
          <w:p w:rsidR="001E6AB9" w:rsidRPr="00987287" w:rsidRDefault="001E6AB9" w:rsidP="00987287">
            <w:pPr>
              <w:rPr>
                <w:rFonts w:ascii="Garamond" w:hAnsi="Garamond" w:cs="Times New Roman"/>
                <w:sz w:val="24"/>
                <w:szCs w:val="24"/>
              </w:rPr>
            </w:pPr>
          </w:p>
        </w:tc>
        <w:tc>
          <w:tcPr>
            <w:tcW w:w="911"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(0.038)</w:t>
            </w:r>
          </w:p>
        </w:tc>
      </w:tr>
      <w:tr w:rsidR="001E6AB9" w:rsidRPr="00987287" w:rsidTr="0008714A">
        <w:trPr>
          <w:trHeight w:hRule="exact" w:val="288"/>
        </w:trPr>
        <w:tc>
          <w:tcPr>
            <w:tcW w:w="2404"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Governance Structure</w:t>
            </w:r>
          </w:p>
        </w:tc>
        <w:tc>
          <w:tcPr>
            <w:tcW w:w="866"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819"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911"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State ownership</w:t>
            </w:r>
          </w:p>
        </w:tc>
        <w:tc>
          <w:tcPr>
            <w:tcW w:w="866" w:type="pct"/>
            <w:tcBorders>
              <w:top w:val="single" w:sz="4" w:space="0" w:color="auto"/>
            </w:tcBorders>
          </w:tcPr>
          <w:p w:rsidR="001E6AB9" w:rsidRPr="00987287" w:rsidRDefault="001E6AB9" w:rsidP="00987287">
            <w:pPr>
              <w:rPr>
                <w:rFonts w:ascii="Garamond" w:hAnsi="Garamond" w:cs="Times New Roman"/>
                <w:sz w:val="24"/>
                <w:szCs w:val="24"/>
              </w:rPr>
            </w:pPr>
          </w:p>
        </w:tc>
        <w:tc>
          <w:tcPr>
            <w:tcW w:w="819"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-3.122***</w:t>
            </w:r>
          </w:p>
        </w:tc>
        <w:tc>
          <w:tcPr>
            <w:tcW w:w="911" w:type="pct"/>
            <w:tcBorders>
              <w:top w:val="single" w:sz="4" w:space="0" w:color="auto"/>
            </w:tcBorders>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Pr>
          <w:p w:rsidR="001E6AB9" w:rsidRPr="00987287" w:rsidRDefault="001E6AB9" w:rsidP="00987287">
            <w:pPr>
              <w:rPr>
                <w:rFonts w:ascii="Garamond" w:hAnsi="Garamond" w:cs="Times New Roman"/>
                <w:sz w:val="24"/>
                <w:szCs w:val="24"/>
              </w:rPr>
            </w:pPr>
          </w:p>
        </w:tc>
        <w:tc>
          <w:tcPr>
            <w:tcW w:w="866" w:type="pct"/>
          </w:tcPr>
          <w:p w:rsidR="001E6AB9" w:rsidRPr="00987287" w:rsidRDefault="001E6AB9" w:rsidP="00987287">
            <w:pPr>
              <w:rPr>
                <w:rFonts w:ascii="Garamond" w:hAnsi="Garamond" w:cs="Times New Roman"/>
                <w:sz w:val="24"/>
                <w:szCs w:val="24"/>
              </w:rPr>
            </w:pPr>
          </w:p>
        </w:tc>
        <w:tc>
          <w:tcPr>
            <w:tcW w:w="819"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(0.055)</w:t>
            </w:r>
          </w:p>
        </w:tc>
        <w:tc>
          <w:tcPr>
            <w:tcW w:w="911" w:type="pct"/>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Board size</w:t>
            </w:r>
          </w:p>
        </w:tc>
        <w:tc>
          <w:tcPr>
            <w:tcW w:w="866" w:type="pct"/>
          </w:tcPr>
          <w:p w:rsidR="001E6AB9" w:rsidRPr="00987287" w:rsidRDefault="001E6AB9" w:rsidP="00987287">
            <w:pPr>
              <w:rPr>
                <w:rFonts w:ascii="Garamond" w:hAnsi="Garamond" w:cs="Times New Roman"/>
                <w:sz w:val="24"/>
                <w:szCs w:val="24"/>
              </w:rPr>
            </w:pPr>
          </w:p>
        </w:tc>
        <w:tc>
          <w:tcPr>
            <w:tcW w:w="819"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2.618***</w:t>
            </w:r>
          </w:p>
        </w:tc>
        <w:tc>
          <w:tcPr>
            <w:tcW w:w="911" w:type="pct"/>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Borders>
              <w:bottom w:val="single" w:sz="4" w:space="0" w:color="auto"/>
            </w:tcBorders>
          </w:tcPr>
          <w:p w:rsidR="001E6AB9" w:rsidRPr="00987287" w:rsidRDefault="001E6AB9" w:rsidP="00987287">
            <w:pPr>
              <w:rPr>
                <w:rFonts w:ascii="Garamond" w:hAnsi="Garamond" w:cs="Times New Roman"/>
                <w:sz w:val="24"/>
                <w:szCs w:val="24"/>
              </w:rPr>
            </w:pPr>
          </w:p>
        </w:tc>
        <w:tc>
          <w:tcPr>
            <w:tcW w:w="866" w:type="pct"/>
            <w:tcBorders>
              <w:bottom w:val="single" w:sz="4" w:space="0" w:color="auto"/>
            </w:tcBorders>
          </w:tcPr>
          <w:p w:rsidR="001E6AB9" w:rsidRPr="00987287" w:rsidRDefault="001E6AB9" w:rsidP="00987287">
            <w:pPr>
              <w:rPr>
                <w:rFonts w:ascii="Garamond" w:hAnsi="Garamond" w:cs="Times New Roman"/>
                <w:sz w:val="24"/>
                <w:szCs w:val="24"/>
              </w:rPr>
            </w:pPr>
          </w:p>
        </w:tc>
        <w:tc>
          <w:tcPr>
            <w:tcW w:w="819"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(0.041)</w:t>
            </w:r>
          </w:p>
        </w:tc>
        <w:tc>
          <w:tcPr>
            <w:tcW w:w="911" w:type="pct"/>
            <w:tcBorders>
              <w:bottom w:val="single" w:sz="4" w:space="0" w:color="auto"/>
            </w:tcBorders>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Dummy variables</w:t>
            </w:r>
          </w:p>
        </w:tc>
        <w:tc>
          <w:tcPr>
            <w:tcW w:w="866"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819"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911"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Year dummies</w:t>
            </w:r>
          </w:p>
        </w:tc>
        <w:tc>
          <w:tcPr>
            <w:tcW w:w="866"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YES</w:t>
            </w:r>
          </w:p>
        </w:tc>
        <w:tc>
          <w:tcPr>
            <w:tcW w:w="819"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YES</w:t>
            </w:r>
          </w:p>
        </w:tc>
        <w:tc>
          <w:tcPr>
            <w:tcW w:w="911"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YES</w:t>
            </w:r>
          </w:p>
        </w:tc>
      </w:tr>
      <w:tr w:rsidR="001E6AB9" w:rsidRPr="00987287" w:rsidTr="0008714A">
        <w:trPr>
          <w:trHeight w:hRule="exact" w:val="288"/>
        </w:trPr>
        <w:tc>
          <w:tcPr>
            <w:tcW w:w="2404"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Industry dummies</w:t>
            </w:r>
          </w:p>
        </w:tc>
        <w:tc>
          <w:tcPr>
            <w:tcW w:w="866"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YES</w:t>
            </w:r>
          </w:p>
        </w:tc>
        <w:tc>
          <w:tcPr>
            <w:tcW w:w="819"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YES</w:t>
            </w:r>
          </w:p>
        </w:tc>
        <w:tc>
          <w:tcPr>
            <w:tcW w:w="911"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YES</w:t>
            </w:r>
          </w:p>
        </w:tc>
      </w:tr>
      <w:tr w:rsidR="001E6AB9" w:rsidRPr="00987287" w:rsidTr="0008714A">
        <w:trPr>
          <w:trHeight w:hRule="exact" w:val="288"/>
        </w:trPr>
        <w:tc>
          <w:tcPr>
            <w:tcW w:w="2404"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R-square</w:t>
            </w:r>
          </w:p>
        </w:tc>
        <w:tc>
          <w:tcPr>
            <w:tcW w:w="866"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0.561</w:t>
            </w:r>
          </w:p>
        </w:tc>
        <w:tc>
          <w:tcPr>
            <w:tcW w:w="819"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0.719</w:t>
            </w:r>
          </w:p>
        </w:tc>
        <w:tc>
          <w:tcPr>
            <w:tcW w:w="911"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0.693</w:t>
            </w:r>
          </w:p>
        </w:tc>
      </w:tr>
    </w:tbl>
    <w:p w:rsidR="00527ED1" w:rsidRPr="00AD15B4" w:rsidRDefault="00527ED1" w:rsidP="00527ED1">
      <w:pPr>
        <w:rPr>
          <w:rFonts w:ascii="Garamond" w:hAnsi="Garamond" w:cs="Times New Roman"/>
          <w:color w:val="000000" w:themeColor="text1"/>
          <w:sz w:val="24"/>
          <w:szCs w:val="24"/>
        </w:rPr>
      </w:pPr>
      <w:r w:rsidRPr="00AD15B4">
        <w:rPr>
          <w:rFonts w:ascii="Garamond" w:hAnsi="Garamond" w:cs="Times New Roman"/>
          <w:color w:val="000000" w:themeColor="text1"/>
          <w:sz w:val="24"/>
          <w:szCs w:val="24"/>
        </w:rPr>
        <w:t xml:space="preserve">Robust standard errors are reported in the parentheses. ***, **, and * indicate statistical significance at the 1%, 5% and 10% levels, respectively. </w:t>
      </w: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r w:rsidRPr="00987287">
        <w:rPr>
          <w:rFonts w:ascii="Garamond" w:hAnsi="Garamond" w:cs="Times New Roman"/>
          <w:b/>
          <w:sz w:val="24"/>
          <w:szCs w:val="24"/>
        </w:rPr>
        <w:t>Table 4:</w:t>
      </w:r>
      <w:r w:rsidRPr="00987287">
        <w:rPr>
          <w:rFonts w:ascii="Garamond" w:hAnsi="Garamond" w:cs="Times New Roman"/>
          <w:sz w:val="24"/>
          <w:szCs w:val="24"/>
        </w:rPr>
        <w:t xml:space="preserve"> </w:t>
      </w:r>
      <w:r w:rsidR="0008714A" w:rsidRPr="00987287">
        <w:rPr>
          <w:rFonts w:ascii="Garamond" w:hAnsi="Garamond" w:cs="Times New Roman"/>
          <w:sz w:val="24"/>
          <w:szCs w:val="24"/>
        </w:rPr>
        <w:t xml:space="preserve">Simultaneous Equations (3SLS): </w:t>
      </w:r>
      <w:r w:rsidRPr="00987287">
        <w:rPr>
          <w:rFonts w:ascii="Garamond" w:hAnsi="Garamond" w:cs="Times New Roman"/>
          <w:sz w:val="24"/>
          <w:szCs w:val="24"/>
        </w:rPr>
        <w:t>Banking sector performance measure (Return) and CEO compensation structure</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1621"/>
        <w:gridCol w:w="1533"/>
        <w:gridCol w:w="1705"/>
      </w:tblGrid>
      <w:tr w:rsidR="001E6AB9" w:rsidRPr="00987287" w:rsidTr="0008714A">
        <w:trPr>
          <w:trHeight w:hRule="exact" w:val="288"/>
        </w:trPr>
        <w:tc>
          <w:tcPr>
            <w:tcW w:w="2404"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Variables</w:t>
            </w:r>
          </w:p>
        </w:tc>
        <w:tc>
          <w:tcPr>
            <w:tcW w:w="866"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Return</w:t>
            </w:r>
          </w:p>
        </w:tc>
        <w:tc>
          <w:tcPr>
            <w:tcW w:w="819"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Vega</w:t>
            </w:r>
          </w:p>
        </w:tc>
        <w:tc>
          <w:tcPr>
            <w:tcW w:w="911"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Delta</w:t>
            </w:r>
          </w:p>
        </w:tc>
      </w:tr>
      <w:tr w:rsidR="001E6AB9" w:rsidRPr="00987287" w:rsidTr="0008714A">
        <w:trPr>
          <w:trHeight w:hRule="exact" w:val="288"/>
        </w:trPr>
        <w:tc>
          <w:tcPr>
            <w:tcW w:w="2404"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CEO compensation measures</w:t>
            </w:r>
          </w:p>
        </w:tc>
        <w:tc>
          <w:tcPr>
            <w:tcW w:w="866"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819"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911"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Vega</w:t>
            </w:r>
          </w:p>
        </w:tc>
        <w:tc>
          <w:tcPr>
            <w:tcW w:w="866"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0.713***</w:t>
            </w: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tc>
        <w:tc>
          <w:tcPr>
            <w:tcW w:w="819" w:type="pct"/>
            <w:tcBorders>
              <w:top w:val="single" w:sz="4" w:space="0" w:color="auto"/>
            </w:tcBorders>
          </w:tcPr>
          <w:p w:rsidR="001E6AB9" w:rsidRPr="00987287" w:rsidRDefault="001E6AB9" w:rsidP="00987287">
            <w:pPr>
              <w:rPr>
                <w:rFonts w:ascii="Garamond" w:hAnsi="Garamond" w:cs="Times New Roman"/>
                <w:sz w:val="24"/>
                <w:szCs w:val="24"/>
              </w:rPr>
            </w:pPr>
          </w:p>
        </w:tc>
        <w:tc>
          <w:tcPr>
            <w:tcW w:w="911"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1.776***</w:t>
            </w:r>
          </w:p>
        </w:tc>
      </w:tr>
      <w:tr w:rsidR="001E6AB9" w:rsidRPr="00987287" w:rsidTr="0008714A">
        <w:trPr>
          <w:trHeight w:hRule="exact" w:val="288"/>
        </w:trPr>
        <w:tc>
          <w:tcPr>
            <w:tcW w:w="2404" w:type="pct"/>
          </w:tcPr>
          <w:p w:rsidR="001E6AB9" w:rsidRPr="00987287" w:rsidRDefault="001E6AB9" w:rsidP="00987287">
            <w:pPr>
              <w:rPr>
                <w:rFonts w:ascii="Garamond" w:hAnsi="Garamond" w:cs="Times New Roman"/>
                <w:sz w:val="24"/>
                <w:szCs w:val="24"/>
              </w:rPr>
            </w:pPr>
          </w:p>
        </w:tc>
        <w:tc>
          <w:tcPr>
            <w:tcW w:w="866"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(0.045)</w:t>
            </w:r>
          </w:p>
        </w:tc>
        <w:tc>
          <w:tcPr>
            <w:tcW w:w="819" w:type="pct"/>
          </w:tcPr>
          <w:p w:rsidR="001E6AB9" w:rsidRPr="00987287" w:rsidRDefault="001E6AB9" w:rsidP="00987287">
            <w:pPr>
              <w:rPr>
                <w:rFonts w:ascii="Garamond" w:hAnsi="Garamond" w:cs="Times New Roman"/>
                <w:sz w:val="24"/>
                <w:szCs w:val="24"/>
              </w:rPr>
            </w:pPr>
          </w:p>
        </w:tc>
        <w:tc>
          <w:tcPr>
            <w:tcW w:w="911"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(0.032)</w:t>
            </w:r>
          </w:p>
        </w:tc>
      </w:tr>
      <w:tr w:rsidR="001E6AB9" w:rsidRPr="00987287" w:rsidTr="0008714A">
        <w:trPr>
          <w:trHeight w:hRule="exact" w:val="288"/>
        </w:trPr>
        <w:tc>
          <w:tcPr>
            <w:tcW w:w="2404"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Delta</w:t>
            </w:r>
          </w:p>
        </w:tc>
        <w:tc>
          <w:tcPr>
            <w:tcW w:w="866"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0.582***</w:t>
            </w:r>
          </w:p>
        </w:tc>
        <w:tc>
          <w:tcPr>
            <w:tcW w:w="819"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0.628***</w:t>
            </w:r>
          </w:p>
        </w:tc>
        <w:tc>
          <w:tcPr>
            <w:tcW w:w="911" w:type="pct"/>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Pr>
          <w:p w:rsidR="001E6AB9" w:rsidRPr="00987287" w:rsidRDefault="001E6AB9" w:rsidP="00987287">
            <w:pPr>
              <w:rPr>
                <w:rFonts w:ascii="Garamond" w:hAnsi="Garamond" w:cs="Times New Roman"/>
                <w:sz w:val="24"/>
                <w:szCs w:val="24"/>
              </w:rPr>
            </w:pPr>
          </w:p>
        </w:tc>
        <w:tc>
          <w:tcPr>
            <w:tcW w:w="866"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(0.036)</w:t>
            </w:r>
          </w:p>
        </w:tc>
        <w:tc>
          <w:tcPr>
            <w:tcW w:w="819"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(0.076)</w:t>
            </w:r>
          </w:p>
        </w:tc>
        <w:tc>
          <w:tcPr>
            <w:tcW w:w="911" w:type="pct"/>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Pr>
          <w:p w:rsidR="001E6AB9" w:rsidRPr="00987287" w:rsidRDefault="001E6AB9" w:rsidP="00987287">
            <w:pPr>
              <w:spacing w:after="0"/>
              <w:rPr>
                <w:rFonts w:ascii="Garamond" w:hAnsi="Garamond" w:cs="Times New Roman"/>
                <w:sz w:val="24"/>
                <w:szCs w:val="24"/>
              </w:rPr>
            </w:pPr>
            <w:r w:rsidRPr="00987287">
              <w:rPr>
                <w:rFonts w:ascii="Garamond" w:hAnsi="Garamond" w:cs="Times New Roman"/>
                <w:sz w:val="24"/>
                <w:szCs w:val="24"/>
              </w:rPr>
              <w:t>Return</w:t>
            </w:r>
          </w:p>
        </w:tc>
        <w:tc>
          <w:tcPr>
            <w:tcW w:w="866" w:type="pct"/>
          </w:tcPr>
          <w:p w:rsidR="001E6AB9" w:rsidRPr="00987287" w:rsidRDefault="001E6AB9" w:rsidP="00987287">
            <w:pPr>
              <w:spacing w:after="0"/>
              <w:rPr>
                <w:rFonts w:ascii="Garamond" w:hAnsi="Garamond" w:cs="Times New Roman"/>
                <w:sz w:val="24"/>
                <w:szCs w:val="24"/>
              </w:rPr>
            </w:pPr>
          </w:p>
        </w:tc>
        <w:tc>
          <w:tcPr>
            <w:tcW w:w="819" w:type="pct"/>
          </w:tcPr>
          <w:p w:rsidR="001E6AB9" w:rsidRPr="00987287" w:rsidRDefault="001E6AB9" w:rsidP="00987287">
            <w:pPr>
              <w:spacing w:after="0"/>
              <w:rPr>
                <w:rFonts w:ascii="Garamond" w:hAnsi="Garamond" w:cs="Times New Roman"/>
                <w:sz w:val="24"/>
                <w:szCs w:val="24"/>
              </w:rPr>
            </w:pPr>
            <w:r w:rsidRPr="00987287">
              <w:rPr>
                <w:rFonts w:ascii="Garamond" w:hAnsi="Garamond" w:cs="Times New Roman"/>
                <w:sz w:val="24"/>
                <w:szCs w:val="24"/>
              </w:rPr>
              <w:t>3.112***</w:t>
            </w:r>
          </w:p>
          <w:p w:rsidR="001E6AB9" w:rsidRPr="00987287" w:rsidRDefault="001E6AB9" w:rsidP="00987287">
            <w:pPr>
              <w:spacing w:after="0"/>
              <w:rPr>
                <w:rFonts w:ascii="Garamond" w:hAnsi="Garamond" w:cs="Times New Roman"/>
                <w:sz w:val="24"/>
                <w:szCs w:val="24"/>
              </w:rPr>
            </w:pPr>
            <w:r w:rsidRPr="00987287">
              <w:rPr>
                <w:rFonts w:ascii="Garamond" w:hAnsi="Garamond" w:cs="Times New Roman"/>
                <w:sz w:val="24"/>
                <w:szCs w:val="24"/>
              </w:rPr>
              <w:t>(-4.03)</w:t>
            </w:r>
          </w:p>
        </w:tc>
        <w:tc>
          <w:tcPr>
            <w:tcW w:w="911" w:type="pct"/>
          </w:tcPr>
          <w:p w:rsidR="001E6AB9" w:rsidRPr="00987287" w:rsidRDefault="001E6AB9" w:rsidP="00987287">
            <w:pPr>
              <w:spacing w:after="0"/>
              <w:rPr>
                <w:rFonts w:ascii="Garamond" w:hAnsi="Garamond" w:cs="Times New Roman"/>
                <w:sz w:val="24"/>
                <w:szCs w:val="24"/>
              </w:rPr>
            </w:pPr>
            <w:r w:rsidRPr="00987287">
              <w:rPr>
                <w:rFonts w:ascii="Garamond" w:hAnsi="Garamond" w:cs="Times New Roman"/>
                <w:sz w:val="24"/>
                <w:szCs w:val="24"/>
              </w:rPr>
              <w:t>2.341**</w:t>
            </w:r>
          </w:p>
          <w:p w:rsidR="001E6AB9" w:rsidRPr="00987287" w:rsidRDefault="001E6AB9" w:rsidP="00987287">
            <w:pPr>
              <w:spacing w:after="0"/>
              <w:rPr>
                <w:rFonts w:ascii="Garamond" w:hAnsi="Garamond" w:cs="Times New Roman"/>
                <w:sz w:val="24"/>
                <w:szCs w:val="24"/>
              </w:rPr>
            </w:pPr>
            <w:r w:rsidRPr="00987287">
              <w:rPr>
                <w:rFonts w:ascii="Garamond" w:hAnsi="Garamond" w:cs="Times New Roman"/>
                <w:sz w:val="24"/>
                <w:szCs w:val="24"/>
              </w:rPr>
              <w:t>(2.69)</w:t>
            </w:r>
          </w:p>
        </w:tc>
      </w:tr>
      <w:tr w:rsidR="001E6AB9" w:rsidRPr="00987287" w:rsidTr="0008714A">
        <w:trPr>
          <w:trHeight w:hRule="exact" w:val="288"/>
        </w:trPr>
        <w:tc>
          <w:tcPr>
            <w:tcW w:w="2404" w:type="pct"/>
          </w:tcPr>
          <w:p w:rsidR="001E6AB9" w:rsidRPr="00987287" w:rsidRDefault="001E6AB9" w:rsidP="00987287">
            <w:pPr>
              <w:spacing w:after="0"/>
              <w:rPr>
                <w:rFonts w:ascii="Garamond" w:hAnsi="Garamond" w:cs="Times New Roman"/>
                <w:sz w:val="24"/>
                <w:szCs w:val="24"/>
              </w:rPr>
            </w:pPr>
          </w:p>
        </w:tc>
        <w:tc>
          <w:tcPr>
            <w:tcW w:w="866" w:type="pct"/>
          </w:tcPr>
          <w:p w:rsidR="001E6AB9" w:rsidRPr="00987287" w:rsidRDefault="001E6AB9" w:rsidP="00987287">
            <w:pPr>
              <w:spacing w:after="0"/>
              <w:rPr>
                <w:rFonts w:ascii="Garamond" w:hAnsi="Garamond" w:cs="Times New Roman"/>
                <w:sz w:val="24"/>
                <w:szCs w:val="24"/>
              </w:rPr>
            </w:pPr>
          </w:p>
        </w:tc>
        <w:tc>
          <w:tcPr>
            <w:tcW w:w="819" w:type="pct"/>
          </w:tcPr>
          <w:p w:rsidR="001E6AB9" w:rsidRPr="00987287" w:rsidRDefault="001E6AB9" w:rsidP="00987287">
            <w:pPr>
              <w:spacing w:after="0"/>
              <w:rPr>
                <w:rFonts w:ascii="Garamond" w:hAnsi="Garamond" w:cs="Times New Roman"/>
                <w:sz w:val="24"/>
                <w:szCs w:val="24"/>
              </w:rPr>
            </w:pPr>
            <w:r w:rsidRPr="00987287">
              <w:rPr>
                <w:rFonts w:ascii="Garamond" w:hAnsi="Garamond" w:cs="Times New Roman"/>
                <w:sz w:val="24"/>
                <w:szCs w:val="24"/>
              </w:rPr>
              <w:t>(1.058)</w:t>
            </w:r>
          </w:p>
          <w:p w:rsidR="001E6AB9" w:rsidRPr="00987287" w:rsidRDefault="001E6AB9" w:rsidP="00987287">
            <w:pPr>
              <w:spacing w:after="0"/>
              <w:rPr>
                <w:rFonts w:ascii="Garamond" w:hAnsi="Garamond" w:cs="Times New Roman"/>
                <w:sz w:val="24"/>
                <w:szCs w:val="24"/>
              </w:rPr>
            </w:pPr>
            <w:r w:rsidRPr="00987287">
              <w:rPr>
                <w:rFonts w:ascii="Garamond" w:hAnsi="Garamond" w:cs="Times New Roman"/>
                <w:sz w:val="24"/>
                <w:szCs w:val="24"/>
              </w:rPr>
              <w:t>(-4.03)</w:t>
            </w:r>
          </w:p>
        </w:tc>
        <w:tc>
          <w:tcPr>
            <w:tcW w:w="911" w:type="pct"/>
          </w:tcPr>
          <w:p w:rsidR="001E6AB9" w:rsidRPr="00987287" w:rsidRDefault="001E6AB9" w:rsidP="00987287">
            <w:pPr>
              <w:spacing w:after="0"/>
              <w:rPr>
                <w:rFonts w:ascii="Garamond" w:hAnsi="Garamond" w:cs="Times New Roman"/>
                <w:sz w:val="24"/>
                <w:szCs w:val="24"/>
              </w:rPr>
            </w:pPr>
            <w:r w:rsidRPr="00987287">
              <w:rPr>
                <w:rFonts w:ascii="Garamond" w:hAnsi="Garamond" w:cs="Times New Roman"/>
                <w:sz w:val="24"/>
                <w:szCs w:val="24"/>
              </w:rPr>
              <w:t>(0.062)</w:t>
            </w:r>
          </w:p>
          <w:p w:rsidR="001E6AB9" w:rsidRPr="00987287" w:rsidRDefault="001E6AB9" w:rsidP="00987287">
            <w:pPr>
              <w:spacing w:after="0"/>
              <w:rPr>
                <w:rFonts w:ascii="Garamond" w:hAnsi="Garamond" w:cs="Times New Roman"/>
                <w:sz w:val="24"/>
                <w:szCs w:val="24"/>
              </w:rPr>
            </w:pPr>
            <w:r w:rsidRPr="00987287">
              <w:rPr>
                <w:rFonts w:ascii="Garamond" w:hAnsi="Garamond" w:cs="Times New Roman"/>
                <w:sz w:val="24"/>
                <w:szCs w:val="24"/>
              </w:rPr>
              <w:t>(2.69)</w:t>
            </w:r>
          </w:p>
        </w:tc>
      </w:tr>
      <w:tr w:rsidR="001E6AB9" w:rsidRPr="00987287" w:rsidTr="0008714A">
        <w:trPr>
          <w:trHeight w:hRule="exact" w:val="288"/>
        </w:trPr>
        <w:tc>
          <w:tcPr>
            <w:tcW w:w="2404"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Financial firm size</w:t>
            </w:r>
          </w:p>
        </w:tc>
        <w:tc>
          <w:tcPr>
            <w:tcW w:w="866"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-0.662***</w:t>
            </w:r>
          </w:p>
        </w:tc>
        <w:tc>
          <w:tcPr>
            <w:tcW w:w="819"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3.212***</w:t>
            </w:r>
          </w:p>
        </w:tc>
        <w:tc>
          <w:tcPr>
            <w:tcW w:w="911"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-4.137*</w:t>
            </w:r>
          </w:p>
        </w:tc>
      </w:tr>
      <w:tr w:rsidR="001E6AB9" w:rsidRPr="00987287" w:rsidTr="0008714A">
        <w:trPr>
          <w:trHeight w:hRule="exact" w:val="288"/>
        </w:trPr>
        <w:tc>
          <w:tcPr>
            <w:tcW w:w="2404" w:type="pct"/>
          </w:tcPr>
          <w:p w:rsidR="001E6AB9" w:rsidRPr="00987287" w:rsidRDefault="001E6AB9" w:rsidP="00987287">
            <w:pPr>
              <w:rPr>
                <w:rFonts w:ascii="Garamond" w:hAnsi="Garamond" w:cs="Times New Roman"/>
                <w:sz w:val="24"/>
                <w:szCs w:val="24"/>
              </w:rPr>
            </w:pPr>
          </w:p>
        </w:tc>
        <w:tc>
          <w:tcPr>
            <w:tcW w:w="866"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(0.041)</w:t>
            </w:r>
          </w:p>
        </w:tc>
        <w:tc>
          <w:tcPr>
            <w:tcW w:w="819"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(0.035)</w:t>
            </w:r>
          </w:p>
        </w:tc>
        <w:tc>
          <w:tcPr>
            <w:tcW w:w="911"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(0.051)</w:t>
            </w:r>
          </w:p>
        </w:tc>
      </w:tr>
      <w:tr w:rsidR="001E6AB9" w:rsidRPr="00987287" w:rsidTr="0008714A">
        <w:trPr>
          <w:trHeight w:hRule="exact" w:val="288"/>
        </w:trPr>
        <w:tc>
          <w:tcPr>
            <w:tcW w:w="2404"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Stock prices</w:t>
            </w:r>
          </w:p>
        </w:tc>
        <w:tc>
          <w:tcPr>
            <w:tcW w:w="866" w:type="pct"/>
          </w:tcPr>
          <w:p w:rsidR="001E6AB9" w:rsidRPr="00987287" w:rsidRDefault="001E6AB9" w:rsidP="00987287">
            <w:pPr>
              <w:rPr>
                <w:rFonts w:ascii="Garamond" w:hAnsi="Garamond" w:cs="Times New Roman"/>
                <w:sz w:val="24"/>
                <w:szCs w:val="24"/>
              </w:rPr>
            </w:pPr>
          </w:p>
        </w:tc>
        <w:tc>
          <w:tcPr>
            <w:tcW w:w="819" w:type="pct"/>
          </w:tcPr>
          <w:p w:rsidR="001E6AB9" w:rsidRPr="00987287" w:rsidRDefault="001E6AB9" w:rsidP="00987287">
            <w:pPr>
              <w:rPr>
                <w:rFonts w:ascii="Garamond" w:hAnsi="Garamond" w:cs="Times New Roman"/>
                <w:sz w:val="24"/>
                <w:szCs w:val="24"/>
              </w:rPr>
            </w:pPr>
          </w:p>
        </w:tc>
        <w:tc>
          <w:tcPr>
            <w:tcW w:w="911"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0.462***</w:t>
            </w:r>
          </w:p>
        </w:tc>
      </w:tr>
      <w:tr w:rsidR="001E6AB9" w:rsidRPr="00987287" w:rsidTr="0008714A">
        <w:trPr>
          <w:trHeight w:hRule="exact" w:val="288"/>
        </w:trPr>
        <w:tc>
          <w:tcPr>
            <w:tcW w:w="2404" w:type="pct"/>
            <w:tcBorders>
              <w:bottom w:val="single" w:sz="4" w:space="0" w:color="auto"/>
            </w:tcBorders>
          </w:tcPr>
          <w:p w:rsidR="001E6AB9" w:rsidRPr="00987287" w:rsidRDefault="001E6AB9" w:rsidP="00987287">
            <w:pPr>
              <w:rPr>
                <w:rFonts w:ascii="Garamond" w:hAnsi="Garamond" w:cs="Times New Roman"/>
                <w:sz w:val="24"/>
                <w:szCs w:val="24"/>
              </w:rPr>
            </w:pPr>
          </w:p>
        </w:tc>
        <w:tc>
          <w:tcPr>
            <w:tcW w:w="866" w:type="pct"/>
            <w:tcBorders>
              <w:bottom w:val="single" w:sz="4" w:space="0" w:color="auto"/>
            </w:tcBorders>
          </w:tcPr>
          <w:p w:rsidR="001E6AB9" w:rsidRPr="00987287" w:rsidRDefault="001E6AB9" w:rsidP="00987287">
            <w:pPr>
              <w:rPr>
                <w:rFonts w:ascii="Garamond" w:hAnsi="Garamond" w:cs="Times New Roman"/>
                <w:sz w:val="24"/>
                <w:szCs w:val="24"/>
              </w:rPr>
            </w:pPr>
          </w:p>
        </w:tc>
        <w:tc>
          <w:tcPr>
            <w:tcW w:w="819" w:type="pct"/>
            <w:tcBorders>
              <w:bottom w:val="single" w:sz="4" w:space="0" w:color="auto"/>
            </w:tcBorders>
          </w:tcPr>
          <w:p w:rsidR="001E6AB9" w:rsidRPr="00987287" w:rsidRDefault="001E6AB9" w:rsidP="00987287">
            <w:pPr>
              <w:rPr>
                <w:rFonts w:ascii="Garamond" w:hAnsi="Garamond" w:cs="Times New Roman"/>
                <w:sz w:val="24"/>
                <w:szCs w:val="24"/>
              </w:rPr>
            </w:pPr>
          </w:p>
        </w:tc>
        <w:tc>
          <w:tcPr>
            <w:tcW w:w="911"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(0.038)</w:t>
            </w:r>
          </w:p>
        </w:tc>
      </w:tr>
      <w:tr w:rsidR="001E6AB9" w:rsidRPr="00987287" w:rsidTr="0008714A">
        <w:trPr>
          <w:trHeight w:hRule="exact" w:val="288"/>
        </w:trPr>
        <w:tc>
          <w:tcPr>
            <w:tcW w:w="2404"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Governance Structure</w:t>
            </w:r>
          </w:p>
        </w:tc>
        <w:tc>
          <w:tcPr>
            <w:tcW w:w="866"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819"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911"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State ownership</w:t>
            </w:r>
          </w:p>
        </w:tc>
        <w:tc>
          <w:tcPr>
            <w:tcW w:w="866" w:type="pct"/>
            <w:tcBorders>
              <w:top w:val="single" w:sz="4" w:space="0" w:color="auto"/>
            </w:tcBorders>
          </w:tcPr>
          <w:p w:rsidR="001E6AB9" w:rsidRPr="00987287" w:rsidRDefault="001E6AB9" w:rsidP="00987287">
            <w:pPr>
              <w:rPr>
                <w:rFonts w:ascii="Garamond" w:hAnsi="Garamond" w:cs="Times New Roman"/>
                <w:sz w:val="24"/>
                <w:szCs w:val="24"/>
              </w:rPr>
            </w:pPr>
          </w:p>
        </w:tc>
        <w:tc>
          <w:tcPr>
            <w:tcW w:w="819"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-3.158***</w:t>
            </w:r>
          </w:p>
        </w:tc>
        <w:tc>
          <w:tcPr>
            <w:tcW w:w="911" w:type="pct"/>
            <w:tcBorders>
              <w:top w:val="single" w:sz="4" w:space="0" w:color="auto"/>
            </w:tcBorders>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Pr>
          <w:p w:rsidR="001E6AB9" w:rsidRPr="00987287" w:rsidRDefault="001E6AB9" w:rsidP="00987287">
            <w:pPr>
              <w:rPr>
                <w:rFonts w:ascii="Garamond" w:hAnsi="Garamond" w:cs="Times New Roman"/>
                <w:sz w:val="24"/>
                <w:szCs w:val="24"/>
              </w:rPr>
            </w:pPr>
          </w:p>
        </w:tc>
        <w:tc>
          <w:tcPr>
            <w:tcW w:w="866" w:type="pct"/>
          </w:tcPr>
          <w:p w:rsidR="001E6AB9" w:rsidRPr="00987287" w:rsidRDefault="001E6AB9" w:rsidP="00987287">
            <w:pPr>
              <w:rPr>
                <w:rFonts w:ascii="Garamond" w:hAnsi="Garamond" w:cs="Times New Roman"/>
                <w:sz w:val="24"/>
                <w:szCs w:val="24"/>
              </w:rPr>
            </w:pPr>
          </w:p>
        </w:tc>
        <w:tc>
          <w:tcPr>
            <w:tcW w:w="819"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(0.033)</w:t>
            </w:r>
          </w:p>
        </w:tc>
        <w:tc>
          <w:tcPr>
            <w:tcW w:w="911" w:type="pct"/>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Board size</w:t>
            </w:r>
          </w:p>
        </w:tc>
        <w:tc>
          <w:tcPr>
            <w:tcW w:w="866" w:type="pct"/>
          </w:tcPr>
          <w:p w:rsidR="001E6AB9" w:rsidRPr="00987287" w:rsidRDefault="001E6AB9" w:rsidP="00987287">
            <w:pPr>
              <w:rPr>
                <w:rFonts w:ascii="Garamond" w:hAnsi="Garamond" w:cs="Times New Roman"/>
                <w:sz w:val="24"/>
                <w:szCs w:val="24"/>
              </w:rPr>
            </w:pPr>
          </w:p>
        </w:tc>
        <w:tc>
          <w:tcPr>
            <w:tcW w:w="819"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2.269***</w:t>
            </w:r>
          </w:p>
        </w:tc>
        <w:tc>
          <w:tcPr>
            <w:tcW w:w="911" w:type="pct"/>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Borders>
              <w:bottom w:val="single" w:sz="4" w:space="0" w:color="auto"/>
            </w:tcBorders>
          </w:tcPr>
          <w:p w:rsidR="001E6AB9" w:rsidRPr="00987287" w:rsidRDefault="001E6AB9" w:rsidP="00987287">
            <w:pPr>
              <w:rPr>
                <w:rFonts w:ascii="Garamond" w:hAnsi="Garamond" w:cs="Times New Roman"/>
                <w:sz w:val="24"/>
                <w:szCs w:val="24"/>
              </w:rPr>
            </w:pPr>
          </w:p>
        </w:tc>
        <w:tc>
          <w:tcPr>
            <w:tcW w:w="866" w:type="pct"/>
            <w:tcBorders>
              <w:bottom w:val="single" w:sz="4" w:space="0" w:color="auto"/>
            </w:tcBorders>
          </w:tcPr>
          <w:p w:rsidR="001E6AB9" w:rsidRPr="00987287" w:rsidRDefault="001E6AB9" w:rsidP="00987287">
            <w:pPr>
              <w:rPr>
                <w:rFonts w:ascii="Garamond" w:hAnsi="Garamond" w:cs="Times New Roman"/>
                <w:sz w:val="24"/>
                <w:szCs w:val="24"/>
              </w:rPr>
            </w:pPr>
          </w:p>
        </w:tc>
        <w:tc>
          <w:tcPr>
            <w:tcW w:w="819"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(0.028)</w:t>
            </w:r>
          </w:p>
        </w:tc>
        <w:tc>
          <w:tcPr>
            <w:tcW w:w="911" w:type="pct"/>
            <w:tcBorders>
              <w:bottom w:val="single" w:sz="4" w:space="0" w:color="auto"/>
            </w:tcBorders>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Dummy variables</w:t>
            </w:r>
          </w:p>
        </w:tc>
        <w:tc>
          <w:tcPr>
            <w:tcW w:w="866"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819"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911"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Year dummies</w:t>
            </w:r>
          </w:p>
        </w:tc>
        <w:tc>
          <w:tcPr>
            <w:tcW w:w="866"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YES</w:t>
            </w:r>
          </w:p>
        </w:tc>
        <w:tc>
          <w:tcPr>
            <w:tcW w:w="819"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YES</w:t>
            </w:r>
          </w:p>
        </w:tc>
        <w:tc>
          <w:tcPr>
            <w:tcW w:w="911"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YES</w:t>
            </w:r>
          </w:p>
        </w:tc>
      </w:tr>
      <w:tr w:rsidR="001E6AB9" w:rsidRPr="00987287" w:rsidTr="0008714A">
        <w:trPr>
          <w:trHeight w:hRule="exact" w:val="288"/>
        </w:trPr>
        <w:tc>
          <w:tcPr>
            <w:tcW w:w="2404"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Industry dummies</w:t>
            </w:r>
          </w:p>
        </w:tc>
        <w:tc>
          <w:tcPr>
            <w:tcW w:w="866"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YES</w:t>
            </w:r>
          </w:p>
        </w:tc>
        <w:tc>
          <w:tcPr>
            <w:tcW w:w="819"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YES</w:t>
            </w:r>
          </w:p>
        </w:tc>
        <w:tc>
          <w:tcPr>
            <w:tcW w:w="911"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YES</w:t>
            </w:r>
          </w:p>
        </w:tc>
      </w:tr>
      <w:tr w:rsidR="001E6AB9" w:rsidRPr="00987287" w:rsidTr="0008714A">
        <w:trPr>
          <w:trHeight w:hRule="exact" w:val="288"/>
        </w:trPr>
        <w:tc>
          <w:tcPr>
            <w:tcW w:w="2404"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R-square</w:t>
            </w:r>
          </w:p>
        </w:tc>
        <w:tc>
          <w:tcPr>
            <w:tcW w:w="866"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0.458</w:t>
            </w:r>
          </w:p>
        </w:tc>
        <w:tc>
          <w:tcPr>
            <w:tcW w:w="819"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0.713</w:t>
            </w:r>
          </w:p>
        </w:tc>
        <w:tc>
          <w:tcPr>
            <w:tcW w:w="911"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0.629</w:t>
            </w:r>
          </w:p>
        </w:tc>
      </w:tr>
    </w:tbl>
    <w:p w:rsidR="00527ED1" w:rsidRPr="00AD15B4" w:rsidRDefault="00527ED1" w:rsidP="00527ED1">
      <w:pPr>
        <w:rPr>
          <w:rFonts w:ascii="Garamond" w:hAnsi="Garamond" w:cs="Times New Roman"/>
          <w:color w:val="000000" w:themeColor="text1"/>
          <w:sz w:val="24"/>
          <w:szCs w:val="24"/>
        </w:rPr>
      </w:pPr>
      <w:r w:rsidRPr="00AD15B4">
        <w:rPr>
          <w:rFonts w:ascii="Garamond" w:hAnsi="Garamond" w:cs="Times New Roman"/>
          <w:color w:val="000000" w:themeColor="text1"/>
          <w:sz w:val="24"/>
          <w:szCs w:val="24"/>
        </w:rPr>
        <w:t xml:space="preserve">Robust standard errors are reported in the parentheses. ***, **, and * indicate statistical significance at the 1%, 5% and 10% levels, respectively. </w:t>
      </w: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sectPr w:rsidR="001E6AB9" w:rsidRPr="00987287">
          <w:pgSz w:w="12240" w:h="15840"/>
          <w:pgMar w:top="1440" w:right="1440" w:bottom="1440" w:left="1440" w:header="720" w:footer="720" w:gutter="0"/>
          <w:cols w:space="720"/>
          <w:docGrid w:linePitch="360"/>
        </w:sectPr>
      </w:pPr>
    </w:p>
    <w:p w:rsidR="001E6AB9" w:rsidRPr="00987287" w:rsidRDefault="001E6AB9" w:rsidP="00987287">
      <w:pPr>
        <w:rPr>
          <w:rFonts w:ascii="Garamond" w:hAnsi="Garamond" w:cs="Times New Roman"/>
          <w:sz w:val="24"/>
          <w:szCs w:val="24"/>
        </w:rPr>
      </w:pPr>
      <w:r w:rsidRPr="00987287">
        <w:rPr>
          <w:rFonts w:ascii="Garamond" w:hAnsi="Garamond" w:cs="Times New Roman"/>
          <w:b/>
          <w:sz w:val="24"/>
          <w:szCs w:val="24"/>
        </w:rPr>
        <w:lastRenderedPageBreak/>
        <w:t>Table 5:</w:t>
      </w:r>
      <w:r w:rsidRPr="00987287">
        <w:rPr>
          <w:rFonts w:ascii="Garamond" w:hAnsi="Garamond" w:cs="Times New Roman"/>
          <w:sz w:val="24"/>
          <w:szCs w:val="24"/>
        </w:rPr>
        <w:t xml:space="preserve"> </w:t>
      </w:r>
      <w:r w:rsidR="0008714A" w:rsidRPr="00987287">
        <w:rPr>
          <w:rFonts w:ascii="Garamond" w:hAnsi="Garamond" w:cs="Times New Roman"/>
          <w:sz w:val="24"/>
          <w:szCs w:val="24"/>
        </w:rPr>
        <w:t xml:space="preserve">Simultaneous Equations (3SLS): </w:t>
      </w:r>
      <w:r w:rsidRPr="00987287">
        <w:rPr>
          <w:rFonts w:ascii="Garamond" w:hAnsi="Garamond" w:cs="Times New Roman"/>
          <w:sz w:val="24"/>
          <w:szCs w:val="24"/>
        </w:rPr>
        <w:t>Banking sector performance measure (Write-offs) and CEO compensation structure</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1621"/>
        <w:gridCol w:w="1533"/>
        <w:gridCol w:w="1705"/>
      </w:tblGrid>
      <w:tr w:rsidR="001E6AB9" w:rsidRPr="00987287" w:rsidTr="0008714A">
        <w:trPr>
          <w:trHeight w:hRule="exact" w:val="288"/>
        </w:trPr>
        <w:tc>
          <w:tcPr>
            <w:tcW w:w="2404"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Variables</w:t>
            </w:r>
          </w:p>
        </w:tc>
        <w:tc>
          <w:tcPr>
            <w:tcW w:w="866"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Write-offs</w:t>
            </w:r>
          </w:p>
        </w:tc>
        <w:tc>
          <w:tcPr>
            <w:tcW w:w="819"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Vega</w:t>
            </w:r>
          </w:p>
        </w:tc>
        <w:tc>
          <w:tcPr>
            <w:tcW w:w="911"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Delta</w:t>
            </w:r>
          </w:p>
        </w:tc>
      </w:tr>
      <w:tr w:rsidR="001E6AB9" w:rsidRPr="00987287" w:rsidTr="0008714A">
        <w:trPr>
          <w:trHeight w:hRule="exact" w:val="288"/>
        </w:trPr>
        <w:tc>
          <w:tcPr>
            <w:tcW w:w="2404"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CEO compensation measures</w:t>
            </w:r>
          </w:p>
        </w:tc>
        <w:tc>
          <w:tcPr>
            <w:tcW w:w="866"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819"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911"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Vega</w:t>
            </w:r>
          </w:p>
        </w:tc>
        <w:tc>
          <w:tcPr>
            <w:tcW w:w="866"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1.362***</w:t>
            </w: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p w:rsidR="001E6AB9" w:rsidRPr="00987287" w:rsidRDefault="001E6AB9" w:rsidP="00987287">
            <w:pPr>
              <w:rPr>
                <w:rFonts w:ascii="Garamond" w:hAnsi="Garamond" w:cs="Times New Roman"/>
                <w:sz w:val="24"/>
                <w:szCs w:val="24"/>
              </w:rPr>
            </w:pPr>
          </w:p>
        </w:tc>
        <w:tc>
          <w:tcPr>
            <w:tcW w:w="819" w:type="pct"/>
            <w:tcBorders>
              <w:top w:val="single" w:sz="4" w:space="0" w:color="auto"/>
            </w:tcBorders>
          </w:tcPr>
          <w:p w:rsidR="001E6AB9" w:rsidRPr="00987287" w:rsidRDefault="001E6AB9" w:rsidP="00987287">
            <w:pPr>
              <w:rPr>
                <w:rFonts w:ascii="Garamond" w:hAnsi="Garamond" w:cs="Times New Roman"/>
                <w:sz w:val="24"/>
                <w:szCs w:val="24"/>
              </w:rPr>
            </w:pPr>
          </w:p>
        </w:tc>
        <w:tc>
          <w:tcPr>
            <w:tcW w:w="911"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1.586***</w:t>
            </w:r>
          </w:p>
        </w:tc>
      </w:tr>
      <w:tr w:rsidR="001E6AB9" w:rsidRPr="00987287" w:rsidTr="0008714A">
        <w:trPr>
          <w:trHeight w:hRule="exact" w:val="288"/>
        </w:trPr>
        <w:tc>
          <w:tcPr>
            <w:tcW w:w="2404" w:type="pct"/>
          </w:tcPr>
          <w:p w:rsidR="001E6AB9" w:rsidRPr="00987287" w:rsidRDefault="001E6AB9" w:rsidP="00987287">
            <w:pPr>
              <w:rPr>
                <w:rFonts w:ascii="Garamond" w:hAnsi="Garamond" w:cs="Times New Roman"/>
                <w:sz w:val="24"/>
                <w:szCs w:val="24"/>
              </w:rPr>
            </w:pPr>
          </w:p>
        </w:tc>
        <w:tc>
          <w:tcPr>
            <w:tcW w:w="866"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(0.035)</w:t>
            </w:r>
          </w:p>
        </w:tc>
        <w:tc>
          <w:tcPr>
            <w:tcW w:w="819" w:type="pct"/>
          </w:tcPr>
          <w:p w:rsidR="001E6AB9" w:rsidRPr="00987287" w:rsidRDefault="001E6AB9" w:rsidP="00987287">
            <w:pPr>
              <w:rPr>
                <w:rFonts w:ascii="Garamond" w:hAnsi="Garamond" w:cs="Times New Roman"/>
                <w:sz w:val="24"/>
                <w:szCs w:val="24"/>
              </w:rPr>
            </w:pPr>
          </w:p>
        </w:tc>
        <w:tc>
          <w:tcPr>
            <w:tcW w:w="911"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(0.042)</w:t>
            </w:r>
          </w:p>
        </w:tc>
      </w:tr>
      <w:tr w:rsidR="001E6AB9" w:rsidRPr="00987287" w:rsidTr="0008714A">
        <w:trPr>
          <w:trHeight w:hRule="exact" w:val="288"/>
        </w:trPr>
        <w:tc>
          <w:tcPr>
            <w:tcW w:w="2404"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Delta</w:t>
            </w:r>
          </w:p>
        </w:tc>
        <w:tc>
          <w:tcPr>
            <w:tcW w:w="866"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-0.041***</w:t>
            </w:r>
          </w:p>
        </w:tc>
        <w:tc>
          <w:tcPr>
            <w:tcW w:w="819"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0.582***</w:t>
            </w:r>
          </w:p>
        </w:tc>
        <w:tc>
          <w:tcPr>
            <w:tcW w:w="911" w:type="pct"/>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Pr>
          <w:p w:rsidR="001E6AB9" w:rsidRPr="00987287" w:rsidRDefault="001E6AB9" w:rsidP="00987287">
            <w:pPr>
              <w:rPr>
                <w:rFonts w:ascii="Garamond" w:hAnsi="Garamond" w:cs="Times New Roman"/>
                <w:sz w:val="24"/>
                <w:szCs w:val="24"/>
              </w:rPr>
            </w:pPr>
          </w:p>
        </w:tc>
        <w:tc>
          <w:tcPr>
            <w:tcW w:w="866"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(0.058)</w:t>
            </w:r>
          </w:p>
        </w:tc>
        <w:tc>
          <w:tcPr>
            <w:tcW w:w="819"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(0.049)</w:t>
            </w:r>
          </w:p>
        </w:tc>
        <w:tc>
          <w:tcPr>
            <w:tcW w:w="911" w:type="pct"/>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Financial firm size</w:t>
            </w:r>
          </w:p>
        </w:tc>
        <w:tc>
          <w:tcPr>
            <w:tcW w:w="866"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0.361***</w:t>
            </w:r>
          </w:p>
        </w:tc>
        <w:tc>
          <w:tcPr>
            <w:tcW w:w="819"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3.768***</w:t>
            </w:r>
          </w:p>
        </w:tc>
        <w:tc>
          <w:tcPr>
            <w:tcW w:w="911"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-4.371*</w:t>
            </w:r>
          </w:p>
        </w:tc>
      </w:tr>
      <w:tr w:rsidR="001E6AB9" w:rsidRPr="00987287" w:rsidTr="0008714A">
        <w:trPr>
          <w:trHeight w:hRule="exact" w:val="288"/>
        </w:trPr>
        <w:tc>
          <w:tcPr>
            <w:tcW w:w="2404" w:type="pct"/>
          </w:tcPr>
          <w:p w:rsidR="001E6AB9" w:rsidRPr="00987287" w:rsidRDefault="001E6AB9" w:rsidP="00987287">
            <w:pPr>
              <w:rPr>
                <w:rFonts w:ascii="Garamond" w:hAnsi="Garamond" w:cs="Times New Roman"/>
                <w:sz w:val="24"/>
                <w:szCs w:val="24"/>
              </w:rPr>
            </w:pPr>
          </w:p>
        </w:tc>
        <w:tc>
          <w:tcPr>
            <w:tcW w:w="866"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(0.037)</w:t>
            </w:r>
          </w:p>
        </w:tc>
        <w:tc>
          <w:tcPr>
            <w:tcW w:w="819"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(0.013)</w:t>
            </w:r>
          </w:p>
        </w:tc>
        <w:tc>
          <w:tcPr>
            <w:tcW w:w="911"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(0.049)</w:t>
            </w:r>
          </w:p>
        </w:tc>
      </w:tr>
      <w:tr w:rsidR="001E6AB9" w:rsidRPr="00987287" w:rsidTr="0008714A">
        <w:trPr>
          <w:trHeight w:hRule="exact" w:val="288"/>
        </w:trPr>
        <w:tc>
          <w:tcPr>
            <w:tcW w:w="2404"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Stock prices</w:t>
            </w:r>
          </w:p>
        </w:tc>
        <w:tc>
          <w:tcPr>
            <w:tcW w:w="866" w:type="pct"/>
          </w:tcPr>
          <w:p w:rsidR="001E6AB9" w:rsidRPr="00987287" w:rsidRDefault="001E6AB9" w:rsidP="00987287">
            <w:pPr>
              <w:rPr>
                <w:rFonts w:ascii="Garamond" w:hAnsi="Garamond" w:cs="Times New Roman"/>
                <w:sz w:val="24"/>
                <w:szCs w:val="24"/>
              </w:rPr>
            </w:pPr>
          </w:p>
        </w:tc>
        <w:tc>
          <w:tcPr>
            <w:tcW w:w="819" w:type="pct"/>
          </w:tcPr>
          <w:p w:rsidR="001E6AB9" w:rsidRPr="00987287" w:rsidRDefault="001E6AB9" w:rsidP="00987287">
            <w:pPr>
              <w:rPr>
                <w:rFonts w:ascii="Garamond" w:hAnsi="Garamond" w:cs="Times New Roman"/>
                <w:sz w:val="24"/>
                <w:szCs w:val="24"/>
              </w:rPr>
            </w:pPr>
          </w:p>
        </w:tc>
        <w:tc>
          <w:tcPr>
            <w:tcW w:w="911"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0.668***</w:t>
            </w:r>
          </w:p>
        </w:tc>
      </w:tr>
      <w:tr w:rsidR="001E6AB9" w:rsidRPr="00987287" w:rsidTr="0008714A">
        <w:trPr>
          <w:trHeight w:hRule="exact" w:val="288"/>
        </w:trPr>
        <w:tc>
          <w:tcPr>
            <w:tcW w:w="2404" w:type="pct"/>
            <w:tcBorders>
              <w:bottom w:val="single" w:sz="4" w:space="0" w:color="auto"/>
            </w:tcBorders>
          </w:tcPr>
          <w:p w:rsidR="001E6AB9" w:rsidRPr="00987287" w:rsidRDefault="001E6AB9" w:rsidP="00987287">
            <w:pPr>
              <w:rPr>
                <w:rFonts w:ascii="Garamond" w:hAnsi="Garamond" w:cs="Times New Roman"/>
                <w:sz w:val="24"/>
                <w:szCs w:val="24"/>
              </w:rPr>
            </w:pPr>
          </w:p>
        </w:tc>
        <w:tc>
          <w:tcPr>
            <w:tcW w:w="866" w:type="pct"/>
            <w:tcBorders>
              <w:bottom w:val="single" w:sz="4" w:space="0" w:color="auto"/>
            </w:tcBorders>
          </w:tcPr>
          <w:p w:rsidR="001E6AB9" w:rsidRPr="00987287" w:rsidRDefault="001E6AB9" w:rsidP="00987287">
            <w:pPr>
              <w:rPr>
                <w:rFonts w:ascii="Garamond" w:hAnsi="Garamond" w:cs="Times New Roman"/>
                <w:sz w:val="24"/>
                <w:szCs w:val="24"/>
              </w:rPr>
            </w:pPr>
          </w:p>
        </w:tc>
        <w:tc>
          <w:tcPr>
            <w:tcW w:w="819" w:type="pct"/>
            <w:tcBorders>
              <w:bottom w:val="single" w:sz="4" w:space="0" w:color="auto"/>
            </w:tcBorders>
          </w:tcPr>
          <w:p w:rsidR="001E6AB9" w:rsidRPr="00987287" w:rsidRDefault="001E6AB9" w:rsidP="00987287">
            <w:pPr>
              <w:rPr>
                <w:rFonts w:ascii="Garamond" w:hAnsi="Garamond" w:cs="Times New Roman"/>
                <w:sz w:val="24"/>
                <w:szCs w:val="24"/>
              </w:rPr>
            </w:pPr>
          </w:p>
        </w:tc>
        <w:tc>
          <w:tcPr>
            <w:tcW w:w="911"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(0.073)</w:t>
            </w:r>
          </w:p>
        </w:tc>
      </w:tr>
      <w:tr w:rsidR="001E6AB9" w:rsidRPr="00987287" w:rsidTr="0008714A">
        <w:trPr>
          <w:trHeight w:hRule="exact" w:val="288"/>
        </w:trPr>
        <w:tc>
          <w:tcPr>
            <w:tcW w:w="2404"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Governance Structure</w:t>
            </w:r>
          </w:p>
        </w:tc>
        <w:tc>
          <w:tcPr>
            <w:tcW w:w="866"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819"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911"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State ownership</w:t>
            </w:r>
          </w:p>
        </w:tc>
        <w:tc>
          <w:tcPr>
            <w:tcW w:w="866" w:type="pct"/>
            <w:tcBorders>
              <w:top w:val="single" w:sz="4" w:space="0" w:color="auto"/>
            </w:tcBorders>
          </w:tcPr>
          <w:p w:rsidR="001E6AB9" w:rsidRPr="00987287" w:rsidRDefault="001E6AB9" w:rsidP="00987287">
            <w:pPr>
              <w:rPr>
                <w:rFonts w:ascii="Garamond" w:hAnsi="Garamond" w:cs="Times New Roman"/>
                <w:sz w:val="24"/>
                <w:szCs w:val="24"/>
              </w:rPr>
            </w:pPr>
          </w:p>
        </w:tc>
        <w:tc>
          <w:tcPr>
            <w:tcW w:w="819"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-3.558***</w:t>
            </w:r>
          </w:p>
        </w:tc>
        <w:tc>
          <w:tcPr>
            <w:tcW w:w="911" w:type="pct"/>
            <w:tcBorders>
              <w:top w:val="single" w:sz="4" w:space="0" w:color="auto"/>
            </w:tcBorders>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Pr>
          <w:p w:rsidR="001E6AB9" w:rsidRPr="00987287" w:rsidRDefault="001E6AB9" w:rsidP="00987287">
            <w:pPr>
              <w:rPr>
                <w:rFonts w:ascii="Garamond" w:hAnsi="Garamond" w:cs="Times New Roman"/>
                <w:sz w:val="24"/>
                <w:szCs w:val="24"/>
              </w:rPr>
            </w:pPr>
          </w:p>
        </w:tc>
        <w:tc>
          <w:tcPr>
            <w:tcW w:w="866" w:type="pct"/>
          </w:tcPr>
          <w:p w:rsidR="001E6AB9" w:rsidRPr="00987287" w:rsidRDefault="001E6AB9" w:rsidP="00987287">
            <w:pPr>
              <w:rPr>
                <w:rFonts w:ascii="Garamond" w:hAnsi="Garamond" w:cs="Times New Roman"/>
                <w:sz w:val="24"/>
                <w:szCs w:val="24"/>
              </w:rPr>
            </w:pPr>
          </w:p>
        </w:tc>
        <w:tc>
          <w:tcPr>
            <w:tcW w:w="819"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(0.061)</w:t>
            </w:r>
          </w:p>
        </w:tc>
        <w:tc>
          <w:tcPr>
            <w:tcW w:w="911" w:type="pct"/>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Ownership concentration</w:t>
            </w:r>
          </w:p>
        </w:tc>
        <w:tc>
          <w:tcPr>
            <w:tcW w:w="866" w:type="pct"/>
          </w:tcPr>
          <w:p w:rsidR="001E6AB9" w:rsidRPr="00987287" w:rsidRDefault="001E6AB9" w:rsidP="00987287">
            <w:pPr>
              <w:rPr>
                <w:rFonts w:ascii="Garamond" w:hAnsi="Garamond" w:cs="Times New Roman"/>
                <w:sz w:val="24"/>
                <w:szCs w:val="24"/>
              </w:rPr>
            </w:pPr>
          </w:p>
        </w:tc>
        <w:tc>
          <w:tcPr>
            <w:tcW w:w="819"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-2.732***</w:t>
            </w:r>
          </w:p>
        </w:tc>
        <w:tc>
          <w:tcPr>
            <w:tcW w:w="911" w:type="pct"/>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Pr>
          <w:p w:rsidR="001E6AB9" w:rsidRPr="00987287" w:rsidRDefault="001E6AB9" w:rsidP="00987287">
            <w:pPr>
              <w:rPr>
                <w:rFonts w:ascii="Garamond" w:hAnsi="Garamond" w:cs="Times New Roman"/>
                <w:sz w:val="24"/>
                <w:szCs w:val="24"/>
              </w:rPr>
            </w:pPr>
          </w:p>
        </w:tc>
        <w:tc>
          <w:tcPr>
            <w:tcW w:w="866" w:type="pct"/>
          </w:tcPr>
          <w:p w:rsidR="001E6AB9" w:rsidRPr="00987287" w:rsidRDefault="001E6AB9" w:rsidP="00987287">
            <w:pPr>
              <w:rPr>
                <w:rFonts w:ascii="Garamond" w:hAnsi="Garamond" w:cs="Times New Roman"/>
                <w:sz w:val="24"/>
                <w:szCs w:val="24"/>
              </w:rPr>
            </w:pPr>
          </w:p>
        </w:tc>
        <w:tc>
          <w:tcPr>
            <w:tcW w:w="819"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(0.035)</w:t>
            </w:r>
          </w:p>
        </w:tc>
        <w:tc>
          <w:tcPr>
            <w:tcW w:w="911" w:type="pct"/>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Foreign shares</w:t>
            </w:r>
          </w:p>
        </w:tc>
        <w:tc>
          <w:tcPr>
            <w:tcW w:w="866" w:type="pct"/>
          </w:tcPr>
          <w:p w:rsidR="001E6AB9" w:rsidRPr="00987287" w:rsidRDefault="001E6AB9" w:rsidP="00987287">
            <w:pPr>
              <w:rPr>
                <w:rFonts w:ascii="Garamond" w:hAnsi="Garamond" w:cs="Times New Roman"/>
                <w:sz w:val="24"/>
                <w:szCs w:val="24"/>
              </w:rPr>
            </w:pPr>
          </w:p>
        </w:tc>
        <w:tc>
          <w:tcPr>
            <w:tcW w:w="819"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4.521***</w:t>
            </w:r>
          </w:p>
        </w:tc>
        <w:tc>
          <w:tcPr>
            <w:tcW w:w="911" w:type="pct"/>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Pr>
          <w:p w:rsidR="001E6AB9" w:rsidRPr="00987287" w:rsidRDefault="001E6AB9" w:rsidP="00987287">
            <w:pPr>
              <w:rPr>
                <w:rFonts w:ascii="Garamond" w:hAnsi="Garamond" w:cs="Times New Roman"/>
                <w:sz w:val="24"/>
                <w:szCs w:val="24"/>
              </w:rPr>
            </w:pPr>
          </w:p>
        </w:tc>
        <w:tc>
          <w:tcPr>
            <w:tcW w:w="866" w:type="pct"/>
          </w:tcPr>
          <w:p w:rsidR="001E6AB9" w:rsidRPr="00987287" w:rsidRDefault="001E6AB9" w:rsidP="00987287">
            <w:pPr>
              <w:rPr>
                <w:rFonts w:ascii="Garamond" w:hAnsi="Garamond" w:cs="Times New Roman"/>
                <w:sz w:val="24"/>
                <w:szCs w:val="24"/>
              </w:rPr>
            </w:pPr>
          </w:p>
        </w:tc>
        <w:tc>
          <w:tcPr>
            <w:tcW w:w="819"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(0.062)</w:t>
            </w:r>
          </w:p>
        </w:tc>
        <w:tc>
          <w:tcPr>
            <w:tcW w:w="911" w:type="pct"/>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Board size</w:t>
            </w:r>
          </w:p>
        </w:tc>
        <w:tc>
          <w:tcPr>
            <w:tcW w:w="866" w:type="pct"/>
          </w:tcPr>
          <w:p w:rsidR="001E6AB9" w:rsidRPr="00987287" w:rsidRDefault="001E6AB9" w:rsidP="00987287">
            <w:pPr>
              <w:rPr>
                <w:rFonts w:ascii="Garamond" w:hAnsi="Garamond" w:cs="Times New Roman"/>
                <w:sz w:val="24"/>
                <w:szCs w:val="24"/>
              </w:rPr>
            </w:pPr>
          </w:p>
        </w:tc>
        <w:tc>
          <w:tcPr>
            <w:tcW w:w="819" w:type="pct"/>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2.446***</w:t>
            </w:r>
          </w:p>
        </w:tc>
        <w:tc>
          <w:tcPr>
            <w:tcW w:w="911" w:type="pct"/>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Borders>
              <w:bottom w:val="single" w:sz="4" w:space="0" w:color="auto"/>
            </w:tcBorders>
          </w:tcPr>
          <w:p w:rsidR="001E6AB9" w:rsidRPr="00987287" w:rsidRDefault="001E6AB9" w:rsidP="00987287">
            <w:pPr>
              <w:rPr>
                <w:rFonts w:ascii="Garamond" w:hAnsi="Garamond" w:cs="Times New Roman"/>
                <w:sz w:val="24"/>
                <w:szCs w:val="24"/>
              </w:rPr>
            </w:pPr>
          </w:p>
        </w:tc>
        <w:tc>
          <w:tcPr>
            <w:tcW w:w="866" w:type="pct"/>
            <w:tcBorders>
              <w:bottom w:val="single" w:sz="4" w:space="0" w:color="auto"/>
            </w:tcBorders>
          </w:tcPr>
          <w:p w:rsidR="001E6AB9" w:rsidRPr="00987287" w:rsidRDefault="001E6AB9" w:rsidP="00987287">
            <w:pPr>
              <w:rPr>
                <w:rFonts w:ascii="Garamond" w:hAnsi="Garamond" w:cs="Times New Roman"/>
                <w:sz w:val="24"/>
                <w:szCs w:val="24"/>
              </w:rPr>
            </w:pPr>
          </w:p>
        </w:tc>
        <w:tc>
          <w:tcPr>
            <w:tcW w:w="819"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(0.039)</w:t>
            </w:r>
          </w:p>
        </w:tc>
        <w:tc>
          <w:tcPr>
            <w:tcW w:w="911" w:type="pct"/>
            <w:tcBorders>
              <w:bottom w:val="single" w:sz="4" w:space="0" w:color="auto"/>
            </w:tcBorders>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Dummy variables</w:t>
            </w:r>
          </w:p>
        </w:tc>
        <w:tc>
          <w:tcPr>
            <w:tcW w:w="866"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819"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c>
          <w:tcPr>
            <w:tcW w:w="911"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p>
        </w:tc>
      </w:tr>
      <w:tr w:rsidR="001E6AB9" w:rsidRPr="00987287" w:rsidTr="0008714A">
        <w:trPr>
          <w:trHeight w:hRule="exact" w:val="288"/>
        </w:trPr>
        <w:tc>
          <w:tcPr>
            <w:tcW w:w="2404"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Year dummies</w:t>
            </w:r>
          </w:p>
        </w:tc>
        <w:tc>
          <w:tcPr>
            <w:tcW w:w="866"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YES</w:t>
            </w:r>
          </w:p>
        </w:tc>
        <w:tc>
          <w:tcPr>
            <w:tcW w:w="819"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YES</w:t>
            </w:r>
          </w:p>
        </w:tc>
        <w:tc>
          <w:tcPr>
            <w:tcW w:w="911" w:type="pct"/>
            <w:tcBorders>
              <w:top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YES</w:t>
            </w:r>
          </w:p>
        </w:tc>
      </w:tr>
      <w:tr w:rsidR="001E6AB9" w:rsidRPr="00987287" w:rsidTr="0008714A">
        <w:trPr>
          <w:trHeight w:hRule="exact" w:val="288"/>
        </w:trPr>
        <w:tc>
          <w:tcPr>
            <w:tcW w:w="2404"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Industry dummies</w:t>
            </w:r>
          </w:p>
        </w:tc>
        <w:tc>
          <w:tcPr>
            <w:tcW w:w="866"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YES</w:t>
            </w:r>
          </w:p>
        </w:tc>
        <w:tc>
          <w:tcPr>
            <w:tcW w:w="819"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YES</w:t>
            </w:r>
          </w:p>
        </w:tc>
        <w:tc>
          <w:tcPr>
            <w:tcW w:w="911" w:type="pct"/>
            <w:tcBorders>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YES</w:t>
            </w:r>
          </w:p>
        </w:tc>
      </w:tr>
      <w:tr w:rsidR="001E6AB9" w:rsidRPr="006F1B2B" w:rsidTr="0008714A">
        <w:trPr>
          <w:trHeight w:hRule="exact" w:val="288"/>
        </w:trPr>
        <w:tc>
          <w:tcPr>
            <w:tcW w:w="2404"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R-square</w:t>
            </w:r>
          </w:p>
        </w:tc>
        <w:tc>
          <w:tcPr>
            <w:tcW w:w="866"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0.328</w:t>
            </w:r>
          </w:p>
        </w:tc>
        <w:tc>
          <w:tcPr>
            <w:tcW w:w="819" w:type="pct"/>
            <w:tcBorders>
              <w:top w:val="single" w:sz="4" w:space="0" w:color="auto"/>
              <w:bottom w:val="single" w:sz="4" w:space="0" w:color="auto"/>
            </w:tcBorders>
          </w:tcPr>
          <w:p w:rsidR="001E6AB9" w:rsidRPr="00987287" w:rsidRDefault="001E6AB9" w:rsidP="00987287">
            <w:pPr>
              <w:rPr>
                <w:rFonts w:ascii="Garamond" w:hAnsi="Garamond" w:cs="Times New Roman"/>
                <w:sz w:val="24"/>
                <w:szCs w:val="24"/>
              </w:rPr>
            </w:pPr>
            <w:r w:rsidRPr="00987287">
              <w:rPr>
                <w:rFonts w:ascii="Garamond" w:hAnsi="Garamond" w:cs="Times New Roman"/>
                <w:sz w:val="24"/>
                <w:szCs w:val="24"/>
              </w:rPr>
              <w:t>0.619</w:t>
            </w:r>
          </w:p>
        </w:tc>
        <w:tc>
          <w:tcPr>
            <w:tcW w:w="911" w:type="pct"/>
            <w:tcBorders>
              <w:top w:val="single" w:sz="4" w:space="0" w:color="auto"/>
              <w:bottom w:val="single" w:sz="4" w:space="0" w:color="auto"/>
            </w:tcBorders>
          </w:tcPr>
          <w:p w:rsidR="001E6AB9" w:rsidRPr="006F1B2B" w:rsidRDefault="001E6AB9" w:rsidP="00987287">
            <w:pPr>
              <w:rPr>
                <w:rFonts w:ascii="Garamond" w:hAnsi="Garamond" w:cs="Times New Roman"/>
                <w:sz w:val="24"/>
                <w:szCs w:val="24"/>
              </w:rPr>
            </w:pPr>
            <w:r w:rsidRPr="00987287">
              <w:rPr>
                <w:rFonts w:ascii="Garamond" w:hAnsi="Garamond" w:cs="Times New Roman"/>
                <w:sz w:val="24"/>
                <w:szCs w:val="24"/>
              </w:rPr>
              <w:t>0.628</w:t>
            </w:r>
          </w:p>
        </w:tc>
      </w:tr>
    </w:tbl>
    <w:p w:rsidR="00527ED1" w:rsidRPr="00AD15B4" w:rsidRDefault="00527ED1" w:rsidP="00527ED1">
      <w:pPr>
        <w:rPr>
          <w:rFonts w:ascii="Garamond" w:hAnsi="Garamond" w:cs="Times New Roman"/>
          <w:color w:val="000000" w:themeColor="text1"/>
          <w:sz w:val="24"/>
          <w:szCs w:val="24"/>
        </w:rPr>
      </w:pPr>
      <w:r w:rsidRPr="00AD15B4">
        <w:rPr>
          <w:rFonts w:ascii="Garamond" w:hAnsi="Garamond" w:cs="Times New Roman"/>
          <w:color w:val="000000" w:themeColor="text1"/>
          <w:sz w:val="24"/>
          <w:szCs w:val="24"/>
        </w:rPr>
        <w:t xml:space="preserve">Robust standard errors are reported in the parentheses. ***, **, and * indicate statistical significance at the 1%, 5% and 10% levels, respectively. </w:t>
      </w:r>
    </w:p>
    <w:p w:rsidR="001E6AB9" w:rsidRPr="006F1B2B" w:rsidRDefault="001E6AB9" w:rsidP="00987287">
      <w:pPr>
        <w:rPr>
          <w:rFonts w:ascii="Garamond" w:hAnsi="Garamond" w:cs="Times New Roman"/>
          <w:sz w:val="24"/>
          <w:szCs w:val="24"/>
        </w:rPr>
      </w:pPr>
    </w:p>
    <w:p w:rsidR="001E6AB9" w:rsidRPr="006F1B2B" w:rsidRDefault="001E6AB9" w:rsidP="00987287">
      <w:pPr>
        <w:rPr>
          <w:rFonts w:ascii="Garamond" w:hAnsi="Garamond" w:cs="Times New Roman"/>
          <w:sz w:val="24"/>
          <w:szCs w:val="24"/>
        </w:rPr>
      </w:pPr>
    </w:p>
    <w:p w:rsidR="00072C98" w:rsidRPr="006F1B2B" w:rsidRDefault="00072C98" w:rsidP="00987287">
      <w:pPr>
        <w:rPr>
          <w:rFonts w:ascii="Garamond" w:hAnsi="Garamond" w:cs="Times New Roman"/>
          <w:sz w:val="24"/>
          <w:szCs w:val="24"/>
        </w:rPr>
      </w:pPr>
    </w:p>
    <w:sectPr w:rsidR="00072C98" w:rsidRPr="006F1B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141" w:rsidRDefault="00025141" w:rsidP="00BE0684">
      <w:pPr>
        <w:spacing w:after="0" w:line="240" w:lineRule="auto"/>
      </w:pPr>
      <w:r>
        <w:separator/>
      </w:r>
    </w:p>
  </w:endnote>
  <w:endnote w:type="continuationSeparator" w:id="0">
    <w:p w:rsidR="00025141" w:rsidRDefault="00025141" w:rsidP="00BE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JLOKO F+ Adv Times">
    <w:altName w:val="Adv Time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AB9" w:rsidRDefault="001E6AB9">
    <w:pPr>
      <w:pStyle w:val="Footer"/>
      <w:jc w:val="center"/>
    </w:pPr>
    <w:r>
      <w:fldChar w:fldCharType="begin"/>
    </w:r>
    <w:r>
      <w:instrText xml:space="preserve"> PAGE   \* MERGEFORMAT </w:instrText>
    </w:r>
    <w:r>
      <w:fldChar w:fldCharType="separate"/>
    </w:r>
    <w:r w:rsidR="0092098C">
      <w:rPr>
        <w:noProof/>
      </w:rPr>
      <w:t>14</w:t>
    </w:r>
    <w:r>
      <w:fldChar w:fldCharType="end"/>
    </w:r>
  </w:p>
  <w:p w:rsidR="001E6AB9" w:rsidRDefault="001E6AB9">
    <w:pPr>
      <w:pStyle w:val="Footer"/>
    </w:pPr>
  </w:p>
  <w:p w:rsidR="001E6AB9" w:rsidRDefault="001E6A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AB9" w:rsidRDefault="001E6AB9">
    <w:pPr>
      <w:pStyle w:val="Footer"/>
      <w:jc w:val="center"/>
    </w:pPr>
    <w:r>
      <w:fldChar w:fldCharType="begin"/>
    </w:r>
    <w:r>
      <w:instrText xml:space="preserve"> PAGE   \* MERGEFORMAT </w:instrText>
    </w:r>
    <w:r>
      <w:fldChar w:fldCharType="separate"/>
    </w:r>
    <w:r w:rsidR="0092098C">
      <w:rPr>
        <w:noProof/>
      </w:rPr>
      <w:t>19</w:t>
    </w:r>
    <w:r>
      <w:fldChar w:fldCharType="end"/>
    </w:r>
  </w:p>
  <w:p w:rsidR="001E6AB9" w:rsidRDefault="001E6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141" w:rsidRDefault="00025141" w:rsidP="00BE0684">
      <w:pPr>
        <w:spacing w:after="0" w:line="240" w:lineRule="auto"/>
      </w:pPr>
      <w:r>
        <w:separator/>
      </w:r>
    </w:p>
  </w:footnote>
  <w:footnote w:type="continuationSeparator" w:id="0">
    <w:p w:rsidR="00025141" w:rsidRDefault="00025141" w:rsidP="00BE0684">
      <w:pPr>
        <w:spacing w:after="0" w:line="240" w:lineRule="auto"/>
      </w:pPr>
      <w:r>
        <w:continuationSeparator/>
      </w:r>
    </w:p>
  </w:footnote>
  <w:footnote w:id="1">
    <w:p w:rsidR="001E6AB9" w:rsidRDefault="001E6AB9">
      <w:pPr>
        <w:pStyle w:val="FootnoteText"/>
      </w:pPr>
      <w:r>
        <w:rPr>
          <w:rStyle w:val="FootnoteReference"/>
        </w:rPr>
        <w:footnoteRef/>
      </w:r>
      <w:r>
        <w:t xml:space="preserve"> </w:t>
      </w:r>
      <w:r w:rsidRPr="00B2505B">
        <w:rPr>
          <w:rFonts w:ascii="Garamond" w:hAnsi="Garamond"/>
        </w:rPr>
        <w:t>Xiaolou Yang, Associate Professor of Finance at Youngstown State University, Youngstown, OH, 44555.</w:t>
      </w:r>
    </w:p>
  </w:footnote>
  <w:footnote w:id="2">
    <w:p w:rsidR="001E6AB9" w:rsidRPr="00A80F9F" w:rsidRDefault="001E6AB9" w:rsidP="009F1E75">
      <w:pPr>
        <w:pStyle w:val="FootnoteText"/>
        <w:rPr>
          <w:rFonts w:ascii="Garamond" w:hAnsi="Garamond"/>
        </w:rPr>
      </w:pPr>
      <w:r w:rsidRPr="00A80F9F">
        <w:rPr>
          <w:rStyle w:val="FootnoteReference"/>
          <w:rFonts w:ascii="Garamond" w:hAnsi="Garamond"/>
        </w:rPr>
        <w:footnoteRef/>
      </w:r>
      <w:r w:rsidRPr="00A80F9F">
        <w:rPr>
          <w:rFonts w:ascii="Garamond" w:hAnsi="Garamond"/>
        </w:rPr>
        <w:t xml:space="preserve"> Because depositors are insured by the FDIC against losses, this gives the shareholders and managers of insured financial institutions incentives to engage in excessive risk-taking. They will be indifferent to the riskiness of a bank’s investment and financing strategies. As a result, shareholders of financial institutions will face greater risk taking incentives than shareholders of non</w:t>
      </w:r>
      <w:r w:rsidR="0092098C">
        <w:rPr>
          <w:rFonts w:ascii="Garamond" w:hAnsi="Garamond"/>
        </w:rPr>
        <w:t>financial firm</w:t>
      </w:r>
      <w:r w:rsidRPr="00A80F9F">
        <w:rPr>
          <w:rFonts w:ascii="Garamond" w:hAnsi="Garamond"/>
        </w:rPr>
        <w: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352F"/>
    <w:multiLevelType w:val="hybridMultilevel"/>
    <w:tmpl w:val="CD56EFA8"/>
    <w:lvl w:ilvl="0" w:tplc="72A48D4A">
      <w:start w:val="1"/>
      <w:numFmt w:val="upperRoman"/>
      <w:lvlText w:val="%1."/>
      <w:lvlJc w:val="left"/>
      <w:pPr>
        <w:ind w:left="720" w:hanging="72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DD5A55"/>
    <w:multiLevelType w:val="multilevel"/>
    <w:tmpl w:val="65ACFE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28"/>
    <w:rsid w:val="00002A70"/>
    <w:rsid w:val="00025141"/>
    <w:rsid w:val="00031CFD"/>
    <w:rsid w:val="00051D2C"/>
    <w:rsid w:val="00060379"/>
    <w:rsid w:val="00072C98"/>
    <w:rsid w:val="000738DB"/>
    <w:rsid w:val="000844C7"/>
    <w:rsid w:val="0008714A"/>
    <w:rsid w:val="000A081A"/>
    <w:rsid w:val="000B0189"/>
    <w:rsid w:val="000D7B2A"/>
    <w:rsid w:val="000F4ACC"/>
    <w:rsid w:val="001C60CD"/>
    <w:rsid w:val="001E6AB9"/>
    <w:rsid w:val="001F2728"/>
    <w:rsid w:val="001F5AAE"/>
    <w:rsid w:val="002022CC"/>
    <w:rsid w:val="00205580"/>
    <w:rsid w:val="002347C9"/>
    <w:rsid w:val="00257A7F"/>
    <w:rsid w:val="00266688"/>
    <w:rsid w:val="00281D74"/>
    <w:rsid w:val="00290499"/>
    <w:rsid w:val="002A262C"/>
    <w:rsid w:val="002A5846"/>
    <w:rsid w:val="002E1DC8"/>
    <w:rsid w:val="003462E9"/>
    <w:rsid w:val="00397C28"/>
    <w:rsid w:val="003A5BED"/>
    <w:rsid w:val="003B3ADE"/>
    <w:rsid w:val="003C36B9"/>
    <w:rsid w:val="003F4766"/>
    <w:rsid w:val="0042573D"/>
    <w:rsid w:val="00432410"/>
    <w:rsid w:val="00470116"/>
    <w:rsid w:val="00487BEC"/>
    <w:rsid w:val="00516774"/>
    <w:rsid w:val="00527ED1"/>
    <w:rsid w:val="00547DC0"/>
    <w:rsid w:val="005B1AC1"/>
    <w:rsid w:val="005B6144"/>
    <w:rsid w:val="005F5D83"/>
    <w:rsid w:val="00614C56"/>
    <w:rsid w:val="0065035C"/>
    <w:rsid w:val="006D7CB1"/>
    <w:rsid w:val="006F1791"/>
    <w:rsid w:val="006F1B2B"/>
    <w:rsid w:val="00723B3D"/>
    <w:rsid w:val="0079309B"/>
    <w:rsid w:val="007A0BDC"/>
    <w:rsid w:val="007A0C5B"/>
    <w:rsid w:val="007B6B00"/>
    <w:rsid w:val="007E6F77"/>
    <w:rsid w:val="007E742A"/>
    <w:rsid w:val="007F4197"/>
    <w:rsid w:val="00812839"/>
    <w:rsid w:val="00814713"/>
    <w:rsid w:val="00830013"/>
    <w:rsid w:val="00870E6D"/>
    <w:rsid w:val="00896AFC"/>
    <w:rsid w:val="008B56FF"/>
    <w:rsid w:val="008F6735"/>
    <w:rsid w:val="0092098C"/>
    <w:rsid w:val="00935245"/>
    <w:rsid w:val="00987287"/>
    <w:rsid w:val="009961EF"/>
    <w:rsid w:val="009F1E75"/>
    <w:rsid w:val="00A65F7E"/>
    <w:rsid w:val="00A670D3"/>
    <w:rsid w:val="00A80F9F"/>
    <w:rsid w:val="00AA5FB9"/>
    <w:rsid w:val="00AC6C11"/>
    <w:rsid w:val="00AF663E"/>
    <w:rsid w:val="00B03147"/>
    <w:rsid w:val="00B37283"/>
    <w:rsid w:val="00B52E67"/>
    <w:rsid w:val="00B737DC"/>
    <w:rsid w:val="00B83C1A"/>
    <w:rsid w:val="00BC226B"/>
    <w:rsid w:val="00BD3B3F"/>
    <w:rsid w:val="00BD6978"/>
    <w:rsid w:val="00BD744C"/>
    <w:rsid w:val="00BE0684"/>
    <w:rsid w:val="00C006A6"/>
    <w:rsid w:val="00C107BE"/>
    <w:rsid w:val="00C159B9"/>
    <w:rsid w:val="00C848F8"/>
    <w:rsid w:val="00CC7687"/>
    <w:rsid w:val="00D414DE"/>
    <w:rsid w:val="00D526CB"/>
    <w:rsid w:val="00D5566D"/>
    <w:rsid w:val="00D80F73"/>
    <w:rsid w:val="00D92D16"/>
    <w:rsid w:val="00DC09D8"/>
    <w:rsid w:val="00EA3003"/>
    <w:rsid w:val="00EF37C2"/>
    <w:rsid w:val="00F603AE"/>
    <w:rsid w:val="00FE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1C8F5-F7B6-4349-96BB-F71AA5D6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2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283"/>
    <w:pPr>
      <w:ind w:left="720"/>
      <w:contextualSpacing/>
    </w:pPr>
  </w:style>
  <w:style w:type="table" w:styleId="TableGrid">
    <w:name w:val="Table Grid"/>
    <w:basedOn w:val="TableNormal"/>
    <w:uiPriority w:val="39"/>
    <w:rsid w:val="00397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0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684"/>
  </w:style>
  <w:style w:type="paragraph" w:styleId="Footer">
    <w:name w:val="footer"/>
    <w:basedOn w:val="Normal"/>
    <w:link w:val="FooterChar"/>
    <w:uiPriority w:val="99"/>
    <w:unhideWhenUsed/>
    <w:rsid w:val="00BE0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684"/>
  </w:style>
  <w:style w:type="paragraph" w:customStyle="1" w:styleId="CM29">
    <w:name w:val="CM29"/>
    <w:basedOn w:val="Normal"/>
    <w:next w:val="Normal"/>
    <w:uiPriority w:val="99"/>
    <w:rsid w:val="007F4197"/>
    <w:pPr>
      <w:widowControl w:val="0"/>
      <w:autoSpaceDE w:val="0"/>
      <w:autoSpaceDN w:val="0"/>
      <w:adjustRightInd w:val="0"/>
      <w:spacing w:after="243" w:line="240" w:lineRule="auto"/>
    </w:pPr>
    <w:rPr>
      <w:rFonts w:ascii="JLOKO F+ Adv Times" w:eastAsia="Times New Roman" w:hAnsi="JLOKO F+ Adv Times" w:cs="Times New Roman"/>
      <w:sz w:val="24"/>
      <w:szCs w:val="24"/>
    </w:rPr>
  </w:style>
  <w:style w:type="paragraph" w:customStyle="1" w:styleId="CM11">
    <w:name w:val="CM11"/>
    <w:basedOn w:val="Normal"/>
    <w:next w:val="Normal"/>
    <w:uiPriority w:val="99"/>
    <w:rsid w:val="007F4197"/>
    <w:pPr>
      <w:widowControl w:val="0"/>
      <w:autoSpaceDE w:val="0"/>
      <w:autoSpaceDN w:val="0"/>
      <w:adjustRightInd w:val="0"/>
      <w:spacing w:after="0" w:line="240" w:lineRule="atLeast"/>
    </w:pPr>
    <w:rPr>
      <w:rFonts w:ascii="JLOKO F+ Adv Times" w:eastAsia="Times New Roman" w:hAnsi="JLOKO F+ Adv Times" w:cs="Times New Roman"/>
      <w:sz w:val="24"/>
      <w:szCs w:val="24"/>
    </w:rPr>
  </w:style>
  <w:style w:type="paragraph" w:customStyle="1" w:styleId="CM35">
    <w:name w:val="CM35"/>
    <w:basedOn w:val="Normal"/>
    <w:next w:val="Normal"/>
    <w:uiPriority w:val="99"/>
    <w:rsid w:val="007F4197"/>
    <w:pPr>
      <w:widowControl w:val="0"/>
      <w:autoSpaceDE w:val="0"/>
      <w:autoSpaceDN w:val="0"/>
      <w:adjustRightInd w:val="0"/>
      <w:spacing w:after="533" w:line="240" w:lineRule="auto"/>
    </w:pPr>
    <w:rPr>
      <w:rFonts w:ascii="JLOKO F+ Adv Times" w:eastAsia="Times New Roman" w:hAnsi="JLOKO F+ Adv Times" w:cs="Times New Roman"/>
      <w:sz w:val="24"/>
      <w:szCs w:val="24"/>
    </w:rPr>
  </w:style>
  <w:style w:type="paragraph" w:styleId="FootnoteText">
    <w:name w:val="footnote text"/>
    <w:basedOn w:val="Normal"/>
    <w:link w:val="FootnoteTextChar"/>
    <w:uiPriority w:val="99"/>
    <w:semiHidden/>
    <w:unhideWhenUsed/>
    <w:rsid w:val="009F1E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1E75"/>
    <w:rPr>
      <w:sz w:val="20"/>
      <w:szCs w:val="20"/>
    </w:rPr>
  </w:style>
  <w:style w:type="character" w:styleId="FootnoteReference">
    <w:name w:val="footnote reference"/>
    <w:uiPriority w:val="99"/>
    <w:semiHidden/>
    <w:unhideWhenUsed/>
    <w:rsid w:val="009F1E75"/>
    <w:rPr>
      <w:vertAlign w:val="superscript"/>
    </w:rPr>
  </w:style>
  <w:style w:type="paragraph" w:styleId="BalloonText">
    <w:name w:val="Balloon Text"/>
    <w:basedOn w:val="Normal"/>
    <w:link w:val="BalloonTextChar"/>
    <w:uiPriority w:val="99"/>
    <w:semiHidden/>
    <w:unhideWhenUsed/>
    <w:rsid w:val="00234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2.bin"/><Relationship Id="rId38"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4.wmf"/><Relationship Id="rId37" Type="http://schemas.openxmlformats.org/officeDocument/2006/relationships/image" Target="media/image17.wmf"/><Relationship Id="rId40" Type="http://schemas.openxmlformats.org/officeDocument/2006/relationships/oleObject" Target="embeddings/oleObject15.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1.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8D851-EF7F-49A8-A700-24CEADA7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6816</Words>
  <Characters>38853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Xiaolou Yang</dc:creator>
  <cp:keywords/>
  <dc:description/>
  <cp:lastModifiedBy>Xiaolou Yang</cp:lastModifiedBy>
  <cp:revision>14</cp:revision>
  <cp:lastPrinted>2017-08-03T00:04:00Z</cp:lastPrinted>
  <dcterms:created xsi:type="dcterms:W3CDTF">2017-08-03T00:04:00Z</dcterms:created>
  <dcterms:modified xsi:type="dcterms:W3CDTF">2017-08-03T15:56:00Z</dcterms:modified>
</cp:coreProperties>
</file>