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2C5" w:rsidRDefault="0029517B" w:rsidP="006B4709">
      <w:pPr>
        <w:jc w:val="center"/>
      </w:pPr>
      <w:r>
        <w:t>The Linkage between Excess Board Independence and Capital Structure: An Exploration in the Context of Listed Companies in Saudi Arabia</w:t>
      </w:r>
    </w:p>
    <w:p w:rsidR="00AA7AFF" w:rsidRDefault="00AA7AFF" w:rsidP="00AA7AFF">
      <w:pPr>
        <w:spacing w:after="0" w:line="240" w:lineRule="auto"/>
        <w:jc w:val="center"/>
      </w:pPr>
      <w:r>
        <w:t>Lakshmi Kalyanaraman and Basmah Altuwaijri</w:t>
      </w:r>
    </w:p>
    <w:p w:rsidR="00AA7AFF" w:rsidRDefault="00AA7AFF" w:rsidP="00AA7AFF">
      <w:pPr>
        <w:spacing w:after="0" w:line="240" w:lineRule="auto"/>
        <w:jc w:val="center"/>
      </w:pPr>
      <w:r>
        <w:t>Department of Finance, King Saud University, Saudi Arabia</w:t>
      </w:r>
    </w:p>
    <w:p w:rsidR="00E822C5" w:rsidRDefault="00E822C5" w:rsidP="006B4709">
      <w:pPr>
        <w:jc w:val="center"/>
      </w:pPr>
    </w:p>
    <w:p w:rsidR="00E822C5" w:rsidRPr="00E822C5" w:rsidRDefault="00E822C5" w:rsidP="00E822C5">
      <w:pPr>
        <w:pStyle w:val="NormalWeb"/>
        <w:jc w:val="left"/>
        <w:rPr>
          <w:rFonts w:asciiTheme="majorBidi" w:hAnsiTheme="majorBidi" w:cstheme="majorBidi"/>
          <w:color w:val="313538"/>
          <w:sz w:val="22"/>
          <w:szCs w:val="22"/>
        </w:rPr>
      </w:pPr>
      <w:r w:rsidRPr="00E822C5">
        <w:rPr>
          <w:rStyle w:val="Strong"/>
          <w:rFonts w:asciiTheme="majorBidi" w:hAnsiTheme="majorBidi" w:cstheme="majorBidi"/>
          <w:color w:val="313538"/>
          <w:sz w:val="22"/>
          <w:szCs w:val="22"/>
        </w:rPr>
        <w:t>This is a research project that was supported by a grant from the Research Center for the Humanities, Deanship of Scientific Research at King Saud University</w:t>
      </w:r>
      <w:r w:rsidRPr="00E822C5">
        <w:rPr>
          <w:rFonts w:asciiTheme="majorBidi" w:hAnsiTheme="majorBidi" w:cstheme="majorBidi"/>
          <w:color w:val="313538"/>
          <w:sz w:val="22"/>
          <w:szCs w:val="22"/>
        </w:rPr>
        <w:t>.</w:t>
      </w:r>
    </w:p>
    <w:p w:rsidR="00D13C18" w:rsidRDefault="0029517B" w:rsidP="00E822C5">
      <w:r>
        <w:t xml:space="preserve"> </w:t>
      </w:r>
    </w:p>
    <w:p w:rsidR="000F3C44" w:rsidRDefault="000F3C44" w:rsidP="000F3C44">
      <w:r>
        <w:t>Abstract:</w:t>
      </w:r>
    </w:p>
    <w:p w:rsidR="000F3C44" w:rsidRDefault="000F3C44" w:rsidP="00F65E64">
      <w:pPr>
        <w:jc w:val="both"/>
      </w:pPr>
      <w:r>
        <w:t xml:space="preserve">The purpose of this study is </w:t>
      </w:r>
      <w:r w:rsidR="0058397F">
        <w:t>to investigate</w:t>
      </w:r>
      <w:r>
        <w:t xml:space="preserve"> the link between one of the corporate governance </w:t>
      </w:r>
      <w:r w:rsidR="0058397F">
        <w:t xml:space="preserve">mechanisms employed to effectively monitor managers and align their goals with those of shareholders, number of independent directors on the board </w:t>
      </w:r>
      <w:r>
        <w:t>and capital structure for 68 firms listed on Saudi Arabian stock exchange for the period 2010-2014.  We employ two measures that account for the representation of independent directors, board independence and excess independence and test this relationship in the presence of a number of control variables such as board size, assets’ tangibility and firm</w:t>
      </w:r>
      <w:r w:rsidR="0058397F">
        <w:t xml:space="preserve"> </w:t>
      </w:r>
      <w:r>
        <w:t>size, profitability and growth opportunities. We find that board independence and debt share a positive relationship which is not statistically significant, while the link between excess independence and debt</w:t>
      </w:r>
      <w:r w:rsidR="0058397F">
        <w:t xml:space="preserve"> is positive and is statistically significant.  The results are robust when the book debt is alternated with market debt.  </w:t>
      </w:r>
      <w:r w:rsidRPr="009A5048">
        <w:t xml:space="preserve">Our findings have important implications for the corporate governance structures of firms.  This has important implications </w:t>
      </w:r>
      <w:r>
        <w:t xml:space="preserve">for the regulators and firms.  </w:t>
      </w:r>
    </w:p>
    <w:p w:rsidR="00F65E64" w:rsidRDefault="00F65E64" w:rsidP="00F65E64">
      <w:pPr>
        <w:jc w:val="both"/>
      </w:pPr>
      <w:r>
        <w:t>Keywords: Board structure, Board independence, Capital structure, Agency theory, Corporate governance</w:t>
      </w:r>
    </w:p>
    <w:p w:rsidR="00F65E64" w:rsidRDefault="00F65E64" w:rsidP="00F65E64">
      <w:pPr>
        <w:jc w:val="both"/>
      </w:pPr>
      <w:r>
        <w:t>JEL: G32, G34</w:t>
      </w:r>
    </w:p>
    <w:p w:rsidR="00067812" w:rsidRDefault="000F3C44" w:rsidP="00067812">
      <w:r>
        <w:t>Introduction:</w:t>
      </w:r>
    </w:p>
    <w:p w:rsidR="00A442A1" w:rsidRPr="000F3C44" w:rsidRDefault="0029517B" w:rsidP="0029517B">
      <w:pPr>
        <w:jc w:val="both"/>
      </w:pPr>
      <w:r w:rsidRPr="000F3C44">
        <w:t>Widely held corporations suffer from an agency problem</w:t>
      </w:r>
      <w:r w:rsidR="00B6750B" w:rsidRPr="000F3C44">
        <w:t xml:space="preserve"> that </w:t>
      </w:r>
      <w:r w:rsidRPr="000F3C44">
        <w:t xml:space="preserve">is at the core of the separation of ownership and control.  </w:t>
      </w:r>
      <w:r w:rsidR="00371181" w:rsidRPr="000F3C44">
        <w:t>Agency problems arise</w:t>
      </w:r>
      <w:r w:rsidR="00B6750B" w:rsidRPr="000F3C44">
        <w:t xml:space="preserve"> from the diverse interests of managers and shareholders.  Managers may pursue their personal goals which may not serve in the best interest of the shareholders.  According to </w:t>
      </w:r>
      <w:r w:rsidR="007D5723" w:rsidRPr="000F3C44">
        <w:t xml:space="preserve">[1] </w:t>
      </w:r>
      <w:r w:rsidR="00B6750B" w:rsidRPr="000F3C44">
        <w:t>managers invest their human capital and financial capitalin the firm.  Bankruptcy of the firm will cause heavy loss to them.  Risk-averse managers may invest in sub-optimal projects that do not maximize the shareholders’ wealth</w:t>
      </w:r>
      <w:r w:rsidR="009D6571" w:rsidRPr="000F3C44">
        <w:t xml:space="preserve">.  </w:t>
      </w:r>
      <w:r w:rsidR="00EA45A0" w:rsidRPr="000F3C44">
        <w:t>Addition</w:t>
      </w:r>
      <w:r w:rsidR="005F36FB" w:rsidRPr="000F3C44">
        <w:t>ally, managers may also consume</w:t>
      </w:r>
      <w:r w:rsidR="00EA45A0" w:rsidRPr="000F3C44">
        <w:t xml:space="preserve"> firm’s resources excessively as compensation and perks.  </w:t>
      </w:r>
      <w:r w:rsidR="00980A2E" w:rsidRPr="000F3C44">
        <w:t xml:space="preserve">Debt can be used to contain the agency problem.  The groundbreaking theories put forth by </w:t>
      </w:r>
      <w:r w:rsidR="007D5723" w:rsidRPr="000F3C44">
        <w:t xml:space="preserve">[2], [3], </w:t>
      </w:r>
      <w:r w:rsidR="00980A2E" w:rsidRPr="000F3C44">
        <w:t xml:space="preserve">offer justification for capital structure through agency theory explanation.  </w:t>
      </w:r>
      <w:r w:rsidR="005F36FB" w:rsidRPr="000F3C44">
        <w:t>Debt</w:t>
      </w:r>
      <w:r w:rsidR="00980A2E" w:rsidRPr="000F3C44">
        <w:t xml:space="preserve"> can moderate the agency problem by reducing the availability of free cash flow with the mangers and by increasing the bankruptcy risk and risk of losing job. </w:t>
      </w:r>
      <w:r w:rsidR="007D5723" w:rsidRPr="000F3C44">
        <w:t xml:space="preserve">[4] </w:t>
      </w:r>
      <w:r w:rsidR="00980A2E" w:rsidRPr="000F3C44">
        <w:t xml:space="preserve">Hence, shareholders of firms rampant with the conflict of interests between shareholders and managers may contain their equity offering and force the firm to rely on increased level of debt finance.  </w:t>
      </w:r>
    </w:p>
    <w:p w:rsidR="009825B8" w:rsidRPr="000F3C44" w:rsidRDefault="00980A2E" w:rsidP="0029517B">
      <w:pPr>
        <w:jc w:val="both"/>
      </w:pPr>
      <w:r w:rsidRPr="000F3C44">
        <w:lastRenderedPageBreak/>
        <w:t xml:space="preserve">However, the agency cost of debt is influenced by the firm’s governance structure.  </w:t>
      </w:r>
      <w:r w:rsidR="00D429EE" w:rsidRPr="000F3C44">
        <w:t>An effective corporate governance structure will let managers set the capital structure at the level desirable to the shareholders rather than at the level of</w:t>
      </w:r>
      <w:r w:rsidR="007D5723" w:rsidRPr="000F3C44">
        <w:t xml:space="preserve"> their</w:t>
      </w:r>
      <w:r w:rsidR="00D429EE" w:rsidRPr="000F3C44">
        <w:t xml:space="preserve"> choice.  </w:t>
      </w:r>
      <w:r w:rsidRPr="000F3C44">
        <w:t xml:space="preserve">Firms strive to design appropriate strategies to monitor and control the managers to align their interests with those of the shareholders and try to enhance the firm value. </w:t>
      </w:r>
      <w:r w:rsidR="007D5723" w:rsidRPr="000F3C44">
        <w:t xml:space="preserve">[5]. </w:t>
      </w:r>
      <w:r w:rsidRPr="000F3C44">
        <w:t>One of the strategies that is frequently resorted to</w:t>
      </w:r>
      <w:r w:rsidR="007D5723" w:rsidRPr="000F3C44">
        <w:t>,</w:t>
      </w:r>
      <w:r w:rsidRPr="000F3C44">
        <w:t xml:space="preserve"> is the separation of management</w:t>
      </w:r>
      <w:r w:rsidR="007D5723" w:rsidRPr="000F3C44">
        <w:t xml:space="preserve"> decision</w:t>
      </w:r>
      <w:r w:rsidRPr="000F3C44">
        <w:t xml:space="preserve"> and control</w:t>
      </w:r>
      <w:r w:rsidR="007D5723" w:rsidRPr="000F3C44">
        <w:t xml:space="preserve"> decision</w:t>
      </w:r>
      <w:r w:rsidRPr="000F3C44">
        <w:t xml:space="preserve"> at all levels in the firm. </w:t>
      </w:r>
      <w:r w:rsidR="007D5723" w:rsidRPr="000F3C44">
        <w:t xml:space="preserve">[6]. </w:t>
      </w:r>
      <w:r w:rsidR="00C23792" w:rsidRPr="000F3C44">
        <w:t>Previous</w:t>
      </w:r>
      <w:r w:rsidR="007D5723" w:rsidRPr="000F3C44">
        <w:t xml:space="preserve"> work brings out </w:t>
      </w:r>
      <w:r w:rsidR="00C23792" w:rsidRPr="000F3C44">
        <w:t>that</w:t>
      </w:r>
      <w:r w:rsidR="007D5723" w:rsidRPr="000F3C44">
        <w:t xml:space="preserve"> firms appropriately structure their boards to monitor the managerial actions</w:t>
      </w:r>
      <w:r w:rsidRPr="000F3C44">
        <w:t xml:space="preserve">. (See for example, </w:t>
      </w:r>
      <w:r w:rsidR="007D5723" w:rsidRPr="000F3C44">
        <w:t>[7]</w:t>
      </w:r>
      <w:r w:rsidRPr="000F3C44">
        <w:t xml:space="preserve">)  </w:t>
      </w:r>
      <w:r w:rsidR="002415C3" w:rsidRPr="000F3C44">
        <w:t xml:space="preserve">Shareholders of firm with good corporate governance may have favorable expectations about the firm’s future cash flows. </w:t>
      </w:r>
      <w:r w:rsidR="007D5723" w:rsidRPr="000F3C44">
        <w:t>[8</w:t>
      </w:r>
      <w:r w:rsidR="00C23792" w:rsidRPr="000F3C44">
        <w:t>] This</w:t>
      </w:r>
      <w:r w:rsidR="006F75E3" w:rsidRPr="000F3C44">
        <w:t xml:space="preserve"> will motivate the shareholders to offer higher levels of equity financing at lower cost </w:t>
      </w:r>
      <w:r w:rsidR="007D5723" w:rsidRPr="000F3C44">
        <w:t xml:space="preserve">[9]. </w:t>
      </w:r>
      <w:r w:rsidR="006F75E3" w:rsidRPr="000F3C44">
        <w:t>which reduces the need for debt for the firm.  On the contrary</w:t>
      </w:r>
      <w:r w:rsidR="007D5723" w:rsidRPr="000F3C44">
        <w:t>,</w:t>
      </w:r>
      <w:r w:rsidR="006F75E3" w:rsidRPr="000F3C44">
        <w:t xml:space="preserve"> firms with poor corporate governance </w:t>
      </w:r>
      <w:r w:rsidR="007D5723" w:rsidRPr="000F3C44">
        <w:t>system</w:t>
      </w:r>
      <w:r w:rsidR="006F75E3" w:rsidRPr="000F3C44">
        <w:t xml:space="preserve"> will sufferreduced equity participation and will have to seek debt financing. </w:t>
      </w:r>
      <w:r w:rsidR="007D5723" w:rsidRPr="000F3C44">
        <w:t xml:space="preserve">[10] </w:t>
      </w:r>
      <w:r w:rsidR="00693ADF" w:rsidRPr="000F3C44">
        <w:t xml:space="preserve">argue that good corporate governance system is viewed by the providers of capital to the firm as an assurance to efficiently employ the funds in the firm’s operations and as a commitment to pay a reasonable rate of return on their investment.  </w:t>
      </w:r>
      <w:r w:rsidR="009825B8" w:rsidRPr="000F3C44">
        <w:t xml:space="preserve">Board independence is a key corporate governance tool that can contain managers from pursuing self-centered goals. (See for example, </w:t>
      </w:r>
      <w:r w:rsidR="00197DBB" w:rsidRPr="000F3C44">
        <w:t>[11]</w:t>
      </w:r>
      <w:r w:rsidR="009825B8" w:rsidRPr="000F3C44">
        <w:t xml:space="preserve">)  </w:t>
      </w:r>
    </w:p>
    <w:p w:rsidR="006126A8" w:rsidRPr="000F3C44" w:rsidRDefault="008C5477" w:rsidP="0029517B">
      <w:pPr>
        <w:jc w:val="both"/>
      </w:pPr>
      <w:r w:rsidRPr="000F3C44">
        <w:t>The purpose of this study is to bring out the link between</w:t>
      </w:r>
      <w:r w:rsidR="00197DBB" w:rsidRPr="000F3C44">
        <w:t xml:space="preserve"> board </w:t>
      </w:r>
      <w:r w:rsidR="002415C3" w:rsidRPr="000F3C44">
        <w:t>independence</w:t>
      </w:r>
      <w:r w:rsidR="00197DBB" w:rsidRPr="000F3C44">
        <w:t>,</w:t>
      </w:r>
      <w:r w:rsidR="007C011A" w:rsidRPr="000F3C44">
        <w:t>a corporate governance tool used to effectively monitor managers and align their goals with those of shareholders, and capital structure for firms listed on Saudi Arabian stock exchange.  The study contributes to the existing literature in three significant ways.  First, the empirical works that evaluate the connection between board independence and debt have produced mixed results. (</w:t>
      </w:r>
      <w:r w:rsidR="00197DBB" w:rsidRPr="000F3C44">
        <w:t>[12]</w:t>
      </w:r>
      <w:r w:rsidR="007C011A" w:rsidRPr="000F3C44">
        <w:t xml:space="preserve">; </w:t>
      </w:r>
      <w:r w:rsidR="00197DBB" w:rsidRPr="000F3C44">
        <w:t>[13]</w:t>
      </w:r>
      <w:r w:rsidR="007C011A" w:rsidRPr="000F3C44">
        <w:t xml:space="preserve">)  </w:t>
      </w:r>
      <w:r w:rsidR="00A93214" w:rsidRPr="000F3C44">
        <w:t>This research is to end the confusion in the empirical literature that evaluates the association between board independence and the level of debt employed by the firms and offer conclusive evidence.  Second, while there are many studies</w:t>
      </w:r>
      <w:r w:rsidR="000949D6" w:rsidRPr="000F3C44">
        <w:t xml:space="preserve"> that evaluate the relationship between board independence and debt in developed and developing countries, studies in the context of Saudi Arabia are extremely scanty.  The institutional and regulatory framework differences between Saudi Arabia and the other countries may render the existing knowledge produced by research ca</w:t>
      </w:r>
      <w:r w:rsidR="00197DBB" w:rsidRPr="000F3C44">
        <w:t>rried out in other countries not</w:t>
      </w:r>
      <w:r w:rsidR="000949D6" w:rsidRPr="000F3C44">
        <w:t xml:space="preserve"> relevant for Saudi Arabia.  </w:t>
      </w:r>
      <w:r w:rsidR="00051E16" w:rsidRPr="000F3C44">
        <w:t xml:space="preserve">This study is carried out to fill the gap by offering country specific evidence to develop knowledge </w:t>
      </w:r>
      <w:r w:rsidR="00197DBB" w:rsidRPr="000F3C44">
        <w:t>for</w:t>
      </w:r>
      <w:r w:rsidR="00051E16" w:rsidRPr="000F3C44">
        <w:t xml:space="preserve"> Saudi Arabia.  Finally, this study employs two varied definitions of board independence.  It has been brought out by an earlier study by </w:t>
      </w:r>
      <w:r w:rsidR="00197DBB" w:rsidRPr="000F3C44">
        <w:t xml:space="preserve">[14]. </w:t>
      </w:r>
      <w:r w:rsidR="00C23792" w:rsidRPr="000F3C44">
        <w:t>That</w:t>
      </w:r>
      <w:r w:rsidR="00051E16" w:rsidRPr="000F3C44">
        <w:t xml:space="preserve"> the association </w:t>
      </w:r>
      <w:r w:rsidR="00197DBB" w:rsidRPr="000F3C44">
        <w:t>of</w:t>
      </w:r>
      <w:r w:rsidR="00051E16" w:rsidRPr="000F3C44">
        <w:t xml:space="preserve"> board independence and firm performance differs depending on </w:t>
      </w:r>
      <w:r w:rsidR="009D1F23" w:rsidRPr="000F3C44">
        <w:t>its definition</w:t>
      </w:r>
      <w:r w:rsidR="00051E16" w:rsidRPr="000F3C44">
        <w:t xml:space="preserve">.  </w:t>
      </w:r>
      <w:r w:rsidR="00B54226" w:rsidRPr="000F3C44">
        <w:t>They study</w:t>
      </w:r>
      <w:r w:rsidR="00B54226">
        <w:t xml:space="preserve"> two variants of board independence.  </w:t>
      </w:r>
      <w:r w:rsidR="00051E16" w:rsidRPr="00051E16">
        <w:t>They define board independence as the ratio of number of in</w:t>
      </w:r>
      <w:r w:rsidR="006126A8">
        <w:t>dependent directors</w:t>
      </w:r>
      <w:r w:rsidR="00051E16" w:rsidRPr="00051E16">
        <w:t xml:space="preserve"> to the total number of directors on the board and excess board independence as a dummy variable equal to 1 when the board has independent directors in excess of regulatory minimum and 0 otherwise.  The study shows that board independence is positively related to firm performance while excess board independence has no statistically significant impact on firm performance.  We adopt these two definitions</w:t>
      </w:r>
      <w:r w:rsidR="006126A8">
        <w:t xml:space="preserve">, </w:t>
      </w:r>
      <w:r w:rsidR="00051E16" w:rsidRPr="00051E16">
        <w:t>board independence and excess board independence</w:t>
      </w:r>
      <w:r w:rsidR="006126A8">
        <w:t>,</w:t>
      </w:r>
      <w:r w:rsidR="00051E16" w:rsidRPr="00051E16">
        <w:t xml:space="preserve"> in our study.  We believe that the excess board independence helps us to understand better the link between c</w:t>
      </w:r>
      <w:r w:rsidR="006126A8">
        <w:t xml:space="preserve">orporate </w:t>
      </w:r>
      <w:r w:rsidR="006126A8" w:rsidRPr="000F3C44">
        <w:t>governance and debt</w:t>
      </w:r>
      <w:r w:rsidR="00051E16" w:rsidRPr="000F3C44">
        <w:t xml:space="preserve"> from the agency theory perspective.  </w:t>
      </w:r>
      <w:r w:rsidR="006126A8" w:rsidRPr="000F3C44">
        <w:t xml:space="preserve">[15] </w:t>
      </w:r>
      <w:r w:rsidR="00051E16" w:rsidRPr="000F3C44">
        <w:t xml:space="preserve">stress that firms with better corporate governance practices may enjoy cheaper funds.  </w:t>
      </w:r>
      <w:r w:rsidR="006126A8" w:rsidRPr="000F3C44">
        <w:t>Presence of independent directors exerts</w:t>
      </w:r>
      <w:r w:rsidR="00051E16" w:rsidRPr="000F3C44">
        <w:t xml:space="preserve"> a pressure on the managers to deliver results to the shareholders.  The monitoring role played by the independent directors can diminish the agency problem and enhance investors’ </w:t>
      </w:r>
      <w:r w:rsidR="00051E16" w:rsidRPr="000F3C44">
        <w:lastRenderedPageBreak/>
        <w:t xml:space="preserve">confidence in the firm. </w:t>
      </w:r>
      <w:r w:rsidR="006126A8" w:rsidRPr="000F3C44">
        <w:t>[6]. [12].</w:t>
      </w:r>
      <w:r w:rsidR="00051E16" w:rsidRPr="000F3C44">
        <w:t xml:space="preserve">highlight the fact that non-executive directors help improve the firm’s rating from external stakeholders and their ability to access funds at a lower cost.  Hence, presence of independent directors on the board in excess of the regulatory minimum can </w:t>
      </w:r>
      <w:r w:rsidR="006126A8" w:rsidRPr="000F3C44">
        <w:t>representthe firm’s intention to employ voluntary monitoring mechanism</w:t>
      </w:r>
      <w:r w:rsidR="000A3AC5" w:rsidRPr="000F3C44">
        <w:t xml:space="preserve">.  </w:t>
      </w:r>
      <w:r w:rsidR="00051E16" w:rsidRPr="000F3C44">
        <w:t xml:space="preserve">Excess board independence may signal the firm’s commitment to deliver high performance and willingness of the managers to be subjected to the monitoring pressure by a higher number of independent directors on the board. </w:t>
      </w:r>
    </w:p>
    <w:p w:rsidR="006F75E3" w:rsidRPr="000F3C44" w:rsidRDefault="006126A8" w:rsidP="0029517B">
      <w:pPr>
        <w:jc w:val="both"/>
      </w:pPr>
      <w:r w:rsidRPr="000F3C44">
        <w:t>Hence, this study differentiates board independence and excess independence and studies the link between these two variables and debt</w:t>
      </w:r>
      <w:r w:rsidR="002415C3" w:rsidRPr="000F3C44">
        <w:t xml:space="preserve">. </w:t>
      </w:r>
    </w:p>
    <w:p w:rsidR="002415C3" w:rsidRDefault="00B54226" w:rsidP="0029517B">
      <w:pPr>
        <w:jc w:val="both"/>
      </w:pPr>
      <w:r>
        <w:t xml:space="preserve">This study is organized in 5 sections.  This section introduces the study and its purpose.  Section 2 reviews the literature and develops the study hypothesis.  Section 3 </w:t>
      </w:r>
      <w:r w:rsidR="002415C3">
        <w:t xml:space="preserve">presents the corporate governance regulations on board independence in Saudi Arabia.  Section 4 outlines the data and methodology of the study.  Section 5 provides the empirical results.  Section 6 concludes the interpretations of the results and its implications.  </w:t>
      </w:r>
    </w:p>
    <w:p w:rsidR="00B54226" w:rsidRDefault="00D429EE" w:rsidP="0029517B">
      <w:pPr>
        <w:jc w:val="both"/>
      </w:pPr>
      <w:r w:rsidRPr="00D429EE">
        <w:rPr>
          <w:b/>
        </w:rPr>
        <w:t>Literature review and hypotheses development</w:t>
      </w:r>
      <w:r>
        <w:t>:</w:t>
      </w:r>
    </w:p>
    <w:p w:rsidR="00D429EE" w:rsidRPr="000F3C44" w:rsidRDefault="00594564" w:rsidP="0029517B">
      <w:pPr>
        <w:jc w:val="both"/>
      </w:pPr>
      <w:r w:rsidRPr="000F3C44">
        <w:t>Agency problem arises from the conflict of interest between shareholders and managers.  Firms tend to</w:t>
      </w:r>
      <w:r w:rsidR="006126A8" w:rsidRPr="000F3C44">
        <w:t xml:space="preserve"> implement</w:t>
      </w:r>
      <w:r w:rsidRPr="000F3C44">
        <w:t xml:space="preserve"> strategies like increase the level of debt financing, propose a managerial compensation scheme that help</w:t>
      </w:r>
      <w:r w:rsidR="006126A8" w:rsidRPr="000F3C44">
        <w:t xml:space="preserve"> to</w:t>
      </w:r>
      <w:r w:rsidRPr="000F3C44">
        <w:t xml:space="preserve"> align the interests </w:t>
      </w:r>
      <w:r w:rsidR="004A15E1" w:rsidRPr="000F3C44">
        <w:t>of managers with shareholders, etc. (</w:t>
      </w:r>
      <w:r w:rsidR="006126A8" w:rsidRPr="000F3C44">
        <w:t>[16</w:t>
      </w:r>
      <w:r w:rsidR="00C23792" w:rsidRPr="000F3C44">
        <w:t>];</w:t>
      </w:r>
      <w:r w:rsidR="006126A8" w:rsidRPr="000F3C44">
        <w:t>[17]</w:t>
      </w:r>
      <w:r w:rsidR="00C23792" w:rsidRPr="000F3C44">
        <w:t>) However</w:t>
      </w:r>
      <w:r w:rsidR="00F75526" w:rsidRPr="000F3C44">
        <w:t>, use of debt as an agency problem alleviating instrument falls within the framework of the corporate governance structure of the firm.  Existing empirical works produce evidence to show that boards with higher representation from independent directors monitor the managerial engagements</w:t>
      </w:r>
      <w:r w:rsidR="00AA1363" w:rsidRPr="000F3C44">
        <w:t xml:space="preserve"> more efficiently</w:t>
      </w:r>
      <w:r w:rsidR="00F75526" w:rsidRPr="000F3C44">
        <w:t xml:space="preserve">.  </w:t>
      </w:r>
      <w:r w:rsidR="00AA1363" w:rsidRPr="000F3C44">
        <w:t xml:space="preserve">[18] </w:t>
      </w:r>
      <w:r w:rsidR="000D4A76" w:rsidRPr="000F3C44">
        <w:t xml:space="preserve">find that outsider directors fire non-performing CEOs.  </w:t>
      </w:r>
      <w:r w:rsidR="00AA1363" w:rsidRPr="000F3C44">
        <w:t xml:space="preserve">[19] </w:t>
      </w:r>
      <w:r w:rsidR="000D4A76" w:rsidRPr="000F3C44">
        <w:t xml:space="preserve">argue that boards with a higher participation of outside directors can act independently in circumstances of conflict between owners and managers.  It is argued by the agency theory that managers who have their human and financial capital invested in the business, will employ debt at its sub-optimal levels to pull down the probability of bankruptcy risk. </w:t>
      </w:r>
      <w:r w:rsidR="00AA1363" w:rsidRPr="000F3C44">
        <w:t xml:space="preserve">[20] </w:t>
      </w:r>
      <w:r w:rsidR="000D4A76" w:rsidRPr="000F3C44">
        <w:t xml:space="preserve">find that firms that hold higher levels of managerial wealth investments hold lower levels of debt.  That debt restricts managerial freedom is brought out by earlier works. </w:t>
      </w:r>
      <w:r w:rsidR="00AA1363" w:rsidRPr="000F3C44">
        <w:t xml:space="preserve">[16]. </w:t>
      </w:r>
      <w:r w:rsidR="000D4A76" w:rsidRPr="000F3C44">
        <w:t>As a result, the level of debt held by a firm may not be just the result of external factors like taxes, cost of funds alone but also reflects the shareholders-managers conflict.  Shareholders may use debt to discipline managers.  Risk-averse managers will have to adopt value maximization goal and enhance firm performance</w:t>
      </w:r>
      <w:r w:rsidR="00AA1363" w:rsidRPr="000F3C44">
        <w:t xml:space="preserve"> to service debt</w:t>
      </w:r>
      <w:r w:rsidR="000D4A76" w:rsidRPr="000F3C44">
        <w:t xml:space="preserve"> in case the firm uses debt financing.  </w:t>
      </w:r>
      <w:r w:rsidR="00D62DCD" w:rsidRPr="000F3C44">
        <w:t xml:space="preserve">However, external debt holders may not offer their funds if they suspect that the firm is investing in sub-optimal projects.  Presence of an effective corporate governance system that monitors the managerial actions plays an important role in increasing debt availability and decreasing the cost of debt.  </w:t>
      </w:r>
      <w:r w:rsidR="0039674D" w:rsidRPr="000F3C44">
        <w:t xml:space="preserve">A well applied board structure and governance structure can make the manager shift her leverage policy from self-interest to that of shareholders.  </w:t>
      </w:r>
      <w:r w:rsidR="00AA1363" w:rsidRPr="000F3C44">
        <w:t xml:space="preserve">[7] </w:t>
      </w:r>
      <w:r w:rsidR="007F7C19" w:rsidRPr="000F3C44">
        <w:t xml:space="preserve">argue that board structures are designed to </w:t>
      </w:r>
      <w:r w:rsidR="008A7D1D" w:rsidRPr="000F3C44">
        <w:t xml:space="preserve">guarantee satisfactory monitoring of managerial deeds.  </w:t>
      </w:r>
    </w:p>
    <w:p w:rsidR="0039674D" w:rsidRPr="000F3C44" w:rsidRDefault="007F7C19" w:rsidP="0029517B">
      <w:pPr>
        <w:jc w:val="both"/>
      </w:pPr>
      <w:r w:rsidRPr="000F3C44">
        <w:t xml:space="preserve">Board independence </w:t>
      </w:r>
      <w:r w:rsidR="00676060" w:rsidRPr="000F3C44">
        <w:t xml:space="preserve">can be </w:t>
      </w:r>
      <w:r w:rsidRPr="000F3C44">
        <w:t xml:space="preserve">regarded as an important monitoring mechanism </w:t>
      </w:r>
      <w:r w:rsidR="00676060" w:rsidRPr="000F3C44">
        <w:t xml:space="preserve">of the board structure </w:t>
      </w:r>
      <w:r w:rsidRPr="000F3C44">
        <w:t>that can modera</w:t>
      </w:r>
      <w:r w:rsidR="00A97618" w:rsidRPr="000F3C44">
        <w:t xml:space="preserve">te the self-centered managers. </w:t>
      </w:r>
      <w:r w:rsidR="00AA1363" w:rsidRPr="000F3C44">
        <w:t xml:space="preserve">[21]. </w:t>
      </w:r>
      <w:r w:rsidRPr="000F3C44">
        <w:t xml:space="preserve">That boards characterized by a </w:t>
      </w:r>
      <w:r w:rsidRPr="000F3C44">
        <w:lastRenderedPageBreak/>
        <w:t xml:space="preserve">majority of independent directors tend to focus on the shareholders’ interests is brought out by earlier works (See for example, </w:t>
      </w:r>
      <w:r w:rsidR="00AA1363" w:rsidRPr="000F3C44">
        <w:t>[11]</w:t>
      </w:r>
      <w:r w:rsidRPr="000F3C44">
        <w:t xml:space="preserve">; </w:t>
      </w:r>
      <w:r w:rsidR="00181D63" w:rsidRPr="000F3C44">
        <w:t>[22]</w:t>
      </w:r>
      <w:r w:rsidR="00C23792" w:rsidRPr="000F3C44">
        <w:t>) Independent</w:t>
      </w:r>
      <w:r w:rsidRPr="000F3C44">
        <w:t xml:space="preserve"> directors have no business or financial stake in the firm.  They are only concerned with their status as experts and their human capital. </w:t>
      </w:r>
      <w:r w:rsidR="00181D63" w:rsidRPr="000F3C44">
        <w:t xml:space="preserve">[23]. </w:t>
      </w:r>
      <w:r w:rsidRPr="000F3C44">
        <w:t>In circumstances where the conflict of interests between owners and managers arise, independent directors can supervise the situations independently. (</w:t>
      </w:r>
      <w:r w:rsidR="00181D63" w:rsidRPr="000F3C44">
        <w:t>[19]</w:t>
      </w:r>
      <w:r w:rsidR="00A97618" w:rsidRPr="000F3C44">
        <w:t xml:space="preserve">; </w:t>
      </w:r>
      <w:r w:rsidR="00181D63" w:rsidRPr="000F3C44">
        <w:t>[24]</w:t>
      </w:r>
      <w:r w:rsidRPr="000F3C44">
        <w:t>)</w:t>
      </w:r>
      <w:r w:rsidR="00181D63" w:rsidRPr="000F3C44">
        <w:t>.</w:t>
      </w:r>
      <w:r w:rsidR="00AA0ABF" w:rsidRPr="000F3C44">
        <w:t xml:space="preserve">US Corporations are tilting their board structures in favor of increased participation from independent directors in recent times.  </w:t>
      </w:r>
      <w:r w:rsidR="00181D63" w:rsidRPr="000F3C44">
        <w:t>[25].</w:t>
      </w:r>
    </w:p>
    <w:p w:rsidR="007D68D0" w:rsidRPr="000F3C44" w:rsidRDefault="00A97618" w:rsidP="00A27340">
      <w:pPr>
        <w:jc w:val="both"/>
      </w:pPr>
      <w:r w:rsidRPr="000F3C44">
        <w:t xml:space="preserve">Existing empirical research produce mixed results on the link between board independence and debt.  Some works find that firms with higher board independence have higher levels of leverage. (See for example, </w:t>
      </w:r>
      <w:r w:rsidR="00181D63" w:rsidRPr="000F3C44">
        <w:t>[26]</w:t>
      </w:r>
      <w:r w:rsidRPr="000F3C44">
        <w:t xml:space="preserve">; </w:t>
      </w:r>
      <w:r w:rsidR="00181D63" w:rsidRPr="000F3C44">
        <w:t>[27]</w:t>
      </w:r>
      <w:r w:rsidRPr="000F3C44">
        <w:t>), while others find a negative link between boardindependence and leverage. (See for example,</w:t>
      </w:r>
      <w:r w:rsidR="00446A68" w:rsidRPr="000F3C44">
        <w:t>[13]</w:t>
      </w:r>
      <w:r w:rsidR="000841C9" w:rsidRPr="000F3C44">
        <w:t xml:space="preserve">) Resource dependence theory put forth by </w:t>
      </w:r>
      <w:r w:rsidR="00446A68" w:rsidRPr="000F3C44">
        <w:t xml:space="preserve">[28], </w:t>
      </w:r>
      <w:r w:rsidR="000841C9" w:rsidRPr="000F3C44">
        <w:t xml:space="preserve">and later developed by </w:t>
      </w:r>
      <w:r w:rsidR="00446A68" w:rsidRPr="000F3C44">
        <w:t xml:space="preserve">[12] </w:t>
      </w:r>
      <w:r w:rsidR="000841C9" w:rsidRPr="000F3C44">
        <w:t xml:space="preserve">argues that outside directors improve the firm’s ability to insulate itself from the external shocks, enjoy lower uncertainty and raise funds with ease.  The theory emphasizes that boards with higher outside directors have higher levels of debt.  </w:t>
      </w:r>
      <w:r w:rsidR="00446A68" w:rsidRPr="000F3C44">
        <w:t xml:space="preserve">[13] </w:t>
      </w:r>
      <w:r w:rsidR="000841C9" w:rsidRPr="000F3C44">
        <w:t xml:space="preserve">find an inverse relationship between number of outside directors and leverage.  They argue that outside directors actively supervise managers forcing them to deliver better performance.  Hence, firms with higher representation of outside directors have lower debt and higher market value for their equity.  </w:t>
      </w:r>
    </w:p>
    <w:p w:rsidR="005B2747" w:rsidRPr="000F3C44" w:rsidRDefault="00F50D11" w:rsidP="00E72265">
      <w:pPr>
        <w:jc w:val="both"/>
      </w:pPr>
      <w:r w:rsidRPr="000F3C44">
        <w:t>Corporate governance regula</w:t>
      </w:r>
      <w:r w:rsidR="009371EC" w:rsidRPr="000F3C44">
        <w:t>tions in Saudi Arabia stipulate</w:t>
      </w:r>
      <w:r w:rsidRPr="000F3C44">
        <w:t xml:space="preserve"> that the independent directors shall not be less than 2 or one-third of the board size, whichever is greater.  A firm that has a board independence which is just equal to the regulatory minimum may not signal the firm’s commitment to an effective corporate governance process, just obedience to law.  </w:t>
      </w:r>
      <w:r w:rsidR="00446A68" w:rsidRPr="000F3C44">
        <w:t xml:space="preserve">[29] </w:t>
      </w:r>
      <w:r w:rsidR="005B2747" w:rsidRPr="000F3C44">
        <w:t>argues that independent directors may not be contribute to the management decision making process for multiple reasons: they are appointed by the top management and may not carry out their role as whistle blowers in case of any problems or the board culture does not offer room for conflict.</w:t>
      </w:r>
    </w:p>
    <w:p w:rsidR="00EE2784" w:rsidRPr="000F3C44" w:rsidRDefault="00F50D11" w:rsidP="00E72265">
      <w:pPr>
        <w:jc w:val="both"/>
      </w:pPr>
      <w:r w:rsidRPr="000F3C44">
        <w:t xml:space="preserve">But, having the size of independent directors’ representation in excess of regulatory minimum can be expected to signal the firm’s commitment to better governance practices and willingness to subject the firm’s management to more pressure to perform.  </w:t>
      </w:r>
      <w:r w:rsidR="00E72265" w:rsidRPr="000F3C44">
        <w:t xml:space="preserve">Excess board independence may signal the firm’s commitment to adopt voluntary monitoring mechanisms for monitoring board closely.  </w:t>
      </w:r>
      <w:r w:rsidR="003F4391" w:rsidRPr="000F3C44">
        <w:t xml:space="preserve">This may encourage external stakeholders to offer funds at lower cost.  As debt can discipline managers by reducing the free cash and pressure to perform to avoid bankruptcy, it could supplement the efforts of independent directors. </w:t>
      </w:r>
      <w:r w:rsidR="002D2FEB" w:rsidRPr="000F3C44">
        <w:t xml:space="preserve">Research by </w:t>
      </w:r>
      <w:r w:rsidR="00446A68" w:rsidRPr="000F3C44">
        <w:t xml:space="preserve">[30] </w:t>
      </w:r>
      <w:r w:rsidR="002D2FEB" w:rsidRPr="000F3C44">
        <w:t xml:space="preserve">shows that replacing executive directors with independent directors enhances the monitoring performance of board.  As per the arguments put forth by </w:t>
      </w:r>
      <w:r w:rsidR="00446A68" w:rsidRPr="000F3C44">
        <w:t xml:space="preserve">[31] </w:t>
      </w:r>
      <w:r w:rsidR="002D2FEB" w:rsidRPr="000F3C44">
        <w:t xml:space="preserve">the skill set of independent directors can complement that of the executive directors and improve board performance.  </w:t>
      </w:r>
      <w:r w:rsidR="003F4391" w:rsidRPr="000F3C44">
        <w:t xml:space="preserve">Hence, we expect firms with excess board independence to have higher levels of debt.  </w:t>
      </w:r>
    </w:p>
    <w:p w:rsidR="005B2747" w:rsidRPr="000F3C44" w:rsidRDefault="005B2747" w:rsidP="00E72265">
      <w:pPr>
        <w:jc w:val="both"/>
      </w:pPr>
      <w:r>
        <w:t>Hypothe</w:t>
      </w:r>
      <w:r w:rsidRPr="000F3C44">
        <w:t xml:space="preserve">sis 1: Board independence and </w:t>
      </w:r>
      <w:r w:rsidR="00446A68" w:rsidRPr="000F3C44">
        <w:t>debt</w:t>
      </w:r>
      <w:r w:rsidRPr="000F3C44">
        <w:t xml:space="preserve"> may not be related.</w:t>
      </w:r>
    </w:p>
    <w:p w:rsidR="005B2747" w:rsidRDefault="005B2747" w:rsidP="00E72265">
      <w:pPr>
        <w:jc w:val="both"/>
      </w:pPr>
      <w:r w:rsidRPr="000F3C44">
        <w:t xml:space="preserve">Hypothesis 2: Excess independence and </w:t>
      </w:r>
      <w:r w:rsidR="00446A68" w:rsidRPr="000F3C44">
        <w:t>debt</w:t>
      </w:r>
      <w:r w:rsidRPr="000F3C44">
        <w:t xml:space="preserve"> will have a positive association</w:t>
      </w:r>
      <w:r>
        <w:t xml:space="preserve">. </w:t>
      </w:r>
    </w:p>
    <w:p w:rsidR="009D62EB" w:rsidRPr="00803AFF" w:rsidRDefault="005165A8" w:rsidP="00A27340">
      <w:pPr>
        <w:jc w:val="both"/>
        <w:rPr>
          <w:b/>
        </w:rPr>
      </w:pPr>
      <w:r>
        <w:rPr>
          <w:b/>
        </w:rPr>
        <w:t>Corporate governance regulation</w:t>
      </w:r>
      <w:r w:rsidR="00814781">
        <w:rPr>
          <w:b/>
        </w:rPr>
        <w:t>s</w:t>
      </w:r>
      <w:r>
        <w:rPr>
          <w:b/>
        </w:rPr>
        <w:t xml:space="preserve"> on board independence in Saudi Arabia:</w:t>
      </w:r>
    </w:p>
    <w:p w:rsidR="005165A8" w:rsidRDefault="005165A8" w:rsidP="005165A8">
      <w:pPr>
        <w:jc w:val="both"/>
      </w:pPr>
      <w:r>
        <w:lastRenderedPageBreak/>
        <w:t xml:space="preserve">Article 2 of the corporate governance regulations defines an independent member as a member of board of directors who enjoys complete independence.  The stipulation provides the following as examples of infringement of independence. </w:t>
      </w:r>
    </w:p>
    <w:p w:rsidR="005165A8" w:rsidRDefault="005165A8" w:rsidP="005165A8">
      <w:pPr>
        <w:jc w:val="both"/>
      </w:pPr>
      <w:r>
        <w:t>1) He/she holds a five per cent or more of the issued shares of the company or any of its group.</w:t>
      </w:r>
    </w:p>
    <w:p w:rsidR="005165A8" w:rsidRDefault="005165A8" w:rsidP="005165A8">
      <w:pPr>
        <w:jc w:val="both"/>
      </w:pPr>
      <w:r>
        <w:t>2) Being a representative of a legal person that holds a five per cent or more of the issued shares of the company or any of its group.</w:t>
      </w:r>
    </w:p>
    <w:p w:rsidR="005165A8" w:rsidRDefault="005165A8" w:rsidP="005165A8">
      <w:pPr>
        <w:jc w:val="both"/>
      </w:pPr>
      <w:r>
        <w:t>3) He/she, during the preceding two years, has been a senior executive of the company or of any other company within that company’s group.</w:t>
      </w:r>
    </w:p>
    <w:p w:rsidR="005165A8" w:rsidRDefault="005165A8" w:rsidP="005165A8">
      <w:pPr>
        <w:jc w:val="both"/>
      </w:pPr>
      <w:r>
        <w:t xml:space="preserve">4) He/she is a first-degree relative of any board member of the company or of any other company within that company’s group </w:t>
      </w:r>
    </w:p>
    <w:p w:rsidR="005165A8" w:rsidRDefault="005165A8" w:rsidP="005165A8">
      <w:pPr>
        <w:jc w:val="both"/>
      </w:pPr>
      <w:r>
        <w:t>5) He/she is first-degree relative of any of senior executives of the company or of any other company within that company’s group.</w:t>
      </w:r>
    </w:p>
    <w:p w:rsidR="005165A8" w:rsidRDefault="005165A8" w:rsidP="005165A8">
      <w:pPr>
        <w:jc w:val="both"/>
      </w:pPr>
      <w:r>
        <w:t>6) He/she is a board member of any company within the group of the company which he is nominated to be a member of its board.</w:t>
      </w:r>
    </w:p>
    <w:p w:rsidR="005165A8" w:rsidRDefault="005165A8" w:rsidP="005165A8">
      <w:pPr>
        <w:jc w:val="both"/>
      </w:pPr>
      <w:r>
        <w:t>7) If he/she, during the preceding two years, has been an employee with an affiliate of the company or an affiliate of any company of its group, such as external auditors or main suppliers; or if he/she, during the preceding two years, had a controlling interest in any such party</w:t>
      </w:r>
    </w:p>
    <w:p w:rsidR="001D40F2" w:rsidRDefault="005165A8" w:rsidP="001D40F2">
      <w:pPr>
        <w:jc w:val="both"/>
      </w:pPr>
      <w:r w:rsidRPr="005165A8">
        <w:t xml:space="preserve">The regulations stipulate that the articles of association of the company shall specify the board size subject to the condition that it shall have no less than 3 and no more than 11 members on the board.  The independent members on the board shall not be less than two or one-third of the board size whichever is greater.  </w:t>
      </w:r>
    </w:p>
    <w:p w:rsidR="00AC1FA4" w:rsidRPr="000F3C44" w:rsidRDefault="00AC1FA4" w:rsidP="00441A22">
      <w:pPr>
        <w:spacing w:after="0" w:line="240" w:lineRule="auto"/>
        <w:jc w:val="both"/>
      </w:pPr>
      <w:r w:rsidRPr="00C21F2D">
        <w:rPr>
          <w:b/>
        </w:rPr>
        <w:t>Data and methodology</w:t>
      </w:r>
      <w:r>
        <w:t xml:space="preserve">:  Our sample consists of 68 firms drawn from 13 sectors namely agriculture &amp; food industries, building &amp; construction, cement, energy &amp; utilities, hotel &amp; tourism, industrial investment, media &amp; publishing, multi-investment, petrochemical industries, real estate development, retail, telecommunication &amp; information technology and transport.  The two sectors that are excluded from our study are banking &amp; financial services and insurance.  The sample includes all the firms from the non-financial sectors for which the data for the study variables is available during our study period, 2010-2014.  Firms with any missing values are not part of our sample as we run a balanced panel </w:t>
      </w:r>
      <w:r w:rsidR="00FB67F9">
        <w:t>regression.  Data,</w:t>
      </w:r>
      <w:r>
        <w:t xml:space="preserve"> corporate governance and </w:t>
      </w:r>
      <w:r w:rsidRPr="000F3C44">
        <w:t xml:space="preserve">financial variables are sourced from the annual reports of the </w:t>
      </w:r>
      <w:r w:rsidR="00EA2BE6" w:rsidRPr="000F3C44">
        <w:t xml:space="preserve">listed </w:t>
      </w:r>
      <w:r w:rsidRPr="000F3C44">
        <w:t xml:space="preserve">firms.  </w:t>
      </w:r>
    </w:p>
    <w:p w:rsidR="00AC1FA4" w:rsidRPr="000F3C44" w:rsidRDefault="00AC1FA4" w:rsidP="00441A22">
      <w:pPr>
        <w:spacing w:after="0" w:line="240" w:lineRule="auto"/>
        <w:jc w:val="both"/>
      </w:pPr>
      <w:r w:rsidRPr="000F3C44">
        <w:rPr>
          <w:b/>
        </w:rPr>
        <w:t>Dependent variables</w:t>
      </w:r>
      <w:r w:rsidRPr="000F3C44">
        <w:t>:</w:t>
      </w:r>
    </w:p>
    <w:p w:rsidR="00AC1FA4" w:rsidRPr="000F3C44" w:rsidRDefault="006B310C" w:rsidP="00441A22">
      <w:pPr>
        <w:spacing w:after="0" w:line="240" w:lineRule="auto"/>
        <w:jc w:val="both"/>
      </w:pPr>
      <w:r w:rsidRPr="000F3C44">
        <w:rPr>
          <w:b/>
        </w:rPr>
        <w:t>Debt ratios</w:t>
      </w:r>
      <w:r w:rsidR="00733564" w:rsidRPr="000F3C44">
        <w:t xml:space="preserve">:  We define the </w:t>
      </w:r>
      <w:r w:rsidRPr="000F3C44">
        <w:t>debt</w:t>
      </w:r>
      <w:r w:rsidR="0057526F" w:rsidRPr="000F3C44">
        <w:t xml:space="preserve"> as book value of leverage.  For robustness check, we define </w:t>
      </w:r>
      <w:r w:rsidR="00FB67F9" w:rsidRPr="000F3C44">
        <w:t>debt</w:t>
      </w:r>
      <w:r w:rsidR="0057526F" w:rsidRPr="000F3C44">
        <w:t xml:space="preserve"> as market leverage.  Book leverage (BL) is the ratio of book value of total debt to total assets.  Market leverage (ML) is the book value of total debt as a ratio to total assets minus book value of equity plus market value of equity.  The baseline regression uses book leverage as the dependent variable as </w:t>
      </w:r>
      <w:r w:rsidR="00FB67F9" w:rsidRPr="000F3C44">
        <w:t xml:space="preserve">[32] </w:t>
      </w:r>
      <w:r w:rsidR="0057526F" w:rsidRPr="000F3C44">
        <w:t xml:space="preserve">maintain that the theoretical forecasts broadly applies to book value of debt.  As per </w:t>
      </w:r>
      <w:r w:rsidR="00FB67F9" w:rsidRPr="000F3C44">
        <w:t xml:space="preserve">[33] </w:t>
      </w:r>
      <w:r w:rsidR="0057526F" w:rsidRPr="000F3C44">
        <w:t xml:space="preserve">line of argument, book values represent the managerial targets.  Market value of equity is a function of factors that fall outside the purview of the managerial decision making process.  However, to confirm that our study results are not dependent on the definition of leverage, we rerun the baseline models with market leverage as dependent variable.  </w:t>
      </w:r>
    </w:p>
    <w:p w:rsidR="00AC1FA4" w:rsidRPr="000F3C44" w:rsidRDefault="00C21F2D" w:rsidP="00441A22">
      <w:pPr>
        <w:spacing w:after="0" w:line="240" w:lineRule="auto"/>
        <w:jc w:val="both"/>
        <w:rPr>
          <w:b/>
        </w:rPr>
      </w:pPr>
      <w:r w:rsidRPr="000F3C44">
        <w:rPr>
          <w:b/>
        </w:rPr>
        <w:lastRenderedPageBreak/>
        <w:t>Independent variables:</w:t>
      </w:r>
    </w:p>
    <w:p w:rsidR="00C21F2D" w:rsidRPr="000F3C44" w:rsidRDefault="00C21F2D" w:rsidP="00441A22">
      <w:pPr>
        <w:spacing w:after="0" w:line="240" w:lineRule="auto"/>
        <w:jc w:val="both"/>
      </w:pPr>
      <w:r w:rsidRPr="000F3C44">
        <w:rPr>
          <w:b/>
        </w:rPr>
        <w:t>Board independence (IND):</w:t>
      </w:r>
      <w:r w:rsidRPr="000F3C44">
        <w:t xml:space="preserve"> This is the ratio of the independent directors to board size.</w:t>
      </w:r>
    </w:p>
    <w:p w:rsidR="00C21F2D" w:rsidRPr="000F3C44" w:rsidRDefault="00C21F2D" w:rsidP="00441A22">
      <w:pPr>
        <w:spacing w:after="0" w:line="240" w:lineRule="auto"/>
        <w:jc w:val="both"/>
      </w:pPr>
      <w:r w:rsidRPr="000F3C44">
        <w:rPr>
          <w:b/>
        </w:rPr>
        <w:t>Excess independence (INDD):</w:t>
      </w:r>
      <w:r w:rsidRPr="000F3C44">
        <w:t xml:space="preserve">  This variable measures if the board independence in excess of the regulatory requirement has any relationship with the capital structure of the firm.  This variable is defined as a dummy variable which is assigned 1 when the firm has the number of independent directors in excess of regulatory minimum and 0 otherwise.</w:t>
      </w:r>
    </w:p>
    <w:p w:rsidR="00814781" w:rsidRPr="000F3C44" w:rsidRDefault="00814781" w:rsidP="005D2642">
      <w:pPr>
        <w:spacing w:after="0" w:line="240" w:lineRule="auto"/>
        <w:jc w:val="both"/>
        <w:rPr>
          <w:b/>
        </w:rPr>
      </w:pPr>
      <w:r w:rsidRPr="000F3C44">
        <w:rPr>
          <w:b/>
        </w:rPr>
        <w:t xml:space="preserve">Control variables: </w:t>
      </w:r>
    </w:p>
    <w:p w:rsidR="005F57C5" w:rsidRPr="000F3C44" w:rsidRDefault="00814781" w:rsidP="005D2642">
      <w:pPr>
        <w:spacing w:after="0" w:line="240" w:lineRule="auto"/>
        <w:jc w:val="both"/>
      </w:pPr>
      <w:r w:rsidRPr="000F3C44">
        <w:rPr>
          <w:b/>
        </w:rPr>
        <w:t xml:space="preserve">Board size: </w:t>
      </w:r>
      <w:r w:rsidRPr="000F3C44">
        <w:t xml:space="preserve">Total number of directors on the board in logarithmic form.  </w:t>
      </w:r>
      <w:r w:rsidR="00823A5D" w:rsidRPr="000F3C44">
        <w:t xml:space="preserve">Board size is considered as one of the important tools </w:t>
      </w:r>
      <w:r w:rsidR="00787959" w:rsidRPr="000F3C44">
        <w:t xml:space="preserve">in </w:t>
      </w:r>
      <w:r w:rsidR="00823A5D" w:rsidRPr="000F3C44">
        <w:t xml:space="preserve">governance structure in theoretical models. (See for </w:t>
      </w:r>
      <w:r w:rsidR="00FD5D94" w:rsidRPr="000F3C44">
        <w:t xml:space="preserve">example </w:t>
      </w:r>
      <w:r w:rsidR="00FB67F9" w:rsidRPr="000F3C44">
        <w:t xml:space="preserve">[34]). </w:t>
      </w:r>
      <w:r w:rsidR="00823A5D" w:rsidRPr="000F3C44">
        <w:t xml:space="preserve">Empirical research that test the link between board size and leverage find mixed results.  </w:t>
      </w:r>
      <w:r w:rsidR="005F57C5" w:rsidRPr="000F3C44">
        <w:t>Early research find that firms</w:t>
      </w:r>
      <w:r w:rsidR="005F57C5">
        <w:t xml:space="preserve"> with larger boards tend to have more debt. (See for </w:t>
      </w:r>
      <w:r w:rsidR="005F57C5" w:rsidRPr="000F3C44">
        <w:t xml:space="preserve">example, </w:t>
      </w:r>
      <w:r w:rsidR="00FB67F9" w:rsidRPr="000F3C44">
        <w:t>[16]</w:t>
      </w:r>
      <w:r w:rsidR="005F57C5" w:rsidRPr="000F3C44">
        <w:t xml:space="preserve">; </w:t>
      </w:r>
      <w:r w:rsidR="00FB67F9" w:rsidRPr="000F3C44">
        <w:t>[26]</w:t>
      </w:r>
      <w:r w:rsidR="005F57C5" w:rsidRPr="000F3C44">
        <w:t xml:space="preserve">)  However, recent research findings offer evidence to show the </w:t>
      </w:r>
      <w:r w:rsidR="007B1A67" w:rsidRPr="000F3C44">
        <w:t>opposite that</w:t>
      </w:r>
      <w:r w:rsidR="005F57C5" w:rsidRPr="000F3C44">
        <w:t xml:space="preserve"> board size and the level of debt employed move in the same direction. (See for example, </w:t>
      </w:r>
      <w:r w:rsidR="00FB67F9" w:rsidRPr="000F3C44">
        <w:t xml:space="preserve">[13]; [27]). [35] </w:t>
      </w:r>
      <w:r w:rsidR="005F57C5" w:rsidRPr="000F3C44">
        <w:t xml:space="preserve">argues that firms with larger boards enjoy debt at lower cost.  We hypothesize a positive link between board size and debt. </w:t>
      </w:r>
    </w:p>
    <w:p w:rsidR="00C21F2D" w:rsidRPr="000F3C44" w:rsidRDefault="00C21F2D" w:rsidP="005D2642">
      <w:pPr>
        <w:spacing w:after="0" w:line="240" w:lineRule="auto"/>
        <w:jc w:val="both"/>
      </w:pPr>
      <w:r w:rsidRPr="000F3C44">
        <w:rPr>
          <w:b/>
        </w:rPr>
        <w:t xml:space="preserve">Tangibility(TAN):  </w:t>
      </w:r>
      <w:r w:rsidR="00480670" w:rsidRPr="000F3C44">
        <w:t>Lenders may insist on collateral for their investment as shareholders may commit funds in sub-optimal projects on account of their conflicts with lenders.  Hence, the ability of the firm to raise debt is dependent on i</w:t>
      </w:r>
      <w:r w:rsidR="00436BD9" w:rsidRPr="000F3C44">
        <w:t xml:space="preserve">s ability to offer collateral </w:t>
      </w:r>
      <w:r w:rsidR="005D2642" w:rsidRPr="000F3C44">
        <w:t xml:space="preserve">which is dependent on </w:t>
      </w:r>
      <w:r w:rsidR="00436BD9" w:rsidRPr="000F3C44">
        <w:t>their</w:t>
      </w:r>
      <w:r w:rsidR="00787959" w:rsidRPr="000F3C44">
        <w:t xml:space="preserve"> stock of tangible assets</w:t>
      </w:r>
      <w:r w:rsidR="00480670" w:rsidRPr="000F3C44">
        <w:t xml:space="preserve">.  </w:t>
      </w:r>
      <w:r w:rsidR="00436BD9" w:rsidRPr="000F3C44">
        <w:t xml:space="preserve">In case of default, the lenders will appropriate the proceeds from the sale of collateral.  </w:t>
      </w:r>
      <w:r w:rsidR="005D2642" w:rsidRPr="000F3C44">
        <w:t>C</w:t>
      </w:r>
      <w:r w:rsidR="00436BD9" w:rsidRPr="000F3C44">
        <w:t>ollateral averts the risk of bankruptcy for the firm.  Firms, as a result may prefer to debt contracts with collateral clause.  We expect a positive association between tangibility and capital structure.  Empirical works produce mixed results about the link between tangibility and capital structure.  Some works find a positive relationship between t</w:t>
      </w:r>
      <w:r w:rsidR="00882881" w:rsidRPr="000F3C44">
        <w:t>angibility and leverage</w:t>
      </w:r>
      <w:r w:rsidR="00436BD9" w:rsidRPr="000F3C44">
        <w:t xml:space="preserve"> (See for example, </w:t>
      </w:r>
      <w:r w:rsidR="00787959" w:rsidRPr="000F3C44">
        <w:t>[36]</w:t>
      </w:r>
      <w:r w:rsidR="00882881" w:rsidRPr="000F3C44">
        <w:t xml:space="preserve">; </w:t>
      </w:r>
      <w:r w:rsidR="00787959" w:rsidRPr="000F3C44">
        <w:t>[37]</w:t>
      </w:r>
      <w:r w:rsidR="00882881" w:rsidRPr="000F3C44">
        <w:t xml:space="preserve">), while others show a negative link between tangible assets and leverage. (See for example, </w:t>
      </w:r>
      <w:r w:rsidR="00787959" w:rsidRPr="000F3C44">
        <w:t>[38]</w:t>
      </w:r>
      <w:r w:rsidR="00882881" w:rsidRPr="000F3C44">
        <w:t xml:space="preserve">; </w:t>
      </w:r>
      <w:r w:rsidR="00787959" w:rsidRPr="000F3C44">
        <w:t>[39]</w:t>
      </w:r>
      <w:r w:rsidR="00882881" w:rsidRPr="000F3C44">
        <w:t xml:space="preserve">).  In line with some of the earlier works, we measure tangibility as the ratio of fixed assets to total assets.  </w:t>
      </w:r>
      <w:r w:rsidR="00787959" w:rsidRPr="000F3C44">
        <w:t xml:space="preserve">[40]. </w:t>
      </w:r>
      <w:r w:rsidR="005D2642" w:rsidRPr="000F3C44">
        <w:t xml:space="preserve">We expect a positive link between tangibility and leverage. </w:t>
      </w:r>
    </w:p>
    <w:p w:rsidR="00882881" w:rsidRPr="008B7B36" w:rsidRDefault="004609AF" w:rsidP="00441A22">
      <w:pPr>
        <w:spacing w:after="0" w:line="240" w:lineRule="auto"/>
        <w:jc w:val="both"/>
      </w:pPr>
      <w:r w:rsidRPr="000F3C44">
        <w:rPr>
          <w:b/>
        </w:rPr>
        <w:t xml:space="preserve">Profitability (PFT): </w:t>
      </w:r>
      <w:r w:rsidR="008B7B36" w:rsidRPr="000F3C44">
        <w:t xml:space="preserve">The link between profitability and leverage is unclear from the theory.  Pecking order theory stipulates that firms exhaust internal sources of finance ahead of tapping external sources.  Firms with higher levels of profitability will have finance generated from within and hence, will tend to use less external financing.  A negative association between profitability and </w:t>
      </w:r>
      <w:r w:rsidR="00787959" w:rsidRPr="000F3C44">
        <w:t>debt</w:t>
      </w:r>
      <w:r w:rsidR="008B7B36" w:rsidRPr="000F3C44">
        <w:t xml:space="preserve"> is predicted.  However, trade-off theory contradicts this line of argument and puts forth that firms with higher level of profitability will be in a position to service debt better and will prefer to exploit the tax advantage that the interest on debt offers.  Hence, a positive link between profitability and leverage is expected.  Empirical works largely support the pecking order theory predictions. (See for example </w:t>
      </w:r>
      <w:r w:rsidR="00787959" w:rsidRPr="000F3C44">
        <w:t>[41]</w:t>
      </w:r>
      <w:r w:rsidR="008B7B36" w:rsidRPr="000F3C44">
        <w:t>)</w:t>
      </w:r>
      <w:r w:rsidR="00C059DB">
        <w:t xml:space="preserve">We hypothesize a positive link between firm profitability and leverage.  </w:t>
      </w:r>
    </w:p>
    <w:p w:rsidR="00C21F2D" w:rsidRPr="003E2818" w:rsidRDefault="003E2818" w:rsidP="00441A22">
      <w:pPr>
        <w:spacing w:after="0" w:line="240" w:lineRule="auto"/>
        <w:jc w:val="both"/>
        <w:rPr>
          <w:b/>
          <w:bCs/>
        </w:rPr>
      </w:pPr>
      <w:r w:rsidRPr="003E2818">
        <w:rPr>
          <w:b/>
          <w:bCs/>
        </w:rPr>
        <w:t xml:space="preserve">Size (SIZE): </w:t>
      </w:r>
    </w:p>
    <w:p w:rsidR="005D2642" w:rsidRPr="000F3C44" w:rsidRDefault="00E24E0D" w:rsidP="005D2642">
      <w:pPr>
        <w:spacing w:after="0" w:line="240" w:lineRule="auto"/>
        <w:jc w:val="both"/>
      </w:pPr>
      <w:r>
        <w:t xml:space="preserve">The impact of firm size on the level of firm leverage is unclear.  </w:t>
      </w:r>
      <w:r w:rsidR="005D2642">
        <w:t xml:space="preserve">Larger firms may adopt better transparency in corporate governance which may increase equity holders’ participation in firm capital.  Hence, firm size and leverage may share an inverse relationship.  However, static trade-off theory offers </w:t>
      </w:r>
      <w:r w:rsidR="009372F5">
        <w:t xml:space="preserve">quite a contradictory prediction to this assumption.  Larger firms suffer reduced level of bankruptcy risk as they tend to have diversified operations.  This reduces their cost of borrowed funds and hence, they may employ more funds from </w:t>
      </w:r>
      <w:r w:rsidR="009372F5" w:rsidRPr="000F3C44">
        <w:t xml:space="preserve">debt.  That larger firms tend to have higher levels of debt is supported by many of the earlier works. (See for example, </w:t>
      </w:r>
      <w:r w:rsidR="00E44262" w:rsidRPr="000F3C44">
        <w:t>[38]</w:t>
      </w:r>
      <w:r w:rsidR="007B1A67" w:rsidRPr="000F3C44">
        <w:t xml:space="preserve">). </w:t>
      </w:r>
      <w:r w:rsidR="009372F5" w:rsidRPr="000F3C44">
        <w:t xml:space="preserve">We </w:t>
      </w:r>
      <w:r w:rsidR="009372F5" w:rsidRPr="000F3C44">
        <w:lastRenderedPageBreak/>
        <w:t xml:space="preserve">define firm size as the natural logarithm of total assets.  </w:t>
      </w:r>
      <w:r w:rsidR="00743479" w:rsidRPr="000F3C44">
        <w:t xml:space="preserve">We hypothesize a positive link between firm size and leverage.  </w:t>
      </w:r>
    </w:p>
    <w:p w:rsidR="00884066" w:rsidRPr="00884066" w:rsidRDefault="00884066" w:rsidP="00884066">
      <w:r w:rsidRPr="000F3C44">
        <w:rPr>
          <w:b/>
        </w:rPr>
        <w:t>Growth opportunities (GROW)</w:t>
      </w:r>
      <w:r w:rsidRPr="000F3C44">
        <w:t xml:space="preserve">:  Firms that are faced with investible growth opportunities will require more funds.  They may need external sources of funds, particularly debt as per pecking order theory.  We may predict that growth opportunities and leverage will have a positive linkage.  However, if the growth opportunities happen to be investments in sub-optimal projects as argued by agency theory which may arise out of conflicts between shareholders and debtholders, then lenders may become unwilling to offer long-term debt. </w:t>
      </w:r>
      <w:r w:rsidR="00E44262" w:rsidRPr="000F3C44">
        <w:t xml:space="preserve">[42]. </w:t>
      </w:r>
      <w:r w:rsidRPr="000F3C44">
        <w:t xml:space="preserve">Hence, it is possible not to find a link between growth opportunities and leverage.  We define growth opportunities as the year to year change in total assets following </w:t>
      </w:r>
      <w:r w:rsidR="00513E01" w:rsidRPr="000F3C44">
        <w:t xml:space="preserve">[36]. </w:t>
      </w:r>
      <w:r w:rsidR="00743479" w:rsidRPr="000F3C44">
        <w:t>We hypothesize a positive</w:t>
      </w:r>
      <w:r w:rsidR="00743479">
        <w:t xml:space="preserve"> connection between growth opportunities and debt.  </w:t>
      </w:r>
    </w:p>
    <w:p w:rsidR="005D2642" w:rsidRDefault="00202DC8" w:rsidP="005D2642">
      <w:pPr>
        <w:spacing w:after="0" w:line="240" w:lineRule="auto"/>
        <w:jc w:val="both"/>
      </w:pPr>
      <w:r>
        <w:t>In addition to the above variables</w:t>
      </w:r>
      <w:r w:rsidRPr="000F3C44">
        <w:t xml:space="preserve">, many of the earlier works include non-debt tax shields in the study on leverage. (See for example </w:t>
      </w:r>
      <w:r w:rsidR="00513E01" w:rsidRPr="000F3C44">
        <w:t>[43]</w:t>
      </w:r>
      <w:r w:rsidRPr="000F3C44">
        <w:t xml:space="preserve">)  We do not include this </w:t>
      </w:r>
      <w:r w:rsidR="007B1A67" w:rsidRPr="000F3C44">
        <w:t>variable,</w:t>
      </w:r>
      <w:r w:rsidRPr="000F3C44">
        <w:t xml:space="preserve"> as firms in Saudi Arabia are not subjected to taxation like their counterparts in the rest of the globe.  Instead they pay Zakat which is a flat rate of 2.5% calculated on the sum of the </w:t>
      </w:r>
      <w:r w:rsidR="00044DD5" w:rsidRPr="000F3C44">
        <w:t xml:space="preserve">firm’s current assets in addition to the operating profit of the current year.  Considering the size of this tax liability we do not expect the </w:t>
      </w:r>
      <w:r w:rsidRPr="000F3C44">
        <w:t xml:space="preserve">firms in our sample to employ debt in order to take advantage of tax shield it provides.  </w:t>
      </w:r>
      <w:r w:rsidR="004F1323" w:rsidRPr="000F3C44">
        <w:t xml:space="preserve">Many studies that evaluate the association between board structure and debt include the CEO-Chairman duality variable. (See for example, </w:t>
      </w:r>
      <w:r w:rsidR="00513E01" w:rsidRPr="000F3C44">
        <w:t>[27]</w:t>
      </w:r>
      <w:r w:rsidR="004F1323" w:rsidRPr="000F3C44">
        <w:t>)</w:t>
      </w:r>
      <w:r w:rsidR="00513E01" w:rsidRPr="000F3C44">
        <w:t>.</w:t>
      </w:r>
      <w:r w:rsidR="004F1323" w:rsidRPr="000F3C44">
        <w:t xml:space="preserve">  We</w:t>
      </w:r>
      <w:r w:rsidR="004F1323">
        <w:t xml:space="preserve"> do not include this control variable in our study as only 24 firm-year observations out of 340 firm-year observations studied have the dual role of CEO and Chairman of the board position to a single individual.  The latest 2015 amendment to the corporate law in Saudi Arabia states that the board of directors should appoint the chairman and vice chairman of the board and managing directors from the board members and it is prohibited for any board member to be the chairman of the board and also hold any executive position at the same time.  It states that this provision cannot contradict with the corporation’s primary establishing code.  This explains the phenomenon of why dual positions for a single individual is an exception among Saudi Arabian listed firms.  </w:t>
      </w:r>
    </w:p>
    <w:p w:rsidR="00F877D5" w:rsidRDefault="00F877D5" w:rsidP="00441A22">
      <w:pPr>
        <w:spacing w:after="0" w:line="240" w:lineRule="auto"/>
        <w:jc w:val="both"/>
      </w:pPr>
      <w:r w:rsidRPr="00C9533C">
        <w:rPr>
          <w:b/>
          <w:bCs/>
        </w:rPr>
        <w:t>Model</w:t>
      </w:r>
      <w:r>
        <w:t>:</w:t>
      </w:r>
    </w:p>
    <w:p w:rsidR="00F877D5" w:rsidRDefault="00F877D5" w:rsidP="00441A22">
      <w:pPr>
        <w:spacing w:after="0" w:line="240" w:lineRule="auto"/>
        <w:jc w:val="both"/>
      </w:pPr>
      <w:r>
        <w:t>We estimate the following 4 models.</w:t>
      </w:r>
    </w:p>
    <w:p w:rsidR="00F877D5" w:rsidRDefault="00F877D5" w:rsidP="00441A22">
      <w:pPr>
        <w:spacing w:after="0" w:line="240" w:lineRule="auto"/>
        <w:jc w:val="both"/>
      </w:pPr>
      <w:r>
        <w:t>BL = f (BRD, IND, TAN, PFT, SIZE, GROW)</w:t>
      </w:r>
    </w:p>
    <w:p w:rsidR="00F877D5" w:rsidRDefault="00F877D5" w:rsidP="00441A22">
      <w:pPr>
        <w:spacing w:after="0" w:line="240" w:lineRule="auto"/>
        <w:jc w:val="both"/>
      </w:pPr>
      <w:r>
        <w:t>BL = f (BRD, INDD, TAN, PFT, SIZE, GROW)</w:t>
      </w:r>
    </w:p>
    <w:p w:rsidR="00F877D5" w:rsidRDefault="00F877D5" w:rsidP="00441A22">
      <w:pPr>
        <w:spacing w:after="0" w:line="240" w:lineRule="auto"/>
        <w:jc w:val="both"/>
      </w:pPr>
      <w:r>
        <w:t>ML = f (BRD, IND, TAN, PFT, SIZE, GROW)</w:t>
      </w:r>
    </w:p>
    <w:p w:rsidR="00F877D5" w:rsidRDefault="00F877D5" w:rsidP="00441A22">
      <w:pPr>
        <w:spacing w:after="0" w:line="240" w:lineRule="auto"/>
        <w:jc w:val="both"/>
      </w:pPr>
      <w:r>
        <w:t>ML = f (BRD, INDD, TAN, PFT, SIZE, GROW)</w:t>
      </w:r>
    </w:p>
    <w:p w:rsidR="00B80CA6" w:rsidRDefault="00F77F9B" w:rsidP="006042A4">
      <w:pPr>
        <w:jc w:val="both"/>
      </w:pPr>
      <w:r>
        <w:t xml:space="preserve"> In addition to the study variables, all the four models applied include the year and industry dummies.  </w:t>
      </w:r>
    </w:p>
    <w:p w:rsidR="00F77F9B" w:rsidRDefault="00F77F9B" w:rsidP="0098553B">
      <w:pPr>
        <w:spacing w:after="0" w:line="240" w:lineRule="auto"/>
        <w:jc w:val="both"/>
      </w:pPr>
      <w:r>
        <w:t>BRD: Board size in logarithmic form</w:t>
      </w:r>
    </w:p>
    <w:p w:rsidR="00F77F9B" w:rsidRDefault="00F77F9B" w:rsidP="0098553B">
      <w:pPr>
        <w:spacing w:after="0" w:line="240" w:lineRule="auto"/>
        <w:jc w:val="both"/>
      </w:pPr>
      <w:r>
        <w:t xml:space="preserve">IND: Number of independent directors / </w:t>
      </w:r>
      <w:r w:rsidR="000C2BA6">
        <w:t>Board size</w:t>
      </w:r>
    </w:p>
    <w:p w:rsidR="000C2BA6" w:rsidRDefault="000C2BA6" w:rsidP="0098553B">
      <w:pPr>
        <w:spacing w:after="0" w:line="240" w:lineRule="auto"/>
        <w:jc w:val="both"/>
      </w:pPr>
      <w:r>
        <w:t>INDD: Excess board independence measured as a dummy variable with a value of 1 when the board independence is in excess of regulatory minimum and equal to 0 otherwise.</w:t>
      </w:r>
    </w:p>
    <w:p w:rsidR="000C2BA6" w:rsidRDefault="000C2BA6" w:rsidP="0098553B">
      <w:pPr>
        <w:spacing w:after="0" w:line="240" w:lineRule="auto"/>
        <w:jc w:val="both"/>
      </w:pPr>
      <w:r>
        <w:t>TAN: Fixed assets / Total assets</w:t>
      </w:r>
    </w:p>
    <w:p w:rsidR="000C2BA6" w:rsidRDefault="000C2BA6" w:rsidP="0098553B">
      <w:pPr>
        <w:spacing w:after="0" w:line="240" w:lineRule="auto"/>
        <w:jc w:val="both"/>
      </w:pPr>
      <w:r>
        <w:t>PFT: Operating profit / Total assets</w:t>
      </w:r>
    </w:p>
    <w:p w:rsidR="000C2BA6" w:rsidRDefault="000C2BA6" w:rsidP="0098553B">
      <w:pPr>
        <w:spacing w:after="0" w:line="240" w:lineRule="auto"/>
        <w:jc w:val="both"/>
      </w:pPr>
      <w:r>
        <w:t>SIZE: Total assets in logarithmic form</w:t>
      </w:r>
    </w:p>
    <w:p w:rsidR="000C2BA6" w:rsidRDefault="000C2BA6" w:rsidP="0098553B">
      <w:pPr>
        <w:spacing w:after="0" w:line="240" w:lineRule="auto"/>
        <w:jc w:val="both"/>
      </w:pPr>
      <w:r>
        <w:t>GROW: Year on year growth rate of total assets</w:t>
      </w:r>
    </w:p>
    <w:p w:rsidR="007B1A67" w:rsidRDefault="007B1A67" w:rsidP="0098553B">
      <w:pPr>
        <w:spacing w:after="0" w:line="240" w:lineRule="auto"/>
        <w:jc w:val="both"/>
      </w:pPr>
    </w:p>
    <w:p w:rsidR="002D2E56" w:rsidRPr="00FA75E6" w:rsidRDefault="002D2E56" w:rsidP="006042A4">
      <w:pPr>
        <w:jc w:val="both"/>
        <w:rPr>
          <w:b/>
        </w:rPr>
      </w:pPr>
      <w:r w:rsidRPr="00FA75E6">
        <w:rPr>
          <w:b/>
        </w:rPr>
        <w:lastRenderedPageBreak/>
        <w:t>Methodology:</w:t>
      </w:r>
    </w:p>
    <w:p w:rsidR="005F3ABA" w:rsidRDefault="00FA75E6" w:rsidP="005F3ABA">
      <w:pPr>
        <w:jc w:val="both"/>
      </w:pPr>
      <w:r>
        <w:t xml:space="preserve">To check the suitability of data for a regression, we test them for unit </w:t>
      </w:r>
      <w:r w:rsidRPr="000F3C44">
        <w:t xml:space="preserve">root. </w:t>
      </w:r>
      <w:r w:rsidR="00452244" w:rsidRPr="000F3C44">
        <w:t>[44]</w:t>
      </w:r>
      <w:r w:rsidR="00B141EF">
        <w:t>unit</w:t>
      </w:r>
      <w:r w:rsidR="005F3ABA">
        <w:t xml:space="preserve"> root test is applied to check if data is stationary at level.  The test assumes a unit root as the null hypothesis.  </w:t>
      </w:r>
      <w:r w:rsidR="00B141EF">
        <w:t>Our sample size satisfies the test constrains on size.  H</w:t>
      </w:r>
      <w:r w:rsidR="005F3ABA">
        <w:t xml:space="preserve">ence, the test is suitable for our data.  We find that all our data series are stationary at level and are amenable to regression analysis.  </w:t>
      </w:r>
    </w:p>
    <w:p w:rsidR="004F33DD" w:rsidRDefault="004F33DD" w:rsidP="004F33DD">
      <w:pPr>
        <w:spacing w:after="0" w:line="240" w:lineRule="auto"/>
        <w:jc w:val="center"/>
      </w:pPr>
      <w:r>
        <w:t>Table 1</w:t>
      </w:r>
    </w:p>
    <w:p w:rsidR="006326FB" w:rsidRDefault="006326FB" w:rsidP="004F33DD">
      <w:pPr>
        <w:spacing w:after="0" w:line="240" w:lineRule="auto"/>
        <w:jc w:val="center"/>
      </w:pPr>
      <w:r>
        <w:t>Results of Unit Root Test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1870"/>
        <w:gridCol w:w="1870"/>
        <w:gridCol w:w="1870"/>
      </w:tblGrid>
      <w:tr w:rsidR="006326FB" w:rsidTr="00304909">
        <w:trPr>
          <w:jc w:val="center"/>
        </w:trPr>
        <w:tc>
          <w:tcPr>
            <w:tcW w:w="1870" w:type="dxa"/>
          </w:tcPr>
          <w:p w:rsidR="006326FB" w:rsidRDefault="006326FB" w:rsidP="006B4709">
            <w:pPr>
              <w:jc w:val="center"/>
            </w:pPr>
            <w:r>
              <w:t>Variable</w:t>
            </w:r>
          </w:p>
        </w:tc>
        <w:tc>
          <w:tcPr>
            <w:tcW w:w="1870" w:type="dxa"/>
          </w:tcPr>
          <w:p w:rsidR="006326FB" w:rsidRDefault="006326FB" w:rsidP="006B4709">
            <w:pPr>
              <w:jc w:val="center"/>
            </w:pPr>
            <w:r>
              <w:t>Statistic</w:t>
            </w:r>
          </w:p>
        </w:tc>
        <w:tc>
          <w:tcPr>
            <w:tcW w:w="1870" w:type="dxa"/>
          </w:tcPr>
          <w:p w:rsidR="006326FB" w:rsidRDefault="006326FB" w:rsidP="006B4709">
            <w:pPr>
              <w:jc w:val="center"/>
            </w:pPr>
            <w:r>
              <w:t>Prob.</w:t>
            </w:r>
          </w:p>
        </w:tc>
      </w:tr>
      <w:tr w:rsidR="006326FB" w:rsidTr="00304909">
        <w:trPr>
          <w:jc w:val="center"/>
        </w:trPr>
        <w:tc>
          <w:tcPr>
            <w:tcW w:w="1870" w:type="dxa"/>
          </w:tcPr>
          <w:p w:rsidR="006326FB" w:rsidRDefault="006326FB" w:rsidP="006B4709">
            <w:pPr>
              <w:jc w:val="center"/>
            </w:pPr>
            <w:r>
              <w:t>BL</w:t>
            </w:r>
          </w:p>
        </w:tc>
        <w:tc>
          <w:tcPr>
            <w:tcW w:w="1870" w:type="dxa"/>
          </w:tcPr>
          <w:p w:rsidR="006326FB" w:rsidRDefault="006326FB" w:rsidP="006326FB">
            <w:pPr>
              <w:jc w:val="right"/>
            </w:pPr>
            <w:r w:rsidRPr="006326FB">
              <w:t>-15.8984</w:t>
            </w:r>
            <w:r>
              <w:t>(0)</w:t>
            </w:r>
          </w:p>
        </w:tc>
        <w:tc>
          <w:tcPr>
            <w:tcW w:w="1870" w:type="dxa"/>
          </w:tcPr>
          <w:p w:rsidR="006326FB" w:rsidRDefault="006326FB" w:rsidP="006326FB">
            <w:pPr>
              <w:jc w:val="right"/>
            </w:pPr>
            <w:r w:rsidRPr="006326FB">
              <w:t>0.0000</w:t>
            </w:r>
          </w:p>
        </w:tc>
      </w:tr>
      <w:tr w:rsidR="006326FB" w:rsidTr="00304909">
        <w:trPr>
          <w:jc w:val="center"/>
        </w:trPr>
        <w:tc>
          <w:tcPr>
            <w:tcW w:w="1870" w:type="dxa"/>
          </w:tcPr>
          <w:p w:rsidR="006326FB" w:rsidRDefault="006326FB" w:rsidP="006B4709">
            <w:pPr>
              <w:jc w:val="center"/>
            </w:pPr>
            <w:r>
              <w:t>ML</w:t>
            </w:r>
          </w:p>
        </w:tc>
        <w:tc>
          <w:tcPr>
            <w:tcW w:w="1870" w:type="dxa"/>
          </w:tcPr>
          <w:p w:rsidR="006326FB" w:rsidRDefault="006326FB" w:rsidP="006326FB">
            <w:pPr>
              <w:jc w:val="right"/>
            </w:pPr>
            <w:r w:rsidRPr="006326FB">
              <w:t>-15.8651</w:t>
            </w:r>
            <w:r>
              <w:t>(0)</w:t>
            </w:r>
          </w:p>
        </w:tc>
        <w:tc>
          <w:tcPr>
            <w:tcW w:w="1870" w:type="dxa"/>
          </w:tcPr>
          <w:p w:rsidR="006326FB" w:rsidRDefault="006326FB" w:rsidP="006326FB">
            <w:pPr>
              <w:jc w:val="right"/>
            </w:pPr>
            <w:r>
              <w:t>0.0000</w:t>
            </w:r>
          </w:p>
        </w:tc>
      </w:tr>
      <w:tr w:rsidR="006326FB" w:rsidTr="00304909">
        <w:trPr>
          <w:jc w:val="center"/>
        </w:trPr>
        <w:tc>
          <w:tcPr>
            <w:tcW w:w="1870" w:type="dxa"/>
          </w:tcPr>
          <w:p w:rsidR="006326FB" w:rsidRDefault="006326FB" w:rsidP="006B4709">
            <w:pPr>
              <w:jc w:val="center"/>
            </w:pPr>
            <w:r>
              <w:t>BRD</w:t>
            </w:r>
          </w:p>
        </w:tc>
        <w:tc>
          <w:tcPr>
            <w:tcW w:w="1870" w:type="dxa"/>
          </w:tcPr>
          <w:p w:rsidR="006326FB" w:rsidRDefault="006326FB" w:rsidP="006326FB">
            <w:pPr>
              <w:jc w:val="right"/>
            </w:pPr>
            <w:r w:rsidRPr="006326FB">
              <w:t>-6.75408</w:t>
            </w:r>
            <w:r>
              <w:t>(0)</w:t>
            </w:r>
          </w:p>
        </w:tc>
        <w:tc>
          <w:tcPr>
            <w:tcW w:w="1870" w:type="dxa"/>
          </w:tcPr>
          <w:p w:rsidR="006326FB" w:rsidRDefault="006326FB" w:rsidP="006326FB">
            <w:pPr>
              <w:jc w:val="right"/>
            </w:pPr>
            <w:r>
              <w:t>0.0000</w:t>
            </w:r>
          </w:p>
        </w:tc>
      </w:tr>
      <w:tr w:rsidR="006326FB" w:rsidTr="00304909">
        <w:trPr>
          <w:jc w:val="center"/>
        </w:trPr>
        <w:tc>
          <w:tcPr>
            <w:tcW w:w="1870" w:type="dxa"/>
          </w:tcPr>
          <w:p w:rsidR="006326FB" w:rsidRDefault="006326FB" w:rsidP="006B4709">
            <w:pPr>
              <w:jc w:val="center"/>
            </w:pPr>
            <w:r>
              <w:t>IND</w:t>
            </w:r>
          </w:p>
        </w:tc>
        <w:tc>
          <w:tcPr>
            <w:tcW w:w="1870" w:type="dxa"/>
          </w:tcPr>
          <w:p w:rsidR="006326FB" w:rsidRDefault="006326FB" w:rsidP="006326FB">
            <w:pPr>
              <w:jc w:val="right"/>
            </w:pPr>
            <w:r w:rsidRPr="006326FB">
              <w:t>-19.4842</w:t>
            </w:r>
            <w:r>
              <w:t>(0)</w:t>
            </w:r>
          </w:p>
        </w:tc>
        <w:tc>
          <w:tcPr>
            <w:tcW w:w="1870" w:type="dxa"/>
          </w:tcPr>
          <w:p w:rsidR="006326FB" w:rsidRDefault="006326FB" w:rsidP="006326FB">
            <w:pPr>
              <w:jc w:val="right"/>
            </w:pPr>
            <w:r>
              <w:t>0.0000</w:t>
            </w:r>
          </w:p>
        </w:tc>
      </w:tr>
      <w:tr w:rsidR="006326FB" w:rsidTr="00304909">
        <w:trPr>
          <w:jc w:val="center"/>
        </w:trPr>
        <w:tc>
          <w:tcPr>
            <w:tcW w:w="1870" w:type="dxa"/>
          </w:tcPr>
          <w:p w:rsidR="006326FB" w:rsidRDefault="006326FB" w:rsidP="006B4709">
            <w:pPr>
              <w:jc w:val="center"/>
            </w:pPr>
            <w:r>
              <w:t>TAN</w:t>
            </w:r>
          </w:p>
        </w:tc>
        <w:tc>
          <w:tcPr>
            <w:tcW w:w="1870" w:type="dxa"/>
          </w:tcPr>
          <w:p w:rsidR="006326FB" w:rsidRDefault="006326FB" w:rsidP="006326FB">
            <w:pPr>
              <w:jc w:val="right"/>
            </w:pPr>
            <w:r w:rsidRPr="006326FB">
              <w:t>-12.0809</w:t>
            </w:r>
            <w:r>
              <w:t>(0)</w:t>
            </w:r>
          </w:p>
        </w:tc>
        <w:tc>
          <w:tcPr>
            <w:tcW w:w="1870" w:type="dxa"/>
          </w:tcPr>
          <w:p w:rsidR="006326FB" w:rsidRDefault="006326FB" w:rsidP="006326FB">
            <w:pPr>
              <w:jc w:val="right"/>
            </w:pPr>
            <w:r>
              <w:t>0.0000</w:t>
            </w:r>
          </w:p>
        </w:tc>
      </w:tr>
      <w:tr w:rsidR="006326FB" w:rsidTr="00304909">
        <w:trPr>
          <w:jc w:val="center"/>
        </w:trPr>
        <w:tc>
          <w:tcPr>
            <w:tcW w:w="1870" w:type="dxa"/>
          </w:tcPr>
          <w:p w:rsidR="006326FB" w:rsidRDefault="006326FB" w:rsidP="006B4709">
            <w:pPr>
              <w:jc w:val="center"/>
            </w:pPr>
            <w:r>
              <w:t>PFT</w:t>
            </w:r>
          </w:p>
        </w:tc>
        <w:tc>
          <w:tcPr>
            <w:tcW w:w="1870" w:type="dxa"/>
          </w:tcPr>
          <w:p w:rsidR="006326FB" w:rsidRDefault="006326FB" w:rsidP="006326FB">
            <w:pPr>
              <w:jc w:val="right"/>
            </w:pPr>
            <w:r w:rsidRPr="006326FB">
              <w:t>-20.4029</w:t>
            </w:r>
            <w:r>
              <w:t>(0)</w:t>
            </w:r>
          </w:p>
        </w:tc>
        <w:tc>
          <w:tcPr>
            <w:tcW w:w="1870" w:type="dxa"/>
          </w:tcPr>
          <w:p w:rsidR="006326FB" w:rsidRDefault="006326FB" w:rsidP="006326FB">
            <w:pPr>
              <w:jc w:val="right"/>
            </w:pPr>
            <w:r>
              <w:t>0.0000</w:t>
            </w:r>
          </w:p>
        </w:tc>
      </w:tr>
      <w:tr w:rsidR="006326FB" w:rsidTr="00304909">
        <w:trPr>
          <w:jc w:val="center"/>
        </w:trPr>
        <w:tc>
          <w:tcPr>
            <w:tcW w:w="1870" w:type="dxa"/>
          </w:tcPr>
          <w:p w:rsidR="006326FB" w:rsidRDefault="006326FB" w:rsidP="006B4709">
            <w:pPr>
              <w:jc w:val="center"/>
            </w:pPr>
            <w:r>
              <w:t>SIZE</w:t>
            </w:r>
          </w:p>
        </w:tc>
        <w:tc>
          <w:tcPr>
            <w:tcW w:w="1870" w:type="dxa"/>
          </w:tcPr>
          <w:p w:rsidR="006326FB" w:rsidRDefault="006326FB" w:rsidP="006326FB">
            <w:pPr>
              <w:jc w:val="right"/>
            </w:pPr>
            <w:r w:rsidRPr="006326FB">
              <w:t>-6.4278</w:t>
            </w:r>
            <w:r>
              <w:t>(0)</w:t>
            </w:r>
          </w:p>
        </w:tc>
        <w:tc>
          <w:tcPr>
            <w:tcW w:w="1870" w:type="dxa"/>
          </w:tcPr>
          <w:p w:rsidR="006326FB" w:rsidRDefault="006326FB" w:rsidP="006326FB">
            <w:pPr>
              <w:jc w:val="right"/>
            </w:pPr>
            <w:r>
              <w:t>0.0000</w:t>
            </w:r>
          </w:p>
        </w:tc>
      </w:tr>
      <w:tr w:rsidR="006326FB" w:rsidTr="00304909">
        <w:trPr>
          <w:jc w:val="center"/>
        </w:trPr>
        <w:tc>
          <w:tcPr>
            <w:tcW w:w="1870" w:type="dxa"/>
          </w:tcPr>
          <w:p w:rsidR="006326FB" w:rsidRDefault="006326FB" w:rsidP="006B4709">
            <w:pPr>
              <w:jc w:val="center"/>
            </w:pPr>
            <w:r>
              <w:t>GROW</w:t>
            </w:r>
          </w:p>
        </w:tc>
        <w:tc>
          <w:tcPr>
            <w:tcW w:w="1870" w:type="dxa"/>
          </w:tcPr>
          <w:p w:rsidR="006326FB" w:rsidRDefault="006326FB" w:rsidP="006326FB">
            <w:pPr>
              <w:jc w:val="right"/>
            </w:pPr>
            <w:r w:rsidRPr="006326FB">
              <w:t>-26.7035</w:t>
            </w:r>
            <w:r>
              <w:t>(0)</w:t>
            </w:r>
          </w:p>
        </w:tc>
        <w:tc>
          <w:tcPr>
            <w:tcW w:w="1870" w:type="dxa"/>
          </w:tcPr>
          <w:p w:rsidR="006326FB" w:rsidRDefault="006326FB" w:rsidP="006326FB">
            <w:pPr>
              <w:jc w:val="right"/>
            </w:pPr>
            <w:r>
              <w:t>0.0000</w:t>
            </w:r>
          </w:p>
        </w:tc>
      </w:tr>
    </w:tbl>
    <w:p w:rsidR="00584211" w:rsidRDefault="00235CBF" w:rsidP="00906B40">
      <w:pPr>
        <w:spacing w:after="0" w:line="240" w:lineRule="auto"/>
      </w:pPr>
      <w:r>
        <w:t>Number in parenthesis is the automatic lag chosen by SIC</w:t>
      </w:r>
    </w:p>
    <w:p w:rsidR="0069606F" w:rsidRDefault="0069606F" w:rsidP="00906B40">
      <w:pPr>
        <w:spacing w:after="0" w:line="240" w:lineRule="auto"/>
      </w:pPr>
      <w:r>
        <w:t>Statistic is the Levin, Lin &amp; Chu t</w:t>
      </w:r>
      <w:r w:rsidR="005F3ABA">
        <w:t xml:space="preserve">.  </w:t>
      </w:r>
    </w:p>
    <w:p w:rsidR="00C9533C" w:rsidRDefault="00C9533C" w:rsidP="00C9533C">
      <w:pPr>
        <w:jc w:val="both"/>
      </w:pPr>
      <w:r>
        <w:t xml:space="preserve">We apply panel regression on balanced data. We estimate our models with year and industry effects.  As the independent variables, board independence and excess independence do not vary during the study period for a majority of </w:t>
      </w:r>
      <w:r w:rsidRPr="000F3C44">
        <w:t xml:space="preserve">our sample firms; firm fixed effects estimation of the models may give erroneous results. (See for example, </w:t>
      </w:r>
      <w:r w:rsidR="00452244" w:rsidRPr="000F3C44">
        <w:t>[45]</w:t>
      </w:r>
      <w:r w:rsidRPr="000F3C44">
        <w:t xml:space="preserve">)  We estimate the models with year-fixed and industry-fixed effects.  Since capital structure decision is not expected to influence board structure decisions (See for example, </w:t>
      </w:r>
      <w:r w:rsidR="00452244" w:rsidRPr="000F3C44">
        <w:t>[46]</w:t>
      </w:r>
      <w:r w:rsidRPr="000F3C44">
        <w:t>) the estimation assumption that error terms in the models are uncorrelated with the study variables is</w:t>
      </w:r>
      <w:r>
        <w:t xml:space="preserve"> not violated.  The t-statistics is adjusted for firm-level clustering.  </w:t>
      </w:r>
    </w:p>
    <w:p w:rsidR="00C9533C" w:rsidRDefault="00C9533C" w:rsidP="00906B40">
      <w:pPr>
        <w:spacing w:after="0" w:line="240" w:lineRule="auto"/>
      </w:pPr>
    </w:p>
    <w:p w:rsidR="001C70CE" w:rsidRPr="00C9533C" w:rsidRDefault="00C9533C" w:rsidP="000D0FBF">
      <w:pPr>
        <w:jc w:val="both"/>
        <w:rPr>
          <w:b/>
          <w:bCs/>
        </w:rPr>
      </w:pPr>
      <w:r w:rsidRPr="00C9533C">
        <w:rPr>
          <w:b/>
          <w:bCs/>
        </w:rPr>
        <w:t>Results:</w:t>
      </w:r>
    </w:p>
    <w:p w:rsidR="000D0FBF" w:rsidRDefault="00791474" w:rsidP="000D0FBF">
      <w:pPr>
        <w:jc w:val="both"/>
      </w:pPr>
      <w:r>
        <w:t>Descriptive summary statistics for the dependent and independent variables are presented i</w:t>
      </w:r>
      <w:r w:rsidR="001C70CE">
        <w:t xml:space="preserve">n table 2.  Mean debt ratio for the sample firms is at 39.18% when measured as book debt and is at 28.17% when measured as market debt.  The proportion of independent directors as a ratio to the total number of directors on the board is 49.75% which is well above the mandatory requirement of one-third of the board.  </w:t>
      </w:r>
    </w:p>
    <w:p w:rsidR="00584211" w:rsidRDefault="00745C30" w:rsidP="00304909">
      <w:pPr>
        <w:spacing w:after="0" w:line="240" w:lineRule="auto"/>
        <w:jc w:val="center"/>
      </w:pPr>
      <w:r>
        <w:t>Table 2</w:t>
      </w:r>
    </w:p>
    <w:p w:rsidR="001A5FFA" w:rsidRDefault="001A5FFA" w:rsidP="00304909">
      <w:pPr>
        <w:spacing w:after="0" w:line="240" w:lineRule="auto"/>
        <w:jc w:val="center"/>
      </w:pPr>
      <w:r>
        <w:t>Descriptive Statistics</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1558"/>
        <w:gridCol w:w="1558"/>
        <w:gridCol w:w="1558"/>
        <w:gridCol w:w="1558"/>
        <w:gridCol w:w="1559"/>
        <w:gridCol w:w="1559"/>
      </w:tblGrid>
      <w:tr w:rsidR="00B46908" w:rsidTr="00EB7E42">
        <w:tc>
          <w:tcPr>
            <w:tcW w:w="1558" w:type="dxa"/>
          </w:tcPr>
          <w:p w:rsidR="00B46908" w:rsidRDefault="00B46908" w:rsidP="00B46908">
            <w:r>
              <w:t>Variable</w:t>
            </w:r>
          </w:p>
        </w:tc>
        <w:tc>
          <w:tcPr>
            <w:tcW w:w="1558" w:type="dxa"/>
          </w:tcPr>
          <w:p w:rsidR="00B46908" w:rsidRDefault="00B46908" w:rsidP="006B4709">
            <w:pPr>
              <w:jc w:val="center"/>
            </w:pPr>
            <w:r>
              <w:t>N</w:t>
            </w:r>
          </w:p>
        </w:tc>
        <w:tc>
          <w:tcPr>
            <w:tcW w:w="1558" w:type="dxa"/>
          </w:tcPr>
          <w:p w:rsidR="00B46908" w:rsidRDefault="00B46908" w:rsidP="006B4709">
            <w:pPr>
              <w:jc w:val="center"/>
            </w:pPr>
            <w:r>
              <w:t>Minimum</w:t>
            </w:r>
          </w:p>
        </w:tc>
        <w:tc>
          <w:tcPr>
            <w:tcW w:w="1558" w:type="dxa"/>
          </w:tcPr>
          <w:p w:rsidR="00B46908" w:rsidRDefault="00B46908" w:rsidP="006B4709">
            <w:pPr>
              <w:jc w:val="center"/>
            </w:pPr>
            <w:r>
              <w:t>Maximum</w:t>
            </w:r>
          </w:p>
        </w:tc>
        <w:tc>
          <w:tcPr>
            <w:tcW w:w="1559" w:type="dxa"/>
          </w:tcPr>
          <w:p w:rsidR="00B46908" w:rsidRDefault="00B46908" w:rsidP="006B4709">
            <w:pPr>
              <w:jc w:val="center"/>
            </w:pPr>
            <w:r>
              <w:t>Mean</w:t>
            </w:r>
          </w:p>
        </w:tc>
        <w:tc>
          <w:tcPr>
            <w:tcW w:w="1559" w:type="dxa"/>
          </w:tcPr>
          <w:p w:rsidR="00B46908" w:rsidRDefault="00B46908" w:rsidP="006B4709">
            <w:pPr>
              <w:jc w:val="center"/>
            </w:pPr>
            <w:r>
              <w:t>Standard deviation</w:t>
            </w:r>
          </w:p>
        </w:tc>
      </w:tr>
      <w:tr w:rsidR="0098553B" w:rsidTr="00EB7E42">
        <w:tc>
          <w:tcPr>
            <w:tcW w:w="1558" w:type="dxa"/>
          </w:tcPr>
          <w:p w:rsidR="0098553B" w:rsidRDefault="0098553B" w:rsidP="00B46908">
            <w:r>
              <w:t>BL</w:t>
            </w:r>
          </w:p>
        </w:tc>
        <w:tc>
          <w:tcPr>
            <w:tcW w:w="1558" w:type="dxa"/>
          </w:tcPr>
          <w:p w:rsidR="0098553B" w:rsidRPr="00B46908" w:rsidRDefault="0098553B" w:rsidP="00B46908">
            <w:pPr>
              <w:jc w:val="right"/>
            </w:pPr>
            <w:r>
              <w:t>340</w:t>
            </w:r>
          </w:p>
        </w:tc>
        <w:tc>
          <w:tcPr>
            <w:tcW w:w="1558" w:type="dxa"/>
          </w:tcPr>
          <w:p w:rsidR="0098553B" w:rsidRPr="00584211" w:rsidRDefault="0098553B" w:rsidP="00B46908">
            <w:pPr>
              <w:jc w:val="right"/>
            </w:pPr>
            <w:r w:rsidRPr="0098553B">
              <w:t>0.0508</w:t>
            </w:r>
          </w:p>
        </w:tc>
        <w:tc>
          <w:tcPr>
            <w:tcW w:w="1558" w:type="dxa"/>
          </w:tcPr>
          <w:p w:rsidR="0098553B" w:rsidRPr="00584211" w:rsidRDefault="0098553B" w:rsidP="00B46908">
            <w:pPr>
              <w:jc w:val="right"/>
            </w:pPr>
            <w:r w:rsidRPr="0098553B">
              <w:t>0.8395</w:t>
            </w:r>
          </w:p>
        </w:tc>
        <w:tc>
          <w:tcPr>
            <w:tcW w:w="1559" w:type="dxa"/>
          </w:tcPr>
          <w:p w:rsidR="0098553B" w:rsidRPr="00584211" w:rsidRDefault="0098553B" w:rsidP="00B46908">
            <w:pPr>
              <w:jc w:val="right"/>
            </w:pPr>
            <w:r w:rsidRPr="0098553B">
              <w:t>0.3918</w:t>
            </w:r>
          </w:p>
        </w:tc>
        <w:tc>
          <w:tcPr>
            <w:tcW w:w="1559" w:type="dxa"/>
          </w:tcPr>
          <w:p w:rsidR="0098553B" w:rsidRPr="00584211" w:rsidRDefault="0098553B" w:rsidP="00B46908">
            <w:pPr>
              <w:jc w:val="right"/>
            </w:pPr>
            <w:r w:rsidRPr="0098553B">
              <w:t>0.2058</w:t>
            </w:r>
          </w:p>
        </w:tc>
      </w:tr>
      <w:tr w:rsidR="0098553B" w:rsidTr="00EB7E42">
        <w:tc>
          <w:tcPr>
            <w:tcW w:w="1558" w:type="dxa"/>
          </w:tcPr>
          <w:p w:rsidR="0098553B" w:rsidRDefault="0098553B" w:rsidP="00B46908">
            <w:r>
              <w:t>ML</w:t>
            </w:r>
          </w:p>
        </w:tc>
        <w:tc>
          <w:tcPr>
            <w:tcW w:w="1558" w:type="dxa"/>
          </w:tcPr>
          <w:p w:rsidR="0098553B" w:rsidRDefault="0098553B" w:rsidP="00B46908">
            <w:pPr>
              <w:jc w:val="right"/>
            </w:pPr>
            <w:r>
              <w:t>340</w:t>
            </w:r>
          </w:p>
        </w:tc>
        <w:tc>
          <w:tcPr>
            <w:tcW w:w="1558" w:type="dxa"/>
          </w:tcPr>
          <w:p w:rsidR="0098553B" w:rsidRPr="0098553B" w:rsidRDefault="0098553B" w:rsidP="00B46908">
            <w:pPr>
              <w:jc w:val="right"/>
            </w:pPr>
            <w:r w:rsidRPr="0098553B">
              <w:t>0.0147</w:t>
            </w:r>
          </w:p>
        </w:tc>
        <w:tc>
          <w:tcPr>
            <w:tcW w:w="1558" w:type="dxa"/>
          </w:tcPr>
          <w:p w:rsidR="0098553B" w:rsidRPr="0098553B" w:rsidRDefault="0098553B" w:rsidP="00B46908">
            <w:pPr>
              <w:jc w:val="right"/>
            </w:pPr>
            <w:r w:rsidRPr="0098553B">
              <w:t>0.8064</w:t>
            </w:r>
          </w:p>
        </w:tc>
        <w:tc>
          <w:tcPr>
            <w:tcW w:w="1559" w:type="dxa"/>
          </w:tcPr>
          <w:p w:rsidR="0098553B" w:rsidRPr="0098553B" w:rsidRDefault="0098553B" w:rsidP="00B46908">
            <w:pPr>
              <w:jc w:val="right"/>
            </w:pPr>
            <w:r w:rsidRPr="0098553B">
              <w:t>0.2817</w:t>
            </w:r>
          </w:p>
        </w:tc>
        <w:tc>
          <w:tcPr>
            <w:tcW w:w="1559" w:type="dxa"/>
          </w:tcPr>
          <w:p w:rsidR="0098553B" w:rsidRPr="0098553B" w:rsidRDefault="0098553B" w:rsidP="00B46908">
            <w:pPr>
              <w:jc w:val="right"/>
            </w:pPr>
            <w:r w:rsidRPr="0098553B">
              <w:t>0.2116</w:t>
            </w:r>
          </w:p>
        </w:tc>
      </w:tr>
      <w:tr w:rsidR="00CA606C" w:rsidTr="00EB7E42">
        <w:tc>
          <w:tcPr>
            <w:tcW w:w="1558" w:type="dxa"/>
          </w:tcPr>
          <w:p w:rsidR="00CA606C" w:rsidRDefault="00CA606C" w:rsidP="00B46908">
            <w:r>
              <w:t>IND</w:t>
            </w:r>
          </w:p>
        </w:tc>
        <w:tc>
          <w:tcPr>
            <w:tcW w:w="1558" w:type="dxa"/>
          </w:tcPr>
          <w:p w:rsidR="00CA606C" w:rsidRDefault="00CA606C" w:rsidP="00B46908">
            <w:pPr>
              <w:jc w:val="right"/>
            </w:pPr>
            <w:r>
              <w:t>340</w:t>
            </w:r>
          </w:p>
        </w:tc>
        <w:tc>
          <w:tcPr>
            <w:tcW w:w="1558" w:type="dxa"/>
          </w:tcPr>
          <w:p w:rsidR="00CA606C" w:rsidRPr="0098553B" w:rsidRDefault="00CA606C" w:rsidP="00B46908">
            <w:pPr>
              <w:jc w:val="right"/>
            </w:pPr>
            <w:r>
              <w:t>0.2000</w:t>
            </w:r>
          </w:p>
        </w:tc>
        <w:tc>
          <w:tcPr>
            <w:tcW w:w="1558" w:type="dxa"/>
          </w:tcPr>
          <w:p w:rsidR="00CA606C" w:rsidRPr="0098553B" w:rsidRDefault="00CA606C" w:rsidP="00B46908">
            <w:pPr>
              <w:jc w:val="right"/>
            </w:pPr>
            <w:r>
              <w:t>1.0000</w:t>
            </w:r>
          </w:p>
        </w:tc>
        <w:tc>
          <w:tcPr>
            <w:tcW w:w="1559" w:type="dxa"/>
          </w:tcPr>
          <w:p w:rsidR="00CA606C" w:rsidRPr="0098553B" w:rsidRDefault="00CA606C" w:rsidP="00B46908">
            <w:pPr>
              <w:jc w:val="right"/>
            </w:pPr>
            <w:r>
              <w:t>0.4975</w:t>
            </w:r>
          </w:p>
        </w:tc>
        <w:tc>
          <w:tcPr>
            <w:tcW w:w="1559" w:type="dxa"/>
          </w:tcPr>
          <w:p w:rsidR="00CA606C" w:rsidRPr="0098553B" w:rsidRDefault="00CA606C" w:rsidP="00B46908">
            <w:pPr>
              <w:jc w:val="right"/>
            </w:pPr>
            <w:r>
              <w:t>0.1816</w:t>
            </w:r>
          </w:p>
        </w:tc>
      </w:tr>
      <w:tr w:rsidR="00246E0B" w:rsidTr="00EB7E42">
        <w:tc>
          <w:tcPr>
            <w:tcW w:w="1558" w:type="dxa"/>
          </w:tcPr>
          <w:p w:rsidR="00246E0B" w:rsidRDefault="00246E0B" w:rsidP="00B46908">
            <w:r>
              <w:t>BRD</w:t>
            </w:r>
          </w:p>
        </w:tc>
        <w:tc>
          <w:tcPr>
            <w:tcW w:w="1558" w:type="dxa"/>
          </w:tcPr>
          <w:p w:rsidR="00246E0B" w:rsidRDefault="00246E0B" w:rsidP="00B46908">
            <w:pPr>
              <w:jc w:val="right"/>
            </w:pPr>
            <w:r>
              <w:t>340</w:t>
            </w:r>
          </w:p>
        </w:tc>
        <w:tc>
          <w:tcPr>
            <w:tcW w:w="1558" w:type="dxa"/>
          </w:tcPr>
          <w:p w:rsidR="00246E0B" w:rsidRDefault="00246E0B" w:rsidP="00B46908">
            <w:pPr>
              <w:jc w:val="right"/>
            </w:pPr>
            <w:r w:rsidRPr="00246E0B">
              <w:t>0.6021</w:t>
            </w:r>
          </w:p>
        </w:tc>
        <w:tc>
          <w:tcPr>
            <w:tcW w:w="1558" w:type="dxa"/>
          </w:tcPr>
          <w:p w:rsidR="00246E0B" w:rsidRDefault="00246E0B" w:rsidP="00B46908">
            <w:pPr>
              <w:jc w:val="right"/>
            </w:pPr>
            <w:r w:rsidRPr="00246E0B">
              <w:t>1.0792</w:t>
            </w:r>
          </w:p>
        </w:tc>
        <w:tc>
          <w:tcPr>
            <w:tcW w:w="1559" w:type="dxa"/>
          </w:tcPr>
          <w:p w:rsidR="00246E0B" w:rsidRDefault="00246E0B" w:rsidP="00B46908">
            <w:pPr>
              <w:jc w:val="right"/>
            </w:pPr>
            <w:r w:rsidRPr="00246E0B">
              <w:t>0.9155</w:t>
            </w:r>
          </w:p>
        </w:tc>
        <w:tc>
          <w:tcPr>
            <w:tcW w:w="1559" w:type="dxa"/>
          </w:tcPr>
          <w:p w:rsidR="00246E0B" w:rsidRDefault="00246E0B" w:rsidP="00B46908">
            <w:pPr>
              <w:jc w:val="right"/>
            </w:pPr>
            <w:r w:rsidRPr="00246E0B">
              <w:t>0.0871</w:t>
            </w:r>
          </w:p>
        </w:tc>
      </w:tr>
      <w:tr w:rsidR="00C00EF4" w:rsidTr="00EB7E42">
        <w:tc>
          <w:tcPr>
            <w:tcW w:w="1558" w:type="dxa"/>
          </w:tcPr>
          <w:p w:rsidR="00C00EF4" w:rsidRDefault="00C00EF4" w:rsidP="00B46908">
            <w:r>
              <w:t>TAN</w:t>
            </w:r>
          </w:p>
        </w:tc>
        <w:tc>
          <w:tcPr>
            <w:tcW w:w="1558" w:type="dxa"/>
          </w:tcPr>
          <w:p w:rsidR="00C00EF4" w:rsidRDefault="00C00EF4" w:rsidP="00B46908">
            <w:pPr>
              <w:jc w:val="right"/>
            </w:pPr>
            <w:r>
              <w:t>340</w:t>
            </w:r>
          </w:p>
        </w:tc>
        <w:tc>
          <w:tcPr>
            <w:tcW w:w="1558" w:type="dxa"/>
          </w:tcPr>
          <w:p w:rsidR="00C00EF4" w:rsidRPr="0098553B" w:rsidRDefault="00C00EF4" w:rsidP="00B46908">
            <w:pPr>
              <w:jc w:val="right"/>
            </w:pPr>
            <w:r w:rsidRPr="00C00EF4">
              <w:t>0.0001</w:t>
            </w:r>
          </w:p>
        </w:tc>
        <w:tc>
          <w:tcPr>
            <w:tcW w:w="1558" w:type="dxa"/>
          </w:tcPr>
          <w:p w:rsidR="00C00EF4" w:rsidRPr="0098553B" w:rsidRDefault="00C00EF4" w:rsidP="00B46908">
            <w:pPr>
              <w:jc w:val="right"/>
            </w:pPr>
            <w:r w:rsidRPr="00C00EF4">
              <w:t>0.8756</w:t>
            </w:r>
          </w:p>
        </w:tc>
        <w:tc>
          <w:tcPr>
            <w:tcW w:w="1559" w:type="dxa"/>
          </w:tcPr>
          <w:p w:rsidR="00C00EF4" w:rsidRPr="0098553B" w:rsidRDefault="00C00EF4" w:rsidP="00B46908">
            <w:pPr>
              <w:jc w:val="right"/>
            </w:pPr>
            <w:r w:rsidRPr="00C00EF4">
              <w:t>0.4762</w:t>
            </w:r>
          </w:p>
        </w:tc>
        <w:tc>
          <w:tcPr>
            <w:tcW w:w="1559" w:type="dxa"/>
          </w:tcPr>
          <w:p w:rsidR="00C00EF4" w:rsidRPr="0098553B" w:rsidRDefault="00C00EF4" w:rsidP="00B46908">
            <w:pPr>
              <w:jc w:val="right"/>
            </w:pPr>
            <w:r w:rsidRPr="00C00EF4">
              <w:t>0.2258</w:t>
            </w:r>
          </w:p>
        </w:tc>
      </w:tr>
      <w:tr w:rsidR="00B46908" w:rsidTr="00EB7E42">
        <w:tc>
          <w:tcPr>
            <w:tcW w:w="1558" w:type="dxa"/>
          </w:tcPr>
          <w:p w:rsidR="00B46908" w:rsidRDefault="00C00EF4" w:rsidP="00B46908">
            <w:r>
              <w:lastRenderedPageBreak/>
              <w:t>PFT</w:t>
            </w:r>
          </w:p>
        </w:tc>
        <w:tc>
          <w:tcPr>
            <w:tcW w:w="1558" w:type="dxa"/>
          </w:tcPr>
          <w:p w:rsidR="00B46908" w:rsidRDefault="00C00EF4" w:rsidP="00B46908">
            <w:pPr>
              <w:jc w:val="right"/>
            </w:pPr>
            <w:r>
              <w:t>340</w:t>
            </w:r>
          </w:p>
        </w:tc>
        <w:tc>
          <w:tcPr>
            <w:tcW w:w="1558" w:type="dxa"/>
          </w:tcPr>
          <w:p w:rsidR="00B46908" w:rsidRDefault="00C00EF4" w:rsidP="00B46908">
            <w:pPr>
              <w:jc w:val="right"/>
            </w:pPr>
            <w:r w:rsidRPr="00C00EF4">
              <w:t>-0.2686</w:t>
            </w:r>
          </w:p>
        </w:tc>
        <w:tc>
          <w:tcPr>
            <w:tcW w:w="1558" w:type="dxa"/>
          </w:tcPr>
          <w:p w:rsidR="00B46908" w:rsidRDefault="00C00EF4" w:rsidP="00B46908">
            <w:pPr>
              <w:jc w:val="right"/>
            </w:pPr>
            <w:r w:rsidRPr="00C00EF4">
              <w:t>0.4182</w:t>
            </w:r>
          </w:p>
        </w:tc>
        <w:tc>
          <w:tcPr>
            <w:tcW w:w="1559" w:type="dxa"/>
          </w:tcPr>
          <w:p w:rsidR="00B46908" w:rsidRDefault="00C00EF4" w:rsidP="00B46908">
            <w:pPr>
              <w:jc w:val="right"/>
            </w:pPr>
            <w:r w:rsidRPr="00C00EF4">
              <w:t>0.1145</w:t>
            </w:r>
          </w:p>
        </w:tc>
        <w:tc>
          <w:tcPr>
            <w:tcW w:w="1559" w:type="dxa"/>
          </w:tcPr>
          <w:p w:rsidR="00B46908" w:rsidRDefault="00C00EF4" w:rsidP="00B46908">
            <w:pPr>
              <w:jc w:val="right"/>
            </w:pPr>
            <w:r w:rsidRPr="00C00EF4">
              <w:t>0.0963</w:t>
            </w:r>
          </w:p>
        </w:tc>
      </w:tr>
      <w:tr w:rsidR="00C00EF4" w:rsidTr="00EB7E42">
        <w:tc>
          <w:tcPr>
            <w:tcW w:w="1558" w:type="dxa"/>
          </w:tcPr>
          <w:p w:rsidR="00C00EF4" w:rsidRDefault="00C00EF4" w:rsidP="00B46908">
            <w:r>
              <w:t>SIZE</w:t>
            </w:r>
          </w:p>
        </w:tc>
        <w:tc>
          <w:tcPr>
            <w:tcW w:w="1558" w:type="dxa"/>
          </w:tcPr>
          <w:p w:rsidR="00C00EF4" w:rsidRDefault="00CA606C" w:rsidP="00B46908">
            <w:pPr>
              <w:jc w:val="right"/>
            </w:pPr>
            <w:r>
              <w:t>340</w:t>
            </w:r>
          </w:p>
        </w:tc>
        <w:tc>
          <w:tcPr>
            <w:tcW w:w="1558" w:type="dxa"/>
          </w:tcPr>
          <w:p w:rsidR="00C00EF4" w:rsidRPr="00C00EF4" w:rsidRDefault="00CA606C" w:rsidP="00B46908">
            <w:pPr>
              <w:jc w:val="right"/>
            </w:pPr>
            <w:r w:rsidRPr="00CA606C">
              <w:t>1.7282</w:t>
            </w:r>
          </w:p>
        </w:tc>
        <w:tc>
          <w:tcPr>
            <w:tcW w:w="1558" w:type="dxa"/>
          </w:tcPr>
          <w:p w:rsidR="00C00EF4" w:rsidRPr="00C00EF4" w:rsidRDefault="00CA606C" w:rsidP="00B46908">
            <w:pPr>
              <w:jc w:val="right"/>
            </w:pPr>
            <w:r w:rsidRPr="00CA606C">
              <w:t>5.5315</w:t>
            </w:r>
          </w:p>
        </w:tc>
        <w:tc>
          <w:tcPr>
            <w:tcW w:w="1559" w:type="dxa"/>
          </w:tcPr>
          <w:p w:rsidR="00C00EF4" w:rsidRPr="00C00EF4" w:rsidRDefault="00CA606C" w:rsidP="00B46908">
            <w:pPr>
              <w:jc w:val="right"/>
            </w:pPr>
            <w:r w:rsidRPr="00CA606C">
              <w:t>3.4005</w:t>
            </w:r>
          </w:p>
        </w:tc>
        <w:tc>
          <w:tcPr>
            <w:tcW w:w="1559" w:type="dxa"/>
          </w:tcPr>
          <w:p w:rsidR="00C00EF4" w:rsidRPr="00C00EF4" w:rsidRDefault="00CA606C" w:rsidP="00B46908">
            <w:pPr>
              <w:jc w:val="right"/>
            </w:pPr>
            <w:r w:rsidRPr="00CA606C">
              <w:t>0.7624</w:t>
            </w:r>
          </w:p>
        </w:tc>
      </w:tr>
      <w:tr w:rsidR="00C00EF4" w:rsidTr="00EB7E42">
        <w:tc>
          <w:tcPr>
            <w:tcW w:w="1558" w:type="dxa"/>
          </w:tcPr>
          <w:p w:rsidR="00C00EF4" w:rsidRDefault="00C00EF4" w:rsidP="00B46908">
            <w:r>
              <w:t>GROW</w:t>
            </w:r>
          </w:p>
        </w:tc>
        <w:tc>
          <w:tcPr>
            <w:tcW w:w="1558" w:type="dxa"/>
          </w:tcPr>
          <w:p w:rsidR="00C00EF4" w:rsidRDefault="00CA606C" w:rsidP="00B46908">
            <w:pPr>
              <w:jc w:val="right"/>
            </w:pPr>
            <w:r>
              <w:t>340</w:t>
            </w:r>
          </w:p>
        </w:tc>
        <w:tc>
          <w:tcPr>
            <w:tcW w:w="1558" w:type="dxa"/>
          </w:tcPr>
          <w:p w:rsidR="00C00EF4" w:rsidRPr="00C00EF4" w:rsidRDefault="00CA606C" w:rsidP="00B46908">
            <w:pPr>
              <w:jc w:val="right"/>
            </w:pPr>
            <w:r w:rsidRPr="00CA606C">
              <w:t>-0.3998</w:t>
            </w:r>
          </w:p>
        </w:tc>
        <w:tc>
          <w:tcPr>
            <w:tcW w:w="1558" w:type="dxa"/>
          </w:tcPr>
          <w:p w:rsidR="00C00EF4" w:rsidRPr="00C00EF4" w:rsidRDefault="00CA606C" w:rsidP="00B46908">
            <w:pPr>
              <w:jc w:val="right"/>
            </w:pPr>
            <w:r w:rsidRPr="00CA606C">
              <w:t>1.7241</w:t>
            </w:r>
          </w:p>
        </w:tc>
        <w:tc>
          <w:tcPr>
            <w:tcW w:w="1559" w:type="dxa"/>
          </w:tcPr>
          <w:p w:rsidR="00C00EF4" w:rsidRPr="00C00EF4" w:rsidRDefault="00CA606C" w:rsidP="00B46908">
            <w:pPr>
              <w:jc w:val="right"/>
            </w:pPr>
            <w:r w:rsidRPr="00CA606C">
              <w:t>0.0657</w:t>
            </w:r>
          </w:p>
        </w:tc>
        <w:tc>
          <w:tcPr>
            <w:tcW w:w="1559" w:type="dxa"/>
          </w:tcPr>
          <w:p w:rsidR="00C00EF4" w:rsidRPr="00C00EF4" w:rsidRDefault="00CA606C" w:rsidP="00B46908">
            <w:pPr>
              <w:jc w:val="right"/>
            </w:pPr>
            <w:r w:rsidRPr="00CA606C">
              <w:t>0.1641</w:t>
            </w:r>
          </w:p>
        </w:tc>
      </w:tr>
    </w:tbl>
    <w:p w:rsidR="001C70CE" w:rsidRDefault="001C70CE" w:rsidP="00304909">
      <w:pPr>
        <w:jc w:val="both"/>
      </w:pPr>
    </w:p>
    <w:p w:rsidR="00B46908" w:rsidRDefault="00304909" w:rsidP="00304909">
      <w:pPr>
        <w:jc w:val="both"/>
      </w:pPr>
      <w:r w:rsidRPr="00304909">
        <w:t xml:space="preserve">Pearson correlation matrix presented in table </w:t>
      </w:r>
      <w:r>
        <w:t xml:space="preserve">3 </w:t>
      </w:r>
      <w:r w:rsidRPr="00304909">
        <w:t xml:space="preserve">shows that none of the independent variables have a high correlation to pose any serious methodological issue.  According </w:t>
      </w:r>
      <w:r w:rsidRPr="000F3C44">
        <w:t xml:space="preserve">to </w:t>
      </w:r>
      <w:r w:rsidR="00452244" w:rsidRPr="000F3C44">
        <w:t xml:space="preserve">[47], </w:t>
      </w:r>
      <w:r w:rsidRPr="000F3C44">
        <w:t>a</w:t>
      </w:r>
      <w:r w:rsidRPr="00304909">
        <w:t xml:space="preserve"> coefficient of above 0.80 among the independent variables may present the multicollinearity.  </w:t>
      </w:r>
    </w:p>
    <w:p w:rsidR="00745C30" w:rsidRDefault="00745C30" w:rsidP="00304909">
      <w:pPr>
        <w:spacing w:after="0" w:line="240" w:lineRule="auto"/>
        <w:jc w:val="center"/>
      </w:pPr>
      <w:r>
        <w:t>Table 3</w:t>
      </w:r>
    </w:p>
    <w:p w:rsidR="004E14EA" w:rsidRDefault="00036472" w:rsidP="00304909">
      <w:pPr>
        <w:spacing w:after="0" w:line="240" w:lineRule="auto"/>
        <w:jc w:val="center"/>
      </w:pPr>
      <w:r>
        <w:t>Pearson Correlation Covariance Matrix</w:t>
      </w:r>
    </w:p>
    <w:tbl>
      <w:tblPr>
        <w:tblStyle w:val="TableGrid"/>
        <w:tblW w:w="10070" w:type="dxa"/>
        <w:tblBorders>
          <w:left w:val="none" w:sz="0" w:space="0" w:color="auto"/>
          <w:right w:val="none" w:sz="0" w:space="0" w:color="auto"/>
          <w:insideH w:val="none" w:sz="0" w:space="0" w:color="auto"/>
          <w:insideV w:val="none" w:sz="0" w:space="0" w:color="auto"/>
        </w:tblBorders>
        <w:tblLook w:val="04A0"/>
      </w:tblPr>
      <w:tblGrid>
        <w:gridCol w:w="1136"/>
        <w:gridCol w:w="1047"/>
        <w:gridCol w:w="1047"/>
        <w:gridCol w:w="1048"/>
        <w:gridCol w:w="1048"/>
        <w:gridCol w:w="1048"/>
        <w:gridCol w:w="922"/>
        <w:gridCol w:w="922"/>
        <w:gridCol w:w="902"/>
        <w:gridCol w:w="950"/>
      </w:tblGrid>
      <w:tr w:rsidR="00322EB9" w:rsidTr="00304909">
        <w:tc>
          <w:tcPr>
            <w:tcW w:w="950" w:type="dxa"/>
          </w:tcPr>
          <w:p w:rsidR="00882769" w:rsidRDefault="006B310C" w:rsidP="006B4709">
            <w:pPr>
              <w:jc w:val="center"/>
            </w:pPr>
            <w:r>
              <w:t>Variables</w:t>
            </w:r>
          </w:p>
        </w:tc>
        <w:tc>
          <w:tcPr>
            <w:tcW w:w="1076" w:type="dxa"/>
          </w:tcPr>
          <w:p w:rsidR="00882769" w:rsidRDefault="00882769" w:rsidP="006B4709">
            <w:pPr>
              <w:jc w:val="center"/>
            </w:pPr>
            <w:r>
              <w:t>BL</w:t>
            </w:r>
          </w:p>
        </w:tc>
        <w:tc>
          <w:tcPr>
            <w:tcW w:w="1076" w:type="dxa"/>
          </w:tcPr>
          <w:p w:rsidR="00882769" w:rsidRDefault="00882769" w:rsidP="006B4709">
            <w:pPr>
              <w:jc w:val="center"/>
            </w:pPr>
            <w:r>
              <w:t>ML</w:t>
            </w:r>
          </w:p>
        </w:tc>
        <w:tc>
          <w:tcPr>
            <w:tcW w:w="1076" w:type="dxa"/>
          </w:tcPr>
          <w:p w:rsidR="00882769" w:rsidRDefault="00882769" w:rsidP="006B4709">
            <w:pPr>
              <w:jc w:val="center"/>
            </w:pPr>
            <w:r>
              <w:t>BRD</w:t>
            </w:r>
          </w:p>
        </w:tc>
        <w:tc>
          <w:tcPr>
            <w:tcW w:w="1076" w:type="dxa"/>
          </w:tcPr>
          <w:p w:rsidR="00882769" w:rsidRDefault="00882769" w:rsidP="006B4709">
            <w:pPr>
              <w:jc w:val="center"/>
            </w:pPr>
            <w:r>
              <w:t>IND</w:t>
            </w:r>
          </w:p>
        </w:tc>
        <w:tc>
          <w:tcPr>
            <w:tcW w:w="1076" w:type="dxa"/>
          </w:tcPr>
          <w:p w:rsidR="00882769" w:rsidRDefault="00882769" w:rsidP="006B4709">
            <w:pPr>
              <w:jc w:val="center"/>
            </w:pPr>
            <w:r>
              <w:t>INDD</w:t>
            </w:r>
          </w:p>
        </w:tc>
        <w:tc>
          <w:tcPr>
            <w:tcW w:w="930" w:type="dxa"/>
          </w:tcPr>
          <w:p w:rsidR="00882769" w:rsidRDefault="00882769" w:rsidP="006B4709">
            <w:pPr>
              <w:jc w:val="center"/>
            </w:pPr>
            <w:r>
              <w:t>TAN</w:t>
            </w:r>
          </w:p>
        </w:tc>
        <w:tc>
          <w:tcPr>
            <w:tcW w:w="929" w:type="dxa"/>
          </w:tcPr>
          <w:p w:rsidR="00882769" w:rsidRDefault="00882769" w:rsidP="006B4709">
            <w:pPr>
              <w:jc w:val="center"/>
            </w:pPr>
            <w:r>
              <w:t>PFT</w:t>
            </w:r>
          </w:p>
        </w:tc>
        <w:tc>
          <w:tcPr>
            <w:tcW w:w="931" w:type="dxa"/>
          </w:tcPr>
          <w:p w:rsidR="00882769" w:rsidRDefault="00882769" w:rsidP="006B4709">
            <w:pPr>
              <w:jc w:val="center"/>
            </w:pPr>
            <w:r>
              <w:t>SIZE</w:t>
            </w:r>
          </w:p>
        </w:tc>
        <w:tc>
          <w:tcPr>
            <w:tcW w:w="950" w:type="dxa"/>
          </w:tcPr>
          <w:p w:rsidR="00882769" w:rsidRDefault="00882769" w:rsidP="006B4709">
            <w:pPr>
              <w:jc w:val="center"/>
            </w:pPr>
            <w:r>
              <w:t>GROW</w:t>
            </w:r>
          </w:p>
        </w:tc>
      </w:tr>
      <w:tr w:rsidR="00322EB9" w:rsidTr="00304909">
        <w:tc>
          <w:tcPr>
            <w:tcW w:w="950" w:type="dxa"/>
          </w:tcPr>
          <w:p w:rsidR="00882769" w:rsidRDefault="00882769" w:rsidP="006B4709">
            <w:pPr>
              <w:jc w:val="center"/>
            </w:pPr>
            <w:r>
              <w:t>BL</w:t>
            </w:r>
          </w:p>
        </w:tc>
        <w:tc>
          <w:tcPr>
            <w:tcW w:w="1076" w:type="dxa"/>
          </w:tcPr>
          <w:p w:rsidR="00882769" w:rsidRDefault="00882769" w:rsidP="00882769">
            <w:pPr>
              <w:jc w:val="right"/>
            </w:pPr>
            <w:r w:rsidRPr="00882769">
              <w:t>1</w:t>
            </w:r>
          </w:p>
        </w:tc>
        <w:tc>
          <w:tcPr>
            <w:tcW w:w="1076" w:type="dxa"/>
          </w:tcPr>
          <w:p w:rsidR="00882769" w:rsidRDefault="00882769" w:rsidP="00882769">
            <w:pPr>
              <w:jc w:val="right"/>
            </w:pPr>
          </w:p>
        </w:tc>
        <w:tc>
          <w:tcPr>
            <w:tcW w:w="1076" w:type="dxa"/>
          </w:tcPr>
          <w:p w:rsidR="00882769" w:rsidRDefault="00882769" w:rsidP="00882769">
            <w:pPr>
              <w:jc w:val="right"/>
            </w:pPr>
          </w:p>
        </w:tc>
        <w:tc>
          <w:tcPr>
            <w:tcW w:w="1076" w:type="dxa"/>
          </w:tcPr>
          <w:p w:rsidR="00882769" w:rsidRDefault="00882769" w:rsidP="00882769">
            <w:pPr>
              <w:jc w:val="right"/>
            </w:pPr>
          </w:p>
        </w:tc>
        <w:tc>
          <w:tcPr>
            <w:tcW w:w="1076" w:type="dxa"/>
          </w:tcPr>
          <w:p w:rsidR="00882769" w:rsidRDefault="00882769" w:rsidP="00882769">
            <w:pPr>
              <w:jc w:val="right"/>
            </w:pPr>
          </w:p>
        </w:tc>
        <w:tc>
          <w:tcPr>
            <w:tcW w:w="930" w:type="dxa"/>
          </w:tcPr>
          <w:p w:rsidR="00882769" w:rsidRDefault="00882769" w:rsidP="00882769">
            <w:pPr>
              <w:jc w:val="right"/>
            </w:pPr>
          </w:p>
        </w:tc>
        <w:tc>
          <w:tcPr>
            <w:tcW w:w="929" w:type="dxa"/>
          </w:tcPr>
          <w:p w:rsidR="00882769" w:rsidRDefault="00882769" w:rsidP="00882769">
            <w:pPr>
              <w:jc w:val="right"/>
            </w:pPr>
          </w:p>
        </w:tc>
        <w:tc>
          <w:tcPr>
            <w:tcW w:w="931" w:type="dxa"/>
          </w:tcPr>
          <w:p w:rsidR="00882769" w:rsidRDefault="00882769" w:rsidP="00882769">
            <w:pPr>
              <w:jc w:val="right"/>
            </w:pPr>
          </w:p>
        </w:tc>
        <w:tc>
          <w:tcPr>
            <w:tcW w:w="950" w:type="dxa"/>
          </w:tcPr>
          <w:p w:rsidR="00882769" w:rsidRDefault="00882769" w:rsidP="00882769">
            <w:pPr>
              <w:jc w:val="right"/>
            </w:pPr>
          </w:p>
        </w:tc>
      </w:tr>
      <w:tr w:rsidR="00322EB9" w:rsidTr="00304909">
        <w:tc>
          <w:tcPr>
            <w:tcW w:w="950" w:type="dxa"/>
          </w:tcPr>
          <w:p w:rsidR="00882769" w:rsidRDefault="00882769" w:rsidP="006B4709">
            <w:pPr>
              <w:jc w:val="center"/>
            </w:pPr>
            <w:r>
              <w:t>ML</w:t>
            </w:r>
          </w:p>
        </w:tc>
        <w:tc>
          <w:tcPr>
            <w:tcW w:w="1076" w:type="dxa"/>
          </w:tcPr>
          <w:p w:rsidR="00882769" w:rsidRDefault="00322EB9" w:rsidP="00882769">
            <w:pPr>
              <w:jc w:val="right"/>
            </w:pPr>
            <w:r w:rsidRPr="00322EB9">
              <w:t>.885**</w:t>
            </w:r>
          </w:p>
        </w:tc>
        <w:tc>
          <w:tcPr>
            <w:tcW w:w="1076" w:type="dxa"/>
          </w:tcPr>
          <w:p w:rsidR="00882769" w:rsidRDefault="00322EB9" w:rsidP="00882769">
            <w:pPr>
              <w:jc w:val="right"/>
            </w:pPr>
            <w:r w:rsidRPr="00322EB9">
              <w:t>1</w:t>
            </w:r>
          </w:p>
        </w:tc>
        <w:tc>
          <w:tcPr>
            <w:tcW w:w="1076" w:type="dxa"/>
          </w:tcPr>
          <w:p w:rsidR="00882769" w:rsidRDefault="00882769" w:rsidP="00882769">
            <w:pPr>
              <w:jc w:val="right"/>
            </w:pPr>
          </w:p>
        </w:tc>
        <w:tc>
          <w:tcPr>
            <w:tcW w:w="1076" w:type="dxa"/>
          </w:tcPr>
          <w:p w:rsidR="00882769" w:rsidRDefault="00882769" w:rsidP="00882769">
            <w:pPr>
              <w:jc w:val="right"/>
            </w:pPr>
          </w:p>
        </w:tc>
        <w:tc>
          <w:tcPr>
            <w:tcW w:w="1076" w:type="dxa"/>
          </w:tcPr>
          <w:p w:rsidR="00882769" w:rsidRDefault="00882769" w:rsidP="00882769">
            <w:pPr>
              <w:jc w:val="right"/>
            </w:pPr>
          </w:p>
        </w:tc>
        <w:tc>
          <w:tcPr>
            <w:tcW w:w="930" w:type="dxa"/>
          </w:tcPr>
          <w:p w:rsidR="00882769" w:rsidRDefault="00882769" w:rsidP="00882769">
            <w:pPr>
              <w:jc w:val="right"/>
            </w:pPr>
          </w:p>
        </w:tc>
        <w:tc>
          <w:tcPr>
            <w:tcW w:w="929" w:type="dxa"/>
          </w:tcPr>
          <w:p w:rsidR="00882769" w:rsidRDefault="00882769" w:rsidP="00882769">
            <w:pPr>
              <w:jc w:val="right"/>
            </w:pPr>
          </w:p>
        </w:tc>
        <w:tc>
          <w:tcPr>
            <w:tcW w:w="931" w:type="dxa"/>
          </w:tcPr>
          <w:p w:rsidR="00882769" w:rsidRDefault="00882769" w:rsidP="00882769">
            <w:pPr>
              <w:jc w:val="right"/>
            </w:pPr>
          </w:p>
        </w:tc>
        <w:tc>
          <w:tcPr>
            <w:tcW w:w="950" w:type="dxa"/>
          </w:tcPr>
          <w:p w:rsidR="00882769" w:rsidRDefault="00882769" w:rsidP="00882769">
            <w:pPr>
              <w:jc w:val="right"/>
            </w:pPr>
          </w:p>
        </w:tc>
      </w:tr>
      <w:tr w:rsidR="00322EB9" w:rsidTr="00304909">
        <w:tc>
          <w:tcPr>
            <w:tcW w:w="950" w:type="dxa"/>
          </w:tcPr>
          <w:p w:rsidR="00882769" w:rsidRDefault="00882769" w:rsidP="006B4709">
            <w:pPr>
              <w:jc w:val="center"/>
            </w:pPr>
            <w:r>
              <w:t>BRD</w:t>
            </w:r>
          </w:p>
        </w:tc>
        <w:tc>
          <w:tcPr>
            <w:tcW w:w="1076" w:type="dxa"/>
          </w:tcPr>
          <w:p w:rsidR="00882769" w:rsidRDefault="00322EB9" w:rsidP="00882769">
            <w:pPr>
              <w:jc w:val="right"/>
            </w:pPr>
            <w:r w:rsidRPr="00322EB9">
              <w:t>.119*</w:t>
            </w:r>
          </w:p>
        </w:tc>
        <w:tc>
          <w:tcPr>
            <w:tcW w:w="1076" w:type="dxa"/>
          </w:tcPr>
          <w:p w:rsidR="00882769" w:rsidRDefault="00322EB9" w:rsidP="00882769">
            <w:pPr>
              <w:jc w:val="right"/>
            </w:pPr>
            <w:r w:rsidRPr="00322EB9">
              <w:t>.197**</w:t>
            </w:r>
          </w:p>
        </w:tc>
        <w:tc>
          <w:tcPr>
            <w:tcW w:w="1076" w:type="dxa"/>
          </w:tcPr>
          <w:p w:rsidR="00882769" w:rsidRDefault="00322EB9" w:rsidP="00882769">
            <w:pPr>
              <w:jc w:val="right"/>
            </w:pPr>
            <w:r w:rsidRPr="00322EB9">
              <w:t>1</w:t>
            </w:r>
          </w:p>
        </w:tc>
        <w:tc>
          <w:tcPr>
            <w:tcW w:w="1076" w:type="dxa"/>
          </w:tcPr>
          <w:p w:rsidR="00882769" w:rsidRDefault="00882769" w:rsidP="00882769">
            <w:pPr>
              <w:jc w:val="right"/>
            </w:pPr>
          </w:p>
        </w:tc>
        <w:tc>
          <w:tcPr>
            <w:tcW w:w="1076" w:type="dxa"/>
          </w:tcPr>
          <w:p w:rsidR="00882769" w:rsidRDefault="00882769" w:rsidP="00882769">
            <w:pPr>
              <w:jc w:val="right"/>
            </w:pPr>
          </w:p>
        </w:tc>
        <w:tc>
          <w:tcPr>
            <w:tcW w:w="930" w:type="dxa"/>
          </w:tcPr>
          <w:p w:rsidR="00882769" w:rsidRDefault="00882769" w:rsidP="00882769">
            <w:pPr>
              <w:jc w:val="right"/>
            </w:pPr>
          </w:p>
        </w:tc>
        <w:tc>
          <w:tcPr>
            <w:tcW w:w="929" w:type="dxa"/>
          </w:tcPr>
          <w:p w:rsidR="00882769" w:rsidRDefault="00882769" w:rsidP="00882769">
            <w:pPr>
              <w:jc w:val="right"/>
            </w:pPr>
          </w:p>
        </w:tc>
        <w:tc>
          <w:tcPr>
            <w:tcW w:w="931" w:type="dxa"/>
          </w:tcPr>
          <w:p w:rsidR="00882769" w:rsidRDefault="00882769" w:rsidP="00882769">
            <w:pPr>
              <w:jc w:val="right"/>
            </w:pPr>
          </w:p>
        </w:tc>
        <w:tc>
          <w:tcPr>
            <w:tcW w:w="950" w:type="dxa"/>
          </w:tcPr>
          <w:p w:rsidR="00882769" w:rsidRDefault="00882769" w:rsidP="00882769">
            <w:pPr>
              <w:jc w:val="right"/>
            </w:pPr>
          </w:p>
        </w:tc>
      </w:tr>
      <w:tr w:rsidR="00322EB9" w:rsidTr="00304909">
        <w:tc>
          <w:tcPr>
            <w:tcW w:w="950" w:type="dxa"/>
          </w:tcPr>
          <w:p w:rsidR="00882769" w:rsidRDefault="00882769" w:rsidP="006B4709">
            <w:pPr>
              <w:jc w:val="center"/>
            </w:pPr>
            <w:r>
              <w:t>IND</w:t>
            </w:r>
          </w:p>
        </w:tc>
        <w:tc>
          <w:tcPr>
            <w:tcW w:w="1076" w:type="dxa"/>
          </w:tcPr>
          <w:p w:rsidR="00882769" w:rsidRDefault="00322EB9" w:rsidP="00882769">
            <w:pPr>
              <w:jc w:val="right"/>
            </w:pPr>
            <w:r w:rsidRPr="00322EB9">
              <w:t>-.310**</w:t>
            </w:r>
          </w:p>
        </w:tc>
        <w:tc>
          <w:tcPr>
            <w:tcW w:w="1076" w:type="dxa"/>
          </w:tcPr>
          <w:p w:rsidR="00882769" w:rsidRDefault="00322EB9" w:rsidP="00882769">
            <w:pPr>
              <w:jc w:val="right"/>
            </w:pPr>
            <w:r w:rsidRPr="00322EB9">
              <w:t>-.278**</w:t>
            </w:r>
          </w:p>
        </w:tc>
        <w:tc>
          <w:tcPr>
            <w:tcW w:w="1076" w:type="dxa"/>
          </w:tcPr>
          <w:p w:rsidR="00882769" w:rsidRDefault="00322EB9" w:rsidP="00882769">
            <w:pPr>
              <w:jc w:val="right"/>
            </w:pPr>
            <w:r w:rsidRPr="00322EB9">
              <w:t>-.340**</w:t>
            </w:r>
          </w:p>
        </w:tc>
        <w:tc>
          <w:tcPr>
            <w:tcW w:w="1076" w:type="dxa"/>
          </w:tcPr>
          <w:p w:rsidR="00882769" w:rsidRDefault="00322EB9" w:rsidP="00882769">
            <w:pPr>
              <w:jc w:val="right"/>
            </w:pPr>
            <w:r>
              <w:t>1</w:t>
            </w:r>
          </w:p>
        </w:tc>
        <w:tc>
          <w:tcPr>
            <w:tcW w:w="1076" w:type="dxa"/>
          </w:tcPr>
          <w:p w:rsidR="00882769" w:rsidRDefault="00882769" w:rsidP="00882769">
            <w:pPr>
              <w:jc w:val="right"/>
            </w:pPr>
          </w:p>
        </w:tc>
        <w:tc>
          <w:tcPr>
            <w:tcW w:w="930" w:type="dxa"/>
          </w:tcPr>
          <w:p w:rsidR="00882769" w:rsidRDefault="00882769" w:rsidP="00882769">
            <w:pPr>
              <w:jc w:val="right"/>
            </w:pPr>
          </w:p>
        </w:tc>
        <w:tc>
          <w:tcPr>
            <w:tcW w:w="929" w:type="dxa"/>
          </w:tcPr>
          <w:p w:rsidR="00882769" w:rsidRDefault="00882769" w:rsidP="00882769">
            <w:pPr>
              <w:jc w:val="right"/>
            </w:pPr>
          </w:p>
        </w:tc>
        <w:tc>
          <w:tcPr>
            <w:tcW w:w="931" w:type="dxa"/>
          </w:tcPr>
          <w:p w:rsidR="00882769" w:rsidRDefault="00882769" w:rsidP="00882769">
            <w:pPr>
              <w:jc w:val="right"/>
            </w:pPr>
          </w:p>
        </w:tc>
        <w:tc>
          <w:tcPr>
            <w:tcW w:w="950" w:type="dxa"/>
          </w:tcPr>
          <w:p w:rsidR="00882769" w:rsidRDefault="00882769" w:rsidP="00882769">
            <w:pPr>
              <w:jc w:val="right"/>
            </w:pPr>
          </w:p>
        </w:tc>
      </w:tr>
      <w:tr w:rsidR="00322EB9" w:rsidTr="00304909">
        <w:tc>
          <w:tcPr>
            <w:tcW w:w="950" w:type="dxa"/>
          </w:tcPr>
          <w:p w:rsidR="00882769" w:rsidRDefault="00882769" w:rsidP="006B4709">
            <w:pPr>
              <w:jc w:val="center"/>
            </w:pPr>
            <w:r>
              <w:t>INDD</w:t>
            </w:r>
          </w:p>
        </w:tc>
        <w:tc>
          <w:tcPr>
            <w:tcW w:w="1076" w:type="dxa"/>
          </w:tcPr>
          <w:p w:rsidR="00882769" w:rsidRDefault="00322EB9" w:rsidP="00882769">
            <w:pPr>
              <w:jc w:val="right"/>
            </w:pPr>
            <w:r w:rsidRPr="00322EB9">
              <w:t>-.232**</w:t>
            </w:r>
          </w:p>
        </w:tc>
        <w:tc>
          <w:tcPr>
            <w:tcW w:w="1076" w:type="dxa"/>
          </w:tcPr>
          <w:p w:rsidR="00882769" w:rsidRDefault="00322EB9" w:rsidP="00882769">
            <w:pPr>
              <w:jc w:val="right"/>
            </w:pPr>
            <w:r w:rsidRPr="00322EB9">
              <w:t>-.188**</w:t>
            </w:r>
          </w:p>
        </w:tc>
        <w:tc>
          <w:tcPr>
            <w:tcW w:w="1076" w:type="dxa"/>
          </w:tcPr>
          <w:p w:rsidR="00882769" w:rsidRDefault="00322EB9" w:rsidP="00882769">
            <w:pPr>
              <w:jc w:val="right"/>
            </w:pPr>
            <w:r w:rsidRPr="00322EB9">
              <w:t>-.129*</w:t>
            </w:r>
          </w:p>
        </w:tc>
        <w:tc>
          <w:tcPr>
            <w:tcW w:w="1076" w:type="dxa"/>
          </w:tcPr>
          <w:p w:rsidR="00882769" w:rsidRDefault="00322EB9" w:rsidP="00882769">
            <w:pPr>
              <w:jc w:val="right"/>
            </w:pPr>
            <w:r w:rsidRPr="00322EB9">
              <w:t>.789**</w:t>
            </w:r>
          </w:p>
        </w:tc>
        <w:tc>
          <w:tcPr>
            <w:tcW w:w="1076" w:type="dxa"/>
          </w:tcPr>
          <w:p w:rsidR="00882769" w:rsidRDefault="00322EB9" w:rsidP="00882769">
            <w:pPr>
              <w:jc w:val="right"/>
            </w:pPr>
            <w:r>
              <w:t>1</w:t>
            </w:r>
          </w:p>
        </w:tc>
        <w:tc>
          <w:tcPr>
            <w:tcW w:w="930" w:type="dxa"/>
          </w:tcPr>
          <w:p w:rsidR="00882769" w:rsidRDefault="00882769" w:rsidP="00882769">
            <w:pPr>
              <w:jc w:val="right"/>
            </w:pPr>
          </w:p>
        </w:tc>
        <w:tc>
          <w:tcPr>
            <w:tcW w:w="929" w:type="dxa"/>
          </w:tcPr>
          <w:p w:rsidR="00882769" w:rsidRDefault="00882769" w:rsidP="00882769">
            <w:pPr>
              <w:jc w:val="right"/>
            </w:pPr>
          </w:p>
        </w:tc>
        <w:tc>
          <w:tcPr>
            <w:tcW w:w="931" w:type="dxa"/>
          </w:tcPr>
          <w:p w:rsidR="00882769" w:rsidRDefault="00882769" w:rsidP="00882769">
            <w:pPr>
              <w:jc w:val="right"/>
            </w:pPr>
          </w:p>
        </w:tc>
        <w:tc>
          <w:tcPr>
            <w:tcW w:w="950" w:type="dxa"/>
          </w:tcPr>
          <w:p w:rsidR="00882769" w:rsidRDefault="00882769" w:rsidP="00882769">
            <w:pPr>
              <w:jc w:val="right"/>
            </w:pPr>
          </w:p>
        </w:tc>
      </w:tr>
      <w:tr w:rsidR="00322EB9" w:rsidTr="00304909">
        <w:tc>
          <w:tcPr>
            <w:tcW w:w="950" w:type="dxa"/>
          </w:tcPr>
          <w:p w:rsidR="00882769" w:rsidRDefault="00882769" w:rsidP="006B4709">
            <w:pPr>
              <w:jc w:val="center"/>
            </w:pPr>
            <w:r>
              <w:t>TAN</w:t>
            </w:r>
          </w:p>
        </w:tc>
        <w:tc>
          <w:tcPr>
            <w:tcW w:w="1076" w:type="dxa"/>
          </w:tcPr>
          <w:p w:rsidR="00882769" w:rsidRDefault="00322EB9" w:rsidP="00882769">
            <w:pPr>
              <w:jc w:val="right"/>
            </w:pPr>
            <w:r w:rsidRPr="00322EB9">
              <w:t>-.024</w:t>
            </w:r>
          </w:p>
        </w:tc>
        <w:tc>
          <w:tcPr>
            <w:tcW w:w="1076" w:type="dxa"/>
          </w:tcPr>
          <w:p w:rsidR="00882769" w:rsidRDefault="00322EB9" w:rsidP="00882769">
            <w:pPr>
              <w:jc w:val="right"/>
            </w:pPr>
            <w:r w:rsidRPr="00322EB9">
              <w:t>-.060</w:t>
            </w:r>
          </w:p>
        </w:tc>
        <w:tc>
          <w:tcPr>
            <w:tcW w:w="1076" w:type="dxa"/>
          </w:tcPr>
          <w:p w:rsidR="00882769" w:rsidRDefault="00322EB9" w:rsidP="00882769">
            <w:pPr>
              <w:jc w:val="right"/>
            </w:pPr>
            <w:r w:rsidRPr="00322EB9">
              <w:t>.005</w:t>
            </w:r>
          </w:p>
        </w:tc>
        <w:tc>
          <w:tcPr>
            <w:tcW w:w="1076" w:type="dxa"/>
          </w:tcPr>
          <w:p w:rsidR="00882769" w:rsidRDefault="00322EB9" w:rsidP="00882769">
            <w:pPr>
              <w:jc w:val="right"/>
            </w:pPr>
            <w:r w:rsidRPr="00322EB9">
              <w:t>-.095</w:t>
            </w:r>
          </w:p>
        </w:tc>
        <w:tc>
          <w:tcPr>
            <w:tcW w:w="1076" w:type="dxa"/>
          </w:tcPr>
          <w:p w:rsidR="00882769" w:rsidRDefault="00322EB9" w:rsidP="00882769">
            <w:pPr>
              <w:jc w:val="right"/>
            </w:pPr>
            <w:r w:rsidRPr="00322EB9">
              <w:t>-.066</w:t>
            </w:r>
          </w:p>
        </w:tc>
        <w:tc>
          <w:tcPr>
            <w:tcW w:w="930" w:type="dxa"/>
          </w:tcPr>
          <w:p w:rsidR="00882769" w:rsidRDefault="00322EB9" w:rsidP="00882769">
            <w:pPr>
              <w:jc w:val="right"/>
            </w:pPr>
            <w:r>
              <w:t>1</w:t>
            </w:r>
          </w:p>
        </w:tc>
        <w:tc>
          <w:tcPr>
            <w:tcW w:w="929" w:type="dxa"/>
          </w:tcPr>
          <w:p w:rsidR="00882769" w:rsidRDefault="00882769" w:rsidP="00882769">
            <w:pPr>
              <w:jc w:val="right"/>
            </w:pPr>
          </w:p>
        </w:tc>
        <w:tc>
          <w:tcPr>
            <w:tcW w:w="931" w:type="dxa"/>
          </w:tcPr>
          <w:p w:rsidR="00882769" w:rsidRDefault="00882769" w:rsidP="00882769">
            <w:pPr>
              <w:jc w:val="right"/>
            </w:pPr>
          </w:p>
        </w:tc>
        <w:tc>
          <w:tcPr>
            <w:tcW w:w="950" w:type="dxa"/>
          </w:tcPr>
          <w:p w:rsidR="00882769" w:rsidRDefault="00882769" w:rsidP="00882769">
            <w:pPr>
              <w:jc w:val="right"/>
            </w:pPr>
          </w:p>
        </w:tc>
      </w:tr>
      <w:tr w:rsidR="00322EB9" w:rsidTr="00304909">
        <w:tc>
          <w:tcPr>
            <w:tcW w:w="950" w:type="dxa"/>
          </w:tcPr>
          <w:p w:rsidR="00882769" w:rsidRDefault="00882769" w:rsidP="006B4709">
            <w:pPr>
              <w:jc w:val="center"/>
            </w:pPr>
            <w:r>
              <w:t>PFT</w:t>
            </w:r>
          </w:p>
        </w:tc>
        <w:tc>
          <w:tcPr>
            <w:tcW w:w="1076" w:type="dxa"/>
          </w:tcPr>
          <w:p w:rsidR="00882769" w:rsidRDefault="00322EB9" w:rsidP="00882769">
            <w:pPr>
              <w:jc w:val="right"/>
            </w:pPr>
            <w:r w:rsidRPr="00322EB9">
              <w:t>-.251**</w:t>
            </w:r>
          </w:p>
        </w:tc>
        <w:tc>
          <w:tcPr>
            <w:tcW w:w="1076" w:type="dxa"/>
          </w:tcPr>
          <w:p w:rsidR="00882769" w:rsidRDefault="00322EB9" w:rsidP="00882769">
            <w:pPr>
              <w:jc w:val="right"/>
            </w:pPr>
            <w:r w:rsidRPr="00322EB9">
              <w:t>-.331**</w:t>
            </w:r>
          </w:p>
        </w:tc>
        <w:tc>
          <w:tcPr>
            <w:tcW w:w="1076" w:type="dxa"/>
          </w:tcPr>
          <w:p w:rsidR="00882769" w:rsidRDefault="00322EB9" w:rsidP="00882769">
            <w:pPr>
              <w:jc w:val="right"/>
            </w:pPr>
            <w:r w:rsidRPr="00322EB9">
              <w:t>.186**</w:t>
            </w:r>
          </w:p>
        </w:tc>
        <w:tc>
          <w:tcPr>
            <w:tcW w:w="1076" w:type="dxa"/>
          </w:tcPr>
          <w:p w:rsidR="00882769" w:rsidRDefault="00322EB9" w:rsidP="00882769">
            <w:pPr>
              <w:jc w:val="right"/>
            </w:pPr>
            <w:r w:rsidRPr="00322EB9">
              <w:t>-.255**</w:t>
            </w:r>
          </w:p>
        </w:tc>
        <w:tc>
          <w:tcPr>
            <w:tcW w:w="1076" w:type="dxa"/>
          </w:tcPr>
          <w:p w:rsidR="00882769" w:rsidRDefault="00322EB9" w:rsidP="00882769">
            <w:pPr>
              <w:jc w:val="right"/>
            </w:pPr>
            <w:r w:rsidRPr="00322EB9">
              <w:t>-.190**</w:t>
            </w:r>
          </w:p>
        </w:tc>
        <w:tc>
          <w:tcPr>
            <w:tcW w:w="930" w:type="dxa"/>
          </w:tcPr>
          <w:p w:rsidR="00882769" w:rsidRDefault="00322EB9" w:rsidP="00882769">
            <w:pPr>
              <w:jc w:val="right"/>
            </w:pPr>
            <w:r w:rsidRPr="00322EB9">
              <w:t>.198**</w:t>
            </w:r>
          </w:p>
        </w:tc>
        <w:tc>
          <w:tcPr>
            <w:tcW w:w="929" w:type="dxa"/>
          </w:tcPr>
          <w:p w:rsidR="00882769" w:rsidRDefault="00322EB9" w:rsidP="00882769">
            <w:pPr>
              <w:jc w:val="right"/>
            </w:pPr>
            <w:r>
              <w:t>1</w:t>
            </w:r>
          </w:p>
        </w:tc>
        <w:tc>
          <w:tcPr>
            <w:tcW w:w="931" w:type="dxa"/>
          </w:tcPr>
          <w:p w:rsidR="00882769" w:rsidRDefault="00882769" w:rsidP="00882769">
            <w:pPr>
              <w:jc w:val="right"/>
            </w:pPr>
          </w:p>
        </w:tc>
        <w:tc>
          <w:tcPr>
            <w:tcW w:w="950" w:type="dxa"/>
          </w:tcPr>
          <w:p w:rsidR="00882769" w:rsidRDefault="00882769" w:rsidP="00882769">
            <w:pPr>
              <w:jc w:val="right"/>
            </w:pPr>
          </w:p>
        </w:tc>
      </w:tr>
      <w:tr w:rsidR="00322EB9" w:rsidTr="00304909">
        <w:tc>
          <w:tcPr>
            <w:tcW w:w="950" w:type="dxa"/>
          </w:tcPr>
          <w:p w:rsidR="00882769" w:rsidRDefault="00882769" w:rsidP="006B4709">
            <w:pPr>
              <w:jc w:val="center"/>
            </w:pPr>
            <w:r>
              <w:t>SIZE</w:t>
            </w:r>
          </w:p>
        </w:tc>
        <w:tc>
          <w:tcPr>
            <w:tcW w:w="1076" w:type="dxa"/>
          </w:tcPr>
          <w:p w:rsidR="00882769" w:rsidRDefault="00322EB9" w:rsidP="00882769">
            <w:pPr>
              <w:jc w:val="right"/>
            </w:pPr>
            <w:r w:rsidRPr="00322EB9">
              <w:t>.477**</w:t>
            </w:r>
          </w:p>
        </w:tc>
        <w:tc>
          <w:tcPr>
            <w:tcW w:w="1076" w:type="dxa"/>
          </w:tcPr>
          <w:p w:rsidR="00882769" w:rsidRDefault="00322EB9" w:rsidP="00882769">
            <w:pPr>
              <w:jc w:val="right"/>
            </w:pPr>
            <w:r w:rsidRPr="00322EB9">
              <w:t>.549**</w:t>
            </w:r>
          </w:p>
        </w:tc>
        <w:tc>
          <w:tcPr>
            <w:tcW w:w="1076" w:type="dxa"/>
          </w:tcPr>
          <w:p w:rsidR="00882769" w:rsidRDefault="00322EB9" w:rsidP="00882769">
            <w:pPr>
              <w:jc w:val="right"/>
            </w:pPr>
            <w:r w:rsidRPr="00322EB9">
              <w:t>.512**</w:t>
            </w:r>
          </w:p>
        </w:tc>
        <w:tc>
          <w:tcPr>
            <w:tcW w:w="1076" w:type="dxa"/>
          </w:tcPr>
          <w:p w:rsidR="00882769" w:rsidRDefault="00322EB9" w:rsidP="00882769">
            <w:pPr>
              <w:jc w:val="right"/>
            </w:pPr>
            <w:r w:rsidRPr="00322EB9">
              <w:t>-.453**</w:t>
            </w:r>
          </w:p>
        </w:tc>
        <w:tc>
          <w:tcPr>
            <w:tcW w:w="1076" w:type="dxa"/>
          </w:tcPr>
          <w:p w:rsidR="00882769" w:rsidRDefault="00322EB9" w:rsidP="00882769">
            <w:pPr>
              <w:jc w:val="right"/>
            </w:pPr>
            <w:r w:rsidRPr="00322EB9">
              <w:t>-.291**</w:t>
            </w:r>
          </w:p>
        </w:tc>
        <w:tc>
          <w:tcPr>
            <w:tcW w:w="930" w:type="dxa"/>
          </w:tcPr>
          <w:p w:rsidR="00882769" w:rsidRDefault="00322EB9" w:rsidP="00882769">
            <w:pPr>
              <w:jc w:val="right"/>
            </w:pPr>
            <w:r w:rsidRPr="00322EB9">
              <w:t>.112*</w:t>
            </w:r>
          </w:p>
        </w:tc>
        <w:tc>
          <w:tcPr>
            <w:tcW w:w="929" w:type="dxa"/>
          </w:tcPr>
          <w:p w:rsidR="00882769" w:rsidRDefault="00322EB9" w:rsidP="00882769">
            <w:pPr>
              <w:jc w:val="right"/>
            </w:pPr>
            <w:r w:rsidRPr="00322EB9">
              <w:t>.145**</w:t>
            </w:r>
          </w:p>
        </w:tc>
        <w:tc>
          <w:tcPr>
            <w:tcW w:w="931" w:type="dxa"/>
          </w:tcPr>
          <w:p w:rsidR="00882769" w:rsidRDefault="00322EB9" w:rsidP="00882769">
            <w:pPr>
              <w:jc w:val="right"/>
            </w:pPr>
            <w:r>
              <w:t>1</w:t>
            </w:r>
          </w:p>
        </w:tc>
        <w:tc>
          <w:tcPr>
            <w:tcW w:w="950" w:type="dxa"/>
          </w:tcPr>
          <w:p w:rsidR="00882769" w:rsidRDefault="00882769" w:rsidP="00882769">
            <w:pPr>
              <w:jc w:val="right"/>
            </w:pPr>
          </w:p>
        </w:tc>
      </w:tr>
      <w:tr w:rsidR="00322EB9" w:rsidTr="00304909">
        <w:tc>
          <w:tcPr>
            <w:tcW w:w="950" w:type="dxa"/>
          </w:tcPr>
          <w:p w:rsidR="00882769" w:rsidRDefault="00882769" w:rsidP="006B4709">
            <w:pPr>
              <w:jc w:val="center"/>
            </w:pPr>
            <w:r>
              <w:t>GROW</w:t>
            </w:r>
          </w:p>
        </w:tc>
        <w:tc>
          <w:tcPr>
            <w:tcW w:w="1076" w:type="dxa"/>
          </w:tcPr>
          <w:p w:rsidR="00882769" w:rsidRDefault="00322EB9" w:rsidP="00882769">
            <w:pPr>
              <w:jc w:val="right"/>
            </w:pPr>
            <w:r w:rsidRPr="00322EB9">
              <w:t>.105</w:t>
            </w:r>
          </w:p>
        </w:tc>
        <w:tc>
          <w:tcPr>
            <w:tcW w:w="1076" w:type="dxa"/>
          </w:tcPr>
          <w:p w:rsidR="00882769" w:rsidRDefault="00322EB9" w:rsidP="00882769">
            <w:pPr>
              <w:jc w:val="right"/>
            </w:pPr>
            <w:r w:rsidRPr="00322EB9">
              <w:t>.010</w:t>
            </w:r>
          </w:p>
        </w:tc>
        <w:tc>
          <w:tcPr>
            <w:tcW w:w="1076" w:type="dxa"/>
          </w:tcPr>
          <w:p w:rsidR="00882769" w:rsidRDefault="00322EB9" w:rsidP="00882769">
            <w:pPr>
              <w:jc w:val="right"/>
            </w:pPr>
            <w:r w:rsidRPr="00322EB9">
              <w:t>.086</w:t>
            </w:r>
          </w:p>
        </w:tc>
        <w:tc>
          <w:tcPr>
            <w:tcW w:w="1076" w:type="dxa"/>
          </w:tcPr>
          <w:p w:rsidR="00882769" w:rsidRDefault="00322EB9" w:rsidP="00882769">
            <w:pPr>
              <w:jc w:val="right"/>
            </w:pPr>
            <w:r w:rsidRPr="00322EB9">
              <w:t>-.084</w:t>
            </w:r>
          </w:p>
        </w:tc>
        <w:tc>
          <w:tcPr>
            <w:tcW w:w="1076" w:type="dxa"/>
          </w:tcPr>
          <w:p w:rsidR="00882769" w:rsidRDefault="00322EB9" w:rsidP="00882769">
            <w:pPr>
              <w:jc w:val="right"/>
            </w:pPr>
            <w:r w:rsidRPr="00322EB9">
              <w:t>-.027</w:t>
            </w:r>
          </w:p>
        </w:tc>
        <w:tc>
          <w:tcPr>
            <w:tcW w:w="930" w:type="dxa"/>
          </w:tcPr>
          <w:p w:rsidR="00882769" w:rsidRDefault="00322EB9" w:rsidP="00882769">
            <w:pPr>
              <w:jc w:val="right"/>
            </w:pPr>
            <w:r w:rsidRPr="00322EB9">
              <w:t>-.047</w:t>
            </w:r>
          </w:p>
        </w:tc>
        <w:tc>
          <w:tcPr>
            <w:tcW w:w="929" w:type="dxa"/>
          </w:tcPr>
          <w:p w:rsidR="00882769" w:rsidRDefault="00322EB9" w:rsidP="00882769">
            <w:pPr>
              <w:jc w:val="right"/>
            </w:pPr>
            <w:r w:rsidRPr="00322EB9">
              <w:t>.105</w:t>
            </w:r>
          </w:p>
        </w:tc>
        <w:tc>
          <w:tcPr>
            <w:tcW w:w="931" w:type="dxa"/>
          </w:tcPr>
          <w:p w:rsidR="00882769" w:rsidRDefault="00322EB9" w:rsidP="00882769">
            <w:pPr>
              <w:jc w:val="right"/>
            </w:pPr>
            <w:r w:rsidRPr="00322EB9">
              <w:t>.051</w:t>
            </w:r>
          </w:p>
        </w:tc>
        <w:tc>
          <w:tcPr>
            <w:tcW w:w="950" w:type="dxa"/>
          </w:tcPr>
          <w:p w:rsidR="00882769" w:rsidRDefault="00322EB9" w:rsidP="00882769">
            <w:pPr>
              <w:jc w:val="right"/>
            </w:pPr>
            <w:r>
              <w:t>1</w:t>
            </w:r>
          </w:p>
        </w:tc>
      </w:tr>
    </w:tbl>
    <w:p w:rsidR="004E14EA" w:rsidRDefault="00036472" w:rsidP="002B7DD5">
      <w:pPr>
        <w:spacing w:after="0" w:line="240" w:lineRule="auto"/>
        <w:jc w:val="both"/>
      </w:pPr>
      <w:r>
        <w:t>** Correlation is significant at 0.01 level (2-tailed)</w:t>
      </w:r>
    </w:p>
    <w:p w:rsidR="00036472" w:rsidRDefault="00036472" w:rsidP="002B7DD5">
      <w:pPr>
        <w:spacing w:after="0" w:line="240" w:lineRule="auto"/>
        <w:jc w:val="both"/>
      </w:pPr>
      <w:r>
        <w:t>* Correlation is significant at 0.05 level (2-tailed)</w:t>
      </w:r>
    </w:p>
    <w:p w:rsidR="004E14EA" w:rsidRDefault="004E14EA" w:rsidP="006B4709">
      <w:pPr>
        <w:jc w:val="center"/>
      </w:pPr>
    </w:p>
    <w:p w:rsidR="00C9533C" w:rsidRDefault="00C9533C" w:rsidP="00C9533C">
      <w:pPr>
        <w:jc w:val="both"/>
      </w:pPr>
      <w:r>
        <w:t xml:space="preserve">The results of the two baseline panel regression models are presented in table 4. </w:t>
      </w:r>
    </w:p>
    <w:p w:rsidR="001D33BB" w:rsidRDefault="001D33BB" w:rsidP="00C9533C">
      <w:pPr>
        <w:jc w:val="both"/>
      </w:pPr>
    </w:p>
    <w:p w:rsidR="00571463" w:rsidRDefault="00571463" w:rsidP="00890ED7">
      <w:pPr>
        <w:spacing w:after="0" w:line="240" w:lineRule="auto"/>
        <w:jc w:val="center"/>
      </w:pPr>
    </w:p>
    <w:p w:rsidR="004E14EA" w:rsidRDefault="00745C30" w:rsidP="00890ED7">
      <w:pPr>
        <w:spacing w:after="0" w:line="240" w:lineRule="auto"/>
        <w:jc w:val="center"/>
      </w:pPr>
      <w:r>
        <w:t>Table 4</w:t>
      </w:r>
    </w:p>
    <w:p w:rsidR="00745C30" w:rsidRDefault="00745C30" w:rsidP="00890ED7">
      <w:pPr>
        <w:spacing w:after="0" w:line="240" w:lineRule="auto"/>
        <w:jc w:val="center"/>
      </w:pPr>
      <w:r>
        <w:t xml:space="preserve">Panel regression results </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3116"/>
        <w:gridCol w:w="3117"/>
        <w:gridCol w:w="3117"/>
      </w:tblGrid>
      <w:tr w:rsidR="004A42EB" w:rsidTr="00571463">
        <w:tc>
          <w:tcPr>
            <w:tcW w:w="3116" w:type="dxa"/>
          </w:tcPr>
          <w:p w:rsidR="004A42EB" w:rsidRDefault="004A42EB" w:rsidP="00214600">
            <w:pPr>
              <w:jc w:val="both"/>
            </w:pPr>
            <w:r>
              <w:t>Variables</w:t>
            </w:r>
          </w:p>
        </w:tc>
        <w:tc>
          <w:tcPr>
            <w:tcW w:w="3117" w:type="dxa"/>
          </w:tcPr>
          <w:p w:rsidR="004A42EB" w:rsidRDefault="004A42EB" w:rsidP="00214600">
            <w:pPr>
              <w:jc w:val="center"/>
            </w:pPr>
            <w:r>
              <w:t>Model 1</w:t>
            </w:r>
          </w:p>
        </w:tc>
        <w:tc>
          <w:tcPr>
            <w:tcW w:w="3117" w:type="dxa"/>
          </w:tcPr>
          <w:p w:rsidR="004A42EB" w:rsidRDefault="004A42EB" w:rsidP="00214600">
            <w:pPr>
              <w:jc w:val="center"/>
            </w:pPr>
            <w:r>
              <w:t>Model 2</w:t>
            </w:r>
          </w:p>
        </w:tc>
      </w:tr>
      <w:tr w:rsidR="004A42EB" w:rsidTr="00571463">
        <w:tc>
          <w:tcPr>
            <w:tcW w:w="3116" w:type="dxa"/>
          </w:tcPr>
          <w:p w:rsidR="004A42EB" w:rsidRDefault="004A42EB" w:rsidP="00214600">
            <w:pPr>
              <w:jc w:val="both"/>
            </w:pPr>
            <w:r>
              <w:t>Constant</w:t>
            </w:r>
          </w:p>
        </w:tc>
        <w:tc>
          <w:tcPr>
            <w:tcW w:w="3117" w:type="dxa"/>
          </w:tcPr>
          <w:p w:rsidR="00EE4400" w:rsidRDefault="006268DB" w:rsidP="00214600">
            <w:pPr>
              <w:jc w:val="right"/>
            </w:pPr>
            <w:r w:rsidRPr="006268DB">
              <w:t>-1.2336</w:t>
            </w:r>
            <w:r>
              <w:t>*</w:t>
            </w:r>
          </w:p>
          <w:p w:rsidR="006268DB" w:rsidRDefault="006268DB" w:rsidP="00214600">
            <w:pPr>
              <w:jc w:val="right"/>
            </w:pPr>
            <w:r w:rsidRPr="006268DB">
              <w:t>-2.2599</w:t>
            </w:r>
          </w:p>
        </w:tc>
        <w:tc>
          <w:tcPr>
            <w:tcW w:w="3117" w:type="dxa"/>
          </w:tcPr>
          <w:p w:rsidR="00EE4400" w:rsidRDefault="004A38D3" w:rsidP="00214600">
            <w:pPr>
              <w:jc w:val="right"/>
            </w:pPr>
            <w:r w:rsidRPr="004A38D3">
              <w:t>-1.2295</w:t>
            </w:r>
            <w:r>
              <w:t>*</w:t>
            </w:r>
          </w:p>
          <w:p w:rsidR="004A38D3" w:rsidRDefault="004A38D3" w:rsidP="00214600">
            <w:pPr>
              <w:jc w:val="right"/>
            </w:pPr>
            <w:r w:rsidRPr="004A38D3">
              <w:t>-2.0719</w:t>
            </w:r>
          </w:p>
        </w:tc>
      </w:tr>
      <w:tr w:rsidR="004A42EB" w:rsidTr="00571463">
        <w:tc>
          <w:tcPr>
            <w:tcW w:w="3116" w:type="dxa"/>
          </w:tcPr>
          <w:p w:rsidR="004A42EB" w:rsidRDefault="004A42EB" w:rsidP="00214600">
            <w:pPr>
              <w:jc w:val="both"/>
            </w:pPr>
            <w:r>
              <w:t>IND</w:t>
            </w:r>
          </w:p>
        </w:tc>
        <w:tc>
          <w:tcPr>
            <w:tcW w:w="3117" w:type="dxa"/>
          </w:tcPr>
          <w:p w:rsidR="00EE4400" w:rsidRDefault="006268DB" w:rsidP="00214600">
            <w:pPr>
              <w:jc w:val="right"/>
            </w:pPr>
            <w:r w:rsidRPr="006268DB">
              <w:t>0.0462</w:t>
            </w:r>
          </w:p>
          <w:p w:rsidR="006268DB" w:rsidRDefault="006268DB" w:rsidP="00214600">
            <w:pPr>
              <w:jc w:val="right"/>
            </w:pPr>
            <w:r w:rsidRPr="006268DB">
              <w:t>1.6214</w:t>
            </w:r>
          </w:p>
        </w:tc>
        <w:tc>
          <w:tcPr>
            <w:tcW w:w="3117" w:type="dxa"/>
          </w:tcPr>
          <w:p w:rsidR="004A42EB" w:rsidRDefault="004A42EB" w:rsidP="00214600">
            <w:pPr>
              <w:jc w:val="right"/>
            </w:pPr>
          </w:p>
        </w:tc>
      </w:tr>
      <w:tr w:rsidR="004A42EB" w:rsidTr="00571463">
        <w:tc>
          <w:tcPr>
            <w:tcW w:w="3116" w:type="dxa"/>
          </w:tcPr>
          <w:p w:rsidR="004A42EB" w:rsidRDefault="004A42EB" w:rsidP="00214600">
            <w:pPr>
              <w:jc w:val="both"/>
            </w:pPr>
            <w:r>
              <w:t>INDD</w:t>
            </w:r>
          </w:p>
        </w:tc>
        <w:tc>
          <w:tcPr>
            <w:tcW w:w="3117" w:type="dxa"/>
          </w:tcPr>
          <w:p w:rsidR="004A42EB" w:rsidRDefault="004A42EB" w:rsidP="00214600">
            <w:pPr>
              <w:jc w:val="right"/>
            </w:pPr>
          </w:p>
        </w:tc>
        <w:tc>
          <w:tcPr>
            <w:tcW w:w="3117" w:type="dxa"/>
          </w:tcPr>
          <w:p w:rsidR="003A00DF" w:rsidRDefault="004A38D3" w:rsidP="00214600">
            <w:pPr>
              <w:jc w:val="right"/>
            </w:pPr>
            <w:r w:rsidRPr="004A38D3">
              <w:t>0.0181</w:t>
            </w:r>
            <w:r>
              <w:t>*</w:t>
            </w:r>
          </w:p>
          <w:p w:rsidR="004A38D3" w:rsidRDefault="004A38D3" w:rsidP="00214600">
            <w:pPr>
              <w:jc w:val="right"/>
            </w:pPr>
            <w:r w:rsidRPr="004A38D3">
              <w:t>2.2288</w:t>
            </w:r>
          </w:p>
        </w:tc>
      </w:tr>
      <w:tr w:rsidR="00571463" w:rsidTr="00571463">
        <w:tc>
          <w:tcPr>
            <w:tcW w:w="3116" w:type="dxa"/>
          </w:tcPr>
          <w:p w:rsidR="00571463" w:rsidRDefault="00571463" w:rsidP="00214600">
            <w:pPr>
              <w:jc w:val="both"/>
            </w:pPr>
            <w:r>
              <w:t>BRD</w:t>
            </w:r>
          </w:p>
        </w:tc>
        <w:tc>
          <w:tcPr>
            <w:tcW w:w="3117" w:type="dxa"/>
          </w:tcPr>
          <w:p w:rsidR="00571463" w:rsidRDefault="00571463" w:rsidP="00571463">
            <w:pPr>
              <w:jc w:val="right"/>
            </w:pPr>
            <w:r>
              <w:t>0.0520</w:t>
            </w:r>
          </w:p>
          <w:p w:rsidR="00571463" w:rsidRDefault="00571463" w:rsidP="00571463">
            <w:pPr>
              <w:jc w:val="right"/>
            </w:pPr>
            <w:r>
              <w:t>0.6852</w:t>
            </w:r>
          </w:p>
        </w:tc>
        <w:tc>
          <w:tcPr>
            <w:tcW w:w="3117" w:type="dxa"/>
          </w:tcPr>
          <w:p w:rsidR="00571463" w:rsidRDefault="00571463" w:rsidP="00571463">
            <w:pPr>
              <w:jc w:val="right"/>
            </w:pPr>
            <w:r>
              <w:t>0.0482</w:t>
            </w:r>
          </w:p>
          <w:p w:rsidR="00571463" w:rsidRPr="004A38D3" w:rsidRDefault="00571463" w:rsidP="00571463">
            <w:pPr>
              <w:jc w:val="right"/>
            </w:pPr>
            <w:r>
              <w:t>0.7330</w:t>
            </w:r>
          </w:p>
        </w:tc>
      </w:tr>
      <w:tr w:rsidR="004A42EB" w:rsidTr="00571463">
        <w:tc>
          <w:tcPr>
            <w:tcW w:w="3116" w:type="dxa"/>
          </w:tcPr>
          <w:p w:rsidR="004A42EB" w:rsidRDefault="004A42EB" w:rsidP="00214600">
            <w:pPr>
              <w:jc w:val="both"/>
            </w:pPr>
            <w:r>
              <w:t>TAN</w:t>
            </w:r>
          </w:p>
        </w:tc>
        <w:tc>
          <w:tcPr>
            <w:tcW w:w="3117" w:type="dxa"/>
          </w:tcPr>
          <w:p w:rsidR="00EE4400" w:rsidRDefault="006268DB" w:rsidP="00214600">
            <w:pPr>
              <w:jc w:val="right"/>
            </w:pPr>
            <w:r w:rsidRPr="006268DB">
              <w:t>0.1255</w:t>
            </w:r>
            <w:r>
              <w:t>**</w:t>
            </w:r>
          </w:p>
          <w:p w:rsidR="006268DB" w:rsidRDefault="006268DB" w:rsidP="00214600">
            <w:pPr>
              <w:jc w:val="right"/>
            </w:pPr>
            <w:r w:rsidRPr="006268DB">
              <w:t>4.3326</w:t>
            </w:r>
          </w:p>
        </w:tc>
        <w:tc>
          <w:tcPr>
            <w:tcW w:w="3117" w:type="dxa"/>
          </w:tcPr>
          <w:p w:rsidR="003A00DF" w:rsidRDefault="004A38D3" w:rsidP="00214600">
            <w:pPr>
              <w:jc w:val="right"/>
            </w:pPr>
            <w:r w:rsidRPr="004A38D3">
              <w:t>0.1254</w:t>
            </w:r>
            <w:r>
              <w:t>**</w:t>
            </w:r>
          </w:p>
          <w:p w:rsidR="004A38D3" w:rsidRDefault="004A38D3" w:rsidP="00214600">
            <w:pPr>
              <w:jc w:val="right"/>
            </w:pPr>
            <w:r w:rsidRPr="004A38D3">
              <w:t>3.9611</w:t>
            </w:r>
          </w:p>
        </w:tc>
      </w:tr>
      <w:tr w:rsidR="004A42EB" w:rsidTr="00571463">
        <w:tc>
          <w:tcPr>
            <w:tcW w:w="3116" w:type="dxa"/>
          </w:tcPr>
          <w:p w:rsidR="004A42EB" w:rsidRDefault="004A42EB" w:rsidP="00214600">
            <w:pPr>
              <w:jc w:val="both"/>
            </w:pPr>
            <w:r>
              <w:t>PFT</w:t>
            </w:r>
          </w:p>
        </w:tc>
        <w:tc>
          <w:tcPr>
            <w:tcW w:w="3117" w:type="dxa"/>
          </w:tcPr>
          <w:p w:rsidR="00EE4400" w:rsidRDefault="006268DB" w:rsidP="00214600">
            <w:pPr>
              <w:jc w:val="right"/>
            </w:pPr>
            <w:r w:rsidRPr="006268DB">
              <w:t>-0.3026</w:t>
            </w:r>
            <w:r>
              <w:t>**</w:t>
            </w:r>
          </w:p>
          <w:p w:rsidR="006268DB" w:rsidRDefault="006268DB" w:rsidP="006268DB">
            <w:pPr>
              <w:jc w:val="right"/>
            </w:pPr>
            <w:r w:rsidRPr="006268DB">
              <w:t>-3.9232</w:t>
            </w:r>
          </w:p>
        </w:tc>
        <w:tc>
          <w:tcPr>
            <w:tcW w:w="3117" w:type="dxa"/>
          </w:tcPr>
          <w:p w:rsidR="003A00DF" w:rsidRDefault="004A38D3" w:rsidP="00214600">
            <w:pPr>
              <w:jc w:val="right"/>
            </w:pPr>
            <w:r w:rsidRPr="004A38D3">
              <w:t>-0.2989</w:t>
            </w:r>
            <w:r>
              <w:t>**</w:t>
            </w:r>
          </w:p>
          <w:p w:rsidR="004A38D3" w:rsidRDefault="004A38D3" w:rsidP="00214600">
            <w:pPr>
              <w:jc w:val="right"/>
            </w:pPr>
            <w:r w:rsidRPr="004A38D3">
              <w:t>-3.9887</w:t>
            </w:r>
          </w:p>
        </w:tc>
      </w:tr>
      <w:tr w:rsidR="004A42EB" w:rsidTr="00571463">
        <w:tc>
          <w:tcPr>
            <w:tcW w:w="3116" w:type="dxa"/>
          </w:tcPr>
          <w:p w:rsidR="004A42EB" w:rsidRDefault="004A42EB" w:rsidP="00214600">
            <w:pPr>
              <w:jc w:val="both"/>
            </w:pPr>
            <w:r>
              <w:t>SIZE</w:t>
            </w:r>
          </w:p>
        </w:tc>
        <w:tc>
          <w:tcPr>
            <w:tcW w:w="3117" w:type="dxa"/>
          </w:tcPr>
          <w:p w:rsidR="003A00DF" w:rsidRDefault="004A38D3" w:rsidP="00214600">
            <w:pPr>
              <w:jc w:val="right"/>
            </w:pPr>
            <w:r w:rsidRPr="004A38D3">
              <w:t>0.4184</w:t>
            </w:r>
            <w:r>
              <w:t>**</w:t>
            </w:r>
          </w:p>
          <w:p w:rsidR="004A38D3" w:rsidRDefault="004A38D3" w:rsidP="00214600">
            <w:pPr>
              <w:jc w:val="right"/>
            </w:pPr>
            <w:r w:rsidRPr="004A38D3">
              <w:t>4.0876</w:t>
            </w:r>
          </w:p>
        </w:tc>
        <w:tc>
          <w:tcPr>
            <w:tcW w:w="3117" w:type="dxa"/>
          </w:tcPr>
          <w:p w:rsidR="003A00DF" w:rsidRDefault="004A38D3" w:rsidP="003A00DF">
            <w:pPr>
              <w:jc w:val="right"/>
            </w:pPr>
            <w:r w:rsidRPr="004A38D3">
              <w:t>0.4214</w:t>
            </w:r>
            <w:r>
              <w:t>**</w:t>
            </w:r>
          </w:p>
          <w:p w:rsidR="004A38D3" w:rsidRDefault="004A38D3" w:rsidP="003A00DF">
            <w:pPr>
              <w:jc w:val="right"/>
            </w:pPr>
            <w:r w:rsidRPr="004A38D3">
              <w:t>3.8937</w:t>
            </w:r>
          </w:p>
        </w:tc>
      </w:tr>
      <w:tr w:rsidR="004A42EB" w:rsidTr="00571463">
        <w:tc>
          <w:tcPr>
            <w:tcW w:w="3116" w:type="dxa"/>
          </w:tcPr>
          <w:p w:rsidR="004A42EB" w:rsidRDefault="004A42EB" w:rsidP="00214600">
            <w:pPr>
              <w:jc w:val="both"/>
            </w:pPr>
            <w:r>
              <w:t>GROW</w:t>
            </w:r>
          </w:p>
        </w:tc>
        <w:tc>
          <w:tcPr>
            <w:tcW w:w="3117" w:type="dxa"/>
          </w:tcPr>
          <w:p w:rsidR="003A00DF" w:rsidRDefault="004A38D3" w:rsidP="00214600">
            <w:pPr>
              <w:jc w:val="right"/>
            </w:pPr>
            <w:r w:rsidRPr="004A38D3">
              <w:t>0.0051</w:t>
            </w:r>
          </w:p>
          <w:p w:rsidR="004A38D3" w:rsidRDefault="004A38D3" w:rsidP="00214600">
            <w:pPr>
              <w:jc w:val="right"/>
            </w:pPr>
            <w:r w:rsidRPr="004A38D3">
              <w:lastRenderedPageBreak/>
              <w:t>0.2602</w:t>
            </w:r>
          </w:p>
        </w:tc>
        <w:tc>
          <w:tcPr>
            <w:tcW w:w="3117" w:type="dxa"/>
          </w:tcPr>
          <w:p w:rsidR="003A00DF" w:rsidRDefault="004A38D3" w:rsidP="00214600">
            <w:pPr>
              <w:jc w:val="right"/>
            </w:pPr>
            <w:r w:rsidRPr="004A38D3">
              <w:lastRenderedPageBreak/>
              <w:t>0.0033</w:t>
            </w:r>
          </w:p>
          <w:p w:rsidR="004A38D3" w:rsidRDefault="004A38D3" w:rsidP="00214600">
            <w:pPr>
              <w:jc w:val="right"/>
            </w:pPr>
            <w:r w:rsidRPr="004A38D3">
              <w:lastRenderedPageBreak/>
              <w:t>0.1810</w:t>
            </w:r>
          </w:p>
        </w:tc>
      </w:tr>
      <w:tr w:rsidR="004A42EB" w:rsidTr="00571463">
        <w:tc>
          <w:tcPr>
            <w:tcW w:w="3116" w:type="dxa"/>
          </w:tcPr>
          <w:p w:rsidR="004A42EB" w:rsidRDefault="004A42EB" w:rsidP="00214600">
            <w:pPr>
              <w:jc w:val="both"/>
            </w:pPr>
            <w:r>
              <w:lastRenderedPageBreak/>
              <w:t>Year effects</w:t>
            </w:r>
          </w:p>
        </w:tc>
        <w:tc>
          <w:tcPr>
            <w:tcW w:w="3117" w:type="dxa"/>
          </w:tcPr>
          <w:p w:rsidR="004A42EB" w:rsidRPr="00C40B0D" w:rsidRDefault="004A38D3" w:rsidP="00214600">
            <w:pPr>
              <w:jc w:val="right"/>
            </w:pPr>
            <w:r>
              <w:t>YES</w:t>
            </w:r>
          </w:p>
        </w:tc>
        <w:tc>
          <w:tcPr>
            <w:tcW w:w="3117" w:type="dxa"/>
          </w:tcPr>
          <w:p w:rsidR="004A42EB" w:rsidRPr="00DD4B9B" w:rsidRDefault="004A38D3" w:rsidP="00214600">
            <w:pPr>
              <w:jc w:val="right"/>
            </w:pPr>
            <w:r>
              <w:t>YES</w:t>
            </w:r>
          </w:p>
        </w:tc>
      </w:tr>
      <w:tr w:rsidR="004A42EB" w:rsidTr="00571463">
        <w:tc>
          <w:tcPr>
            <w:tcW w:w="3116" w:type="dxa"/>
          </w:tcPr>
          <w:p w:rsidR="004A42EB" w:rsidRDefault="004A42EB" w:rsidP="00214600">
            <w:pPr>
              <w:jc w:val="both"/>
            </w:pPr>
            <w:r>
              <w:t>Industry effects</w:t>
            </w:r>
          </w:p>
        </w:tc>
        <w:tc>
          <w:tcPr>
            <w:tcW w:w="3117" w:type="dxa"/>
          </w:tcPr>
          <w:p w:rsidR="004A42EB" w:rsidRDefault="004A38D3" w:rsidP="00214600">
            <w:pPr>
              <w:jc w:val="right"/>
            </w:pPr>
            <w:r>
              <w:t>YES</w:t>
            </w:r>
          </w:p>
        </w:tc>
        <w:tc>
          <w:tcPr>
            <w:tcW w:w="3117" w:type="dxa"/>
          </w:tcPr>
          <w:p w:rsidR="004A42EB" w:rsidRDefault="004A38D3" w:rsidP="00214600">
            <w:pPr>
              <w:jc w:val="right"/>
            </w:pPr>
            <w:r>
              <w:t>YES</w:t>
            </w:r>
          </w:p>
        </w:tc>
      </w:tr>
      <w:tr w:rsidR="004A42EB" w:rsidTr="00571463">
        <w:tc>
          <w:tcPr>
            <w:tcW w:w="3116" w:type="dxa"/>
          </w:tcPr>
          <w:p w:rsidR="004A42EB" w:rsidRDefault="004A42EB" w:rsidP="00214600">
            <w:pPr>
              <w:jc w:val="both"/>
            </w:pPr>
            <w:r w:rsidRPr="00C40B0D">
              <w:t>R-squared</w:t>
            </w:r>
          </w:p>
        </w:tc>
        <w:tc>
          <w:tcPr>
            <w:tcW w:w="3117" w:type="dxa"/>
          </w:tcPr>
          <w:p w:rsidR="004A42EB" w:rsidRDefault="004A38D3" w:rsidP="00214600">
            <w:pPr>
              <w:jc w:val="right"/>
            </w:pPr>
            <w:r w:rsidRPr="004A38D3">
              <w:t>0.9372</w:t>
            </w:r>
          </w:p>
        </w:tc>
        <w:tc>
          <w:tcPr>
            <w:tcW w:w="3117" w:type="dxa"/>
          </w:tcPr>
          <w:p w:rsidR="004A42EB" w:rsidRDefault="004A38D3" w:rsidP="00214600">
            <w:pPr>
              <w:jc w:val="right"/>
            </w:pPr>
            <w:r w:rsidRPr="004A38D3">
              <w:t>0.9376</w:t>
            </w:r>
          </w:p>
        </w:tc>
      </w:tr>
      <w:tr w:rsidR="004A42EB" w:rsidTr="00571463">
        <w:tc>
          <w:tcPr>
            <w:tcW w:w="3116" w:type="dxa"/>
          </w:tcPr>
          <w:p w:rsidR="004A42EB" w:rsidRPr="00C40B0D" w:rsidRDefault="004A42EB" w:rsidP="00214600">
            <w:pPr>
              <w:jc w:val="both"/>
            </w:pPr>
            <w:r w:rsidRPr="00C40B0D">
              <w:t>Adjusted R-squared</w:t>
            </w:r>
          </w:p>
        </w:tc>
        <w:tc>
          <w:tcPr>
            <w:tcW w:w="3117" w:type="dxa"/>
          </w:tcPr>
          <w:p w:rsidR="004A42EB" w:rsidRPr="00C40B0D" w:rsidRDefault="004A38D3" w:rsidP="00214600">
            <w:pPr>
              <w:jc w:val="right"/>
            </w:pPr>
            <w:r w:rsidRPr="004A38D3">
              <w:t>0.9343</w:t>
            </w:r>
          </w:p>
        </w:tc>
        <w:tc>
          <w:tcPr>
            <w:tcW w:w="3117" w:type="dxa"/>
          </w:tcPr>
          <w:p w:rsidR="004A42EB" w:rsidRDefault="004A38D3" w:rsidP="00214600">
            <w:pPr>
              <w:jc w:val="right"/>
            </w:pPr>
            <w:r w:rsidRPr="004A38D3">
              <w:t>0.9347</w:t>
            </w:r>
          </w:p>
        </w:tc>
      </w:tr>
      <w:tr w:rsidR="004A42EB" w:rsidTr="00571463">
        <w:tc>
          <w:tcPr>
            <w:tcW w:w="3116" w:type="dxa"/>
          </w:tcPr>
          <w:p w:rsidR="004A42EB" w:rsidRPr="00C40B0D" w:rsidRDefault="004A42EB" w:rsidP="00214600">
            <w:pPr>
              <w:jc w:val="both"/>
            </w:pPr>
            <w:r w:rsidRPr="00C40B0D">
              <w:t>F-statistic</w:t>
            </w:r>
          </w:p>
        </w:tc>
        <w:tc>
          <w:tcPr>
            <w:tcW w:w="3117" w:type="dxa"/>
          </w:tcPr>
          <w:p w:rsidR="004A42EB" w:rsidRPr="00C40B0D" w:rsidRDefault="004A38D3" w:rsidP="00214600">
            <w:pPr>
              <w:jc w:val="right"/>
            </w:pPr>
            <w:r w:rsidRPr="004A38D3">
              <w:t>322.1049</w:t>
            </w:r>
            <w:r>
              <w:t>**</w:t>
            </w:r>
          </w:p>
        </w:tc>
        <w:tc>
          <w:tcPr>
            <w:tcW w:w="3117" w:type="dxa"/>
          </w:tcPr>
          <w:p w:rsidR="004A42EB" w:rsidRDefault="004A38D3" w:rsidP="00214600">
            <w:pPr>
              <w:jc w:val="right"/>
            </w:pPr>
            <w:r w:rsidRPr="004A38D3">
              <w:t>324.4617</w:t>
            </w:r>
            <w:r>
              <w:t>**</w:t>
            </w:r>
          </w:p>
        </w:tc>
      </w:tr>
      <w:tr w:rsidR="004A42EB" w:rsidTr="00571463">
        <w:tc>
          <w:tcPr>
            <w:tcW w:w="3116" w:type="dxa"/>
          </w:tcPr>
          <w:p w:rsidR="004A42EB" w:rsidRPr="00C40B0D" w:rsidRDefault="004A42EB" w:rsidP="00214600">
            <w:pPr>
              <w:jc w:val="both"/>
            </w:pPr>
            <w:r w:rsidRPr="00C40B0D">
              <w:t>Durbin-Watson stat</w:t>
            </w:r>
          </w:p>
        </w:tc>
        <w:tc>
          <w:tcPr>
            <w:tcW w:w="3117" w:type="dxa"/>
          </w:tcPr>
          <w:p w:rsidR="004A42EB" w:rsidRPr="00C40B0D" w:rsidRDefault="004A38D3" w:rsidP="00214600">
            <w:pPr>
              <w:jc w:val="right"/>
            </w:pPr>
            <w:r w:rsidRPr="004A38D3">
              <w:t>1.7629</w:t>
            </w:r>
          </w:p>
        </w:tc>
        <w:tc>
          <w:tcPr>
            <w:tcW w:w="3117" w:type="dxa"/>
          </w:tcPr>
          <w:p w:rsidR="004A42EB" w:rsidRDefault="004A38D3" w:rsidP="00214600">
            <w:pPr>
              <w:jc w:val="right"/>
            </w:pPr>
            <w:r w:rsidRPr="004A38D3">
              <w:t>1.7482</w:t>
            </w:r>
          </w:p>
        </w:tc>
      </w:tr>
    </w:tbl>
    <w:p w:rsidR="00DD4B9B" w:rsidRDefault="00672E52" w:rsidP="00672E52">
      <w:pPr>
        <w:spacing w:after="0" w:line="240" w:lineRule="auto"/>
        <w:jc w:val="both"/>
      </w:pPr>
      <w:r>
        <w:t>Dependent variable: BL</w:t>
      </w:r>
    </w:p>
    <w:p w:rsidR="00672E52" w:rsidRDefault="00672E52" w:rsidP="00672E52">
      <w:pPr>
        <w:spacing w:after="0" w:line="240" w:lineRule="auto"/>
        <w:jc w:val="both"/>
      </w:pPr>
      <w:r>
        <w:t>* Significant at 0.01 level</w:t>
      </w:r>
    </w:p>
    <w:p w:rsidR="00672E52" w:rsidRDefault="00672E52" w:rsidP="00672E52">
      <w:pPr>
        <w:spacing w:after="0" w:line="240" w:lineRule="auto"/>
        <w:jc w:val="both"/>
      </w:pPr>
      <w:r>
        <w:t xml:space="preserve">** Significant at 0.05 level </w:t>
      </w:r>
    </w:p>
    <w:p w:rsidR="00571463" w:rsidRPr="001D33BB" w:rsidRDefault="0063174A" w:rsidP="00C9533C">
      <w:pPr>
        <w:jc w:val="both"/>
        <w:rPr>
          <w:color w:val="FF0000"/>
        </w:rPr>
      </w:pPr>
      <w:r>
        <w:t>We can</w:t>
      </w:r>
      <w:r w:rsidR="001D33BB" w:rsidRPr="000F3C44">
        <w:t>infer</w:t>
      </w:r>
      <w:r>
        <w:t xml:space="preserve"> from the results of model 1 that board independence has a positive sign but not statistically significant as hypothesized.  </w:t>
      </w:r>
      <w:r w:rsidR="00F3603A" w:rsidRPr="00F3603A">
        <w:t xml:space="preserve">Our results that the relationship between board independence and debt is insignificant is in line with an earlier study carried </w:t>
      </w:r>
      <w:r w:rsidR="00F3603A" w:rsidRPr="000F3C44">
        <w:t xml:space="preserve">out by </w:t>
      </w:r>
      <w:r w:rsidR="00452244" w:rsidRPr="000F3C44">
        <w:t xml:space="preserve">[48]. </w:t>
      </w:r>
      <w:r w:rsidR="00C9533C" w:rsidRPr="000F3C44">
        <w:t xml:space="preserve">Corporate governance control variable has the expected positive sign but not statistically significant.  </w:t>
      </w:r>
      <w:r w:rsidRPr="000F3C44">
        <w:t xml:space="preserve">All the </w:t>
      </w:r>
      <w:r w:rsidR="00C9533C" w:rsidRPr="000F3C44">
        <w:t xml:space="preserve">firm-specific </w:t>
      </w:r>
      <w:r w:rsidRPr="000F3C44">
        <w:t xml:space="preserve">control variables excepting </w:t>
      </w:r>
      <w:r w:rsidR="00C9533C" w:rsidRPr="000F3C44">
        <w:t xml:space="preserve">growth opportunities </w:t>
      </w:r>
      <w:r w:rsidRPr="000F3C44">
        <w:t xml:space="preserve">are statistically significant.  Larger firms and firms with higher level of fixed assets have higher levels of debt.  Firms with higher levels of profit have lower level of debt.  </w:t>
      </w:r>
      <w:r w:rsidR="00F3603A" w:rsidRPr="000F3C44">
        <w:t xml:space="preserve">That larger firms have more debt is in line with the findings of many earlier works. (See for example, </w:t>
      </w:r>
      <w:r w:rsidR="00452244" w:rsidRPr="000F3C44">
        <w:t>[39]</w:t>
      </w:r>
      <w:r w:rsidR="00F3603A" w:rsidRPr="000F3C44">
        <w:t xml:space="preserve">)  Trade-off theory argues that larger firms face lower bankruptcy risk because of diversified operations.  They employ more debt.  Firms with higher investment in fixed assets can offer collateral for debt without fear of bankruptcy.  So tangibility and debt move in the same direction.  This finding is in line with the findings of some of the earlier works. (See for example, </w:t>
      </w:r>
      <w:r w:rsidR="00452244" w:rsidRPr="000F3C44">
        <w:t>[37]</w:t>
      </w:r>
      <w:r w:rsidR="00F3603A" w:rsidRPr="000F3C44">
        <w:t>)</w:t>
      </w:r>
      <w:r w:rsidR="00F3603A">
        <w:t xml:space="preserve"> We find that firms with higher levels of profitability will have less debt.  This may indicate that higher profitability firms have higher retained earnings which reduces the need for debt. </w:t>
      </w:r>
      <w:r w:rsidR="00314A23">
        <w:t xml:space="preserve">Results of model 2 show that firms with excess independence employ more debt.  The results in respect of all other variables are identical to the results produced by model 1.  </w:t>
      </w:r>
      <w:r w:rsidR="009E2F76">
        <w:t xml:space="preserve">Our result about the relationship between excess independence and debt is in line with our hypothesis.  </w:t>
      </w:r>
      <w:r w:rsidR="00C9533C">
        <w:t xml:space="preserve">Firms with excess board independence employ more debt.  </w:t>
      </w:r>
    </w:p>
    <w:p w:rsidR="00920F28" w:rsidRDefault="00920F28" w:rsidP="00C9533C">
      <w:pPr>
        <w:jc w:val="both"/>
      </w:pPr>
    </w:p>
    <w:p w:rsidR="00DD4B9B" w:rsidRDefault="00745C30" w:rsidP="00571463">
      <w:pPr>
        <w:spacing w:after="0" w:line="240" w:lineRule="auto"/>
        <w:jc w:val="center"/>
      </w:pPr>
      <w:r>
        <w:t>Table 5</w:t>
      </w:r>
    </w:p>
    <w:p w:rsidR="00745C30" w:rsidRDefault="00745C30" w:rsidP="00571463">
      <w:pPr>
        <w:spacing w:after="0" w:line="240" w:lineRule="auto"/>
        <w:jc w:val="center"/>
      </w:pPr>
      <w:r>
        <w:t xml:space="preserve">Robustness panel regression results </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3116"/>
        <w:gridCol w:w="3117"/>
        <w:gridCol w:w="3117"/>
      </w:tblGrid>
      <w:tr w:rsidR="00C40B0D" w:rsidTr="00724767">
        <w:tc>
          <w:tcPr>
            <w:tcW w:w="3116" w:type="dxa"/>
          </w:tcPr>
          <w:p w:rsidR="00C40B0D" w:rsidRDefault="00C40B0D" w:rsidP="00C40B0D">
            <w:pPr>
              <w:jc w:val="both"/>
            </w:pPr>
            <w:r>
              <w:t>Variables</w:t>
            </w:r>
          </w:p>
        </w:tc>
        <w:tc>
          <w:tcPr>
            <w:tcW w:w="3117" w:type="dxa"/>
          </w:tcPr>
          <w:p w:rsidR="00C40B0D" w:rsidRDefault="00DD4B9B" w:rsidP="00C40B0D">
            <w:pPr>
              <w:jc w:val="center"/>
            </w:pPr>
            <w:r>
              <w:t>Model 3</w:t>
            </w:r>
          </w:p>
        </w:tc>
        <w:tc>
          <w:tcPr>
            <w:tcW w:w="3117" w:type="dxa"/>
          </w:tcPr>
          <w:p w:rsidR="00C40B0D" w:rsidRDefault="00DD4B9B" w:rsidP="00C40B0D">
            <w:pPr>
              <w:jc w:val="center"/>
            </w:pPr>
            <w:r>
              <w:t>Model 4</w:t>
            </w:r>
          </w:p>
        </w:tc>
      </w:tr>
      <w:tr w:rsidR="00C40B0D" w:rsidTr="00724767">
        <w:tc>
          <w:tcPr>
            <w:tcW w:w="3116" w:type="dxa"/>
          </w:tcPr>
          <w:p w:rsidR="00C40B0D" w:rsidRDefault="00C40B0D" w:rsidP="00C40B0D">
            <w:pPr>
              <w:jc w:val="both"/>
            </w:pPr>
            <w:r>
              <w:t>Constant</w:t>
            </w:r>
          </w:p>
        </w:tc>
        <w:tc>
          <w:tcPr>
            <w:tcW w:w="3117" w:type="dxa"/>
          </w:tcPr>
          <w:p w:rsidR="003A00DF" w:rsidRDefault="004A38D3" w:rsidP="00C40B0D">
            <w:pPr>
              <w:jc w:val="right"/>
            </w:pPr>
            <w:r w:rsidRPr="004A38D3">
              <w:t>-1.9279</w:t>
            </w:r>
            <w:r>
              <w:t>**</w:t>
            </w:r>
          </w:p>
          <w:p w:rsidR="004A38D3" w:rsidRDefault="004A38D3" w:rsidP="00C40B0D">
            <w:pPr>
              <w:jc w:val="right"/>
            </w:pPr>
            <w:r w:rsidRPr="004A38D3">
              <w:t>-5.9040</w:t>
            </w:r>
          </w:p>
        </w:tc>
        <w:tc>
          <w:tcPr>
            <w:tcW w:w="3117" w:type="dxa"/>
          </w:tcPr>
          <w:p w:rsidR="00DD4B9B" w:rsidRDefault="00590CE5" w:rsidP="00C40B0D">
            <w:pPr>
              <w:jc w:val="right"/>
            </w:pPr>
            <w:r w:rsidRPr="00590CE5">
              <w:t>-1.9597</w:t>
            </w:r>
            <w:r>
              <w:t>**</w:t>
            </w:r>
          </w:p>
          <w:p w:rsidR="00590CE5" w:rsidRDefault="00590CE5" w:rsidP="00C40B0D">
            <w:pPr>
              <w:jc w:val="right"/>
            </w:pPr>
            <w:r w:rsidRPr="00590CE5">
              <w:t>-4.9971</w:t>
            </w:r>
          </w:p>
        </w:tc>
      </w:tr>
      <w:tr w:rsidR="00C40B0D" w:rsidTr="00724767">
        <w:tc>
          <w:tcPr>
            <w:tcW w:w="3116" w:type="dxa"/>
          </w:tcPr>
          <w:p w:rsidR="00C40B0D" w:rsidRDefault="00C40B0D" w:rsidP="00C40B0D">
            <w:pPr>
              <w:jc w:val="both"/>
            </w:pPr>
            <w:r>
              <w:t>IND</w:t>
            </w:r>
          </w:p>
        </w:tc>
        <w:tc>
          <w:tcPr>
            <w:tcW w:w="3117" w:type="dxa"/>
          </w:tcPr>
          <w:p w:rsidR="003A00DF" w:rsidRDefault="004A38D3" w:rsidP="00C40B0D">
            <w:pPr>
              <w:jc w:val="right"/>
            </w:pPr>
            <w:r w:rsidRPr="004A38D3">
              <w:t>0.0341</w:t>
            </w:r>
          </w:p>
          <w:p w:rsidR="004A38D3" w:rsidRDefault="004A38D3" w:rsidP="00C40B0D">
            <w:pPr>
              <w:jc w:val="right"/>
            </w:pPr>
            <w:r w:rsidRPr="004A38D3">
              <w:t>1.4127</w:t>
            </w:r>
          </w:p>
        </w:tc>
        <w:tc>
          <w:tcPr>
            <w:tcW w:w="3117" w:type="dxa"/>
          </w:tcPr>
          <w:p w:rsidR="00C40B0D" w:rsidRDefault="00C40B0D" w:rsidP="00C40B0D">
            <w:pPr>
              <w:jc w:val="right"/>
            </w:pPr>
          </w:p>
        </w:tc>
      </w:tr>
      <w:tr w:rsidR="00C40B0D" w:rsidTr="00724767">
        <w:tc>
          <w:tcPr>
            <w:tcW w:w="3116" w:type="dxa"/>
          </w:tcPr>
          <w:p w:rsidR="00C40B0D" w:rsidRDefault="00C40B0D" w:rsidP="00C40B0D">
            <w:pPr>
              <w:jc w:val="both"/>
            </w:pPr>
            <w:r>
              <w:t>INDD</w:t>
            </w:r>
          </w:p>
        </w:tc>
        <w:tc>
          <w:tcPr>
            <w:tcW w:w="3117" w:type="dxa"/>
          </w:tcPr>
          <w:p w:rsidR="00C40B0D" w:rsidRDefault="00C40B0D" w:rsidP="00C40B0D">
            <w:pPr>
              <w:jc w:val="right"/>
            </w:pPr>
          </w:p>
        </w:tc>
        <w:tc>
          <w:tcPr>
            <w:tcW w:w="3117" w:type="dxa"/>
          </w:tcPr>
          <w:p w:rsidR="00DD4B9B" w:rsidRDefault="00590CE5" w:rsidP="00C40B0D">
            <w:pPr>
              <w:jc w:val="right"/>
            </w:pPr>
            <w:r w:rsidRPr="00590CE5">
              <w:t>0.0229</w:t>
            </w:r>
            <w:r>
              <w:t>**</w:t>
            </w:r>
          </w:p>
          <w:p w:rsidR="00590CE5" w:rsidRDefault="00590CE5" w:rsidP="00C40B0D">
            <w:pPr>
              <w:jc w:val="right"/>
            </w:pPr>
            <w:r w:rsidRPr="00590CE5">
              <w:t>2.1274</w:t>
            </w:r>
          </w:p>
        </w:tc>
      </w:tr>
      <w:tr w:rsidR="00571463" w:rsidTr="00724767">
        <w:tc>
          <w:tcPr>
            <w:tcW w:w="3116" w:type="dxa"/>
          </w:tcPr>
          <w:p w:rsidR="00571463" w:rsidRDefault="00571463" w:rsidP="00C40B0D">
            <w:pPr>
              <w:jc w:val="both"/>
            </w:pPr>
            <w:r>
              <w:t>BRD</w:t>
            </w:r>
          </w:p>
        </w:tc>
        <w:tc>
          <w:tcPr>
            <w:tcW w:w="3117" w:type="dxa"/>
          </w:tcPr>
          <w:p w:rsidR="00571463" w:rsidRDefault="00571463" w:rsidP="00571463">
            <w:pPr>
              <w:jc w:val="right"/>
            </w:pPr>
            <w:r>
              <w:t>0.0235</w:t>
            </w:r>
          </w:p>
          <w:p w:rsidR="00571463" w:rsidRDefault="00571463" w:rsidP="00571463">
            <w:pPr>
              <w:jc w:val="right"/>
            </w:pPr>
            <w:r>
              <w:t>0.4860</w:t>
            </w:r>
          </w:p>
        </w:tc>
        <w:tc>
          <w:tcPr>
            <w:tcW w:w="3117" w:type="dxa"/>
          </w:tcPr>
          <w:p w:rsidR="00571463" w:rsidRDefault="00571463" w:rsidP="00571463">
            <w:pPr>
              <w:jc w:val="right"/>
            </w:pPr>
            <w:r>
              <w:t>0.0140</w:t>
            </w:r>
          </w:p>
          <w:p w:rsidR="00571463" w:rsidRPr="00590CE5" w:rsidRDefault="00571463" w:rsidP="00571463">
            <w:pPr>
              <w:jc w:val="right"/>
            </w:pPr>
            <w:r>
              <w:t>0.3284</w:t>
            </w:r>
          </w:p>
        </w:tc>
      </w:tr>
      <w:tr w:rsidR="00C40B0D" w:rsidTr="00724767">
        <w:tc>
          <w:tcPr>
            <w:tcW w:w="3116" w:type="dxa"/>
          </w:tcPr>
          <w:p w:rsidR="00C40B0D" w:rsidRDefault="00C40B0D" w:rsidP="00C40B0D">
            <w:pPr>
              <w:jc w:val="both"/>
            </w:pPr>
            <w:r>
              <w:t>TAN</w:t>
            </w:r>
          </w:p>
        </w:tc>
        <w:tc>
          <w:tcPr>
            <w:tcW w:w="3117" w:type="dxa"/>
          </w:tcPr>
          <w:p w:rsidR="006268DB" w:rsidRDefault="00590CE5" w:rsidP="00C40B0D">
            <w:pPr>
              <w:jc w:val="right"/>
            </w:pPr>
            <w:r w:rsidRPr="00590CE5">
              <w:t>0.0579</w:t>
            </w:r>
            <w:r>
              <w:t>**</w:t>
            </w:r>
          </w:p>
          <w:p w:rsidR="00590CE5" w:rsidRDefault="00590CE5" w:rsidP="00C40B0D">
            <w:pPr>
              <w:jc w:val="right"/>
            </w:pPr>
            <w:r w:rsidRPr="00590CE5">
              <w:t>3.6384</w:t>
            </w:r>
          </w:p>
        </w:tc>
        <w:tc>
          <w:tcPr>
            <w:tcW w:w="3117" w:type="dxa"/>
          </w:tcPr>
          <w:p w:rsidR="00DD4B9B" w:rsidRDefault="00590CE5" w:rsidP="00C40B0D">
            <w:pPr>
              <w:jc w:val="right"/>
            </w:pPr>
            <w:r w:rsidRPr="00590CE5">
              <w:t>0.0583</w:t>
            </w:r>
            <w:r>
              <w:t>**</w:t>
            </w:r>
          </w:p>
          <w:p w:rsidR="00590CE5" w:rsidRDefault="00590CE5" w:rsidP="00C40B0D">
            <w:pPr>
              <w:jc w:val="right"/>
            </w:pPr>
            <w:r w:rsidRPr="00590CE5">
              <w:t>3.7002</w:t>
            </w:r>
          </w:p>
        </w:tc>
      </w:tr>
      <w:tr w:rsidR="00C40B0D" w:rsidTr="00724767">
        <w:tc>
          <w:tcPr>
            <w:tcW w:w="3116" w:type="dxa"/>
          </w:tcPr>
          <w:p w:rsidR="00C40B0D" w:rsidRDefault="00C40B0D" w:rsidP="00C40B0D">
            <w:pPr>
              <w:jc w:val="both"/>
            </w:pPr>
            <w:r>
              <w:t>PFT</w:t>
            </w:r>
          </w:p>
        </w:tc>
        <w:tc>
          <w:tcPr>
            <w:tcW w:w="3117" w:type="dxa"/>
          </w:tcPr>
          <w:p w:rsidR="006268DB" w:rsidRDefault="00590CE5" w:rsidP="00C40B0D">
            <w:pPr>
              <w:jc w:val="right"/>
            </w:pPr>
            <w:r w:rsidRPr="00590CE5">
              <w:t>-0.2899</w:t>
            </w:r>
            <w:r>
              <w:t>**</w:t>
            </w:r>
          </w:p>
          <w:p w:rsidR="00590CE5" w:rsidRDefault="00590CE5" w:rsidP="00C40B0D">
            <w:pPr>
              <w:jc w:val="right"/>
            </w:pPr>
            <w:r w:rsidRPr="00590CE5">
              <w:t>-3.0827</w:t>
            </w:r>
          </w:p>
        </w:tc>
        <w:tc>
          <w:tcPr>
            <w:tcW w:w="3117" w:type="dxa"/>
          </w:tcPr>
          <w:p w:rsidR="00DD4B9B" w:rsidRDefault="00590CE5" w:rsidP="00C40B0D">
            <w:pPr>
              <w:jc w:val="right"/>
            </w:pPr>
            <w:r w:rsidRPr="00590CE5">
              <w:t>-0.2820</w:t>
            </w:r>
            <w:r>
              <w:t>**</w:t>
            </w:r>
          </w:p>
          <w:p w:rsidR="00590CE5" w:rsidRDefault="00590CE5" w:rsidP="00C40B0D">
            <w:pPr>
              <w:jc w:val="right"/>
            </w:pPr>
            <w:r w:rsidRPr="00590CE5">
              <w:t>-3.1154</w:t>
            </w:r>
          </w:p>
        </w:tc>
      </w:tr>
      <w:tr w:rsidR="00C40B0D" w:rsidTr="00724767">
        <w:tc>
          <w:tcPr>
            <w:tcW w:w="3116" w:type="dxa"/>
          </w:tcPr>
          <w:p w:rsidR="00C40B0D" w:rsidRDefault="00C40B0D" w:rsidP="00C40B0D">
            <w:pPr>
              <w:jc w:val="both"/>
            </w:pPr>
            <w:r>
              <w:lastRenderedPageBreak/>
              <w:t>SIZE</w:t>
            </w:r>
          </w:p>
        </w:tc>
        <w:tc>
          <w:tcPr>
            <w:tcW w:w="3117" w:type="dxa"/>
          </w:tcPr>
          <w:p w:rsidR="006268DB" w:rsidRDefault="00590CE5" w:rsidP="00C40B0D">
            <w:pPr>
              <w:jc w:val="right"/>
            </w:pPr>
            <w:r w:rsidRPr="00590CE5">
              <w:t>0.4651</w:t>
            </w:r>
            <w:r>
              <w:t>**</w:t>
            </w:r>
          </w:p>
          <w:p w:rsidR="00590CE5" w:rsidRDefault="00590CE5" w:rsidP="00C40B0D">
            <w:pPr>
              <w:jc w:val="right"/>
            </w:pPr>
            <w:r w:rsidRPr="00590CE5">
              <w:t>5.6483</w:t>
            </w:r>
          </w:p>
        </w:tc>
        <w:tc>
          <w:tcPr>
            <w:tcW w:w="3117" w:type="dxa"/>
          </w:tcPr>
          <w:p w:rsidR="00DD4B9B" w:rsidRDefault="00590CE5" w:rsidP="00C40B0D">
            <w:pPr>
              <w:jc w:val="right"/>
            </w:pPr>
            <w:r w:rsidRPr="00590CE5">
              <w:t>0.4723</w:t>
            </w:r>
            <w:r>
              <w:t>**</w:t>
            </w:r>
          </w:p>
          <w:p w:rsidR="00590CE5" w:rsidRDefault="00590CE5" w:rsidP="00C40B0D">
            <w:pPr>
              <w:jc w:val="right"/>
            </w:pPr>
            <w:r w:rsidRPr="00590CE5">
              <w:t>6.3945</w:t>
            </w:r>
          </w:p>
        </w:tc>
      </w:tr>
      <w:tr w:rsidR="00C40B0D" w:rsidTr="00724767">
        <w:tc>
          <w:tcPr>
            <w:tcW w:w="3116" w:type="dxa"/>
          </w:tcPr>
          <w:p w:rsidR="00C40B0D" w:rsidRDefault="00C40B0D" w:rsidP="00C40B0D">
            <w:pPr>
              <w:jc w:val="both"/>
            </w:pPr>
            <w:r>
              <w:t>GROW</w:t>
            </w:r>
          </w:p>
        </w:tc>
        <w:tc>
          <w:tcPr>
            <w:tcW w:w="3117" w:type="dxa"/>
          </w:tcPr>
          <w:p w:rsidR="006268DB" w:rsidRDefault="00590CE5" w:rsidP="00C40B0D">
            <w:pPr>
              <w:jc w:val="right"/>
            </w:pPr>
            <w:r w:rsidRPr="00590CE5">
              <w:t>-0.0190</w:t>
            </w:r>
          </w:p>
          <w:p w:rsidR="00590CE5" w:rsidRDefault="00590CE5" w:rsidP="00C40B0D">
            <w:pPr>
              <w:jc w:val="right"/>
            </w:pPr>
            <w:r w:rsidRPr="00590CE5">
              <w:t>-0.8931</w:t>
            </w:r>
          </w:p>
        </w:tc>
        <w:tc>
          <w:tcPr>
            <w:tcW w:w="3117" w:type="dxa"/>
          </w:tcPr>
          <w:p w:rsidR="00DD4B9B" w:rsidRDefault="00882769" w:rsidP="00C40B0D">
            <w:pPr>
              <w:jc w:val="right"/>
            </w:pPr>
            <w:r w:rsidRPr="00882769">
              <w:t>-0.0222</w:t>
            </w:r>
          </w:p>
          <w:p w:rsidR="00882769" w:rsidRDefault="00882769" w:rsidP="00C40B0D">
            <w:pPr>
              <w:jc w:val="right"/>
            </w:pPr>
            <w:r w:rsidRPr="00882769">
              <w:t>-1.0374</w:t>
            </w:r>
          </w:p>
        </w:tc>
      </w:tr>
      <w:tr w:rsidR="00DD4B9B" w:rsidTr="00724767">
        <w:tc>
          <w:tcPr>
            <w:tcW w:w="3116" w:type="dxa"/>
          </w:tcPr>
          <w:p w:rsidR="00DD4B9B" w:rsidRDefault="00DD4B9B" w:rsidP="00C40B0D">
            <w:pPr>
              <w:jc w:val="both"/>
            </w:pPr>
            <w:r>
              <w:t>Year effects</w:t>
            </w:r>
          </w:p>
        </w:tc>
        <w:tc>
          <w:tcPr>
            <w:tcW w:w="3117" w:type="dxa"/>
          </w:tcPr>
          <w:p w:rsidR="00DD4B9B" w:rsidRPr="00C40B0D" w:rsidRDefault="00590CE5" w:rsidP="00C40B0D">
            <w:pPr>
              <w:jc w:val="right"/>
            </w:pPr>
            <w:r>
              <w:t>YES</w:t>
            </w:r>
          </w:p>
        </w:tc>
        <w:tc>
          <w:tcPr>
            <w:tcW w:w="3117" w:type="dxa"/>
          </w:tcPr>
          <w:p w:rsidR="00DD4B9B" w:rsidRPr="00DD4B9B" w:rsidRDefault="00882769" w:rsidP="00C40B0D">
            <w:pPr>
              <w:jc w:val="right"/>
            </w:pPr>
            <w:r>
              <w:t>YES</w:t>
            </w:r>
          </w:p>
        </w:tc>
      </w:tr>
      <w:tr w:rsidR="00DD4B9B" w:rsidTr="00724767">
        <w:tc>
          <w:tcPr>
            <w:tcW w:w="3116" w:type="dxa"/>
          </w:tcPr>
          <w:p w:rsidR="00DD4B9B" w:rsidRDefault="00DD4B9B" w:rsidP="00C40B0D">
            <w:pPr>
              <w:jc w:val="both"/>
            </w:pPr>
            <w:r>
              <w:t>Industry effects</w:t>
            </w:r>
          </w:p>
        </w:tc>
        <w:tc>
          <w:tcPr>
            <w:tcW w:w="3117" w:type="dxa"/>
          </w:tcPr>
          <w:p w:rsidR="00DD4B9B" w:rsidRDefault="00590CE5" w:rsidP="00C40B0D">
            <w:pPr>
              <w:jc w:val="right"/>
            </w:pPr>
            <w:r>
              <w:t>YES</w:t>
            </w:r>
          </w:p>
        </w:tc>
        <w:tc>
          <w:tcPr>
            <w:tcW w:w="3117" w:type="dxa"/>
          </w:tcPr>
          <w:p w:rsidR="00DD4B9B" w:rsidRDefault="00882769" w:rsidP="00C40B0D">
            <w:pPr>
              <w:jc w:val="right"/>
            </w:pPr>
            <w:r>
              <w:t>YES</w:t>
            </w:r>
          </w:p>
        </w:tc>
      </w:tr>
      <w:tr w:rsidR="00C40B0D" w:rsidTr="00724767">
        <w:tc>
          <w:tcPr>
            <w:tcW w:w="3116" w:type="dxa"/>
          </w:tcPr>
          <w:p w:rsidR="00C40B0D" w:rsidRDefault="00C40B0D" w:rsidP="00C40B0D">
            <w:pPr>
              <w:jc w:val="both"/>
            </w:pPr>
            <w:r w:rsidRPr="00C40B0D">
              <w:t>R-squared</w:t>
            </w:r>
          </w:p>
        </w:tc>
        <w:tc>
          <w:tcPr>
            <w:tcW w:w="3117" w:type="dxa"/>
          </w:tcPr>
          <w:p w:rsidR="00C40B0D" w:rsidRDefault="00590CE5" w:rsidP="00C40B0D">
            <w:pPr>
              <w:jc w:val="right"/>
            </w:pPr>
            <w:r w:rsidRPr="00590CE5">
              <w:t>0.9259</w:t>
            </w:r>
          </w:p>
        </w:tc>
        <w:tc>
          <w:tcPr>
            <w:tcW w:w="3117" w:type="dxa"/>
          </w:tcPr>
          <w:p w:rsidR="00C40B0D" w:rsidRDefault="00882769" w:rsidP="00C40B0D">
            <w:pPr>
              <w:jc w:val="right"/>
            </w:pPr>
            <w:r w:rsidRPr="00882769">
              <w:t>0.9271</w:t>
            </w:r>
          </w:p>
        </w:tc>
      </w:tr>
      <w:tr w:rsidR="00C40B0D" w:rsidTr="00724767">
        <w:tc>
          <w:tcPr>
            <w:tcW w:w="3116" w:type="dxa"/>
          </w:tcPr>
          <w:p w:rsidR="00C40B0D" w:rsidRPr="00C40B0D" w:rsidRDefault="00C40B0D" w:rsidP="00C40B0D">
            <w:pPr>
              <w:jc w:val="both"/>
            </w:pPr>
            <w:r w:rsidRPr="00C40B0D">
              <w:t>Adjusted R-squared</w:t>
            </w:r>
          </w:p>
        </w:tc>
        <w:tc>
          <w:tcPr>
            <w:tcW w:w="3117" w:type="dxa"/>
          </w:tcPr>
          <w:p w:rsidR="00C40B0D" w:rsidRPr="00C40B0D" w:rsidRDefault="00590CE5" w:rsidP="00C40B0D">
            <w:pPr>
              <w:jc w:val="right"/>
            </w:pPr>
            <w:r w:rsidRPr="00590CE5">
              <w:t>0.9225</w:t>
            </w:r>
          </w:p>
        </w:tc>
        <w:tc>
          <w:tcPr>
            <w:tcW w:w="3117" w:type="dxa"/>
          </w:tcPr>
          <w:p w:rsidR="00C40B0D" w:rsidRDefault="00882769" w:rsidP="00C40B0D">
            <w:pPr>
              <w:jc w:val="right"/>
            </w:pPr>
            <w:r w:rsidRPr="00882769">
              <w:t>0.9238</w:t>
            </w:r>
          </w:p>
        </w:tc>
      </w:tr>
      <w:tr w:rsidR="00C40B0D" w:rsidTr="00724767">
        <w:tc>
          <w:tcPr>
            <w:tcW w:w="3116" w:type="dxa"/>
          </w:tcPr>
          <w:p w:rsidR="00C40B0D" w:rsidRPr="00C40B0D" w:rsidRDefault="00C40B0D" w:rsidP="00C40B0D">
            <w:pPr>
              <w:jc w:val="both"/>
            </w:pPr>
            <w:r w:rsidRPr="00C40B0D">
              <w:t>F-statistic</w:t>
            </w:r>
          </w:p>
        </w:tc>
        <w:tc>
          <w:tcPr>
            <w:tcW w:w="3117" w:type="dxa"/>
          </w:tcPr>
          <w:p w:rsidR="00C40B0D" w:rsidRPr="00C40B0D" w:rsidRDefault="00590CE5" w:rsidP="00C40B0D">
            <w:pPr>
              <w:jc w:val="right"/>
            </w:pPr>
            <w:r w:rsidRPr="00590CE5">
              <w:t>269.8019</w:t>
            </w:r>
            <w:r>
              <w:t>**</w:t>
            </w:r>
          </w:p>
        </w:tc>
        <w:tc>
          <w:tcPr>
            <w:tcW w:w="3117" w:type="dxa"/>
          </w:tcPr>
          <w:p w:rsidR="00C40B0D" w:rsidRDefault="00882769" w:rsidP="00C40B0D">
            <w:pPr>
              <w:jc w:val="right"/>
            </w:pPr>
            <w:r w:rsidRPr="00882769">
              <w:t>274.5946</w:t>
            </w:r>
            <w:r>
              <w:t>**</w:t>
            </w:r>
          </w:p>
        </w:tc>
      </w:tr>
      <w:tr w:rsidR="00C40B0D" w:rsidTr="00724767">
        <w:tc>
          <w:tcPr>
            <w:tcW w:w="3116" w:type="dxa"/>
          </w:tcPr>
          <w:p w:rsidR="00C40B0D" w:rsidRPr="00C40B0D" w:rsidRDefault="00C40B0D" w:rsidP="00C40B0D">
            <w:pPr>
              <w:jc w:val="both"/>
            </w:pPr>
            <w:r w:rsidRPr="00C40B0D">
              <w:t>Durbin-Watson stat</w:t>
            </w:r>
          </w:p>
        </w:tc>
        <w:tc>
          <w:tcPr>
            <w:tcW w:w="3117" w:type="dxa"/>
          </w:tcPr>
          <w:p w:rsidR="00C40B0D" w:rsidRPr="00C40B0D" w:rsidRDefault="00590CE5" w:rsidP="00C40B0D">
            <w:pPr>
              <w:jc w:val="right"/>
            </w:pPr>
            <w:r w:rsidRPr="00590CE5">
              <w:t>1.6455</w:t>
            </w:r>
          </w:p>
        </w:tc>
        <w:tc>
          <w:tcPr>
            <w:tcW w:w="3117" w:type="dxa"/>
          </w:tcPr>
          <w:p w:rsidR="00C40B0D" w:rsidRDefault="00882769" w:rsidP="00C40B0D">
            <w:pPr>
              <w:jc w:val="right"/>
            </w:pPr>
            <w:r w:rsidRPr="00882769">
              <w:t>1.6447</w:t>
            </w:r>
          </w:p>
        </w:tc>
      </w:tr>
    </w:tbl>
    <w:p w:rsidR="00672E52" w:rsidRDefault="00672E52" w:rsidP="00672E52">
      <w:pPr>
        <w:spacing w:after="0" w:line="240" w:lineRule="auto"/>
        <w:jc w:val="both"/>
      </w:pPr>
      <w:r>
        <w:t>Dependent variable: ML</w:t>
      </w:r>
    </w:p>
    <w:p w:rsidR="00672E52" w:rsidRDefault="00672E52" w:rsidP="00672E52">
      <w:pPr>
        <w:spacing w:after="0" w:line="240" w:lineRule="auto"/>
        <w:jc w:val="both"/>
      </w:pPr>
      <w:r>
        <w:t>* Significant at 0.01 level</w:t>
      </w:r>
    </w:p>
    <w:p w:rsidR="00C40B0D" w:rsidRDefault="00672E52" w:rsidP="00672E52">
      <w:pPr>
        <w:spacing w:after="0" w:line="240" w:lineRule="auto"/>
        <w:jc w:val="both"/>
      </w:pPr>
      <w:r>
        <w:t>** Significant at 0.05 level</w:t>
      </w:r>
    </w:p>
    <w:p w:rsidR="00BF050A" w:rsidRDefault="00BF050A" w:rsidP="00672E52">
      <w:pPr>
        <w:spacing w:after="0" w:line="240" w:lineRule="auto"/>
        <w:jc w:val="both"/>
      </w:pPr>
    </w:p>
    <w:p w:rsidR="001D33BB" w:rsidRDefault="000E52A9" w:rsidP="00672E52">
      <w:pPr>
        <w:spacing w:after="0" w:line="240" w:lineRule="auto"/>
        <w:jc w:val="both"/>
      </w:pPr>
      <w:r>
        <w:t xml:space="preserve">We rerun our models with the dependent variable redefined as market value of debt ratio.  Models 3 and 4 produce results that replicate the results of models 1 and 2.  This shows that our results are robust to the debt ratio definition. </w:t>
      </w:r>
    </w:p>
    <w:p w:rsidR="00BF050A" w:rsidRDefault="00BF050A" w:rsidP="00672E52">
      <w:pPr>
        <w:spacing w:after="0" w:line="240" w:lineRule="auto"/>
        <w:jc w:val="both"/>
      </w:pPr>
    </w:p>
    <w:p w:rsidR="000E52A9" w:rsidRDefault="000E52A9" w:rsidP="00672E52">
      <w:pPr>
        <w:spacing w:after="0" w:line="240" w:lineRule="auto"/>
        <w:jc w:val="both"/>
      </w:pPr>
      <w:r w:rsidRPr="000E52A9">
        <w:rPr>
          <w:b/>
        </w:rPr>
        <w:t>Conclusion and interpretation of results</w:t>
      </w:r>
      <w:r>
        <w:t>:</w:t>
      </w:r>
    </w:p>
    <w:p w:rsidR="00B96A1D" w:rsidRDefault="002415C3" w:rsidP="00672E52">
      <w:pPr>
        <w:spacing w:after="0" w:line="240" w:lineRule="auto"/>
        <w:jc w:val="both"/>
      </w:pPr>
      <w:r>
        <w:t>We test the relationship between the number of independent directors on the board and the debt for a sample of 68 listed firms on Saudi Arabian stock exchange.  We employ two measures that account for the representation of independent directors, board independence and excess independence.  B</w:t>
      </w:r>
      <w:r w:rsidR="00B96A1D">
        <w:t xml:space="preserve">oard independence is the ratio of number of independent directors to total number of directors on the board and excess independence is a dummy variable which is assigned 1 when the proportion of independent directors on the board is in excess of regulatory minimum and 0 otherwise.  </w:t>
      </w:r>
      <w:r w:rsidR="000E52A9">
        <w:t>We find that board independence and debt share a positive relationship which is not statistically significant, while the link between excess independence and debt, defined both as book debt and market debt, is positive and is statistically significan</w:t>
      </w:r>
      <w:r w:rsidR="009F0BB2">
        <w:t xml:space="preserve">t.  </w:t>
      </w:r>
      <w:r w:rsidR="00B96A1D">
        <w:t xml:space="preserve">Excess independence variable measures if the insider directors are replaced by independent directors thus shrinking the number of board positions held by them.  </w:t>
      </w:r>
      <w:r w:rsidR="00C214BB" w:rsidRPr="00C214BB">
        <w:t xml:space="preserve">We believe that the excess independence is a proxy for the firm’s commitment to conflict resolution between shareholders and managers by increasing the </w:t>
      </w:r>
      <w:r w:rsidR="0033664C">
        <w:t xml:space="preserve">effectiveness of </w:t>
      </w:r>
      <w:r w:rsidR="00C214BB" w:rsidRPr="00C214BB">
        <w:t>board monitoring ability.</w:t>
      </w:r>
      <w:r w:rsidR="0033664C">
        <w:t>Our results are in line with th</w:t>
      </w:r>
      <w:r w:rsidR="006F4A92">
        <w:t>e findings of many earlier work</w:t>
      </w:r>
      <w:r w:rsidR="009A5048">
        <w:t xml:space="preserve">that show negative link between higher proportion of independent directors and lower cost of debt (See for </w:t>
      </w:r>
      <w:r w:rsidR="009A5048" w:rsidRPr="000F3C44">
        <w:t xml:space="preserve">example, </w:t>
      </w:r>
      <w:r w:rsidR="00452244" w:rsidRPr="000F3C44">
        <w:t>[35]</w:t>
      </w:r>
      <w:r w:rsidR="009A5048" w:rsidRPr="000F3C44">
        <w:t>)</w:t>
      </w:r>
    </w:p>
    <w:p w:rsidR="002415C3" w:rsidRDefault="002415C3" w:rsidP="00672E52">
      <w:pPr>
        <w:spacing w:after="0" w:line="240" w:lineRule="auto"/>
        <w:jc w:val="both"/>
      </w:pPr>
    </w:p>
    <w:p w:rsidR="002415C3" w:rsidRDefault="002415C3" w:rsidP="00672E52">
      <w:pPr>
        <w:spacing w:after="0" w:line="240" w:lineRule="auto"/>
        <w:jc w:val="both"/>
      </w:pPr>
      <w:r w:rsidRPr="002415C3">
        <w:t>The finding could be ex</w:t>
      </w:r>
      <w:r>
        <w:t xml:space="preserve">plained in two folds: First, independent board members have absolutely no stake, whatsoever with the firm.  These board members are bound to be concerned about their </w:t>
      </w:r>
      <w:r w:rsidR="00AF2B03">
        <w:t>reputation and would like to deliver results.  They are oriented towards financial performance of the firm and hence, force managers to employ higher levels of debt</w:t>
      </w:r>
      <w:r w:rsidR="00881FCE">
        <w:t xml:space="preserve">.  Debt increases the bankruptcy risk and this </w:t>
      </w:r>
      <w:r w:rsidR="00AF2B03">
        <w:t>pressurize</w:t>
      </w:r>
      <w:r w:rsidR="00524C67">
        <w:t xml:space="preserve">s the managers </w:t>
      </w:r>
      <w:r w:rsidR="00AF2B03">
        <w:t>to perform</w:t>
      </w:r>
      <w:r w:rsidR="00524C67">
        <w:t xml:space="preserve"> better to deliver higher financial performance</w:t>
      </w:r>
      <w:r w:rsidR="00AF2B03">
        <w:t xml:space="preserve">.  </w:t>
      </w:r>
      <w:r w:rsidR="00524C67">
        <w:t>A</w:t>
      </w:r>
      <w:r w:rsidR="00AF2B03">
        <w:t xml:space="preserve">s the independent directors replace the inside directors, the debt holders are convinced about the presence of a good monitoring mechanism to discipline the managers and also mechanism to monitor insider-managers collusion against debtholders and </w:t>
      </w:r>
      <w:r w:rsidR="00524C67">
        <w:t xml:space="preserve">they </w:t>
      </w:r>
      <w:r w:rsidR="00AF2B03">
        <w:t xml:space="preserve">are willing to offer more debt.  On the contrary, presence of </w:t>
      </w:r>
      <w:r w:rsidR="00524C67">
        <w:t xml:space="preserve">a board with majority of </w:t>
      </w:r>
      <w:r w:rsidR="00AF2B03">
        <w:t xml:space="preserve">insiders as board members may focus on the capital preservation and may employ less than optimal debt.   </w:t>
      </w:r>
    </w:p>
    <w:p w:rsidR="00AF2B03" w:rsidRDefault="00AF2B03" w:rsidP="00672E52">
      <w:pPr>
        <w:spacing w:after="0" w:line="240" w:lineRule="auto"/>
        <w:jc w:val="both"/>
      </w:pPr>
    </w:p>
    <w:p w:rsidR="009A5048" w:rsidRDefault="009A5048" w:rsidP="00672E52">
      <w:pPr>
        <w:spacing w:after="0" w:line="240" w:lineRule="auto"/>
        <w:jc w:val="both"/>
      </w:pPr>
      <w:r w:rsidRPr="009A5048">
        <w:lastRenderedPageBreak/>
        <w:t xml:space="preserve">Our findings have important implications for the corporate governance structures of firms.  This has important implications </w:t>
      </w:r>
      <w:r>
        <w:t xml:space="preserve">for the regulators and firms.  An analysis of our sample firms show that many of the listed firms in Saudi Arabia are in favor of excess board independence.  </w:t>
      </w:r>
    </w:p>
    <w:p w:rsidR="00266495" w:rsidRDefault="00266495" w:rsidP="00266495">
      <w:pPr>
        <w:spacing w:after="0" w:line="240" w:lineRule="auto"/>
        <w:jc w:val="center"/>
      </w:pPr>
      <w:r>
        <w:t>Table 6</w:t>
      </w:r>
    </w:p>
    <w:p w:rsidR="00266495" w:rsidRDefault="009A3875" w:rsidP="00266495">
      <w:pPr>
        <w:spacing w:after="0" w:line="240" w:lineRule="auto"/>
        <w:jc w:val="center"/>
      </w:pPr>
      <w:r>
        <w:t>Year-wise number of firm with excess independence</w:t>
      </w:r>
    </w:p>
    <w:tbl>
      <w:tblPr>
        <w:tblStyle w:val="TableGrid"/>
        <w:tblW w:w="0" w:type="auto"/>
        <w:tblLook w:val="04A0"/>
      </w:tblPr>
      <w:tblGrid>
        <w:gridCol w:w="1596"/>
        <w:gridCol w:w="1596"/>
        <w:gridCol w:w="1596"/>
        <w:gridCol w:w="1596"/>
        <w:gridCol w:w="1596"/>
        <w:gridCol w:w="1596"/>
      </w:tblGrid>
      <w:tr w:rsidR="00266495" w:rsidTr="00266495">
        <w:tc>
          <w:tcPr>
            <w:tcW w:w="1596" w:type="dxa"/>
          </w:tcPr>
          <w:p w:rsidR="00266495" w:rsidRDefault="00266495" w:rsidP="00266495">
            <w:pPr>
              <w:jc w:val="center"/>
            </w:pPr>
          </w:p>
        </w:tc>
        <w:tc>
          <w:tcPr>
            <w:tcW w:w="1596" w:type="dxa"/>
          </w:tcPr>
          <w:p w:rsidR="00266495" w:rsidRDefault="00266495" w:rsidP="00266495">
            <w:pPr>
              <w:jc w:val="center"/>
            </w:pPr>
            <w:r>
              <w:t>2010</w:t>
            </w:r>
          </w:p>
        </w:tc>
        <w:tc>
          <w:tcPr>
            <w:tcW w:w="1596" w:type="dxa"/>
          </w:tcPr>
          <w:p w:rsidR="00266495" w:rsidRDefault="00266495" w:rsidP="00266495">
            <w:pPr>
              <w:jc w:val="center"/>
            </w:pPr>
            <w:r>
              <w:t>2011</w:t>
            </w:r>
          </w:p>
        </w:tc>
        <w:tc>
          <w:tcPr>
            <w:tcW w:w="1596" w:type="dxa"/>
          </w:tcPr>
          <w:p w:rsidR="00266495" w:rsidRDefault="00266495" w:rsidP="00266495">
            <w:pPr>
              <w:jc w:val="center"/>
            </w:pPr>
            <w:r>
              <w:t>2012</w:t>
            </w:r>
          </w:p>
        </w:tc>
        <w:tc>
          <w:tcPr>
            <w:tcW w:w="1596" w:type="dxa"/>
          </w:tcPr>
          <w:p w:rsidR="00266495" w:rsidRDefault="00266495" w:rsidP="00266495">
            <w:pPr>
              <w:jc w:val="center"/>
            </w:pPr>
            <w:r>
              <w:t>2013</w:t>
            </w:r>
          </w:p>
        </w:tc>
        <w:tc>
          <w:tcPr>
            <w:tcW w:w="1596" w:type="dxa"/>
          </w:tcPr>
          <w:p w:rsidR="00266495" w:rsidRDefault="00266495" w:rsidP="00266495">
            <w:pPr>
              <w:jc w:val="center"/>
            </w:pPr>
            <w:r>
              <w:t>2014</w:t>
            </w:r>
          </w:p>
        </w:tc>
      </w:tr>
      <w:tr w:rsidR="00266495" w:rsidTr="00266495">
        <w:tc>
          <w:tcPr>
            <w:tcW w:w="1596" w:type="dxa"/>
          </w:tcPr>
          <w:p w:rsidR="00266495" w:rsidRDefault="009A3875" w:rsidP="00266495">
            <w:r>
              <w:t>Firms with excess independence</w:t>
            </w:r>
          </w:p>
        </w:tc>
        <w:tc>
          <w:tcPr>
            <w:tcW w:w="1596" w:type="dxa"/>
          </w:tcPr>
          <w:p w:rsidR="00266495" w:rsidRDefault="00266495" w:rsidP="00266495">
            <w:pPr>
              <w:jc w:val="right"/>
            </w:pPr>
            <w:r>
              <w:t>38</w:t>
            </w:r>
          </w:p>
        </w:tc>
        <w:tc>
          <w:tcPr>
            <w:tcW w:w="1596" w:type="dxa"/>
          </w:tcPr>
          <w:p w:rsidR="00266495" w:rsidRDefault="00266495" w:rsidP="00266495">
            <w:pPr>
              <w:jc w:val="right"/>
            </w:pPr>
            <w:r>
              <w:t>36</w:t>
            </w:r>
          </w:p>
        </w:tc>
        <w:tc>
          <w:tcPr>
            <w:tcW w:w="1596" w:type="dxa"/>
          </w:tcPr>
          <w:p w:rsidR="00266495" w:rsidRDefault="00266495" w:rsidP="00266495">
            <w:pPr>
              <w:jc w:val="right"/>
            </w:pPr>
            <w:r>
              <w:t>32</w:t>
            </w:r>
          </w:p>
        </w:tc>
        <w:tc>
          <w:tcPr>
            <w:tcW w:w="1596" w:type="dxa"/>
          </w:tcPr>
          <w:p w:rsidR="00266495" w:rsidRDefault="00266495" w:rsidP="00266495">
            <w:pPr>
              <w:jc w:val="right"/>
            </w:pPr>
            <w:r>
              <w:t>33</w:t>
            </w:r>
          </w:p>
        </w:tc>
        <w:tc>
          <w:tcPr>
            <w:tcW w:w="1596" w:type="dxa"/>
          </w:tcPr>
          <w:p w:rsidR="00266495" w:rsidRDefault="00266495" w:rsidP="00266495">
            <w:pPr>
              <w:jc w:val="right"/>
            </w:pPr>
            <w:r>
              <w:t>32</w:t>
            </w:r>
          </w:p>
        </w:tc>
      </w:tr>
    </w:tbl>
    <w:p w:rsidR="001D33BB" w:rsidRDefault="001D33BB" w:rsidP="00672E52">
      <w:pPr>
        <w:spacing w:after="0" w:line="240" w:lineRule="auto"/>
        <w:jc w:val="both"/>
      </w:pPr>
    </w:p>
    <w:p w:rsidR="00163E04" w:rsidRDefault="0077290C" w:rsidP="00672E52">
      <w:pPr>
        <w:spacing w:after="0" w:line="240" w:lineRule="auto"/>
        <w:jc w:val="both"/>
      </w:pPr>
      <w:r>
        <w:t xml:space="preserve">Around </w:t>
      </w:r>
      <w:r w:rsidR="009A3875">
        <w:t>50 per cent of the firms have excess independence all through the study per</w:t>
      </w:r>
      <w:r w:rsidR="00770963">
        <w:t>iod.  A firm wise analysis show</w:t>
      </w:r>
      <w:r w:rsidR="009A3875">
        <w:t xml:space="preserve"> that 23 sample firms have excess independence during all the five years of study and 18 firms do not have excess independence during all the five years of study.  </w:t>
      </w:r>
      <w:r w:rsidR="000F4991">
        <w:t>A</w:t>
      </w:r>
      <w:r w:rsidR="009A5048">
        <w:t xml:space="preserve"> year-wise analysis for the individual firms shows more firms are moving towards excess independence.  </w:t>
      </w:r>
      <w:r w:rsidR="009A3875">
        <w:t>The above data shows that listed firms in Saudi Arabian stock exchange have a board structure that is tilted towards higher representation</w:t>
      </w:r>
      <w:r>
        <w:t xml:space="preserve"> by the independent directors which goes to show their willingness to implement voluntary monitoring mechanisms.  </w:t>
      </w:r>
      <w:r w:rsidR="000F4991">
        <w:t xml:space="preserve">We find that increasing board independence is not just important for the shareholders to resolve their conflicts with mangers, but also for the debtholders of the firm.  </w:t>
      </w:r>
      <w:r w:rsidR="00163E04">
        <w:t>The findings of our study has important implications for the regulators and firms.  Regulators in Saudi Arabia can breathe a sigh</w:t>
      </w:r>
      <w:r w:rsidR="00076288">
        <w:t xml:space="preserve"> of relief.  </w:t>
      </w:r>
    </w:p>
    <w:p w:rsidR="000F4991" w:rsidRDefault="000F4991" w:rsidP="00672E52">
      <w:pPr>
        <w:spacing w:after="0" w:line="240" w:lineRule="auto"/>
        <w:jc w:val="both"/>
      </w:pPr>
      <w:r>
        <w:t xml:space="preserve">Listed companies in Saudi Arabia are interested in strengthening their board structures with increased number of independent directors higher than the regulatory requirement which reduces the need for enforcement of board composition clause of corporate governance regulations.  </w:t>
      </w:r>
      <w:r w:rsidR="00FE597C">
        <w:t xml:space="preserve">Besides increased availability of debt finance, effective board monitoring associated with excess independence may bring additional benefits like limits on earnings management. (See for </w:t>
      </w:r>
      <w:bookmarkStart w:id="0" w:name="_GoBack"/>
      <w:r w:rsidR="00FE597C" w:rsidRPr="000F3C44">
        <w:t xml:space="preserve">example, </w:t>
      </w:r>
      <w:r w:rsidR="00452244" w:rsidRPr="000F3C44">
        <w:t>[49]</w:t>
      </w:r>
      <w:r w:rsidR="005877C3" w:rsidRPr="000F3C44">
        <w:t xml:space="preserve">; </w:t>
      </w:r>
      <w:r w:rsidR="00452244" w:rsidRPr="000F3C44">
        <w:t>[50]</w:t>
      </w:r>
      <w:r w:rsidR="005877C3" w:rsidRPr="000F3C44">
        <w:t>)</w:t>
      </w:r>
      <w:bookmarkEnd w:id="0"/>
      <w:r w:rsidR="006777B2">
        <w:t xml:space="preserve">Firms benefit from substituting some of the insiders board positions with independent directors.  They can access debt market with ease.  </w:t>
      </w:r>
      <w:r w:rsidR="00B50BFC">
        <w:t xml:space="preserve">This can automatically resolve the agency conflicts and maximize their firm value.  </w:t>
      </w:r>
    </w:p>
    <w:p w:rsidR="00B50BFC" w:rsidRDefault="00B50BFC" w:rsidP="00672E52">
      <w:pPr>
        <w:spacing w:after="0" w:line="240" w:lineRule="auto"/>
        <w:jc w:val="both"/>
      </w:pPr>
      <w:r>
        <w:t xml:space="preserve">Our study has an important limitation.  We have not incorporated the ownership structure of the firms in our study.  Further research can be carried out by including more variables like ownership structure and dividend polices of the firms.  </w:t>
      </w:r>
    </w:p>
    <w:p w:rsidR="00796295" w:rsidRDefault="00796295" w:rsidP="00672E52">
      <w:pPr>
        <w:spacing w:after="0" w:line="240" w:lineRule="auto"/>
        <w:jc w:val="both"/>
      </w:pPr>
    </w:p>
    <w:p w:rsidR="00C214BB" w:rsidRPr="00811F51" w:rsidRDefault="00920F28" w:rsidP="00811F51">
      <w:pPr>
        <w:spacing w:after="0" w:line="240" w:lineRule="auto"/>
        <w:jc w:val="both"/>
        <w:rPr>
          <w:b/>
          <w:sz w:val="22"/>
        </w:rPr>
      </w:pPr>
      <w:r w:rsidRPr="00811F51">
        <w:rPr>
          <w:b/>
          <w:sz w:val="22"/>
        </w:rPr>
        <w:t>References:</w:t>
      </w:r>
    </w:p>
    <w:p w:rsidR="00EF1CDF" w:rsidRPr="00067812" w:rsidRDefault="00EF1CDF" w:rsidP="00067812">
      <w:pPr>
        <w:jc w:val="both"/>
        <w:rPr>
          <w:rFonts w:eastAsia="Times New Roman"/>
          <w:color w:val="000000"/>
          <w:szCs w:val="24"/>
        </w:rPr>
      </w:pPr>
      <w:r w:rsidRPr="00067812">
        <w:rPr>
          <w:szCs w:val="24"/>
        </w:rPr>
        <w:t>[</w:t>
      </w:r>
      <w:r w:rsidRPr="00067812">
        <w:rPr>
          <w:sz w:val="22"/>
        </w:rPr>
        <w:t xml:space="preserve">1] </w:t>
      </w:r>
      <w:r w:rsidR="00067812" w:rsidRPr="00067812">
        <w:rPr>
          <w:sz w:val="22"/>
        </w:rPr>
        <w:t xml:space="preserve">I. </w:t>
      </w:r>
      <w:r w:rsidR="00067812" w:rsidRPr="00067812">
        <w:rPr>
          <w:rFonts w:eastAsia="Times New Roman"/>
          <w:color w:val="000000"/>
          <w:sz w:val="22"/>
        </w:rPr>
        <w:t>Friendand J. Hasbrouck, “Determinants of capital structure in Andy Chen (ed.) Research in Finance, Vol.7 Jai press inc. 1987, Pages 1-19</w:t>
      </w:r>
    </w:p>
    <w:p w:rsidR="00EF1CDF" w:rsidRPr="00811F51" w:rsidRDefault="00EF1CDF" w:rsidP="00811F51">
      <w:pPr>
        <w:spacing w:line="240" w:lineRule="auto"/>
        <w:jc w:val="both"/>
        <w:rPr>
          <w:rFonts w:eastAsia="Times New Roman"/>
          <w:sz w:val="22"/>
        </w:rPr>
      </w:pPr>
      <w:r w:rsidRPr="00811F51">
        <w:rPr>
          <w:sz w:val="22"/>
        </w:rPr>
        <w:t>[2]</w:t>
      </w:r>
      <w:r w:rsidR="00646E40">
        <w:rPr>
          <w:sz w:val="22"/>
        </w:rPr>
        <w:t xml:space="preserve">E.F. </w:t>
      </w:r>
      <w:r w:rsidR="000E23F8" w:rsidRPr="00811F51">
        <w:rPr>
          <w:rFonts w:eastAsia="Times New Roman"/>
          <w:sz w:val="22"/>
        </w:rPr>
        <w:t xml:space="preserve">Fama, </w:t>
      </w:r>
      <w:r w:rsidR="00646E40" w:rsidRPr="00811F51">
        <w:rPr>
          <w:rFonts w:eastAsia="Times New Roman"/>
          <w:sz w:val="22"/>
        </w:rPr>
        <w:t xml:space="preserve">and </w:t>
      </w:r>
      <w:r w:rsidR="00646E40">
        <w:rPr>
          <w:rFonts w:eastAsia="Times New Roman"/>
          <w:sz w:val="22"/>
        </w:rPr>
        <w:t>M.H</w:t>
      </w:r>
      <w:r w:rsidR="00646E40" w:rsidRPr="00811F51">
        <w:rPr>
          <w:rFonts w:eastAsia="Times New Roman"/>
          <w:sz w:val="22"/>
        </w:rPr>
        <w:t xml:space="preserve">. </w:t>
      </w:r>
      <w:r w:rsidR="000E23F8" w:rsidRPr="00811F51">
        <w:rPr>
          <w:rFonts w:eastAsia="Times New Roman"/>
          <w:sz w:val="22"/>
        </w:rPr>
        <w:t xml:space="preserve">Miller, </w:t>
      </w:r>
      <w:r w:rsidR="00F63FEA" w:rsidRPr="00811F51">
        <w:rPr>
          <w:rFonts w:eastAsia="Times New Roman"/>
          <w:sz w:val="22"/>
        </w:rPr>
        <w:t>“</w:t>
      </w:r>
      <w:r w:rsidR="000E23F8" w:rsidRPr="00811F51">
        <w:rPr>
          <w:rFonts w:eastAsia="Times New Roman"/>
          <w:sz w:val="22"/>
        </w:rPr>
        <w:t>The theory of finance</w:t>
      </w:r>
      <w:r w:rsidR="00F63FEA" w:rsidRPr="00811F51">
        <w:rPr>
          <w:rFonts w:eastAsia="Times New Roman"/>
          <w:sz w:val="22"/>
        </w:rPr>
        <w:t>”</w:t>
      </w:r>
      <w:r w:rsidR="000E23F8" w:rsidRPr="00811F51">
        <w:rPr>
          <w:rFonts w:eastAsia="Times New Roman"/>
          <w:sz w:val="22"/>
        </w:rPr>
        <w:t>, Ho</w:t>
      </w:r>
      <w:r w:rsidR="00646E40">
        <w:rPr>
          <w:rFonts w:eastAsia="Times New Roman"/>
          <w:sz w:val="22"/>
        </w:rPr>
        <w:t xml:space="preserve">lt, Rinehart, Winston, New york, </w:t>
      </w:r>
      <w:r w:rsidR="00A94652">
        <w:rPr>
          <w:rFonts w:eastAsia="Times New Roman"/>
          <w:sz w:val="22"/>
        </w:rPr>
        <w:t>(1972)</w:t>
      </w:r>
    </w:p>
    <w:p w:rsidR="00EF1CDF" w:rsidRPr="00811F51" w:rsidRDefault="00EF1CDF" w:rsidP="00811F51">
      <w:pPr>
        <w:spacing w:line="240" w:lineRule="auto"/>
        <w:jc w:val="both"/>
        <w:rPr>
          <w:rFonts w:eastAsia="Times New Roman"/>
          <w:sz w:val="22"/>
        </w:rPr>
      </w:pPr>
      <w:r w:rsidRPr="00811F51">
        <w:rPr>
          <w:sz w:val="22"/>
        </w:rPr>
        <w:t>[3]</w:t>
      </w:r>
      <w:r w:rsidR="008C1E0A">
        <w:rPr>
          <w:rFonts w:eastAsia="Times New Roman"/>
          <w:sz w:val="22"/>
        </w:rPr>
        <w:t xml:space="preserve">M.C. </w:t>
      </w:r>
      <w:r w:rsidR="000E23F8" w:rsidRPr="00811F51">
        <w:rPr>
          <w:rFonts w:eastAsia="Times New Roman"/>
          <w:sz w:val="22"/>
        </w:rPr>
        <w:t>Jensen, and W.H. Meckling</w:t>
      </w:r>
      <w:r w:rsidR="008C1E0A">
        <w:rPr>
          <w:rFonts w:eastAsia="Times New Roman"/>
          <w:sz w:val="22"/>
        </w:rPr>
        <w:t xml:space="preserve">, </w:t>
      </w:r>
      <w:r w:rsidR="000E23F8" w:rsidRPr="00811F51">
        <w:rPr>
          <w:rFonts w:eastAsia="Times New Roman"/>
          <w:sz w:val="22"/>
        </w:rPr>
        <w:t xml:space="preserve">“Theory of the firm: Managerial behavior, agency costs and ownership structure”, </w:t>
      </w:r>
      <w:r w:rsidR="000E23F8" w:rsidRPr="008C1E0A">
        <w:rPr>
          <w:rFonts w:eastAsia="Times New Roman"/>
          <w:sz w:val="22"/>
        </w:rPr>
        <w:t>Journal of Financial Economics,</w:t>
      </w:r>
      <w:r w:rsidR="00646E40">
        <w:rPr>
          <w:rFonts w:eastAsia="Times New Roman"/>
          <w:sz w:val="22"/>
        </w:rPr>
        <w:t>Vol.</w:t>
      </w:r>
      <w:r w:rsidR="000E23F8" w:rsidRPr="00811F51">
        <w:rPr>
          <w:rFonts w:eastAsia="Times New Roman"/>
          <w:sz w:val="22"/>
        </w:rPr>
        <w:t>3</w:t>
      </w:r>
      <w:r w:rsidR="00646E40">
        <w:rPr>
          <w:rFonts w:eastAsia="Times New Roman"/>
          <w:sz w:val="22"/>
        </w:rPr>
        <w:t>, No.4</w:t>
      </w:r>
      <w:r w:rsidR="008C1E0A">
        <w:rPr>
          <w:rFonts w:eastAsia="Times New Roman"/>
          <w:sz w:val="22"/>
        </w:rPr>
        <w:t>, (1976)</w:t>
      </w:r>
      <w:r w:rsidR="00A94652">
        <w:rPr>
          <w:rFonts w:eastAsia="Times New Roman"/>
          <w:sz w:val="22"/>
        </w:rPr>
        <w:t>, Pages 305-360</w:t>
      </w:r>
    </w:p>
    <w:p w:rsidR="00EF1CDF" w:rsidRPr="00811F51" w:rsidRDefault="00EF1CDF" w:rsidP="00811F51">
      <w:pPr>
        <w:spacing w:line="240" w:lineRule="auto"/>
        <w:jc w:val="both"/>
        <w:rPr>
          <w:rFonts w:eastAsia="Times New Roman"/>
          <w:sz w:val="22"/>
        </w:rPr>
      </w:pPr>
      <w:r w:rsidRPr="00811F51">
        <w:rPr>
          <w:sz w:val="22"/>
        </w:rPr>
        <w:t>[4]</w:t>
      </w:r>
      <w:r w:rsidR="00646E40">
        <w:rPr>
          <w:rFonts w:eastAsia="Times New Roman"/>
          <w:sz w:val="22"/>
        </w:rPr>
        <w:t xml:space="preserve">S.J. </w:t>
      </w:r>
      <w:r w:rsidR="000E23F8" w:rsidRPr="00811F51">
        <w:rPr>
          <w:rFonts w:eastAsia="Times New Roman"/>
          <w:sz w:val="22"/>
        </w:rPr>
        <w:t xml:space="preserve">Grossman, and </w:t>
      </w:r>
      <w:r w:rsidR="00646E40">
        <w:rPr>
          <w:rFonts w:eastAsia="Times New Roman"/>
          <w:sz w:val="22"/>
        </w:rPr>
        <w:t xml:space="preserve">O. </w:t>
      </w:r>
      <w:r w:rsidR="000E23F8" w:rsidRPr="00811F51">
        <w:rPr>
          <w:rFonts w:eastAsia="Times New Roman"/>
          <w:sz w:val="22"/>
        </w:rPr>
        <w:t xml:space="preserve">Hart, </w:t>
      </w:r>
      <w:r w:rsidR="00F63FEA" w:rsidRPr="00811F51">
        <w:rPr>
          <w:rFonts w:eastAsia="Times New Roman"/>
          <w:sz w:val="22"/>
        </w:rPr>
        <w:t>“</w:t>
      </w:r>
      <w:r w:rsidR="000E23F8" w:rsidRPr="00811F51">
        <w:rPr>
          <w:rFonts w:eastAsia="Times New Roman"/>
          <w:sz w:val="22"/>
        </w:rPr>
        <w:t>Corporate financial structure and managerial incentives</w:t>
      </w:r>
      <w:r w:rsidR="00F63FEA" w:rsidRPr="00811F51">
        <w:rPr>
          <w:rFonts w:eastAsia="Times New Roman"/>
          <w:sz w:val="22"/>
        </w:rPr>
        <w:t>”</w:t>
      </w:r>
      <w:r w:rsidR="000E23F8" w:rsidRPr="00811F51">
        <w:rPr>
          <w:rFonts w:eastAsia="Times New Roman"/>
          <w:sz w:val="22"/>
        </w:rPr>
        <w:t>, in The Economics of Information and Uncertainty (Ed.) J. McCall, University of Chicago Press, Chicago,</w:t>
      </w:r>
      <w:r w:rsidR="00646E40" w:rsidRPr="00811F51">
        <w:rPr>
          <w:rFonts w:eastAsia="Times New Roman"/>
          <w:sz w:val="22"/>
        </w:rPr>
        <w:t xml:space="preserve">(1982), </w:t>
      </w:r>
      <w:r w:rsidR="00A94652">
        <w:rPr>
          <w:rFonts w:eastAsia="Times New Roman"/>
          <w:sz w:val="22"/>
        </w:rPr>
        <w:t>Pages</w:t>
      </w:r>
      <w:r w:rsidR="000E23F8" w:rsidRPr="00811F51">
        <w:rPr>
          <w:rFonts w:eastAsia="Times New Roman"/>
          <w:sz w:val="22"/>
        </w:rPr>
        <w:t xml:space="preserve"> 107–40. </w:t>
      </w:r>
    </w:p>
    <w:p w:rsidR="00EF1CDF" w:rsidRPr="00811F51" w:rsidRDefault="00EF1CDF" w:rsidP="00811F51">
      <w:pPr>
        <w:spacing w:line="240" w:lineRule="auto"/>
        <w:jc w:val="both"/>
        <w:rPr>
          <w:rFonts w:eastAsia="Times New Roman"/>
          <w:sz w:val="22"/>
        </w:rPr>
      </w:pPr>
      <w:r w:rsidRPr="00811F51">
        <w:rPr>
          <w:sz w:val="22"/>
        </w:rPr>
        <w:t>[5]</w:t>
      </w:r>
      <w:r w:rsidR="00646E40">
        <w:rPr>
          <w:rFonts w:eastAsia="Times New Roman"/>
          <w:sz w:val="22"/>
        </w:rPr>
        <w:t xml:space="preserve">B.R. </w:t>
      </w:r>
      <w:r w:rsidR="000E23F8" w:rsidRPr="00811F51">
        <w:rPr>
          <w:rFonts w:eastAsia="Times New Roman"/>
          <w:sz w:val="22"/>
        </w:rPr>
        <w:t xml:space="preserve">Jones, and </w:t>
      </w:r>
      <w:r w:rsidR="00646E40">
        <w:rPr>
          <w:rFonts w:eastAsia="Times New Roman"/>
          <w:sz w:val="22"/>
        </w:rPr>
        <w:t xml:space="preserve">J.E. </w:t>
      </w:r>
      <w:r w:rsidR="000E23F8" w:rsidRPr="00811F51">
        <w:rPr>
          <w:rFonts w:eastAsia="Times New Roman"/>
          <w:sz w:val="22"/>
        </w:rPr>
        <w:t xml:space="preserve">Butler, </w:t>
      </w:r>
      <w:r w:rsidR="00F63FEA" w:rsidRPr="00811F51">
        <w:rPr>
          <w:rFonts w:eastAsia="Times New Roman"/>
          <w:sz w:val="22"/>
        </w:rPr>
        <w:t>“</w:t>
      </w:r>
      <w:r w:rsidR="000E23F8" w:rsidRPr="00811F51">
        <w:rPr>
          <w:rFonts w:eastAsia="Times New Roman"/>
          <w:sz w:val="22"/>
        </w:rPr>
        <w:t>Managing internal corporate entrepreneurship: an agency theory perspective</w:t>
      </w:r>
      <w:r w:rsidR="00F63FEA" w:rsidRPr="00811F51">
        <w:rPr>
          <w:rFonts w:eastAsia="Times New Roman"/>
          <w:sz w:val="22"/>
        </w:rPr>
        <w:t>”</w:t>
      </w:r>
      <w:r w:rsidR="00646E40">
        <w:rPr>
          <w:rFonts w:eastAsia="Times New Roman"/>
          <w:sz w:val="22"/>
        </w:rPr>
        <w:t>,</w:t>
      </w:r>
      <w:r w:rsidR="000E23F8" w:rsidRPr="00646E40">
        <w:rPr>
          <w:rFonts w:eastAsia="Times New Roman"/>
          <w:sz w:val="22"/>
        </w:rPr>
        <w:t>Journal of management,</w:t>
      </w:r>
      <w:r w:rsidR="00646E40">
        <w:rPr>
          <w:rFonts w:eastAsia="Times New Roman"/>
          <w:sz w:val="22"/>
        </w:rPr>
        <w:t xml:space="preserve">Vol. </w:t>
      </w:r>
      <w:r w:rsidR="000E23F8" w:rsidRPr="00811F51">
        <w:rPr>
          <w:rFonts w:eastAsia="Times New Roman"/>
          <w:sz w:val="22"/>
        </w:rPr>
        <w:t>18</w:t>
      </w:r>
      <w:r w:rsidR="00646E40">
        <w:rPr>
          <w:rFonts w:eastAsia="Times New Roman"/>
          <w:sz w:val="22"/>
        </w:rPr>
        <w:t>, No.4</w:t>
      </w:r>
      <w:r w:rsidR="000E23F8" w:rsidRPr="00811F51">
        <w:rPr>
          <w:rFonts w:eastAsia="Times New Roman"/>
          <w:sz w:val="22"/>
        </w:rPr>
        <w:t xml:space="preserve">, </w:t>
      </w:r>
      <w:r w:rsidR="00646E40" w:rsidRPr="00811F51">
        <w:rPr>
          <w:rFonts w:eastAsia="Times New Roman"/>
          <w:sz w:val="22"/>
        </w:rPr>
        <w:t xml:space="preserve">(1992), </w:t>
      </w:r>
      <w:r w:rsidR="00646E40">
        <w:rPr>
          <w:rFonts w:eastAsia="Times New Roman"/>
          <w:sz w:val="22"/>
        </w:rPr>
        <w:t xml:space="preserve">Pages </w:t>
      </w:r>
      <w:r w:rsidR="000E23F8" w:rsidRPr="00811F51">
        <w:rPr>
          <w:rFonts w:eastAsia="Times New Roman"/>
          <w:sz w:val="22"/>
        </w:rPr>
        <w:t>733-749</w:t>
      </w:r>
    </w:p>
    <w:p w:rsidR="00EF1CDF" w:rsidRPr="00811F51" w:rsidRDefault="00EF1CDF" w:rsidP="00811F51">
      <w:pPr>
        <w:spacing w:line="240" w:lineRule="auto"/>
        <w:jc w:val="both"/>
        <w:rPr>
          <w:rFonts w:eastAsia="Times New Roman"/>
          <w:sz w:val="22"/>
        </w:rPr>
      </w:pPr>
      <w:r w:rsidRPr="00811F51">
        <w:rPr>
          <w:sz w:val="22"/>
        </w:rPr>
        <w:lastRenderedPageBreak/>
        <w:t>[6]</w:t>
      </w:r>
      <w:r w:rsidR="00646E40">
        <w:rPr>
          <w:rFonts w:eastAsia="Times New Roman"/>
          <w:sz w:val="22"/>
        </w:rPr>
        <w:t xml:space="preserve">E.F. </w:t>
      </w:r>
      <w:r w:rsidR="000E23F8" w:rsidRPr="00811F51">
        <w:rPr>
          <w:rFonts w:eastAsia="Times New Roman"/>
          <w:sz w:val="22"/>
        </w:rPr>
        <w:t>Fa</w:t>
      </w:r>
      <w:r w:rsidR="00F63FEA" w:rsidRPr="00811F51">
        <w:rPr>
          <w:rFonts w:eastAsia="Times New Roman"/>
          <w:sz w:val="22"/>
        </w:rPr>
        <w:t xml:space="preserve">ma, and </w:t>
      </w:r>
      <w:r w:rsidR="00646E40">
        <w:rPr>
          <w:rFonts w:eastAsia="Times New Roman"/>
          <w:sz w:val="22"/>
        </w:rPr>
        <w:t xml:space="preserve">M. </w:t>
      </w:r>
      <w:r w:rsidR="00F63FEA" w:rsidRPr="00811F51">
        <w:rPr>
          <w:rFonts w:eastAsia="Times New Roman"/>
          <w:sz w:val="22"/>
        </w:rPr>
        <w:t>Jensen, “</w:t>
      </w:r>
      <w:r w:rsidR="000E23F8" w:rsidRPr="00811F51">
        <w:rPr>
          <w:rFonts w:eastAsia="Times New Roman"/>
          <w:sz w:val="22"/>
        </w:rPr>
        <w:t>Separation of ownership and control</w:t>
      </w:r>
      <w:r w:rsidR="00F63FEA" w:rsidRPr="00811F51">
        <w:rPr>
          <w:rFonts w:eastAsia="Times New Roman"/>
          <w:sz w:val="22"/>
        </w:rPr>
        <w:t>”</w:t>
      </w:r>
      <w:r w:rsidR="000E23F8" w:rsidRPr="00646E40">
        <w:rPr>
          <w:rFonts w:eastAsia="Times New Roman"/>
          <w:sz w:val="22"/>
        </w:rPr>
        <w:t>Journal of Law and Economics</w:t>
      </w:r>
      <w:r w:rsidR="00F63FEA" w:rsidRPr="00811F51">
        <w:rPr>
          <w:rFonts w:eastAsia="Times New Roman"/>
          <w:sz w:val="22"/>
        </w:rPr>
        <w:t>,</w:t>
      </w:r>
      <w:r w:rsidR="00646E40">
        <w:rPr>
          <w:rFonts w:eastAsia="Times New Roman"/>
          <w:sz w:val="22"/>
        </w:rPr>
        <w:t xml:space="preserve">Vol. </w:t>
      </w:r>
      <w:r w:rsidR="000E23F8" w:rsidRPr="00811F51">
        <w:rPr>
          <w:rFonts w:eastAsia="Times New Roman"/>
          <w:sz w:val="22"/>
        </w:rPr>
        <w:t>26,</w:t>
      </w:r>
      <w:r w:rsidR="00646E40" w:rsidRPr="00811F51">
        <w:rPr>
          <w:rFonts w:eastAsia="Times New Roman"/>
          <w:sz w:val="22"/>
        </w:rPr>
        <w:t xml:space="preserve">(1983), </w:t>
      </w:r>
      <w:r w:rsidR="00646E40">
        <w:rPr>
          <w:rFonts w:eastAsia="Times New Roman"/>
          <w:sz w:val="22"/>
        </w:rPr>
        <w:t>Pages</w:t>
      </w:r>
      <w:r w:rsidR="000E23F8" w:rsidRPr="00811F51">
        <w:rPr>
          <w:rFonts w:eastAsia="Times New Roman"/>
          <w:sz w:val="22"/>
        </w:rPr>
        <w:t xml:space="preserve"> 301-325</w:t>
      </w:r>
    </w:p>
    <w:p w:rsidR="00EF1CDF" w:rsidRPr="00811F51" w:rsidRDefault="004A14AC" w:rsidP="00811F51">
      <w:pPr>
        <w:spacing w:after="0" w:line="240" w:lineRule="auto"/>
        <w:jc w:val="both"/>
        <w:rPr>
          <w:sz w:val="22"/>
        </w:rPr>
      </w:pPr>
      <w:r w:rsidRPr="00811F51">
        <w:rPr>
          <w:sz w:val="22"/>
        </w:rPr>
        <w:t>[7]</w:t>
      </w:r>
      <w:r w:rsidRPr="00811F51">
        <w:rPr>
          <w:rFonts w:eastAsia="Times New Roman"/>
          <w:sz w:val="22"/>
        </w:rPr>
        <w:t xml:space="preserve"> B</w:t>
      </w:r>
      <w:r w:rsidR="00646E40">
        <w:rPr>
          <w:rFonts w:eastAsia="Times New Roman"/>
          <w:sz w:val="22"/>
        </w:rPr>
        <w:t xml:space="preserve">. P. </w:t>
      </w:r>
      <w:r w:rsidRPr="00811F51">
        <w:rPr>
          <w:rFonts w:eastAsia="Times New Roman"/>
          <w:sz w:val="22"/>
        </w:rPr>
        <w:t xml:space="preserve">Randolph </w:t>
      </w:r>
      <w:r w:rsidR="00646E40">
        <w:rPr>
          <w:rFonts w:eastAsia="Times New Roman"/>
          <w:sz w:val="22"/>
        </w:rPr>
        <w:t>,</w:t>
      </w:r>
      <w:r w:rsidRPr="00811F51">
        <w:rPr>
          <w:rFonts w:eastAsia="Times New Roman"/>
          <w:sz w:val="22"/>
        </w:rPr>
        <w:t xml:space="preserve"> Z</w:t>
      </w:r>
      <w:r w:rsidR="00646E40">
        <w:rPr>
          <w:rFonts w:eastAsia="Times New Roman"/>
          <w:sz w:val="22"/>
        </w:rPr>
        <w:t xml:space="preserve">.J. </w:t>
      </w:r>
      <w:r w:rsidRPr="00811F51">
        <w:rPr>
          <w:rFonts w:eastAsia="Times New Roman"/>
          <w:sz w:val="22"/>
        </w:rPr>
        <w:t xml:space="preserve">Edward </w:t>
      </w:r>
      <w:r w:rsidR="00646E40">
        <w:rPr>
          <w:rFonts w:eastAsia="Times New Roman"/>
          <w:sz w:val="22"/>
        </w:rPr>
        <w:t>,</w:t>
      </w:r>
      <w:r w:rsidR="00F63FEA" w:rsidRPr="00811F51">
        <w:rPr>
          <w:rFonts w:eastAsia="Times New Roman"/>
          <w:sz w:val="22"/>
        </w:rPr>
        <w:t>“</w:t>
      </w:r>
      <w:r w:rsidRPr="00811F51">
        <w:rPr>
          <w:rFonts w:eastAsia="Times New Roman"/>
          <w:sz w:val="22"/>
        </w:rPr>
        <w:t xml:space="preserve">Managerial Incentives, Monitoring, Risk bearing: A Study of Compensation, Ownership, Board Structure in </w:t>
      </w:r>
      <w:r w:rsidR="0085044F" w:rsidRPr="00811F51">
        <w:rPr>
          <w:rFonts w:eastAsia="Times New Roman"/>
          <w:sz w:val="22"/>
        </w:rPr>
        <w:t>Initial</w:t>
      </w:r>
      <w:r w:rsidRPr="00811F51">
        <w:rPr>
          <w:rFonts w:eastAsia="Times New Roman"/>
          <w:sz w:val="22"/>
        </w:rPr>
        <w:t xml:space="preserve"> Public Offerings</w:t>
      </w:r>
      <w:r w:rsidR="00F63FEA" w:rsidRPr="00811F51">
        <w:rPr>
          <w:rFonts w:eastAsia="Times New Roman"/>
          <w:sz w:val="22"/>
        </w:rPr>
        <w:t>”</w:t>
      </w:r>
      <w:r w:rsidRPr="00811F51">
        <w:rPr>
          <w:rFonts w:eastAsia="Times New Roman"/>
          <w:sz w:val="22"/>
        </w:rPr>
        <w:t xml:space="preserve">, </w:t>
      </w:r>
      <w:r w:rsidRPr="00646E40">
        <w:rPr>
          <w:rFonts w:eastAsia="Times New Roman"/>
          <w:sz w:val="22"/>
        </w:rPr>
        <w:t xml:space="preserve">Administrative Science Quarterly, </w:t>
      </w:r>
      <w:r w:rsidR="00646E40">
        <w:rPr>
          <w:rFonts w:eastAsia="Times New Roman"/>
          <w:sz w:val="22"/>
        </w:rPr>
        <w:t xml:space="preserve">Vol. 39, </w:t>
      </w:r>
      <w:r w:rsidR="00646E40" w:rsidRPr="00811F51">
        <w:rPr>
          <w:rFonts w:eastAsia="Times New Roman"/>
          <w:sz w:val="22"/>
        </w:rPr>
        <w:t xml:space="preserve">(1994) </w:t>
      </w:r>
      <w:r w:rsidR="00646E40">
        <w:rPr>
          <w:rFonts w:eastAsia="Times New Roman"/>
          <w:sz w:val="22"/>
        </w:rPr>
        <w:t xml:space="preserve">,Pages </w:t>
      </w:r>
      <w:r w:rsidRPr="00811F51">
        <w:rPr>
          <w:rFonts w:eastAsia="Times New Roman"/>
          <w:sz w:val="22"/>
        </w:rPr>
        <w:t>313-335.</w:t>
      </w:r>
    </w:p>
    <w:p w:rsidR="00EF1CDF" w:rsidRPr="00811F51" w:rsidRDefault="00EF1CDF" w:rsidP="00811F51">
      <w:pPr>
        <w:spacing w:line="240" w:lineRule="auto"/>
        <w:jc w:val="both"/>
        <w:rPr>
          <w:rFonts w:eastAsia="Times New Roman"/>
          <w:sz w:val="22"/>
        </w:rPr>
      </w:pPr>
      <w:r w:rsidRPr="00811F51">
        <w:rPr>
          <w:sz w:val="22"/>
        </w:rPr>
        <w:t>[8]</w:t>
      </w:r>
      <w:r w:rsidR="00CF347B">
        <w:rPr>
          <w:rFonts w:eastAsia="Times New Roman"/>
          <w:sz w:val="22"/>
        </w:rPr>
        <w:t>P.</w:t>
      </w:r>
      <w:r w:rsidR="00100B41" w:rsidRPr="00811F51">
        <w:rPr>
          <w:rFonts w:eastAsia="Times New Roman"/>
          <w:sz w:val="22"/>
        </w:rPr>
        <w:t>Gompers, J. Ishii, and A. Metrick</w:t>
      </w:r>
      <w:r w:rsidR="00CF347B">
        <w:rPr>
          <w:rFonts w:eastAsia="Times New Roman"/>
          <w:sz w:val="22"/>
        </w:rPr>
        <w:t>,</w:t>
      </w:r>
      <w:r w:rsidR="00F63FEA" w:rsidRPr="00811F51">
        <w:rPr>
          <w:rFonts w:eastAsia="Times New Roman"/>
          <w:sz w:val="22"/>
        </w:rPr>
        <w:t>“</w:t>
      </w:r>
      <w:r w:rsidR="00100B41" w:rsidRPr="00811F51">
        <w:rPr>
          <w:rFonts w:eastAsia="Times New Roman"/>
          <w:sz w:val="22"/>
        </w:rPr>
        <w:t>Corporate governance and equity prices</w:t>
      </w:r>
      <w:r w:rsidR="00F63FEA" w:rsidRPr="00811F51">
        <w:rPr>
          <w:rFonts w:eastAsia="Times New Roman"/>
          <w:sz w:val="22"/>
        </w:rPr>
        <w:t>”,</w:t>
      </w:r>
      <w:r w:rsidR="00100B41" w:rsidRPr="00CF347B">
        <w:rPr>
          <w:rFonts w:eastAsia="Times New Roman"/>
          <w:sz w:val="22"/>
        </w:rPr>
        <w:t xml:space="preserve">Quarterly Journal of Economics </w:t>
      </w:r>
      <w:r w:rsidR="00CF347B">
        <w:rPr>
          <w:rFonts w:eastAsia="Times New Roman"/>
          <w:sz w:val="22"/>
        </w:rPr>
        <w:t xml:space="preserve">, Vol. </w:t>
      </w:r>
      <w:r w:rsidR="00100B41" w:rsidRPr="00811F51">
        <w:rPr>
          <w:rFonts w:eastAsia="Times New Roman"/>
          <w:sz w:val="22"/>
        </w:rPr>
        <w:t xml:space="preserve">118, </w:t>
      </w:r>
      <w:r w:rsidR="00CF347B" w:rsidRPr="00811F51">
        <w:rPr>
          <w:rFonts w:eastAsia="Times New Roman"/>
          <w:sz w:val="22"/>
        </w:rPr>
        <w:t xml:space="preserve">, (2003), </w:t>
      </w:r>
      <w:r w:rsidR="00CF347B">
        <w:rPr>
          <w:rFonts w:eastAsia="Times New Roman"/>
          <w:sz w:val="22"/>
        </w:rPr>
        <w:t xml:space="preserve">pages </w:t>
      </w:r>
      <w:r w:rsidR="00100B41" w:rsidRPr="00811F51">
        <w:rPr>
          <w:rFonts w:eastAsia="Times New Roman"/>
          <w:sz w:val="22"/>
        </w:rPr>
        <w:t xml:space="preserve">107-155. </w:t>
      </w:r>
    </w:p>
    <w:p w:rsidR="00EF1CDF" w:rsidRPr="00811F51" w:rsidRDefault="00EF1CDF" w:rsidP="00811F51">
      <w:pPr>
        <w:spacing w:line="240" w:lineRule="auto"/>
        <w:jc w:val="both"/>
        <w:rPr>
          <w:rFonts w:eastAsia="Times New Roman"/>
          <w:sz w:val="22"/>
        </w:rPr>
      </w:pPr>
      <w:r w:rsidRPr="00811F51">
        <w:rPr>
          <w:sz w:val="22"/>
        </w:rPr>
        <w:t>[9]</w:t>
      </w:r>
      <w:r w:rsidR="00CF347B">
        <w:rPr>
          <w:rFonts w:eastAsia="Times New Roman"/>
          <w:sz w:val="22"/>
        </w:rPr>
        <w:t xml:space="preserve">W. Drobetz, </w:t>
      </w:r>
      <w:r w:rsidR="00100B41" w:rsidRPr="00811F51">
        <w:rPr>
          <w:rFonts w:eastAsia="Times New Roman"/>
          <w:sz w:val="22"/>
        </w:rPr>
        <w:t>,</w:t>
      </w:r>
      <w:r w:rsidR="00CF347B">
        <w:rPr>
          <w:rFonts w:eastAsia="Times New Roman"/>
          <w:sz w:val="22"/>
        </w:rPr>
        <w:t xml:space="preserve">A. Schillhofer, </w:t>
      </w:r>
      <w:r w:rsidR="00100B41" w:rsidRPr="00811F51">
        <w:rPr>
          <w:rFonts w:eastAsia="Times New Roman"/>
          <w:sz w:val="22"/>
        </w:rPr>
        <w:t xml:space="preserve"> and </w:t>
      </w:r>
      <w:r w:rsidR="00CF347B">
        <w:rPr>
          <w:rFonts w:eastAsia="Times New Roman"/>
          <w:sz w:val="22"/>
        </w:rPr>
        <w:t xml:space="preserve">H. Zimmermann, </w:t>
      </w:r>
      <w:r w:rsidR="00F63FEA" w:rsidRPr="00811F51">
        <w:rPr>
          <w:rFonts w:eastAsia="Times New Roman"/>
          <w:sz w:val="22"/>
        </w:rPr>
        <w:t>“</w:t>
      </w:r>
      <w:r w:rsidR="00100B41" w:rsidRPr="00811F51">
        <w:rPr>
          <w:rFonts w:eastAsia="Times New Roman"/>
          <w:sz w:val="22"/>
        </w:rPr>
        <w:t>Corporate governance and expected stock returns: evidence from Germany</w:t>
      </w:r>
      <w:r w:rsidR="00F63FEA" w:rsidRPr="00811F51">
        <w:rPr>
          <w:rFonts w:eastAsia="Times New Roman"/>
          <w:sz w:val="22"/>
        </w:rPr>
        <w:t>”</w:t>
      </w:r>
      <w:r w:rsidR="00100B41" w:rsidRPr="00811F51">
        <w:rPr>
          <w:rFonts w:eastAsia="Times New Roman"/>
          <w:sz w:val="22"/>
        </w:rPr>
        <w:t xml:space="preserve">, </w:t>
      </w:r>
      <w:r w:rsidR="00100B41" w:rsidRPr="00CF347B">
        <w:rPr>
          <w:rFonts w:eastAsia="Times New Roman"/>
          <w:sz w:val="22"/>
        </w:rPr>
        <w:t>European Financial Management</w:t>
      </w:r>
      <w:r w:rsidR="00100B41" w:rsidRPr="00811F51">
        <w:rPr>
          <w:rFonts w:eastAsia="Times New Roman"/>
          <w:sz w:val="22"/>
        </w:rPr>
        <w:t xml:space="preserve">, </w:t>
      </w:r>
      <w:r w:rsidR="00CF347B">
        <w:rPr>
          <w:rFonts w:eastAsia="Times New Roman"/>
          <w:sz w:val="22"/>
        </w:rPr>
        <w:t xml:space="preserve">Vol. </w:t>
      </w:r>
      <w:r w:rsidR="00100B41" w:rsidRPr="00811F51">
        <w:rPr>
          <w:rFonts w:eastAsia="Times New Roman"/>
          <w:sz w:val="22"/>
        </w:rPr>
        <w:t xml:space="preserve">10, </w:t>
      </w:r>
      <w:r w:rsidR="00CF347B" w:rsidRPr="00811F51">
        <w:rPr>
          <w:rFonts w:eastAsia="Times New Roman"/>
          <w:sz w:val="22"/>
        </w:rPr>
        <w:t xml:space="preserve">(2004), </w:t>
      </w:r>
      <w:r w:rsidR="00CF347B">
        <w:rPr>
          <w:rFonts w:eastAsia="Times New Roman"/>
          <w:sz w:val="22"/>
        </w:rPr>
        <w:t xml:space="preserve">Pages </w:t>
      </w:r>
      <w:r w:rsidR="00100B41" w:rsidRPr="00811F51">
        <w:rPr>
          <w:rFonts w:eastAsia="Times New Roman"/>
          <w:sz w:val="22"/>
        </w:rPr>
        <w:t xml:space="preserve">267–93. </w:t>
      </w:r>
    </w:p>
    <w:p w:rsidR="00EF1CDF" w:rsidRPr="00811F51" w:rsidRDefault="00EF1CDF" w:rsidP="00811F51">
      <w:pPr>
        <w:spacing w:line="240" w:lineRule="auto"/>
        <w:jc w:val="both"/>
        <w:rPr>
          <w:rFonts w:eastAsia="Times New Roman"/>
          <w:sz w:val="22"/>
        </w:rPr>
      </w:pPr>
      <w:r w:rsidRPr="00811F51">
        <w:rPr>
          <w:sz w:val="22"/>
        </w:rPr>
        <w:t>[10]</w:t>
      </w:r>
      <w:r w:rsidR="00CF347B">
        <w:rPr>
          <w:rFonts w:eastAsia="Times New Roman"/>
          <w:sz w:val="22"/>
        </w:rPr>
        <w:t xml:space="preserve">A. </w:t>
      </w:r>
      <w:r w:rsidR="00F63FEA" w:rsidRPr="00811F51">
        <w:rPr>
          <w:rFonts w:eastAsia="Times New Roman"/>
          <w:sz w:val="22"/>
        </w:rPr>
        <w:t xml:space="preserve">Metrick, </w:t>
      </w:r>
      <w:r w:rsidR="00CF347B">
        <w:rPr>
          <w:rFonts w:eastAsia="Times New Roman"/>
          <w:sz w:val="22"/>
        </w:rPr>
        <w:t>and J. Ishii,</w:t>
      </w:r>
      <w:r w:rsidR="00F63FEA" w:rsidRPr="00811F51">
        <w:rPr>
          <w:rFonts w:eastAsia="Times New Roman"/>
          <w:sz w:val="22"/>
        </w:rPr>
        <w:t xml:space="preserve"> “</w:t>
      </w:r>
      <w:r w:rsidR="00100B41" w:rsidRPr="00811F51">
        <w:rPr>
          <w:rFonts w:eastAsia="Times New Roman"/>
          <w:sz w:val="22"/>
        </w:rPr>
        <w:t>Firm-level corporate governance</w:t>
      </w:r>
      <w:r w:rsidR="00F63FEA" w:rsidRPr="00811F51">
        <w:rPr>
          <w:rFonts w:eastAsia="Times New Roman"/>
          <w:sz w:val="22"/>
        </w:rPr>
        <w:t>”,</w:t>
      </w:r>
      <w:r w:rsidR="00100B41" w:rsidRPr="00811F51">
        <w:rPr>
          <w:rFonts w:eastAsia="Times New Roman"/>
          <w:sz w:val="22"/>
        </w:rPr>
        <w:t xml:space="preserve"> Global Corporate Gove</w:t>
      </w:r>
      <w:r w:rsidR="00CF347B">
        <w:rPr>
          <w:rFonts w:eastAsia="Times New Roman"/>
          <w:sz w:val="22"/>
        </w:rPr>
        <w:t xml:space="preserve">rnance Forum, Research Network, </w:t>
      </w:r>
      <w:r w:rsidR="00A94652">
        <w:rPr>
          <w:rFonts w:eastAsia="Times New Roman"/>
          <w:sz w:val="22"/>
        </w:rPr>
        <w:t>(2002)</w:t>
      </w:r>
    </w:p>
    <w:p w:rsidR="00EF1CDF" w:rsidRPr="00811F51" w:rsidRDefault="00EF1CDF" w:rsidP="00811F51">
      <w:pPr>
        <w:spacing w:line="240" w:lineRule="auto"/>
        <w:jc w:val="both"/>
        <w:rPr>
          <w:rFonts w:eastAsia="Times New Roman"/>
          <w:sz w:val="22"/>
        </w:rPr>
      </w:pPr>
      <w:r w:rsidRPr="00811F51">
        <w:rPr>
          <w:sz w:val="22"/>
        </w:rPr>
        <w:t>[11]</w:t>
      </w:r>
      <w:r w:rsidR="00CF347B">
        <w:rPr>
          <w:rFonts w:eastAsia="Times New Roman"/>
          <w:sz w:val="22"/>
        </w:rPr>
        <w:t xml:space="preserve">M.S. </w:t>
      </w:r>
      <w:r w:rsidR="00100B41" w:rsidRPr="00811F51">
        <w:rPr>
          <w:rFonts w:eastAsia="Times New Roman"/>
          <w:sz w:val="22"/>
        </w:rPr>
        <w:t xml:space="preserve">Weisbach, </w:t>
      </w:r>
      <w:r w:rsidR="00F63FEA" w:rsidRPr="00811F51">
        <w:rPr>
          <w:rFonts w:eastAsia="Times New Roman"/>
          <w:sz w:val="22"/>
        </w:rPr>
        <w:t>“</w:t>
      </w:r>
      <w:r w:rsidR="00100B41" w:rsidRPr="00811F51">
        <w:rPr>
          <w:rFonts w:eastAsia="Times New Roman"/>
          <w:sz w:val="22"/>
        </w:rPr>
        <w:t>Outside directors and CEO turnover</w:t>
      </w:r>
      <w:r w:rsidR="00F63FEA" w:rsidRPr="00811F51">
        <w:rPr>
          <w:rFonts w:eastAsia="Times New Roman"/>
          <w:sz w:val="22"/>
        </w:rPr>
        <w:t>”</w:t>
      </w:r>
      <w:r w:rsidR="00100B41" w:rsidRPr="00811F51">
        <w:rPr>
          <w:rFonts w:eastAsia="Times New Roman"/>
          <w:sz w:val="22"/>
        </w:rPr>
        <w:t xml:space="preserve">, </w:t>
      </w:r>
      <w:r w:rsidR="00100B41" w:rsidRPr="00CF347B">
        <w:rPr>
          <w:rFonts w:eastAsia="Times New Roman"/>
          <w:sz w:val="22"/>
        </w:rPr>
        <w:t>Journal of Financial Economics</w:t>
      </w:r>
      <w:r w:rsidR="00F63FEA" w:rsidRPr="00811F51">
        <w:rPr>
          <w:rFonts w:eastAsia="Times New Roman"/>
          <w:sz w:val="22"/>
        </w:rPr>
        <w:t>,</w:t>
      </w:r>
      <w:r w:rsidR="00CF347B">
        <w:rPr>
          <w:rFonts w:eastAsia="Times New Roman"/>
          <w:sz w:val="22"/>
        </w:rPr>
        <w:t xml:space="preserve"> Vol. </w:t>
      </w:r>
      <w:r w:rsidR="00100B41" w:rsidRPr="00811F51">
        <w:rPr>
          <w:rFonts w:eastAsia="Times New Roman"/>
          <w:sz w:val="22"/>
        </w:rPr>
        <w:t xml:space="preserve">20, </w:t>
      </w:r>
      <w:r w:rsidR="00CF347B" w:rsidRPr="00811F51">
        <w:rPr>
          <w:rFonts w:eastAsia="Times New Roman"/>
          <w:sz w:val="22"/>
        </w:rPr>
        <w:t xml:space="preserve">(1988), </w:t>
      </w:r>
      <w:r w:rsidR="00CF347B">
        <w:rPr>
          <w:rFonts w:eastAsia="Times New Roman"/>
          <w:sz w:val="22"/>
        </w:rPr>
        <w:t xml:space="preserve">Pages </w:t>
      </w:r>
      <w:r w:rsidR="00100B41" w:rsidRPr="00811F51">
        <w:rPr>
          <w:rFonts w:eastAsia="Times New Roman"/>
          <w:sz w:val="22"/>
        </w:rPr>
        <w:t xml:space="preserve">431–60. </w:t>
      </w:r>
    </w:p>
    <w:p w:rsidR="00EF1CDF" w:rsidRPr="00811F51" w:rsidRDefault="00EF1CDF" w:rsidP="00811F51">
      <w:pPr>
        <w:spacing w:line="240" w:lineRule="auto"/>
        <w:jc w:val="both"/>
        <w:rPr>
          <w:rFonts w:eastAsia="Times New Roman"/>
          <w:sz w:val="22"/>
        </w:rPr>
      </w:pPr>
      <w:r w:rsidRPr="00811F51">
        <w:rPr>
          <w:sz w:val="22"/>
        </w:rPr>
        <w:t>[12]</w:t>
      </w:r>
      <w:r w:rsidR="00CF347B">
        <w:rPr>
          <w:rFonts w:eastAsia="Times New Roman"/>
          <w:sz w:val="22"/>
        </w:rPr>
        <w:t xml:space="preserve">J. </w:t>
      </w:r>
      <w:r w:rsidR="00100B41" w:rsidRPr="00811F51">
        <w:rPr>
          <w:rFonts w:eastAsia="Times New Roman"/>
          <w:sz w:val="22"/>
        </w:rPr>
        <w:t>Pfeffe</w:t>
      </w:r>
      <w:r w:rsidR="00F63FEA" w:rsidRPr="00811F51">
        <w:rPr>
          <w:rFonts w:eastAsia="Times New Roman"/>
          <w:sz w:val="22"/>
        </w:rPr>
        <w:t xml:space="preserve">r, </w:t>
      </w:r>
      <w:r w:rsidR="00CF347B">
        <w:rPr>
          <w:rFonts w:eastAsia="Times New Roman"/>
          <w:sz w:val="22"/>
        </w:rPr>
        <w:t xml:space="preserve">and G.R. </w:t>
      </w:r>
      <w:r w:rsidR="00F63FEA" w:rsidRPr="00811F51">
        <w:rPr>
          <w:rFonts w:eastAsia="Times New Roman"/>
          <w:sz w:val="22"/>
        </w:rPr>
        <w:t>Salancik, “</w:t>
      </w:r>
      <w:r w:rsidR="00100B41" w:rsidRPr="00811F51">
        <w:rPr>
          <w:rFonts w:eastAsia="Times New Roman"/>
          <w:sz w:val="22"/>
        </w:rPr>
        <w:t>The external control of organizations: A resource dependence perspective</w:t>
      </w:r>
      <w:r w:rsidR="00F63FEA" w:rsidRPr="00811F51">
        <w:rPr>
          <w:rFonts w:eastAsia="Times New Roman"/>
          <w:sz w:val="22"/>
        </w:rPr>
        <w:t>”,</w:t>
      </w:r>
      <w:r w:rsidR="00CF347B">
        <w:rPr>
          <w:rFonts w:eastAsia="Times New Roman"/>
          <w:sz w:val="22"/>
        </w:rPr>
        <w:t xml:space="preserve"> Stanford University Press,</w:t>
      </w:r>
      <w:r w:rsidR="00A94652">
        <w:rPr>
          <w:rFonts w:eastAsia="Times New Roman"/>
          <w:sz w:val="22"/>
        </w:rPr>
        <w:t>(2003)</w:t>
      </w:r>
    </w:p>
    <w:p w:rsidR="00EF1CDF" w:rsidRPr="00811F51" w:rsidRDefault="00EF1CDF" w:rsidP="00811F51">
      <w:pPr>
        <w:spacing w:line="240" w:lineRule="auto"/>
        <w:jc w:val="both"/>
        <w:rPr>
          <w:rFonts w:eastAsia="Times New Roman"/>
          <w:sz w:val="22"/>
        </w:rPr>
      </w:pPr>
      <w:r w:rsidRPr="00811F51">
        <w:rPr>
          <w:sz w:val="22"/>
        </w:rPr>
        <w:t>[13]</w:t>
      </w:r>
      <w:r w:rsidR="00CF347B">
        <w:rPr>
          <w:rFonts w:eastAsia="Times New Roman"/>
          <w:sz w:val="22"/>
        </w:rPr>
        <w:t xml:space="preserve">Y. </w:t>
      </w:r>
      <w:r w:rsidR="00100B41" w:rsidRPr="00811F51">
        <w:rPr>
          <w:rFonts w:eastAsia="Times New Roman"/>
          <w:sz w:val="22"/>
        </w:rPr>
        <w:t xml:space="preserve">Wen, </w:t>
      </w:r>
      <w:r w:rsidR="00CF347B">
        <w:rPr>
          <w:rFonts w:eastAsia="Times New Roman"/>
          <w:sz w:val="22"/>
        </w:rPr>
        <w:t xml:space="preserve">K. </w:t>
      </w:r>
      <w:r w:rsidR="00100B41" w:rsidRPr="00811F51">
        <w:rPr>
          <w:rFonts w:eastAsia="Times New Roman"/>
          <w:sz w:val="22"/>
        </w:rPr>
        <w:t>Rwegasir</w:t>
      </w:r>
      <w:r w:rsidR="00F63FEA" w:rsidRPr="00811F51">
        <w:rPr>
          <w:rFonts w:eastAsia="Times New Roman"/>
          <w:sz w:val="22"/>
        </w:rPr>
        <w:t xml:space="preserve">a, and </w:t>
      </w:r>
      <w:r w:rsidR="00CF347B">
        <w:rPr>
          <w:rFonts w:eastAsia="Times New Roman"/>
          <w:sz w:val="22"/>
        </w:rPr>
        <w:t xml:space="preserve">J. </w:t>
      </w:r>
      <w:r w:rsidR="00F63FEA" w:rsidRPr="00811F51">
        <w:rPr>
          <w:rFonts w:eastAsia="Times New Roman"/>
          <w:sz w:val="22"/>
        </w:rPr>
        <w:t>Bilderbeek, “</w:t>
      </w:r>
      <w:r w:rsidR="00100B41" w:rsidRPr="00811F51">
        <w:rPr>
          <w:rFonts w:eastAsia="Times New Roman"/>
          <w:sz w:val="22"/>
        </w:rPr>
        <w:t>Corporate governance and capital structure decisions of the Chinese listed firms</w:t>
      </w:r>
      <w:r w:rsidR="00F63FEA" w:rsidRPr="00811F51">
        <w:rPr>
          <w:rFonts w:eastAsia="Times New Roman"/>
          <w:sz w:val="22"/>
        </w:rPr>
        <w:t>”,</w:t>
      </w:r>
      <w:r w:rsidR="00100B41" w:rsidRPr="006432E2">
        <w:rPr>
          <w:rFonts w:eastAsia="Times New Roman"/>
          <w:sz w:val="22"/>
        </w:rPr>
        <w:t xml:space="preserve">Corporate Governance: An International Review, </w:t>
      </w:r>
      <w:r w:rsidR="006432E2">
        <w:rPr>
          <w:rFonts w:eastAsia="Times New Roman"/>
          <w:sz w:val="22"/>
        </w:rPr>
        <w:t>Vol.</w:t>
      </w:r>
      <w:r w:rsidR="00100B41" w:rsidRPr="00811F51">
        <w:rPr>
          <w:rFonts w:eastAsia="Times New Roman"/>
          <w:sz w:val="22"/>
        </w:rPr>
        <w:t>10</w:t>
      </w:r>
      <w:r w:rsidR="006432E2">
        <w:rPr>
          <w:rFonts w:eastAsia="Times New Roman"/>
          <w:sz w:val="22"/>
        </w:rPr>
        <w:t>, NO.2</w:t>
      </w:r>
      <w:r w:rsidR="00100B41" w:rsidRPr="00811F51">
        <w:rPr>
          <w:rFonts w:eastAsia="Times New Roman"/>
          <w:sz w:val="22"/>
        </w:rPr>
        <w:t xml:space="preserve">, </w:t>
      </w:r>
      <w:r w:rsidR="006432E2" w:rsidRPr="00811F51">
        <w:rPr>
          <w:rFonts w:eastAsia="Times New Roman"/>
          <w:sz w:val="22"/>
        </w:rPr>
        <w:t xml:space="preserve">(2002), </w:t>
      </w:r>
      <w:r w:rsidR="006432E2">
        <w:rPr>
          <w:rFonts w:eastAsia="Times New Roman"/>
          <w:sz w:val="22"/>
        </w:rPr>
        <w:t>Pages</w:t>
      </w:r>
      <w:r w:rsidR="00100B41" w:rsidRPr="00811F51">
        <w:rPr>
          <w:rFonts w:eastAsia="Times New Roman"/>
          <w:sz w:val="22"/>
        </w:rPr>
        <w:t xml:space="preserve">75-83. </w:t>
      </w:r>
    </w:p>
    <w:p w:rsidR="00EF1CDF" w:rsidRPr="006432E2" w:rsidRDefault="00EF1CDF" w:rsidP="00811F51">
      <w:pPr>
        <w:spacing w:before="200" w:after="200" w:line="240" w:lineRule="auto"/>
        <w:rPr>
          <w:sz w:val="22"/>
        </w:rPr>
      </w:pPr>
      <w:r w:rsidRPr="006432E2">
        <w:rPr>
          <w:sz w:val="22"/>
        </w:rPr>
        <w:t>[14]</w:t>
      </w:r>
      <w:r w:rsidR="006432E2" w:rsidRPr="006432E2">
        <w:rPr>
          <w:sz w:val="22"/>
        </w:rPr>
        <w:t xml:space="preserve">B. </w:t>
      </w:r>
      <w:r w:rsidR="00811F51" w:rsidRPr="006432E2">
        <w:rPr>
          <w:sz w:val="22"/>
        </w:rPr>
        <w:t xml:space="preserve">Altuwaijri, </w:t>
      </w:r>
      <w:r w:rsidR="006432E2" w:rsidRPr="006432E2">
        <w:rPr>
          <w:sz w:val="22"/>
        </w:rPr>
        <w:t xml:space="preserve"> L. </w:t>
      </w:r>
      <w:r w:rsidR="00811F51" w:rsidRPr="006432E2">
        <w:rPr>
          <w:sz w:val="22"/>
        </w:rPr>
        <w:t xml:space="preserve">Kalyanaraman, “Is ‘Excess’ Board Independence Good for Firm Performance? An Empirical Investigation of Non-financial Listed Firms in Saudi Arabia”, International Journal of financial research, </w:t>
      </w:r>
      <w:r w:rsidR="006432E2" w:rsidRPr="006432E2">
        <w:rPr>
          <w:sz w:val="22"/>
        </w:rPr>
        <w:t>Vol.</w:t>
      </w:r>
      <w:r w:rsidR="00811F51" w:rsidRPr="006432E2">
        <w:rPr>
          <w:sz w:val="22"/>
        </w:rPr>
        <w:t>7</w:t>
      </w:r>
      <w:r w:rsidR="006432E2" w:rsidRPr="006432E2">
        <w:rPr>
          <w:sz w:val="22"/>
        </w:rPr>
        <w:t>, No.2</w:t>
      </w:r>
      <w:r w:rsidR="00811F51" w:rsidRPr="006432E2">
        <w:rPr>
          <w:sz w:val="22"/>
        </w:rPr>
        <w:t xml:space="preserve">, </w:t>
      </w:r>
      <w:r w:rsidR="006432E2" w:rsidRPr="006432E2">
        <w:rPr>
          <w:sz w:val="22"/>
        </w:rPr>
        <w:t xml:space="preserve">(2016),  </w:t>
      </w:r>
      <w:r w:rsidR="001C21D6" w:rsidRPr="006432E2">
        <w:rPr>
          <w:sz w:val="22"/>
        </w:rPr>
        <w:t>(</w:t>
      </w:r>
      <w:r w:rsidR="00811F51" w:rsidRPr="006432E2">
        <w:rPr>
          <w:sz w:val="22"/>
        </w:rPr>
        <w:t>In Press</w:t>
      </w:r>
      <w:r w:rsidR="001C21D6" w:rsidRPr="006432E2">
        <w:rPr>
          <w:sz w:val="22"/>
        </w:rPr>
        <w:t>).</w:t>
      </w:r>
    </w:p>
    <w:p w:rsidR="00100B41" w:rsidRPr="00811F51" w:rsidRDefault="00EF1CDF" w:rsidP="00811F51">
      <w:pPr>
        <w:spacing w:after="0" w:line="240" w:lineRule="auto"/>
        <w:jc w:val="both"/>
        <w:rPr>
          <w:sz w:val="22"/>
        </w:rPr>
      </w:pPr>
      <w:r w:rsidRPr="00811F51">
        <w:rPr>
          <w:sz w:val="22"/>
        </w:rPr>
        <w:t>[15]</w:t>
      </w:r>
      <w:r w:rsidR="006432E2">
        <w:rPr>
          <w:rFonts w:eastAsia="Times New Roman"/>
          <w:sz w:val="22"/>
        </w:rPr>
        <w:t xml:space="preserve">S. </w:t>
      </w:r>
      <w:r w:rsidR="004A14AC" w:rsidRPr="00811F51">
        <w:rPr>
          <w:rFonts w:eastAsia="Times New Roman"/>
          <w:sz w:val="22"/>
        </w:rPr>
        <w:t xml:space="preserve">Claessens, </w:t>
      </w:r>
      <w:r w:rsidR="006432E2">
        <w:rPr>
          <w:rFonts w:eastAsia="Times New Roman"/>
          <w:sz w:val="22"/>
        </w:rPr>
        <w:t xml:space="preserve">S. </w:t>
      </w:r>
      <w:r w:rsidR="004A14AC" w:rsidRPr="00811F51">
        <w:rPr>
          <w:rFonts w:eastAsia="Times New Roman"/>
          <w:sz w:val="22"/>
        </w:rPr>
        <w:t xml:space="preserve">Djankov, </w:t>
      </w:r>
      <w:r w:rsidR="006432E2" w:rsidRPr="00811F51">
        <w:rPr>
          <w:rFonts w:eastAsia="Times New Roman"/>
          <w:sz w:val="22"/>
        </w:rPr>
        <w:t>J</w:t>
      </w:r>
      <w:r w:rsidR="006432E2">
        <w:rPr>
          <w:rFonts w:eastAsia="Times New Roman"/>
          <w:sz w:val="22"/>
        </w:rPr>
        <w:t>.P.</w:t>
      </w:r>
      <w:r w:rsidR="006432E2" w:rsidRPr="00811F51">
        <w:rPr>
          <w:rFonts w:eastAsia="Times New Roman"/>
          <w:sz w:val="22"/>
        </w:rPr>
        <w:t xml:space="preserve">H. </w:t>
      </w:r>
      <w:r w:rsidR="004A14AC" w:rsidRPr="00811F51">
        <w:rPr>
          <w:rFonts w:eastAsia="Times New Roman"/>
          <w:sz w:val="22"/>
        </w:rPr>
        <w:t xml:space="preserve">Fan, </w:t>
      </w:r>
      <w:r w:rsidR="006432E2">
        <w:rPr>
          <w:rFonts w:eastAsia="Times New Roman"/>
          <w:sz w:val="22"/>
        </w:rPr>
        <w:t>andL.H.</w:t>
      </w:r>
      <w:r w:rsidR="006432E2" w:rsidRPr="00811F51">
        <w:rPr>
          <w:rFonts w:eastAsia="Times New Roman"/>
          <w:sz w:val="22"/>
        </w:rPr>
        <w:t xml:space="preserve">P. </w:t>
      </w:r>
      <w:r w:rsidR="00F63FEA" w:rsidRPr="00811F51">
        <w:rPr>
          <w:rFonts w:eastAsia="Times New Roman"/>
          <w:sz w:val="22"/>
        </w:rPr>
        <w:t>Lang, “</w:t>
      </w:r>
      <w:r w:rsidR="004A14AC" w:rsidRPr="00811F51">
        <w:rPr>
          <w:rFonts w:eastAsia="Times New Roman"/>
          <w:sz w:val="22"/>
        </w:rPr>
        <w:t>Disentangling the incentive and entrenchment effects of large shareholdings</w:t>
      </w:r>
      <w:r w:rsidR="00F63FEA" w:rsidRPr="00811F51">
        <w:rPr>
          <w:rFonts w:eastAsia="Times New Roman"/>
          <w:sz w:val="22"/>
        </w:rPr>
        <w:t>”,</w:t>
      </w:r>
      <w:r w:rsidR="006432E2">
        <w:rPr>
          <w:rFonts w:eastAsia="Times New Roman"/>
          <w:sz w:val="22"/>
        </w:rPr>
        <w:t xml:space="preserve">Journal </w:t>
      </w:r>
      <w:r w:rsidR="004A14AC" w:rsidRPr="006432E2">
        <w:rPr>
          <w:rFonts w:eastAsia="Times New Roman"/>
          <w:sz w:val="22"/>
        </w:rPr>
        <w:t>of finance,</w:t>
      </w:r>
      <w:r w:rsidR="006432E2">
        <w:rPr>
          <w:rFonts w:eastAsia="Times New Roman"/>
          <w:sz w:val="22"/>
        </w:rPr>
        <w:t>Vol.</w:t>
      </w:r>
      <w:r w:rsidR="004A14AC" w:rsidRPr="00811F51">
        <w:rPr>
          <w:rFonts w:eastAsia="Times New Roman"/>
          <w:sz w:val="22"/>
        </w:rPr>
        <w:t>57</w:t>
      </w:r>
      <w:r w:rsidR="006432E2">
        <w:rPr>
          <w:rFonts w:eastAsia="Times New Roman"/>
          <w:sz w:val="22"/>
        </w:rPr>
        <w:t>, NO.</w:t>
      </w:r>
      <w:r w:rsidR="004A14AC" w:rsidRPr="00811F51">
        <w:rPr>
          <w:rFonts w:eastAsia="Times New Roman"/>
          <w:sz w:val="22"/>
        </w:rPr>
        <w:t>6</w:t>
      </w:r>
      <w:r w:rsidR="006432E2">
        <w:rPr>
          <w:rFonts w:eastAsia="Times New Roman"/>
          <w:sz w:val="22"/>
        </w:rPr>
        <w:t xml:space="preserve">, </w:t>
      </w:r>
      <w:r w:rsidR="006432E2" w:rsidRPr="00811F51">
        <w:rPr>
          <w:rFonts w:eastAsia="Times New Roman"/>
          <w:sz w:val="22"/>
        </w:rPr>
        <w:t xml:space="preserve">(2002), </w:t>
      </w:r>
      <w:r w:rsidR="006432E2">
        <w:rPr>
          <w:rFonts w:eastAsia="Times New Roman"/>
          <w:sz w:val="22"/>
        </w:rPr>
        <w:t xml:space="preserve">Pages </w:t>
      </w:r>
      <w:r w:rsidR="004A14AC" w:rsidRPr="00811F51">
        <w:rPr>
          <w:rFonts w:eastAsia="Times New Roman"/>
          <w:sz w:val="22"/>
        </w:rPr>
        <w:t>2741-2771</w:t>
      </w:r>
    </w:p>
    <w:tbl>
      <w:tblPr>
        <w:tblW w:w="1320" w:type="dxa"/>
        <w:tblInd w:w="93" w:type="dxa"/>
        <w:tblLook w:val="04A0"/>
      </w:tblPr>
      <w:tblGrid>
        <w:gridCol w:w="1320"/>
      </w:tblGrid>
      <w:tr w:rsidR="00F63FEA" w:rsidRPr="00811F51" w:rsidTr="00F63FEA">
        <w:trPr>
          <w:trHeight w:val="360"/>
        </w:trPr>
        <w:tc>
          <w:tcPr>
            <w:tcW w:w="1320" w:type="dxa"/>
            <w:tcBorders>
              <w:top w:val="nil"/>
              <w:left w:val="nil"/>
              <w:bottom w:val="nil"/>
              <w:right w:val="nil"/>
            </w:tcBorders>
            <w:shd w:val="clear" w:color="auto" w:fill="auto"/>
            <w:noWrap/>
            <w:vAlign w:val="bottom"/>
            <w:hideMark/>
          </w:tcPr>
          <w:p w:rsidR="00F63FEA" w:rsidRPr="00811F51" w:rsidRDefault="00F63FEA" w:rsidP="00811F51">
            <w:pPr>
              <w:spacing w:after="0" w:line="240" w:lineRule="auto"/>
              <w:rPr>
                <w:rFonts w:eastAsia="Times New Roman"/>
                <w:sz w:val="22"/>
              </w:rPr>
            </w:pPr>
          </w:p>
        </w:tc>
      </w:tr>
    </w:tbl>
    <w:p w:rsidR="00EF1CDF" w:rsidRPr="00811F51" w:rsidRDefault="00EF1CDF" w:rsidP="00811F51">
      <w:pPr>
        <w:spacing w:line="240" w:lineRule="auto"/>
        <w:jc w:val="both"/>
        <w:rPr>
          <w:rFonts w:eastAsia="Times New Roman"/>
          <w:sz w:val="22"/>
        </w:rPr>
      </w:pPr>
      <w:r w:rsidRPr="00811F51">
        <w:rPr>
          <w:sz w:val="22"/>
        </w:rPr>
        <w:t>[16]</w:t>
      </w:r>
      <w:r w:rsidR="006432E2">
        <w:rPr>
          <w:rFonts w:eastAsia="Times New Roman"/>
          <w:sz w:val="22"/>
        </w:rPr>
        <w:t xml:space="preserve">M.C, </w:t>
      </w:r>
      <w:r w:rsidR="00F63FEA" w:rsidRPr="00811F51">
        <w:rPr>
          <w:rFonts w:eastAsia="Times New Roman"/>
          <w:sz w:val="22"/>
        </w:rPr>
        <w:t>Jensen, “</w:t>
      </w:r>
      <w:r w:rsidR="00100B41" w:rsidRPr="00811F51">
        <w:rPr>
          <w:rFonts w:eastAsia="Times New Roman"/>
          <w:sz w:val="22"/>
        </w:rPr>
        <w:t>Agency costs of free cash flow, corporate finance, and takeovers</w:t>
      </w:r>
      <w:r w:rsidR="00F63FEA" w:rsidRPr="00811F51">
        <w:rPr>
          <w:rFonts w:eastAsia="Times New Roman"/>
          <w:sz w:val="22"/>
        </w:rPr>
        <w:t xml:space="preserve">”, </w:t>
      </w:r>
      <w:r w:rsidR="00100B41" w:rsidRPr="006432E2">
        <w:rPr>
          <w:rFonts w:eastAsia="Times New Roman"/>
          <w:sz w:val="22"/>
        </w:rPr>
        <w:t>American Economic Review</w:t>
      </w:r>
      <w:r w:rsidR="00100B41" w:rsidRPr="00811F51">
        <w:rPr>
          <w:rFonts w:eastAsia="Times New Roman"/>
          <w:sz w:val="22"/>
        </w:rPr>
        <w:t xml:space="preserve">, </w:t>
      </w:r>
      <w:r w:rsidR="006432E2">
        <w:rPr>
          <w:rFonts w:eastAsia="Times New Roman"/>
          <w:sz w:val="22"/>
        </w:rPr>
        <w:t>Vol.</w:t>
      </w:r>
      <w:r w:rsidR="00100B41" w:rsidRPr="00811F51">
        <w:rPr>
          <w:rFonts w:eastAsia="Times New Roman"/>
          <w:sz w:val="22"/>
        </w:rPr>
        <w:t xml:space="preserve">76, </w:t>
      </w:r>
      <w:r w:rsidR="006432E2" w:rsidRPr="00811F51">
        <w:rPr>
          <w:rFonts w:eastAsia="Times New Roman"/>
          <w:sz w:val="22"/>
        </w:rPr>
        <w:t xml:space="preserve">(1986), </w:t>
      </w:r>
      <w:r w:rsidR="006432E2">
        <w:rPr>
          <w:rFonts w:eastAsia="Times New Roman"/>
          <w:sz w:val="22"/>
        </w:rPr>
        <w:t xml:space="preserve">Pages </w:t>
      </w:r>
      <w:r w:rsidR="00100B41" w:rsidRPr="00811F51">
        <w:rPr>
          <w:rFonts w:eastAsia="Times New Roman"/>
          <w:sz w:val="22"/>
        </w:rPr>
        <w:t>323–329.</w:t>
      </w:r>
    </w:p>
    <w:p w:rsidR="00EF1CDF" w:rsidRPr="00811F51" w:rsidRDefault="00EF1CDF" w:rsidP="00811F51">
      <w:pPr>
        <w:spacing w:line="240" w:lineRule="auto"/>
        <w:jc w:val="both"/>
        <w:rPr>
          <w:rFonts w:eastAsia="Times New Roman"/>
          <w:sz w:val="22"/>
        </w:rPr>
      </w:pPr>
      <w:r w:rsidRPr="00811F51">
        <w:rPr>
          <w:sz w:val="22"/>
        </w:rPr>
        <w:t>[17]</w:t>
      </w:r>
      <w:r w:rsidR="006432E2">
        <w:rPr>
          <w:rFonts w:eastAsia="Times New Roman"/>
          <w:sz w:val="22"/>
        </w:rPr>
        <w:t xml:space="preserve">M. </w:t>
      </w:r>
      <w:r w:rsidR="00F63FEA" w:rsidRPr="00811F51">
        <w:rPr>
          <w:rFonts w:eastAsia="Times New Roman"/>
          <w:sz w:val="22"/>
        </w:rPr>
        <w:t xml:space="preserve">Jensen, and </w:t>
      </w:r>
      <w:r w:rsidR="006432E2">
        <w:rPr>
          <w:rFonts w:eastAsia="Times New Roman"/>
          <w:sz w:val="22"/>
        </w:rPr>
        <w:t xml:space="preserve">K. </w:t>
      </w:r>
      <w:r w:rsidR="00F63FEA" w:rsidRPr="00811F51">
        <w:rPr>
          <w:rFonts w:eastAsia="Times New Roman"/>
          <w:sz w:val="22"/>
        </w:rPr>
        <w:t>Murphy, “</w:t>
      </w:r>
      <w:r w:rsidR="00100B41" w:rsidRPr="00811F51">
        <w:rPr>
          <w:rFonts w:eastAsia="Times New Roman"/>
          <w:sz w:val="22"/>
        </w:rPr>
        <w:t>Performance pay and top-managerial incentives</w:t>
      </w:r>
      <w:r w:rsidR="00F63FEA" w:rsidRPr="00811F51">
        <w:rPr>
          <w:rFonts w:eastAsia="Times New Roman"/>
          <w:sz w:val="22"/>
        </w:rPr>
        <w:t>”</w:t>
      </w:r>
      <w:r w:rsidR="00100B41" w:rsidRPr="00811F51">
        <w:rPr>
          <w:rFonts w:eastAsia="Times New Roman"/>
          <w:sz w:val="22"/>
        </w:rPr>
        <w:t xml:space="preserve">, </w:t>
      </w:r>
      <w:r w:rsidR="00100B41" w:rsidRPr="006432E2">
        <w:rPr>
          <w:rFonts w:eastAsia="Times New Roman"/>
          <w:sz w:val="22"/>
        </w:rPr>
        <w:t xml:space="preserve">Journal of political economy, </w:t>
      </w:r>
      <w:r w:rsidR="006432E2">
        <w:rPr>
          <w:rFonts w:eastAsia="Times New Roman"/>
          <w:sz w:val="22"/>
        </w:rPr>
        <w:t>Vol.</w:t>
      </w:r>
      <w:r w:rsidR="0085044F" w:rsidRPr="00811F51">
        <w:rPr>
          <w:rFonts w:eastAsia="Times New Roman"/>
          <w:sz w:val="22"/>
        </w:rPr>
        <w:t>98</w:t>
      </w:r>
      <w:r w:rsidR="006432E2">
        <w:rPr>
          <w:rFonts w:eastAsia="Times New Roman"/>
          <w:sz w:val="22"/>
        </w:rPr>
        <w:t>,</w:t>
      </w:r>
      <w:r w:rsidR="006432E2" w:rsidRPr="00811F51">
        <w:rPr>
          <w:rFonts w:eastAsia="Times New Roman"/>
          <w:sz w:val="22"/>
        </w:rPr>
        <w:t xml:space="preserve">(1990), </w:t>
      </w:r>
      <w:r w:rsidR="006432E2">
        <w:rPr>
          <w:rFonts w:eastAsia="Times New Roman"/>
          <w:sz w:val="22"/>
        </w:rPr>
        <w:t xml:space="preserve"> Pages</w:t>
      </w:r>
      <w:r w:rsidR="0085044F" w:rsidRPr="00811F51">
        <w:rPr>
          <w:rFonts w:eastAsia="Times New Roman"/>
          <w:sz w:val="22"/>
        </w:rPr>
        <w:t>225</w:t>
      </w:r>
      <w:r w:rsidR="009913BB">
        <w:rPr>
          <w:rFonts w:eastAsia="Times New Roman"/>
          <w:sz w:val="22"/>
        </w:rPr>
        <w:t>-264</w:t>
      </w:r>
    </w:p>
    <w:p w:rsidR="00EF1CDF" w:rsidRPr="00811F51" w:rsidRDefault="00EF1CDF" w:rsidP="00811F51">
      <w:pPr>
        <w:spacing w:line="240" w:lineRule="auto"/>
        <w:jc w:val="both"/>
        <w:rPr>
          <w:rFonts w:eastAsia="Times New Roman"/>
          <w:sz w:val="22"/>
        </w:rPr>
      </w:pPr>
      <w:r w:rsidRPr="00811F51">
        <w:rPr>
          <w:sz w:val="22"/>
        </w:rPr>
        <w:t>[18]</w:t>
      </w:r>
      <w:r w:rsidR="006432E2">
        <w:rPr>
          <w:rFonts w:eastAsia="Times New Roman"/>
          <w:sz w:val="22"/>
        </w:rPr>
        <w:t xml:space="preserve">M. </w:t>
      </w:r>
      <w:r w:rsidR="00100B41" w:rsidRPr="00811F51">
        <w:rPr>
          <w:rFonts w:eastAsia="Times New Roman"/>
          <w:sz w:val="22"/>
        </w:rPr>
        <w:t>Hus</w:t>
      </w:r>
      <w:r w:rsidR="00F63FEA" w:rsidRPr="00811F51">
        <w:rPr>
          <w:rFonts w:eastAsia="Times New Roman"/>
          <w:sz w:val="22"/>
        </w:rPr>
        <w:t xml:space="preserve">on, </w:t>
      </w:r>
      <w:r w:rsidR="006432E2">
        <w:rPr>
          <w:rFonts w:eastAsia="Times New Roman"/>
          <w:sz w:val="22"/>
        </w:rPr>
        <w:t xml:space="preserve"> R. </w:t>
      </w:r>
      <w:r w:rsidR="00F63FEA" w:rsidRPr="00811F51">
        <w:rPr>
          <w:rFonts w:eastAsia="Times New Roman"/>
          <w:sz w:val="22"/>
        </w:rPr>
        <w:t xml:space="preserve">Parrino, and </w:t>
      </w:r>
      <w:r w:rsidR="006432E2">
        <w:rPr>
          <w:rFonts w:eastAsia="Times New Roman"/>
          <w:sz w:val="22"/>
        </w:rPr>
        <w:t xml:space="preserve">L. </w:t>
      </w:r>
      <w:r w:rsidR="00F63FEA" w:rsidRPr="00811F51">
        <w:rPr>
          <w:rFonts w:eastAsia="Times New Roman"/>
          <w:sz w:val="22"/>
        </w:rPr>
        <w:t xml:space="preserve">Stark </w:t>
      </w:r>
      <w:r w:rsidR="00654523">
        <w:rPr>
          <w:rFonts w:eastAsia="Times New Roman"/>
          <w:sz w:val="22"/>
        </w:rPr>
        <w:t xml:space="preserve">, </w:t>
      </w:r>
      <w:r w:rsidR="00F63FEA" w:rsidRPr="00811F51">
        <w:rPr>
          <w:rFonts w:eastAsia="Times New Roman"/>
          <w:sz w:val="22"/>
        </w:rPr>
        <w:t>“</w:t>
      </w:r>
      <w:r w:rsidR="00100B41" w:rsidRPr="00811F51">
        <w:rPr>
          <w:rFonts w:eastAsia="Times New Roman"/>
          <w:sz w:val="22"/>
        </w:rPr>
        <w:t>Internal monitoring mechanisms and CEO turnover: a long-term perspective</w:t>
      </w:r>
      <w:r w:rsidR="00F63FEA" w:rsidRPr="00811F51">
        <w:rPr>
          <w:rFonts w:eastAsia="Times New Roman"/>
          <w:sz w:val="22"/>
        </w:rPr>
        <w:t>”</w:t>
      </w:r>
      <w:r w:rsidR="00100B41" w:rsidRPr="00811F51">
        <w:rPr>
          <w:rFonts w:eastAsia="Times New Roman"/>
          <w:sz w:val="22"/>
        </w:rPr>
        <w:t xml:space="preserve">, </w:t>
      </w:r>
      <w:r w:rsidR="00100B41" w:rsidRPr="00654523">
        <w:rPr>
          <w:rFonts w:eastAsia="Times New Roman"/>
          <w:sz w:val="22"/>
        </w:rPr>
        <w:t>Journal of finance,</w:t>
      </w:r>
      <w:r w:rsidR="00654523" w:rsidRPr="00811F51">
        <w:rPr>
          <w:rFonts w:eastAsia="Times New Roman"/>
          <w:sz w:val="22"/>
        </w:rPr>
        <w:t xml:space="preserve">(2001), </w:t>
      </w:r>
      <w:r w:rsidR="00654523">
        <w:rPr>
          <w:rFonts w:eastAsia="Times New Roman"/>
          <w:sz w:val="22"/>
        </w:rPr>
        <w:t xml:space="preserve">Pages </w:t>
      </w:r>
      <w:r w:rsidR="00100B41" w:rsidRPr="00811F51">
        <w:rPr>
          <w:rFonts w:eastAsia="Times New Roman"/>
          <w:sz w:val="22"/>
        </w:rPr>
        <w:t>2265-2297.</w:t>
      </w:r>
    </w:p>
    <w:p w:rsidR="00EF1CDF" w:rsidRPr="00811F51" w:rsidRDefault="00EF1CDF" w:rsidP="00811F51">
      <w:pPr>
        <w:spacing w:line="240" w:lineRule="auto"/>
        <w:jc w:val="both"/>
        <w:rPr>
          <w:rFonts w:eastAsia="Times New Roman"/>
          <w:sz w:val="22"/>
        </w:rPr>
      </w:pPr>
      <w:r w:rsidRPr="00811F51">
        <w:rPr>
          <w:sz w:val="22"/>
        </w:rPr>
        <w:t>[19]</w:t>
      </w:r>
      <w:r w:rsidR="00654523">
        <w:rPr>
          <w:rFonts w:eastAsia="Times New Roman"/>
          <w:sz w:val="22"/>
        </w:rPr>
        <w:t xml:space="preserve">B. </w:t>
      </w:r>
      <w:r w:rsidR="00F63FEA" w:rsidRPr="00811F51">
        <w:rPr>
          <w:rFonts w:eastAsia="Times New Roman"/>
          <w:sz w:val="22"/>
        </w:rPr>
        <w:t xml:space="preserve">Jackling, and </w:t>
      </w:r>
      <w:r w:rsidR="00654523">
        <w:rPr>
          <w:rFonts w:eastAsia="Times New Roman"/>
          <w:sz w:val="22"/>
        </w:rPr>
        <w:t xml:space="preserve">S. </w:t>
      </w:r>
      <w:r w:rsidR="00F63FEA" w:rsidRPr="00811F51">
        <w:rPr>
          <w:rFonts w:eastAsia="Times New Roman"/>
          <w:sz w:val="22"/>
        </w:rPr>
        <w:t>Johl, “</w:t>
      </w:r>
      <w:r w:rsidR="00100B41" w:rsidRPr="00811F51">
        <w:rPr>
          <w:rFonts w:eastAsia="Times New Roman"/>
          <w:sz w:val="22"/>
        </w:rPr>
        <w:t>Board structure and firm performance: evidence from India's top companies</w:t>
      </w:r>
      <w:r w:rsidR="004C7220" w:rsidRPr="00811F51">
        <w:rPr>
          <w:rFonts w:eastAsia="Times New Roman"/>
          <w:sz w:val="22"/>
        </w:rPr>
        <w:t>”,</w:t>
      </w:r>
      <w:r w:rsidR="00100B41" w:rsidRPr="00654523">
        <w:rPr>
          <w:rFonts w:eastAsia="Times New Roman"/>
          <w:sz w:val="22"/>
        </w:rPr>
        <w:t>Corporate governance: An international review</w:t>
      </w:r>
      <w:r w:rsidR="00100B41" w:rsidRPr="00811F51">
        <w:rPr>
          <w:rFonts w:eastAsia="Times New Roman"/>
          <w:sz w:val="22"/>
        </w:rPr>
        <w:t xml:space="preserve">, </w:t>
      </w:r>
      <w:r w:rsidR="00654523">
        <w:rPr>
          <w:rFonts w:eastAsia="Times New Roman"/>
          <w:sz w:val="22"/>
        </w:rPr>
        <w:t>Vol.</w:t>
      </w:r>
      <w:r w:rsidR="00100B41" w:rsidRPr="00811F51">
        <w:rPr>
          <w:rFonts w:eastAsia="Times New Roman"/>
          <w:sz w:val="22"/>
        </w:rPr>
        <w:t xml:space="preserve">17, </w:t>
      </w:r>
      <w:r w:rsidR="00654523" w:rsidRPr="00811F51">
        <w:rPr>
          <w:rFonts w:eastAsia="Times New Roman"/>
          <w:sz w:val="22"/>
        </w:rPr>
        <w:t xml:space="preserve">(2009), </w:t>
      </w:r>
      <w:r w:rsidR="00654523">
        <w:rPr>
          <w:rFonts w:eastAsia="Times New Roman"/>
          <w:sz w:val="22"/>
        </w:rPr>
        <w:t xml:space="preserve">Pages </w:t>
      </w:r>
      <w:r w:rsidR="00100B41" w:rsidRPr="00811F51">
        <w:rPr>
          <w:rFonts w:eastAsia="Times New Roman"/>
          <w:sz w:val="22"/>
        </w:rPr>
        <w:t>492-509</w:t>
      </w:r>
    </w:p>
    <w:p w:rsidR="00EF1CDF" w:rsidRPr="00811F51" w:rsidRDefault="00EF1CDF" w:rsidP="00811F51">
      <w:pPr>
        <w:spacing w:line="240" w:lineRule="auto"/>
        <w:jc w:val="both"/>
        <w:rPr>
          <w:rFonts w:eastAsia="Times New Roman"/>
          <w:sz w:val="22"/>
        </w:rPr>
      </w:pPr>
      <w:r w:rsidRPr="00811F51">
        <w:rPr>
          <w:sz w:val="22"/>
        </w:rPr>
        <w:t>[20]</w:t>
      </w:r>
      <w:r w:rsidR="00654523">
        <w:rPr>
          <w:rFonts w:eastAsia="Times New Roman"/>
          <w:sz w:val="22"/>
        </w:rPr>
        <w:t xml:space="preserve">I. </w:t>
      </w:r>
      <w:r w:rsidR="004C7220" w:rsidRPr="00811F51">
        <w:rPr>
          <w:rFonts w:eastAsia="Times New Roman"/>
          <w:sz w:val="22"/>
        </w:rPr>
        <w:t xml:space="preserve">Friend, and </w:t>
      </w:r>
      <w:r w:rsidR="00654523" w:rsidRPr="00811F51">
        <w:rPr>
          <w:rFonts w:eastAsia="Times New Roman"/>
          <w:sz w:val="22"/>
        </w:rPr>
        <w:t xml:space="preserve">L.H.P, </w:t>
      </w:r>
      <w:r w:rsidR="004C7220" w:rsidRPr="00811F51">
        <w:rPr>
          <w:rFonts w:eastAsia="Times New Roman"/>
          <w:sz w:val="22"/>
        </w:rPr>
        <w:t>Lang, “A</w:t>
      </w:r>
      <w:r w:rsidR="00100B41" w:rsidRPr="00811F51">
        <w:rPr>
          <w:rFonts w:eastAsia="Times New Roman"/>
          <w:sz w:val="22"/>
        </w:rPr>
        <w:t>n empirical test of the impact of managerial self-interest on corporate capital structure</w:t>
      </w:r>
      <w:r w:rsidR="004C7220" w:rsidRPr="00811F51">
        <w:rPr>
          <w:rFonts w:eastAsia="Times New Roman"/>
          <w:sz w:val="22"/>
        </w:rPr>
        <w:t>”,</w:t>
      </w:r>
      <w:r w:rsidR="00100B41" w:rsidRPr="00654523">
        <w:rPr>
          <w:rFonts w:eastAsia="Times New Roman"/>
          <w:sz w:val="22"/>
        </w:rPr>
        <w:t>Journal of finance</w:t>
      </w:r>
      <w:r w:rsidR="00654523" w:rsidRPr="00654523">
        <w:rPr>
          <w:rFonts w:eastAsia="Times New Roman"/>
          <w:sz w:val="22"/>
        </w:rPr>
        <w:t>,</w:t>
      </w:r>
      <w:r w:rsidR="00067812" w:rsidRPr="00811F51">
        <w:rPr>
          <w:rFonts w:eastAsia="Times New Roman"/>
          <w:sz w:val="22"/>
        </w:rPr>
        <w:t>Vol.</w:t>
      </w:r>
      <w:r w:rsidR="00067812">
        <w:rPr>
          <w:rFonts w:eastAsia="Times New Roman"/>
          <w:sz w:val="22"/>
        </w:rPr>
        <w:t>43, No.2,</w:t>
      </w:r>
      <w:r w:rsidR="00654523" w:rsidRPr="00811F51">
        <w:rPr>
          <w:rFonts w:eastAsia="Times New Roman"/>
          <w:sz w:val="22"/>
        </w:rPr>
        <w:t>(1988)</w:t>
      </w:r>
      <w:r w:rsidR="00654523">
        <w:rPr>
          <w:rFonts w:eastAsia="Times New Roman"/>
          <w:sz w:val="22"/>
        </w:rPr>
        <w:t>, Pages271</w:t>
      </w:r>
      <w:r w:rsidR="00100B41" w:rsidRPr="00811F51">
        <w:rPr>
          <w:rFonts w:eastAsia="Times New Roman"/>
          <w:sz w:val="22"/>
        </w:rPr>
        <w:t>-281.</w:t>
      </w:r>
    </w:p>
    <w:p w:rsidR="00EF1CDF" w:rsidRPr="00811F51" w:rsidRDefault="00EF1CDF" w:rsidP="00811F51">
      <w:pPr>
        <w:spacing w:line="240" w:lineRule="auto"/>
        <w:jc w:val="both"/>
        <w:rPr>
          <w:rFonts w:eastAsia="Times New Roman"/>
          <w:sz w:val="22"/>
        </w:rPr>
      </w:pPr>
      <w:r w:rsidRPr="00811F51">
        <w:rPr>
          <w:sz w:val="22"/>
        </w:rPr>
        <w:t>[21]</w:t>
      </w:r>
      <w:r w:rsidR="00654523">
        <w:rPr>
          <w:rFonts w:eastAsia="Times New Roman"/>
          <w:sz w:val="22"/>
        </w:rPr>
        <w:t xml:space="preserve">D. </w:t>
      </w:r>
      <w:r w:rsidR="00100B41" w:rsidRPr="00811F51">
        <w:rPr>
          <w:rFonts w:eastAsia="Times New Roman"/>
          <w:sz w:val="22"/>
        </w:rPr>
        <w:t xml:space="preserve">Dalton, </w:t>
      </w:r>
      <w:r w:rsidR="00654523">
        <w:rPr>
          <w:rFonts w:eastAsia="Times New Roman"/>
          <w:sz w:val="22"/>
        </w:rPr>
        <w:t xml:space="preserve">C. </w:t>
      </w:r>
      <w:r w:rsidR="00100B41" w:rsidRPr="00811F51">
        <w:rPr>
          <w:rFonts w:eastAsia="Times New Roman"/>
          <w:sz w:val="22"/>
        </w:rPr>
        <w:t xml:space="preserve">Daily, </w:t>
      </w:r>
      <w:r w:rsidR="00654523">
        <w:rPr>
          <w:rFonts w:eastAsia="Times New Roman"/>
          <w:sz w:val="22"/>
        </w:rPr>
        <w:t xml:space="preserve">A. </w:t>
      </w:r>
      <w:r w:rsidR="004C7220" w:rsidRPr="00811F51">
        <w:rPr>
          <w:rFonts w:eastAsia="Times New Roman"/>
          <w:sz w:val="22"/>
        </w:rPr>
        <w:t xml:space="preserve">Ellstrand, and </w:t>
      </w:r>
      <w:r w:rsidR="00654523">
        <w:rPr>
          <w:rFonts w:eastAsia="Times New Roman"/>
          <w:sz w:val="22"/>
        </w:rPr>
        <w:t xml:space="preserve">J. </w:t>
      </w:r>
      <w:r w:rsidR="004C7220" w:rsidRPr="00811F51">
        <w:rPr>
          <w:rFonts w:eastAsia="Times New Roman"/>
          <w:sz w:val="22"/>
        </w:rPr>
        <w:t xml:space="preserve">Johnson, </w:t>
      </w:r>
      <w:r w:rsidR="00100B41" w:rsidRPr="00811F51">
        <w:rPr>
          <w:rFonts w:eastAsia="Times New Roman"/>
          <w:sz w:val="22"/>
        </w:rPr>
        <w:t>"Meta-Analytic Reviews of Board Composition, Leadership Structure, and Financial Performance."</w:t>
      </w:r>
      <w:r w:rsidR="004C7220" w:rsidRPr="00811F51">
        <w:rPr>
          <w:rFonts w:eastAsia="Times New Roman"/>
          <w:sz w:val="22"/>
        </w:rPr>
        <w:t>,</w:t>
      </w:r>
      <w:r w:rsidR="00100B41" w:rsidRPr="00654523">
        <w:rPr>
          <w:rFonts w:eastAsia="Times New Roman"/>
          <w:sz w:val="22"/>
        </w:rPr>
        <w:t>Strategic Management Journal</w:t>
      </w:r>
      <w:r w:rsidR="00654523">
        <w:rPr>
          <w:rFonts w:eastAsia="Times New Roman"/>
          <w:sz w:val="22"/>
        </w:rPr>
        <w:t>, Vol.</w:t>
      </w:r>
      <w:r w:rsidR="00100B41" w:rsidRPr="00811F51">
        <w:rPr>
          <w:rFonts w:eastAsia="Times New Roman"/>
          <w:sz w:val="22"/>
        </w:rPr>
        <w:t>19</w:t>
      </w:r>
      <w:r w:rsidR="00654523">
        <w:rPr>
          <w:rFonts w:eastAsia="Times New Roman"/>
          <w:sz w:val="22"/>
        </w:rPr>
        <w:t xml:space="preserve">, NO.3, (1998),Pages </w:t>
      </w:r>
      <w:r w:rsidR="00100B41" w:rsidRPr="00811F51">
        <w:rPr>
          <w:rFonts w:eastAsia="Times New Roman"/>
          <w:sz w:val="22"/>
        </w:rPr>
        <w:t xml:space="preserve">269-290. </w:t>
      </w:r>
    </w:p>
    <w:p w:rsidR="00EF1CDF" w:rsidRPr="00811F51" w:rsidRDefault="00EF1CDF" w:rsidP="00811F51">
      <w:pPr>
        <w:spacing w:line="240" w:lineRule="auto"/>
        <w:jc w:val="both"/>
        <w:rPr>
          <w:rFonts w:eastAsia="Times New Roman"/>
          <w:sz w:val="22"/>
        </w:rPr>
      </w:pPr>
      <w:r w:rsidRPr="00811F51">
        <w:rPr>
          <w:sz w:val="22"/>
        </w:rPr>
        <w:t>[22]</w:t>
      </w:r>
      <w:r w:rsidR="00654523">
        <w:rPr>
          <w:rFonts w:eastAsia="Times New Roman"/>
          <w:sz w:val="22"/>
        </w:rPr>
        <w:t xml:space="preserve">J.W. </w:t>
      </w:r>
      <w:r w:rsidR="00100B41" w:rsidRPr="00811F51">
        <w:rPr>
          <w:rFonts w:eastAsia="Times New Roman"/>
          <w:sz w:val="22"/>
        </w:rPr>
        <w:t>Byrd</w:t>
      </w:r>
      <w:r w:rsidR="00654523">
        <w:rPr>
          <w:rFonts w:eastAsia="Times New Roman"/>
          <w:sz w:val="22"/>
        </w:rPr>
        <w:t xml:space="preserve">and K.A. </w:t>
      </w:r>
      <w:r w:rsidR="00100B41" w:rsidRPr="00811F51">
        <w:rPr>
          <w:rFonts w:eastAsia="Times New Roman"/>
          <w:sz w:val="22"/>
        </w:rPr>
        <w:t xml:space="preserve">Hickman, </w:t>
      </w:r>
      <w:r w:rsidR="004C7220" w:rsidRPr="00811F51">
        <w:rPr>
          <w:rFonts w:eastAsia="Times New Roman"/>
          <w:sz w:val="22"/>
        </w:rPr>
        <w:t>“</w:t>
      </w:r>
      <w:r w:rsidR="00100B41" w:rsidRPr="00811F51">
        <w:rPr>
          <w:rFonts w:eastAsia="Times New Roman"/>
          <w:sz w:val="22"/>
        </w:rPr>
        <w:t>Do outside directors monitor managers?</w:t>
      </w:r>
      <w:r w:rsidR="004C7220" w:rsidRPr="00811F51">
        <w:rPr>
          <w:rFonts w:eastAsia="Times New Roman"/>
          <w:sz w:val="22"/>
        </w:rPr>
        <w:t>”</w:t>
      </w:r>
      <w:r w:rsidR="00654523">
        <w:rPr>
          <w:rFonts w:eastAsia="Times New Roman"/>
          <w:sz w:val="22"/>
        </w:rPr>
        <w:t>,</w:t>
      </w:r>
      <w:r w:rsidR="00100B41" w:rsidRPr="00654523">
        <w:rPr>
          <w:rFonts w:eastAsia="Times New Roman"/>
          <w:sz w:val="22"/>
        </w:rPr>
        <w:t>Journal of Financial Economics</w:t>
      </w:r>
      <w:r w:rsidR="00654523">
        <w:rPr>
          <w:rFonts w:eastAsia="Times New Roman"/>
          <w:sz w:val="22"/>
        </w:rPr>
        <w:t>, Vol.</w:t>
      </w:r>
      <w:r w:rsidR="00100B41" w:rsidRPr="00811F51">
        <w:rPr>
          <w:rFonts w:eastAsia="Times New Roman"/>
          <w:sz w:val="22"/>
        </w:rPr>
        <w:t xml:space="preserve">32, </w:t>
      </w:r>
      <w:r w:rsidR="00654523" w:rsidRPr="00811F51">
        <w:rPr>
          <w:rFonts w:eastAsia="Times New Roman"/>
          <w:sz w:val="22"/>
        </w:rPr>
        <w:t xml:space="preserve">(1992), </w:t>
      </w:r>
      <w:r w:rsidR="00654523">
        <w:rPr>
          <w:rFonts w:eastAsia="Times New Roman"/>
          <w:sz w:val="22"/>
        </w:rPr>
        <w:t xml:space="preserve">Pages </w:t>
      </w:r>
      <w:r w:rsidR="00100B41" w:rsidRPr="00811F51">
        <w:rPr>
          <w:rFonts w:eastAsia="Times New Roman"/>
          <w:sz w:val="22"/>
        </w:rPr>
        <w:t xml:space="preserve">195–221. </w:t>
      </w:r>
    </w:p>
    <w:p w:rsidR="00EF1CDF" w:rsidRPr="00811F51" w:rsidRDefault="00EF1CDF" w:rsidP="00811F51">
      <w:pPr>
        <w:spacing w:line="240" w:lineRule="auto"/>
        <w:jc w:val="both"/>
        <w:rPr>
          <w:rFonts w:eastAsia="Times New Roman"/>
          <w:sz w:val="22"/>
        </w:rPr>
      </w:pPr>
      <w:r w:rsidRPr="00811F51">
        <w:rPr>
          <w:sz w:val="22"/>
        </w:rPr>
        <w:t>[23]</w:t>
      </w:r>
      <w:r w:rsidR="00654523">
        <w:rPr>
          <w:rFonts w:eastAsia="Times New Roman"/>
          <w:sz w:val="22"/>
        </w:rPr>
        <w:t xml:space="preserve">E. </w:t>
      </w:r>
      <w:r w:rsidR="00100B41" w:rsidRPr="00811F51">
        <w:rPr>
          <w:rFonts w:eastAsia="Times New Roman"/>
          <w:sz w:val="22"/>
        </w:rPr>
        <w:t>Fama</w:t>
      </w:r>
      <w:r w:rsidR="004C7220" w:rsidRPr="00811F51">
        <w:rPr>
          <w:rFonts w:eastAsia="Times New Roman"/>
          <w:sz w:val="22"/>
        </w:rPr>
        <w:t>, “</w:t>
      </w:r>
      <w:r w:rsidR="00100B41" w:rsidRPr="00811F51">
        <w:rPr>
          <w:rFonts w:eastAsia="Times New Roman"/>
          <w:sz w:val="22"/>
        </w:rPr>
        <w:t>Agency Problems and the Theory of the Firm</w:t>
      </w:r>
      <w:r w:rsidR="004C7220" w:rsidRPr="00811F51">
        <w:rPr>
          <w:rFonts w:eastAsia="Times New Roman"/>
          <w:sz w:val="22"/>
        </w:rPr>
        <w:t>”,</w:t>
      </w:r>
      <w:r w:rsidR="00100B41" w:rsidRPr="00654523">
        <w:rPr>
          <w:rFonts w:eastAsia="Times New Roman"/>
          <w:sz w:val="22"/>
        </w:rPr>
        <w:t>The Journal of Political Economy</w:t>
      </w:r>
      <w:r w:rsidR="004C7220" w:rsidRPr="00654523">
        <w:rPr>
          <w:rFonts w:eastAsia="Times New Roman"/>
          <w:sz w:val="22"/>
        </w:rPr>
        <w:t>,</w:t>
      </w:r>
      <w:r w:rsidR="00654523">
        <w:rPr>
          <w:rFonts w:eastAsia="Times New Roman"/>
          <w:sz w:val="22"/>
        </w:rPr>
        <w:t>Vol.</w:t>
      </w:r>
      <w:r w:rsidR="00100B41" w:rsidRPr="00811F51">
        <w:rPr>
          <w:rFonts w:eastAsia="Times New Roman"/>
          <w:sz w:val="22"/>
        </w:rPr>
        <w:t>88</w:t>
      </w:r>
      <w:r w:rsidR="00654523">
        <w:rPr>
          <w:rFonts w:eastAsia="Times New Roman"/>
          <w:sz w:val="22"/>
        </w:rPr>
        <w:t>, No.</w:t>
      </w:r>
      <w:r w:rsidR="00100B41" w:rsidRPr="00811F51">
        <w:rPr>
          <w:rFonts w:eastAsia="Times New Roman"/>
          <w:sz w:val="22"/>
        </w:rPr>
        <w:t>2,</w:t>
      </w:r>
      <w:r w:rsidR="00654523" w:rsidRPr="00811F51">
        <w:rPr>
          <w:rFonts w:eastAsia="Times New Roman"/>
          <w:sz w:val="22"/>
        </w:rPr>
        <w:t xml:space="preserve">(1980), </w:t>
      </w:r>
      <w:r w:rsidR="00654523">
        <w:rPr>
          <w:rFonts w:eastAsia="Times New Roman"/>
          <w:sz w:val="22"/>
        </w:rPr>
        <w:t>Pages</w:t>
      </w:r>
      <w:r w:rsidR="00100B41" w:rsidRPr="00811F51">
        <w:rPr>
          <w:rFonts w:eastAsia="Times New Roman"/>
          <w:sz w:val="22"/>
        </w:rPr>
        <w:t xml:space="preserve">288-307. </w:t>
      </w:r>
    </w:p>
    <w:p w:rsidR="00100B41" w:rsidRPr="00811F51" w:rsidRDefault="00EF1CDF" w:rsidP="00811F51">
      <w:pPr>
        <w:spacing w:after="0" w:line="240" w:lineRule="auto"/>
        <w:jc w:val="both"/>
        <w:rPr>
          <w:sz w:val="22"/>
        </w:rPr>
      </w:pPr>
      <w:r w:rsidRPr="00811F51">
        <w:rPr>
          <w:sz w:val="22"/>
        </w:rPr>
        <w:lastRenderedPageBreak/>
        <w:t>[24]</w:t>
      </w:r>
      <w:r w:rsidR="00654523">
        <w:rPr>
          <w:rFonts w:eastAsia="Times New Roman"/>
          <w:sz w:val="22"/>
        </w:rPr>
        <w:t xml:space="preserve">C. </w:t>
      </w:r>
      <w:r w:rsidR="004C7220" w:rsidRPr="00811F51">
        <w:rPr>
          <w:rFonts w:eastAsia="Times New Roman"/>
          <w:sz w:val="22"/>
        </w:rPr>
        <w:t>Rahejaa, “</w:t>
      </w:r>
      <w:r w:rsidR="004A14AC" w:rsidRPr="00811F51">
        <w:rPr>
          <w:rFonts w:eastAsia="Times New Roman"/>
          <w:sz w:val="22"/>
        </w:rPr>
        <w:t>The Interaction of Insiders and Outsiders in Monitoring: A Theory of Corporate Boards</w:t>
      </w:r>
      <w:r w:rsidR="004C7220" w:rsidRPr="00811F51">
        <w:rPr>
          <w:rFonts w:eastAsia="Times New Roman"/>
          <w:sz w:val="22"/>
        </w:rPr>
        <w:t>”</w:t>
      </w:r>
      <w:r w:rsidR="004A14AC" w:rsidRPr="00811F51">
        <w:rPr>
          <w:rFonts w:eastAsia="Times New Roman"/>
          <w:sz w:val="22"/>
        </w:rPr>
        <w:t xml:space="preserve">, Vanderbilt University Owen Graduate School of Management Working Paper No. 2001-25, </w:t>
      </w:r>
      <w:r w:rsidR="009913BB">
        <w:rPr>
          <w:rFonts w:eastAsia="Times New Roman"/>
          <w:sz w:val="22"/>
        </w:rPr>
        <w:t>(2003)</w:t>
      </w:r>
    </w:p>
    <w:tbl>
      <w:tblPr>
        <w:tblW w:w="8346" w:type="dxa"/>
        <w:tblInd w:w="93" w:type="dxa"/>
        <w:tblLook w:val="04A0"/>
      </w:tblPr>
      <w:tblGrid>
        <w:gridCol w:w="7026"/>
        <w:gridCol w:w="1320"/>
      </w:tblGrid>
      <w:tr w:rsidR="00100B41" w:rsidRPr="00811F51" w:rsidTr="00100B41">
        <w:trPr>
          <w:trHeight w:val="360"/>
        </w:trPr>
        <w:tc>
          <w:tcPr>
            <w:tcW w:w="7026" w:type="dxa"/>
            <w:tcBorders>
              <w:top w:val="nil"/>
              <w:left w:val="nil"/>
              <w:bottom w:val="nil"/>
              <w:right w:val="nil"/>
            </w:tcBorders>
            <w:shd w:val="clear" w:color="auto" w:fill="auto"/>
            <w:noWrap/>
            <w:vAlign w:val="bottom"/>
            <w:hideMark/>
          </w:tcPr>
          <w:p w:rsidR="00100B41" w:rsidRPr="00811F51" w:rsidRDefault="00100B41" w:rsidP="00811F51">
            <w:pPr>
              <w:spacing w:after="0" w:line="240" w:lineRule="auto"/>
              <w:rPr>
                <w:rFonts w:eastAsia="Times New Roman"/>
                <w:sz w:val="22"/>
              </w:rPr>
            </w:pPr>
          </w:p>
        </w:tc>
        <w:tc>
          <w:tcPr>
            <w:tcW w:w="1320" w:type="dxa"/>
            <w:tcBorders>
              <w:top w:val="nil"/>
              <w:left w:val="nil"/>
              <w:bottom w:val="nil"/>
              <w:right w:val="nil"/>
            </w:tcBorders>
            <w:shd w:val="clear" w:color="auto" w:fill="auto"/>
            <w:noWrap/>
            <w:vAlign w:val="bottom"/>
            <w:hideMark/>
          </w:tcPr>
          <w:p w:rsidR="00100B41" w:rsidRPr="00811F51" w:rsidRDefault="00100B41" w:rsidP="00811F51">
            <w:pPr>
              <w:spacing w:after="0" w:line="240" w:lineRule="auto"/>
              <w:rPr>
                <w:rFonts w:eastAsia="Times New Roman"/>
                <w:sz w:val="22"/>
              </w:rPr>
            </w:pPr>
          </w:p>
        </w:tc>
      </w:tr>
    </w:tbl>
    <w:p w:rsidR="00EF1CDF" w:rsidRPr="00811F51" w:rsidRDefault="00EF1CDF" w:rsidP="00811F51">
      <w:pPr>
        <w:spacing w:line="240" w:lineRule="auto"/>
        <w:jc w:val="both"/>
        <w:rPr>
          <w:rFonts w:eastAsia="Times New Roman"/>
          <w:sz w:val="22"/>
        </w:rPr>
      </w:pPr>
      <w:r w:rsidRPr="00811F51">
        <w:rPr>
          <w:sz w:val="22"/>
        </w:rPr>
        <w:t>[25]</w:t>
      </w:r>
      <w:r w:rsidR="00654523">
        <w:rPr>
          <w:rFonts w:eastAsia="Times New Roman"/>
          <w:sz w:val="22"/>
        </w:rPr>
        <w:t xml:space="preserve">V. </w:t>
      </w:r>
      <w:r w:rsidR="00100B41" w:rsidRPr="00811F51">
        <w:rPr>
          <w:rFonts w:eastAsia="Times New Roman"/>
          <w:sz w:val="22"/>
        </w:rPr>
        <w:t>Ch</w:t>
      </w:r>
      <w:r w:rsidR="004C7220" w:rsidRPr="00811F51">
        <w:rPr>
          <w:rFonts w:eastAsia="Times New Roman"/>
          <w:sz w:val="22"/>
        </w:rPr>
        <w:t xml:space="preserve">haochharia, and </w:t>
      </w:r>
      <w:r w:rsidR="00654523">
        <w:rPr>
          <w:rFonts w:eastAsia="Times New Roman"/>
          <w:sz w:val="22"/>
        </w:rPr>
        <w:t xml:space="preserve">Y. </w:t>
      </w:r>
      <w:r w:rsidR="004C7220" w:rsidRPr="00811F51">
        <w:rPr>
          <w:rFonts w:eastAsia="Times New Roman"/>
          <w:sz w:val="22"/>
        </w:rPr>
        <w:t>Grinstein, “</w:t>
      </w:r>
      <w:r w:rsidR="00100B41" w:rsidRPr="00811F51">
        <w:rPr>
          <w:rFonts w:eastAsia="Times New Roman"/>
          <w:sz w:val="22"/>
        </w:rPr>
        <w:t>The changing structure of</w:t>
      </w:r>
      <w:r w:rsidR="004C7220" w:rsidRPr="00811F51">
        <w:rPr>
          <w:rFonts w:eastAsia="Times New Roman"/>
          <w:sz w:val="22"/>
        </w:rPr>
        <w:t xml:space="preserve"> US corporate boards: 1997-2003”</w:t>
      </w:r>
      <w:r w:rsidR="00100B41" w:rsidRPr="00811F51">
        <w:rPr>
          <w:rFonts w:eastAsia="Times New Roman"/>
          <w:sz w:val="22"/>
        </w:rPr>
        <w:t xml:space="preserve"> ,</w:t>
      </w:r>
      <w:r w:rsidR="00100B41" w:rsidRPr="007525D8">
        <w:rPr>
          <w:rFonts w:eastAsia="Times New Roman"/>
          <w:sz w:val="22"/>
        </w:rPr>
        <w:t xml:space="preserve">Journal of </w:t>
      </w:r>
      <w:r w:rsidR="007525D8" w:rsidRPr="007525D8">
        <w:rPr>
          <w:rFonts w:eastAsia="Times New Roman"/>
          <w:sz w:val="22"/>
        </w:rPr>
        <w:t>organizational</w:t>
      </w:r>
      <w:r w:rsidR="00100B41" w:rsidRPr="007525D8">
        <w:rPr>
          <w:rFonts w:eastAsia="Times New Roman"/>
          <w:sz w:val="22"/>
        </w:rPr>
        <w:t xml:space="preserve"> culture, communications and conflict</w:t>
      </w:r>
      <w:r w:rsidR="004C7220" w:rsidRPr="00811F51">
        <w:rPr>
          <w:rFonts w:eastAsia="Times New Roman"/>
          <w:i/>
          <w:sz w:val="22"/>
        </w:rPr>
        <w:t>,</w:t>
      </w:r>
      <w:r w:rsidR="004C7220" w:rsidRPr="00811F51">
        <w:rPr>
          <w:rFonts w:eastAsia="Times New Roman"/>
          <w:sz w:val="22"/>
        </w:rPr>
        <w:t xml:space="preserve">Vol.15, No.6, </w:t>
      </w:r>
      <w:r w:rsidR="007525D8" w:rsidRPr="00811F51">
        <w:rPr>
          <w:rFonts w:eastAsia="Times New Roman"/>
          <w:sz w:val="22"/>
        </w:rPr>
        <w:t xml:space="preserve">(2007), </w:t>
      </w:r>
      <w:r w:rsidR="007525D8">
        <w:rPr>
          <w:rFonts w:eastAsia="Times New Roman"/>
          <w:sz w:val="22"/>
        </w:rPr>
        <w:t xml:space="preserve">Pages </w:t>
      </w:r>
      <w:r w:rsidR="004C7220" w:rsidRPr="00811F51">
        <w:rPr>
          <w:rFonts w:eastAsia="Times New Roman"/>
          <w:sz w:val="22"/>
        </w:rPr>
        <w:t>1215-1223</w:t>
      </w:r>
    </w:p>
    <w:p w:rsidR="00EF1CDF" w:rsidRPr="00811F51" w:rsidRDefault="00EF1CDF" w:rsidP="00811F51">
      <w:pPr>
        <w:spacing w:line="240" w:lineRule="auto"/>
        <w:jc w:val="both"/>
        <w:rPr>
          <w:rFonts w:eastAsia="Times New Roman"/>
          <w:sz w:val="22"/>
        </w:rPr>
      </w:pPr>
      <w:r w:rsidRPr="00811F51">
        <w:rPr>
          <w:sz w:val="22"/>
        </w:rPr>
        <w:t>[26]</w:t>
      </w:r>
      <w:r w:rsidR="007525D8">
        <w:rPr>
          <w:rFonts w:eastAsia="Times New Roman"/>
          <w:sz w:val="22"/>
        </w:rPr>
        <w:t xml:space="preserve">P.G </w:t>
      </w:r>
      <w:r w:rsidR="00100B41" w:rsidRPr="00811F51">
        <w:rPr>
          <w:rFonts w:eastAsia="Times New Roman"/>
          <w:sz w:val="22"/>
        </w:rPr>
        <w:t xml:space="preserve">Berger, </w:t>
      </w:r>
      <w:r w:rsidR="007525D8">
        <w:rPr>
          <w:rFonts w:eastAsia="Times New Roman"/>
          <w:sz w:val="22"/>
        </w:rPr>
        <w:t xml:space="preserve">E. </w:t>
      </w:r>
      <w:r w:rsidR="004C7220" w:rsidRPr="00811F51">
        <w:rPr>
          <w:rFonts w:eastAsia="Times New Roman"/>
          <w:sz w:val="22"/>
        </w:rPr>
        <w:t xml:space="preserve">Ofek, </w:t>
      </w:r>
      <w:r w:rsidR="007525D8">
        <w:rPr>
          <w:rFonts w:eastAsia="Times New Roman"/>
          <w:sz w:val="22"/>
        </w:rPr>
        <w:t>andD.L.</w:t>
      </w:r>
      <w:r w:rsidR="004C7220" w:rsidRPr="00811F51">
        <w:rPr>
          <w:rFonts w:eastAsia="Times New Roman"/>
          <w:sz w:val="22"/>
        </w:rPr>
        <w:t>Yermack, “</w:t>
      </w:r>
      <w:r w:rsidR="00100B41" w:rsidRPr="00811F51">
        <w:rPr>
          <w:rFonts w:eastAsia="Times New Roman"/>
          <w:sz w:val="22"/>
        </w:rPr>
        <w:t>Managerial entrenchment and capital structure decisions</w:t>
      </w:r>
      <w:r w:rsidR="004C7220" w:rsidRPr="00811F51">
        <w:rPr>
          <w:rFonts w:eastAsia="Times New Roman"/>
          <w:sz w:val="22"/>
        </w:rPr>
        <w:t>”,</w:t>
      </w:r>
      <w:r w:rsidR="00100B41" w:rsidRPr="007525D8">
        <w:rPr>
          <w:rFonts w:eastAsia="Times New Roman"/>
          <w:sz w:val="22"/>
        </w:rPr>
        <w:t>The Journal of Finance,</w:t>
      </w:r>
      <w:r w:rsidR="007525D8">
        <w:rPr>
          <w:rFonts w:eastAsia="Times New Roman"/>
          <w:sz w:val="22"/>
        </w:rPr>
        <w:t>Vol.</w:t>
      </w:r>
      <w:r w:rsidR="00100B41" w:rsidRPr="00811F51">
        <w:rPr>
          <w:rFonts w:eastAsia="Times New Roman"/>
          <w:sz w:val="22"/>
        </w:rPr>
        <w:t>52</w:t>
      </w:r>
      <w:r w:rsidR="007525D8">
        <w:rPr>
          <w:rFonts w:eastAsia="Times New Roman"/>
          <w:sz w:val="22"/>
        </w:rPr>
        <w:t>, No.4</w:t>
      </w:r>
      <w:r w:rsidR="00100B41" w:rsidRPr="00811F51">
        <w:rPr>
          <w:rFonts w:eastAsia="Times New Roman"/>
          <w:sz w:val="22"/>
        </w:rPr>
        <w:t xml:space="preserve">, </w:t>
      </w:r>
      <w:r w:rsidR="007525D8" w:rsidRPr="00811F51">
        <w:rPr>
          <w:rFonts w:eastAsia="Times New Roman"/>
          <w:sz w:val="22"/>
        </w:rPr>
        <w:t xml:space="preserve">(1997), </w:t>
      </w:r>
      <w:r w:rsidR="007525D8">
        <w:rPr>
          <w:rFonts w:eastAsia="Times New Roman"/>
          <w:sz w:val="22"/>
        </w:rPr>
        <w:t xml:space="preserve">Pages </w:t>
      </w:r>
      <w:r w:rsidR="00100B41" w:rsidRPr="00811F51">
        <w:rPr>
          <w:rFonts w:eastAsia="Times New Roman"/>
          <w:sz w:val="22"/>
        </w:rPr>
        <w:t>1411-1438</w:t>
      </w:r>
    </w:p>
    <w:p w:rsidR="00EF1CDF" w:rsidRPr="00811F51" w:rsidRDefault="00EF1CDF" w:rsidP="00811F51">
      <w:pPr>
        <w:spacing w:line="240" w:lineRule="auto"/>
        <w:jc w:val="both"/>
        <w:rPr>
          <w:rFonts w:eastAsia="Times New Roman"/>
          <w:sz w:val="22"/>
        </w:rPr>
      </w:pPr>
      <w:r w:rsidRPr="00811F51">
        <w:rPr>
          <w:sz w:val="22"/>
        </w:rPr>
        <w:t>[27]</w:t>
      </w:r>
      <w:r w:rsidR="007525D8">
        <w:rPr>
          <w:rFonts w:eastAsia="Times New Roman"/>
          <w:sz w:val="22"/>
        </w:rPr>
        <w:t xml:space="preserve">J. </w:t>
      </w:r>
      <w:r w:rsidR="004C7220" w:rsidRPr="00811F51">
        <w:rPr>
          <w:rFonts w:eastAsia="Times New Roman"/>
          <w:sz w:val="22"/>
        </w:rPr>
        <w:t>Abor, “</w:t>
      </w:r>
      <w:r w:rsidR="00100B41" w:rsidRPr="00811F51">
        <w:rPr>
          <w:rFonts w:eastAsia="Times New Roman"/>
          <w:sz w:val="22"/>
        </w:rPr>
        <w:t>Corporate governance and financing decisions of Ghanaian listed firms</w:t>
      </w:r>
      <w:r w:rsidR="004C7220" w:rsidRPr="00811F51">
        <w:rPr>
          <w:rFonts w:eastAsia="Times New Roman"/>
          <w:sz w:val="22"/>
        </w:rPr>
        <w:t>”,</w:t>
      </w:r>
      <w:r w:rsidR="00100B41" w:rsidRPr="007525D8">
        <w:rPr>
          <w:rFonts w:eastAsia="Times New Roman"/>
          <w:sz w:val="22"/>
        </w:rPr>
        <w:t xml:space="preserve">Corporate Governance: The international journal of business in society, </w:t>
      </w:r>
      <w:r w:rsidR="007525D8">
        <w:rPr>
          <w:rFonts w:eastAsia="Times New Roman"/>
          <w:sz w:val="22"/>
        </w:rPr>
        <w:t>Vol.</w:t>
      </w:r>
      <w:r w:rsidR="00100B41" w:rsidRPr="00811F51">
        <w:rPr>
          <w:rFonts w:eastAsia="Times New Roman"/>
          <w:sz w:val="22"/>
        </w:rPr>
        <w:t>7</w:t>
      </w:r>
      <w:r w:rsidR="007525D8">
        <w:rPr>
          <w:rFonts w:eastAsia="Times New Roman"/>
          <w:sz w:val="22"/>
        </w:rPr>
        <w:t>, No.1</w:t>
      </w:r>
      <w:r w:rsidR="00100B41" w:rsidRPr="00811F51">
        <w:rPr>
          <w:rFonts w:eastAsia="Times New Roman"/>
          <w:sz w:val="22"/>
        </w:rPr>
        <w:t xml:space="preserve">, </w:t>
      </w:r>
      <w:r w:rsidR="007525D8" w:rsidRPr="00811F51">
        <w:rPr>
          <w:rFonts w:eastAsia="Times New Roman"/>
          <w:sz w:val="22"/>
        </w:rPr>
        <w:t xml:space="preserve">(2007), </w:t>
      </w:r>
      <w:r w:rsidR="007525D8">
        <w:rPr>
          <w:rFonts w:eastAsia="Times New Roman"/>
          <w:sz w:val="22"/>
        </w:rPr>
        <w:t>Pages</w:t>
      </w:r>
      <w:r w:rsidR="00100B41" w:rsidRPr="00811F51">
        <w:rPr>
          <w:rFonts w:eastAsia="Times New Roman"/>
          <w:sz w:val="22"/>
        </w:rPr>
        <w:t xml:space="preserve">83-92. </w:t>
      </w:r>
    </w:p>
    <w:p w:rsidR="00EF1CDF" w:rsidRPr="00811F51" w:rsidRDefault="00EF1CDF" w:rsidP="00811F51">
      <w:pPr>
        <w:widowControl w:val="0"/>
        <w:autoSpaceDE w:val="0"/>
        <w:autoSpaceDN w:val="0"/>
        <w:adjustRightInd w:val="0"/>
        <w:spacing w:after="240" w:line="240" w:lineRule="auto"/>
        <w:rPr>
          <w:rFonts w:ascii="Times" w:hAnsi="Times" w:cs="Times"/>
          <w:sz w:val="22"/>
        </w:rPr>
      </w:pPr>
      <w:r w:rsidRPr="00811F51">
        <w:rPr>
          <w:sz w:val="22"/>
        </w:rPr>
        <w:t>[28]</w:t>
      </w:r>
      <w:r w:rsidR="007525D8">
        <w:rPr>
          <w:sz w:val="22"/>
        </w:rPr>
        <w:t xml:space="preserve">J. </w:t>
      </w:r>
      <w:r w:rsidR="002C1762" w:rsidRPr="00811F51">
        <w:rPr>
          <w:sz w:val="22"/>
        </w:rPr>
        <w:t xml:space="preserve">Pfeffer, </w:t>
      </w:r>
      <w:r w:rsidR="007525D8">
        <w:rPr>
          <w:sz w:val="22"/>
        </w:rPr>
        <w:t>“</w:t>
      </w:r>
      <w:r w:rsidR="002C1762" w:rsidRPr="00811F51">
        <w:rPr>
          <w:sz w:val="22"/>
        </w:rPr>
        <w:t>Size, Composition and Function of Corporate Boards of Directors: the Organisation-environment</w:t>
      </w:r>
      <w:r w:rsidR="007525D8">
        <w:rPr>
          <w:sz w:val="22"/>
        </w:rPr>
        <w:t>linkage”,</w:t>
      </w:r>
      <w:r w:rsidR="002C1762" w:rsidRPr="007525D8">
        <w:rPr>
          <w:rFonts w:ascii="Times" w:hAnsi="Times" w:cs="Times"/>
          <w:iCs/>
          <w:sz w:val="22"/>
        </w:rPr>
        <w:t>Administrative Science Quarterly</w:t>
      </w:r>
      <w:r w:rsidR="002C1762" w:rsidRPr="007525D8">
        <w:rPr>
          <w:sz w:val="22"/>
        </w:rPr>
        <w:t>,</w:t>
      </w:r>
      <w:r w:rsidR="007525D8">
        <w:rPr>
          <w:sz w:val="22"/>
        </w:rPr>
        <w:t>Vol.</w:t>
      </w:r>
      <w:r w:rsidR="002C1762" w:rsidRPr="00811F51">
        <w:rPr>
          <w:sz w:val="22"/>
        </w:rPr>
        <w:t xml:space="preserve">18, </w:t>
      </w:r>
      <w:r w:rsidR="007525D8">
        <w:rPr>
          <w:sz w:val="22"/>
        </w:rPr>
        <w:t xml:space="preserve"> (1973), pages</w:t>
      </w:r>
      <w:r w:rsidR="002C1762" w:rsidRPr="00811F51">
        <w:rPr>
          <w:sz w:val="22"/>
        </w:rPr>
        <w:t xml:space="preserve"> 349-364.</w:t>
      </w:r>
    </w:p>
    <w:p w:rsidR="000E23F8" w:rsidRPr="00811F51" w:rsidRDefault="00EF1CDF" w:rsidP="00811F51">
      <w:pPr>
        <w:spacing w:line="240" w:lineRule="auto"/>
        <w:jc w:val="both"/>
        <w:rPr>
          <w:rFonts w:eastAsia="Times New Roman"/>
          <w:sz w:val="22"/>
        </w:rPr>
      </w:pPr>
      <w:r w:rsidRPr="00811F51">
        <w:rPr>
          <w:sz w:val="22"/>
        </w:rPr>
        <w:t>[</w:t>
      </w:r>
      <w:r w:rsidR="000E23F8" w:rsidRPr="00811F51">
        <w:rPr>
          <w:sz w:val="22"/>
        </w:rPr>
        <w:t>2</w:t>
      </w:r>
      <w:r w:rsidRPr="00811F51">
        <w:rPr>
          <w:sz w:val="22"/>
        </w:rPr>
        <w:t>9]</w:t>
      </w:r>
      <w:r w:rsidR="007525D8">
        <w:rPr>
          <w:rFonts w:eastAsia="Times New Roman"/>
          <w:sz w:val="22"/>
        </w:rPr>
        <w:t xml:space="preserve">M.L. </w:t>
      </w:r>
      <w:r w:rsidR="004C7220" w:rsidRPr="00811F51">
        <w:rPr>
          <w:rFonts w:eastAsia="Times New Roman"/>
          <w:sz w:val="22"/>
        </w:rPr>
        <w:t>Mace, “</w:t>
      </w:r>
      <w:r w:rsidR="009F1084" w:rsidRPr="00811F51">
        <w:rPr>
          <w:rFonts w:eastAsia="Times New Roman"/>
          <w:sz w:val="22"/>
        </w:rPr>
        <w:t>Directors: Myth and Reality</w:t>
      </w:r>
      <w:r w:rsidR="004C7220" w:rsidRPr="00811F51">
        <w:rPr>
          <w:rFonts w:eastAsia="Times New Roman"/>
          <w:sz w:val="22"/>
        </w:rPr>
        <w:t>”</w:t>
      </w:r>
      <w:r w:rsidR="009F1084" w:rsidRPr="00811F51">
        <w:rPr>
          <w:rFonts w:eastAsia="Times New Roman"/>
          <w:sz w:val="22"/>
        </w:rPr>
        <w:t>. Harvard</w:t>
      </w:r>
      <w:r w:rsidR="007525D8">
        <w:rPr>
          <w:rFonts w:eastAsia="Times New Roman"/>
          <w:sz w:val="22"/>
        </w:rPr>
        <w:t xml:space="preserve"> Business School Press, Boston.</w:t>
      </w:r>
      <w:r w:rsidR="007525D8" w:rsidRPr="00811F51">
        <w:rPr>
          <w:rFonts w:eastAsia="Times New Roman"/>
          <w:sz w:val="22"/>
        </w:rPr>
        <w:t>(1971),</w:t>
      </w:r>
    </w:p>
    <w:p w:rsidR="000E23F8" w:rsidRPr="00811F51" w:rsidRDefault="000E23F8" w:rsidP="00811F51">
      <w:pPr>
        <w:spacing w:line="240" w:lineRule="auto"/>
        <w:jc w:val="both"/>
        <w:rPr>
          <w:rFonts w:eastAsia="Times New Roman"/>
          <w:sz w:val="22"/>
        </w:rPr>
      </w:pPr>
      <w:r w:rsidRPr="00811F51">
        <w:rPr>
          <w:sz w:val="22"/>
        </w:rPr>
        <w:t>[30]</w:t>
      </w:r>
      <w:r w:rsidR="007525D8">
        <w:rPr>
          <w:rFonts w:eastAsia="Times New Roman"/>
          <w:sz w:val="22"/>
        </w:rPr>
        <w:t xml:space="preserve">O. </w:t>
      </w:r>
      <w:r w:rsidR="009F1084" w:rsidRPr="00811F51">
        <w:rPr>
          <w:rFonts w:eastAsia="Times New Roman"/>
          <w:sz w:val="22"/>
        </w:rPr>
        <w:t xml:space="preserve">Faleye, </w:t>
      </w:r>
      <w:r w:rsidR="007525D8">
        <w:rPr>
          <w:rFonts w:eastAsia="Times New Roman"/>
          <w:sz w:val="22"/>
        </w:rPr>
        <w:t xml:space="preserve">R. </w:t>
      </w:r>
      <w:r w:rsidR="009F1084" w:rsidRPr="00811F51">
        <w:rPr>
          <w:rFonts w:eastAsia="Times New Roman"/>
          <w:sz w:val="22"/>
        </w:rPr>
        <w:t xml:space="preserve">Hoitash, </w:t>
      </w:r>
      <w:r w:rsidR="007525D8">
        <w:rPr>
          <w:rFonts w:eastAsia="Times New Roman"/>
          <w:sz w:val="22"/>
        </w:rPr>
        <w:t xml:space="preserve">U. </w:t>
      </w:r>
      <w:r w:rsidR="009F1084" w:rsidRPr="00811F51">
        <w:rPr>
          <w:rFonts w:eastAsia="Times New Roman"/>
          <w:sz w:val="22"/>
        </w:rPr>
        <w:t xml:space="preserve">Hoitash, </w:t>
      </w:r>
      <w:r w:rsidR="004C7220" w:rsidRPr="00811F51">
        <w:rPr>
          <w:rFonts w:eastAsia="Times New Roman"/>
          <w:sz w:val="22"/>
        </w:rPr>
        <w:t>“</w:t>
      </w:r>
      <w:r w:rsidR="009F1084" w:rsidRPr="00811F51">
        <w:rPr>
          <w:rFonts w:eastAsia="Times New Roman"/>
          <w:sz w:val="22"/>
        </w:rPr>
        <w:t>The costs of intense board monitoring</w:t>
      </w:r>
      <w:r w:rsidR="004C7220" w:rsidRPr="00811F51">
        <w:rPr>
          <w:rFonts w:eastAsia="Times New Roman"/>
          <w:sz w:val="22"/>
        </w:rPr>
        <w:t>”,</w:t>
      </w:r>
      <w:r w:rsidR="009F1084" w:rsidRPr="007525D8">
        <w:rPr>
          <w:rFonts w:eastAsia="Times New Roman"/>
          <w:sz w:val="22"/>
        </w:rPr>
        <w:t>Journal of Financial Economics</w:t>
      </w:r>
      <w:r w:rsidR="004C7220" w:rsidRPr="007525D8">
        <w:rPr>
          <w:rFonts w:eastAsia="Times New Roman"/>
          <w:sz w:val="22"/>
        </w:rPr>
        <w:t>,</w:t>
      </w:r>
      <w:r w:rsidR="007525D8">
        <w:rPr>
          <w:rFonts w:eastAsia="Times New Roman"/>
          <w:sz w:val="22"/>
        </w:rPr>
        <w:t>Vol.</w:t>
      </w:r>
      <w:r w:rsidR="009F1084" w:rsidRPr="00811F51">
        <w:rPr>
          <w:rFonts w:eastAsia="Times New Roman"/>
          <w:sz w:val="22"/>
        </w:rPr>
        <w:t xml:space="preserve">101, </w:t>
      </w:r>
      <w:r w:rsidR="007525D8" w:rsidRPr="00811F51">
        <w:rPr>
          <w:rFonts w:eastAsia="Times New Roman"/>
          <w:sz w:val="22"/>
        </w:rPr>
        <w:t xml:space="preserve">(2011), </w:t>
      </w:r>
      <w:r w:rsidR="007525D8">
        <w:rPr>
          <w:rFonts w:eastAsia="Times New Roman"/>
          <w:sz w:val="22"/>
        </w:rPr>
        <w:t xml:space="preserve">Pages </w:t>
      </w:r>
      <w:r w:rsidR="009F1084" w:rsidRPr="00811F51">
        <w:rPr>
          <w:rFonts w:eastAsia="Times New Roman"/>
          <w:sz w:val="22"/>
        </w:rPr>
        <w:t xml:space="preserve">160–181. </w:t>
      </w:r>
    </w:p>
    <w:p w:rsidR="000E23F8" w:rsidRPr="00811F51" w:rsidRDefault="000E23F8" w:rsidP="00811F51">
      <w:pPr>
        <w:spacing w:line="240" w:lineRule="auto"/>
        <w:jc w:val="both"/>
        <w:rPr>
          <w:rFonts w:eastAsia="Times New Roman"/>
          <w:sz w:val="22"/>
        </w:rPr>
      </w:pPr>
      <w:r w:rsidRPr="00811F51">
        <w:rPr>
          <w:sz w:val="22"/>
        </w:rPr>
        <w:t>[31]</w:t>
      </w:r>
      <w:r w:rsidR="007525D8">
        <w:rPr>
          <w:rFonts w:eastAsia="Times New Roman"/>
          <w:sz w:val="22"/>
        </w:rPr>
        <w:t xml:space="preserve">A.J. </w:t>
      </w:r>
      <w:r w:rsidR="009F1084" w:rsidRPr="00811F51">
        <w:rPr>
          <w:rFonts w:eastAsia="Times New Roman"/>
          <w:sz w:val="22"/>
        </w:rPr>
        <w:t xml:space="preserve">Hillman, </w:t>
      </w:r>
      <w:r w:rsidR="007525D8">
        <w:rPr>
          <w:rFonts w:eastAsia="Times New Roman"/>
          <w:sz w:val="22"/>
        </w:rPr>
        <w:t xml:space="preserve">T. </w:t>
      </w:r>
      <w:r w:rsidR="009F1084" w:rsidRPr="00811F51">
        <w:rPr>
          <w:rFonts w:eastAsia="Times New Roman"/>
          <w:sz w:val="22"/>
        </w:rPr>
        <w:t>Dalziel</w:t>
      </w:r>
      <w:r w:rsidR="007525D8">
        <w:rPr>
          <w:rFonts w:eastAsia="Times New Roman"/>
          <w:sz w:val="22"/>
        </w:rPr>
        <w:t>,</w:t>
      </w:r>
      <w:r w:rsidR="004C7220" w:rsidRPr="00811F51">
        <w:rPr>
          <w:rFonts w:eastAsia="Times New Roman"/>
          <w:sz w:val="22"/>
        </w:rPr>
        <w:t>“</w:t>
      </w:r>
      <w:r w:rsidR="009F1084" w:rsidRPr="00811F51">
        <w:rPr>
          <w:rFonts w:eastAsia="Times New Roman"/>
          <w:sz w:val="22"/>
        </w:rPr>
        <w:t>Boards of directors and firm performance: Integrating agency and resource dependence perspectives</w:t>
      </w:r>
      <w:r w:rsidR="004C7220" w:rsidRPr="00811F51">
        <w:rPr>
          <w:rFonts w:eastAsia="Times New Roman"/>
          <w:sz w:val="22"/>
        </w:rPr>
        <w:t>”,</w:t>
      </w:r>
      <w:r w:rsidR="009F1084" w:rsidRPr="007525D8">
        <w:rPr>
          <w:rFonts w:eastAsia="Times New Roman"/>
          <w:sz w:val="22"/>
        </w:rPr>
        <w:t>Academy of Management Review</w:t>
      </w:r>
      <w:r w:rsidR="004C7220" w:rsidRPr="00811F51">
        <w:rPr>
          <w:rFonts w:eastAsia="Times New Roman"/>
          <w:sz w:val="22"/>
        </w:rPr>
        <w:t>,</w:t>
      </w:r>
      <w:r w:rsidR="007525D8">
        <w:rPr>
          <w:rFonts w:eastAsia="Times New Roman"/>
          <w:sz w:val="22"/>
        </w:rPr>
        <w:t xml:space="preserve"> Vol.</w:t>
      </w:r>
      <w:r w:rsidR="009F1084" w:rsidRPr="00811F51">
        <w:rPr>
          <w:rFonts w:eastAsia="Times New Roman"/>
          <w:sz w:val="22"/>
        </w:rPr>
        <w:t xml:space="preserve"> 28,</w:t>
      </w:r>
      <w:r w:rsidR="007525D8" w:rsidRPr="00811F51">
        <w:rPr>
          <w:rFonts w:eastAsia="Times New Roman"/>
          <w:sz w:val="22"/>
        </w:rPr>
        <w:t xml:space="preserve">(2003), </w:t>
      </w:r>
      <w:r w:rsidR="007525D8">
        <w:rPr>
          <w:rFonts w:eastAsia="Times New Roman"/>
          <w:sz w:val="22"/>
        </w:rPr>
        <w:t xml:space="preserve">Pages </w:t>
      </w:r>
      <w:r w:rsidR="009F1084" w:rsidRPr="00811F51">
        <w:rPr>
          <w:rFonts w:eastAsia="Times New Roman"/>
          <w:sz w:val="22"/>
        </w:rPr>
        <w:t xml:space="preserve">383–396. </w:t>
      </w:r>
    </w:p>
    <w:p w:rsidR="000E23F8" w:rsidRPr="00811F51" w:rsidRDefault="000E23F8" w:rsidP="00811F51">
      <w:pPr>
        <w:spacing w:after="0" w:line="240" w:lineRule="auto"/>
        <w:jc w:val="both"/>
        <w:rPr>
          <w:sz w:val="22"/>
        </w:rPr>
      </w:pPr>
      <w:r w:rsidRPr="00811F51">
        <w:rPr>
          <w:sz w:val="22"/>
        </w:rPr>
        <w:t>[32]</w:t>
      </w:r>
      <w:r w:rsidR="007525D8">
        <w:t xml:space="preserve">E.F. </w:t>
      </w:r>
      <w:r w:rsidR="002C1762" w:rsidRPr="00811F51">
        <w:rPr>
          <w:color w:val="1A1A1A"/>
          <w:sz w:val="22"/>
        </w:rPr>
        <w:t xml:space="preserve">Fama, </w:t>
      </w:r>
      <w:r w:rsidR="007525D8">
        <w:rPr>
          <w:color w:val="1A1A1A"/>
          <w:sz w:val="22"/>
        </w:rPr>
        <w:t xml:space="preserve">andK.R. </w:t>
      </w:r>
      <w:r w:rsidR="002C1762" w:rsidRPr="00811F51">
        <w:rPr>
          <w:color w:val="1A1A1A"/>
          <w:sz w:val="22"/>
        </w:rPr>
        <w:t xml:space="preserve">French, </w:t>
      </w:r>
      <w:r w:rsidR="007525D8">
        <w:rPr>
          <w:color w:val="1A1A1A"/>
          <w:sz w:val="22"/>
        </w:rPr>
        <w:t>“</w:t>
      </w:r>
      <w:r w:rsidR="002C1762" w:rsidRPr="00811F51">
        <w:rPr>
          <w:color w:val="1A1A1A"/>
          <w:sz w:val="22"/>
        </w:rPr>
        <w:t>Forecas</w:t>
      </w:r>
      <w:r w:rsidR="007525D8">
        <w:rPr>
          <w:color w:val="1A1A1A"/>
          <w:sz w:val="22"/>
        </w:rPr>
        <w:t>ting Profitability and Earnings”</w:t>
      </w:r>
      <w:r w:rsidR="002C1762" w:rsidRPr="00811F51">
        <w:rPr>
          <w:color w:val="1A1A1A"/>
          <w:sz w:val="22"/>
        </w:rPr>
        <w:t>.</w:t>
      </w:r>
      <w:r w:rsidR="002C1762" w:rsidRPr="007525D8">
        <w:rPr>
          <w:iCs/>
          <w:color w:val="1A1A1A"/>
          <w:sz w:val="22"/>
        </w:rPr>
        <w:t>The Journal of Business</w:t>
      </w:r>
      <w:r w:rsidR="002C1762" w:rsidRPr="007525D8">
        <w:rPr>
          <w:color w:val="1A1A1A"/>
          <w:sz w:val="22"/>
        </w:rPr>
        <w:t>,</w:t>
      </w:r>
      <w:r w:rsidR="007525D8" w:rsidRPr="007525D8">
        <w:rPr>
          <w:color w:val="1A1A1A"/>
          <w:sz w:val="22"/>
        </w:rPr>
        <w:t>Vol.</w:t>
      </w:r>
      <w:r w:rsidR="002C1762" w:rsidRPr="007525D8">
        <w:rPr>
          <w:iCs/>
          <w:color w:val="1A1A1A"/>
          <w:sz w:val="22"/>
        </w:rPr>
        <w:t>73</w:t>
      </w:r>
      <w:r w:rsidR="007525D8" w:rsidRPr="007525D8">
        <w:rPr>
          <w:iCs/>
          <w:color w:val="1A1A1A"/>
          <w:sz w:val="22"/>
        </w:rPr>
        <w:t>, No</w:t>
      </w:r>
      <w:r w:rsidR="007525D8" w:rsidRPr="007525D8">
        <w:rPr>
          <w:color w:val="1A1A1A"/>
          <w:sz w:val="22"/>
        </w:rPr>
        <w:t>2</w:t>
      </w:r>
      <w:r w:rsidR="002C1762" w:rsidRPr="007525D8">
        <w:rPr>
          <w:color w:val="1A1A1A"/>
          <w:sz w:val="22"/>
        </w:rPr>
        <w:t>,</w:t>
      </w:r>
      <w:r w:rsidR="007525D8">
        <w:rPr>
          <w:color w:val="1A1A1A"/>
          <w:sz w:val="22"/>
        </w:rPr>
        <w:t>(2000), Pages</w:t>
      </w:r>
      <w:r w:rsidR="002C1762" w:rsidRPr="00811F51">
        <w:rPr>
          <w:color w:val="1A1A1A"/>
          <w:sz w:val="22"/>
        </w:rPr>
        <w:t>161-175.</w:t>
      </w:r>
      <w:r w:rsidR="002C1762" w:rsidRPr="00811F51">
        <w:rPr>
          <w:color w:val="1A1A1A"/>
          <w:sz w:val="22"/>
          <w:rtl/>
        </w:rPr>
        <w:t>‏</w:t>
      </w:r>
      <w:r w:rsidR="002C1762" w:rsidRPr="00811F51">
        <w:rPr>
          <w:color w:val="1A1A1A"/>
          <w:sz w:val="22"/>
        </w:rPr>
        <w:t>‬</w:t>
      </w:r>
      <w:r w:rsidR="00881FCE">
        <w:t>‬</w:t>
      </w:r>
      <w:r w:rsidR="008C1E0A">
        <w:t>‬</w:t>
      </w:r>
    </w:p>
    <w:p w:rsidR="000E23F8" w:rsidRPr="00811F51" w:rsidRDefault="000E23F8" w:rsidP="00811F51">
      <w:pPr>
        <w:spacing w:after="0" w:line="240" w:lineRule="auto"/>
        <w:jc w:val="both"/>
        <w:rPr>
          <w:sz w:val="22"/>
        </w:rPr>
      </w:pPr>
    </w:p>
    <w:p w:rsidR="000E23F8" w:rsidRPr="00811F51" w:rsidRDefault="000E23F8" w:rsidP="00811F51">
      <w:pPr>
        <w:spacing w:line="240" w:lineRule="auto"/>
        <w:jc w:val="both"/>
        <w:rPr>
          <w:rFonts w:eastAsia="Times New Roman"/>
          <w:sz w:val="22"/>
        </w:rPr>
      </w:pPr>
      <w:r w:rsidRPr="00811F51">
        <w:rPr>
          <w:sz w:val="22"/>
        </w:rPr>
        <w:t>[33]</w:t>
      </w:r>
      <w:r w:rsidR="00F54CA3">
        <w:rPr>
          <w:rFonts w:eastAsia="Times New Roman"/>
          <w:sz w:val="22"/>
        </w:rPr>
        <w:t xml:space="preserve">C,F. </w:t>
      </w:r>
      <w:r w:rsidR="009F1084" w:rsidRPr="00811F51">
        <w:rPr>
          <w:rFonts w:eastAsia="Times New Roman"/>
          <w:sz w:val="22"/>
        </w:rPr>
        <w:t>Thie</w:t>
      </w:r>
      <w:r w:rsidR="004C7220" w:rsidRPr="00811F51">
        <w:rPr>
          <w:rFonts w:eastAsia="Times New Roman"/>
          <w:sz w:val="22"/>
        </w:rPr>
        <w:t xml:space="preserve">s, and </w:t>
      </w:r>
      <w:r w:rsidR="00F54CA3">
        <w:rPr>
          <w:rFonts w:eastAsia="Times New Roman"/>
          <w:sz w:val="22"/>
        </w:rPr>
        <w:t xml:space="preserve">M.S. </w:t>
      </w:r>
      <w:r w:rsidR="004C7220" w:rsidRPr="00811F51">
        <w:rPr>
          <w:rFonts w:eastAsia="Times New Roman"/>
          <w:sz w:val="22"/>
        </w:rPr>
        <w:t>Klock, “</w:t>
      </w:r>
      <w:r w:rsidR="009F1084" w:rsidRPr="00811F51">
        <w:rPr>
          <w:rFonts w:eastAsia="Times New Roman"/>
          <w:sz w:val="22"/>
        </w:rPr>
        <w:t>Determinants of Capital Structure</w:t>
      </w:r>
      <w:r w:rsidR="004C7220" w:rsidRPr="00811F51">
        <w:rPr>
          <w:rFonts w:eastAsia="Times New Roman"/>
          <w:sz w:val="22"/>
        </w:rPr>
        <w:t>”</w:t>
      </w:r>
      <w:r w:rsidR="009F1084" w:rsidRPr="00811F51">
        <w:rPr>
          <w:rFonts w:eastAsia="Times New Roman"/>
          <w:sz w:val="22"/>
        </w:rPr>
        <w:t xml:space="preserve">, </w:t>
      </w:r>
      <w:r w:rsidR="009F1084" w:rsidRPr="00F54CA3">
        <w:rPr>
          <w:rFonts w:eastAsia="Times New Roman"/>
          <w:sz w:val="22"/>
        </w:rPr>
        <w:t>Review of Financial Economics,</w:t>
      </w:r>
      <w:r w:rsidR="00F54CA3">
        <w:rPr>
          <w:rFonts w:eastAsia="Times New Roman"/>
          <w:sz w:val="22"/>
        </w:rPr>
        <w:t>Vol.</w:t>
      </w:r>
      <w:r w:rsidR="009F1084" w:rsidRPr="00811F51">
        <w:rPr>
          <w:rFonts w:eastAsia="Times New Roman"/>
          <w:sz w:val="22"/>
        </w:rPr>
        <w:t>1</w:t>
      </w:r>
      <w:r w:rsidR="00F54CA3">
        <w:rPr>
          <w:rFonts w:eastAsia="Times New Roman"/>
          <w:sz w:val="22"/>
        </w:rPr>
        <w:t>, No.2</w:t>
      </w:r>
      <w:r w:rsidR="009F1084" w:rsidRPr="00811F51">
        <w:rPr>
          <w:rFonts w:eastAsia="Times New Roman"/>
          <w:sz w:val="22"/>
        </w:rPr>
        <w:t xml:space="preserve">, </w:t>
      </w:r>
      <w:r w:rsidR="00F54CA3">
        <w:rPr>
          <w:rFonts w:eastAsia="Times New Roman"/>
          <w:sz w:val="22"/>
        </w:rPr>
        <w:t>(</w:t>
      </w:r>
      <w:r w:rsidR="00F54CA3" w:rsidRPr="00811F51">
        <w:rPr>
          <w:rFonts w:eastAsia="Times New Roman"/>
          <w:sz w:val="22"/>
        </w:rPr>
        <w:t>1992),</w:t>
      </w:r>
      <w:r w:rsidR="00F54CA3">
        <w:rPr>
          <w:rFonts w:eastAsia="Times New Roman"/>
          <w:sz w:val="22"/>
        </w:rPr>
        <w:t xml:space="preserve"> Pages</w:t>
      </w:r>
      <w:r w:rsidR="009F1084" w:rsidRPr="00811F51">
        <w:rPr>
          <w:rFonts w:eastAsia="Times New Roman"/>
          <w:sz w:val="22"/>
        </w:rPr>
        <w:t>40-53.</w:t>
      </w:r>
    </w:p>
    <w:p w:rsidR="000E23F8" w:rsidRPr="00811F51" w:rsidRDefault="000E23F8" w:rsidP="00811F51">
      <w:pPr>
        <w:spacing w:line="240" w:lineRule="auto"/>
        <w:jc w:val="both"/>
        <w:rPr>
          <w:rFonts w:eastAsia="Times New Roman"/>
          <w:sz w:val="22"/>
        </w:rPr>
      </w:pPr>
      <w:r w:rsidRPr="00811F51">
        <w:rPr>
          <w:sz w:val="22"/>
        </w:rPr>
        <w:t>[34]</w:t>
      </w:r>
      <w:r w:rsidR="00F54CA3">
        <w:rPr>
          <w:rFonts w:eastAsia="Times New Roman"/>
          <w:sz w:val="22"/>
        </w:rPr>
        <w:t xml:space="preserve">M. </w:t>
      </w:r>
      <w:r w:rsidR="001A7DE8" w:rsidRPr="00811F51">
        <w:rPr>
          <w:rFonts w:eastAsia="Times New Roman"/>
          <w:sz w:val="22"/>
        </w:rPr>
        <w:t>Lipton,</w:t>
      </w:r>
      <w:r w:rsidR="00F54CA3">
        <w:rPr>
          <w:rFonts w:eastAsia="Times New Roman"/>
          <w:sz w:val="22"/>
        </w:rPr>
        <w:t xml:space="preserve"> andJ.W. </w:t>
      </w:r>
      <w:r w:rsidR="001A7DE8" w:rsidRPr="00811F51">
        <w:rPr>
          <w:rFonts w:eastAsia="Times New Roman"/>
          <w:sz w:val="22"/>
        </w:rPr>
        <w:t>Lorsch, “</w:t>
      </w:r>
      <w:r w:rsidR="009F1084" w:rsidRPr="00811F51">
        <w:rPr>
          <w:rFonts w:eastAsia="Times New Roman"/>
          <w:sz w:val="22"/>
        </w:rPr>
        <w:t>A modest proposal for improved corporate governance</w:t>
      </w:r>
      <w:r w:rsidR="001A7DE8" w:rsidRPr="00811F51">
        <w:rPr>
          <w:rFonts w:eastAsia="Times New Roman"/>
          <w:sz w:val="22"/>
        </w:rPr>
        <w:t>”,</w:t>
      </w:r>
      <w:r w:rsidR="009F1084" w:rsidRPr="00F54CA3">
        <w:rPr>
          <w:rFonts w:eastAsia="Times New Roman"/>
          <w:sz w:val="22"/>
        </w:rPr>
        <w:t xml:space="preserve">The business lawyer, </w:t>
      </w:r>
      <w:r w:rsidR="00F54CA3">
        <w:rPr>
          <w:rFonts w:eastAsia="Times New Roman"/>
          <w:sz w:val="22"/>
        </w:rPr>
        <w:t xml:space="preserve">(1992), Pages </w:t>
      </w:r>
      <w:r w:rsidR="009F1084" w:rsidRPr="00811F51">
        <w:rPr>
          <w:rFonts w:eastAsia="Times New Roman"/>
          <w:sz w:val="22"/>
        </w:rPr>
        <w:t xml:space="preserve">59-77. </w:t>
      </w:r>
    </w:p>
    <w:p w:rsidR="000E23F8" w:rsidRPr="00811F51" w:rsidRDefault="000E23F8" w:rsidP="00811F51">
      <w:pPr>
        <w:spacing w:line="240" w:lineRule="auto"/>
        <w:jc w:val="both"/>
        <w:rPr>
          <w:rFonts w:eastAsia="Times New Roman"/>
          <w:sz w:val="22"/>
        </w:rPr>
      </w:pPr>
      <w:r w:rsidRPr="00811F51">
        <w:rPr>
          <w:sz w:val="22"/>
        </w:rPr>
        <w:t>[35]</w:t>
      </w:r>
      <w:r w:rsidR="00F54CA3">
        <w:rPr>
          <w:rFonts w:eastAsia="Times New Roman"/>
          <w:sz w:val="22"/>
        </w:rPr>
        <w:t xml:space="preserve">R. </w:t>
      </w:r>
      <w:r w:rsidR="009F1084" w:rsidRPr="00811F51">
        <w:rPr>
          <w:rFonts w:eastAsia="Times New Roman"/>
          <w:sz w:val="22"/>
        </w:rPr>
        <w:t>Ande</w:t>
      </w:r>
      <w:r w:rsidR="001A7DE8" w:rsidRPr="00811F51">
        <w:rPr>
          <w:rFonts w:eastAsia="Times New Roman"/>
          <w:sz w:val="22"/>
        </w:rPr>
        <w:t>rson, S. Mansi, and D. Reeb,“</w:t>
      </w:r>
      <w:r w:rsidR="009F1084" w:rsidRPr="00811F51">
        <w:rPr>
          <w:rFonts w:eastAsia="Times New Roman"/>
          <w:sz w:val="22"/>
        </w:rPr>
        <w:t>Board characteristics, accounting report integrity and the cost of debt</w:t>
      </w:r>
      <w:r w:rsidR="001A7DE8" w:rsidRPr="00811F51">
        <w:rPr>
          <w:rFonts w:eastAsia="Times New Roman"/>
          <w:sz w:val="22"/>
        </w:rPr>
        <w:t>”,</w:t>
      </w:r>
      <w:r w:rsidR="009F1084" w:rsidRPr="00F54CA3">
        <w:rPr>
          <w:rFonts w:eastAsia="Times New Roman"/>
          <w:sz w:val="22"/>
        </w:rPr>
        <w:t>Journal of Accounting and Economics</w:t>
      </w:r>
      <w:r w:rsidR="009F1084" w:rsidRPr="00811F51">
        <w:rPr>
          <w:rFonts w:eastAsia="Times New Roman"/>
          <w:sz w:val="22"/>
        </w:rPr>
        <w:t xml:space="preserve">, </w:t>
      </w:r>
      <w:r w:rsidR="00F54CA3">
        <w:rPr>
          <w:rFonts w:eastAsia="Times New Roman"/>
          <w:sz w:val="22"/>
        </w:rPr>
        <w:t xml:space="preserve">Vol.37, </w:t>
      </w:r>
      <w:r w:rsidR="00F54CA3" w:rsidRPr="00811F51">
        <w:rPr>
          <w:rFonts w:eastAsia="Times New Roman"/>
          <w:sz w:val="22"/>
        </w:rPr>
        <w:t xml:space="preserve">(2004), </w:t>
      </w:r>
      <w:r w:rsidR="00F54CA3">
        <w:rPr>
          <w:rFonts w:eastAsia="Times New Roman"/>
          <w:sz w:val="22"/>
        </w:rPr>
        <w:t>Pages</w:t>
      </w:r>
      <w:r w:rsidR="009F1084" w:rsidRPr="00811F51">
        <w:rPr>
          <w:rFonts w:eastAsia="Times New Roman"/>
          <w:sz w:val="22"/>
        </w:rPr>
        <w:t>315-342</w:t>
      </w:r>
    </w:p>
    <w:p w:rsidR="000E23F8" w:rsidRPr="00811F51" w:rsidRDefault="000E23F8" w:rsidP="00811F51">
      <w:pPr>
        <w:spacing w:line="240" w:lineRule="auto"/>
        <w:jc w:val="both"/>
        <w:rPr>
          <w:rFonts w:eastAsia="Times New Roman"/>
          <w:sz w:val="22"/>
        </w:rPr>
      </w:pPr>
      <w:r w:rsidRPr="00811F51">
        <w:rPr>
          <w:sz w:val="22"/>
        </w:rPr>
        <w:t>[36]</w:t>
      </w:r>
      <w:r w:rsidR="00F54CA3">
        <w:rPr>
          <w:rFonts w:eastAsia="Times New Roman"/>
          <w:sz w:val="22"/>
        </w:rPr>
        <w:t xml:space="preserve">S. </w:t>
      </w:r>
      <w:r w:rsidR="001A7DE8" w:rsidRPr="00811F51">
        <w:rPr>
          <w:rFonts w:eastAsia="Times New Roman"/>
          <w:sz w:val="22"/>
        </w:rPr>
        <w:t xml:space="preserve">Titman, and </w:t>
      </w:r>
      <w:r w:rsidR="00F54CA3">
        <w:rPr>
          <w:rFonts w:eastAsia="Times New Roman"/>
          <w:sz w:val="22"/>
        </w:rPr>
        <w:t xml:space="preserve">R. </w:t>
      </w:r>
      <w:r w:rsidR="001A7DE8" w:rsidRPr="00811F51">
        <w:rPr>
          <w:rFonts w:eastAsia="Times New Roman"/>
          <w:sz w:val="22"/>
        </w:rPr>
        <w:t>Wessels, “</w:t>
      </w:r>
      <w:r w:rsidR="009F1084" w:rsidRPr="00811F51">
        <w:rPr>
          <w:rFonts w:eastAsia="Times New Roman"/>
          <w:sz w:val="22"/>
        </w:rPr>
        <w:t>The determinants of capital structure choice</w:t>
      </w:r>
      <w:r w:rsidR="001A7DE8" w:rsidRPr="00811F51">
        <w:rPr>
          <w:rFonts w:eastAsia="Times New Roman"/>
          <w:sz w:val="22"/>
        </w:rPr>
        <w:t>”</w:t>
      </w:r>
      <w:r w:rsidR="009F1084" w:rsidRPr="00811F51">
        <w:rPr>
          <w:rFonts w:eastAsia="Times New Roman"/>
          <w:sz w:val="22"/>
        </w:rPr>
        <w:t xml:space="preserve">, </w:t>
      </w:r>
      <w:r w:rsidR="009F1084" w:rsidRPr="00F54CA3">
        <w:rPr>
          <w:rFonts w:eastAsia="Times New Roman"/>
          <w:sz w:val="22"/>
        </w:rPr>
        <w:t>Journal of finance,</w:t>
      </w:r>
      <w:r w:rsidR="00F54CA3">
        <w:rPr>
          <w:rFonts w:eastAsia="Times New Roman"/>
          <w:sz w:val="22"/>
        </w:rPr>
        <w:t>Vol.</w:t>
      </w:r>
      <w:r w:rsidR="009F1084" w:rsidRPr="00811F51">
        <w:rPr>
          <w:rFonts w:eastAsia="Times New Roman"/>
          <w:sz w:val="22"/>
        </w:rPr>
        <w:t xml:space="preserve">43, </w:t>
      </w:r>
      <w:r w:rsidR="00F54CA3" w:rsidRPr="00811F51">
        <w:rPr>
          <w:rFonts w:eastAsia="Times New Roman"/>
          <w:sz w:val="22"/>
        </w:rPr>
        <w:t xml:space="preserve">(1988), </w:t>
      </w:r>
      <w:r w:rsidR="00F54CA3">
        <w:rPr>
          <w:rFonts w:eastAsia="Times New Roman"/>
          <w:sz w:val="22"/>
        </w:rPr>
        <w:t xml:space="preserve"> Pages</w:t>
      </w:r>
      <w:r w:rsidR="009F1084" w:rsidRPr="00811F51">
        <w:rPr>
          <w:rFonts w:eastAsia="Times New Roman"/>
          <w:sz w:val="22"/>
        </w:rPr>
        <w:t xml:space="preserve">1-43. </w:t>
      </w:r>
    </w:p>
    <w:p w:rsidR="000E23F8" w:rsidRPr="00811F51" w:rsidRDefault="000E23F8" w:rsidP="00811F51">
      <w:pPr>
        <w:spacing w:line="240" w:lineRule="auto"/>
        <w:jc w:val="both"/>
        <w:rPr>
          <w:rFonts w:eastAsia="Times New Roman"/>
          <w:sz w:val="22"/>
        </w:rPr>
      </w:pPr>
      <w:r w:rsidRPr="00811F51">
        <w:rPr>
          <w:sz w:val="22"/>
        </w:rPr>
        <w:t>[37]</w:t>
      </w:r>
      <w:r w:rsidR="00F54CA3">
        <w:rPr>
          <w:rFonts w:eastAsia="Times New Roman"/>
          <w:sz w:val="22"/>
        </w:rPr>
        <w:t xml:space="preserve">R.G. </w:t>
      </w:r>
      <w:r w:rsidR="001A7DE8" w:rsidRPr="00811F51">
        <w:rPr>
          <w:rFonts w:eastAsia="Times New Roman"/>
          <w:sz w:val="22"/>
        </w:rPr>
        <w:t xml:space="preserve">Rajan, and </w:t>
      </w:r>
      <w:r w:rsidR="00F54CA3">
        <w:rPr>
          <w:rFonts w:eastAsia="Times New Roman"/>
          <w:sz w:val="22"/>
        </w:rPr>
        <w:t xml:space="preserve">L. </w:t>
      </w:r>
      <w:r w:rsidR="001A7DE8" w:rsidRPr="00811F51">
        <w:rPr>
          <w:rFonts w:eastAsia="Times New Roman"/>
          <w:sz w:val="22"/>
        </w:rPr>
        <w:t>Zingales, “</w:t>
      </w:r>
      <w:r w:rsidR="009F1084" w:rsidRPr="00811F51">
        <w:rPr>
          <w:rFonts w:eastAsia="Times New Roman"/>
          <w:sz w:val="22"/>
        </w:rPr>
        <w:t>What do we know about capital structure? Some evidence from international data</w:t>
      </w:r>
      <w:r w:rsidR="001A7DE8" w:rsidRPr="00811F51">
        <w:rPr>
          <w:rFonts w:eastAsia="Times New Roman"/>
          <w:sz w:val="22"/>
        </w:rPr>
        <w:t>”</w:t>
      </w:r>
      <w:r w:rsidR="009F1084" w:rsidRPr="00811F51">
        <w:rPr>
          <w:rFonts w:eastAsia="Times New Roman"/>
          <w:sz w:val="22"/>
        </w:rPr>
        <w:t xml:space="preserve">, </w:t>
      </w:r>
      <w:r w:rsidR="009F1084" w:rsidRPr="00F54CA3">
        <w:rPr>
          <w:rFonts w:eastAsia="Times New Roman"/>
          <w:sz w:val="22"/>
        </w:rPr>
        <w:t>Journal of Finance,</w:t>
      </w:r>
      <w:r w:rsidR="00F54CA3">
        <w:rPr>
          <w:rFonts w:eastAsia="Times New Roman"/>
          <w:sz w:val="22"/>
        </w:rPr>
        <w:t>Vol.</w:t>
      </w:r>
      <w:r w:rsidR="009F1084" w:rsidRPr="00811F51">
        <w:rPr>
          <w:rFonts w:eastAsia="Times New Roman"/>
          <w:sz w:val="22"/>
        </w:rPr>
        <w:t>50,</w:t>
      </w:r>
      <w:r w:rsidR="00F54CA3" w:rsidRPr="00811F51">
        <w:rPr>
          <w:rFonts w:eastAsia="Times New Roman"/>
          <w:sz w:val="22"/>
        </w:rPr>
        <w:t xml:space="preserve">(1995), </w:t>
      </w:r>
      <w:r w:rsidR="00F54CA3">
        <w:rPr>
          <w:rFonts w:eastAsia="Times New Roman"/>
          <w:sz w:val="22"/>
        </w:rPr>
        <w:t>Pages</w:t>
      </w:r>
      <w:r w:rsidR="009F1084" w:rsidRPr="00811F51">
        <w:rPr>
          <w:rFonts w:eastAsia="Times New Roman"/>
          <w:sz w:val="22"/>
        </w:rPr>
        <w:t xml:space="preserve">1421–60. </w:t>
      </w:r>
    </w:p>
    <w:p w:rsidR="000E23F8" w:rsidRPr="00811F51" w:rsidRDefault="000E23F8" w:rsidP="00811F51">
      <w:pPr>
        <w:spacing w:line="240" w:lineRule="auto"/>
        <w:jc w:val="both"/>
        <w:rPr>
          <w:rFonts w:eastAsia="Times New Roman"/>
          <w:sz w:val="22"/>
        </w:rPr>
      </w:pPr>
      <w:r w:rsidRPr="00811F51">
        <w:rPr>
          <w:sz w:val="22"/>
        </w:rPr>
        <w:t>[38]</w:t>
      </w:r>
      <w:r w:rsidR="00F54CA3">
        <w:rPr>
          <w:rFonts w:eastAsia="Times New Roman"/>
          <w:sz w:val="22"/>
        </w:rPr>
        <w:t xml:space="preserve">L. </w:t>
      </w:r>
      <w:r w:rsidR="009F1084" w:rsidRPr="00811F51">
        <w:rPr>
          <w:rFonts w:eastAsia="Times New Roman"/>
          <w:sz w:val="22"/>
        </w:rPr>
        <w:t xml:space="preserve">Booth, </w:t>
      </w:r>
      <w:r w:rsidR="00F54CA3">
        <w:rPr>
          <w:rFonts w:eastAsia="Times New Roman"/>
          <w:sz w:val="22"/>
        </w:rPr>
        <w:t xml:space="preserve">V. </w:t>
      </w:r>
      <w:r w:rsidR="009F1084" w:rsidRPr="00811F51">
        <w:rPr>
          <w:rFonts w:eastAsia="Times New Roman"/>
          <w:sz w:val="22"/>
        </w:rPr>
        <w:t xml:space="preserve">Aivazian, </w:t>
      </w:r>
      <w:r w:rsidR="00F54CA3">
        <w:rPr>
          <w:rFonts w:eastAsia="Times New Roman"/>
          <w:sz w:val="22"/>
        </w:rPr>
        <w:t xml:space="preserve">A. </w:t>
      </w:r>
      <w:r w:rsidR="009F1084" w:rsidRPr="00811F51">
        <w:rPr>
          <w:rFonts w:eastAsia="Times New Roman"/>
          <w:sz w:val="22"/>
        </w:rPr>
        <w:t xml:space="preserve">Demirguc-Kunt, </w:t>
      </w:r>
      <w:r w:rsidR="00F54CA3">
        <w:rPr>
          <w:rFonts w:eastAsia="Times New Roman"/>
          <w:sz w:val="22"/>
        </w:rPr>
        <w:t xml:space="preserve">V. </w:t>
      </w:r>
      <w:r w:rsidR="009F1084" w:rsidRPr="00811F51">
        <w:rPr>
          <w:rFonts w:eastAsia="Times New Roman"/>
          <w:sz w:val="22"/>
        </w:rPr>
        <w:t xml:space="preserve">Maksimovic, </w:t>
      </w:r>
      <w:r w:rsidR="001A7DE8" w:rsidRPr="00811F51">
        <w:rPr>
          <w:rFonts w:eastAsia="Times New Roman"/>
          <w:sz w:val="22"/>
        </w:rPr>
        <w:t>“</w:t>
      </w:r>
      <w:r w:rsidR="009F1084" w:rsidRPr="00811F51">
        <w:rPr>
          <w:rFonts w:eastAsia="Times New Roman"/>
          <w:sz w:val="22"/>
        </w:rPr>
        <w:t>Capital structures in developing countries</w:t>
      </w:r>
      <w:r w:rsidR="001A7DE8" w:rsidRPr="00811F51">
        <w:rPr>
          <w:rFonts w:eastAsia="Times New Roman"/>
          <w:sz w:val="22"/>
        </w:rPr>
        <w:t>”,</w:t>
      </w:r>
      <w:r w:rsidR="00F54CA3" w:rsidRPr="00F54CA3">
        <w:rPr>
          <w:rFonts w:eastAsia="Times New Roman"/>
          <w:sz w:val="22"/>
        </w:rPr>
        <w:t>Journal of</w:t>
      </w:r>
      <w:r w:rsidR="009F1084" w:rsidRPr="00F54CA3">
        <w:rPr>
          <w:rFonts w:eastAsia="Times New Roman"/>
          <w:sz w:val="22"/>
        </w:rPr>
        <w:t xml:space="preserve"> Finance</w:t>
      </w:r>
      <w:r w:rsidR="00F54CA3">
        <w:rPr>
          <w:rFonts w:eastAsia="Times New Roman"/>
          <w:sz w:val="22"/>
        </w:rPr>
        <w:t>, Vol.</w:t>
      </w:r>
      <w:r w:rsidR="009F1084" w:rsidRPr="00811F51">
        <w:rPr>
          <w:rFonts w:eastAsia="Times New Roman"/>
          <w:sz w:val="22"/>
        </w:rPr>
        <w:t>LVI (</w:t>
      </w:r>
      <w:r w:rsidR="00F54CA3">
        <w:rPr>
          <w:rFonts w:eastAsia="Times New Roman"/>
          <w:sz w:val="22"/>
        </w:rPr>
        <w:t xml:space="preserve">February (1), </w:t>
      </w:r>
      <w:r w:rsidR="00F54CA3" w:rsidRPr="00811F51">
        <w:rPr>
          <w:rFonts w:eastAsia="Times New Roman"/>
          <w:sz w:val="22"/>
        </w:rPr>
        <w:t>(2001),</w:t>
      </w:r>
      <w:r w:rsidR="00F54CA3">
        <w:rPr>
          <w:rFonts w:eastAsia="Times New Roman"/>
          <w:sz w:val="22"/>
        </w:rPr>
        <w:t xml:space="preserve"> Pages </w:t>
      </w:r>
      <w:r w:rsidR="009F1084" w:rsidRPr="00811F51">
        <w:rPr>
          <w:rFonts w:eastAsia="Times New Roman"/>
          <w:sz w:val="22"/>
        </w:rPr>
        <w:t xml:space="preserve">87–130. </w:t>
      </w:r>
    </w:p>
    <w:p w:rsidR="000E23F8" w:rsidRPr="00811F51" w:rsidRDefault="000E23F8" w:rsidP="00811F51">
      <w:pPr>
        <w:spacing w:line="240" w:lineRule="auto"/>
        <w:jc w:val="both"/>
        <w:rPr>
          <w:rFonts w:eastAsia="Times New Roman"/>
          <w:sz w:val="22"/>
        </w:rPr>
      </w:pPr>
      <w:r w:rsidRPr="00811F51">
        <w:rPr>
          <w:sz w:val="22"/>
        </w:rPr>
        <w:t>[39]</w:t>
      </w:r>
      <w:r w:rsidR="00F54CA3">
        <w:rPr>
          <w:rFonts w:eastAsia="Times New Roman"/>
          <w:sz w:val="22"/>
        </w:rPr>
        <w:t xml:space="preserve">G. </w:t>
      </w:r>
      <w:r w:rsidR="009F1084" w:rsidRPr="00811F51">
        <w:rPr>
          <w:rFonts w:eastAsia="Times New Roman"/>
          <w:sz w:val="22"/>
        </w:rPr>
        <w:t xml:space="preserve">Huang, </w:t>
      </w:r>
      <w:r w:rsidR="00F54CA3">
        <w:rPr>
          <w:rFonts w:eastAsia="Times New Roman"/>
          <w:sz w:val="22"/>
        </w:rPr>
        <w:t xml:space="preserve">F.M. </w:t>
      </w:r>
      <w:r w:rsidR="009F1084" w:rsidRPr="00811F51">
        <w:rPr>
          <w:rFonts w:eastAsia="Times New Roman"/>
          <w:sz w:val="22"/>
        </w:rPr>
        <w:t xml:space="preserve">Song, </w:t>
      </w:r>
      <w:r w:rsidR="001A7DE8" w:rsidRPr="00811F51">
        <w:rPr>
          <w:rFonts w:eastAsia="Times New Roman"/>
          <w:sz w:val="22"/>
        </w:rPr>
        <w:t>“</w:t>
      </w:r>
      <w:r w:rsidR="009F1084" w:rsidRPr="00811F51">
        <w:rPr>
          <w:rFonts w:eastAsia="Times New Roman"/>
          <w:sz w:val="22"/>
        </w:rPr>
        <w:t>The determinants of capital structure: evidence from China</w:t>
      </w:r>
      <w:r w:rsidR="001A7DE8" w:rsidRPr="00811F51">
        <w:rPr>
          <w:rFonts w:eastAsia="Times New Roman"/>
          <w:sz w:val="22"/>
        </w:rPr>
        <w:t>”,</w:t>
      </w:r>
      <w:r w:rsidR="009F1084" w:rsidRPr="00F54CA3">
        <w:rPr>
          <w:rFonts w:eastAsia="Times New Roman"/>
          <w:sz w:val="22"/>
        </w:rPr>
        <w:t>China Econ. Rev</w:t>
      </w:r>
      <w:r w:rsidR="001A7DE8" w:rsidRPr="00F54CA3">
        <w:rPr>
          <w:rFonts w:eastAsia="Times New Roman"/>
          <w:sz w:val="22"/>
        </w:rPr>
        <w:t>,</w:t>
      </w:r>
      <w:r w:rsidR="00F54CA3">
        <w:rPr>
          <w:rFonts w:eastAsia="Times New Roman"/>
          <w:sz w:val="22"/>
        </w:rPr>
        <w:t>Vol.</w:t>
      </w:r>
      <w:r w:rsidR="009F1084" w:rsidRPr="00811F51">
        <w:rPr>
          <w:rFonts w:eastAsia="Times New Roman"/>
          <w:sz w:val="22"/>
        </w:rPr>
        <w:t xml:space="preserve">17, </w:t>
      </w:r>
      <w:r w:rsidR="00F54CA3" w:rsidRPr="00811F51">
        <w:rPr>
          <w:rFonts w:eastAsia="Times New Roman"/>
          <w:sz w:val="22"/>
        </w:rPr>
        <w:t xml:space="preserve">(2006), </w:t>
      </w:r>
      <w:r w:rsidR="00F54CA3">
        <w:rPr>
          <w:rFonts w:eastAsia="Times New Roman"/>
          <w:sz w:val="22"/>
        </w:rPr>
        <w:t xml:space="preserve">Pages </w:t>
      </w:r>
      <w:r w:rsidR="009F1084" w:rsidRPr="00811F51">
        <w:rPr>
          <w:rFonts w:eastAsia="Times New Roman"/>
          <w:sz w:val="22"/>
        </w:rPr>
        <w:t xml:space="preserve">14–36. </w:t>
      </w:r>
    </w:p>
    <w:p w:rsidR="000E23F8" w:rsidRPr="00811F51" w:rsidRDefault="000E23F8" w:rsidP="00811F51">
      <w:pPr>
        <w:spacing w:line="240" w:lineRule="auto"/>
        <w:jc w:val="both"/>
        <w:rPr>
          <w:rFonts w:eastAsia="Times New Roman"/>
          <w:sz w:val="22"/>
        </w:rPr>
      </w:pPr>
      <w:r w:rsidRPr="00811F51">
        <w:rPr>
          <w:sz w:val="22"/>
        </w:rPr>
        <w:t>[40]</w:t>
      </w:r>
      <w:r w:rsidR="00F54CA3">
        <w:rPr>
          <w:rFonts w:eastAsia="Times New Roman"/>
          <w:sz w:val="22"/>
        </w:rPr>
        <w:t xml:space="preserve">A.A. </w:t>
      </w:r>
      <w:r w:rsidR="009F1084" w:rsidRPr="00811F51">
        <w:rPr>
          <w:rFonts w:eastAsia="Times New Roman"/>
          <w:sz w:val="22"/>
        </w:rPr>
        <w:t xml:space="preserve">Bevan, </w:t>
      </w:r>
      <w:r w:rsidR="00F54CA3">
        <w:rPr>
          <w:rFonts w:eastAsia="Times New Roman"/>
          <w:sz w:val="22"/>
        </w:rPr>
        <w:t xml:space="preserve">J. </w:t>
      </w:r>
      <w:r w:rsidR="009F1084" w:rsidRPr="00811F51">
        <w:rPr>
          <w:rFonts w:eastAsia="Times New Roman"/>
          <w:sz w:val="22"/>
        </w:rPr>
        <w:t xml:space="preserve">Danbolt, </w:t>
      </w:r>
      <w:r w:rsidR="001A7DE8" w:rsidRPr="00811F51">
        <w:rPr>
          <w:rFonts w:eastAsia="Times New Roman"/>
          <w:sz w:val="22"/>
        </w:rPr>
        <w:t>“</w:t>
      </w:r>
      <w:r w:rsidR="009F1084" w:rsidRPr="00811F51">
        <w:rPr>
          <w:rFonts w:eastAsia="Times New Roman"/>
          <w:sz w:val="22"/>
        </w:rPr>
        <w:t>Capital structure and its determinants in the UK-A decompositional analysis</w:t>
      </w:r>
      <w:r w:rsidR="001A7DE8" w:rsidRPr="00811F51">
        <w:rPr>
          <w:rFonts w:eastAsia="Times New Roman"/>
          <w:sz w:val="22"/>
        </w:rPr>
        <w:t>”,</w:t>
      </w:r>
      <w:r w:rsidR="009F1084" w:rsidRPr="00F54CA3">
        <w:rPr>
          <w:rFonts w:eastAsia="Times New Roman"/>
          <w:sz w:val="22"/>
        </w:rPr>
        <w:t>Appl. Financ. Econ</w:t>
      </w:r>
      <w:r w:rsidR="009F1084" w:rsidRPr="00811F51">
        <w:rPr>
          <w:rFonts w:eastAsia="Times New Roman"/>
          <w:i/>
          <w:sz w:val="22"/>
        </w:rPr>
        <w:t>.</w:t>
      </w:r>
      <w:r w:rsidR="004A0CA6">
        <w:rPr>
          <w:rFonts w:eastAsia="Times New Roman"/>
          <w:i/>
          <w:sz w:val="22"/>
        </w:rPr>
        <w:t>,</w:t>
      </w:r>
      <w:r w:rsidR="004A0CA6">
        <w:rPr>
          <w:rFonts w:eastAsia="Times New Roman"/>
          <w:sz w:val="22"/>
        </w:rPr>
        <w:t>Vol.</w:t>
      </w:r>
      <w:r w:rsidR="009F1084" w:rsidRPr="00811F51">
        <w:rPr>
          <w:rFonts w:eastAsia="Times New Roman"/>
          <w:sz w:val="22"/>
        </w:rPr>
        <w:t xml:space="preserve">12, </w:t>
      </w:r>
      <w:r w:rsidR="004A0CA6" w:rsidRPr="00811F51">
        <w:rPr>
          <w:rFonts w:eastAsia="Times New Roman"/>
          <w:sz w:val="22"/>
        </w:rPr>
        <w:t xml:space="preserve">(2002), </w:t>
      </w:r>
      <w:r w:rsidR="004A0CA6">
        <w:rPr>
          <w:rFonts w:eastAsia="Times New Roman"/>
          <w:sz w:val="22"/>
        </w:rPr>
        <w:t xml:space="preserve">Pages </w:t>
      </w:r>
      <w:r w:rsidR="009F1084" w:rsidRPr="00811F51">
        <w:rPr>
          <w:rFonts w:eastAsia="Times New Roman"/>
          <w:sz w:val="22"/>
        </w:rPr>
        <w:t xml:space="preserve">159–170. </w:t>
      </w:r>
    </w:p>
    <w:p w:rsidR="000E23F8" w:rsidRPr="00811F51" w:rsidRDefault="000E23F8" w:rsidP="00811F51">
      <w:pPr>
        <w:spacing w:line="240" w:lineRule="auto"/>
        <w:jc w:val="both"/>
        <w:rPr>
          <w:rFonts w:eastAsia="Times New Roman"/>
          <w:sz w:val="22"/>
        </w:rPr>
      </w:pPr>
      <w:r w:rsidRPr="00811F51">
        <w:rPr>
          <w:sz w:val="22"/>
        </w:rPr>
        <w:t>[41]</w:t>
      </w:r>
      <w:r w:rsidR="004A0CA6">
        <w:rPr>
          <w:rFonts w:eastAsia="Times New Roman"/>
          <w:sz w:val="22"/>
        </w:rPr>
        <w:t xml:space="preserve">J.J. </w:t>
      </w:r>
      <w:r w:rsidR="009F1084" w:rsidRPr="00811F51">
        <w:rPr>
          <w:rFonts w:eastAsia="Times New Roman"/>
          <w:sz w:val="22"/>
        </w:rPr>
        <w:t xml:space="preserve">Chen, </w:t>
      </w:r>
      <w:r w:rsidR="001A7DE8" w:rsidRPr="00811F51">
        <w:rPr>
          <w:rFonts w:eastAsia="Times New Roman"/>
          <w:sz w:val="22"/>
        </w:rPr>
        <w:t>“</w:t>
      </w:r>
      <w:r w:rsidR="009F1084" w:rsidRPr="00811F51">
        <w:rPr>
          <w:rFonts w:eastAsia="Times New Roman"/>
          <w:sz w:val="22"/>
        </w:rPr>
        <w:t>Determinants of capital structure of Chinese-listed companies</w:t>
      </w:r>
      <w:r w:rsidR="001A7DE8" w:rsidRPr="00811F51">
        <w:rPr>
          <w:rFonts w:eastAsia="Times New Roman"/>
          <w:sz w:val="22"/>
        </w:rPr>
        <w:t>”</w:t>
      </w:r>
      <w:r w:rsidR="009F1084" w:rsidRPr="00811F51">
        <w:rPr>
          <w:rFonts w:eastAsia="Times New Roman"/>
          <w:sz w:val="22"/>
        </w:rPr>
        <w:t xml:space="preserve">. </w:t>
      </w:r>
      <w:r w:rsidR="009F1084" w:rsidRPr="004A0CA6">
        <w:rPr>
          <w:rFonts w:eastAsia="Times New Roman"/>
          <w:sz w:val="22"/>
        </w:rPr>
        <w:t>J. Bus. Res</w:t>
      </w:r>
      <w:r w:rsidR="009F1084" w:rsidRPr="00811F51">
        <w:rPr>
          <w:rFonts w:eastAsia="Times New Roman"/>
          <w:i/>
          <w:sz w:val="22"/>
        </w:rPr>
        <w:t xml:space="preserve">. </w:t>
      </w:r>
      <w:r w:rsidR="004A0CA6" w:rsidRPr="004A0CA6">
        <w:rPr>
          <w:rFonts w:eastAsia="Times New Roman"/>
          <w:sz w:val="22"/>
        </w:rPr>
        <w:t>Vol.</w:t>
      </w:r>
      <w:r w:rsidR="009F1084" w:rsidRPr="004A0CA6">
        <w:rPr>
          <w:rFonts w:eastAsia="Times New Roman"/>
          <w:sz w:val="22"/>
        </w:rPr>
        <w:t>57,</w:t>
      </w:r>
      <w:r w:rsidR="004A0CA6" w:rsidRPr="00811F51">
        <w:rPr>
          <w:rFonts w:eastAsia="Times New Roman"/>
          <w:sz w:val="22"/>
        </w:rPr>
        <w:t xml:space="preserve">(2004), </w:t>
      </w:r>
      <w:r w:rsidR="004A0CA6">
        <w:rPr>
          <w:rFonts w:eastAsia="Times New Roman"/>
          <w:sz w:val="22"/>
        </w:rPr>
        <w:t xml:space="preserve">Pages </w:t>
      </w:r>
      <w:r w:rsidR="009F1084" w:rsidRPr="00811F51">
        <w:rPr>
          <w:rFonts w:eastAsia="Times New Roman"/>
          <w:sz w:val="22"/>
        </w:rPr>
        <w:t xml:space="preserve">1341–1351. </w:t>
      </w:r>
    </w:p>
    <w:p w:rsidR="000E23F8" w:rsidRPr="00811F51" w:rsidRDefault="000E23F8" w:rsidP="00811F51">
      <w:pPr>
        <w:spacing w:line="240" w:lineRule="auto"/>
        <w:jc w:val="both"/>
        <w:rPr>
          <w:rFonts w:eastAsia="Times New Roman"/>
          <w:sz w:val="22"/>
        </w:rPr>
      </w:pPr>
      <w:r w:rsidRPr="00811F51">
        <w:rPr>
          <w:sz w:val="22"/>
        </w:rPr>
        <w:t>[42]</w:t>
      </w:r>
      <w:r w:rsidR="004A0CA6">
        <w:rPr>
          <w:rFonts w:eastAsia="Times New Roman"/>
          <w:sz w:val="22"/>
        </w:rPr>
        <w:t xml:space="preserve">S.C. </w:t>
      </w:r>
      <w:r w:rsidR="009F1084" w:rsidRPr="00811F51">
        <w:rPr>
          <w:rFonts w:eastAsia="Times New Roman"/>
          <w:sz w:val="22"/>
        </w:rPr>
        <w:t xml:space="preserve">Myers, </w:t>
      </w:r>
      <w:r w:rsidR="001A7DE8" w:rsidRPr="00811F51">
        <w:rPr>
          <w:rFonts w:eastAsia="Times New Roman"/>
          <w:sz w:val="22"/>
        </w:rPr>
        <w:t>“</w:t>
      </w:r>
      <w:r w:rsidR="009F1084" w:rsidRPr="00811F51">
        <w:rPr>
          <w:rFonts w:eastAsia="Times New Roman"/>
          <w:sz w:val="22"/>
        </w:rPr>
        <w:t>Determinants of corporate borrowing</w:t>
      </w:r>
      <w:r w:rsidR="001A7DE8" w:rsidRPr="00811F51">
        <w:rPr>
          <w:rFonts w:eastAsia="Times New Roman"/>
          <w:sz w:val="22"/>
        </w:rPr>
        <w:t>”,</w:t>
      </w:r>
      <w:r w:rsidR="009F1084" w:rsidRPr="004A0CA6">
        <w:rPr>
          <w:rFonts w:eastAsia="Times New Roman"/>
          <w:sz w:val="22"/>
        </w:rPr>
        <w:t>Journal of Financial Economics,</w:t>
      </w:r>
      <w:r w:rsidR="004A0CA6" w:rsidRPr="004A0CA6">
        <w:rPr>
          <w:rFonts w:eastAsia="Times New Roman"/>
          <w:sz w:val="22"/>
        </w:rPr>
        <w:t>Vol.</w:t>
      </w:r>
      <w:r w:rsidR="009F1084" w:rsidRPr="004A0CA6">
        <w:rPr>
          <w:rFonts w:eastAsia="Times New Roman"/>
          <w:sz w:val="22"/>
        </w:rPr>
        <w:t>5</w:t>
      </w:r>
      <w:r w:rsidR="004A0CA6" w:rsidRPr="004A0CA6">
        <w:rPr>
          <w:rFonts w:eastAsia="Times New Roman"/>
          <w:sz w:val="22"/>
        </w:rPr>
        <w:t>,</w:t>
      </w:r>
      <w:r w:rsidR="004A0CA6">
        <w:rPr>
          <w:rFonts w:eastAsia="Times New Roman"/>
          <w:sz w:val="22"/>
        </w:rPr>
        <w:t xml:space="preserve"> No2</w:t>
      </w:r>
      <w:r w:rsidR="009F1084" w:rsidRPr="00811F51">
        <w:rPr>
          <w:rFonts w:eastAsia="Times New Roman"/>
          <w:sz w:val="22"/>
        </w:rPr>
        <w:t xml:space="preserve">, </w:t>
      </w:r>
      <w:r w:rsidR="004A0CA6">
        <w:rPr>
          <w:rFonts w:eastAsia="Times New Roman"/>
          <w:sz w:val="22"/>
        </w:rPr>
        <w:t>(1977), Pages 147-175</w:t>
      </w:r>
    </w:p>
    <w:p w:rsidR="009F1084" w:rsidRPr="00811F51" w:rsidRDefault="000E23F8" w:rsidP="00811F51">
      <w:pPr>
        <w:spacing w:after="0" w:line="240" w:lineRule="auto"/>
        <w:jc w:val="both"/>
        <w:rPr>
          <w:sz w:val="22"/>
        </w:rPr>
      </w:pPr>
      <w:r w:rsidRPr="00811F51">
        <w:rPr>
          <w:sz w:val="22"/>
        </w:rPr>
        <w:lastRenderedPageBreak/>
        <w:t>[43]</w:t>
      </w:r>
      <w:r w:rsidR="004A0CA6">
        <w:rPr>
          <w:rFonts w:eastAsia="Times New Roman"/>
          <w:sz w:val="22"/>
        </w:rPr>
        <w:t xml:space="preserve">H. </w:t>
      </w:r>
      <w:r w:rsidR="001A7DE8" w:rsidRPr="00811F51">
        <w:rPr>
          <w:rFonts w:eastAsia="Times New Roman"/>
          <w:sz w:val="22"/>
        </w:rPr>
        <w:t xml:space="preserve">DeAngelo, and </w:t>
      </w:r>
      <w:r w:rsidR="004A0CA6">
        <w:rPr>
          <w:rFonts w:eastAsia="Times New Roman"/>
          <w:sz w:val="22"/>
        </w:rPr>
        <w:t xml:space="preserve">R. </w:t>
      </w:r>
      <w:r w:rsidR="001A7DE8" w:rsidRPr="00811F51">
        <w:rPr>
          <w:rFonts w:eastAsia="Times New Roman"/>
          <w:sz w:val="22"/>
        </w:rPr>
        <w:t>Masulis, “</w:t>
      </w:r>
      <w:r w:rsidR="004A14AC" w:rsidRPr="00811F51">
        <w:rPr>
          <w:rFonts w:eastAsia="Times New Roman"/>
          <w:sz w:val="22"/>
        </w:rPr>
        <w:t>Optimal capital structure under corporate and personal taxation</w:t>
      </w:r>
      <w:r w:rsidR="001A7DE8" w:rsidRPr="00811F51">
        <w:rPr>
          <w:rFonts w:eastAsia="Times New Roman"/>
          <w:sz w:val="22"/>
        </w:rPr>
        <w:t>”</w:t>
      </w:r>
      <w:r w:rsidR="004A14AC" w:rsidRPr="00811F51">
        <w:rPr>
          <w:rFonts w:eastAsia="Times New Roman"/>
          <w:sz w:val="22"/>
        </w:rPr>
        <w:t xml:space="preserve">, </w:t>
      </w:r>
      <w:r w:rsidR="004A14AC" w:rsidRPr="004A0CA6">
        <w:rPr>
          <w:rFonts w:eastAsia="Times New Roman"/>
          <w:sz w:val="22"/>
        </w:rPr>
        <w:t>Journal of financial economics</w:t>
      </w:r>
      <w:r w:rsidR="004A14AC" w:rsidRPr="00811F51">
        <w:rPr>
          <w:rFonts w:eastAsia="Times New Roman"/>
          <w:sz w:val="22"/>
        </w:rPr>
        <w:t xml:space="preserve">, </w:t>
      </w:r>
      <w:r w:rsidR="004A0CA6">
        <w:rPr>
          <w:rFonts w:eastAsia="Times New Roman"/>
          <w:sz w:val="22"/>
        </w:rPr>
        <w:t>Vol.</w:t>
      </w:r>
      <w:r w:rsidR="004A14AC" w:rsidRPr="00811F51">
        <w:rPr>
          <w:rFonts w:eastAsia="Times New Roman"/>
          <w:sz w:val="22"/>
        </w:rPr>
        <w:t xml:space="preserve">8, </w:t>
      </w:r>
      <w:r w:rsidR="004A0CA6" w:rsidRPr="00811F51">
        <w:rPr>
          <w:rFonts w:eastAsia="Times New Roman"/>
          <w:sz w:val="22"/>
        </w:rPr>
        <w:t xml:space="preserve">(1980), </w:t>
      </w:r>
      <w:r w:rsidR="004A0CA6">
        <w:rPr>
          <w:rFonts w:eastAsia="Times New Roman"/>
          <w:sz w:val="22"/>
        </w:rPr>
        <w:t xml:space="preserve">Pages </w:t>
      </w:r>
      <w:r w:rsidR="004A14AC" w:rsidRPr="00811F51">
        <w:rPr>
          <w:rFonts w:eastAsia="Times New Roman"/>
          <w:sz w:val="22"/>
        </w:rPr>
        <w:t>3-29</w:t>
      </w:r>
    </w:p>
    <w:p w:rsidR="000E23F8" w:rsidRPr="00811F51" w:rsidRDefault="000E23F8" w:rsidP="00811F51">
      <w:pPr>
        <w:spacing w:after="0" w:line="240" w:lineRule="auto"/>
        <w:jc w:val="both"/>
        <w:rPr>
          <w:sz w:val="22"/>
        </w:rPr>
      </w:pPr>
    </w:p>
    <w:p w:rsidR="000E23F8" w:rsidRPr="00811F51" w:rsidRDefault="000E23F8" w:rsidP="00811F51">
      <w:pPr>
        <w:spacing w:line="240" w:lineRule="auto"/>
        <w:jc w:val="both"/>
        <w:rPr>
          <w:rFonts w:eastAsia="Times New Roman"/>
          <w:sz w:val="22"/>
        </w:rPr>
      </w:pPr>
      <w:r w:rsidRPr="00811F51">
        <w:rPr>
          <w:sz w:val="22"/>
        </w:rPr>
        <w:t>[44]</w:t>
      </w:r>
      <w:r w:rsidR="004A0CA6">
        <w:rPr>
          <w:rFonts w:eastAsia="Times New Roman"/>
          <w:sz w:val="22"/>
        </w:rPr>
        <w:t xml:space="preserve">A. </w:t>
      </w:r>
      <w:r w:rsidR="009F1084" w:rsidRPr="00811F51">
        <w:rPr>
          <w:rFonts w:eastAsia="Times New Roman"/>
          <w:sz w:val="22"/>
        </w:rPr>
        <w:t xml:space="preserve">Levin, </w:t>
      </w:r>
      <w:r w:rsidR="004A0CA6">
        <w:rPr>
          <w:rFonts w:eastAsia="Times New Roman"/>
          <w:sz w:val="22"/>
        </w:rPr>
        <w:t xml:space="preserve">C.E. </w:t>
      </w:r>
      <w:r w:rsidR="009F1084" w:rsidRPr="00811F51">
        <w:rPr>
          <w:rFonts w:eastAsia="Times New Roman"/>
          <w:sz w:val="22"/>
        </w:rPr>
        <w:t xml:space="preserve">Lin, </w:t>
      </w:r>
      <w:r w:rsidR="004A0CA6">
        <w:rPr>
          <w:rFonts w:eastAsia="Times New Roman"/>
          <w:sz w:val="22"/>
        </w:rPr>
        <w:t xml:space="preserve">C. </w:t>
      </w:r>
      <w:r w:rsidR="009F1084" w:rsidRPr="00811F51">
        <w:rPr>
          <w:rFonts w:eastAsia="Times New Roman"/>
          <w:sz w:val="22"/>
        </w:rPr>
        <w:t xml:space="preserve">Chu, </w:t>
      </w:r>
      <w:r w:rsidR="001A7DE8" w:rsidRPr="00811F51">
        <w:rPr>
          <w:rFonts w:eastAsia="Times New Roman"/>
          <w:sz w:val="22"/>
        </w:rPr>
        <w:t>“</w:t>
      </w:r>
      <w:r w:rsidR="009F1084" w:rsidRPr="00811F51">
        <w:rPr>
          <w:rFonts w:eastAsia="Times New Roman"/>
          <w:sz w:val="22"/>
        </w:rPr>
        <w:t>Unit root tests in panel data: asymptotic and ﬁnite-sample properties</w:t>
      </w:r>
      <w:r w:rsidR="001A7DE8" w:rsidRPr="00811F51">
        <w:rPr>
          <w:rFonts w:eastAsia="Times New Roman"/>
          <w:sz w:val="22"/>
        </w:rPr>
        <w:t>”,</w:t>
      </w:r>
      <w:r w:rsidR="009F1084" w:rsidRPr="004A0CA6">
        <w:rPr>
          <w:rFonts w:eastAsia="Times New Roman"/>
          <w:sz w:val="22"/>
        </w:rPr>
        <w:t>J. Econom.</w:t>
      </w:r>
      <w:r w:rsidR="004A0CA6">
        <w:rPr>
          <w:rFonts w:eastAsia="Times New Roman"/>
          <w:sz w:val="22"/>
        </w:rPr>
        <w:t>Vol.</w:t>
      </w:r>
      <w:r w:rsidR="009F1084" w:rsidRPr="00811F51">
        <w:rPr>
          <w:rFonts w:eastAsia="Times New Roman"/>
          <w:sz w:val="22"/>
        </w:rPr>
        <w:t xml:space="preserve">108, </w:t>
      </w:r>
      <w:r w:rsidR="004A0CA6" w:rsidRPr="00811F51">
        <w:rPr>
          <w:rFonts w:eastAsia="Times New Roman"/>
          <w:sz w:val="22"/>
        </w:rPr>
        <w:t xml:space="preserve">(2002), </w:t>
      </w:r>
      <w:r w:rsidR="004A0CA6">
        <w:rPr>
          <w:rFonts w:eastAsia="Times New Roman"/>
          <w:sz w:val="22"/>
        </w:rPr>
        <w:t xml:space="preserve">Pages </w:t>
      </w:r>
      <w:r w:rsidR="009F1084" w:rsidRPr="00811F51">
        <w:rPr>
          <w:rFonts w:eastAsia="Times New Roman"/>
          <w:sz w:val="22"/>
        </w:rPr>
        <w:t xml:space="preserve">1–24. </w:t>
      </w:r>
    </w:p>
    <w:p w:rsidR="000E23F8" w:rsidRPr="00811F51" w:rsidRDefault="000E23F8" w:rsidP="00811F51">
      <w:pPr>
        <w:spacing w:line="240" w:lineRule="auto"/>
        <w:jc w:val="both"/>
        <w:rPr>
          <w:rFonts w:ascii="Calibri" w:eastAsia="Times New Roman" w:hAnsi="Calibri"/>
          <w:color w:val="000000"/>
          <w:sz w:val="22"/>
        </w:rPr>
      </w:pPr>
      <w:r w:rsidRPr="00811F51">
        <w:rPr>
          <w:sz w:val="22"/>
        </w:rPr>
        <w:t>[45]</w:t>
      </w:r>
      <w:r w:rsidR="004A0CA6">
        <w:rPr>
          <w:rFonts w:eastAsia="Times New Roman"/>
          <w:sz w:val="22"/>
        </w:rPr>
        <w:t xml:space="preserve">J.M. </w:t>
      </w:r>
      <w:r w:rsidR="001A7DE8" w:rsidRPr="00811F51">
        <w:rPr>
          <w:rFonts w:eastAsia="Times New Roman"/>
          <w:color w:val="000000"/>
          <w:sz w:val="22"/>
        </w:rPr>
        <w:t xml:space="preserve">Wooldridge </w:t>
      </w:r>
      <w:r w:rsidR="004A0CA6">
        <w:rPr>
          <w:rFonts w:eastAsia="Times New Roman"/>
          <w:color w:val="000000"/>
          <w:sz w:val="22"/>
        </w:rPr>
        <w:t>,”</w:t>
      </w:r>
      <w:r w:rsidR="009F1084" w:rsidRPr="00811F51">
        <w:rPr>
          <w:rFonts w:eastAsia="Times New Roman"/>
          <w:sz w:val="22"/>
        </w:rPr>
        <w:t>Econometric analysis of cross-section and panel data</w:t>
      </w:r>
      <w:r w:rsidR="004A0CA6">
        <w:rPr>
          <w:rFonts w:eastAsia="Times New Roman"/>
          <w:sz w:val="22"/>
        </w:rPr>
        <w:t>”</w:t>
      </w:r>
      <w:r w:rsidR="009F1084" w:rsidRPr="00811F51">
        <w:rPr>
          <w:rFonts w:eastAsia="Times New Roman"/>
          <w:sz w:val="22"/>
        </w:rPr>
        <w:t>, MIT press, Boston</w:t>
      </w:r>
      <w:r w:rsidR="004A0CA6">
        <w:rPr>
          <w:rFonts w:eastAsia="Times New Roman"/>
          <w:sz w:val="22"/>
        </w:rPr>
        <w:t xml:space="preserve">, </w:t>
      </w:r>
      <w:r w:rsidR="004A0CA6" w:rsidRPr="00811F51">
        <w:rPr>
          <w:rFonts w:eastAsia="Times New Roman"/>
          <w:color w:val="000000"/>
          <w:sz w:val="22"/>
        </w:rPr>
        <w:t>(2002),</w:t>
      </w:r>
    </w:p>
    <w:p w:rsidR="000E23F8" w:rsidRPr="00811F51" w:rsidRDefault="000E23F8" w:rsidP="00811F51">
      <w:pPr>
        <w:spacing w:line="240" w:lineRule="auto"/>
        <w:jc w:val="both"/>
        <w:rPr>
          <w:rFonts w:eastAsia="Times New Roman"/>
          <w:sz w:val="22"/>
        </w:rPr>
      </w:pPr>
      <w:r w:rsidRPr="00811F51">
        <w:rPr>
          <w:sz w:val="22"/>
        </w:rPr>
        <w:t>[46]</w:t>
      </w:r>
      <w:r w:rsidR="004A0CA6">
        <w:rPr>
          <w:rFonts w:eastAsia="Times New Roman"/>
          <w:sz w:val="22"/>
        </w:rPr>
        <w:t xml:space="preserve">P. </w:t>
      </w:r>
      <w:r w:rsidR="009F1084" w:rsidRPr="00811F51">
        <w:rPr>
          <w:rFonts w:eastAsia="Times New Roman"/>
          <w:sz w:val="22"/>
        </w:rPr>
        <w:t xml:space="preserve">Jiraporn, </w:t>
      </w:r>
      <w:r w:rsidR="004A0CA6">
        <w:rPr>
          <w:rFonts w:eastAsia="Times New Roman"/>
          <w:sz w:val="22"/>
        </w:rPr>
        <w:t xml:space="preserve">J. </w:t>
      </w:r>
      <w:r w:rsidR="009F1084" w:rsidRPr="00811F51">
        <w:rPr>
          <w:rFonts w:eastAsia="Times New Roman"/>
          <w:sz w:val="22"/>
        </w:rPr>
        <w:t xml:space="preserve">Kim, </w:t>
      </w:r>
      <w:r w:rsidR="004A0CA6">
        <w:rPr>
          <w:rFonts w:eastAsia="Times New Roman"/>
          <w:sz w:val="22"/>
        </w:rPr>
        <w:t xml:space="preserve">Y. </w:t>
      </w:r>
      <w:r w:rsidR="001A7DE8" w:rsidRPr="00811F51">
        <w:rPr>
          <w:rFonts w:eastAsia="Times New Roman"/>
          <w:sz w:val="22"/>
        </w:rPr>
        <w:t xml:space="preserve">Kim, and </w:t>
      </w:r>
      <w:r w:rsidR="004A0CA6">
        <w:rPr>
          <w:rFonts w:eastAsia="Times New Roman"/>
          <w:sz w:val="22"/>
        </w:rPr>
        <w:t xml:space="preserve">P. </w:t>
      </w:r>
      <w:r w:rsidR="001A7DE8" w:rsidRPr="00811F51">
        <w:rPr>
          <w:rFonts w:eastAsia="Times New Roman"/>
          <w:sz w:val="22"/>
        </w:rPr>
        <w:t>Kitsabunnarat, “</w:t>
      </w:r>
      <w:r w:rsidR="009F1084" w:rsidRPr="00811F51">
        <w:rPr>
          <w:rFonts w:eastAsia="Times New Roman"/>
          <w:sz w:val="22"/>
        </w:rPr>
        <w:t>Capital structure and corporate governance quality: Evidence from the Institutional Shareholder Services (ISS)</w:t>
      </w:r>
      <w:r w:rsidR="001A7DE8" w:rsidRPr="00811F51">
        <w:rPr>
          <w:rFonts w:eastAsia="Times New Roman"/>
          <w:sz w:val="22"/>
        </w:rPr>
        <w:t>”,</w:t>
      </w:r>
      <w:r w:rsidR="009F1084" w:rsidRPr="004A0CA6">
        <w:rPr>
          <w:rFonts w:eastAsia="Times New Roman"/>
          <w:sz w:val="22"/>
        </w:rPr>
        <w:t xml:space="preserve"> International Review of Economics and Finance</w:t>
      </w:r>
      <w:r w:rsidR="001A7DE8" w:rsidRPr="00811F51">
        <w:rPr>
          <w:rFonts w:eastAsia="Times New Roman"/>
          <w:i/>
          <w:sz w:val="22"/>
        </w:rPr>
        <w:t>,</w:t>
      </w:r>
      <w:r w:rsidR="004A0CA6">
        <w:rPr>
          <w:rFonts w:eastAsia="Times New Roman"/>
          <w:sz w:val="22"/>
        </w:rPr>
        <w:t>Vol.</w:t>
      </w:r>
      <w:r w:rsidR="009F1084" w:rsidRPr="00811F51">
        <w:rPr>
          <w:rFonts w:eastAsia="Times New Roman"/>
          <w:sz w:val="22"/>
        </w:rPr>
        <w:t>22</w:t>
      </w:r>
      <w:r w:rsidR="004A0CA6">
        <w:rPr>
          <w:rFonts w:eastAsia="Times New Roman"/>
          <w:sz w:val="22"/>
        </w:rPr>
        <w:t>, No.1</w:t>
      </w:r>
      <w:r w:rsidR="009F1084" w:rsidRPr="00811F51">
        <w:rPr>
          <w:rFonts w:eastAsia="Times New Roman"/>
          <w:sz w:val="22"/>
        </w:rPr>
        <w:t xml:space="preserve">, </w:t>
      </w:r>
      <w:r w:rsidR="004A0CA6" w:rsidRPr="00811F51">
        <w:rPr>
          <w:rFonts w:eastAsia="Times New Roman"/>
          <w:sz w:val="22"/>
        </w:rPr>
        <w:t xml:space="preserve">(2012), </w:t>
      </w:r>
      <w:r w:rsidR="004A0CA6">
        <w:rPr>
          <w:rFonts w:eastAsia="Times New Roman"/>
          <w:sz w:val="22"/>
        </w:rPr>
        <w:t xml:space="preserve">Pages </w:t>
      </w:r>
      <w:r w:rsidR="009F1084" w:rsidRPr="00811F51">
        <w:rPr>
          <w:rFonts w:eastAsia="Times New Roman"/>
          <w:sz w:val="22"/>
        </w:rPr>
        <w:t xml:space="preserve">208–221. </w:t>
      </w:r>
    </w:p>
    <w:p w:rsidR="000E23F8" w:rsidRPr="00811F51" w:rsidRDefault="000E23F8" w:rsidP="00811F51">
      <w:pPr>
        <w:spacing w:line="240" w:lineRule="auto"/>
        <w:jc w:val="both"/>
        <w:rPr>
          <w:rFonts w:eastAsia="Times New Roman"/>
          <w:sz w:val="22"/>
        </w:rPr>
      </w:pPr>
      <w:r w:rsidRPr="00811F51">
        <w:rPr>
          <w:sz w:val="22"/>
        </w:rPr>
        <w:t>[47]</w:t>
      </w:r>
      <w:r w:rsidR="004A14AC" w:rsidRPr="00811F51">
        <w:rPr>
          <w:rFonts w:eastAsia="Times New Roman"/>
          <w:sz w:val="22"/>
        </w:rPr>
        <w:t xml:space="preserve"> A. Bryman and D. Cramer,“Quantitative data analysis with SPSS for windows: a guide for social </w:t>
      </w:r>
      <w:r w:rsidR="0085044F" w:rsidRPr="00811F51">
        <w:rPr>
          <w:rFonts w:eastAsia="Times New Roman"/>
          <w:sz w:val="22"/>
        </w:rPr>
        <w:t>scientists,” Routledge, London</w:t>
      </w:r>
      <w:r w:rsidR="004A0CA6">
        <w:rPr>
          <w:rFonts w:eastAsia="Times New Roman"/>
          <w:sz w:val="22"/>
        </w:rPr>
        <w:t xml:space="preserve">,(1997) </w:t>
      </w:r>
    </w:p>
    <w:p w:rsidR="000E23F8" w:rsidRPr="00811F51" w:rsidRDefault="000E23F8" w:rsidP="00811F51">
      <w:pPr>
        <w:spacing w:line="240" w:lineRule="auto"/>
        <w:jc w:val="both"/>
        <w:rPr>
          <w:rFonts w:eastAsia="Times New Roman"/>
          <w:sz w:val="22"/>
        </w:rPr>
      </w:pPr>
      <w:r w:rsidRPr="00811F51">
        <w:rPr>
          <w:sz w:val="22"/>
        </w:rPr>
        <w:t>[48]</w:t>
      </w:r>
      <w:r w:rsidR="004A0CA6" w:rsidRPr="00811F51">
        <w:rPr>
          <w:rFonts w:eastAsia="Times New Roman"/>
          <w:sz w:val="22"/>
        </w:rPr>
        <w:t xml:space="preserve">G.A. </w:t>
      </w:r>
      <w:r w:rsidR="0085044F" w:rsidRPr="00811F51">
        <w:rPr>
          <w:rFonts w:eastAsia="Times New Roman"/>
          <w:sz w:val="22"/>
        </w:rPr>
        <w:t xml:space="preserve">Bokpin, and </w:t>
      </w:r>
      <w:r w:rsidR="004A0CA6">
        <w:rPr>
          <w:rFonts w:eastAsia="Times New Roman"/>
          <w:sz w:val="22"/>
        </w:rPr>
        <w:t xml:space="preserve">A.C. </w:t>
      </w:r>
      <w:r w:rsidR="0085044F" w:rsidRPr="00811F51">
        <w:rPr>
          <w:rFonts w:eastAsia="Times New Roman"/>
          <w:sz w:val="22"/>
        </w:rPr>
        <w:t>Arko, “</w:t>
      </w:r>
      <w:r w:rsidR="004A14AC" w:rsidRPr="00811F51">
        <w:rPr>
          <w:rFonts w:eastAsia="Times New Roman"/>
          <w:sz w:val="22"/>
        </w:rPr>
        <w:t>Ownership structure, corporate governance, and capital structure decisions of ﬁrms: empirical evidence from Ghana</w:t>
      </w:r>
      <w:r w:rsidR="0085044F" w:rsidRPr="00811F51">
        <w:rPr>
          <w:rFonts w:eastAsia="Times New Roman"/>
          <w:sz w:val="22"/>
        </w:rPr>
        <w:t>”,</w:t>
      </w:r>
      <w:r w:rsidR="004A14AC" w:rsidRPr="004A0CA6">
        <w:rPr>
          <w:rFonts w:eastAsia="Times New Roman"/>
          <w:sz w:val="22"/>
        </w:rPr>
        <w:t>Studies in Economics and Finance,</w:t>
      </w:r>
      <w:r w:rsidR="004A14AC" w:rsidRPr="00811F51">
        <w:rPr>
          <w:rFonts w:eastAsia="Times New Roman"/>
          <w:sz w:val="22"/>
        </w:rPr>
        <w:t xml:space="preserve"> Vol. 26 No. 4, </w:t>
      </w:r>
      <w:r w:rsidR="004A0CA6" w:rsidRPr="00811F51">
        <w:rPr>
          <w:rFonts w:eastAsia="Times New Roman"/>
          <w:sz w:val="22"/>
        </w:rPr>
        <w:t xml:space="preserve">(2009), </w:t>
      </w:r>
      <w:r w:rsidR="004A0CA6">
        <w:rPr>
          <w:rFonts w:eastAsia="Times New Roman"/>
          <w:sz w:val="22"/>
        </w:rPr>
        <w:t>Pages</w:t>
      </w:r>
      <w:r w:rsidR="004A14AC" w:rsidRPr="00811F51">
        <w:rPr>
          <w:rFonts w:eastAsia="Times New Roman"/>
          <w:sz w:val="22"/>
        </w:rPr>
        <w:t xml:space="preserve">. 246-56. </w:t>
      </w:r>
    </w:p>
    <w:p w:rsidR="000E23F8" w:rsidRPr="00811F51" w:rsidRDefault="000E23F8" w:rsidP="00811F51">
      <w:pPr>
        <w:spacing w:line="240" w:lineRule="auto"/>
        <w:jc w:val="both"/>
        <w:rPr>
          <w:rFonts w:eastAsia="Times New Roman"/>
          <w:sz w:val="22"/>
        </w:rPr>
      </w:pPr>
      <w:r w:rsidRPr="00811F51">
        <w:rPr>
          <w:sz w:val="22"/>
        </w:rPr>
        <w:t>[49]</w:t>
      </w:r>
      <w:r w:rsidR="004A0CA6">
        <w:rPr>
          <w:rFonts w:eastAsia="Times New Roman"/>
          <w:sz w:val="22"/>
        </w:rPr>
        <w:t xml:space="preserve">K.V. </w:t>
      </w:r>
      <w:r w:rsidR="004A14AC" w:rsidRPr="00811F51">
        <w:rPr>
          <w:rFonts w:eastAsia="Times New Roman"/>
          <w:sz w:val="22"/>
        </w:rPr>
        <w:t>Peasne</w:t>
      </w:r>
      <w:r w:rsidR="0085044F" w:rsidRPr="00811F51">
        <w:rPr>
          <w:rFonts w:eastAsia="Times New Roman"/>
          <w:sz w:val="22"/>
        </w:rPr>
        <w:t xml:space="preserve">ll, </w:t>
      </w:r>
      <w:r w:rsidR="007A2910">
        <w:rPr>
          <w:rFonts w:eastAsia="Times New Roman"/>
          <w:sz w:val="22"/>
        </w:rPr>
        <w:t xml:space="preserve">P.F. </w:t>
      </w:r>
      <w:r w:rsidR="0085044F" w:rsidRPr="00811F51">
        <w:rPr>
          <w:rFonts w:eastAsia="Times New Roman"/>
          <w:sz w:val="22"/>
        </w:rPr>
        <w:t>Pope</w:t>
      </w:r>
      <w:r w:rsidR="007A2910">
        <w:rPr>
          <w:rFonts w:eastAsia="Times New Roman"/>
          <w:sz w:val="22"/>
        </w:rPr>
        <w:t>,</w:t>
      </w:r>
      <w:r w:rsidR="0085044F" w:rsidRPr="00811F51">
        <w:rPr>
          <w:rFonts w:eastAsia="Times New Roman"/>
          <w:sz w:val="22"/>
        </w:rPr>
        <w:t xml:space="preserve"> and </w:t>
      </w:r>
      <w:r w:rsidR="007A2910">
        <w:rPr>
          <w:rFonts w:eastAsia="Times New Roman"/>
          <w:sz w:val="22"/>
        </w:rPr>
        <w:t xml:space="preserve">S. </w:t>
      </w:r>
      <w:r w:rsidR="0085044F" w:rsidRPr="00811F51">
        <w:rPr>
          <w:rFonts w:eastAsia="Times New Roman"/>
          <w:sz w:val="22"/>
        </w:rPr>
        <w:t>Young S,“</w:t>
      </w:r>
      <w:r w:rsidR="004A14AC" w:rsidRPr="00811F51">
        <w:rPr>
          <w:rFonts w:eastAsia="Times New Roman"/>
          <w:sz w:val="22"/>
        </w:rPr>
        <w:t>Accrual management to meet earnings target: UK evidence pre- and post-cadbury</w:t>
      </w:r>
      <w:r w:rsidR="0085044F" w:rsidRPr="00811F51">
        <w:rPr>
          <w:rFonts w:eastAsia="Times New Roman"/>
          <w:sz w:val="22"/>
        </w:rPr>
        <w:t>”,</w:t>
      </w:r>
      <w:r w:rsidR="004A14AC" w:rsidRPr="007A2910">
        <w:rPr>
          <w:rFonts w:eastAsia="Times New Roman"/>
          <w:sz w:val="22"/>
        </w:rPr>
        <w:t>British accounting review,</w:t>
      </w:r>
      <w:r w:rsidR="007A2910">
        <w:rPr>
          <w:rFonts w:eastAsia="Times New Roman"/>
          <w:sz w:val="22"/>
        </w:rPr>
        <w:t>Vol.</w:t>
      </w:r>
      <w:r w:rsidR="004A14AC" w:rsidRPr="00811F51">
        <w:rPr>
          <w:rFonts w:eastAsia="Times New Roman"/>
          <w:sz w:val="22"/>
        </w:rPr>
        <w:t xml:space="preserve">32, </w:t>
      </w:r>
      <w:r w:rsidR="007A2910" w:rsidRPr="00811F51">
        <w:rPr>
          <w:rFonts w:eastAsia="Times New Roman"/>
          <w:sz w:val="22"/>
        </w:rPr>
        <w:t>(2000)</w:t>
      </w:r>
      <w:r w:rsidR="007A2910">
        <w:rPr>
          <w:rFonts w:eastAsia="Times New Roman"/>
          <w:sz w:val="22"/>
        </w:rPr>
        <w:t xml:space="preserve">,Pages </w:t>
      </w:r>
      <w:r w:rsidR="004A14AC" w:rsidRPr="00811F51">
        <w:rPr>
          <w:rFonts w:eastAsia="Times New Roman"/>
          <w:sz w:val="22"/>
        </w:rPr>
        <w:t>415-445.</w:t>
      </w:r>
    </w:p>
    <w:p w:rsidR="004A14AC" w:rsidRPr="00811F51" w:rsidRDefault="000E23F8" w:rsidP="00811F51">
      <w:pPr>
        <w:spacing w:line="240" w:lineRule="auto"/>
        <w:jc w:val="both"/>
        <w:rPr>
          <w:rFonts w:eastAsia="Times New Roman"/>
          <w:sz w:val="22"/>
        </w:rPr>
      </w:pPr>
      <w:r w:rsidRPr="00811F51">
        <w:rPr>
          <w:sz w:val="22"/>
        </w:rPr>
        <w:t>[50]</w:t>
      </w:r>
      <w:r w:rsidR="007A2910">
        <w:rPr>
          <w:rFonts w:eastAsia="Times New Roman"/>
          <w:sz w:val="22"/>
        </w:rPr>
        <w:t xml:space="preserve">B. </w:t>
      </w:r>
      <w:r w:rsidR="0085044F" w:rsidRPr="00811F51">
        <w:rPr>
          <w:rFonts w:eastAsia="Times New Roman"/>
          <w:sz w:val="22"/>
        </w:rPr>
        <w:t xml:space="preserve">Jaggi, </w:t>
      </w:r>
      <w:r w:rsidR="007A2910">
        <w:rPr>
          <w:rFonts w:eastAsia="Times New Roman"/>
          <w:sz w:val="22"/>
        </w:rPr>
        <w:t xml:space="preserve">S. </w:t>
      </w:r>
      <w:r w:rsidR="0085044F" w:rsidRPr="00811F51">
        <w:rPr>
          <w:rFonts w:eastAsia="Times New Roman"/>
          <w:sz w:val="22"/>
        </w:rPr>
        <w:t xml:space="preserve">Leung, </w:t>
      </w:r>
      <w:r w:rsidR="007A2910">
        <w:rPr>
          <w:rFonts w:eastAsia="Times New Roman"/>
          <w:sz w:val="22"/>
        </w:rPr>
        <w:t xml:space="preserve">and F. </w:t>
      </w:r>
      <w:r w:rsidR="0085044F" w:rsidRPr="00811F51">
        <w:rPr>
          <w:rFonts w:eastAsia="Times New Roman"/>
          <w:sz w:val="22"/>
        </w:rPr>
        <w:t>Gul, “</w:t>
      </w:r>
      <w:r w:rsidR="004A14AC" w:rsidRPr="00811F51">
        <w:rPr>
          <w:rFonts w:eastAsia="Times New Roman"/>
          <w:sz w:val="22"/>
        </w:rPr>
        <w:t>Family control, board independence and earnings management</w:t>
      </w:r>
      <w:r w:rsidR="0085044F" w:rsidRPr="00811F51">
        <w:rPr>
          <w:rFonts w:eastAsia="Times New Roman"/>
          <w:sz w:val="22"/>
        </w:rPr>
        <w:t>”</w:t>
      </w:r>
      <w:r w:rsidR="004A14AC" w:rsidRPr="00811F51">
        <w:rPr>
          <w:rFonts w:eastAsia="Times New Roman"/>
          <w:sz w:val="22"/>
        </w:rPr>
        <w:t xml:space="preserve">, </w:t>
      </w:r>
      <w:r w:rsidR="004A14AC" w:rsidRPr="007A2910">
        <w:rPr>
          <w:rFonts w:eastAsia="Times New Roman"/>
          <w:sz w:val="22"/>
        </w:rPr>
        <w:t>Journal of accounting and public policy</w:t>
      </w:r>
      <w:r w:rsidR="004A14AC" w:rsidRPr="00811F51">
        <w:rPr>
          <w:rFonts w:eastAsia="Times New Roman"/>
          <w:sz w:val="22"/>
        </w:rPr>
        <w:t xml:space="preserve">, </w:t>
      </w:r>
      <w:r w:rsidR="007A2910">
        <w:rPr>
          <w:rFonts w:eastAsia="Times New Roman"/>
          <w:sz w:val="22"/>
        </w:rPr>
        <w:t>Vol.</w:t>
      </w:r>
      <w:r w:rsidR="004A14AC" w:rsidRPr="00811F51">
        <w:rPr>
          <w:rFonts w:eastAsia="Times New Roman"/>
          <w:sz w:val="22"/>
        </w:rPr>
        <w:t xml:space="preserve">28, </w:t>
      </w:r>
      <w:r w:rsidR="007A2910" w:rsidRPr="00811F51">
        <w:rPr>
          <w:rFonts w:eastAsia="Times New Roman"/>
          <w:sz w:val="22"/>
        </w:rPr>
        <w:t xml:space="preserve">(2009), </w:t>
      </w:r>
      <w:r w:rsidR="007A2910">
        <w:rPr>
          <w:rFonts w:eastAsia="Times New Roman"/>
          <w:sz w:val="22"/>
        </w:rPr>
        <w:t xml:space="preserve">Pages </w:t>
      </w:r>
      <w:r w:rsidR="004A14AC" w:rsidRPr="00811F51">
        <w:rPr>
          <w:rFonts w:eastAsia="Times New Roman"/>
          <w:sz w:val="22"/>
        </w:rPr>
        <w:t>281-300</w:t>
      </w:r>
    </w:p>
    <w:p w:rsidR="000E23F8" w:rsidRDefault="000E23F8" w:rsidP="00672E52">
      <w:pPr>
        <w:spacing w:after="0" w:line="240" w:lineRule="auto"/>
        <w:jc w:val="both"/>
        <w:rPr>
          <w:color w:val="FF0000"/>
        </w:rPr>
      </w:pPr>
    </w:p>
    <w:p w:rsidR="000E23F8" w:rsidRDefault="000E23F8" w:rsidP="00672E52">
      <w:pPr>
        <w:spacing w:after="0" w:line="240" w:lineRule="auto"/>
        <w:jc w:val="both"/>
      </w:pPr>
    </w:p>
    <w:p w:rsidR="00C214BB" w:rsidRDefault="00C214BB" w:rsidP="00672E52">
      <w:pPr>
        <w:spacing w:after="0" w:line="240" w:lineRule="auto"/>
        <w:jc w:val="both"/>
      </w:pPr>
    </w:p>
    <w:p w:rsidR="00C214BB" w:rsidRDefault="00C214BB" w:rsidP="00672E52">
      <w:pPr>
        <w:spacing w:after="0" w:line="240" w:lineRule="auto"/>
        <w:jc w:val="both"/>
      </w:pPr>
    </w:p>
    <w:p w:rsidR="00C214BB" w:rsidRDefault="00C214BB" w:rsidP="00672E52">
      <w:pPr>
        <w:spacing w:after="0" w:line="240" w:lineRule="auto"/>
        <w:jc w:val="both"/>
      </w:pPr>
    </w:p>
    <w:p w:rsidR="000D0FBF" w:rsidRDefault="000D0FBF" w:rsidP="000D0FBF">
      <w:pPr>
        <w:spacing w:after="0" w:line="240" w:lineRule="auto"/>
        <w:ind w:left="360"/>
        <w:jc w:val="both"/>
      </w:pPr>
    </w:p>
    <w:sectPr w:rsidR="000D0FBF" w:rsidSect="0071602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199" w:rsidRDefault="00481199" w:rsidP="009073B9">
      <w:pPr>
        <w:spacing w:after="0" w:line="240" w:lineRule="auto"/>
      </w:pPr>
      <w:r>
        <w:separator/>
      </w:r>
    </w:p>
  </w:endnote>
  <w:endnote w:type="continuationSeparator" w:id="1">
    <w:p w:rsidR="00481199" w:rsidRDefault="00481199" w:rsidP="009073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w:panose1 w:val="02020603060405020304"/>
    <w:charset w:val="00"/>
    <w:family w:val="roman"/>
    <w:pitch w:val="variable"/>
    <w:sig w:usb0="00000007" w:usb1="00000000" w:usb2="00000000" w:usb3="00000000" w:csb0="00000093" w:csb1="00000000"/>
  </w:font>
  <w:font w:name="Calibri Light">
    <w:altName w:val="Calibri"/>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199" w:rsidRDefault="00481199" w:rsidP="009073B9">
      <w:pPr>
        <w:spacing w:after="0" w:line="240" w:lineRule="auto"/>
      </w:pPr>
      <w:r>
        <w:separator/>
      </w:r>
    </w:p>
  </w:footnote>
  <w:footnote w:type="continuationSeparator" w:id="1">
    <w:p w:rsidR="00481199" w:rsidRDefault="00481199" w:rsidP="009073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332572"/>
      <w:docPartObj>
        <w:docPartGallery w:val="Page Numbers (Top of Page)"/>
        <w:docPartUnique/>
      </w:docPartObj>
    </w:sdtPr>
    <w:sdtEndPr>
      <w:rPr>
        <w:noProof/>
      </w:rPr>
    </w:sdtEndPr>
    <w:sdtContent>
      <w:p w:rsidR="003F2079" w:rsidRDefault="00760A8A">
        <w:pPr>
          <w:pStyle w:val="Header"/>
          <w:jc w:val="right"/>
        </w:pPr>
        <w:r>
          <w:fldChar w:fldCharType="begin"/>
        </w:r>
        <w:r w:rsidR="003F2079">
          <w:instrText xml:space="preserve"> PAGE   \* MERGEFORMAT </w:instrText>
        </w:r>
        <w:r>
          <w:fldChar w:fldCharType="separate"/>
        </w:r>
        <w:r w:rsidR="00AA7AFF">
          <w:rPr>
            <w:noProof/>
          </w:rPr>
          <w:t>1</w:t>
        </w:r>
        <w:r>
          <w:rPr>
            <w:noProof/>
          </w:rPr>
          <w:fldChar w:fldCharType="end"/>
        </w:r>
      </w:p>
    </w:sdtContent>
  </w:sdt>
  <w:p w:rsidR="003F2079" w:rsidRDefault="003F20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6AA8"/>
    <w:multiLevelType w:val="hybridMultilevel"/>
    <w:tmpl w:val="4DEA60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91AD0"/>
    <w:multiLevelType w:val="hybridMultilevel"/>
    <w:tmpl w:val="68B699A8"/>
    <w:lvl w:ilvl="0" w:tplc="5A2CC6CE">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4B778E"/>
    <w:multiLevelType w:val="hybridMultilevel"/>
    <w:tmpl w:val="32C049E6"/>
    <w:lvl w:ilvl="0" w:tplc="934079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23BC7"/>
    <w:multiLevelType w:val="hybridMultilevel"/>
    <w:tmpl w:val="AFCA8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335056"/>
    <w:multiLevelType w:val="hybridMultilevel"/>
    <w:tmpl w:val="68840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F6595"/>
    <w:multiLevelType w:val="hybridMultilevel"/>
    <w:tmpl w:val="E4BA3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08040C"/>
    <w:multiLevelType w:val="hybridMultilevel"/>
    <w:tmpl w:val="4588CED2"/>
    <w:lvl w:ilvl="0" w:tplc="7674CB5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D4132"/>
    <w:multiLevelType w:val="hybridMultilevel"/>
    <w:tmpl w:val="91981932"/>
    <w:lvl w:ilvl="0" w:tplc="C41C232C">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4E3BB6"/>
    <w:multiLevelType w:val="hybridMultilevel"/>
    <w:tmpl w:val="E378F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1E7A52"/>
    <w:multiLevelType w:val="hybridMultilevel"/>
    <w:tmpl w:val="0B0075D6"/>
    <w:lvl w:ilvl="0" w:tplc="DA50CD5E">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6"/>
  </w:num>
  <w:num w:numId="5">
    <w:abstractNumId w:val="2"/>
  </w:num>
  <w:num w:numId="6">
    <w:abstractNumId w:val="4"/>
  </w:num>
  <w:num w:numId="7">
    <w:abstractNumId w:val="8"/>
  </w:num>
  <w:num w:numId="8">
    <w:abstractNumId w:val="3"/>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CA5E2B"/>
    <w:rsid w:val="0003184A"/>
    <w:rsid w:val="0003318B"/>
    <w:rsid w:val="00036472"/>
    <w:rsid w:val="00044DD5"/>
    <w:rsid w:val="00051E16"/>
    <w:rsid w:val="0005694C"/>
    <w:rsid w:val="00067812"/>
    <w:rsid w:val="000728BF"/>
    <w:rsid w:val="00076288"/>
    <w:rsid w:val="000841C9"/>
    <w:rsid w:val="00091EBA"/>
    <w:rsid w:val="000949D6"/>
    <w:rsid w:val="000A3AC5"/>
    <w:rsid w:val="000B39F9"/>
    <w:rsid w:val="000C2BA6"/>
    <w:rsid w:val="000D0FBF"/>
    <w:rsid w:val="000D4A76"/>
    <w:rsid w:val="000E23F8"/>
    <w:rsid w:val="000E52A9"/>
    <w:rsid w:val="000F3C44"/>
    <w:rsid w:val="000F4991"/>
    <w:rsid w:val="000F503F"/>
    <w:rsid w:val="00100B41"/>
    <w:rsid w:val="00101E2E"/>
    <w:rsid w:val="0013346D"/>
    <w:rsid w:val="001409C4"/>
    <w:rsid w:val="00161BEA"/>
    <w:rsid w:val="00163E04"/>
    <w:rsid w:val="00164E87"/>
    <w:rsid w:val="00180B8A"/>
    <w:rsid w:val="00181D63"/>
    <w:rsid w:val="00197DBB"/>
    <w:rsid w:val="001A5FFA"/>
    <w:rsid w:val="001A7DE8"/>
    <w:rsid w:val="001B666C"/>
    <w:rsid w:val="001B6B69"/>
    <w:rsid w:val="001C21D6"/>
    <w:rsid w:val="001C70CE"/>
    <w:rsid w:val="001D0BCE"/>
    <w:rsid w:val="001D33BB"/>
    <w:rsid w:val="001D40F2"/>
    <w:rsid w:val="001F0A8C"/>
    <w:rsid w:val="001F1B3A"/>
    <w:rsid w:val="00202DC8"/>
    <w:rsid w:val="00210B97"/>
    <w:rsid w:val="00213F50"/>
    <w:rsid w:val="00214600"/>
    <w:rsid w:val="00217011"/>
    <w:rsid w:val="00231F2F"/>
    <w:rsid w:val="00235CBF"/>
    <w:rsid w:val="002415C3"/>
    <w:rsid w:val="00243291"/>
    <w:rsid w:val="00246E0B"/>
    <w:rsid w:val="00266495"/>
    <w:rsid w:val="00274F18"/>
    <w:rsid w:val="00280B54"/>
    <w:rsid w:val="0029517B"/>
    <w:rsid w:val="002A6A5B"/>
    <w:rsid w:val="002B58FC"/>
    <w:rsid w:val="002B7DD5"/>
    <w:rsid w:val="002C1762"/>
    <w:rsid w:val="002C2713"/>
    <w:rsid w:val="002D2E56"/>
    <w:rsid w:val="002D2FEB"/>
    <w:rsid w:val="002F2C3D"/>
    <w:rsid w:val="00304909"/>
    <w:rsid w:val="00310BA3"/>
    <w:rsid w:val="00314A23"/>
    <w:rsid w:val="00314FFE"/>
    <w:rsid w:val="00322EB9"/>
    <w:rsid w:val="0033664C"/>
    <w:rsid w:val="003557DD"/>
    <w:rsid w:val="00371181"/>
    <w:rsid w:val="00377AAD"/>
    <w:rsid w:val="0039674D"/>
    <w:rsid w:val="003A00DF"/>
    <w:rsid w:val="003B1AE8"/>
    <w:rsid w:val="003B48F2"/>
    <w:rsid w:val="003D33CB"/>
    <w:rsid w:val="003E2818"/>
    <w:rsid w:val="003E6455"/>
    <w:rsid w:val="003F2079"/>
    <w:rsid w:val="003F4391"/>
    <w:rsid w:val="00405E57"/>
    <w:rsid w:val="00436BD9"/>
    <w:rsid w:val="00441A22"/>
    <w:rsid w:val="00445050"/>
    <w:rsid w:val="00446034"/>
    <w:rsid w:val="00446A68"/>
    <w:rsid w:val="00452244"/>
    <w:rsid w:val="004609AF"/>
    <w:rsid w:val="00480670"/>
    <w:rsid w:val="00481199"/>
    <w:rsid w:val="00482276"/>
    <w:rsid w:val="004A0CA6"/>
    <w:rsid w:val="004A14AC"/>
    <w:rsid w:val="004A15E1"/>
    <w:rsid w:val="004A38D3"/>
    <w:rsid w:val="004A42EB"/>
    <w:rsid w:val="004C400C"/>
    <w:rsid w:val="004C7220"/>
    <w:rsid w:val="004E14EA"/>
    <w:rsid w:val="004E459D"/>
    <w:rsid w:val="004F1323"/>
    <w:rsid w:val="004F33DD"/>
    <w:rsid w:val="00506D63"/>
    <w:rsid w:val="005116AD"/>
    <w:rsid w:val="00513E01"/>
    <w:rsid w:val="005165A8"/>
    <w:rsid w:val="00524C67"/>
    <w:rsid w:val="00536680"/>
    <w:rsid w:val="00544E87"/>
    <w:rsid w:val="0055170F"/>
    <w:rsid w:val="00571463"/>
    <w:rsid w:val="0057526F"/>
    <w:rsid w:val="00581CFB"/>
    <w:rsid w:val="0058397F"/>
    <w:rsid w:val="00584211"/>
    <w:rsid w:val="005877C3"/>
    <w:rsid w:val="00590CE5"/>
    <w:rsid w:val="00594564"/>
    <w:rsid w:val="005A728C"/>
    <w:rsid w:val="005B10D3"/>
    <w:rsid w:val="005B2747"/>
    <w:rsid w:val="005C0073"/>
    <w:rsid w:val="005C425B"/>
    <w:rsid w:val="005D2642"/>
    <w:rsid w:val="005E201F"/>
    <w:rsid w:val="005F36FB"/>
    <w:rsid w:val="005F3ABA"/>
    <w:rsid w:val="005F57C5"/>
    <w:rsid w:val="006042A4"/>
    <w:rsid w:val="006126A8"/>
    <w:rsid w:val="006147EF"/>
    <w:rsid w:val="006268DB"/>
    <w:rsid w:val="0063174A"/>
    <w:rsid w:val="006326FB"/>
    <w:rsid w:val="00634DEB"/>
    <w:rsid w:val="006432E2"/>
    <w:rsid w:val="00646E40"/>
    <w:rsid w:val="00647DFD"/>
    <w:rsid w:val="00654523"/>
    <w:rsid w:val="00672E52"/>
    <w:rsid w:val="00676060"/>
    <w:rsid w:val="006777B2"/>
    <w:rsid w:val="006841D4"/>
    <w:rsid w:val="00685CEE"/>
    <w:rsid w:val="00693ADF"/>
    <w:rsid w:val="0069606F"/>
    <w:rsid w:val="006A37C1"/>
    <w:rsid w:val="006B310C"/>
    <w:rsid w:val="006B4709"/>
    <w:rsid w:val="006B5326"/>
    <w:rsid w:val="006C1D3C"/>
    <w:rsid w:val="006C64E3"/>
    <w:rsid w:val="006E233D"/>
    <w:rsid w:val="006F4A92"/>
    <w:rsid w:val="006F75E3"/>
    <w:rsid w:val="00700FB2"/>
    <w:rsid w:val="0071602F"/>
    <w:rsid w:val="00724767"/>
    <w:rsid w:val="00733564"/>
    <w:rsid w:val="007372BC"/>
    <w:rsid w:val="00743479"/>
    <w:rsid w:val="0074443D"/>
    <w:rsid w:val="00745C30"/>
    <w:rsid w:val="00745D25"/>
    <w:rsid w:val="00746DED"/>
    <w:rsid w:val="007525D8"/>
    <w:rsid w:val="00760A8A"/>
    <w:rsid w:val="007660B5"/>
    <w:rsid w:val="00770963"/>
    <w:rsid w:val="0077290C"/>
    <w:rsid w:val="00787959"/>
    <w:rsid w:val="00791474"/>
    <w:rsid w:val="00796295"/>
    <w:rsid w:val="007A2910"/>
    <w:rsid w:val="007B1A67"/>
    <w:rsid w:val="007C011A"/>
    <w:rsid w:val="007C1FAC"/>
    <w:rsid w:val="007D27E3"/>
    <w:rsid w:val="007D5524"/>
    <w:rsid w:val="007D5723"/>
    <w:rsid w:val="007D68D0"/>
    <w:rsid w:val="007E3887"/>
    <w:rsid w:val="007F7C19"/>
    <w:rsid w:val="00803AFF"/>
    <w:rsid w:val="00811797"/>
    <w:rsid w:val="00811F51"/>
    <w:rsid w:val="00814781"/>
    <w:rsid w:val="00821B20"/>
    <w:rsid w:val="00823A5D"/>
    <w:rsid w:val="008404FF"/>
    <w:rsid w:val="00844425"/>
    <w:rsid w:val="0085044F"/>
    <w:rsid w:val="0085061E"/>
    <w:rsid w:val="008555EC"/>
    <w:rsid w:val="00857D6E"/>
    <w:rsid w:val="0086491B"/>
    <w:rsid w:val="00881FCE"/>
    <w:rsid w:val="00882769"/>
    <w:rsid w:val="00882881"/>
    <w:rsid w:val="00884066"/>
    <w:rsid w:val="00887847"/>
    <w:rsid w:val="00890ED7"/>
    <w:rsid w:val="008A1346"/>
    <w:rsid w:val="008A7D1D"/>
    <w:rsid w:val="008B7B36"/>
    <w:rsid w:val="008C1D38"/>
    <w:rsid w:val="008C1E0A"/>
    <w:rsid w:val="008C5477"/>
    <w:rsid w:val="008D4E9E"/>
    <w:rsid w:val="008D6CBC"/>
    <w:rsid w:val="008F40B6"/>
    <w:rsid w:val="00906B40"/>
    <w:rsid w:val="009073B9"/>
    <w:rsid w:val="00920F28"/>
    <w:rsid w:val="00924AE6"/>
    <w:rsid w:val="009371EC"/>
    <w:rsid w:val="009372F5"/>
    <w:rsid w:val="009425C3"/>
    <w:rsid w:val="00980A2E"/>
    <w:rsid w:val="009825B8"/>
    <w:rsid w:val="0098553B"/>
    <w:rsid w:val="009913BB"/>
    <w:rsid w:val="009A3875"/>
    <w:rsid w:val="009A5048"/>
    <w:rsid w:val="009D1F23"/>
    <w:rsid w:val="009D5AD0"/>
    <w:rsid w:val="009D62EB"/>
    <w:rsid w:val="009D6571"/>
    <w:rsid w:val="009E2F76"/>
    <w:rsid w:val="009F0BB2"/>
    <w:rsid w:val="009F1084"/>
    <w:rsid w:val="009F3EB7"/>
    <w:rsid w:val="00A1331C"/>
    <w:rsid w:val="00A17924"/>
    <w:rsid w:val="00A264FC"/>
    <w:rsid w:val="00A27340"/>
    <w:rsid w:val="00A408A1"/>
    <w:rsid w:val="00A424E0"/>
    <w:rsid w:val="00A442A1"/>
    <w:rsid w:val="00A5490B"/>
    <w:rsid w:val="00A6436B"/>
    <w:rsid w:val="00A645AE"/>
    <w:rsid w:val="00A77E34"/>
    <w:rsid w:val="00A845E3"/>
    <w:rsid w:val="00A93214"/>
    <w:rsid w:val="00A9416A"/>
    <w:rsid w:val="00A94652"/>
    <w:rsid w:val="00A96AE3"/>
    <w:rsid w:val="00A97618"/>
    <w:rsid w:val="00AA0ABF"/>
    <w:rsid w:val="00AA1363"/>
    <w:rsid w:val="00AA3712"/>
    <w:rsid w:val="00AA7AFF"/>
    <w:rsid w:val="00AC1FA4"/>
    <w:rsid w:val="00AD10B0"/>
    <w:rsid w:val="00AD629B"/>
    <w:rsid w:val="00AF2B03"/>
    <w:rsid w:val="00B06172"/>
    <w:rsid w:val="00B121D3"/>
    <w:rsid w:val="00B141EF"/>
    <w:rsid w:val="00B16D79"/>
    <w:rsid w:val="00B4265A"/>
    <w:rsid w:val="00B46908"/>
    <w:rsid w:val="00B50BFC"/>
    <w:rsid w:val="00B54226"/>
    <w:rsid w:val="00B54417"/>
    <w:rsid w:val="00B60429"/>
    <w:rsid w:val="00B6750B"/>
    <w:rsid w:val="00B72AF0"/>
    <w:rsid w:val="00B74D94"/>
    <w:rsid w:val="00B8026D"/>
    <w:rsid w:val="00B80CA6"/>
    <w:rsid w:val="00B96A1D"/>
    <w:rsid w:val="00BE441F"/>
    <w:rsid w:val="00BF050A"/>
    <w:rsid w:val="00BF59DA"/>
    <w:rsid w:val="00C00EF4"/>
    <w:rsid w:val="00C00F82"/>
    <w:rsid w:val="00C059DB"/>
    <w:rsid w:val="00C06B38"/>
    <w:rsid w:val="00C11516"/>
    <w:rsid w:val="00C17B48"/>
    <w:rsid w:val="00C211C3"/>
    <w:rsid w:val="00C214BB"/>
    <w:rsid w:val="00C21F2D"/>
    <w:rsid w:val="00C22175"/>
    <w:rsid w:val="00C23792"/>
    <w:rsid w:val="00C40B0D"/>
    <w:rsid w:val="00C46DE3"/>
    <w:rsid w:val="00C6380C"/>
    <w:rsid w:val="00C70373"/>
    <w:rsid w:val="00C74D27"/>
    <w:rsid w:val="00C92287"/>
    <w:rsid w:val="00C9533C"/>
    <w:rsid w:val="00CA5E2B"/>
    <w:rsid w:val="00CA606C"/>
    <w:rsid w:val="00CB11DB"/>
    <w:rsid w:val="00CD27C7"/>
    <w:rsid w:val="00CD6B3F"/>
    <w:rsid w:val="00CE5F00"/>
    <w:rsid w:val="00CF347B"/>
    <w:rsid w:val="00CF7469"/>
    <w:rsid w:val="00D0498A"/>
    <w:rsid w:val="00D11F9B"/>
    <w:rsid w:val="00D13C18"/>
    <w:rsid w:val="00D333D0"/>
    <w:rsid w:val="00D429EE"/>
    <w:rsid w:val="00D51FD9"/>
    <w:rsid w:val="00D62DCD"/>
    <w:rsid w:val="00DA0D94"/>
    <w:rsid w:val="00DA2408"/>
    <w:rsid w:val="00DB05F3"/>
    <w:rsid w:val="00DB2722"/>
    <w:rsid w:val="00DB4B5E"/>
    <w:rsid w:val="00DC4311"/>
    <w:rsid w:val="00DD4B9B"/>
    <w:rsid w:val="00DE4814"/>
    <w:rsid w:val="00DE6F5B"/>
    <w:rsid w:val="00E10093"/>
    <w:rsid w:val="00E24E0D"/>
    <w:rsid w:val="00E44262"/>
    <w:rsid w:val="00E542FC"/>
    <w:rsid w:val="00E57A44"/>
    <w:rsid w:val="00E629C3"/>
    <w:rsid w:val="00E72265"/>
    <w:rsid w:val="00E822C5"/>
    <w:rsid w:val="00EA2BE6"/>
    <w:rsid w:val="00EA45A0"/>
    <w:rsid w:val="00EB2D0A"/>
    <w:rsid w:val="00EB7E42"/>
    <w:rsid w:val="00EE1BDF"/>
    <w:rsid w:val="00EE2784"/>
    <w:rsid w:val="00EE3192"/>
    <w:rsid w:val="00EE4400"/>
    <w:rsid w:val="00EF1CDF"/>
    <w:rsid w:val="00F112AE"/>
    <w:rsid w:val="00F204FA"/>
    <w:rsid w:val="00F31E34"/>
    <w:rsid w:val="00F3603A"/>
    <w:rsid w:val="00F4274B"/>
    <w:rsid w:val="00F50D11"/>
    <w:rsid w:val="00F54CA3"/>
    <w:rsid w:val="00F63FEA"/>
    <w:rsid w:val="00F65E64"/>
    <w:rsid w:val="00F7513E"/>
    <w:rsid w:val="00F75526"/>
    <w:rsid w:val="00F77F9B"/>
    <w:rsid w:val="00F853B9"/>
    <w:rsid w:val="00F877D5"/>
    <w:rsid w:val="00F94015"/>
    <w:rsid w:val="00FA2E0F"/>
    <w:rsid w:val="00FA75E6"/>
    <w:rsid w:val="00FB67F9"/>
    <w:rsid w:val="00FD5512"/>
    <w:rsid w:val="00FD5D94"/>
    <w:rsid w:val="00FD7BB9"/>
    <w:rsid w:val="00FE597C"/>
    <w:rsid w:val="00FF35D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1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1B3A"/>
    <w:pPr>
      <w:ind w:left="720"/>
      <w:contextualSpacing/>
    </w:pPr>
  </w:style>
  <w:style w:type="character" w:styleId="CommentReference">
    <w:name w:val="annotation reference"/>
    <w:basedOn w:val="DefaultParagraphFont"/>
    <w:uiPriority w:val="99"/>
    <w:semiHidden/>
    <w:unhideWhenUsed/>
    <w:rsid w:val="008D4E9E"/>
    <w:rPr>
      <w:sz w:val="16"/>
      <w:szCs w:val="16"/>
    </w:rPr>
  </w:style>
  <w:style w:type="paragraph" w:styleId="CommentText">
    <w:name w:val="annotation text"/>
    <w:basedOn w:val="Normal"/>
    <w:link w:val="CommentTextChar"/>
    <w:uiPriority w:val="99"/>
    <w:semiHidden/>
    <w:unhideWhenUsed/>
    <w:rsid w:val="008D4E9E"/>
    <w:pPr>
      <w:spacing w:line="240" w:lineRule="auto"/>
    </w:pPr>
    <w:rPr>
      <w:sz w:val="20"/>
      <w:szCs w:val="20"/>
    </w:rPr>
  </w:style>
  <w:style w:type="character" w:customStyle="1" w:styleId="CommentTextChar">
    <w:name w:val="Comment Text Char"/>
    <w:basedOn w:val="DefaultParagraphFont"/>
    <w:link w:val="CommentText"/>
    <w:uiPriority w:val="99"/>
    <w:semiHidden/>
    <w:rsid w:val="008D4E9E"/>
    <w:rPr>
      <w:sz w:val="20"/>
      <w:szCs w:val="20"/>
    </w:rPr>
  </w:style>
  <w:style w:type="paragraph" w:styleId="CommentSubject">
    <w:name w:val="annotation subject"/>
    <w:basedOn w:val="CommentText"/>
    <w:next w:val="CommentText"/>
    <w:link w:val="CommentSubjectChar"/>
    <w:uiPriority w:val="99"/>
    <w:semiHidden/>
    <w:unhideWhenUsed/>
    <w:rsid w:val="008D4E9E"/>
    <w:rPr>
      <w:b/>
      <w:bCs/>
    </w:rPr>
  </w:style>
  <w:style w:type="character" w:customStyle="1" w:styleId="CommentSubjectChar">
    <w:name w:val="Comment Subject Char"/>
    <w:basedOn w:val="CommentTextChar"/>
    <w:link w:val="CommentSubject"/>
    <w:uiPriority w:val="99"/>
    <w:semiHidden/>
    <w:rsid w:val="008D4E9E"/>
    <w:rPr>
      <w:b/>
      <w:bCs/>
      <w:sz w:val="20"/>
      <w:szCs w:val="20"/>
    </w:rPr>
  </w:style>
  <w:style w:type="paragraph" w:styleId="BalloonText">
    <w:name w:val="Balloon Text"/>
    <w:basedOn w:val="Normal"/>
    <w:link w:val="BalloonTextChar"/>
    <w:uiPriority w:val="99"/>
    <w:semiHidden/>
    <w:unhideWhenUsed/>
    <w:rsid w:val="008D4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E9E"/>
    <w:rPr>
      <w:rFonts w:ascii="Segoe UI" w:hAnsi="Segoe UI" w:cs="Segoe UI"/>
      <w:sz w:val="18"/>
      <w:szCs w:val="18"/>
    </w:rPr>
  </w:style>
  <w:style w:type="paragraph" w:styleId="Header">
    <w:name w:val="header"/>
    <w:basedOn w:val="Normal"/>
    <w:link w:val="HeaderChar"/>
    <w:uiPriority w:val="99"/>
    <w:unhideWhenUsed/>
    <w:rsid w:val="00907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3B9"/>
  </w:style>
  <w:style w:type="paragraph" w:styleId="Footer">
    <w:name w:val="footer"/>
    <w:basedOn w:val="Normal"/>
    <w:link w:val="FooterChar"/>
    <w:uiPriority w:val="99"/>
    <w:unhideWhenUsed/>
    <w:rsid w:val="00907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3B9"/>
  </w:style>
  <w:style w:type="character" w:styleId="Strong">
    <w:name w:val="Strong"/>
    <w:basedOn w:val="DefaultParagraphFont"/>
    <w:uiPriority w:val="22"/>
    <w:qFormat/>
    <w:rsid w:val="00E822C5"/>
    <w:rPr>
      <w:b/>
      <w:bCs/>
    </w:rPr>
  </w:style>
  <w:style w:type="paragraph" w:styleId="NormalWeb">
    <w:name w:val="Normal (Web)"/>
    <w:basedOn w:val="Normal"/>
    <w:uiPriority w:val="99"/>
    <w:semiHidden/>
    <w:unhideWhenUsed/>
    <w:rsid w:val="00E822C5"/>
    <w:pPr>
      <w:spacing w:after="0" w:line="240" w:lineRule="auto"/>
      <w:jc w:val="right"/>
    </w:pPr>
    <w:rPr>
      <w:rFonts w:ascii="inherit" w:eastAsia="Times New Roman" w:hAnsi="inherit"/>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1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1B3A"/>
    <w:pPr>
      <w:ind w:left="720"/>
      <w:contextualSpacing/>
    </w:pPr>
  </w:style>
  <w:style w:type="character" w:styleId="CommentReference">
    <w:name w:val="annotation reference"/>
    <w:basedOn w:val="DefaultParagraphFont"/>
    <w:uiPriority w:val="99"/>
    <w:semiHidden/>
    <w:unhideWhenUsed/>
    <w:rsid w:val="008D4E9E"/>
    <w:rPr>
      <w:sz w:val="16"/>
      <w:szCs w:val="16"/>
    </w:rPr>
  </w:style>
  <w:style w:type="paragraph" w:styleId="CommentText">
    <w:name w:val="annotation text"/>
    <w:basedOn w:val="Normal"/>
    <w:link w:val="CommentTextChar"/>
    <w:uiPriority w:val="99"/>
    <w:semiHidden/>
    <w:unhideWhenUsed/>
    <w:rsid w:val="008D4E9E"/>
    <w:pPr>
      <w:spacing w:line="240" w:lineRule="auto"/>
    </w:pPr>
    <w:rPr>
      <w:sz w:val="20"/>
      <w:szCs w:val="20"/>
    </w:rPr>
  </w:style>
  <w:style w:type="character" w:customStyle="1" w:styleId="CommentTextChar">
    <w:name w:val="Comment Text Char"/>
    <w:basedOn w:val="DefaultParagraphFont"/>
    <w:link w:val="CommentText"/>
    <w:uiPriority w:val="99"/>
    <w:semiHidden/>
    <w:rsid w:val="008D4E9E"/>
    <w:rPr>
      <w:sz w:val="20"/>
      <w:szCs w:val="20"/>
    </w:rPr>
  </w:style>
  <w:style w:type="paragraph" w:styleId="CommentSubject">
    <w:name w:val="annotation subject"/>
    <w:basedOn w:val="CommentText"/>
    <w:next w:val="CommentText"/>
    <w:link w:val="CommentSubjectChar"/>
    <w:uiPriority w:val="99"/>
    <w:semiHidden/>
    <w:unhideWhenUsed/>
    <w:rsid w:val="008D4E9E"/>
    <w:rPr>
      <w:b/>
      <w:bCs/>
    </w:rPr>
  </w:style>
  <w:style w:type="character" w:customStyle="1" w:styleId="CommentSubjectChar">
    <w:name w:val="Comment Subject Char"/>
    <w:basedOn w:val="CommentTextChar"/>
    <w:link w:val="CommentSubject"/>
    <w:uiPriority w:val="99"/>
    <w:semiHidden/>
    <w:rsid w:val="008D4E9E"/>
    <w:rPr>
      <w:b/>
      <w:bCs/>
      <w:sz w:val="20"/>
      <w:szCs w:val="20"/>
    </w:rPr>
  </w:style>
  <w:style w:type="paragraph" w:styleId="BalloonText">
    <w:name w:val="Balloon Text"/>
    <w:basedOn w:val="Normal"/>
    <w:link w:val="BalloonTextChar"/>
    <w:uiPriority w:val="99"/>
    <w:semiHidden/>
    <w:unhideWhenUsed/>
    <w:rsid w:val="008D4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E9E"/>
    <w:rPr>
      <w:rFonts w:ascii="Segoe UI" w:hAnsi="Segoe UI" w:cs="Segoe UI"/>
      <w:sz w:val="18"/>
      <w:szCs w:val="18"/>
    </w:rPr>
  </w:style>
  <w:style w:type="paragraph" w:styleId="Header">
    <w:name w:val="header"/>
    <w:basedOn w:val="Normal"/>
    <w:link w:val="HeaderChar"/>
    <w:uiPriority w:val="99"/>
    <w:unhideWhenUsed/>
    <w:rsid w:val="00907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3B9"/>
  </w:style>
  <w:style w:type="paragraph" w:styleId="Footer">
    <w:name w:val="footer"/>
    <w:basedOn w:val="Normal"/>
    <w:link w:val="FooterChar"/>
    <w:uiPriority w:val="99"/>
    <w:unhideWhenUsed/>
    <w:rsid w:val="00907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3B9"/>
  </w:style>
</w:styles>
</file>

<file path=word/webSettings.xml><?xml version="1.0" encoding="utf-8"?>
<w:webSettings xmlns:r="http://schemas.openxmlformats.org/officeDocument/2006/relationships" xmlns:w="http://schemas.openxmlformats.org/wordprocessingml/2006/main">
  <w:divs>
    <w:div w:id="139687421">
      <w:bodyDiv w:val="1"/>
      <w:marLeft w:val="0"/>
      <w:marRight w:val="0"/>
      <w:marTop w:val="0"/>
      <w:marBottom w:val="0"/>
      <w:divBdr>
        <w:top w:val="none" w:sz="0" w:space="0" w:color="auto"/>
        <w:left w:val="none" w:sz="0" w:space="0" w:color="auto"/>
        <w:bottom w:val="none" w:sz="0" w:space="0" w:color="auto"/>
        <w:right w:val="none" w:sz="0" w:space="0" w:color="auto"/>
      </w:divBdr>
    </w:div>
    <w:div w:id="163740649">
      <w:bodyDiv w:val="1"/>
      <w:marLeft w:val="0"/>
      <w:marRight w:val="0"/>
      <w:marTop w:val="0"/>
      <w:marBottom w:val="0"/>
      <w:divBdr>
        <w:top w:val="none" w:sz="0" w:space="0" w:color="auto"/>
        <w:left w:val="none" w:sz="0" w:space="0" w:color="auto"/>
        <w:bottom w:val="none" w:sz="0" w:space="0" w:color="auto"/>
        <w:right w:val="none" w:sz="0" w:space="0" w:color="auto"/>
      </w:divBdr>
    </w:div>
    <w:div w:id="171067301">
      <w:bodyDiv w:val="1"/>
      <w:marLeft w:val="0"/>
      <w:marRight w:val="0"/>
      <w:marTop w:val="0"/>
      <w:marBottom w:val="0"/>
      <w:divBdr>
        <w:top w:val="none" w:sz="0" w:space="0" w:color="auto"/>
        <w:left w:val="none" w:sz="0" w:space="0" w:color="auto"/>
        <w:bottom w:val="none" w:sz="0" w:space="0" w:color="auto"/>
        <w:right w:val="none" w:sz="0" w:space="0" w:color="auto"/>
      </w:divBdr>
    </w:div>
    <w:div w:id="190262864">
      <w:bodyDiv w:val="1"/>
      <w:marLeft w:val="0"/>
      <w:marRight w:val="0"/>
      <w:marTop w:val="0"/>
      <w:marBottom w:val="0"/>
      <w:divBdr>
        <w:top w:val="none" w:sz="0" w:space="0" w:color="auto"/>
        <w:left w:val="none" w:sz="0" w:space="0" w:color="auto"/>
        <w:bottom w:val="none" w:sz="0" w:space="0" w:color="auto"/>
        <w:right w:val="none" w:sz="0" w:space="0" w:color="auto"/>
      </w:divBdr>
    </w:div>
    <w:div w:id="213976866">
      <w:bodyDiv w:val="1"/>
      <w:marLeft w:val="0"/>
      <w:marRight w:val="0"/>
      <w:marTop w:val="0"/>
      <w:marBottom w:val="0"/>
      <w:divBdr>
        <w:top w:val="none" w:sz="0" w:space="0" w:color="auto"/>
        <w:left w:val="none" w:sz="0" w:space="0" w:color="auto"/>
        <w:bottom w:val="none" w:sz="0" w:space="0" w:color="auto"/>
        <w:right w:val="none" w:sz="0" w:space="0" w:color="auto"/>
      </w:divBdr>
    </w:div>
    <w:div w:id="230047192">
      <w:bodyDiv w:val="1"/>
      <w:marLeft w:val="0"/>
      <w:marRight w:val="0"/>
      <w:marTop w:val="0"/>
      <w:marBottom w:val="0"/>
      <w:divBdr>
        <w:top w:val="none" w:sz="0" w:space="0" w:color="auto"/>
        <w:left w:val="none" w:sz="0" w:space="0" w:color="auto"/>
        <w:bottom w:val="none" w:sz="0" w:space="0" w:color="auto"/>
        <w:right w:val="none" w:sz="0" w:space="0" w:color="auto"/>
      </w:divBdr>
    </w:div>
    <w:div w:id="362439171">
      <w:bodyDiv w:val="1"/>
      <w:marLeft w:val="0"/>
      <w:marRight w:val="0"/>
      <w:marTop w:val="0"/>
      <w:marBottom w:val="0"/>
      <w:divBdr>
        <w:top w:val="none" w:sz="0" w:space="0" w:color="auto"/>
        <w:left w:val="none" w:sz="0" w:space="0" w:color="auto"/>
        <w:bottom w:val="none" w:sz="0" w:space="0" w:color="auto"/>
        <w:right w:val="none" w:sz="0" w:space="0" w:color="auto"/>
      </w:divBdr>
    </w:div>
    <w:div w:id="393507947">
      <w:bodyDiv w:val="1"/>
      <w:marLeft w:val="0"/>
      <w:marRight w:val="0"/>
      <w:marTop w:val="0"/>
      <w:marBottom w:val="0"/>
      <w:divBdr>
        <w:top w:val="none" w:sz="0" w:space="0" w:color="auto"/>
        <w:left w:val="none" w:sz="0" w:space="0" w:color="auto"/>
        <w:bottom w:val="none" w:sz="0" w:space="0" w:color="auto"/>
        <w:right w:val="none" w:sz="0" w:space="0" w:color="auto"/>
      </w:divBdr>
    </w:div>
    <w:div w:id="462357464">
      <w:bodyDiv w:val="1"/>
      <w:marLeft w:val="0"/>
      <w:marRight w:val="0"/>
      <w:marTop w:val="0"/>
      <w:marBottom w:val="0"/>
      <w:divBdr>
        <w:top w:val="none" w:sz="0" w:space="0" w:color="auto"/>
        <w:left w:val="none" w:sz="0" w:space="0" w:color="auto"/>
        <w:bottom w:val="none" w:sz="0" w:space="0" w:color="auto"/>
        <w:right w:val="none" w:sz="0" w:space="0" w:color="auto"/>
      </w:divBdr>
    </w:div>
    <w:div w:id="590357895">
      <w:bodyDiv w:val="1"/>
      <w:marLeft w:val="0"/>
      <w:marRight w:val="0"/>
      <w:marTop w:val="0"/>
      <w:marBottom w:val="0"/>
      <w:divBdr>
        <w:top w:val="none" w:sz="0" w:space="0" w:color="auto"/>
        <w:left w:val="none" w:sz="0" w:space="0" w:color="auto"/>
        <w:bottom w:val="none" w:sz="0" w:space="0" w:color="auto"/>
        <w:right w:val="none" w:sz="0" w:space="0" w:color="auto"/>
      </w:divBdr>
    </w:div>
    <w:div w:id="616763786">
      <w:bodyDiv w:val="1"/>
      <w:marLeft w:val="0"/>
      <w:marRight w:val="0"/>
      <w:marTop w:val="0"/>
      <w:marBottom w:val="0"/>
      <w:divBdr>
        <w:top w:val="none" w:sz="0" w:space="0" w:color="auto"/>
        <w:left w:val="none" w:sz="0" w:space="0" w:color="auto"/>
        <w:bottom w:val="none" w:sz="0" w:space="0" w:color="auto"/>
        <w:right w:val="none" w:sz="0" w:space="0" w:color="auto"/>
      </w:divBdr>
    </w:div>
    <w:div w:id="630793214">
      <w:bodyDiv w:val="1"/>
      <w:marLeft w:val="0"/>
      <w:marRight w:val="0"/>
      <w:marTop w:val="0"/>
      <w:marBottom w:val="0"/>
      <w:divBdr>
        <w:top w:val="none" w:sz="0" w:space="0" w:color="auto"/>
        <w:left w:val="none" w:sz="0" w:space="0" w:color="auto"/>
        <w:bottom w:val="none" w:sz="0" w:space="0" w:color="auto"/>
        <w:right w:val="none" w:sz="0" w:space="0" w:color="auto"/>
      </w:divBdr>
    </w:div>
    <w:div w:id="631330728">
      <w:bodyDiv w:val="1"/>
      <w:marLeft w:val="0"/>
      <w:marRight w:val="0"/>
      <w:marTop w:val="0"/>
      <w:marBottom w:val="0"/>
      <w:divBdr>
        <w:top w:val="none" w:sz="0" w:space="0" w:color="auto"/>
        <w:left w:val="none" w:sz="0" w:space="0" w:color="auto"/>
        <w:bottom w:val="none" w:sz="0" w:space="0" w:color="auto"/>
        <w:right w:val="none" w:sz="0" w:space="0" w:color="auto"/>
      </w:divBdr>
    </w:div>
    <w:div w:id="652443117">
      <w:bodyDiv w:val="1"/>
      <w:marLeft w:val="0"/>
      <w:marRight w:val="0"/>
      <w:marTop w:val="0"/>
      <w:marBottom w:val="0"/>
      <w:divBdr>
        <w:top w:val="none" w:sz="0" w:space="0" w:color="auto"/>
        <w:left w:val="none" w:sz="0" w:space="0" w:color="auto"/>
        <w:bottom w:val="none" w:sz="0" w:space="0" w:color="auto"/>
        <w:right w:val="none" w:sz="0" w:space="0" w:color="auto"/>
      </w:divBdr>
      <w:divsChild>
        <w:div w:id="810557253">
          <w:marLeft w:val="0"/>
          <w:marRight w:val="0"/>
          <w:marTop w:val="0"/>
          <w:marBottom w:val="0"/>
          <w:divBdr>
            <w:top w:val="none" w:sz="0" w:space="0" w:color="auto"/>
            <w:left w:val="none" w:sz="0" w:space="0" w:color="auto"/>
            <w:bottom w:val="none" w:sz="0" w:space="0" w:color="auto"/>
            <w:right w:val="none" w:sz="0" w:space="0" w:color="auto"/>
          </w:divBdr>
          <w:divsChild>
            <w:div w:id="2110656277">
              <w:marLeft w:val="0"/>
              <w:marRight w:val="0"/>
              <w:marTop w:val="0"/>
              <w:marBottom w:val="0"/>
              <w:divBdr>
                <w:top w:val="none" w:sz="0" w:space="0" w:color="auto"/>
                <w:left w:val="none" w:sz="0" w:space="0" w:color="auto"/>
                <w:bottom w:val="none" w:sz="0" w:space="0" w:color="auto"/>
                <w:right w:val="none" w:sz="0" w:space="0" w:color="auto"/>
              </w:divBdr>
              <w:divsChild>
                <w:div w:id="126052489">
                  <w:marLeft w:val="0"/>
                  <w:marRight w:val="0"/>
                  <w:marTop w:val="0"/>
                  <w:marBottom w:val="0"/>
                  <w:divBdr>
                    <w:top w:val="none" w:sz="0" w:space="0" w:color="auto"/>
                    <w:left w:val="none" w:sz="0" w:space="0" w:color="auto"/>
                    <w:bottom w:val="none" w:sz="0" w:space="0" w:color="auto"/>
                    <w:right w:val="none" w:sz="0" w:space="0" w:color="auto"/>
                  </w:divBdr>
                  <w:divsChild>
                    <w:div w:id="1147235746">
                      <w:marLeft w:val="0"/>
                      <w:marRight w:val="0"/>
                      <w:marTop w:val="0"/>
                      <w:marBottom w:val="0"/>
                      <w:divBdr>
                        <w:top w:val="none" w:sz="0" w:space="0" w:color="auto"/>
                        <w:left w:val="none" w:sz="0" w:space="0" w:color="auto"/>
                        <w:bottom w:val="none" w:sz="0" w:space="0" w:color="auto"/>
                        <w:right w:val="none" w:sz="0" w:space="0" w:color="auto"/>
                      </w:divBdr>
                      <w:divsChild>
                        <w:div w:id="519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340460">
      <w:bodyDiv w:val="1"/>
      <w:marLeft w:val="0"/>
      <w:marRight w:val="0"/>
      <w:marTop w:val="0"/>
      <w:marBottom w:val="0"/>
      <w:divBdr>
        <w:top w:val="none" w:sz="0" w:space="0" w:color="auto"/>
        <w:left w:val="none" w:sz="0" w:space="0" w:color="auto"/>
        <w:bottom w:val="none" w:sz="0" w:space="0" w:color="auto"/>
        <w:right w:val="none" w:sz="0" w:space="0" w:color="auto"/>
      </w:divBdr>
    </w:div>
    <w:div w:id="676882656">
      <w:bodyDiv w:val="1"/>
      <w:marLeft w:val="0"/>
      <w:marRight w:val="0"/>
      <w:marTop w:val="0"/>
      <w:marBottom w:val="0"/>
      <w:divBdr>
        <w:top w:val="none" w:sz="0" w:space="0" w:color="auto"/>
        <w:left w:val="none" w:sz="0" w:space="0" w:color="auto"/>
        <w:bottom w:val="none" w:sz="0" w:space="0" w:color="auto"/>
        <w:right w:val="none" w:sz="0" w:space="0" w:color="auto"/>
      </w:divBdr>
    </w:div>
    <w:div w:id="732776358">
      <w:bodyDiv w:val="1"/>
      <w:marLeft w:val="0"/>
      <w:marRight w:val="0"/>
      <w:marTop w:val="0"/>
      <w:marBottom w:val="0"/>
      <w:divBdr>
        <w:top w:val="none" w:sz="0" w:space="0" w:color="auto"/>
        <w:left w:val="none" w:sz="0" w:space="0" w:color="auto"/>
        <w:bottom w:val="none" w:sz="0" w:space="0" w:color="auto"/>
        <w:right w:val="none" w:sz="0" w:space="0" w:color="auto"/>
      </w:divBdr>
    </w:div>
    <w:div w:id="735856063">
      <w:bodyDiv w:val="1"/>
      <w:marLeft w:val="0"/>
      <w:marRight w:val="0"/>
      <w:marTop w:val="0"/>
      <w:marBottom w:val="0"/>
      <w:divBdr>
        <w:top w:val="none" w:sz="0" w:space="0" w:color="auto"/>
        <w:left w:val="none" w:sz="0" w:space="0" w:color="auto"/>
        <w:bottom w:val="none" w:sz="0" w:space="0" w:color="auto"/>
        <w:right w:val="none" w:sz="0" w:space="0" w:color="auto"/>
      </w:divBdr>
    </w:div>
    <w:div w:id="778330506">
      <w:bodyDiv w:val="1"/>
      <w:marLeft w:val="0"/>
      <w:marRight w:val="0"/>
      <w:marTop w:val="0"/>
      <w:marBottom w:val="0"/>
      <w:divBdr>
        <w:top w:val="none" w:sz="0" w:space="0" w:color="auto"/>
        <w:left w:val="none" w:sz="0" w:space="0" w:color="auto"/>
        <w:bottom w:val="none" w:sz="0" w:space="0" w:color="auto"/>
        <w:right w:val="none" w:sz="0" w:space="0" w:color="auto"/>
      </w:divBdr>
    </w:div>
    <w:div w:id="781729406">
      <w:bodyDiv w:val="1"/>
      <w:marLeft w:val="0"/>
      <w:marRight w:val="0"/>
      <w:marTop w:val="0"/>
      <w:marBottom w:val="0"/>
      <w:divBdr>
        <w:top w:val="none" w:sz="0" w:space="0" w:color="auto"/>
        <w:left w:val="none" w:sz="0" w:space="0" w:color="auto"/>
        <w:bottom w:val="none" w:sz="0" w:space="0" w:color="auto"/>
        <w:right w:val="none" w:sz="0" w:space="0" w:color="auto"/>
      </w:divBdr>
    </w:div>
    <w:div w:id="805972716">
      <w:bodyDiv w:val="1"/>
      <w:marLeft w:val="0"/>
      <w:marRight w:val="0"/>
      <w:marTop w:val="0"/>
      <w:marBottom w:val="0"/>
      <w:divBdr>
        <w:top w:val="none" w:sz="0" w:space="0" w:color="auto"/>
        <w:left w:val="none" w:sz="0" w:space="0" w:color="auto"/>
        <w:bottom w:val="none" w:sz="0" w:space="0" w:color="auto"/>
        <w:right w:val="none" w:sz="0" w:space="0" w:color="auto"/>
      </w:divBdr>
    </w:div>
    <w:div w:id="810025898">
      <w:bodyDiv w:val="1"/>
      <w:marLeft w:val="0"/>
      <w:marRight w:val="0"/>
      <w:marTop w:val="0"/>
      <w:marBottom w:val="0"/>
      <w:divBdr>
        <w:top w:val="none" w:sz="0" w:space="0" w:color="auto"/>
        <w:left w:val="none" w:sz="0" w:space="0" w:color="auto"/>
        <w:bottom w:val="none" w:sz="0" w:space="0" w:color="auto"/>
        <w:right w:val="none" w:sz="0" w:space="0" w:color="auto"/>
      </w:divBdr>
    </w:div>
    <w:div w:id="902906063">
      <w:bodyDiv w:val="1"/>
      <w:marLeft w:val="0"/>
      <w:marRight w:val="0"/>
      <w:marTop w:val="0"/>
      <w:marBottom w:val="0"/>
      <w:divBdr>
        <w:top w:val="none" w:sz="0" w:space="0" w:color="auto"/>
        <w:left w:val="none" w:sz="0" w:space="0" w:color="auto"/>
        <w:bottom w:val="none" w:sz="0" w:space="0" w:color="auto"/>
        <w:right w:val="none" w:sz="0" w:space="0" w:color="auto"/>
      </w:divBdr>
    </w:div>
    <w:div w:id="919602236">
      <w:bodyDiv w:val="1"/>
      <w:marLeft w:val="0"/>
      <w:marRight w:val="0"/>
      <w:marTop w:val="0"/>
      <w:marBottom w:val="0"/>
      <w:divBdr>
        <w:top w:val="none" w:sz="0" w:space="0" w:color="auto"/>
        <w:left w:val="none" w:sz="0" w:space="0" w:color="auto"/>
        <w:bottom w:val="none" w:sz="0" w:space="0" w:color="auto"/>
        <w:right w:val="none" w:sz="0" w:space="0" w:color="auto"/>
      </w:divBdr>
    </w:div>
    <w:div w:id="961039636">
      <w:bodyDiv w:val="1"/>
      <w:marLeft w:val="0"/>
      <w:marRight w:val="0"/>
      <w:marTop w:val="0"/>
      <w:marBottom w:val="0"/>
      <w:divBdr>
        <w:top w:val="none" w:sz="0" w:space="0" w:color="auto"/>
        <w:left w:val="none" w:sz="0" w:space="0" w:color="auto"/>
        <w:bottom w:val="none" w:sz="0" w:space="0" w:color="auto"/>
        <w:right w:val="none" w:sz="0" w:space="0" w:color="auto"/>
      </w:divBdr>
    </w:div>
    <w:div w:id="970331231">
      <w:bodyDiv w:val="1"/>
      <w:marLeft w:val="0"/>
      <w:marRight w:val="0"/>
      <w:marTop w:val="0"/>
      <w:marBottom w:val="0"/>
      <w:divBdr>
        <w:top w:val="none" w:sz="0" w:space="0" w:color="auto"/>
        <w:left w:val="none" w:sz="0" w:space="0" w:color="auto"/>
        <w:bottom w:val="none" w:sz="0" w:space="0" w:color="auto"/>
        <w:right w:val="none" w:sz="0" w:space="0" w:color="auto"/>
      </w:divBdr>
    </w:div>
    <w:div w:id="971598726">
      <w:bodyDiv w:val="1"/>
      <w:marLeft w:val="0"/>
      <w:marRight w:val="0"/>
      <w:marTop w:val="0"/>
      <w:marBottom w:val="0"/>
      <w:divBdr>
        <w:top w:val="none" w:sz="0" w:space="0" w:color="auto"/>
        <w:left w:val="none" w:sz="0" w:space="0" w:color="auto"/>
        <w:bottom w:val="none" w:sz="0" w:space="0" w:color="auto"/>
        <w:right w:val="none" w:sz="0" w:space="0" w:color="auto"/>
      </w:divBdr>
    </w:div>
    <w:div w:id="974140325">
      <w:bodyDiv w:val="1"/>
      <w:marLeft w:val="0"/>
      <w:marRight w:val="0"/>
      <w:marTop w:val="0"/>
      <w:marBottom w:val="0"/>
      <w:divBdr>
        <w:top w:val="none" w:sz="0" w:space="0" w:color="auto"/>
        <w:left w:val="none" w:sz="0" w:space="0" w:color="auto"/>
        <w:bottom w:val="none" w:sz="0" w:space="0" w:color="auto"/>
        <w:right w:val="none" w:sz="0" w:space="0" w:color="auto"/>
      </w:divBdr>
    </w:div>
    <w:div w:id="1038092738">
      <w:bodyDiv w:val="1"/>
      <w:marLeft w:val="0"/>
      <w:marRight w:val="0"/>
      <w:marTop w:val="0"/>
      <w:marBottom w:val="0"/>
      <w:divBdr>
        <w:top w:val="none" w:sz="0" w:space="0" w:color="auto"/>
        <w:left w:val="none" w:sz="0" w:space="0" w:color="auto"/>
        <w:bottom w:val="none" w:sz="0" w:space="0" w:color="auto"/>
        <w:right w:val="none" w:sz="0" w:space="0" w:color="auto"/>
      </w:divBdr>
    </w:div>
    <w:div w:id="1051270543">
      <w:bodyDiv w:val="1"/>
      <w:marLeft w:val="0"/>
      <w:marRight w:val="0"/>
      <w:marTop w:val="0"/>
      <w:marBottom w:val="0"/>
      <w:divBdr>
        <w:top w:val="none" w:sz="0" w:space="0" w:color="auto"/>
        <w:left w:val="none" w:sz="0" w:space="0" w:color="auto"/>
        <w:bottom w:val="none" w:sz="0" w:space="0" w:color="auto"/>
        <w:right w:val="none" w:sz="0" w:space="0" w:color="auto"/>
      </w:divBdr>
    </w:div>
    <w:div w:id="1105269289">
      <w:bodyDiv w:val="1"/>
      <w:marLeft w:val="0"/>
      <w:marRight w:val="0"/>
      <w:marTop w:val="0"/>
      <w:marBottom w:val="0"/>
      <w:divBdr>
        <w:top w:val="none" w:sz="0" w:space="0" w:color="auto"/>
        <w:left w:val="none" w:sz="0" w:space="0" w:color="auto"/>
        <w:bottom w:val="none" w:sz="0" w:space="0" w:color="auto"/>
        <w:right w:val="none" w:sz="0" w:space="0" w:color="auto"/>
      </w:divBdr>
    </w:div>
    <w:div w:id="1140421363">
      <w:bodyDiv w:val="1"/>
      <w:marLeft w:val="0"/>
      <w:marRight w:val="0"/>
      <w:marTop w:val="0"/>
      <w:marBottom w:val="0"/>
      <w:divBdr>
        <w:top w:val="none" w:sz="0" w:space="0" w:color="auto"/>
        <w:left w:val="none" w:sz="0" w:space="0" w:color="auto"/>
        <w:bottom w:val="none" w:sz="0" w:space="0" w:color="auto"/>
        <w:right w:val="none" w:sz="0" w:space="0" w:color="auto"/>
      </w:divBdr>
    </w:div>
    <w:div w:id="1163820299">
      <w:bodyDiv w:val="1"/>
      <w:marLeft w:val="0"/>
      <w:marRight w:val="0"/>
      <w:marTop w:val="0"/>
      <w:marBottom w:val="0"/>
      <w:divBdr>
        <w:top w:val="none" w:sz="0" w:space="0" w:color="auto"/>
        <w:left w:val="none" w:sz="0" w:space="0" w:color="auto"/>
        <w:bottom w:val="none" w:sz="0" w:space="0" w:color="auto"/>
        <w:right w:val="none" w:sz="0" w:space="0" w:color="auto"/>
      </w:divBdr>
    </w:div>
    <w:div w:id="1222325095">
      <w:bodyDiv w:val="1"/>
      <w:marLeft w:val="0"/>
      <w:marRight w:val="0"/>
      <w:marTop w:val="0"/>
      <w:marBottom w:val="0"/>
      <w:divBdr>
        <w:top w:val="none" w:sz="0" w:space="0" w:color="auto"/>
        <w:left w:val="none" w:sz="0" w:space="0" w:color="auto"/>
        <w:bottom w:val="none" w:sz="0" w:space="0" w:color="auto"/>
        <w:right w:val="none" w:sz="0" w:space="0" w:color="auto"/>
      </w:divBdr>
    </w:div>
    <w:div w:id="1310212930">
      <w:bodyDiv w:val="1"/>
      <w:marLeft w:val="0"/>
      <w:marRight w:val="0"/>
      <w:marTop w:val="0"/>
      <w:marBottom w:val="0"/>
      <w:divBdr>
        <w:top w:val="none" w:sz="0" w:space="0" w:color="auto"/>
        <w:left w:val="none" w:sz="0" w:space="0" w:color="auto"/>
        <w:bottom w:val="none" w:sz="0" w:space="0" w:color="auto"/>
        <w:right w:val="none" w:sz="0" w:space="0" w:color="auto"/>
      </w:divBdr>
    </w:div>
    <w:div w:id="1375155404">
      <w:bodyDiv w:val="1"/>
      <w:marLeft w:val="0"/>
      <w:marRight w:val="0"/>
      <w:marTop w:val="0"/>
      <w:marBottom w:val="0"/>
      <w:divBdr>
        <w:top w:val="none" w:sz="0" w:space="0" w:color="auto"/>
        <w:left w:val="none" w:sz="0" w:space="0" w:color="auto"/>
        <w:bottom w:val="none" w:sz="0" w:space="0" w:color="auto"/>
        <w:right w:val="none" w:sz="0" w:space="0" w:color="auto"/>
      </w:divBdr>
    </w:div>
    <w:div w:id="1417701839">
      <w:bodyDiv w:val="1"/>
      <w:marLeft w:val="0"/>
      <w:marRight w:val="0"/>
      <w:marTop w:val="0"/>
      <w:marBottom w:val="0"/>
      <w:divBdr>
        <w:top w:val="none" w:sz="0" w:space="0" w:color="auto"/>
        <w:left w:val="none" w:sz="0" w:space="0" w:color="auto"/>
        <w:bottom w:val="none" w:sz="0" w:space="0" w:color="auto"/>
        <w:right w:val="none" w:sz="0" w:space="0" w:color="auto"/>
      </w:divBdr>
    </w:div>
    <w:div w:id="1454205646">
      <w:bodyDiv w:val="1"/>
      <w:marLeft w:val="0"/>
      <w:marRight w:val="0"/>
      <w:marTop w:val="0"/>
      <w:marBottom w:val="0"/>
      <w:divBdr>
        <w:top w:val="none" w:sz="0" w:space="0" w:color="auto"/>
        <w:left w:val="none" w:sz="0" w:space="0" w:color="auto"/>
        <w:bottom w:val="none" w:sz="0" w:space="0" w:color="auto"/>
        <w:right w:val="none" w:sz="0" w:space="0" w:color="auto"/>
      </w:divBdr>
    </w:div>
    <w:div w:id="1494177305">
      <w:bodyDiv w:val="1"/>
      <w:marLeft w:val="0"/>
      <w:marRight w:val="0"/>
      <w:marTop w:val="0"/>
      <w:marBottom w:val="0"/>
      <w:divBdr>
        <w:top w:val="none" w:sz="0" w:space="0" w:color="auto"/>
        <w:left w:val="none" w:sz="0" w:space="0" w:color="auto"/>
        <w:bottom w:val="none" w:sz="0" w:space="0" w:color="auto"/>
        <w:right w:val="none" w:sz="0" w:space="0" w:color="auto"/>
      </w:divBdr>
    </w:div>
    <w:div w:id="1502816081">
      <w:bodyDiv w:val="1"/>
      <w:marLeft w:val="0"/>
      <w:marRight w:val="0"/>
      <w:marTop w:val="0"/>
      <w:marBottom w:val="0"/>
      <w:divBdr>
        <w:top w:val="none" w:sz="0" w:space="0" w:color="auto"/>
        <w:left w:val="none" w:sz="0" w:space="0" w:color="auto"/>
        <w:bottom w:val="none" w:sz="0" w:space="0" w:color="auto"/>
        <w:right w:val="none" w:sz="0" w:space="0" w:color="auto"/>
      </w:divBdr>
    </w:div>
    <w:div w:id="1505708053">
      <w:bodyDiv w:val="1"/>
      <w:marLeft w:val="0"/>
      <w:marRight w:val="0"/>
      <w:marTop w:val="0"/>
      <w:marBottom w:val="0"/>
      <w:divBdr>
        <w:top w:val="none" w:sz="0" w:space="0" w:color="auto"/>
        <w:left w:val="none" w:sz="0" w:space="0" w:color="auto"/>
        <w:bottom w:val="none" w:sz="0" w:space="0" w:color="auto"/>
        <w:right w:val="none" w:sz="0" w:space="0" w:color="auto"/>
      </w:divBdr>
    </w:div>
    <w:div w:id="1677609152">
      <w:bodyDiv w:val="1"/>
      <w:marLeft w:val="0"/>
      <w:marRight w:val="0"/>
      <w:marTop w:val="0"/>
      <w:marBottom w:val="0"/>
      <w:divBdr>
        <w:top w:val="none" w:sz="0" w:space="0" w:color="auto"/>
        <w:left w:val="none" w:sz="0" w:space="0" w:color="auto"/>
        <w:bottom w:val="none" w:sz="0" w:space="0" w:color="auto"/>
        <w:right w:val="none" w:sz="0" w:space="0" w:color="auto"/>
      </w:divBdr>
    </w:div>
    <w:div w:id="1706518382">
      <w:bodyDiv w:val="1"/>
      <w:marLeft w:val="0"/>
      <w:marRight w:val="0"/>
      <w:marTop w:val="0"/>
      <w:marBottom w:val="0"/>
      <w:divBdr>
        <w:top w:val="none" w:sz="0" w:space="0" w:color="auto"/>
        <w:left w:val="none" w:sz="0" w:space="0" w:color="auto"/>
        <w:bottom w:val="none" w:sz="0" w:space="0" w:color="auto"/>
        <w:right w:val="none" w:sz="0" w:space="0" w:color="auto"/>
      </w:divBdr>
    </w:div>
    <w:div w:id="1740471845">
      <w:bodyDiv w:val="1"/>
      <w:marLeft w:val="0"/>
      <w:marRight w:val="0"/>
      <w:marTop w:val="0"/>
      <w:marBottom w:val="0"/>
      <w:divBdr>
        <w:top w:val="none" w:sz="0" w:space="0" w:color="auto"/>
        <w:left w:val="none" w:sz="0" w:space="0" w:color="auto"/>
        <w:bottom w:val="none" w:sz="0" w:space="0" w:color="auto"/>
        <w:right w:val="none" w:sz="0" w:space="0" w:color="auto"/>
      </w:divBdr>
    </w:div>
    <w:div w:id="1821382765">
      <w:bodyDiv w:val="1"/>
      <w:marLeft w:val="0"/>
      <w:marRight w:val="0"/>
      <w:marTop w:val="0"/>
      <w:marBottom w:val="0"/>
      <w:divBdr>
        <w:top w:val="none" w:sz="0" w:space="0" w:color="auto"/>
        <w:left w:val="none" w:sz="0" w:space="0" w:color="auto"/>
        <w:bottom w:val="none" w:sz="0" w:space="0" w:color="auto"/>
        <w:right w:val="none" w:sz="0" w:space="0" w:color="auto"/>
      </w:divBdr>
    </w:div>
    <w:div w:id="1936475904">
      <w:bodyDiv w:val="1"/>
      <w:marLeft w:val="0"/>
      <w:marRight w:val="0"/>
      <w:marTop w:val="0"/>
      <w:marBottom w:val="0"/>
      <w:divBdr>
        <w:top w:val="none" w:sz="0" w:space="0" w:color="auto"/>
        <w:left w:val="none" w:sz="0" w:space="0" w:color="auto"/>
        <w:bottom w:val="none" w:sz="0" w:space="0" w:color="auto"/>
        <w:right w:val="none" w:sz="0" w:space="0" w:color="auto"/>
      </w:divBdr>
    </w:div>
    <w:div w:id="1949189897">
      <w:bodyDiv w:val="1"/>
      <w:marLeft w:val="0"/>
      <w:marRight w:val="0"/>
      <w:marTop w:val="0"/>
      <w:marBottom w:val="0"/>
      <w:divBdr>
        <w:top w:val="none" w:sz="0" w:space="0" w:color="auto"/>
        <w:left w:val="none" w:sz="0" w:space="0" w:color="auto"/>
        <w:bottom w:val="none" w:sz="0" w:space="0" w:color="auto"/>
        <w:right w:val="none" w:sz="0" w:space="0" w:color="auto"/>
      </w:divBdr>
    </w:div>
    <w:div w:id="1979606698">
      <w:bodyDiv w:val="1"/>
      <w:marLeft w:val="0"/>
      <w:marRight w:val="0"/>
      <w:marTop w:val="0"/>
      <w:marBottom w:val="0"/>
      <w:divBdr>
        <w:top w:val="none" w:sz="0" w:space="0" w:color="auto"/>
        <w:left w:val="none" w:sz="0" w:space="0" w:color="auto"/>
        <w:bottom w:val="none" w:sz="0" w:space="0" w:color="auto"/>
        <w:right w:val="none" w:sz="0" w:space="0" w:color="auto"/>
      </w:divBdr>
    </w:div>
    <w:div w:id="1993756463">
      <w:bodyDiv w:val="1"/>
      <w:marLeft w:val="0"/>
      <w:marRight w:val="0"/>
      <w:marTop w:val="0"/>
      <w:marBottom w:val="0"/>
      <w:divBdr>
        <w:top w:val="none" w:sz="0" w:space="0" w:color="auto"/>
        <w:left w:val="none" w:sz="0" w:space="0" w:color="auto"/>
        <w:bottom w:val="none" w:sz="0" w:space="0" w:color="auto"/>
        <w:right w:val="none" w:sz="0" w:space="0" w:color="auto"/>
      </w:divBdr>
    </w:div>
    <w:div w:id="2009626580">
      <w:bodyDiv w:val="1"/>
      <w:marLeft w:val="0"/>
      <w:marRight w:val="0"/>
      <w:marTop w:val="0"/>
      <w:marBottom w:val="0"/>
      <w:divBdr>
        <w:top w:val="none" w:sz="0" w:space="0" w:color="auto"/>
        <w:left w:val="none" w:sz="0" w:space="0" w:color="auto"/>
        <w:bottom w:val="none" w:sz="0" w:space="0" w:color="auto"/>
        <w:right w:val="none" w:sz="0" w:space="0" w:color="auto"/>
      </w:divBdr>
    </w:div>
    <w:div w:id="2023166740">
      <w:bodyDiv w:val="1"/>
      <w:marLeft w:val="0"/>
      <w:marRight w:val="0"/>
      <w:marTop w:val="0"/>
      <w:marBottom w:val="0"/>
      <w:divBdr>
        <w:top w:val="none" w:sz="0" w:space="0" w:color="auto"/>
        <w:left w:val="none" w:sz="0" w:space="0" w:color="auto"/>
        <w:bottom w:val="none" w:sz="0" w:space="0" w:color="auto"/>
        <w:right w:val="none" w:sz="0" w:space="0" w:color="auto"/>
      </w:divBdr>
    </w:div>
    <w:div w:id="2062897438">
      <w:bodyDiv w:val="1"/>
      <w:marLeft w:val="0"/>
      <w:marRight w:val="0"/>
      <w:marTop w:val="0"/>
      <w:marBottom w:val="0"/>
      <w:divBdr>
        <w:top w:val="none" w:sz="0" w:space="0" w:color="auto"/>
        <w:left w:val="none" w:sz="0" w:space="0" w:color="auto"/>
        <w:bottom w:val="none" w:sz="0" w:space="0" w:color="auto"/>
        <w:right w:val="none" w:sz="0" w:space="0" w:color="auto"/>
      </w:divBdr>
    </w:div>
    <w:div w:id="211512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6442</Words>
  <Characters>36720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Lakshmi Kalyanaraman</dc:creator>
  <cp:lastModifiedBy>lchemy</cp:lastModifiedBy>
  <cp:revision>3</cp:revision>
  <cp:lastPrinted>2016-02-24T20:03:00Z</cp:lastPrinted>
  <dcterms:created xsi:type="dcterms:W3CDTF">2016-03-07T06:22:00Z</dcterms:created>
  <dcterms:modified xsi:type="dcterms:W3CDTF">2016-03-07T06:26:00Z</dcterms:modified>
</cp:coreProperties>
</file>