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DC" w:rsidRPr="004036C2" w:rsidRDefault="001A36DC" w:rsidP="00BC48E9">
      <w:pPr>
        <w:spacing w:before="120" w:after="120" w:line="240" w:lineRule="auto"/>
        <w:ind w:firstLine="720"/>
        <w:jc w:val="center"/>
        <w:rPr>
          <w:b/>
          <w:bCs/>
          <w:sz w:val="28"/>
          <w:szCs w:val="28"/>
        </w:rPr>
      </w:pPr>
      <w:r w:rsidRPr="004036C2">
        <w:rPr>
          <w:b/>
          <w:bCs/>
          <w:sz w:val="28"/>
          <w:szCs w:val="28"/>
        </w:rPr>
        <w:t>Size and Value in the Stock Exchange of Thailand</w:t>
      </w:r>
    </w:p>
    <w:p w:rsidR="00FC28E6" w:rsidRDefault="00FC28E6" w:rsidP="00FC28E6">
      <w:pPr>
        <w:spacing w:before="240" w:after="120" w:line="240" w:lineRule="auto"/>
        <w:jc w:val="center"/>
        <w:rPr>
          <w:i/>
          <w:iCs/>
        </w:rPr>
      </w:pPr>
      <w:r>
        <w:rPr>
          <w:b/>
          <w:bCs/>
          <w:i/>
          <w:iCs/>
        </w:rPr>
        <w:t>Abstract</w:t>
      </w:r>
    </w:p>
    <w:p w:rsidR="009D4644" w:rsidRDefault="00F851A4" w:rsidP="004036C2">
      <w:pPr>
        <w:spacing w:before="240" w:after="120" w:line="240" w:lineRule="auto"/>
        <w:jc w:val="both"/>
        <w:rPr>
          <w:i/>
          <w:iCs/>
        </w:rPr>
      </w:pPr>
      <w:r w:rsidRPr="00F851A4">
        <w:rPr>
          <w:i/>
          <w:iCs/>
        </w:rPr>
        <w:t>The existences of size premium and value premium in stock markets have been well studied</w:t>
      </w:r>
      <w:r w:rsidR="00446B94">
        <w:rPr>
          <w:i/>
          <w:iCs/>
        </w:rPr>
        <w:t xml:space="preserve"> around the world</w:t>
      </w:r>
      <w:r w:rsidRPr="00F851A4">
        <w:rPr>
          <w:i/>
          <w:iCs/>
        </w:rPr>
        <w:t>. However, these studies mostly focus on U.S. market and ha</w:t>
      </w:r>
      <w:r w:rsidR="00446B94">
        <w:rPr>
          <w:i/>
          <w:iCs/>
        </w:rPr>
        <w:t>ve</w:t>
      </w:r>
      <w:r w:rsidRPr="00F851A4">
        <w:rPr>
          <w:i/>
          <w:iCs/>
        </w:rPr>
        <w:t xml:space="preserve"> been limited in countries such as Thailand. Stocks may indeed perform differently in non-U.S. markets. </w:t>
      </w:r>
      <w:r w:rsidR="00446B94">
        <w:rPr>
          <w:i/>
          <w:iCs/>
        </w:rPr>
        <w:t>In order to fill this gap, i</w:t>
      </w:r>
      <w:r w:rsidRPr="00F851A4">
        <w:rPr>
          <w:i/>
          <w:iCs/>
        </w:rPr>
        <w:t xml:space="preserve">n the Stock Exchange of Thailand, we examined the performance of small stocks portfolios versus large stocks portfolios and value stocks portfolios versus growth stocks portfolios for the period of 1999 through 2013. Returns on portfolios are calculated on a </w:t>
      </w:r>
      <w:r w:rsidR="00DC3012">
        <w:rPr>
          <w:i/>
          <w:iCs/>
        </w:rPr>
        <w:t>monthly basis. Our findings are;</w:t>
      </w:r>
      <w:r w:rsidRPr="00F851A4">
        <w:rPr>
          <w:i/>
          <w:iCs/>
        </w:rPr>
        <w:t xml:space="preserve"> first, there is a size premium in the Stock Exchange of Thailand and the difference between the average monthly returns on small-stocks portfolios and large-stocks portfolios is 2.02 percent. Second, value stocks do not generate higher average monthly returns than growth stocks and it is true for both small size stocks and large size stocks. </w:t>
      </w:r>
    </w:p>
    <w:p w:rsidR="00FF7546" w:rsidRPr="00FF7546" w:rsidRDefault="00FF7546" w:rsidP="001564A7">
      <w:pPr>
        <w:spacing w:before="240" w:after="120" w:line="240" w:lineRule="auto"/>
        <w:jc w:val="both"/>
        <w:rPr>
          <w:rFonts w:cstheme="minorHAnsi"/>
        </w:rPr>
      </w:pPr>
      <w:r w:rsidRPr="00FF7546">
        <w:rPr>
          <w:rFonts w:cstheme="minorHAnsi"/>
          <w:b/>
          <w:bCs/>
        </w:rPr>
        <w:t>Keywords:</w:t>
      </w:r>
      <w:r w:rsidRPr="00FF7546">
        <w:rPr>
          <w:rFonts w:cstheme="minorHAnsi"/>
        </w:rPr>
        <w:t xml:space="preserve"> </w:t>
      </w:r>
      <w:r>
        <w:rPr>
          <w:rFonts w:cstheme="minorHAnsi"/>
        </w:rPr>
        <w:t>Small Stocks, Large Stocks, Value Stocks, Growth Stocks, Stock Exchange of Thailand</w:t>
      </w:r>
    </w:p>
    <w:p w:rsidR="00FF7546" w:rsidRDefault="00FF7546" w:rsidP="005244D3">
      <w:pPr>
        <w:spacing w:before="240" w:after="120" w:line="240" w:lineRule="auto"/>
        <w:jc w:val="both"/>
        <w:rPr>
          <w:rFonts w:cstheme="minorHAnsi"/>
        </w:rPr>
      </w:pPr>
      <w:r w:rsidRPr="00FF7546">
        <w:rPr>
          <w:rFonts w:cstheme="minorHAnsi"/>
          <w:b/>
          <w:bCs/>
        </w:rPr>
        <w:t>JEL Classification:</w:t>
      </w:r>
      <w:r w:rsidRPr="00FF7546">
        <w:rPr>
          <w:rFonts w:cstheme="minorHAnsi"/>
        </w:rPr>
        <w:t xml:space="preserve"> G, G1, G12</w:t>
      </w:r>
    </w:p>
    <w:p w:rsidR="00436280" w:rsidRPr="00436280" w:rsidRDefault="004036C2" w:rsidP="004036C2">
      <w:pPr>
        <w:spacing w:before="240" w:after="120" w:line="240" w:lineRule="auto"/>
        <w:jc w:val="both"/>
        <w:rPr>
          <w:rFonts w:cstheme="minorHAnsi"/>
          <w:b/>
          <w:bCs/>
        </w:rPr>
      </w:pPr>
      <w:r>
        <w:rPr>
          <w:rFonts w:cstheme="minorHAnsi"/>
          <w:b/>
          <w:bCs/>
        </w:rPr>
        <w:t>1</w:t>
      </w:r>
      <w:r w:rsidR="00436280" w:rsidRPr="00436280">
        <w:rPr>
          <w:rFonts w:cstheme="minorHAnsi"/>
          <w:b/>
          <w:bCs/>
        </w:rPr>
        <w:t xml:space="preserve"> Introduction</w:t>
      </w:r>
      <w:bookmarkStart w:id="0" w:name="_GoBack"/>
      <w:bookmarkEnd w:id="0"/>
    </w:p>
    <w:p w:rsidR="00436280" w:rsidRPr="00436280" w:rsidRDefault="00436280" w:rsidP="004036C2">
      <w:pPr>
        <w:spacing w:before="120" w:after="120" w:line="240" w:lineRule="auto"/>
        <w:jc w:val="both"/>
        <w:rPr>
          <w:rFonts w:cstheme="minorHAnsi"/>
        </w:rPr>
      </w:pPr>
      <w:r w:rsidRPr="00436280">
        <w:rPr>
          <w:rFonts w:cstheme="minorHAnsi"/>
        </w:rPr>
        <w:t>Stocks are usually classified according to their characteristics which are unique enough such that the performance of each category can be differentiated from another.</w:t>
      </w:r>
      <w:r w:rsidR="007F32F7">
        <w:rPr>
          <w:rFonts w:cstheme="minorHAnsi"/>
        </w:rPr>
        <w:t xml:space="preserve"> </w:t>
      </w:r>
      <w:r w:rsidR="007F32F7">
        <w:rPr>
          <w:rFonts w:cstheme="minorHAnsi"/>
        </w:rPr>
        <w:fldChar w:fldCharType="begin"/>
      </w:r>
      <w:r w:rsidR="004036C2">
        <w:rPr>
          <w:rFonts w:cstheme="minorHAnsi"/>
        </w:rPr>
        <w:instrText xml:space="preserve"> ADDIN EN.CITE &lt;EndNote&gt;&lt;Cite&gt;&lt;Author&gt;Barberis&lt;/Author&gt;&lt;Year&gt;2003&lt;/Year&gt;&lt;RecNum&gt;17&lt;/RecNum&gt;&lt;DisplayText&gt;[1]&lt;/DisplayText&gt;&lt;record&gt;&lt;rec-number&gt;17&lt;/rec-number&gt;&lt;foreign-keys&gt;&lt;key app="EN" db-id="r2etwrpv9zvzp3ezvrip02pxxdxa2wesx5fs"&gt;17&lt;/key&gt;&lt;/foreign-keys&gt;&lt;ref-type name="Journal Article"&gt;17&lt;/ref-type&gt;&lt;contributors&gt;&lt;authors&gt;&lt;author&gt;Barberis, Nicholas&lt;/author&gt;&lt;author&gt;Shleifer, Andrei&lt;/author&gt;&lt;/authors&gt;&lt;/contributors&gt;&lt;titles&gt;&lt;title&gt;Style investing&lt;/title&gt;&lt;secondary-title&gt;Journal of Financial Economics&lt;/secondary-title&gt;&lt;/titles&gt;&lt;periodical&gt;&lt;full-title&gt;Journal of Financial Economics&lt;/full-title&gt;&lt;/periodical&gt;&lt;pages&gt;161-199&lt;/pages&gt;&lt;volume&gt;68&lt;/volume&gt;&lt;number&gt;2&lt;/number&gt;&lt;dates&gt;&lt;year&gt;2003&lt;/year&gt;&lt;/dates&gt;&lt;isbn&gt;0304-405X&lt;/isbn&gt;&lt;urls&gt;&lt;/urls&gt;&lt;/record&gt;&lt;/Cite&gt;&lt;/EndNote&gt;</w:instrText>
      </w:r>
      <w:r w:rsidR="007F32F7">
        <w:rPr>
          <w:rFonts w:cstheme="minorHAnsi"/>
        </w:rPr>
        <w:fldChar w:fldCharType="separate"/>
      </w:r>
      <w:r w:rsidR="004036C2">
        <w:rPr>
          <w:rFonts w:cstheme="minorHAnsi"/>
          <w:noProof/>
        </w:rPr>
        <w:t>[1]</w:t>
      </w:r>
      <w:r w:rsidR="007F32F7">
        <w:rPr>
          <w:rFonts w:cstheme="minorHAnsi"/>
        </w:rPr>
        <w:fldChar w:fldCharType="end"/>
      </w:r>
      <w:r w:rsidR="007F32F7">
        <w:rPr>
          <w:rFonts w:cstheme="minorHAnsi"/>
        </w:rPr>
        <w:t xml:space="preserve"> </w:t>
      </w:r>
      <w:proofErr w:type="gramStart"/>
      <w:r w:rsidRPr="00436280">
        <w:rPr>
          <w:rFonts w:cstheme="minorHAnsi"/>
        </w:rPr>
        <w:t>contend</w:t>
      </w:r>
      <w:proofErr w:type="gramEnd"/>
      <w:r w:rsidRPr="00436280">
        <w:rPr>
          <w:rFonts w:cstheme="minorHAnsi"/>
        </w:rPr>
        <w:t xml:space="preserve"> that the reasons behind such classifications in financial market are sometimes financial innovation or it can also be because of finding a premium in a group of stocks with similar features. The major classifications of stocks can be broken into following categories: The first classification is small-cap and large-cap. Capitalization level is probably the most common way to classify and differentiate stocks in stock market and </w:t>
      </w:r>
      <w:r w:rsidR="0092797D">
        <w:rPr>
          <w:rFonts w:cstheme="minorHAnsi"/>
        </w:rPr>
        <w:fldChar w:fldCharType="begin"/>
      </w:r>
      <w:r w:rsidR="004036C2">
        <w:rPr>
          <w:rFonts w:cstheme="minorHAnsi"/>
        </w:rPr>
        <w:instrText xml:space="preserve"> ADDIN EN.CITE &lt;EndNote&gt;&lt;Cite&gt;&lt;Author&gt;Banz&lt;/Author&gt;&lt;Year&gt;1981&lt;/Year&gt;&lt;RecNum&gt;18&lt;/RecNum&gt;&lt;DisplayText&gt;[2]&lt;/DisplayText&gt;&lt;record&gt;&lt;rec-number&gt;18&lt;/rec-number&gt;&lt;foreign-keys&gt;&lt;key app="EN" db-id="r2etwrpv9zvzp3ezvrip02pxxdxa2wesx5fs"&gt;18&lt;/key&gt;&lt;/foreign-keys&gt;&lt;ref-type name="Journal Article"&gt;17&lt;/ref-type&gt;&lt;contributors&gt;&lt;authors&gt;&lt;author&gt;Banz, Rolf W.&lt;/author&gt;&lt;/authors&gt;&lt;/contributors&gt;&lt;titles&gt;&lt;title&gt;The relationship between return and market value of common stocks&lt;/title&gt;&lt;secondary-title&gt;Journal of Financial Economics&lt;/secondary-title&gt;&lt;/titles&gt;&lt;periodical&gt;&lt;full-title&gt;Journal of Financial Economics&lt;/full-title&gt;&lt;/periodical&gt;&lt;pages&gt;3-18&lt;/pages&gt;&lt;volume&gt;9&lt;/volume&gt;&lt;number&gt;1&lt;/number&gt;&lt;dates&gt;&lt;year&gt;1981&lt;/year&gt;&lt;pub-dates&gt;&lt;date&gt;3//&lt;/date&gt;&lt;/pub-dates&gt;&lt;/dates&gt;&lt;isbn&gt;0304-405X&lt;/isbn&gt;&lt;urls&gt;&lt;related-urls&gt;&lt;url&gt;http://www.sciencedirect.com/science/article/pii/0304405X81900180&lt;/url&gt;&lt;/related-urls&gt;&lt;/urls&gt;&lt;electronic-resource-num&gt;http://dx.doi.org/10.1016/0304-405X(81)90018-0&lt;/electronic-resource-num&gt;&lt;/record&gt;&lt;/Cite&gt;&lt;/EndNote&gt;</w:instrText>
      </w:r>
      <w:r w:rsidR="0092797D">
        <w:rPr>
          <w:rFonts w:cstheme="minorHAnsi"/>
        </w:rPr>
        <w:fldChar w:fldCharType="separate"/>
      </w:r>
      <w:r w:rsidR="004036C2">
        <w:rPr>
          <w:rFonts w:cstheme="minorHAnsi"/>
          <w:noProof/>
        </w:rPr>
        <w:t>[2]</w:t>
      </w:r>
      <w:r w:rsidR="0092797D">
        <w:rPr>
          <w:rFonts w:cstheme="minorHAnsi"/>
        </w:rPr>
        <w:fldChar w:fldCharType="end"/>
      </w:r>
      <w:r w:rsidR="0092797D">
        <w:rPr>
          <w:rFonts w:cstheme="minorHAnsi"/>
        </w:rPr>
        <w:t xml:space="preserve"> </w:t>
      </w:r>
      <w:r w:rsidRPr="00436280">
        <w:rPr>
          <w:rFonts w:cstheme="minorHAnsi"/>
        </w:rPr>
        <w:t>was one of the first scholars who classified stock based on their market value. The second most common classification is value and growth stocks. Value stocks are those that have low price to book (P/B), price to earnings (P/E), and price to cash flow (P/C) ratios while growth stocks are those that have high price to book (P/B), price to earnings (P/E), and price to cash flow (P/C) ratios</w:t>
      </w:r>
      <w:r w:rsidR="0072708C">
        <w:rPr>
          <w:rFonts w:cstheme="minorHAnsi"/>
        </w:rPr>
        <w:t xml:space="preserve"> </w:t>
      </w:r>
      <w:r w:rsidR="0092797D">
        <w:rPr>
          <w:rFonts w:cstheme="minorHAnsi"/>
        </w:rPr>
        <w:fldChar w:fldCharType="begin"/>
      </w:r>
      <w:r w:rsidR="004036C2">
        <w:rPr>
          <w:rFonts w:cstheme="minorHAnsi"/>
        </w:rPr>
        <w:instrText xml:space="preserve"> ADDIN EN.CITE &lt;EndNote&gt;&lt;Cite&gt;&lt;Author&gt;Graham&lt;/Author&gt;&lt;Year&gt;1934&lt;/Year&gt;&lt;RecNum&gt;19&lt;/RecNum&gt;&lt;DisplayText&gt;[3]&lt;/DisplayText&gt;&lt;record&gt;&lt;rec-number&gt;19&lt;/rec-number&gt;&lt;foreign-keys&gt;&lt;key app="EN" db-id="r2etwrpv9zvzp3ezvrip02pxxdxa2wesx5fs"&gt;19&lt;/key&gt;&lt;/foreign-keys&gt;&lt;ref-type name="Book"&gt;6&lt;/ref-type&gt;&lt;contributors&gt;&lt;authors&gt;&lt;author&gt;Graham, B.&lt;/author&gt;&lt;author&gt;Dodd, D.L.F.&lt;/author&gt;&lt;/authors&gt;&lt;/contributors&gt;&lt;titles&gt;&lt;title&gt;Security Analysis: The Classic 1934 Edition&lt;/title&gt;&lt;/titles&gt;&lt;dates&gt;&lt;year&gt;1934&lt;/year&gt;&lt;/dates&gt;&lt;publisher&gt;McGraw-Hill Education&lt;/publisher&gt;&lt;isbn&gt;9780070244962&lt;/isbn&gt;&lt;urls&gt;&lt;related-urls&gt;&lt;url&gt;https://books.google.com.af/books?id=wXlrnZ1uqK0C&lt;/url&gt;&lt;/related-urls&gt;&lt;/urls&gt;&lt;/record&gt;&lt;/Cite&gt;&lt;/EndNote&gt;</w:instrText>
      </w:r>
      <w:r w:rsidR="0092797D">
        <w:rPr>
          <w:rFonts w:cstheme="minorHAnsi"/>
        </w:rPr>
        <w:fldChar w:fldCharType="separate"/>
      </w:r>
      <w:r w:rsidR="004036C2">
        <w:rPr>
          <w:rFonts w:cstheme="minorHAnsi"/>
          <w:noProof/>
        </w:rPr>
        <w:t>[3]</w:t>
      </w:r>
      <w:r w:rsidR="0092797D">
        <w:rPr>
          <w:rFonts w:cstheme="minorHAnsi"/>
        </w:rPr>
        <w:fldChar w:fldCharType="end"/>
      </w:r>
      <w:r w:rsidRPr="00436280">
        <w:rPr>
          <w:rFonts w:cstheme="minorHAnsi"/>
        </w:rPr>
        <w:t>. Many other scholars like</w:t>
      </w:r>
      <w:r w:rsidR="0092797D">
        <w:rPr>
          <w:rFonts w:cstheme="minorHAnsi"/>
        </w:rPr>
        <w:t xml:space="preserve"> </w:t>
      </w:r>
      <w:r w:rsidR="0092797D">
        <w:rPr>
          <w:rFonts w:cstheme="minorHAnsi"/>
        </w:rPr>
        <w:fldChar w:fldCharType="begin"/>
      </w:r>
      <w:r w:rsidR="004036C2">
        <w:rPr>
          <w:rFonts w:cstheme="minorHAnsi"/>
        </w:rPr>
        <w:instrText xml:space="preserve"> ADDIN EN.CITE &lt;EndNote&gt;&lt;Cite&gt;&lt;Author&gt;Lakonishok&lt;/Author&gt;&lt;Year&gt;1994&lt;/Year&gt;&lt;RecNum&gt;20&lt;/RecNum&gt;&lt;DisplayText&gt;[4]&lt;/DisplayText&gt;&lt;record&gt;&lt;rec-number&gt;20&lt;/rec-number&gt;&lt;foreign-keys&gt;&lt;key app="EN" db-id="r2etwrpv9zvzp3ezvrip02pxxdxa2wesx5fs"&gt;20&lt;/key&gt;&lt;/foreign-keys&gt;&lt;ref-type name="Journal Article"&gt;17&lt;/ref-type&gt;&lt;contributors&gt;&lt;authors&gt;&lt;author&gt;Lakonishok, Josef&lt;/author&gt;&lt;author&gt;Shleifer, Andrei&lt;/author&gt;&lt;author&gt;Vishny, Robert W.&lt;/author&gt;&lt;/authors&gt;&lt;/contributors&gt;&lt;titles&gt;&lt;title&gt;Contrarian Investment, Extrapolation, and Risk&lt;/title&gt;&lt;secondary-title&gt;The Journal of Finance&lt;/secondary-title&gt;&lt;/titles&gt;&lt;periodical&gt;&lt;full-title&gt;The Journal of Finance&lt;/full-title&gt;&lt;/periodical&gt;&lt;pages&gt;1541-1578&lt;/pages&gt;&lt;volume&gt;49&lt;/volume&gt;&lt;number&gt;5&lt;/number&gt;&lt;dates&gt;&lt;year&gt;1994&lt;/year&gt;&lt;/dates&gt;&lt;publisher&gt;Blackwell Publishing Ltd&lt;/publisher&gt;&lt;isbn&gt;1540-6261&lt;/isbn&gt;&lt;urls&gt;&lt;related-urls&gt;&lt;url&gt;http://dx.doi.org/10.1111/j.1540-6261.1994.tb04772.x&lt;/url&gt;&lt;/related-urls&gt;&lt;/urls&gt;&lt;electronic-resource-num&gt;10.1111/j.1540-6261.1994.tb04772.x&lt;/electronic-resource-num&gt;&lt;/record&gt;&lt;/Cite&gt;&lt;/EndNote&gt;</w:instrText>
      </w:r>
      <w:r w:rsidR="0092797D">
        <w:rPr>
          <w:rFonts w:cstheme="minorHAnsi"/>
        </w:rPr>
        <w:fldChar w:fldCharType="separate"/>
      </w:r>
      <w:r w:rsidR="004036C2">
        <w:rPr>
          <w:rFonts w:cstheme="minorHAnsi"/>
          <w:noProof/>
        </w:rPr>
        <w:t>[4]</w:t>
      </w:r>
      <w:r w:rsidR="0092797D">
        <w:rPr>
          <w:rFonts w:cstheme="minorHAnsi"/>
        </w:rPr>
        <w:fldChar w:fldCharType="end"/>
      </w:r>
      <w:r w:rsidR="0092797D">
        <w:rPr>
          <w:rFonts w:cstheme="minorHAnsi"/>
        </w:rPr>
        <w:t xml:space="preserve"> and </w:t>
      </w:r>
      <w:r w:rsidR="0092797D">
        <w:rPr>
          <w:rFonts w:cstheme="minorHAnsi"/>
        </w:rPr>
        <w:fldChar w:fldCharType="begin"/>
      </w:r>
      <w:r w:rsidR="004036C2">
        <w:rPr>
          <w:rFonts w:cstheme="minorHAnsi"/>
        </w:rPr>
        <w:instrText xml:space="preserve"> ADDIN EN.CITE &lt;EndNote&gt;&lt;Cite&gt;&lt;Author&gt;Fama&lt;/Author&gt;&lt;Year&gt;1998&lt;/Year&gt;&lt;RecNum&gt;21&lt;/RecNum&gt;&lt;DisplayText&gt;[5]&lt;/DisplayText&gt;&lt;record&gt;&lt;rec-number&gt;21&lt;/rec-number&gt;&lt;foreign-keys&gt;&lt;key app="EN" db-id="r2etwrpv9zvzp3ezvrip02pxxdxa2wesx5fs"&gt;21&lt;/key&gt;&lt;/foreign-keys&gt;&lt;ref-type name="Journal Article"&gt;17&lt;/ref-type&gt;&lt;contributors&gt;&lt;authors&gt;&lt;author&gt;Fama, Eugene F.&lt;/author&gt;&lt;author&gt;French, Kenneth R.&lt;/author&gt;&lt;/authors&gt;&lt;/contributors&gt;&lt;titles&gt;&lt;title&gt;Value versus Growth: The International Evidence&lt;/title&gt;&lt;secondary-title&gt;The Journal of Finance&lt;/secondary-title&gt;&lt;/titles&gt;&lt;periodical&gt;&lt;full-title&gt;The Journal of Finance&lt;/full-title&gt;&lt;/periodical&gt;&lt;pages&gt;1975-1999&lt;/pages&gt;&lt;volume&gt;53&lt;/volume&gt;&lt;number&gt;6&lt;/number&gt;&lt;dates&gt;&lt;year&gt;1998&lt;/year&gt;&lt;/dates&gt;&lt;publisher&gt;Blackwell Publishers, Inc.&lt;/publisher&gt;&lt;isbn&gt;1540-6261&lt;/isbn&gt;&lt;urls&gt;&lt;related-urls&gt;&lt;url&gt;http://dx.doi.org/10.1111/0022-1082.00080&lt;/url&gt;&lt;/related-urls&gt;&lt;/urls&gt;&lt;electronic-resource-num&gt;10.1111/0022-1082.00080&lt;/electronic-resource-num&gt;&lt;/record&gt;&lt;/Cite&gt;&lt;/EndNote&gt;</w:instrText>
      </w:r>
      <w:r w:rsidR="0092797D">
        <w:rPr>
          <w:rFonts w:cstheme="minorHAnsi"/>
        </w:rPr>
        <w:fldChar w:fldCharType="separate"/>
      </w:r>
      <w:r w:rsidR="004036C2">
        <w:rPr>
          <w:rFonts w:cstheme="minorHAnsi"/>
          <w:noProof/>
        </w:rPr>
        <w:t>[5]</w:t>
      </w:r>
      <w:r w:rsidR="0092797D">
        <w:rPr>
          <w:rFonts w:cstheme="minorHAnsi"/>
        </w:rPr>
        <w:fldChar w:fldCharType="end"/>
      </w:r>
      <w:r w:rsidR="0092797D">
        <w:rPr>
          <w:rFonts w:cstheme="minorHAnsi"/>
        </w:rPr>
        <w:t xml:space="preserve"> </w:t>
      </w:r>
      <w:r w:rsidRPr="00436280">
        <w:rPr>
          <w:rFonts w:cstheme="minorHAnsi"/>
        </w:rPr>
        <w:t>also shared this distinction</w:t>
      </w:r>
      <w:r>
        <w:rPr>
          <w:rFonts w:cstheme="minorHAnsi"/>
        </w:rPr>
        <w:t>.</w:t>
      </w:r>
      <w:r w:rsidRPr="00436280">
        <w:rPr>
          <w:rFonts w:cstheme="minorHAnsi"/>
        </w:rPr>
        <w:t xml:space="preserve"> The performances of these classifications have been well documented in numerous studies in different countries. These studies suggest that small stocks generate higher return than large </w:t>
      </w:r>
      <w:r w:rsidR="00467A88">
        <w:rPr>
          <w:rFonts w:cstheme="minorHAnsi"/>
        </w:rPr>
        <w:t xml:space="preserve">stocks (size effect). See e.g. </w:t>
      </w:r>
      <w:r w:rsidR="004E527A">
        <w:rPr>
          <w:rFonts w:cstheme="minorHAnsi"/>
        </w:rPr>
        <w:fldChar w:fldCharType="begin"/>
      </w:r>
      <w:r w:rsidR="004036C2">
        <w:rPr>
          <w:rFonts w:cstheme="minorHAnsi"/>
        </w:rPr>
        <w:instrText xml:space="preserve"> ADDIN EN.CITE &lt;EndNote&gt;&lt;Cite&gt;&lt;Author&gt;Bauman&lt;/Author&gt;&lt;Year&gt;1998&lt;/Year&gt;&lt;RecNum&gt;22&lt;/RecNum&gt;&lt;DisplayText&gt;[2, 6]&lt;/DisplayText&gt;&lt;record&gt;&lt;rec-number&gt;22&lt;/rec-number&gt;&lt;foreign-keys&gt;&lt;key app="EN" db-id="r2etwrpv9zvzp3ezvrip02pxxdxa2wesx5fs"&gt;22&lt;/key&gt;&lt;/foreign-keys&gt;&lt;ref-type name="Journal Article"&gt;17&lt;/ref-type&gt;&lt;contributors&gt;&lt;authors&gt;&lt;author&gt;Bauman, W. Scott.&lt;/author&gt;&lt;author&gt;Conover, C. Mitchell.&lt;/author&gt;&lt;author&gt;Miller,Robert. E&lt;/author&gt;&lt;/authors&gt;&lt;/contributors&gt;&lt;titles&gt;&lt;title&gt;Growth versus Value and Large-Cap versus Small-Cap Stocks in International Markets&lt;/title&gt;&lt;secondary-title&gt;Financial Analysts Journal&lt;/secondary-title&gt;&lt;/titles&gt;&lt;periodical&gt;&lt;full-title&gt;Financial Analysts Journal&lt;/full-title&gt;&lt;/periodical&gt;&lt;pages&gt;75-89&lt;/pages&gt;&lt;volume&gt;54&lt;/volume&gt;&lt;number&gt;2&lt;/number&gt;&lt;dates&gt;&lt;year&gt;1998&lt;/year&gt;&lt;/dates&gt;&lt;urls&gt;&lt;related-urls&gt;&lt;url&gt;http://www.cfapubs.org/doi/abs/10.2469/faj.v54.n2.2168&lt;/url&gt;&lt;/related-urls&gt;&lt;/urls&gt;&lt;electronic-resource-num&gt;doi:10.2469/faj.v54.n2.2168&lt;/electronic-resource-num&gt;&lt;/record&gt;&lt;/Cite&gt;&lt;Cite&gt;&lt;Author&gt;Banz&lt;/Author&gt;&lt;Year&gt;1981&lt;/Year&gt;&lt;RecNum&gt;18&lt;/RecNum&gt;&lt;record&gt;&lt;rec-number&gt;18&lt;/rec-number&gt;&lt;foreign-keys&gt;&lt;key app="EN" db-id="r2etwrpv9zvzp3ezvrip02pxxdxa2wesx5fs"&gt;18&lt;/key&gt;&lt;/foreign-keys&gt;&lt;ref-type name="Journal Article"&gt;17&lt;/ref-type&gt;&lt;contributors&gt;&lt;authors&gt;&lt;author&gt;Banz, Rolf W.&lt;/author&gt;&lt;/authors&gt;&lt;/contributors&gt;&lt;titles&gt;&lt;title&gt;The relationship between return and market value of common stocks&lt;/title&gt;&lt;secondary-title&gt;Journal of Financial Economics&lt;/secondary-title&gt;&lt;/titles&gt;&lt;periodical&gt;&lt;full-title&gt;Journal of Financial Economics&lt;/full-title&gt;&lt;/periodical&gt;&lt;pages&gt;3-18&lt;/pages&gt;&lt;volume&gt;9&lt;/volume&gt;&lt;number&gt;1&lt;/number&gt;&lt;dates&gt;&lt;year&gt;1981&lt;/year&gt;&lt;pub-dates&gt;&lt;date&gt;3//&lt;/date&gt;&lt;/pub-dates&gt;&lt;/dates&gt;&lt;isbn&gt;0304-405X&lt;/isbn&gt;&lt;urls&gt;&lt;related-urls&gt;&lt;url&gt;http://www.sciencedirect.com/science/article/pii/0304405X81900180&lt;/url&gt;&lt;/related-urls&gt;&lt;/urls&gt;&lt;electronic-resource-num&gt;http://dx.doi.org/10.1016/0304-405X(81)90018-0&lt;/electronic-resource-num&gt;&lt;/record&gt;&lt;/Cite&gt;&lt;/EndNote&gt;</w:instrText>
      </w:r>
      <w:r w:rsidR="004E527A">
        <w:rPr>
          <w:rFonts w:cstheme="minorHAnsi"/>
        </w:rPr>
        <w:fldChar w:fldCharType="separate"/>
      </w:r>
      <w:r w:rsidR="004036C2">
        <w:rPr>
          <w:rFonts w:cstheme="minorHAnsi"/>
          <w:noProof/>
        </w:rPr>
        <w:t>[2, 6]</w:t>
      </w:r>
      <w:r w:rsidR="004E527A">
        <w:rPr>
          <w:rFonts w:cstheme="minorHAnsi"/>
        </w:rPr>
        <w:fldChar w:fldCharType="end"/>
      </w:r>
      <w:r w:rsidR="004E527A">
        <w:rPr>
          <w:rFonts w:cstheme="minorHAnsi"/>
        </w:rPr>
        <w:t xml:space="preserve"> </w:t>
      </w:r>
      <w:r>
        <w:rPr>
          <w:rFonts w:cstheme="minorHAnsi"/>
        </w:rPr>
        <w:t>and</w:t>
      </w:r>
      <w:r w:rsidRPr="00436280">
        <w:rPr>
          <w:rFonts w:cstheme="minorHAnsi"/>
        </w:rPr>
        <w:t xml:space="preserve"> value stocks outperform growth stocks (value premium). See e.g.</w:t>
      </w:r>
      <w:r w:rsidR="005259CD">
        <w:rPr>
          <w:rFonts w:cstheme="minorHAnsi"/>
        </w:rPr>
        <w:t xml:space="preserve"> </w:t>
      </w:r>
      <w:r w:rsidR="005259CD">
        <w:rPr>
          <w:rFonts w:cstheme="minorHAnsi"/>
        </w:rPr>
        <w:fldChar w:fldCharType="begin">
          <w:fldData xml:space="preserve">PEVuZE5vdGU+PENpdGUgRXhjbHVkZUF1dGg9IjEiIEV4Y2x1ZGVZZWFyPSIxIiBIaWRkZW49IjEi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==
</w:fldData>
        </w:fldChar>
      </w:r>
      <w:r w:rsidR="004036C2">
        <w:rPr>
          <w:rFonts w:cstheme="minorHAnsi"/>
        </w:rPr>
        <w:instrText xml:space="preserve"> ADDIN EN.CITE </w:instrText>
      </w:r>
      <w:r w:rsidR="004036C2">
        <w:rPr>
          <w:rFonts w:cstheme="minorHAnsi"/>
        </w:rPr>
        <w:fldChar w:fldCharType="begin">
          <w:fldData xml:space="preserve">PEVuZE5vdGU+PENpdGUgRXhjbHVkZUF1dGg9IjEiIEV4Y2x1ZGVZZWFyPSIxIiBIaWRkZW49IjEi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==
</w:fldData>
        </w:fldChar>
      </w:r>
      <w:r w:rsidR="004036C2">
        <w:rPr>
          <w:rFonts w:cstheme="minorHAnsi"/>
        </w:rPr>
        <w:instrText xml:space="preserve"> ADDIN EN.CITE.DATA </w:instrText>
      </w:r>
      <w:r w:rsidR="004036C2">
        <w:rPr>
          <w:rFonts w:cstheme="minorHAnsi"/>
        </w:rPr>
      </w:r>
      <w:r w:rsidR="004036C2">
        <w:rPr>
          <w:rFonts w:cstheme="minorHAnsi"/>
        </w:rPr>
        <w:fldChar w:fldCharType="end"/>
      </w:r>
      <w:r w:rsidR="005259CD">
        <w:rPr>
          <w:rFonts w:cstheme="minorHAnsi"/>
        </w:rPr>
      </w:r>
      <w:r w:rsidR="005259CD">
        <w:rPr>
          <w:rFonts w:cstheme="minorHAnsi"/>
        </w:rPr>
        <w:fldChar w:fldCharType="end"/>
      </w:r>
      <w:r w:rsidR="004036C2">
        <w:rPr>
          <w:rFonts w:cstheme="minorHAnsi"/>
        </w:rPr>
        <w:t>[5, 6, 8, 9</w:t>
      </w:r>
      <w:proofErr w:type="gramStart"/>
      <w:r w:rsidR="004036C2">
        <w:rPr>
          <w:rFonts w:cstheme="minorHAnsi"/>
        </w:rPr>
        <w:t>]</w:t>
      </w:r>
      <w:r w:rsidR="00877A0D">
        <w:rPr>
          <w:rFonts w:cstheme="minorHAnsi"/>
        </w:rPr>
        <w:t>(</w:t>
      </w:r>
      <w:proofErr w:type="gramEnd"/>
      <w:r w:rsidR="00877A0D">
        <w:rPr>
          <w:rFonts w:cstheme="minorHAnsi"/>
        </w:rPr>
        <w:t xml:space="preserve">Bauman et al., 1998; </w:t>
      </w:r>
      <w:proofErr w:type="spellStart"/>
      <w:r w:rsidR="00877A0D">
        <w:rPr>
          <w:rFonts w:cstheme="minorHAnsi"/>
        </w:rPr>
        <w:t>Fama</w:t>
      </w:r>
      <w:proofErr w:type="spellEnd"/>
      <w:r w:rsidR="00877A0D">
        <w:rPr>
          <w:rFonts w:cstheme="minorHAnsi"/>
        </w:rPr>
        <w:t xml:space="preserve"> &amp; French, 1992, 1998, 2012)</w:t>
      </w:r>
      <w:r w:rsidR="00AB457E">
        <w:rPr>
          <w:rFonts w:cstheme="minorHAnsi"/>
        </w:rPr>
        <w:t xml:space="preserve">(Bauman et al., 1998; </w:t>
      </w:r>
      <w:proofErr w:type="spellStart"/>
      <w:r w:rsidR="00AB457E">
        <w:rPr>
          <w:rFonts w:cstheme="minorHAnsi"/>
        </w:rPr>
        <w:t>Fama</w:t>
      </w:r>
      <w:proofErr w:type="spellEnd"/>
      <w:r w:rsidR="00AB457E">
        <w:rPr>
          <w:rFonts w:cstheme="minorHAnsi"/>
        </w:rPr>
        <w:t xml:space="preserve"> &amp; French, 1992, 1998, 2012)</w:t>
      </w:r>
      <w:r w:rsidR="00B87A35">
        <w:rPr>
          <w:rFonts w:cstheme="minorHAnsi"/>
        </w:rPr>
        <w:t>.</w:t>
      </w:r>
      <w:r w:rsidR="005259CD">
        <w:rPr>
          <w:rFonts w:cstheme="minorHAnsi"/>
        </w:rPr>
        <w:fldChar w:fldCharType="begin">
          <w:fldData xml:space="preserve">PEVuZE5vdGU+PENpdGUgRXhjbHVkZUF1dGg9IjEiIEV4Y2x1ZGVZZWFyPSIxIiBIaWRkZW49IjEi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</w:fldData>
        </w:fldChar>
      </w:r>
      <w:r w:rsidR="005259CD">
        <w:rPr>
          <w:rFonts w:cstheme="minorHAnsi"/>
        </w:rPr>
        <w:instrText xml:space="preserve"> ADDIN EN.CITE </w:instrText>
      </w:r>
      <w:r w:rsidR="005259CD">
        <w:rPr>
          <w:rFonts w:cstheme="minorHAnsi"/>
        </w:rPr>
        <w:fldChar w:fldCharType="begin">
          <w:fldData xml:space="preserve">PEVuZE5vdGU+PENpdGUgRXhjbHVkZUF1dGg9IjEiIEV4Y2x1ZGVZZWFyPSIxIiBIaWRkZW49IjEi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</w:fldData>
        </w:fldChar>
      </w:r>
      <w:r w:rsidR="005259CD">
        <w:rPr>
          <w:rFonts w:cstheme="minorHAnsi"/>
        </w:rPr>
        <w:instrText xml:space="preserve"> ADDIN EN.CITE.DATA </w:instrText>
      </w:r>
      <w:r w:rsidR="005259CD">
        <w:rPr>
          <w:rFonts w:cstheme="minorHAnsi"/>
        </w:rPr>
      </w:r>
      <w:r w:rsidR="005259CD">
        <w:rPr>
          <w:rFonts w:cstheme="minorHAnsi"/>
        </w:rPr>
        <w:fldChar w:fldCharType="end"/>
      </w:r>
      <w:r w:rsidR="005259CD">
        <w:rPr>
          <w:rFonts w:cstheme="minorHAnsi"/>
        </w:rPr>
      </w:r>
      <w:r w:rsidR="005259CD">
        <w:rPr>
          <w:rFonts w:cstheme="minorHAnsi"/>
        </w:rPr>
        <w:fldChar w:fldCharType="end"/>
      </w:r>
      <w:r w:rsidR="00B87A35">
        <w:rPr>
          <w:rFonts w:cstheme="minorHAnsi"/>
        </w:rPr>
        <w:t xml:space="preserve"> </w:t>
      </w:r>
      <w:r w:rsidRPr="00436280">
        <w:rPr>
          <w:rFonts w:cstheme="minorHAnsi"/>
        </w:rPr>
        <w:t xml:space="preserve">However, academic research in this direction has been limited in countries such as Thailand and to the best of our </w:t>
      </w:r>
      <w:r w:rsidR="00DC3012" w:rsidRPr="00436280">
        <w:rPr>
          <w:rFonts w:cstheme="minorHAnsi"/>
        </w:rPr>
        <w:t>knowledge;</w:t>
      </w:r>
      <w:r w:rsidRPr="00436280">
        <w:rPr>
          <w:rFonts w:cstheme="minorHAnsi"/>
        </w:rPr>
        <w:t xml:space="preserve"> there has been no such study in Thailand after the financial crisis of 1997.</w:t>
      </w:r>
    </w:p>
    <w:p w:rsidR="00436280" w:rsidRDefault="00436280" w:rsidP="004036C2">
      <w:pPr>
        <w:spacing w:before="120" w:after="120" w:line="240" w:lineRule="auto"/>
        <w:jc w:val="both"/>
        <w:rPr>
          <w:rFonts w:cstheme="minorHAnsi"/>
        </w:rPr>
      </w:pPr>
      <w:r w:rsidRPr="00436280">
        <w:rPr>
          <w:rFonts w:cstheme="minorHAnsi"/>
        </w:rPr>
        <w:t xml:space="preserve">The purpose of this study is to take a closer look at the performance of stocks based on the aforementioned classifications in the Stock Exchange of </w:t>
      </w:r>
      <w:r>
        <w:rPr>
          <w:rFonts w:cstheme="minorHAnsi"/>
        </w:rPr>
        <w:t xml:space="preserve">Thailand after the 1997 crisis. </w:t>
      </w:r>
      <w:r w:rsidRPr="00436280">
        <w:rPr>
          <w:rFonts w:cstheme="minorHAnsi"/>
        </w:rPr>
        <w:t>The significance of this study stems from the fact that Thailand is an open market and has been encouraging foreign investments as one of means to enhance employment, promote economic development, and technology transfer and the main equity market in Thailand, the Stock Exchange of Thailand is a crucial channel for Foreign Investment inflow into the Country.</w:t>
      </w:r>
      <w:r w:rsidR="005319EF">
        <w:rPr>
          <w:rFonts w:cstheme="minorHAnsi"/>
        </w:rPr>
        <w:t xml:space="preserve"> </w:t>
      </w:r>
      <w:r w:rsidR="005319EF">
        <w:rPr>
          <w:rFonts w:cstheme="minorHAnsi"/>
        </w:rPr>
        <w:fldChar w:fldCharType="begin"/>
      </w:r>
      <w:r w:rsidR="004036C2">
        <w:rPr>
          <w:rFonts w:cstheme="minorHAnsi"/>
        </w:rPr>
        <w:instrText xml:space="preserve"> ADDIN EN.CITE &lt;EndNote&gt;&lt;Cite&gt;&lt;Author&gt;Chui&lt;/Author&gt;&lt;Year&gt;1998&lt;/Year&gt;&lt;RecNum&gt;27&lt;/RecNum&gt;&lt;DisplayText&gt;[10]&lt;/DisplayText&gt;&lt;record&gt;&lt;rec-number&gt;27&lt;/rec-number&gt;&lt;foreign-keys&gt;&lt;key app="EN" db-id="r2etwrpv9zvzp3ezvrip02pxxdxa2wesx5fs"&gt;27&lt;/key&gt;&lt;/foreign-keys&gt;&lt;ref-type name="Journal Article"&gt;17&lt;/ref-type&gt;&lt;contributors&gt;&lt;authors&gt;&lt;author&gt;Chui, Andy C. W.&lt;/author&gt;&lt;author&gt;Wei, K. C. John&lt;/author&gt;&lt;/authors&gt;&lt;/contributors&gt;&lt;titles&gt;&lt;title&gt;Book-to-market, firm size, and the turn-of-the-year effect: Evidence from Pacific-Basin emerging markets&lt;/title&gt;&lt;secondary-title&gt;Pacific-Basin Finance Journal&lt;/secondary-title&gt;&lt;/titles&gt;&lt;periodical&gt;&lt;full-title&gt;Pacific-Basin Finance Journal&lt;/full-title&gt;&lt;/periodical&gt;&lt;pages&gt;275-293&lt;/pages&gt;&lt;volume&gt;6&lt;/volume&gt;&lt;number&gt;3–4&lt;/number&gt;&lt;keywords&gt;&lt;keyword&gt;Book-to-market equity&lt;/keyword&gt;&lt;keyword&gt;Firm size&lt;/keyword&gt;&lt;keyword&gt;Pacific-Basin emerging markets&lt;/keyword&gt;&lt;keyword&gt;Cross-section of expected stock returns&lt;/keyword&gt;&lt;keyword&gt;Turn-of-the-year effect&lt;/keyword&gt;&lt;/keywords&gt;&lt;dates&gt;&lt;year&gt;1998&lt;/year&gt;&lt;pub-dates&gt;&lt;date&gt;8//&lt;/date&gt;&lt;/pub-dates&gt;&lt;/dates&gt;&lt;isbn&gt;0927-538X&lt;/isbn&gt;&lt;urls&gt;&lt;related-urls&gt;&lt;url&gt;http://www.sciencedirect.com/science/article/pii/S0927538X98000134&lt;/url&gt;&lt;/related-urls&gt;&lt;/urls&gt;&lt;electronic-resource-num&gt;http://dx.doi.org/10.1016/S0927-538X(98)00013-4&lt;/electronic-resource-num&gt;&lt;/record&gt;&lt;/Cite&gt;&lt;/EndNote&gt;</w:instrText>
      </w:r>
      <w:r w:rsidR="005319EF">
        <w:rPr>
          <w:rFonts w:cstheme="minorHAnsi"/>
        </w:rPr>
        <w:fldChar w:fldCharType="separate"/>
      </w:r>
      <w:r w:rsidR="004036C2">
        <w:rPr>
          <w:rFonts w:cstheme="minorHAnsi"/>
          <w:noProof/>
        </w:rPr>
        <w:t>[10]</w:t>
      </w:r>
      <w:r w:rsidR="005319EF">
        <w:rPr>
          <w:rFonts w:cstheme="minorHAnsi"/>
        </w:rPr>
        <w:fldChar w:fldCharType="end"/>
      </w:r>
      <w:r w:rsidR="005319EF">
        <w:rPr>
          <w:rFonts w:cstheme="minorHAnsi"/>
        </w:rPr>
        <w:t xml:space="preserve"> </w:t>
      </w:r>
      <w:r w:rsidRPr="00436280">
        <w:rPr>
          <w:rFonts w:cstheme="minorHAnsi"/>
        </w:rPr>
        <w:t xml:space="preserve">contend that the equity market size in Thailand increased from $1.72 billion in 1984 to $133.66 billion in </w:t>
      </w:r>
      <w:r w:rsidRPr="00436280">
        <w:rPr>
          <w:rFonts w:cstheme="minorHAnsi"/>
        </w:rPr>
        <w:lastRenderedPageBreak/>
        <w:t>1993</w:t>
      </w:r>
      <w:proofErr w:type="gramStart"/>
      <w:r w:rsidRPr="00436280">
        <w:rPr>
          <w:rFonts w:cstheme="minorHAnsi"/>
        </w:rPr>
        <w:t>,an</w:t>
      </w:r>
      <w:proofErr w:type="gramEnd"/>
      <w:r w:rsidRPr="00436280">
        <w:rPr>
          <w:rFonts w:cstheme="minorHAnsi"/>
        </w:rPr>
        <w:t xml:space="preserve"> increase of over 77 times within a decade. The main contribution of this paper is evidence for size category in the context of the equity market in Thailand. Almost all previous studies have focused solely on large stocks or indices. This paper extends the scope beyond large stocks and indices by including small and tiny stocks as well. Further, since there is a distinct absence of detailed academic resear</w:t>
      </w:r>
      <w:r>
        <w:rPr>
          <w:rFonts w:cstheme="minorHAnsi"/>
        </w:rPr>
        <w:t>ch on small-caps and large-caps and</w:t>
      </w:r>
      <w:r w:rsidRPr="00436280">
        <w:rPr>
          <w:rFonts w:cstheme="minorHAnsi"/>
        </w:rPr>
        <w:t xml:space="preserve"> value and growth stocks in the Stock Exchange of Thailand after the crisis, this paper also contributes to the extension of existing literature of the study. This research is also of significance for those researchers who would like to compare the performance of each classification in different countries and markets. The rest of the paper is structured as follow: Section 2 reviews previous academic studies for each classification in different markets. Section 3 explains the research design and methodology that is used in this research. Section 4 reports the important findings of the research. Section 5 concludes the paper.</w:t>
      </w:r>
    </w:p>
    <w:p w:rsidR="00FF2892" w:rsidRPr="00FF2892" w:rsidRDefault="004036C2" w:rsidP="004036C2">
      <w:pPr>
        <w:pStyle w:val="Heading1"/>
        <w:spacing w:line="240" w:lineRule="auto"/>
        <w:rPr>
          <w:rFonts w:asciiTheme="minorHAnsi" w:hAnsiTheme="minorHAnsi" w:cstheme="minorHAnsi"/>
          <w:sz w:val="22"/>
          <w:szCs w:val="22"/>
        </w:rPr>
      </w:pPr>
      <w:r>
        <w:rPr>
          <w:rFonts w:asciiTheme="minorHAnsi" w:hAnsiTheme="minorHAnsi" w:cstheme="minorHAnsi"/>
          <w:sz w:val="22"/>
          <w:szCs w:val="22"/>
        </w:rPr>
        <w:t>2</w:t>
      </w:r>
      <w:r w:rsidR="00FF2892" w:rsidRPr="00FF2892">
        <w:rPr>
          <w:rFonts w:asciiTheme="minorHAnsi" w:hAnsiTheme="minorHAnsi" w:cstheme="minorHAnsi"/>
          <w:sz w:val="22"/>
          <w:szCs w:val="22"/>
        </w:rPr>
        <w:t xml:space="preserve"> Past studies</w:t>
      </w:r>
    </w:p>
    <w:p w:rsidR="00FF2892" w:rsidRPr="00FF2892" w:rsidRDefault="00FF2892" w:rsidP="004036C2">
      <w:pPr>
        <w:pStyle w:val="Heading2"/>
        <w:spacing w:before="240" w:line="240" w:lineRule="auto"/>
        <w:rPr>
          <w:rFonts w:asciiTheme="minorHAnsi" w:hAnsiTheme="minorHAnsi" w:cstheme="minorHAnsi"/>
          <w:sz w:val="22"/>
          <w:szCs w:val="22"/>
        </w:rPr>
      </w:pPr>
      <w:r w:rsidRPr="00FF2892">
        <w:rPr>
          <w:rFonts w:asciiTheme="minorHAnsi" w:hAnsiTheme="minorHAnsi" w:cstheme="minorHAnsi"/>
          <w:sz w:val="22"/>
          <w:szCs w:val="22"/>
        </w:rPr>
        <w:t>2.1 Size effect (SMB)</w:t>
      </w:r>
    </w:p>
    <w:p w:rsidR="00FF2892" w:rsidRPr="00C616E6" w:rsidRDefault="00FF2892" w:rsidP="004036C2">
      <w:pPr>
        <w:spacing w:before="120" w:after="120" w:line="240" w:lineRule="auto"/>
        <w:jc w:val="both"/>
      </w:pPr>
      <w:r w:rsidRPr="00C616E6">
        <w:t>In US market</w:t>
      </w:r>
      <w:r w:rsidR="00850E82">
        <w:t xml:space="preserve"> </w:t>
      </w:r>
      <w:r w:rsidR="00850E82">
        <w:fldChar w:fldCharType="begin"/>
      </w:r>
      <w:r w:rsidR="004036C2">
        <w:instrText xml:space="preserve"> ADDIN EN.CITE &lt;EndNote&gt;&lt;Cite&gt;&lt;Author&gt;Banz&lt;/Author&gt;&lt;Year&gt;1981&lt;/Year&gt;&lt;RecNum&gt;18&lt;/RecNum&gt;&lt;DisplayText&gt;[2]&lt;/DisplayText&gt;&lt;record&gt;&lt;rec-number&gt;18&lt;/rec-number&gt;&lt;foreign-keys&gt;&lt;key app="EN" db-id="r2etwrpv9zvzp3ezvrip02pxxdxa2wesx5fs"&gt;18&lt;/key&gt;&lt;/foreign-keys&gt;&lt;ref-type name="Journal Article"&gt;17&lt;/ref-type&gt;&lt;contributors&gt;&lt;authors&gt;&lt;author&gt;Banz, Rolf W.&lt;/author&gt;&lt;/authors&gt;&lt;/contributors&gt;&lt;titles&gt;&lt;title&gt;The relationship between return and market value of common stocks&lt;/title&gt;&lt;secondary-title&gt;Journal of Financial Economics&lt;/secondary-title&gt;&lt;/titles&gt;&lt;periodical&gt;&lt;full-title&gt;Journal of Financial Economics&lt;/full-title&gt;&lt;/periodical&gt;&lt;pages&gt;3-18&lt;/pages&gt;&lt;volume&gt;9&lt;/volume&gt;&lt;number&gt;1&lt;/number&gt;&lt;dates&gt;&lt;year&gt;1981&lt;/year&gt;&lt;pub-dates&gt;&lt;date&gt;3//&lt;/date&gt;&lt;/pub-dates&gt;&lt;/dates&gt;&lt;isbn&gt;0304-405X&lt;/isbn&gt;&lt;urls&gt;&lt;related-urls&gt;&lt;url&gt;http://www.sciencedirect.com/science/article/pii/0304405X81900180&lt;/url&gt;&lt;/related-urls&gt;&lt;/urls&gt;&lt;electronic-resource-num&gt;http://dx.doi.org/10.1016/0304-405X(81)90018-0&lt;/electronic-resource-num&gt;&lt;/record&gt;&lt;/Cite&gt;&lt;/EndNote&gt;</w:instrText>
      </w:r>
      <w:r w:rsidR="00850E82">
        <w:fldChar w:fldCharType="separate"/>
      </w:r>
      <w:r w:rsidR="004036C2">
        <w:rPr>
          <w:noProof/>
        </w:rPr>
        <w:t>[2]</w:t>
      </w:r>
      <w:r w:rsidR="00850E82">
        <w:fldChar w:fldCharType="end"/>
      </w:r>
      <w:r w:rsidRPr="00C616E6">
        <w:t>analyzes the performance of small and large stocks and finds that there is a negative relationship between size of the company and its returns during the period of 1936 to 1975 in New York Stock Exchange and argues that the size effect is stronger in smallest companies.</w:t>
      </w:r>
      <w:r w:rsidR="00850E82">
        <w:t xml:space="preserve"> </w:t>
      </w:r>
      <w:r w:rsidR="00850E82">
        <w:fldChar w:fldCharType="begin"/>
      </w:r>
      <w:r w:rsidR="004036C2">
        <w:instrText xml:space="preserve"> ADDIN EN.CITE &lt;EndNote&gt;&lt;Cite&gt;&lt;Author&gt;Banz&lt;/Author&gt;&lt;Year&gt;1981&lt;/Year&gt;&lt;RecNum&gt;18&lt;/RecNum&gt;&lt;DisplayText&gt;[2]&lt;/DisplayText&gt;&lt;record&gt;&lt;rec-number&gt;18&lt;/rec-number&gt;&lt;foreign-keys&gt;&lt;key app="EN" db-id="r2etwrpv9zvzp3ezvrip02pxxdxa2wesx5fs"&gt;18&lt;/key&gt;&lt;/foreign-keys&gt;&lt;ref-type name="Journal Article"&gt;17&lt;/ref-type&gt;&lt;contributors&gt;&lt;authors&gt;&lt;author&gt;Banz, Rolf W.&lt;/author&gt;&lt;/authors&gt;&lt;/contributors&gt;&lt;titles&gt;&lt;title&gt;The relationship between return and market value of common stocks&lt;/title&gt;&lt;secondary-title&gt;Journal of Financial Economics&lt;/secondary-title&gt;&lt;/titles&gt;&lt;periodical&gt;&lt;full-title&gt;Journal of Financial Economics&lt;/full-title&gt;&lt;/periodical&gt;&lt;pages&gt;3-18&lt;/pages&gt;&lt;volume&gt;9&lt;/volume&gt;&lt;number&gt;1&lt;/number&gt;&lt;dates&gt;&lt;year&gt;1981&lt;/year&gt;&lt;pub-dates&gt;&lt;date&gt;3//&lt;/date&gt;&lt;/pub-dates&gt;&lt;/dates&gt;&lt;isbn&gt;0304-405X&lt;/isbn&gt;&lt;urls&gt;&lt;related-urls&gt;&lt;url&gt;http://www.sciencedirect.com/science/article/pii/0304405X81900180&lt;/url&gt;&lt;/related-urls&gt;&lt;/urls&gt;&lt;electronic-resource-num&gt;http://dx.doi.org/10.1016/0304-405X(81)90018-0&lt;/electronic-resource-num&gt;&lt;/record&gt;&lt;/Cite&gt;&lt;/EndNote&gt;</w:instrText>
      </w:r>
      <w:r w:rsidR="00850E82">
        <w:fldChar w:fldCharType="separate"/>
      </w:r>
      <w:r w:rsidR="004036C2">
        <w:rPr>
          <w:noProof/>
        </w:rPr>
        <w:t>[2]</w:t>
      </w:r>
      <w:r w:rsidR="00850E82">
        <w:fldChar w:fldCharType="end"/>
      </w:r>
      <w:r w:rsidRPr="00C616E6">
        <w:t xml:space="preserve"> </w:t>
      </w:r>
      <w:proofErr w:type="gramStart"/>
      <w:r w:rsidRPr="00C616E6">
        <w:t>further</w:t>
      </w:r>
      <w:proofErr w:type="gramEnd"/>
      <w:r w:rsidRPr="00C616E6">
        <w:t xml:space="preserve"> concludes that the size effect is not stable; in other word in some years of the study large stocks generate higher return but on average small stocks performed better compared to large stocks. Some scholars have studied size effect with a greater focus on Asian countries;</w:t>
      </w:r>
      <w:r w:rsidR="00850E82">
        <w:t xml:space="preserve"> </w:t>
      </w:r>
      <w:r w:rsidR="00850E82">
        <w:fldChar w:fldCharType="begin"/>
      </w:r>
      <w:r w:rsidR="004036C2">
        <w:instrText xml:space="preserve"> ADDIN EN.CITE &lt;EndNote&gt;&lt;Cite&gt;&lt;Author&gt;Nai‐fu Chen&lt;/Author&gt;&lt;Year&gt;1998&lt;/Year&gt;&lt;RecNum&gt;28&lt;/RecNum&gt;&lt;DisplayText&gt;[11]&lt;/DisplayText&gt;&lt;record&gt;&lt;rec-number&gt;28&lt;/rec-number&gt;&lt;foreign-keys&gt;&lt;key app="EN" db-id="r2etwrpv9zvzp3ezvrip02pxxdxa2wesx5fs"&gt;28&lt;/key&gt;&lt;/foreign-keys&gt;&lt;ref-type name="Journal Article"&gt;17&lt;/ref-type&gt;&lt;contributors&gt;&lt;authors&gt;&lt;author&gt;Nai‐fu Chen,&lt;/author&gt;&lt;author&gt;Feng Zhang,&lt;/author&gt;&lt;/authors&gt;&lt;/contributors&gt;&lt;titles&gt;&lt;title&gt;Risk and Return of Value Stocks&lt;/title&gt;&lt;secondary-title&gt;The Journal of Business&lt;/secondary-title&gt;&lt;/titles&gt;&lt;periodical&gt;&lt;full-title&gt;The Journal of Business&lt;/full-title&gt;&lt;/periodical&gt;&lt;pages&gt;501-535&lt;/pages&gt;&lt;volume&gt;71&lt;/volume&gt;&lt;number&gt;4&lt;/number&gt;&lt;dates&gt;&lt;year&gt;1998&lt;/year&gt;&lt;/dates&gt;&lt;publisher&gt;The University of Chicago Press&lt;/publisher&gt;&lt;isbn&gt;00219398&lt;/isbn&gt;&lt;urls&gt;&lt;related-urls&gt;&lt;url&gt;http://www.jstor.org/stable/10.1086/209755&lt;/url&gt;&lt;/related-urls&gt;&lt;/urls&gt;&lt;electronic-resource-num&gt;10.1086/209755&lt;/electronic-resource-num&gt;&lt;/record&gt;&lt;/Cite&gt;&lt;/EndNote&gt;</w:instrText>
      </w:r>
      <w:r w:rsidR="00850E82">
        <w:fldChar w:fldCharType="separate"/>
      </w:r>
      <w:r w:rsidR="004036C2">
        <w:rPr>
          <w:noProof/>
        </w:rPr>
        <w:t>[11]</w:t>
      </w:r>
      <w:r w:rsidR="00850E82">
        <w:fldChar w:fldCharType="end"/>
      </w:r>
      <w:r w:rsidR="00850E82">
        <w:t xml:space="preserve"> </w:t>
      </w:r>
      <w:r w:rsidRPr="00C616E6">
        <w:t>investigate six countries namely; Japan, Malaysia, Taiwan, Hong Kong, Thailand, and United State and they find that except in Taiwan, small stocks tend to generate higher return than large stocks in all the other countries studied.</w:t>
      </w:r>
      <w:r w:rsidR="00850E82">
        <w:t xml:space="preserve"> </w:t>
      </w:r>
      <w:r w:rsidR="00850E82">
        <w:fldChar w:fldCharType="begin"/>
      </w:r>
      <w:r w:rsidR="004036C2">
        <w:instrText xml:space="preserve"> ADDIN EN.CITE &lt;EndNote&gt;&lt;Cite&gt;&lt;Author&gt;Nai‐fu Chen&lt;/Author&gt;&lt;Year&gt;1998&lt;/Year&gt;&lt;RecNum&gt;28&lt;/RecNum&gt;&lt;DisplayText&gt;[11]&lt;/DisplayText&gt;&lt;record&gt;&lt;rec-number&gt;28&lt;/rec-number&gt;&lt;foreign-keys&gt;&lt;key app="EN" db-id="r2etwrpv9zvzp3ezvrip02pxxdxa2wesx5fs"&gt;28&lt;/key&gt;&lt;/foreign-keys&gt;&lt;ref-type name="Journal Article"&gt;17&lt;/ref-type&gt;&lt;contributors&gt;&lt;authors&gt;&lt;author&gt;Nai‐fu Chen,&lt;/author&gt;&lt;author&gt;Feng Zhang,&lt;/author&gt;&lt;/authors&gt;&lt;/contributors&gt;&lt;titles&gt;&lt;title&gt;Risk and Return of Value Stocks&lt;/title&gt;&lt;secondary-title&gt;The Journal of Business&lt;/secondary-title&gt;&lt;/titles&gt;&lt;periodical&gt;&lt;full-title&gt;The Journal of Business&lt;/full-title&gt;&lt;/periodical&gt;&lt;pages&gt;501-535&lt;/pages&gt;&lt;volume&gt;71&lt;/volume&gt;&lt;number&gt;4&lt;/number&gt;&lt;dates&gt;&lt;year&gt;1998&lt;/year&gt;&lt;/dates&gt;&lt;publisher&gt;The University of Chicago Press&lt;/publisher&gt;&lt;isbn&gt;00219398&lt;/isbn&gt;&lt;urls&gt;&lt;related-urls&gt;&lt;url&gt;http://www.jstor.org/stable/10.1086/209755&lt;/url&gt;&lt;/related-urls&gt;&lt;/urls&gt;&lt;electronic-resource-num&gt;10.1086/209755&lt;/electronic-resource-num&gt;&lt;/record&gt;&lt;/Cite&gt;&lt;/EndNote&gt;</w:instrText>
      </w:r>
      <w:r w:rsidR="00850E82">
        <w:fldChar w:fldCharType="separate"/>
      </w:r>
      <w:r w:rsidR="004036C2">
        <w:rPr>
          <w:noProof/>
        </w:rPr>
        <w:t>[11]</w:t>
      </w:r>
      <w:r w:rsidR="00850E82">
        <w:fldChar w:fldCharType="end"/>
      </w:r>
      <w:r w:rsidR="00850E82">
        <w:t xml:space="preserve"> </w:t>
      </w:r>
      <w:proofErr w:type="gramStart"/>
      <w:r w:rsidRPr="00C616E6">
        <w:t>further</w:t>
      </w:r>
      <w:proofErr w:type="gramEnd"/>
      <w:r w:rsidRPr="00C616E6">
        <w:t xml:space="preserve"> contend that the difference between average return of smallest and largest stocks is 1.301 percent over the period of 1978 to 1993 in Thailand.</w:t>
      </w:r>
      <w:r w:rsidR="003466A7">
        <w:t xml:space="preserve"> </w:t>
      </w:r>
      <w:r w:rsidR="003466A7">
        <w:fldChar w:fldCharType="begin"/>
      </w:r>
      <w:r w:rsidR="004036C2">
        <w:instrText xml:space="preserve"> ADDIN EN.CITE &lt;EndNote&gt;&lt;Cite&gt;&lt;Author&gt;Chui&lt;/Author&gt;&lt;Year&gt;1998&lt;/Year&gt;&lt;RecNum&gt;27&lt;/RecNum&gt;&lt;DisplayText&gt;[10]&lt;/DisplayText&gt;&lt;record&gt;&lt;rec-number&gt;27&lt;/rec-number&gt;&lt;foreign-keys&gt;&lt;key app="EN" db-id="r2etwrpv9zvzp3ezvrip02pxxdxa2wesx5fs"&gt;27&lt;/key&gt;&lt;/foreign-keys&gt;&lt;ref-type name="Journal Article"&gt;17&lt;/ref-type&gt;&lt;contributors&gt;&lt;authors&gt;&lt;author&gt;Chui, Andy C. W.&lt;/author&gt;&lt;author&gt;Wei, K. C. John&lt;/author&gt;&lt;/authors&gt;&lt;/contributors&gt;&lt;titles&gt;&lt;title&gt;Book-to-market, firm size, and the turn-of-the-year effect: Evidence from Pacific-Basin emerging markets&lt;/title&gt;&lt;secondary-title&gt;Pacific-Basin Finance Journal&lt;/secondary-title&gt;&lt;/titles&gt;&lt;periodical&gt;&lt;full-title&gt;Pacific-Basin Finance Journal&lt;/full-title&gt;&lt;/periodical&gt;&lt;pages&gt;275-293&lt;/pages&gt;&lt;volume&gt;6&lt;/volume&gt;&lt;number&gt;3–4&lt;/number&gt;&lt;keywords&gt;&lt;keyword&gt;Book-to-market equity&lt;/keyword&gt;&lt;keyword&gt;Firm size&lt;/keyword&gt;&lt;keyword&gt;Pacific-Basin emerging markets&lt;/keyword&gt;&lt;keyword&gt;Cross-section of expected stock returns&lt;/keyword&gt;&lt;keyword&gt;Turn-of-the-year effect&lt;/keyword&gt;&lt;/keywords&gt;&lt;dates&gt;&lt;year&gt;1998&lt;/year&gt;&lt;pub-dates&gt;&lt;date&gt;8//&lt;/date&gt;&lt;/pub-dates&gt;&lt;/dates&gt;&lt;isbn&gt;0927-538X&lt;/isbn&gt;&lt;urls&gt;&lt;related-urls&gt;&lt;url&gt;http://www.sciencedirect.com/science/article/pii/S0927538X98000134&lt;/url&gt;&lt;/related-urls&gt;&lt;/urls&gt;&lt;electronic-resource-num&gt;http://dx.doi.org/10.1016/S0927-538X(98)00013-4&lt;/electronic-resource-num&gt;&lt;/record&gt;&lt;/Cite&gt;&lt;/EndNote&gt;</w:instrText>
      </w:r>
      <w:r w:rsidR="003466A7">
        <w:fldChar w:fldCharType="separate"/>
      </w:r>
      <w:r w:rsidR="004036C2">
        <w:rPr>
          <w:noProof/>
        </w:rPr>
        <w:t>[10]</w:t>
      </w:r>
      <w:r w:rsidR="003466A7">
        <w:fldChar w:fldCharType="end"/>
      </w:r>
      <w:r w:rsidR="003466A7">
        <w:t xml:space="preserve"> </w:t>
      </w:r>
      <w:proofErr w:type="gramStart"/>
      <w:r w:rsidRPr="00C616E6">
        <w:t>also</w:t>
      </w:r>
      <w:proofErr w:type="gramEnd"/>
      <w:r w:rsidRPr="00C616E6">
        <w:t xml:space="preserve"> study the size effect in Thailand, Malaysia, Taiwan, Korea, and Hong Kong and their result show that there is size effect in each of these countries over the period of 1977 to 1993 and more specifically over the period of 1984 to 1993 in Thailand. However, </w:t>
      </w:r>
      <w:r w:rsidR="00850E82">
        <w:fldChar w:fldCharType="begin"/>
      </w:r>
      <w:r w:rsidR="004036C2">
        <w:instrText xml:space="preserve"> ADDIN EN.CITE &lt;EndNote&gt;&lt;Cite&gt;&lt;Author&gt;Ding&lt;/Author&gt;&lt;Year&gt;2005&lt;/Year&gt;&lt;RecNum&gt;29&lt;/RecNum&gt;&lt;DisplayText&gt;[12]&lt;/DisplayText&gt;&lt;record&gt;&lt;rec-number&gt;29&lt;/rec-number&gt;&lt;foreign-keys&gt;&lt;key app="EN" db-id="r2etwrpv9zvzp3ezvrip02pxxdxa2wesx5fs"&gt;29&lt;/key&gt;&lt;/foreign-keys&gt;&lt;ref-type name="Journal Article"&gt;17&lt;/ref-type&gt;&lt;contributors&gt;&lt;authors&gt;&lt;author&gt;Ding, David K.&lt;/author&gt;&lt;author&gt;Chua, Jia Leng&lt;/author&gt;&lt;author&gt;Fetherston, Thomas A.&lt;/author&gt;&lt;/authors&gt;&lt;/contributors&gt;&lt;titles&gt;&lt;title&gt;The performance of value and growth portfolios in East Asia before the Asian financial crisis&lt;/title&gt;&lt;secondary-title&gt;Pacific-Basin Finance Journal&lt;/secondary-title&gt;&lt;/titles&gt;&lt;periodical&gt;&lt;full-title&gt;Pacific-Basin Finance Journal&lt;/full-title&gt;&lt;/periodical&gt;&lt;pages&gt;185-199&lt;/pages&gt;&lt;volume&gt;13&lt;/volume&gt;&lt;number&gt;2&lt;/number&gt;&lt;keywords&gt;&lt;keyword&gt;Value and growth portfolios&lt;/keyword&gt;&lt;keyword&gt;East Asia&lt;/keyword&gt;&lt;keyword&gt;Asian financial crisis&lt;/keyword&gt;&lt;/keywords&gt;&lt;dates&gt;&lt;year&gt;2005&lt;/year&gt;&lt;pub-dates&gt;&lt;date&gt;3//&lt;/date&gt;&lt;/pub-dates&gt;&lt;/dates&gt;&lt;isbn&gt;0927-538X&lt;/isbn&gt;&lt;urls&gt;&lt;related-urls&gt;&lt;url&gt;http://www.sciencedirect.com/science/article/pii/S0927538X0400040X&lt;/url&gt;&lt;/related-urls&gt;&lt;/urls&gt;&lt;electronic-resource-num&gt;http://dx.doi.org/10.1016/j.pacfin.2004.07.001&lt;/electronic-resource-num&gt;&lt;/record&gt;&lt;/Cite&gt;&lt;/EndNote&gt;</w:instrText>
      </w:r>
      <w:r w:rsidR="00850E82">
        <w:fldChar w:fldCharType="separate"/>
      </w:r>
      <w:r w:rsidR="004036C2">
        <w:rPr>
          <w:noProof/>
        </w:rPr>
        <w:t>[12]</w:t>
      </w:r>
      <w:r w:rsidR="00850E82">
        <w:fldChar w:fldCharType="end"/>
      </w:r>
      <w:r w:rsidR="00850E82">
        <w:t xml:space="preserve"> </w:t>
      </w:r>
      <w:r w:rsidRPr="00C616E6">
        <w:t xml:space="preserve">find a weak size effect in Thailand over the period of 1976 to 1997. </w:t>
      </w:r>
      <w:r w:rsidR="00EA3352">
        <w:fldChar w:fldCharType="begin"/>
      </w:r>
      <w:r w:rsidR="004036C2">
        <w:instrText xml:space="preserve"> ADDIN EN.CITE &lt;EndNote&gt;&lt;Cite&gt;&lt;Author&gt;Fama&lt;/Author&gt;&lt;Year&gt;2012&lt;/Year&gt;&lt;RecNum&gt;26&lt;/RecNum&gt;&lt;DisplayText&gt;[9]&lt;/DisplayText&gt;&lt;record&gt;&lt;rec-number&gt;26&lt;/rec-number&gt;&lt;foreign-keys&gt;&lt;key app="EN" db-id="r2etwrpv9zvzp3ezvrip02pxxdxa2wesx5fs"&gt;26&lt;/key&gt;&lt;/foreign-keys&gt;&lt;ref-type name="Journal Article"&gt;17&lt;/ref-type&gt;&lt;contributors&gt;&lt;authors&gt;&lt;author&gt;Fama, Eugene F.&lt;/author&gt;&lt;author&gt;French, Kenneth R.&lt;/author&gt;&lt;/authors&gt;&lt;/contributors&gt;&lt;titles&gt;&lt;title&gt;Size, value, and momentum in international stock returns&lt;/title&gt;&lt;secondary-title&gt;Journal of Financial Economics&lt;/secondary-title&gt;&lt;/titles&gt;&lt;periodical&gt;&lt;full-title&gt;Journal of Financial Economics&lt;/full-title&gt;&lt;/periodical&gt;&lt;pages&gt;457-472&lt;/pages&gt;&lt;volume&gt;105&lt;/volume&gt;&lt;number&gt;3&lt;/number&gt;&lt;keywords&gt;&lt;keyword&gt;Value premium&lt;/keyword&gt;&lt;keyword&gt;Momentum&lt;/keyword&gt;&lt;keyword&gt;Three-factor model&lt;/keyword&gt;&lt;keyword&gt;Four-factor model&lt;/keyword&gt;&lt;/keywords&gt;&lt;dates&gt;&lt;year&gt;2012&lt;/year&gt;&lt;pub-dates&gt;&lt;date&gt;9//&lt;/date&gt;&lt;/pub-dates&gt;&lt;/dates&gt;&lt;isbn&gt;0304-405X&lt;/isbn&gt;&lt;urls&gt;&lt;related-urls&gt;&lt;url&gt;http://www.sciencedirect.com/science/article/pii/S0304405X12000931&lt;/url&gt;&lt;/related-urls&gt;&lt;/urls&gt;&lt;electronic-resource-num&gt;http://dx.doi.org/10.1016/j.jfineco.2012.05.011&lt;/electronic-resource-num&gt;&lt;/record&gt;&lt;/Cite&gt;&lt;/EndNote&gt;</w:instrText>
      </w:r>
      <w:r w:rsidR="00EA3352">
        <w:fldChar w:fldCharType="separate"/>
      </w:r>
      <w:r w:rsidR="004036C2">
        <w:rPr>
          <w:noProof/>
        </w:rPr>
        <w:t>[9]</w:t>
      </w:r>
      <w:r w:rsidR="00EA3352">
        <w:fldChar w:fldCharType="end"/>
      </w:r>
      <w:r w:rsidR="00EA3352">
        <w:t xml:space="preserve"> </w:t>
      </w:r>
      <w:proofErr w:type="gramStart"/>
      <w:r w:rsidRPr="00C616E6">
        <w:t>investigate</w:t>
      </w:r>
      <w:proofErr w:type="gramEnd"/>
      <w:r w:rsidRPr="00C616E6">
        <w:t xml:space="preserve"> four regions namely; North America, Europe, Japan, and Asia pacific and interestingly they find no evidence of size premium and conclude that the average SMB (small minus big) returns are all close to zero in all four regions studied during their sample period of 1991 to 2010.</w:t>
      </w:r>
    </w:p>
    <w:p w:rsidR="00FF2892" w:rsidRPr="00FF2892" w:rsidRDefault="00FF2892" w:rsidP="004036C2">
      <w:pPr>
        <w:pStyle w:val="Heading2"/>
        <w:spacing w:before="240" w:line="240" w:lineRule="auto"/>
        <w:rPr>
          <w:rFonts w:asciiTheme="minorHAnsi" w:hAnsiTheme="minorHAnsi" w:cstheme="minorHAnsi"/>
          <w:sz w:val="22"/>
          <w:szCs w:val="22"/>
        </w:rPr>
      </w:pPr>
      <w:r w:rsidRPr="00FF2892">
        <w:rPr>
          <w:rFonts w:asciiTheme="minorHAnsi" w:hAnsiTheme="minorHAnsi" w:cstheme="minorHAnsi"/>
          <w:sz w:val="22"/>
          <w:szCs w:val="22"/>
        </w:rPr>
        <w:t>2.2 Value premium (VMG)</w:t>
      </w:r>
    </w:p>
    <w:p w:rsidR="00FF2892" w:rsidRDefault="00A37623" w:rsidP="004036C2">
      <w:pPr>
        <w:spacing w:before="120" w:after="120" w:line="240" w:lineRule="auto"/>
        <w:jc w:val="both"/>
      </w:pPr>
      <w:r>
        <w:fldChar w:fldCharType="begin"/>
      </w:r>
      <w:r w:rsidR="004036C2">
        <w:instrText xml:space="preserve"> ADDIN EN.CITE &lt;EndNote&gt;&lt;Cite&gt;&lt;Author&gt;Fama&lt;/Author&gt;&lt;Year&gt;1992&lt;/Year&gt;&lt;RecNum&gt;24&lt;/RecNum&gt;&lt;DisplayText&gt;[8]&lt;/DisplayText&gt;&lt;record&gt;&lt;rec-number&gt;24&lt;/rec-number&gt;&lt;foreign-keys&gt;&lt;key app="EN" db-id="r2etwrpv9zvzp3ezvrip02pxxdxa2wesx5fs"&gt;24&lt;/key&gt;&lt;/foreign-keys&gt;&lt;ref-type name="Journal Article"&gt;17&lt;/ref-type&gt;&lt;contributors&gt;&lt;authors&gt;&lt;author&gt;Fama, Eugene F.&lt;/author&gt;&lt;author&gt;French, Kenneth R.&lt;/author&gt;&lt;/authors&gt;&lt;/contributors&gt;&lt;titles&gt;&lt;title&gt;The Cross-Section of Expected Stock Returns&lt;/title&gt;&lt;secondary-title&gt;The Journal of Finance&lt;/secondary-title&gt;&lt;/titles&gt;&lt;periodical&gt;&lt;full-title&gt;The Journal of Finance&lt;/full-title&gt;&lt;/periodical&gt;&lt;pages&gt;427-465&lt;/pages&gt;&lt;volume&gt;47&lt;/volume&gt;&lt;number&gt;2&lt;/number&gt;&lt;dates&gt;&lt;year&gt;1992&lt;/year&gt;&lt;/dates&gt;&lt;publisher&gt;Blackwell Publishing Ltd&lt;/publisher&gt;&lt;isbn&gt;1540-6261&lt;/isbn&gt;&lt;urls&gt;&lt;related-urls&gt;&lt;url&gt;http://dx.doi.org/10.1111/j.1540-6261.1992.tb04398.x&lt;/url&gt;&lt;/related-urls&gt;&lt;/urls&gt;&lt;electronic-resource-num&gt;10.1111/j.1540-6261.1992.tb04398.x&lt;/electronic-resource-num&gt;&lt;/record&gt;&lt;/Cite&gt;&lt;/EndNote&gt;</w:instrText>
      </w:r>
      <w:r>
        <w:fldChar w:fldCharType="separate"/>
      </w:r>
      <w:r w:rsidR="004036C2">
        <w:rPr>
          <w:noProof/>
        </w:rPr>
        <w:t>[8]</w:t>
      </w:r>
      <w:r>
        <w:fldChar w:fldCharType="end"/>
      </w:r>
      <w:r>
        <w:t xml:space="preserve"> </w:t>
      </w:r>
      <w:proofErr w:type="gramStart"/>
      <w:r w:rsidR="00FF2892" w:rsidRPr="00C616E6">
        <w:t>examine</w:t>
      </w:r>
      <w:proofErr w:type="gramEnd"/>
      <w:r w:rsidR="00FF2892" w:rsidRPr="00C616E6">
        <w:t xml:space="preserve"> the existing of value premium (value minus growth) in US market for the period of 1962 to 1989 and find positive value premium. In the international context,</w:t>
      </w:r>
      <w:r>
        <w:t xml:space="preserve"> </w:t>
      </w:r>
      <w:r>
        <w:fldChar w:fldCharType="begin"/>
      </w:r>
      <w:r w:rsidR="004036C2">
        <w:instrText xml:space="preserve"> ADDIN EN.CITE &lt;EndNote&gt;&lt;Cite&gt;&lt;Author&gt;Capaul&lt;/Author&gt;&lt;Year&gt;1993&lt;/Year&gt;&lt;RecNum&gt;4&lt;/RecNum&gt;&lt;DisplayText&gt;[13]&lt;/DisplayText&gt;&lt;record&gt;&lt;rec-number&gt;4&lt;/rec-number&gt;&lt;foreign-keys&gt;&lt;key app="EN" db-id="0dfwrw2d72wadcees29xd2ao5v99dfra0rxw"&gt;4&lt;/key&gt;&lt;/foreign-keys&gt;&lt;ref-type name="Journal Article"&gt;17&lt;/ref-type&gt;&lt;contributors&gt;&lt;authors&gt;&lt;author&gt;Capaul, Carlo&lt;/author&gt;&lt;author&gt;Rowley, Ian&lt;/author&gt;&lt;author&gt;Sharpe, William F.&lt;/author&gt;&lt;/authors&gt;&lt;/contributors&gt;&lt;titles&gt;&lt;title&gt;International Value and Growth Stock Returns&lt;/title&gt;&lt;secondary-title&gt;Financial Analysts Journal&lt;/secondary-title&gt;&lt;/titles&gt;&lt;pages&gt;27-36&lt;/pages&gt;&lt;volume&gt;49&lt;/volume&gt;&lt;number&gt;1&lt;/number&gt;&lt;dates&gt;&lt;year&gt;1993&lt;/year&gt;&lt;/dates&gt;&lt;publisher&gt;CFA Institute&lt;/publisher&gt;&lt;isbn&gt;0015198X&lt;/isbn&gt;&lt;urls&gt;&lt;related-urls&gt;&lt;url&gt;http://www.jstor.org/stable/4479610&lt;/url&gt;&lt;/related-urls&gt;&lt;/urls&gt;&lt;electronic-resource-num&gt;10.2307/4479610&lt;/electronic-resource-num&gt;&lt;/record&gt;&lt;/Cite&gt;&lt;/EndNote&gt;</w:instrText>
      </w:r>
      <w:r>
        <w:fldChar w:fldCharType="separate"/>
      </w:r>
      <w:r w:rsidR="004036C2">
        <w:rPr>
          <w:noProof/>
        </w:rPr>
        <w:t>[13]</w:t>
      </w:r>
      <w:r>
        <w:fldChar w:fldCharType="end"/>
      </w:r>
      <w:r>
        <w:t xml:space="preserve"> </w:t>
      </w:r>
      <w:r w:rsidR="00FF2892" w:rsidRPr="00C616E6">
        <w:t>examine value stocks and growth stocks in six countries namely; Japan, US, Germany, UK, France, and Switzerland between 1981 and 1992 and find that the portfolios of value stocks generate both higher average return and higher average risk-adjusted return than portfolios of growth stocks in these countries.</w:t>
      </w:r>
      <w:r>
        <w:t xml:space="preserve"> </w:t>
      </w:r>
      <w:r w:rsidR="003217A6">
        <w:fldChar w:fldCharType="begin"/>
      </w:r>
      <w:r w:rsidR="004036C2">
        <w:instrText xml:space="preserve"> ADDIN EN.CITE &lt;EndNote&gt;&lt;Cite&gt;&lt;Author&gt;Nai‐fu Chen&lt;/Author&gt;&lt;Year&gt;1998&lt;/Year&gt;&lt;RecNum&gt;28&lt;/RecNum&gt;&lt;DisplayText&gt;[11]&lt;/DisplayText&gt;&lt;record&gt;&lt;rec-number&gt;28&lt;/rec-number&gt;&lt;foreign-keys&gt;&lt;key app="EN" db-id="r2etwrpv9zvzp3ezvrip02pxxdxa2wesx5fs"&gt;28&lt;/key&gt;&lt;/foreign-keys&gt;&lt;ref-type name="Journal Article"&gt;17&lt;/ref-type&gt;&lt;contributors&gt;&lt;authors&gt;&lt;author&gt;Nai‐fu Chen,&lt;/author&gt;&lt;author&gt;Feng Zhang,&lt;/author&gt;&lt;/authors&gt;&lt;/contributors&gt;&lt;titles&gt;&lt;title&gt;Risk and Return of Value Stocks&lt;/title&gt;&lt;secondary-title&gt;The Journal of Business&lt;/secondary-title&gt;&lt;/titles&gt;&lt;periodical&gt;&lt;full-title&gt;The Journal of Business&lt;/full-title&gt;&lt;/periodical&gt;&lt;pages&gt;501-535&lt;/pages&gt;&lt;volume&gt;71&lt;/volume&gt;&lt;number&gt;4&lt;/number&gt;&lt;dates&gt;&lt;year&gt;1998&lt;/year&gt;&lt;/dates&gt;&lt;publisher&gt;The University of Chicago Press&lt;/publisher&gt;&lt;isbn&gt;00219398&lt;/isbn&gt;&lt;urls&gt;&lt;related-urls&gt;&lt;url&gt;http://www.jstor.org/stable/10.1086/209755&lt;/url&gt;&lt;/related-urls&gt;&lt;/urls&gt;&lt;electronic-resource-num&gt;10.1086/209755&lt;/electronic-resource-num&gt;&lt;/record&gt;&lt;/Cite&gt;&lt;/EndNote&gt;</w:instrText>
      </w:r>
      <w:r w:rsidR="003217A6">
        <w:fldChar w:fldCharType="separate"/>
      </w:r>
      <w:r w:rsidR="004036C2">
        <w:rPr>
          <w:noProof/>
        </w:rPr>
        <w:t>[11]</w:t>
      </w:r>
      <w:r w:rsidR="003217A6">
        <w:fldChar w:fldCharType="end"/>
      </w:r>
      <w:r w:rsidR="003217A6">
        <w:t xml:space="preserve"> </w:t>
      </w:r>
      <w:proofErr w:type="gramStart"/>
      <w:r w:rsidR="00FF2892" w:rsidRPr="00C616E6">
        <w:t>investigate</w:t>
      </w:r>
      <w:proofErr w:type="gramEnd"/>
      <w:r w:rsidR="00FF2892" w:rsidRPr="00C616E6">
        <w:t xml:space="preserve"> and compare the value premium in different countries including Thailand over a 15 year period between 1978 and 1993 and find no reliable evidence of value premium in their study period in these countries including Thailand.</w:t>
      </w:r>
      <w:r w:rsidR="003217A6">
        <w:t xml:space="preserve"> </w:t>
      </w:r>
      <w:r w:rsidR="00B83D23">
        <w:fldChar w:fldCharType="begin"/>
      </w:r>
      <w:r w:rsidR="004036C2">
        <w:instrText xml:space="preserve"> ADDIN EN.CITE &lt;EndNote&gt;&lt;Cite&gt;&lt;Author&gt;Chui&lt;/Author&gt;&lt;Year&gt;1998&lt;/Year&gt;&lt;RecNum&gt;27&lt;/RecNum&gt;&lt;DisplayText&gt;[10]&lt;/DisplayText&gt;&lt;record&gt;&lt;rec-number&gt;27&lt;/rec-number&gt;&lt;foreign-keys&gt;&lt;key app="EN" db-id="r2etwrpv9zvzp3ezvrip02pxxdxa2wesx5fs"&gt;27&lt;/key&gt;&lt;/foreign-keys&gt;&lt;ref-type name="Journal Article"&gt;17&lt;/ref-type&gt;&lt;contributors&gt;&lt;authors&gt;&lt;author&gt;Chui, Andy C. W.&lt;/author&gt;&lt;author&gt;Wei, K. C. John&lt;/author&gt;&lt;/authors&gt;&lt;/contributors&gt;&lt;titles&gt;&lt;title&gt;Book-to-market, firm size, and the turn-of-the-year effect: Evidence from Pacific-Basin emerging markets&lt;/title&gt;&lt;secondary-title&gt;Pacific-Basin Finance Journal&lt;/secondary-title&gt;&lt;/titles&gt;&lt;periodical&gt;&lt;full-title&gt;Pacific-Basin Finance Journal&lt;/full-title&gt;&lt;/periodical&gt;&lt;pages&gt;275-293&lt;/pages&gt;&lt;volume&gt;6&lt;/volume&gt;&lt;number&gt;3–4&lt;/number&gt;&lt;keywords&gt;&lt;keyword&gt;Book-to-market equity&lt;/keyword&gt;&lt;keyword&gt;Firm size&lt;/keyword&gt;&lt;keyword&gt;Pacific-Basin emerging markets&lt;/keyword&gt;&lt;keyword&gt;Cross-section of expected stock returns&lt;/keyword&gt;&lt;keyword&gt;Turn-of-the-year effect&lt;/keyword&gt;&lt;/keywords&gt;&lt;dates&gt;&lt;year&gt;1998&lt;/year&gt;&lt;pub-dates&gt;&lt;date&gt;8//&lt;/date&gt;&lt;/pub-dates&gt;&lt;/dates&gt;&lt;isbn&gt;0927-538X&lt;/isbn&gt;&lt;urls&gt;&lt;related-urls&gt;&lt;url&gt;http://www.sciencedirect.com/science/article/pii/S0927538X98000134&lt;/url&gt;&lt;/related-urls&gt;&lt;/urls&gt;&lt;electronic-resource-num&gt;http://dx.doi.org/10.1016/S0927-538X(98)00013-4&lt;/electronic-resource-num&gt;&lt;/record&gt;&lt;/Cite&gt;&lt;/EndNote&gt;</w:instrText>
      </w:r>
      <w:r w:rsidR="00B83D23">
        <w:fldChar w:fldCharType="separate"/>
      </w:r>
      <w:r w:rsidR="004036C2">
        <w:rPr>
          <w:noProof/>
        </w:rPr>
        <w:t>[10]</w:t>
      </w:r>
      <w:r w:rsidR="00B83D23">
        <w:fldChar w:fldCharType="end"/>
      </w:r>
      <w:r w:rsidR="00B83D23">
        <w:t xml:space="preserve"> </w:t>
      </w:r>
      <w:r w:rsidR="00FF2892" w:rsidRPr="00C616E6">
        <w:t xml:space="preserve">also study the value premium in Thailand and other Asian countries; Hong Kong, Korea, Malaysia, and Taiwan over the period of 1977 to 1993 and find that there is no positive relationship between the portfolio returns and B/M ratio in Thailand during the period of 1984 to 1993. </w:t>
      </w:r>
      <w:r w:rsidR="003217A6">
        <w:fldChar w:fldCharType="begin"/>
      </w:r>
      <w:r w:rsidR="004036C2">
        <w:instrText xml:space="preserve"> ADDIN EN.CITE &lt;EndNote&gt;&lt;Cite&gt;&lt;Author&gt;Ding&lt;/Author&gt;&lt;Year&gt;2005&lt;/Year&gt;&lt;RecNum&gt;29&lt;/RecNum&gt;&lt;DisplayText&gt;[12]&lt;/DisplayText&gt;&lt;record&gt;&lt;rec-number&gt;29&lt;/rec-number&gt;&lt;foreign-keys&gt;&lt;key app="EN" db-id="r2etwrpv9zvzp3ezvrip02pxxdxa2wesx5fs"&gt;29&lt;/key&gt;&lt;/foreign-keys&gt;&lt;ref-type name="Journal Article"&gt;17&lt;/ref-type&gt;&lt;contributors&gt;&lt;authors&gt;&lt;author&gt;Ding, David K.&lt;/author&gt;&lt;author&gt;Chua, Jia Leng&lt;/author&gt;&lt;author&gt;Fetherston, Thomas A.&lt;/author&gt;&lt;/authors&gt;&lt;/contributors&gt;&lt;titles&gt;&lt;title&gt;The performance of value and growth portfolios in East Asia before the Asian financial crisis&lt;/title&gt;&lt;secondary-title&gt;Pacific-Basin Finance Journal&lt;/secondary-title&gt;&lt;/titles&gt;&lt;periodical&gt;&lt;full-title&gt;Pacific-Basin Finance Journal&lt;/full-title&gt;&lt;/periodical&gt;&lt;pages&gt;185-199&lt;/pages&gt;&lt;volume&gt;13&lt;/volume&gt;&lt;number&gt;2&lt;/number&gt;&lt;keywords&gt;&lt;keyword&gt;Value and growth portfolios&lt;/keyword&gt;&lt;keyword&gt;East Asia&lt;/keyword&gt;&lt;keyword&gt;Asian financial crisis&lt;/keyword&gt;&lt;/keywords&gt;&lt;dates&gt;&lt;year&gt;2005&lt;/year&gt;&lt;pub-dates&gt;&lt;date&gt;3//&lt;/date&gt;&lt;/pub-dates&gt;&lt;/dates&gt;&lt;isbn&gt;0927-538X&lt;/isbn&gt;&lt;urls&gt;&lt;related-urls&gt;&lt;url&gt;http://www.sciencedirect.com/science/article/pii/S0927538X0400040X&lt;/url&gt;&lt;/related-urls&gt;&lt;/urls&gt;&lt;electronic-resource-num&gt;http://dx.doi.org/10.1016/j.pacfin.2004.07.001&lt;/electronic-resource-num&gt;&lt;/record&gt;&lt;/Cite&gt;&lt;/EndNote&gt;</w:instrText>
      </w:r>
      <w:r w:rsidR="003217A6">
        <w:fldChar w:fldCharType="separate"/>
      </w:r>
      <w:r w:rsidR="004036C2">
        <w:rPr>
          <w:noProof/>
        </w:rPr>
        <w:t>[12]</w:t>
      </w:r>
      <w:r w:rsidR="003217A6">
        <w:fldChar w:fldCharType="end"/>
      </w:r>
      <w:r w:rsidR="003217A6">
        <w:t xml:space="preserve"> </w:t>
      </w:r>
      <w:proofErr w:type="gramStart"/>
      <w:r w:rsidR="00FF2892" w:rsidRPr="00C616E6">
        <w:t>also</w:t>
      </w:r>
      <w:proofErr w:type="gramEnd"/>
      <w:r w:rsidR="00FF2892" w:rsidRPr="00C616E6">
        <w:t xml:space="preserve"> investigate the Asian market before the Asian </w:t>
      </w:r>
      <w:r w:rsidR="00FF2892" w:rsidRPr="00C616E6">
        <w:lastRenderedPageBreak/>
        <w:t>financial crisis and find that value premium is significant for, Japan, Malaysia, Hong Kong, and Singapore and largely insignificant for Indonesia and Taiwan while it is negative for Thailand. These findings are also consistent with findings of</w:t>
      </w:r>
      <w:r w:rsidR="00780B5E">
        <w:t xml:space="preserve"> </w:t>
      </w:r>
      <w:r w:rsidR="006C02B3">
        <w:fldChar w:fldCharType="begin"/>
      </w:r>
      <w:r w:rsidR="004036C2">
        <w:instrText xml:space="preserve"> ADDIN EN.CITE &lt;EndNote&gt;&lt;Cite&gt;&lt;Author&gt;Chui&lt;/Author&gt;&lt;Year&gt;1998&lt;/Year&gt;&lt;RecNum&gt;27&lt;/RecNum&gt;&lt;DisplayText&gt;[10]&lt;/DisplayText&gt;&lt;record&gt;&lt;rec-number&gt;27&lt;/rec-number&gt;&lt;foreign-keys&gt;&lt;key app="EN" db-id="r2etwrpv9zvzp3ezvrip02pxxdxa2wesx5fs"&gt;27&lt;/key&gt;&lt;/foreign-keys&gt;&lt;ref-type name="Journal Article"&gt;17&lt;/ref-type&gt;&lt;contributors&gt;&lt;authors&gt;&lt;author&gt;Chui, Andy C. W.&lt;/author&gt;&lt;author&gt;Wei, K. C. John&lt;/author&gt;&lt;/authors&gt;&lt;/contributors&gt;&lt;titles&gt;&lt;title&gt;Book-to-market, firm size, and the turn-of-the-year effect: Evidence from Pacific-Basin emerging markets&lt;/title&gt;&lt;secondary-title&gt;Pacific-Basin Finance Journal&lt;/secondary-title&gt;&lt;/titles&gt;&lt;periodical&gt;&lt;full-title&gt;Pacific-Basin Finance Journal&lt;/full-title&gt;&lt;/periodical&gt;&lt;pages&gt;275-293&lt;/pages&gt;&lt;volume&gt;6&lt;/volume&gt;&lt;number&gt;3–4&lt;/number&gt;&lt;keywords&gt;&lt;keyword&gt;Book-to-market equity&lt;/keyword&gt;&lt;keyword&gt;Firm size&lt;/keyword&gt;&lt;keyword&gt;Pacific-Basin emerging markets&lt;/keyword&gt;&lt;keyword&gt;Cross-section of expected stock returns&lt;/keyword&gt;&lt;keyword&gt;Turn-of-the-year effect&lt;/keyword&gt;&lt;/keywords&gt;&lt;dates&gt;&lt;year&gt;1998&lt;/year&gt;&lt;pub-dates&gt;&lt;date&gt;8//&lt;/date&gt;&lt;/pub-dates&gt;&lt;/dates&gt;&lt;isbn&gt;0927-538X&lt;/isbn&gt;&lt;urls&gt;&lt;related-urls&gt;&lt;url&gt;http://www.sciencedirect.com/science/article/pii/S0927538X98000134&lt;/url&gt;&lt;/related-urls&gt;&lt;/urls&gt;&lt;electronic-resource-num&gt;http://dx.doi.org/10.1016/S0927-538X(98)00013-4&lt;/electronic-resource-num&gt;&lt;/record&gt;&lt;/Cite&gt;&lt;/EndNote&gt;</w:instrText>
      </w:r>
      <w:r w:rsidR="006C02B3">
        <w:fldChar w:fldCharType="separate"/>
      </w:r>
      <w:r w:rsidR="004036C2">
        <w:rPr>
          <w:noProof/>
        </w:rPr>
        <w:t>[10]</w:t>
      </w:r>
      <w:r w:rsidR="006C02B3">
        <w:fldChar w:fldCharType="end"/>
      </w:r>
      <w:r w:rsidR="006C02B3">
        <w:t xml:space="preserve">. </w:t>
      </w:r>
      <w:r w:rsidR="003217A6">
        <w:fldChar w:fldCharType="begin"/>
      </w:r>
      <w:r w:rsidR="004036C2">
        <w:instrText xml:space="preserve"> ADDIN EN.CITE &lt;EndNote&gt;&lt;Cite&gt;&lt;Author&gt;Ding&lt;/Author&gt;&lt;Year&gt;2005&lt;/Year&gt;&lt;RecNum&gt;29&lt;/RecNum&gt;&lt;DisplayText&gt;[12]&lt;/DisplayText&gt;&lt;record&gt;&lt;rec-number&gt;29&lt;/rec-number&gt;&lt;foreign-keys&gt;&lt;key app="EN" db-id="r2etwrpv9zvzp3ezvrip02pxxdxa2wesx5fs"&gt;29&lt;/key&gt;&lt;/foreign-keys&gt;&lt;ref-type name="Journal Article"&gt;17&lt;/ref-type&gt;&lt;contributors&gt;&lt;authors&gt;&lt;author&gt;Ding, David K.&lt;/author&gt;&lt;author&gt;Chua, Jia Leng&lt;/author&gt;&lt;author&gt;Fetherston, Thomas A.&lt;/author&gt;&lt;/authors&gt;&lt;/contributors&gt;&lt;titles&gt;&lt;title&gt;The performance of value and growth portfolios in East Asia before the Asian financial crisis&lt;/title&gt;&lt;secondary-title&gt;Pacific-Basin Finance Journal&lt;/secondary-title&gt;&lt;/titles&gt;&lt;periodical&gt;&lt;full-title&gt;Pacific-Basin Finance Journal&lt;/full-title&gt;&lt;/periodical&gt;&lt;pages&gt;185-199&lt;/pages&gt;&lt;volume&gt;13&lt;/volume&gt;&lt;number&gt;2&lt;/number&gt;&lt;keywords&gt;&lt;keyword&gt;Value and growth portfolios&lt;/keyword&gt;&lt;keyword&gt;East Asia&lt;/keyword&gt;&lt;keyword&gt;Asian financial crisis&lt;/keyword&gt;&lt;/keywords&gt;&lt;dates&gt;&lt;year&gt;2005&lt;/year&gt;&lt;pub-dates&gt;&lt;date&gt;3//&lt;/date&gt;&lt;/pub-dates&gt;&lt;/dates&gt;&lt;isbn&gt;0927-538X&lt;/isbn&gt;&lt;urls&gt;&lt;related-urls&gt;&lt;url&gt;http://www.sciencedirect.com/science/article/pii/S0927538X0400040X&lt;/url&gt;&lt;/related-urls&gt;&lt;/urls&gt;&lt;electronic-resource-num&gt;http://dx.doi.org/10.1016/j.pacfin.2004.07.001&lt;/electronic-resource-num&gt;&lt;/record&gt;&lt;/Cite&gt;&lt;/EndNote&gt;</w:instrText>
      </w:r>
      <w:r w:rsidR="003217A6">
        <w:fldChar w:fldCharType="separate"/>
      </w:r>
      <w:r w:rsidR="004036C2">
        <w:rPr>
          <w:noProof/>
        </w:rPr>
        <w:t>[12]</w:t>
      </w:r>
      <w:r w:rsidR="003217A6">
        <w:fldChar w:fldCharType="end"/>
      </w:r>
      <w:r w:rsidR="00AA2B25">
        <w:t xml:space="preserve"> </w:t>
      </w:r>
      <w:proofErr w:type="gramStart"/>
      <w:r w:rsidR="00FF2892" w:rsidRPr="00C616E6">
        <w:t>argue</w:t>
      </w:r>
      <w:proofErr w:type="gramEnd"/>
      <w:r w:rsidR="00FF2892" w:rsidRPr="00C616E6">
        <w:t xml:space="preserve"> that in Thailand, growth stocks with a large firm size generate higher average returns.</w:t>
      </w:r>
      <w:r w:rsidR="00AA2B25">
        <w:t xml:space="preserve"> </w:t>
      </w:r>
      <w:r w:rsidR="00AA2B25">
        <w:fldChar w:fldCharType="begin"/>
      </w:r>
      <w:r w:rsidR="004036C2">
        <w:instrText xml:space="preserve"> ADDIN EN.CITE &lt;EndNote&gt;&lt;Cite&gt;&lt;Author&gt;Fama&lt;/Author&gt;&lt;Year&gt;2012&lt;/Year&gt;&lt;RecNum&gt;26&lt;/RecNum&gt;&lt;DisplayText&gt;[9]&lt;/DisplayText&gt;&lt;record&gt;&lt;rec-number&gt;26&lt;/rec-number&gt;&lt;foreign-keys&gt;&lt;key app="EN" db-id="r2etwrpv9zvzp3ezvrip02pxxdxa2wesx5fs"&gt;26&lt;/key&gt;&lt;/foreign-keys&gt;&lt;ref-type name="Journal Article"&gt;17&lt;/ref-type&gt;&lt;contributors&gt;&lt;authors&gt;&lt;author&gt;Fama, Eugene F.&lt;/author&gt;&lt;author&gt;French, Kenneth R.&lt;/author&gt;&lt;/authors&gt;&lt;/contributors&gt;&lt;titles&gt;&lt;title&gt;Size, value, and momentum in international stock returns&lt;/title&gt;&lt;secondary-title&gt;Journal of Financial Economics&lt;/secondary-title&gt;&lt;/titles&gt;&lt;periodical&gt;&lt;full-title&gt;Journal of Financial Economics&lt;/full-title&gt;&lt;/periodical&gt;&lt;pages&gt;457-472&lt;/pages&gt;&lt;volume&gt;105&lt;/volume&gt;&lt;number&gt;3&lt;/number&gt;&lt;keywords&gt;&lt;keyword&gt;Value premium&lt;/keyword&gt;&lt;keyword&gt;Momentum&lt;/keyword&gt;&lt;keyword&gt;Three-factor model&lt;/keyword&gt;&lt;keyword&gt;Four-factor model&lt;/keyword&gt;&lt;/keywords&gt;&lt;dates&gt;&lt;year&gt;2012&lt;/year&gt;&lt;pub-dates&gt;&lt;date&gt;9//&lt;/date&gt;&lt;/pub-dates&gt;&lt;/dates&gt;&lt;isbn&gt;0304-405X&lt;/isbn&gt;&lt;urls&gt;&lt;related-urls&gt;&lt;url&gt;http://www.sciencedirect.com/science/article/pii/S0304405X12000931&lt;/url&gt;&lt;/related-urls&gt;&lt;/urls&gt;&lt;electronic-resource-num&gt;http://dx.doi.org/10.1016/j.jfineco.2012.05.011&lt;/electronic-resource-num&gt;&lt;/record&gt;&lt;/Cite&gt;&lt;/EndNote&gt;</w:instrText>
      </w:r>
      <w:r w:rsidR="00AA2B25">
        <w:fldChar w:fldCharType="separate"/>
      </w:r>
      <w:r w:rsidR="004036C2">
        <w:rPr>
          <w:noProof/>
        </w:rPr>
        <w:t>[9]</w:t>
      </w:r>
      <w:r w:rsidR="00AA2B25">
        <w:fldChar w:fldCharType="end"/>
      </w:r>
      <w:r w:rsidR="00AA2B25">
        <w:t xml:space="preserve"> </w:t>
      </w:r>
      <w:proofErr w:type="gramStart"/>
      <w:r w:rsidR="00FF2892" w:rsidRPr="00C616E6">
        <w:t>study</w:t>
      </w:r>
      <w:proofErr w:type="gramEnd"/>
      <w:r w:rsidR="00FF2892" w:rsidRPr="00C616E6">
        <w:t xml:space="preserve"> value and growth stocks in four regions namely; North America, Europe, Japan, and Asia Pacific, and find that on average there is value premium for all the regions studied. </w:t>
      </w:r>
      <w:r w:rsidR="00AA2B25">
        <w:fldChar w:fldCharType="begin"/>
      </w:r>
      <w:r w:rsidR="004036C2">
        <w:instrText xml:space="preserve"> ADDIN EN.CITE &lt;EndNote&gt;&lt;Cite&gt;&lt;Author&gt;Fama&lt;/Author&gt;&lt;Year&gt;2012&lt;/Year&gt;&lt;RecNum&gt;26&lt;/RecNum&gt;&lt;DisplayText&gt;[9]&lt;/DisplayText&gt;&lt;record&gt;&lt;rec-number&gt;26&lt;/rec-number&gt;&lt;foreign-keys&gt;&lt;key app="EN" db-id="r2etwrpv9zvzp3ezvrip02pxxdxa2wesx5fs"&gt;26&lt;/key&gt;&lt;/foreign-keys&gt;&lt;ref-type name="Journal Article"&gt;17&lt;/ref-type&gt;&lt;contributors&gt;&lt;authors&gt;&lt;author&gt;Fama, Eugene F.&lt;/author&gt;&lt;author&gt;French, Kenneth R.&lt;/author&gt;&lt;/authors&gt;&lt;/contributors&gt;&lt;titles&gt;&lt;title&gt;Size, value, and momentum in international stock returns&lt;/title&gt;&lt;secondary-title&gt;Journal of Financial Economics&lt;/secondary-title&gt;&lt;/titles&gt;&lt;periodical&gt;&lt;full-title&gt;Journal of Financial Economics&lt;/full-title&gt;&lt;/periodical&gt;&lt;pages&gt;457-472&lt;/pages&gt;&lt;volume&gt;105&lt;/volume&gt;&lt;number&gt;3&lt;/number&gt;&lt;keywords&gt;&lt;keyword&gt;Value premium&lt;/keyword&gt;&lt;keyword&gt;Momentum&lt;/keyword&gt;&lt;keyword&gt;Three-factor model&lt;/keyword&gt;&lt;keyword&gt;Four-factor model&lt;/keyword&gt;&lt;/keywords&gt;&lt;dates&gt;&lt;year&gt;2012&lt;/year&gt;&lt;pub-dates&gt;&lt;date&gt;9//&lt;/date&gt;&lt;/pub-dates&gt;&lt;/dates&gt;&lt;isbn&gt;0304-405X&lt;/isbn&gt;&lt;urls&gt;&lt;related-urls&gt;&lt;url&gt;http://www.sciencedirect.com/science/article/pii/S0304405X12000931&lt;/url&gt;&lt;/related-urls&gt;&lt;/urls&gt;&lt;electronic-resource-num&gt;http://dx.doi.org/10.1016/j.jfineco.2012.05.011&lt;/electronic-resource-num&gt;&lt;/record&gt;&lt;/Cite&gt;&lt;/EndNote&gt;</w:instrText>
      </w:r>
      <w:r w:rsidR="00AA2B25">
        <w:fldChar w:fldCharType="separate"/>
      </w:r>
      <w:r w:rsidR="004036C2">
        <w:rPr>
          <w:noProof/>
        </w:rPr>
        <w:t>[9]</w:t>
      </w:r>
      <w:r w:rsidR="00AA2B25">
        <w:fldChar w:fldCharType="end"/>
      </w:r>
      <w:r w:rsidR="00AA2B25">
        <w:t xml:space="preserve"> </w:t>
      </w:r>
      <w:proofErr w:type="gramStart"/>
      <w:r w:rsidR="00FF2892" w:rsidRPr="00C616E6">
        <w:t>further</w:t>
      </w:r>
      <w:proofErr w:type="gramEnd"/>
      <w:r w:rsidR="00FF2892" w:rsidRPr="00C616E6">
        <w:t xml:space="preserve"> argue that value premium is greater for small stocks.</w:t>
      </w:r>
    </w:p>
    <w:p w:rsidR="00FF2892" w:rsidRPr="00FF2892" w:rsidRDefault="004036C2" w:rsidP="004036C2">
      <w:pPr>
        <w:pStyle w:val="Heading1"/>
        <w:spacing w:line="240" w:lineRule="auto"/>
        <w:rPr>
          <w:rFonts w:asciiTheme="minorHAnsi" w:hAnsiTheme="minorHAnsi" w:cstheme="minorHAnsi"/>
          <w:sz w:val="22"/>
          <w:szCs w:val="22"/>
        </w:rPr>
      </w:pPr>
      <w:r>
        <w:rPr>
          <w:rFonts w:asciiTheme="minorHAnsi" w:hAnsiTheme="minorHAnsi" w:cstheme="minorHAnsi"/>
          <w:sz w:val="22"/>
          <w:szCs w:val="22"/>
        </w:rPr>
        <w:t>3</w:t>
      </w:r>
      <w:r w:rsidR="00FF2892" w:rsidRPr="00FF2892">
        <w:rPr>
          <w:rFonts w:asciiTheme="minorHAnsi" w:hAnsiTheme="minorHAnsi" w:cstheme="minorHAnsi"/>
          <w:sz w:val="22"/>
          <w:szCs w:val="22"/>
        </w:rPr>
        <w:t xml:space="preserve"> Portfolio formation</w:t>
      </w:r>
    </w:p>
    <w:p w:rsidR="00FF2892" w:rsidRPr="00C616E6" w:rsidRDefault="00FF2892" w:rsidP="004036C2">
      <w:pPr>
        <w:spacing w:before="120" w:after="120" w:line="240" w:lineRule="auto"/>
        <w:jc w:val="both"/>
      </w:pPr>
      <w:r w:rsidRPr="00C616E6">
        <w:t xml:space="preserve">In order to study size effect and value premium in Thailand, a 15 years sample period from March 1999 to February 2014 is covered. All data are extracted from Stock Exchange of Thailand database (SET Smart), accessed from and available with the Business Research Center at the </w:t>
      </w:r>
      <w:proofErr w:type="spellStart"/>
      <w:r w:rsidRPr="00C616E6">
        <w:t>Thammasat</w:t>
      </w:r>
      <w:proofErr w:type="spellEnd"/>
      <w:r w:rsidRPr="00C616E6">
        <w:t xml:space="preserve"> University. SET Smart database contains historical trading prices and indices, listed companies, key statistics information, and information and news. </w:t>
      </w:r>
      <w:r w:rsidR="00763C74">
        <w:fldChar w:fldCharType="begin"/>
      </w:r>
      <w:r w:rsidR="004036C2">
        <w:instrText xml:space="preserve"> ADDIN EN.CITE &lt;EndNote&gt;&lt;Cite&gt;&lt;Author&gt;Yen&lt;/Author&gt;&lt;Year&gt;2004&lt;/Year&gt;&lt;RecNum&gt;31&lt;/RecNum&gt;&lt;DisplayText&gt;[14]&lt;/DisplayText&gt;&lt;record&gt;&lt;rec-number&gt;31&lt;/rec-number&gt;&lt;foreign-keys&gt;&lt;key app="EN" db-id="r2etwrpv9zvzp3ezvrip02pxxdxa2wesx5fs"&gt;31&lt;/key&gt;&lt;/foreign-keys&gt;&lt;ref-type name="Journal Article"&gt;17&lt;/ref-type&gt;&lt;contributors&gt;&lt;authors&gt;&lt;author&gt;Yen, Jenn Yaw&lt;/author&gt;&lt;author&gt;Sun, Qian&lt;/author&gt;&lt;author&gt;Yan, Yuxing&lt;/author&gt;&lt;/authors&gt;&lt;/contributors&gt;&lt;titles&gt;&lt;title&gt;Value versus growth stocks in Singapore&lt;/title&gt;&lt;secondary-title&gt;Journal of Multinational Financial Management&lt;/secondary-title&gt;&lt;/titles&gt;&lt;periodical&gt;&lt;full-title&gt;Journal of Multinational Financial Management&lt;/full-title&gt;&lt;/periodical&gt;&lt;pages&gt;19-34&lt;/pages&gt;&lt;volume&gt;14&lt;/volume&gt;&lt;number&gt;1&lt;/number&gt;&lt;keywords&gt;&lt;keyword&gt;Value premium&lt;/keyword&gt;&lt;keyword&gt;Over-reaction&lt;/keyword&gt;&lt;keyword&gt;Mean reversion&lt;/keyword&gt;&lt;/keywords&gt;&lt;dates&gt;&lt;year&gt;2004&lt;/year&gt;&lt;pub-dates&gt;&lt;date&gt;2//&lt;/date&gt;&lt;/pub-dates&gt;&lt;/dates&gt;&lt;isbn&gt;1042-444X&lt;/isbn&gt;&lt;urls&gt;&lt;related-urls&gt;&lt;url&gt;http://www.sciencedirect.com/science/article/pii/S1042444X03000367&lt;/url&gt;&lt;/related-urls&gt;&lt;/urls&gt;&lt;electronic-resource-num&gt;http://dx.doi.org/10.1016/S1042-444X(03)00036-7&lt;/electronic-resource-num&gt;&lt;/record&gt;&lt;/Cite&gt;&lt;/EndNote&gt;</w:instrText>
      </w:r>
      <w:r w:rsidR="00763C74">
        <w:fldChar w:fldCharType="separate"/>
      </w:r>
      <w:r w:rsidR="004036C2">
        <w:rPr>
          <w:noProof/>
        </w:rPr>
        <w:t>[14]</w:t>
      </w:r>
      <w:r w:rsidR="00763C74">
        <w:fldChar w:fldCharType="end"/>
      </w:r>
      <w:r w:rsidR="00763C74">
        <w:t xml:space="preserve"> </w:t>
      </w:r>
      <w:r w:rsidRPr="00C616E6">
        <w:t xml:space="preserve">argue that some part of the value premium maybe due to size effect because value stocks tend to be small in size. In order to eliminate this effect they use two-dimension sort in constructing of portfolios which is also used by </w:t>
      </w:r>
      <w:r w:rsidR="00C13BE7">
        <w:fldChar w:fldCharType="begin"/>
      </w:r>
      <w:r w:rsidR="004036C2">
        <w:instrText xml:space="preserve"> ADDIN EN.CITE &lt;EndNote&gt;&lt;Cite&gt;&lt;Author&gt;Basu&lt;/Author&gt;&lt;Year&gt;1983&lt;/Year&gt;&lt;RecNum&gt;32&lt;/RecNum&gt;&lt;DisplayText&gt;[15]&lt;/DisplayText&gt;&lt;record&gt;&lt;rec-number&gt;32&lt;/rec-number&gt;&lt;foreign-keys&gt;&lt;key app="EN" db-id="r2etwrpv9zvzp3ezvrip02pxxdxa2wesx5fs"&gt;32&lt;/key&gt;&lt;/foreign-keys&gt;&lt;ref-type name="Journal Article"&gt;17&lt;/ref-type&gt;&lt;contributors&gt;&lt;authors&gt;&lt;author&gt;Basu, Sanjoy&lt;/author&gt;&lt;/authors&gt;&lt;/contributors&gt;&lt;titles&gt;&lt;title&gt;The relationship between earnings&amp;apos; yield, market value and return for NYSE common stocks: Further evidence&lt;/title&gt;&lt;secondary-title&gt;Journal of Financial Economics&lt;/secondary-title&gt;&lt;/titles&gt;&lt;periodical&gt;&lt;full-title&gt;Journal of Financial Economics&lt;/full-title&gt;&lt;/periodical&gt;&lt;pages&gt;129-156&lt;/pages&gt;&lt;volume&gt;12&lt;/volume&gt;&lt;number&gt;1&lt;/number&gt;&lt;dates&gt;&lt;year&gt;1983&lt;/year&gt;&lt;pub-dates&gt;&lt;date&gt;6//&lt;/date&gt;&lt;/pub-dates&gt;&lt;/dates&gt;&lt;isbn&gt;0304-405X&lt;/isbn&gt;&lt;urls&gt;&lt;related-urls&gt;&lt;url&gt;http://www.sciencedirect.com/science/article/pii/0304405X83900314&lt;/url&gt;&lt;/related-urls&gt;&lt;/urls&gt;&lt;electronic-resource-num&gt;http://dx.doi.org/10.1016/0304-405X(83)90031-4&lt;/electronic-resource-num&gt;&lt;/record&gt;&lt;/Cite&gt;&lt;/EndNote&gt;</w:instrText>
      </w:r>
      <w:r w:rsidR="00C13BE7">
        <w:fldChar w:fldCharType="separate"/>
      </w:r>
      <w:r w:rsidR="004036C2">
        <w:rPr>
          <w:noProof/>
        </w:rPr>
        <w:t>[15]</w:t>
      </w:r>
      <w:r w:rsidR="00C13BE7">
        <w:fldChar w:fldCharType="end"/>
      </w:r>
      <w:r w:rsidR="00C13BE7">
        <w:t xml:space="preserve"> and </w:t>
      </w:r>
      <w:r w:rsidR="00C13BE7">
        <w:fldChar w:fldCharType="begin"/>
      </w:r>
      <w:r w:rsidR="004036C2">
        <w:instrText xml:space="preserve"> ADDIN EN.CITE &lt;EndNote&gt;&lt;Cite&gt;&lt;Author&gt;Fama&lt;/Author&gt;&lt;Year&gt;2012&lt;/Year&gt;&lt;RecNum&gt;26&lt;/RecNum&gt;&lt;DisplayText&gt;[9]&lt;/DisplayText&gt;&lt;record&gt;&lt;rec-number&gt;26&lt;/rec-number&gt;&lt;foreign-keys&gt;&lt;key app="EN" db-id="r2etwrpv9zvzp3ezvrip02pxxdxa2wesx5fs"&gt;26&lt;/key&gt;&lt;/foreign-keys&gt;&lt;ref-type name="Journal Article"&gt;17&lt;/ref-type&gt;&lt;contributors&gt;&lt;authors&gt;&lt;author&gt;Fama, Eugene F.&lt;/author&gt;&lt;author&gt;French, Kenneth R.&lt;/author&gt;&lt;/authors&gt;&lt;/contributors&gt;&lt;titles&gt;&lt;title&gt;Size, value, and momentum in international stock returns&lt;/title&gt;&lt;secondary-title&gt;Journal of Financial Economics&lt;/secondary-title&gt;&lt;/titles&gt;&lt;periodical&gt;&lt;full-title&gt;Journal of Financial Economics&lt;/full-title&gt;&lt;/periodical&gt;&lt;pages&gt;457-472&lt;/pages&gt;&lt;volume&gt;105&lt;/volume&gt;&lt;number&gt;3&lt;/number&gt;&lt;keywords&gt;&lt;keyword&gt;Value premium&lt;/keyword&gt;&lt;keyword&gt;Momentum&lt;/keyword&gt;&lt;keyword&gt;Three-factor model&lt;/keyword&gt;&lt;keyword&gt;Four-factor model&lt;/keyword&gt;&lt;/keywords&gt;&lt;dates&gt;&lt;year&gt;2012&lt;/year&gt;&lt;pub-dates&gt;&lt;date&gt;9//&lt;/date&gt;&lt;/pub-dates&gt;&lt;/dates&gt;&lt;isbn&gt;0304-405X&lt;/isbn&gt;&lt;urls&gt;&lt;related-urls&gt;&lt;url&gt;http://www.sciencedirect.com/science/article/pii/S0304405X12000931&lt;/url&gt;&lt;/related-urls&gt;&lt;/urls&gt;&lt;electronic-resource-num&gt;http://dx.doi.org/10.1016/j.jfineco.2012.05.011&lt;/electronic-resource-num&gt;&lt;/record&gt;&lt;/Cite&gt;&lt;/EndNote&gt;</w:instrText>
      </w:r>
      <w:r w:rsidR="00C13BE7">
        <w:fldChar w:fldCharType="separate"/>
      </w:r>
      <w:r w:rsidR="004036C2">
        <w:rPr>
          <w:noProof/>
        </w:rPr>
        <w:t>[9]</w:t>
      </w:r>
      <w:r w:rsidR="00C13BE7">
        <w:fldChar w:fldCharType="end"/>
      </w:r>
      <w:r w:rsidR="00C13BE7">
        <w:t xml:space="preserve">. </w:t>
      </w:r>
      <w:r w:rsidRPr="00C616E6">
        <w:t xml:space="preserve">In this paper we also use the same method for portfolio formation. Stocks are sorted on both size and </w:t>
      </w:r>
      <w:r w:rsidRPr="00C616E6">
        <w:rPr>
          <w:i/>
          <w:iCs/>
        </w:rPr>
        <w:t>P/B</w:t>
      </w:r>
      <w:r w:rsidRPr="00C616E6">
        <w:t>. On size-P/B sort, portfolios are constructed at the beginning of February of each year and then evaluated for the next 12 months on monthly basis. For a stock to be included in these portfolios, it should have financial data at the portfolios construction stage and then should be traded at least for the next 1 year. If any stock does not satisfy these conditions, it is eliminated from the sample. Furthermore, some scholars argue that financial companies have different financial structure so they remove the financial companies from their sample to prevent bias in the final result of value premium</w:t>
      </w:r>
      <w:r w:rsidR="00C13BE7">
        <w:t xml:space="preserve"> </w:t>
      </w:r>
      <w:r w:rsidR="00C13BE7">
        <w:fldChar w:fldCharType="begin"/>
      </w:r>
      <w:r w:rsidR="004036C2">
        <w:instrText xml:space="preserve"> ADDIN EN.CITE &lt;EndNote&gt;&lt;Cite&gt;&lt;Author&gt;Yen&lt;/Author&gt;&lt;Year&gt;2004&lt;/Year&gt;&lt;RecNum&gt;31&lt;/RecNum&gt;&lt;DisplayText&gt;[14]&lt;/DisplayText&gt;&lt;record&gt;&lt;rec-number&gt;31&lt;/rec-number&gt;&lt;foreign-keys&gt;&lt;key app="EN" db-id="r2etwrpv9zvzp3ezvrip02pxxdxa2wesx5fs"&gt;31&lt;/key&gt;&lt;/foreign-keys&gt;&lt;ref-type name="Journal Article"&gt;17&lt;/ref-type&gt;&lt;contributors&gt;&lt;authors&gt;&lt;author&gt;Yen, Jenn Yaw&lt;/author&gt;&lt;author&gt;Sun, Qian&lt;/author&gt;&lt;author&gt;Yan, Yuxing&lt;/author&gt;&lt;/authors&gt;&lt;/contributors&gt;&lt;titles&gt;&lt;title&gt;Value versus growth stocks in Singapore&lt;/title&gt;&lt;secondary-title&gt;Journal of Multinational Financial Management&lt;/secondary-title&gt;&lt;/titles&gt;&lt;periodical&gt;&lt;full-title&gt;Journal of Multinational Financial Management&lt;/full-title&gt;&lt;/periodical&gt;&lt;pages&gt;19-34&lt;/pages&gt;&lt;volume&gt;14&lt;/volume&gt;&lt;number&gt;1&lt;/number&gt;&lt;keywords&gt;&lt;keyword&gt;Value premium&lt;/keyword&gt;&lt;keyword&gt;Over-reaction&lt;/keyword&gt;&lt;keyword&gt;Mean reversion&lt;/keyword&gt;&lt;/keywords&gt;&lt;dates&gt;&lt;year&gt;2004&lt;/year&gt;&lt;pub-dates&gt;&lt;date&gt;2//&lt;/date&gt;&lt;/pub-dates&gt;&lt;/dates&gt;&lt;isbn&gt;1042-444X&lt;/isbn&gt;&lt;urls&gt;&lt;related-urls&gt;&lt;url&gt;http://www.sciencedirect.com/science/article/pii/S1042444X03000367&lt;/url&gt;&lt;/related-urls&gt;&lt;/urls&gt;&lt;electronic-resource-num&gt;http://dx.doi.org/10.1016/S1042-444X(03)00036-7&lt;/electronic-resource-num&gt;&lt;/record&gt;&lt;/Cite&gt;&lt;/EndNote&gt;</w:instrText>
      </w:r>
      <w:r w:rsidR="00C13BE7">
        <w:fldChar w:fldCharType="separate"/>
      </w:r>
      <w:r w:rsidR="004036C2">
        <w:rPr>
          <w:noProof/>
        </w:rPr>
        <w:t>[14]</w:t>
      </w:r>
      <w:r w:rsidR="00C13BE7">
        <w:fldChar w:fldCharType="end"/>
      </w:r>
      <w:r w:rsidR="00C13BE7">
        <w:t>.</w:t>
      </w:r>
      <w:r w:rsidR="009F7E91">
        <w:t xml:space="preserve"> </w:t>
      </w:r>
      <w:r w:rsidRPr="00C616E6">
        <w:t xml:space="preserve">However, </w:t>
      </w:r>
      <w:r w:rsidR="009F7E91">
        <w:fldChar w:fldCharType="begin"/>
      </w:r>
      <w:r w:rsidR="004036C2">
        <w:instrText xml:space="preserve"> ADDIN EN.CITE &lt;EndNote&gt;&lt;Cite&gt;&lt;Author&gt;Barber&lt;/Author&gt;&lt;Year&gt;1997&lt;/Year&gt;&lt;RecNum&gt;33&lt;/RecNum&gt;&lt;DisplayText&gt;[16]&lt;/DisplayText&gt;&lt;record&gt;&lt;rec-number&gt;33&lt;/rec-number&gt;&lt;foreign-keys&gt;&lt;key app="EN" db-id="r2etwrpv9zvzp3ezvrip02pxxdxa2wesx5fs"&gt;33&lt;/key&gt;&lt;/foreign-keys&gt;&lt;ref-type name="Journal Article"&gt;17&lt;/ref-type&gt;&lt;contributors&gt;&lt;authors&gt;&lt;author&gt;Barber, Brad M.&lt;/author&gt;&lt;author&gt;Lyon, John D.&lt;/author&gt;&lt;/authors&gt;&lt;/contributors&gt;&lt;titles&gt;&lt;title&gt;Detecting long-run abnormal stock returns: The empirical power and specification of test statistics&lt;/title&gt;&lt;secondary-title&gt;Journal of Financial Economics&lt;/secondary-title&gt;&lt;/titles&gt;&lt;periodical&gt;&lt;full-title&gt;Journal of Financial Economics&lt;/full-title&gt;&lt;/periodical&gt;&lt;pages&gt;341-372&lt;/pages&gt;&lt;volume&gt;43&lt;/volume&gt;&lt;number&gt;3&lt;/number&gt;&lt;keywords&gt;&lt;keyword&gt;Event studies&lt;/keyword&gt;&lt;keyword&gt;Firm size&lt;/keyword&gt;&lt;keyword&gt;Book-to-market ratios&lt;/keyword&gt;&lt;/keywords&gt;&lt;dates&gt;&lt;year&gt;1997&lt;/year&gt;&lt;pub-dates&gt;&lt;date&gt;3//&lt;/date&gt;&lt;/pub-dates&gt;&lt;/dates&gt;&lt;isbn&gt;0304-405X&lt;/isbn&gt;&lt;urls&gt;&lt;related-urls&gt;&lt;url&gt;http://www.sciencedirect.com/science/article/pii/S0304405X96008902&lt;/url&gt;&lt;/related-urls&gt;&lt;/urls&gt;&lt;electronic-resource-num&gt;http://dx.doi.org/10.1016/S0304-405X(96)00890-2&lt;/electronic-resource-num&gt;&lt;/record&gt;&lt;/Cite&gt;&lt;/EndNote&gt;</w:instrText>
      </w:r>
      <w:r w:rsidR="009F7E91">
        <w:fldChar w:fldCharType="separate"/>
      </w:r>
      <w:r w:rsidR="004036C2">
        <w:rPr>
          <w:noProof/>
        </w:rPr>
        <w:t>[16]</w:t>
      </w:r>
      <w:r w:rsidR="009F7E91">
        <w:fldChar w:fldCharType="end"/>
      </w:r>
      <w:r w:rsidR="009F7E91">
        <w:t xml:space="preserve"> </w:t>
      </w:r>
      <w:r w:rsidRPr="00C616E6">
        <w:t xml:space="preserve">compare two samples, one with financial companies and one without financial companies and they find that the general final result is not affected by adding financial companies into the sample. In this study financial companies are not excluded from the sample. </w:t>
      </w:r>
    </w:p>
    <w:p w:rsidR="00FF2892" w:rsidRPr="00FF2892" w:rsidRDefault="00FF2892" w:rsidP="004036C2">
      <w:pPr>
        <w:pStyle w:val="Heading2"/>
        <w:spacing w:before="240" w:line="240" w:lineRule="auto"/>
        <w:rPr>
          <w:rFonts w:asciiTheme="minorHAnsi" w:hAnsiTheme="minorHAnsi" w:cstheme="minorHAnsi"/>
          <w:sz w:val="22"/>
          <w:szCs w:val="22"/>
        </w:rPr>
      </w:pPr>
      <w:r w:rsidRPr="00FF2892">
        <w:rPr>
          <w:rFonts w:asciiTheme="minorHAnsi" w:hAnsiTheme="minorHAnsi" w:cstheme="minorHAnsi"/>
          <w:sz w:val="22"/>
          <w:szCs w:val="22"/>
        </w:rPr>
        <w:t>3.1 Portfolio construction on size-P/B</w:t>
      </w:r>
    </w:p>
    <w:p w:rsidR="00FF2892" w:rsidRPr="00C616E6" w:rsidRDefault="00FF2892" w:rsidP="004036C2">
      <w:pPr>
        <w:spacing w:before="120" w:after="120" w:line="240" w:lineRule="auto"/>
        <w:jc w:val="both"/>
      </w:pPr>
      <w:r w:rsidRPr="00C616E6">
        <w:t>At the end of February of each year, stocks are sorted based on their market capitalization in descending order. Month of February is used to be aligned with the result and announcing of the listed company in the stock exchange of Thailand. Stocks in the top 10% are considered as large stocks and stocks in bottom the 10% are considered as small stocks. Then, in each size class stocks are ranked based on their price-to-book ratio from highest to lowest. In each size category the top 30% of the companies with the highest P/B ratio are selected to form the size-adjusted growth stocks, and the bottoms 30% of the companies with lowest P/B ratio are selected to form the size-adjusted value stocks. The middle 40% are considered as neutral stocks. This is similar to the method employed by</w:t>
      </w:r>
      <w:r w:rsidR="004D7390">
        <w:t xml:space="preserve"> </w:t>
      </w:r>
      <w:r w:rsidR="004D7390">
        <w:fldChar w:fldCharType="begin"/>
      </w:r>
      <w:r w:rsidR="004036C2">
        <w:instrText xml:space="preserve"> ADDIN EN.CITE &lt;EndNote&gt;&lt;Cite&gt;&lt;Author&gt;Fama&lt;/Author&gt;&lt;Year&gt;2012&lt;/Year&gt;&lt;RecNum&gt;26&lt;/RecNum&gt;&lt;DisplayText&gt;[9]&lt;/DisplayText&gt;&lt;record&gt;&lt;rec-number&gt;26&lt;/rec-number&gt;&lt;foreign-keys&gt;&lt;key app="EN" db-id="r2etwrpv9zvzp3ezvrip02pxxdxa2wesx5fs"&gt;26&lt;/key&gt;&lt;/foreign-keys&gt;&lt;ref-type name="Journal Article"&gt;17&lt;/ref-type&gt;&lt;contributors&gt;&lt;authors&gt;&lt;author&gt;Fama, Eugene F.&lt;/author&gt;&lt;author&gt;French, Kenneth R.&lt;/author&gt;&lt;/authors&gt;&lt;/contributors&gt;&lt;titles&gt;&lt;title&gt;Size, value, and momentum in international stock returns&lt;/title&gt;&lt;secondary-title&gt;Journal of Financial Economics&lt;/secondary-title&gt;&lt;/titles&gt;&lt;periodical&gt;&lt;full-title&gt;Journal of Financial Economics&lt;/full-title&gt;&lt;/periodical&gt;&lt;pages&gt;457-472&lt;/pages&gt;&lt;volume&gt;105&lt;/volume&gt;&lt;number&gt;3&lt;/number&gt;&lt;keywords&gt;&lt;keyword&gt;Value premium&lt;/keyword&gt;&lt;keyword&gt;Momentum&lt;/keyword&gt;&lt;keyword&gt;Three-factor model&lt;/keyword&gt;&lt;keyword&gt;Four-factor model&lt;/keyword&gt;&lt;/keywords&gt;&lt;dates&gt;&lt;year&gt;2012&lt;/year&gt;&lt;pub-dates&gt;&lt;date&gt;9//&lt;/date&gt;&lt;/pub-dates&gt;&lt;/dates&gt;&lt;isbn&gt;0304-405X&lt;/isbn&gt;&lt;urls&gt;&lt;related-urls&gt;&lt;url&gt;http://www.sciencedirect.com/science/article/pii/S0304405X12000931&lt;/url&gt;&lt;/related-urls&gt;&lt;/urls&gt;&lt;electronic-resource-num&gt;http://dx.doi.org/10.1016/j.jfineco.2012.05.011&lt;/electronic-resource-num&gt;&lt;/record&gt;&lt;/Cite&gt;&lt;/EndNote&gt;</w:instrText>
      </w:r>
      <w:r w:rsidR="004D7390">
        <w:fldChar w:fldCharType="separate"/>
      </w:r>
      <w:r w:rsidR="004036C2">
        <w:rPr>
          <w:noProof/>
        </w:rPr>
        <w:t>[9]</w:t>
      </w:r>
      <w:r w:rsidR="004D7390">
        <w:fldChar w:fldCharType="end"/>
      </w:r>
      <w:r w:rsidRPr="00C616E6">
        <w:t xml:space="preserve">. Based on this method 6 portfolios are constructed on size-P/B sort which are; </w:t>
      </w:r>
      <w:r w:rsidRPr="00C616E6">
        <w:rPr>
          <w:i/>
          <w:iCs/>
        </w:rPr>
        <w:t>SV, SN, SG, BV, BN</w:t>
      </w:r>
      <w:r w:rsidRPr="00C616E6">
        <w:t xml:space="preserve">, and </w:t>
      </w:r>
      <w:r w:rsidRPr="00C616E6">
        <w:rPr>
          <w:i/>
          <w:iCs/>
        </w:rPr>
        <w:t>BG</w:t>
      </w:r>
      <w:r w:rsidRPr="00C616E6">
        <w:t xml:space="preserve">, where </w:t>
      </w:r>
      <w:r w:rsidRPr="00C616E6">
        <w:rPr>
          <w:i/>
          <w:iCs/>
        </w:rPr>
        <w:t>S</w:t>
      </w:r>
      <w:r w:rsidRPr="00C616E6">
        <w:t xml:space="preserve"> and </w:t>
      </w:r>
      <w:r w:rsidRPr="00C616E6">
        <w:rPr>
          <w:i/>
          <w:iCs/>
        </w:rPr>
        <w:t>B</w:t>
      </w:r>
      <w:r w:rsidRPr="00C616E6">
        <w:t xml:space="preserve"> indicate small and big stocks while </w:t>
      </w:r>
      <w:r w:rsidRPr="00C616E6">
        <w:rPr>
          <w:i/>
          <w:iCs/>
        </w:rPr>
        <w:t>V, N</w:t>
      </w:r>
      <w:r w:rsidRPr="00C616E6">
        <w:t xml:space="preserve">, and </w:t>
      </w:r>
      <w:r w:rsidRPr="00C616E6">
        <w:rPr>
          <w:i/>
          <w:iCs/>
        </w:rPr>
        <w:t>G</w:t>
      </w:r>
      <w:r w:rsidRPr="00C616E6">
        <w:t xml:space="preserve"> indicate value, neutral, and growth (bottom 30%, middle 40%, and top 30%), respectively. After forming portfolios for year </w:t>
      </w:r>
      <w:r w:rsidRPr="00C616E6">
        <w:rPr>
          <w:i/>
          <w:iCs/>
        </w:rPr>
        <w:t>t</w:t>
      </w:r>
      <w:r w:rsidRPr="00C616E6">
        <w:t xml:space="preserve">, portfolios are evaluated on monthly basis using continuously compounded method and Sharpe ratio for the next 12 months starting from March of year </w:t>
      </w:r>
      <w:r w:rsidRPr="00C616E6">
        <w:rPr>
          <w:i/>
          <w:iCs/>
        </w:rPr>
        <w:t>t</w:t>
      </w:r>
      <w:r w:rsidRPr="00C616E6">
        <w:t xml:space="preserve"> and ending in February of year </w:t>
      </w:r>
      <w:r w:rsidRPr="00C616E6">
        <w:rPr>
          <w:i/>
          <w:iCs/>
        </w:rPr>
        <w:t>t</w:t>
      </w:r>
      <w:r w:rsidRPr="00C616E6">
        <w:t xml:space="preserve">+1. </w:t>
      </w:r>
    </w:p>
    <w:p w:rsidR="00FF2892" w:rsidRPr="00C616E6" w:rsidRDefault="00FF2892" w:rsidP="004036C2">
      <w:pPr>
        <w:spacing w:before="120" w:after="120" w:line="240" w:lineRule="auto"/>
        <w:jc w:val="both"/>
      </w:pPr>
      <w:r w:rsidRPr="00C616E6">
        <w:t xml:space="preserve">According to </w:t>
      </w:r>
      <w:r w:rsidR="007130F5">
        <w:fldChar w:fldCharType="begin"/>
      </w:r>
      <w:r w:rsidR="004036C2">
        <w:instrText xml:space="preserve"> ADDIN EN.CITE &lt;EndNote&gt;&lt;Cite&gt;&lt;Author&gt;Fama&lt;/Author&gt;&lt;Year&gt;1998&lt;/Year&gt;&lt;RecNum&gt;21&lt;/RecNum&gt;&lt;DisplayText&gt;[5]&lt;/DisplayText&gt;&lt;record&gt;&lt;rec-number&gt;21&lt;/rec-number&gt;&lt;foreign-keys&gt;&lt;key app="EN" db-id="r2etwrpv9zvzp3ezvrip02pxxdxa2wesx5fs"&gt;21&lt;/key&gt;&lt;/foreign-keys&gt;&lt;ref-type name="Journal Article"&gt;17&lt;/ref-type&gt;&lt;contributors&gt;&lt;authors&gt;&lt;author&gt;Fama, Eugene F.&lt;/author&gt;&lt;author&gt;French, Kenneth R.&lt;/author&gt;&lt;/authors&gt;&lt;/contributors&gt;&lt;titles&gt;&lt;title&gt;Value versus Growth: The International Evidence&lt;/title&gt;&lt;secondary-title&gt;The Journal of Finance&lt;/secondary-title&gt;&lt;/titles&gt;&lt;periodical&gt;&lt;full-title&gt;The Journal of Finance&lt;/full-title&gt;&lt;/periodical&gt;&lt;pages&gt;1975-1999&lt;/pages&gt;&lt;volume&gt;53&lt;/volume&gt;&lt;number&gt;6&lt;/number&gt;&lt;dates&gt;&lt;year&gt;1998&lt;/year&gt;&lt;/dates&gt;&lt;publisher&gt;Blackwell Publishers, Inc.&lt;/publisher&gt;&lt;isbn&gt;1540-6261&lt;/isbn&gt;&lt;urls&gt;&lt;related-urls&gt;&lt;url&gt;http://dx.doi.org/10.1111/0022-1082.00080&lt;/url&gt;&lt;/related-urls&gt;&lt;/urls&gt;&lt;electronic-resource-num&gt;10.1111/0022-1082.00080&lt;/electronic-resource-num&gt;&lt;/record&gt;&lt;/Cite&gt;&lt;/EndNote&gt;</w:instrText>
      </w:r>
      <w:r w:rsidR="007130F5">
        <w:fldChar w:fldCharType="separate"/>
      </w:r>
      <w:r w:rsidR="004036C2">
        <w:rPr>
          <w:noProof/>
        </w:rPr>
        <w:t>[5]</w:t>
      </w:r>
      <w:r w:rsidR="007130F5">
        <w:fldChar w:fldCharType="end"/>
      </w:r>
      <w:r w:rsidR="007130F5">
        <w:t xml:space="preserve"> </w:t>
      </w:r>
      <w:r w:rsidRPr="00C616E6">
        <w:t xml:space="preserve">stocks in a portfolio can be weighted in two ways; equal-weighted and value-weighted. </w:t>
      </w:r>
      <w:r w:rsidR="001A1761">
        <w:fldChar w:fldCharType="begin"/>
      </w:r>
      <w:r w:rsidR="004036C2">
        <w:instrText xml:space="preserve"> ADDIN EN.CITE &lt;EndNote&gt;&lt;Cite&gt;&lt;Author&gt;Chui&lt;/Author&gt;&lt;Year&gt;2000&lt;/Year&gt;&lt;RecNum&gt;34&lt;/RecNum&gt;&lt;DisplayText&gt;[17]&lt;/DisplayText&gt;&lt;record&gt;&lt;rec-number&gt;34&lt;/rec-number&gt;&lt;foreign-keys&gt;&lt;key app="EN" db-id="r2etwrpv9zvzp3ezvrip02pxxdxa2wesx5fs"&gt;34&lt;/key&gt;&lt;/foreign-keys&gt;&lt;ref-type name="Journal Article"&gt;17&lt;/ref-type&gt;&lt;contributors&gt;&lt;authors&gt;&lt;author&gt;Chui, A. C.&lt;/author&gt;&lt;author&gt;Wei, K.-C.&lt;/author&gt;&lt;author&gt;Titman, S.&lt;/author&gt;&lt;/authors&gt;&lt;/contributors&gt;&lt;titles&gt;&lt;title&gt;Momentum, Legal Systems and Ownership Structure: An Analysis of Asian Stock Markets&lt;/title&gt;&lt;secondary-title&gt;SSRN Scholarly Paper No. ID 265848, Social Science Research Network, Rochester, NY.&lt;/secondary-title&gt;&lt;/titles&gt;&lt;periodical&gt;&lt;full-title&gt;SSRN Scholarly Paper No. ID 265848, Social Science Research Network, Rochester, NY.&lt;/full-title&gt;&lt;/periodical&gt;&lt;dates&gt;&lt;year&gt;2000&lt;/year&gt;&lt;/dates&gt;&lt;urls&gt;&lt;/urls&gt;&lt;/record&gt;&lt;/Cite&gt;&lt;/EndNote&gt;</w:instrText>
      </w:r>
      <w:r w:rsidR="001A1761">
        <w:fldChar w:fldCharType="separate"/>
      </w:r>
      <w:r w:rsidR="004036C2">
        <w:rPr>
          <w:noProof/>
        </w:rPr>
        <w:t>[17]</w:t>
      </w:r>
      <w:r w:rsidR="001A1761">
        <w:fldChar w:fldCharType="end"/>
      </w:r>
      <w:r w:rsidR="001A1761">
        <w:t xml:space="preserve"> </w:t>
      </w:r>
      <w:proofErr w:type="gramStart"/>
      <w:r w:rsidRPr="00C616E6">
        <w:t>use</w:t>
      </w:r>
      <w:proofErr w:type="gramEnd"/>
      <w:r w:rsidRPr="00C616E6">
        <w:t xml:space="preserve"> the value-weighted method in their study of Asian market with the rationale </w:t>
      </w:r>
      <w:r w:rsidRPr="00C616E6">
        <w:lastRenderedPageBreak/>
        <w:t>that small stocks are less liquid in Asian market.</w:t>
      </w:r>
      <w:r w:rsidR="00286342">
        <w:t xml:space="preserve"> </w:t>
      </w:r>
      <w:r w:rsidR="001A1761">
        <w:fldChar w:fldCharType="begin"/>
      </w:r>
      <w:r w:rsidR="004036C2">
        <w:instrText xml:space="preserve"> ADDIN EN.CITE &lt;EndNote&gt;&lt;Cite&gt;&lt;Author&gt;Ding&lt;/Author&gt;&lt;Year&gt;2005&lt;/Year&gt;&lt;RecNum&gt;29&lt;/RecNum&gt;&lt;DisplayText&gt;[12]&lt;/DisplayText&gt;&lt;record&gt;&lt;rec-number&gt;29&lt;/rec-number&gt;&lt;foreign-keys&gt;&lt;key app="EN" db-id="r2etwrpv9zvzp3ezvrip02pxxdxa2wesx5fs"&gt;29&lt;/key&gt;&lt;/foreign-keys&gt;&lt;ref-type name="Journal Article"&gt;17&lt;/ref-type&gt;&lt;contributors&gt;&lt;authors&gt;&lt;author&gt;Ding, David K.&lt;/author&gt;&lt;author&gt;Chua, Jia Leng&lt;/author&gt;&lt;author&gt;Fetherston, Thomas A.&lt;/author&gt;&lt;/authors&gt;&lt;/contributors&gt;&lt;titles&gt;&lt;title&gt;The performance of value and growth portfolios in East Asia before the Asian financial crisis&lt;/title&gt;&lt;secondary-title&gt;Pacific-Basin Finance Journal&lt;/secondary-title&gt;&lt;/titles&gt;&lt;periodical&gt;&lt;full-title&gt;Pacific-Basin Finance Journal&lt;/full-title&gt;&lt;/periodical&gt;&lt;pages&gt;185-199&lt;/pages&gt;&lt;volume&gt;13&lt;/volume&gt;&lt;number&gt;2&lt;/number&gt;&lt;keywords&gt;&lt;keyword&gt;Value and growth portfolios&lt;/keyword&gt;&lt;keyword&gt;East Asia&lt;/keyword&gt;&lt;keyword&gt;Asian financial crisis&lt;/keyword&gt;&lt;/keywords&gt;&lt;dates&gt;&lt;year&gt;2005&lt;/year&gt;&lt;pub-dates&gt;&lt;date&gt;3//&lt;/date&gt;&lt;/pub-dates&gt;&lt;/dates&gt;&lt;isbn&gt;0927-538X&lt;/isbn&gt;&lt;urls&gt;&lt;related-urls&gt;&lt;url&gt;http://www.sciencedirect.com/science/article/pii/S0927538X0400040X&lt;/url&gt;&lt;/related-urls&gt;&lt;/urls&gt;&lt;electronic-resource-num&gt;http://dx.doi.org/10.1016/j.pacfin.2004.07.001&lt;/electronic-resource-num&gt;&lt;/record&gt;&lt;/Cite&gt;&lt;/EndNote&gt;</w:instrText>
      </w:r>
      <w:r w:rsidR="001A1761">
        <w:fldChar w:fldCharType="separate"/>
      </w:r>
      <w:r w:rsidR="004036C2">
        <w:rPr>
          <w:noProof/>
        </w:rPr>
        <w:t>[12]</w:t>
      </w:r>
      <w:r w:rsidR="001A1761">
        <w:fldChar w:fldCharType="end"/>
      </w:r>
      <w:r w:rsidR="001A1761">
        <w:t xml:space="preserve"> </w:t>
      </w:r>
      <w:proofErr w:type="gramStart"/>
      <w:r w:rsidRPr="00C616E6">
        <w:t>also</w:t>
      </w:r>
      <w:proofErr w:type="gramEnd"/>
      <w:r w:rsidRPr="00C616E6">
        <w:t xml:space="preserve"> use the value-weighted method and argue that it is logical that stocks with big market capitalization should have a bigger share in a portfolios’ return. In this study, following </w:t>
      </w:r>
      <w:r w:rsidR="001A1761">
        <w:fldChar w:fldCharType="begin"/>
      </w:r>
      <w:r w:rsidR="004036C2">
        <w:instrText xml:space="preserve"> ADDIN EN.CITE &lt;EndNote&gt;&lt;Cite&gt;&lt;Author&gt;Fama&lt;/Author&gt;&lt;Year&gt;2012&lt;/Year&gt;&lt;RecNum&gt;26&lt;/RecNum&gt;&lt;DisplayText&gt;[9]&lt;/DisplayText&gt;&lt;record&gt;&lt;rec-number&gt;26&lt;/rec-number&gt;&lt;foreign-keys&gt;&lt;key app="EN" db-id="r2etwrpv9zvzp3ezvrip02pxxdxa2wesx5fs"&gt;26&lt;/key&gt;&lt;/foreign-keys&gt;&lt;ref-type name="Journal Article"&gt;17&lt;/ref-type&gt;&lt;contributors&gt;&lt;authors&gt;&lt;author&gt;Fama, Eugene F.&lt;/author&gt;&lt;author&gt;French, Kenneth R.&lt;/author&gt;&lt;/authors&gt;&lt;/contributors&gt;&lt;titles&gt;&lt;title&gt;Size, value, and momentum in international stock returns&lt;/title&gt;&lt;secondary-title&gt;Journal of Financial Economics&lt;/secondary-title&gt;&lt;/titles&gt;&lt;periodical&gt;&lt;full-title&gt;Journal of Financial Economics&lt;/full-title&gt;&lt;/periodical&gt;&lt;pages&gt;457-472&lt;/pages&gt;&lt;volume&gt;105&lt;/volume&gt;&lt;number&gt;3&lt;/number&gt;&lt;keywords&gt;&lt;keyword&gt;Value premium&lt;/keyword&gt;&lt;keyword&gt;Momentum&lt;/keyword&gt;&lt;keyword&gt;Three-factor model&lt;/keyword&gt;&lt;keyword&gt;Four-factor model&lt;/keyword&gt;&lt;/keywords&gt;&lt;dates&gt;&lt;year&gt;2012&lt;/year&gt;&lt;pub-dates&gt;&lt;date&gt;9//&lt;/date&gt;&lt;/pub-dates&gt;&lt;/dates&gt;&lt;isbn&gt;0304-405X&lt;/isbn&gt;&lt;urls&gt;&lt;related-urls&gt;&lt;url&gt;http://www.sciencedirect.com/science/article/pii/S0304405X12000931&lt;/url&gt;&lt;/related-urls&gt;&lt;/urls&gt;&lt;electronic-resource-num&gt;http://dx.doi.org/10.1016/j.jfineco.2012.05.011&lt;/electronic-resource-num&gt;&lt;/record&gt;&lt;/Cite&gt;&lt;/EndNote&gt;</w:instrText>
      </w:r>
      <w:r w:rsidR="001A1761">
        <w:fldChar w:fldCharType="separate"/>
      </w:r>
      <w:r w:rsidR="004036C2">
        <w:rPr>
          <w:noProof/>
        </w:rPr>
        <w:t>[9]</w:t>
      </w:r>
      <w:r w:rsidR="001A1761">
        <w:fldChar w:fldCharType="end"/>
      </w:r>
      <w:r w:rsidR="001A1761">
        <w:t xml:space="preserve"> </w:t>
      </w:r>
      <w:r w:rsidRPr="00C616E6">
        <w:t xml:space="preserve">we use the value-weighted method and accordingly stocks are weighted in each portfolio based on their market capitalization. After calculation of the monthly return on each of these portfolios, size effect </w:t>
      </w:r>
      <w:r w:rsidRPr="00C616E6">
        <w:rPr>
          <w:i/>
          <w:iCs/>
        </w:rPr>
        <w:t>(SMB)</w:t>
      </w:r>
      <w:r w:rsidRPr="00C616E6">
        <w:t xml:space="preserve"> is calculated using fowling formula:</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7518"/>
        <w:gridCol w:w="771"/>
      </w:tblGrid>
      <w:tr w:rsidR="00FF2892" w:rsidRPr="00A36F60" w:rsidTr="0029403B">
        <w:trPr>
          <w:trHeight w:val="939"/>
          <w:jc w:val="center"/>
        </w:trPr>
        <w:tc>
          <w:tcPr>
            <w:tcW w:w="422" w:type="pct"/>
            <w:vAlign w:val="center"/>
          </w:tcPr>
          <w:p w:rsidR="00FF2892" w:rsidRPr="00A36F60" w:rsidRDefault="00FF2892" w:rsidP="00BC48E9">
            <w:pPr>
              <w:spacing w:after="120"/>
              <w:jc w:val="both"/>
              <w:rPr>
                <w:szCs w:val="22"/>
              </w:rPr>
            </w:pPr>
          </w:p>
        </w:tc>
        <w:tc>
          <w:tcPr>
            <w:tcW w:w="4152" w:type="pct"/>
            <w:vAlign w:val="center"/>
          </w:tcPr>
          <w:p w:rsidR="00FF2892" w:rsidRPr="00A36F60" w:rsidRDefault="00FF2892" w:rsidP="00BC48E9">
            <w:pPr>
              <w:spacing w:after="120"/>
              <w:jc w:val="both"/>
              <w:rPr>
                <w:rFonts w:asciiTheme="minorBidi" w:hAnsiTheme="minorBidi"/>
                <w:szCs w:val="22"/>
              </w:rPr>
            </w:pPr>
            <m:oMathPara>
              <m:oMathParaPr>
                <m:jc m:val="left"/>
              </m:oMathParaPr>
              <m:oMath>
                <m:r>
                  <w:rPr>
                    <w:rFonts w:ascii="Cambria Math" w:hAnsi="Cambria Math"/>
                    <w:szCs w:val="22"/>
                  </w:rPr>
                  <m:t>SMB</m:t>
                </m:r>
                <m:r>
                  <m:rPr>
                    <m:sty m:val="p"/>
                  </m:rPr>
                  <w:rPr>
                    <w:rFonts w:ascii="Cambria Math" w:hAnsi="Cambria Math"/>
                    <w:szCs w:val="22"/>
                  </w:rPr>
                  <m:t>=(</m:t>
                </m:r>
                <m:r>
                  <w:rPr>
                    <w:rFonts w:ascii="Cambria Math" w:hAnsi="Cambria Math"/>
                    <w:szCs w:val="22"/>
                  </w:rPr>
                  <m:t>Equal</m:t>
                </m:r>
                <m:r>
                  <m:rPr>
                    <m:sty m:val="p"/>
                  </m:rPr>
                  <w:rPr>
                    <w:rFonts w:ascii="Cambria Math" w:hAnsi="Cambria Math"/>
                    <w:szCs w:val="22"/>
                  </w:rPr>
                  <m:t xml:space="preserve"> </m:t>
                </m:r>
                <m:r>
                  <w:rPr>
                    <w:rFonts w:ascii="Cambria Math" w:hAnsi="Cambria Math"/>
                    <w:szCs w:val="22"/>
                  </w:rPr>
                  <m:t>weight</m:t>
                </m:r>
                <m:r>
                  <m:rPr>
                    <m:sty m:val="p"/>
                  </m:rPr>
                  <w:rPr>
                    <w:rFonts w:ascii="Cambria Math" w:hAnsi="Cambria Math"/>
                    <w:szCs w:val="22"/>
                  </w:rPr>
                  <m:t xml:space="preserve"> </m:t>
                </m:r>
                <m:r>
                  <w:rPr>
                    <w:rFonts w:ascii="Cambria Math" w:hAnsi="Cambria Math"/>
                    <w:szCs w:val="22"/>
                  </w:rPr>
                  <m:t>average</m:t>
                </m:r>
                <m:r>
                  <m:rPr>
                    <m:sty m:val="p"/>
                  </m:rPr>
                  <w:rPr>
                    <w:rFonts w:ascii="Cambria Math" w:hAnsi="Cambria Math"/>
                    <w:szCs w:val="22"/>
                  </w:rPr>
                  <m:t xml:space="preserve"> </m:t>
                </m:r>
                <m:r>
                  <w:rPr>
                    <w:rFonts w:ascii="Cambria Math" w:hAnsi="Cambria Math"/>
                    <w:szCs w:val="22"/>
                  </w:rPr>
                  <m:t>of</m:t>
                </m:r>
                <m:r>
                  <m:rPr>
                    <m:sty m:val="p"/>
                  </m:rPr>
                  <w:rPr>
                    <w:rFonts w:ascii="Cambria Math" w:hAnsi="Cambria Math"/>
                    <w:szCs w:val="22"/>
                  </w:rPr>
                  <m:t xml:space="preserve"> </m:t>
                </m:r>
                <m:r>
                  <w:rPr>
                    <w:rFonts w:ascii="Cambria Math" w:hAnsi="Cambria Math"/>
                    <w:szCs w:val="22"/>
                  </w:rPr>
                  <m:t>the</m:t>
                </m:r>
                <m:r>
                  <m:rPr>
                    <m:sty m:val="p"/>
                  </m:rPr>
                  <w:rPr>
                    <w:rFonts w:ascii="Cambria Math" w:hAnsi="Cambria Math"/>
                    <w:szCs w:val="22"/>
                  </w:rPr>
                  <m:t xml:space="preserve"> </m:t>
                </m:r>
                <m:r>
                  <w:rPr>
                    <w:rFonts w:ascii="Cambria Math" w:hAnsi="Cambria Math"/>
                    <w:szCs w:val="22"/>
                  </w:rPr>
                  <m:t>return</m:t>
                </m:r>
                <m:r>
                  <m:rPr>
                    <m:sty m:val="p"/>
                  </m:rPr>
                  <w:rPr>
                    <w:rFonts w:ascii="Cambria Math" w:hAnsi="Cambria Math"/>
                    <w:szCs w:val="22"/>
                  </w:rPr>
                  <m:t xml:space="preserve"> </m:t>
                </m:r>
                <m:r>
                  <w:rPr>
                    <w:rFonts w:ascii="Cambria Math" w:hAnsi="Cambria Math"/>
                    <w:szCs w:val="22"/>
                  </w:rPr>
                  <m:t>on</m:t>
                </m:r>
                <m:r>
                  <m:rPr>
                    <m:sty m:val="p"/>
                  </m:rPr>
                  <w:rPr>
                    <w:rFonts w:ascii="Cambria Math" w:hAnsi="Cambria Math"/>
                    <w:szCs w:val="22"/>
                  </w:rPr>
                  <m:t xml:space="preserve"> </m:t>
                </m:r>
                <m:r>
                  <w:rPr>
                    <w:rFonts w:ascii="Cambria Math" w:hAnsi="Cambria Math"/>
                    <w:szCs w:val="22"/>
                  </w:rPr>
                  <m:t>SV</m:t>
                </m:r>
                <m:r>
                  <m:rPr>
                    <m:sty m:val="p"/>
                  </m:rPr>
                  <w:rPr>
                    <w:rFonts w:ascii="Cambria Math" w:hAnsi="Cambria Math"/>
                    <w:szCs w:val="22"/>
                  </w:rPr>
                  <m:t xml:space="preserve">, </m:t>
                </m:r>
                <m:r>
                  <w:rPr>
                    <w:rFonts w:ascii="Cambria Math" w:hAnsi="Cambria Math"/>
                    <w:szCs w:val="22"/>
                  </w:rPr>
                  <m:t>SN</m:t>
                </m:r>
                <m:r>
                  <m:rPr>
                    <m:sty m:val="p"/>
                  </m:rPr>
                  <w:rPr>
                    <w:rFonts w:ascii="Cambria Math" w:hAnsi="Cambria Math"/>
                    <w:szCs w:val="22"/>
                  </w:rPr>
                  <m:t xml:space="preserve">, </m:t>
                </m:r>
                <m:r>
                  <w:rPr>
                    <w:rFonts w:ascii="Cambria Math" w:hAnsi="Cambria Math"/>
                    <w:szCs w:val="22"/>
                  </w:rPr>
                  <m:t>and</m:t>
                </m:r>
                <m:r>
                  <m:rPr>
                    <m:sty m:val="p"/>
                  </m:rPr>
                  <w:rPr>
                    <w:rFonts w:ascii="Cambria Math" w:hAnsi="Cambria Math"/>
                    <w:szCs w:val="22"/>
                  </w:rPr>
                  <m:t xml:space="preserve"> </m:t>
                </m:r>
                <m:r>
                  <w:rPr>
                    <w:rFonts w:ascii="Cambria Math" w:hAnsi="Cambria Math"/>
                    <w:szCs w:val="22"/>
                  </w:rPr>
                  <m:t>SG</m:t>
                </m:r>
                <m:r>
                  <m:rPr>
                    <m:sty m:val="p"/>
                  </m:rPr>
                  <w:rPr>
                    <w:rFonts w:ascii="Cambria Math" w:hAnsi="Cambria Math"/>
                    <w:szCs w:val="22"/>
                  </w:rPr>
                  <m:t>)-(</m:t>
                </m:r>
                <m:r>
                  <w:rPr>
                    <w:rFonts w:ascii="Cambria Math" w:hAnsi="Cambria Math"/>
                    <w:szCs w:val="22"/>
                  </w:rPr>
                  <m:t>Equal</m:t>
                </m:r>
                <m:r>
                  <m:rPr>
                    <m:sty m:val="p"/>
                  </m:rPr>
                  <w:rPr>
                    <w:rFonts w:ascii="Cambria Math" w:hAnsi="Cambria Math"/>
                    <w:szCs w:val="22"/>
                  </w:rPr>
                  <m:t xml:space="preserve"> </m:t>
                </m:r>
                <m:r>
                  <w:rPr>
                    <w:rFonts w:ascii="Cambria Math" w:hAnsi="Cambria Math"/>
                    <w:szCs w:val="22"/>
                  </w:rPr>
                  <m:t>weight</m:t>
                </m:r>
                <m:r>
                  <m:rPr>
                    <m:sty m:val="p"/>
                  </m:rPr>
                  <w:rPr>
                    <w:rFonts w:ascii="Cambria Math" w:hAnsi="Cambria Math"/>
                    <w:szCs w:val="22"/>
                  </w:rPr>
                  <m:t xml:space="preserve"> </m:t>
                </m:r>
                <m:r>
                  <w:rPr>
                    <w:rFonts w:ascii="Cambria Math" w:hAnsi="Cambria Math"/>
                    <w:szCs w:val="22"/>
                  </w:rPr>
                  <m:t>average</m:t>
                </m:r>
                <m:r>
                  <m:rPr>
                    <m:sty m:val="p"/>
                  </m:rPr>
                  <w:rPr>
                    <w:rFonts w:ascii="Cambria Math" w:hAnsi="Cambria Math"/>
                    <w:szCs w:val="22"/>
                  </w:rPr>
                  <m:t xml:space="preserve"> </m:t>
                </m:r>
                <m:r>
                  <w:rPr>
                    <w:rFonts w:ascii="Cambria Math" w:hAnsi="Cambria Math"/>
                    <w:szCs w:val="22"/>
                  </w:rPr>
                  <m:t>of</m:t>
                </m:r>
                <m:r>
                  <m:rPr>
                    <m:sty m:val="p"/>
                  </m:rPr>
                  <w:rPr>
                    <w:rFonts w:ascii="Cambria Math" w:hAnsi="Cambria Math"/>
                    <w:szCs w:val="22"/>
                  </w:rPr>
                  <m:t xml:space="preserve"> </m:t>
                </m:r>
                <m:r>
                  <w:rPr>
                    <w:rFonts w:ascii="Cambria Math" w:hAnsi="Cambria Math"/>
                    <w:szCs w:val="22"/>
                  </w:rPr>
                  <m:t>the</m:t>
                </m:r>
                <m:r>
                  <m:rPr>
                    <m:sty m:val="p"/>
                  </m:rPr>
                  <w:rPr>
                    <w:rFonts w:ascii="Cambria Math" w:hAnsi="Cambria Math"/>
                    <w:szCs w:val="22"/>
                  </w:rPr>
                  <m:t xml:space="preserve"> </m:t>
                </m:r>
                <m:r>
                  <w:rPr>
                    <w:rFonts w:ascii="Cambria Math" w:hAnsi="Cambria Math"/>
                    <w:szCs w:val="22"/>
                  </w:rPr>
                  <m:t>return</m:t>
                </m:r>
                <m:r>
                  <m:rPr>
                    <m:sty m:val="p"/>
                  </m:rPr>
                  <w:rPr>
                    <w:rFonts w:ascii="Cambria Math" w:hAnsi="Cambria Math"/>
                    <w:szCs w:val="22"/>
                  </w:rPr>
                  <m:t xml:space="preserve"> </m:t>
                </m:r>
                <m:r>
                  <w:rPr>
                    <w:rFonts w:ascii="Cambria Math" w:hAnsi="Cambria Math"/>
                    <w:szCs w:val="22"/>
                  </w:rPr>
                  <m:t>on</m:t>
                </m:r>
                <m:r>
                  <m:rPr>
                    <m:sty m:val="p"/>
                  </m:rPr>
                  <w:rPr>
                    <w:rFonts w:ascii="Cambria Math" w:hAnsi="Cambria Math"/>
                    <w:szCs w:val="22"/>
                  </w:rPr>
                  <m:t xml:space="preserve"> </m:t>
                </m:r>
                <m:r>
                  <w:rPr>
                    <w:rFonts w:ascii="Cambria Math" w:hAnsi="Cambria Math"/>
                    <w:szCs w:val="22"/>
                  </w:rPr>
                  <m:t>BV</m:t>
                </m:r>
                <m:r>
                  <m:rPr>
                    <m:sty m:val="p"/>
                  </m:rPr>
                  <w:rPr>
                    <w:rFonts w:ascii="Cambria Math" w:hAnsi="Cambria Math"/>
                    <w:szCs w:val="22"/>
                  </w:rPr>
                  <m:t xml:space="preserve">, </m:t>
                </m:r>
                <m:r>
                  <w:rPr>
                    <w:rFonts w:ascii="Cambria Math" w:hAnsi="Cambria Math"/>
                    <w:szCs w:val="22"/>
                  </w:rPr>
                  <m:t>BN</m:t>
                </m:r>
                <m:r>
                  <m:rPr>
                    <m:sty m:val="p"/>
                  </m:rPr>
                  <w:rPr>
                    <w:rFonts w:ascii="Cambria Math" w:hAnsi="Cambria Math"/>
                    <w:szCs w:val="22"/>
                  </w:rPr>
                  <m:t xml:space="preserve">, </m:t>
                </m:r>
                <m:r>
                  <w:rPr>
                    <w:rFonts w:ascii="Cambria Math" w:hAnsi="Cambria Math"/>
                    <w:szCs w:val="22"/>
                  </w:rPr>
                  <m:t>and</m:t>
                </m:r>
                <m:r>
                  <m:rPr>
                    <m:sty m:val="p"/>
                  </m:rPr>
                  <w:rPr>
                    <w:rFonts w:ascii="Cambria Math" w:hAnsi="Cambria Math"/>
                    <w:szCs w:val="22"/>
                  </w:rPr>
                  <m:t xml:space="preserve"> </m:t>
                </m:r>
                <m:r>
                  <w:rPr>
                    <w:rFonts w:ascii="Cambria Math" w:hAnsi="Cambria Math"/>
                    <w:szCs w:val="22"/>
                  </w:rPr>
                  <m:t>BG</m:t>
                </m:r>
                <m:r>
                  <m:rPr>
                    <m:sty m:val="p"/>
                  </m:rPr>
                  <w:rPr>
                    <w:rFonts w:ascii="Cambria Math" w:hAnsi="Cambria Math"/>
                    <w:szCs w:val="22"/>
                  </w:rPr>
                  <m:t>)</m:t>
                </m:r>
              </m:oMath>
            </m:oMathPara>
          </w:p>
        </w:tc>
        <w:tc>
          <w:tcPr>
            <w:tcW w:w="426" w:type="pct"/>
          </w:tcPr>
          <w:p w:rsidR="00FF2892" w:rsidRPr="00A36F60" w:rsidRDefault="00FF2892" w:rsidP="00BC48E9">
            <w:pPr>
              <w:bidi/>
              <w:spacing w:after="120"/>
              <w:jc w:val="both"/>
              <w:rPr>
                <w:bCs/>
                <w:szCs w:val="22"/>
              </w:rPr>
            </w:pPr>
            <w:bookmarkStart w:id="1" w:name="_Toc92453256"/>
            <w:bookmarkStart w:id="2" w:name="_Toc92665270"/>
            <w:r w:rsidRPr="00A36F60">
              <w:rPr>
                <w:bCs/>
                <w:szCs w:val="22"/>
              </w:rPr>
              <w:t>(</w:t>
            </w:r>
            <w:r w:rsidRPr="00A36F60">
              <w:fldChar w:fldCharType="begin"/>
            </w:r>
            <w:r w:rsidRPr="00A36F60">
              <w:rPr>
                <w:szCs w:val="22"/>
              </w:rPr>
              <w:instrText xml:space="preserve"> SEQ Eq \* MERGEFORMAT </w:instrText>
            </w:r>
            <w:r w:rsidRPr="00A36F60">
              <w:rPr>
                <w:szCs w:val="22"/>
                <w:lang w:bidi="ar-SA"/>
              </w:rPr>
              <w:fldChar w:fldCharType="separate"/>
            </w:r>
            <w:r w:rsidR="004E0E95" w:rsidRPr="004E0E95">
              <w:rPr>
                <w:bCs/>
                <w:noProof/>
                <w:szCs w:val="22"/>
              </w:rPr>
              <w:t>1</w:t>
            </w:r>
            <w:r w:rsidRPr="00A36F60">
              <w:rPr>
                <w:bCs/>
                <w:noProof/>
              </w:rPr>
              <w:fldChar w:fldCharType="end"/>
            </w:r>
            <w:r w:rsidRPr="00A36F60">
              <w:rPr>
                <w:bCs/>
                <w:szCs w:val="22"/>
              </w:rPr>
              <w:t>)</w:t>
            </w:r>
            <w:bookmarkEnd w:id="1"/>
            <w:bookmarkEnd w:id="2"/>
          </w:p>
        </w:tc>
      </w:tr>
    </w:tbl>
    <w:p w:rsidR="00FF2892" w:rsidRPr="00C616E6" w:rsidRDefault="00FF2892" w:rsidP="004036C2">
      <w:pPr>
        <w:spacing w:before="120" w:after="120" w:line="240" w:lineRule="auto"/>
        <w:jc w:val="both"/>
        <w:rPr>
          <w:rtl/>
          <w:lang w:bidi="fa-IR"/>
        </w:rPr>
      </w:pPr>
      <w:r w:rsidRPr="00C616E6">
        <w:t xml:space="preserve">Where, </w:t>
      </w:r>
      <w:r w:rsidRPr="00C616E6">
        <w:rPr>
          <w:i/>
          <w:iCs/>
        </w:rPr>
        <w:t>S</w:t>
      </w:r>
      <w:r w:rsidRPr="00C616E6">
        <w:t xml:space="preserve"> stands for small stocks and </w:t>
      </w:r>
      <w:r w:rsidRPr="00C616E6">
        <w:rPr>
          <w:i/>
          <w:iCs/>
        </w:rPr>
        <w:t>B</w:t>
      </w:r>
      <w:r w:rsidRPr="00C616E6">
        <w:t xml:space="preserve"> stands for large stocks, </w:t>
      </w:r>
      <w:r w:rsidRPr="00C616E6">
        <w:rPr>
          <w:i/>
          <w:iCs/>
        </w:rPr>
        <w:t>V, N</w:t>
      </w:r>
      <w:r w:rsidRPr="00C616E6">
        <w:t xml:space="preserve">, and </w:t>
      </w:r>
      <w:r w:rsidRPr="00C616E6">
        <w:rPr>
          <w:i/>
          <w:iCs/>
        </w:rPr>
        <w:t>G</w:t>
      </w:r>
      <w:r w:rsidRPr="00C616E6">
        <w:t xml:space="preserve"> denote value, neutral, and growth stocks, respectively.</w:t>
      </w:r>
    </w:p>
    <w:p w:rsidR="00FF2892" w:rsidRPr="00C616E6" w:rsidRDefault="00FF2892" w:rsidP="004036C2">
      <w:pPr>
        <w:spacing w:before="120" w:after="120" w:line="240" w:lineRule="auto"/>
        <w:jc w:val="both"/>
      </w:pPr>
      <w:r w:rsidRPr="00C616E6">
        <w:t xml:space="preserve">Value premium </w:t>
      </w:r>
      <w:r w:rsidRPr="00C616E6">
        <w:rPr>
          <w:i/>
          <w:iCs/>
        </w:rPr>
        <w:t>(VMG)</w:t>
      </w:r>
      <w:r w:rsidRPr="00C616E6">
        <w:t xml:space="preserve"> is calculated for each size category</w:t>
      </w:r>
      <m:oMath>
        <m:r>
          <w:rPr>
            <w:rFonts w:ascii="Cambria Math" w:hAnsi="Cambria Math"/>
          </w:rPr>
          <m:t xml:space="preserve"> (</m:t>
        </m:r>
        <m:sSub>
          <m:sSubPr>
            <m:ctrlPr>
              <w:rPr>
                <w:rFonts w:ascii="Cambria Math" w:hAnsi="Cambria Math"/>
                <w:i/>
              </w:rPr>
            </m:ctrlPr>
          </m:sSubPr>
          <m:e>
            <m:r>
              <w:rPr>
                <w:rFonts w:ascii="Cambria Math" w:hAnsi="Cambria Math"/>
              </w:rPr>
              <m:t>VMG</m:t>
            </m:r>
          </m:e>
          <m:sub>
            <m:r>
              <w:rPr>
                <w:rFonts w:ascii="Cambria Math" w:hAnsi="Cambria Math"/>
              </w:rPr>
              <m:t>S</m:t>
            </m:r>
          </m:sub>
        </m:sSub>
      </m:oMath>
      <w:r w:rsidRPr="00C616E6">
        <w:t xml:space="preserve"> and </w:t>
      </w:r>
      <m:oMath>
        <m:sSub>
          <m:sSubPr>
            <m:ctrlPr>
              <w:rPr>
                <w:rFonts w:ascii="Cambria Math" w:hAnsi="Cambria Math"/>
                <w:i/>
              </w:rPr>
            </m:ctrlPr>
          </m:sSubPr>
          <m:e>
            <m:r>
              <w:rPr>
                <w:rFonts w:ascii="Cambria Math" w:hAnsi="Cambria Math"/>
              </w:rPr>
              <m:t>VMG</m:t>
            </m:r>
          </m:e>
          <m:sub>
            <m:r>
              <w:rPr>
                <w:rFonts w:ascii="Cambria Math" w:hAnsi="Cambria Math"/>
              </w:rPr>
              <m:t>B</m:t>
            </m:r>
          </m:sub>
        </m:sSub>
        <m:r>
          <w:rPr>
            <w:rFonts w:ascii="Cambria Math" w:hAnsi="Cambria Math"/>
          </w:rPr>
          <m:t>)</m:t>
        </m:r>
      </m:oMath>
      <w:r w:rsidRPr="00C616E6">
        <w:rPr>
          <w:rFonts w:eastAsiaTheme="minorEastAsia"/>
        </w:rPr>
        <w:t xml:space="preserve"> </w:t>
      </w:r>
      <w:r w:rsidRPr="00C616E6">
        <w:t>and then the overall value premium is the equal weight of value premium in each size. Formula can be written as follow: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7520"/>
        <w:gridCol w:w="778"/>
      </w:tblGrid>
      <w:tr w:rsidR="00FF2892" w:rsidRPr="00A36F60" w:rsidTr="0029403B">
        <w:trPr>
          <w:jc w:val="center"/>
        </w:trPr>
        <w:tc>
          <w:tcPr>
            <w:tcW w:w="784" w:type="dxa"/>
            <w:vAlign w:val="center"/>
          </w:tcPr>
          <w:p w:rsidR="00FF2892" w:rsidRPr="00A36F60" w:rsidRDefault="00FF2892" w:rsidP="00BC48E9">
            <w:pPr>
              <w:spacing w:after="120"/>
              <w:jc w:val="both"/>
              <w:rPr>
                <w:rFonts w:cstheme="minorHAnsi"/>
                <w:szCs w:val="22"/>
              </w:rPr>
            </w:pPr>
          </w:p>
        </w:tc>
        <w:tc>
          <w:tcPr>
            <w:tcW w:w="7713" w:type="dxa"/>
            <w:vAlign w:val="center"/>
          </w:tcPr>
          <w:p w:rsidR="00FF2892" w:rsidRPr="00A36F60" w:rsidRDefault="005A1CF1" w:rsidP="00BC48E9">
            <w:pPr>
              <w:spacing w:after="120"/>
              <w:jc w:val="both"/>
              <w:rPr>
                <w:rFonts w:cstheme="minorHAnsi"/>
                <w:szCs w:val="22"/>
              </w:rPr>
            </w:pPr>
            <m:oMathPara>
              <m:oMathParaPr>
                <m:jc m:val="left"/>
              </m:oMathParaPr>
              <m:oMath>
                <m:sSub>
                  <m:sSubPr>
                    <m:ctrlPr>
                      <w:rPr>
                        <w:rFonts w:ascii="Cambria Math" w:hAnsi="Cambria Math" w:cstheme="minorHAnsi"/>
                        <w:szCs w:val="22"/>
                      </w:rPr>
                    </m:ctrlPr>
                  </m:sSubPr>
                  <m:e>
                    <m:r>
                      <w:rPr>
                        <w:rFonts w:ascii="Cambria Math" w:hAnsi="Cambria Math" w:cstheme="minorHAnsi"/>
                        <w:szCs w:val="22"/>
                      </w:rPr>
                      <m:t>VMG</m:t>
                    </m:r>
                  </m:e>
                  <m:sub>
                    <m:r>
                      <w:rPr>
                        <w:rFonts w:ascii="Cambria Math" w:hAnsi="Cambria Math" w:cstheme="minorHAnsi"/>
                        <w:szCs w:val="22"/>
                      </w:rPr>
                      <m:t>S</m:t>
                    </m:r>
                  </m:sub>
                </m:sSub>
                <m:r>
                  <m:rPr>
                    <m:sty m:val="p"/>
                  </m:rPr>
                  <w:rPr>
                    <w:rFonts w:ascii="Cambria Math" w:hAnsi="Cambria Math" w:cstheme="minorHAnsi"/>
                    <w:szCs w:val="22"/>
                  </w:rPr>
                  <m:t>=</m:t>
                </m:r>
                <m:r>
                  <w:rPr>
                    <w:rFonts w:ascii="Cambria Math" w:hAnsi="Cambria Math" w:cstheme="minorHAnsi"/>
                    <w:szCs w:val="22"/>
                  </w:rPr>
                  <m:t>SV</m:t>
                </m:r>
                <m:r>
                  <m:rPr>
                    <m:sty m:val="p"/>
                  </m:rPr>
                  <w:rPr>
                    <w:rFonts w:ascii="Cambria Math" w:hAnsi="Cambria Math" w:cstheme="minorHAnsi"/>
                    <w:szCs w:val="22"/>
                  </w:rPr>
                  <m:t>-</m:t>
                </m:r>
                <m:r>
                  <w:rPr>
                    <w:rFonts w:ascii="Cambria Math" w:hAnsi="Cambria Math" w:cstheme="minorHAnsi"/>
                    <w:szCs w:val="22"/>
                  </w:rPr>
                  <m:t>SG</m:t>
                </m:r>
              </m:oMath>
            </m:oMathPara>
          </w:p>
        </w:tc>
        <w:tc>
          <w:tcPr>
            <w:tcW w:w="794" w:type="dxa"/>
            <w:vAlign w:val="center"/>
          </w:tcPr>
          <w:p w:rsidR="00FF2892" w:rsidRPr="00A36F60" w:rsidRDefault="00FF2892" w:rsidP="00BC48E9">
            <w:pPr>
              <w:bidi/>
              <w:spacing w:after="120"/>
              <w:jc w:val="both"/>
              <w:rPr>
                <w:rFonts w:cstheme="minorHAnsi"/>
                <w:bCs/>
                <w:szCs w:val="22"/>
              </w:rPr>
            </w:pPr>
            <w:bookmarkStart w:id="3" w:name="_Toc92453257"/>
            <w:bookmarkStart w:id="4" w:name="_Toc92665271"/>
            <w:r w:rsidRPr="00A36F60">
              <w:rPr>
                <w:rFonts w:cstheme="minorHAnsi"/>
                <w:bCs/>
                <w:szCs w:val="22"/>
              </w:rPr>
              <w:t xml:space="preserve">      (</w:t>
            </w:r>
            <w:r w:rsidRPr="00A36F60">
              <w:rPr>
                <w:rFonts w:cstheme="minorHAnsi"/>
              </w:rPr>
              <w:fldChar w:fldCharType="begin"/>
            </w:r>
            <w:r w:rsidRPr="00A36F60">
              <w:rPr>
                <w:rFonts w:cstheme="minorHAnsi"/>
                <w:szCs w:val="22"/>
              </w:rPr>
              <w:instrText xml:space="preserve"> SEQ Eq \* MERGEFORMAT </w:instrText>
            </w:r>
            <w:r w:rsidRPr="00A36F60">
              <w:rPr>
                <w:rFonts w:cstheme="minorHAnsi"/>
                <w:szCs w:val="22"/>
                <w:lang w:bidi="ar-SA"/>
              </w:rPr>
              <w:fldChar w:fldCharType="separate"/>
            </w:r>
            <w:r w:rsidR="004E0E95" w:rsidRPr="004E0E95">
              <w:rPr>
                <w:rFonts w:cstheme="minorHAnsi"/>
                <w:bCs/>
                <w:noProof/>
                <w:szCs w:val="22"/>
              </w:rPr>
              <w:t>2</w:t>
            </w:r>
            <w:r w:rsidRPr="00A36F60">
              <w:rPr>
                <w:rFonts w:cstheme="minorHAnsi"/>
                <w:bCs/>
                <w:noProof/>
              </w:rPr>
              <w:fldChar w:fldCharType="end"/>
            </w:r>
            <w:r w:rsidRPr="00A36F60">
              <w:rPr>
                <w:rFonts w:cstheme="minorHAnsi"/>
                <w:bCs/>
                <w:szCs w:val="22"/>
              </w:rPr>
              <w:t>)</w:t>
            </w:r>
            <w:bookmarkEnd w:id="3"/>
            <w:bookmarkEnd w:id="4"/>
          </w:p>
        </w:tc>
      </w:tr>
      <w:tr w:rsidR="00FF2892" w:rsidRPr="00A36F60" w:rsidTr="0029403B">
        <w:trPr>
          <w:jc w:val="center"/>
        </w:trPr>
        <w:tc>
          <w:tcPr>
            <w:tcW w:w="784" w:type="dxa"/>
            <w:vAlign w:val="center"/>
          </w:tcPr>
          <w:p w:rsidR="00FF2892" w:rsidRPr="00A36F60" w:rsidRDefault="00FF2892" w:rsidP="00BC48E9">
            <w:pPr>
              <w:spacing w:after="120"/>
              <w:jc w:val="both"/>
              <w:rPr>
                <w:rFonts w:cstheme="minorHAnsi"/>
                <w:szCs w:val="22"/>
              </w:rPr>
            </w:pPr>
          </w:p>
        </w:tc>
        <w:tc>
          <w:tcPr>
            <w:tcW w:w="7713" w:type="dxa"/>
            <w:vAlign w:val="center"/>
          </w:tcPr>
          <w:p w:rsidR="00FF2892" w:rsidRPr="00A36F60" w:rsidRDefault="005A1CF1" w:rsidP="00BC48E9">
            <w:pPr>
              <w:spacing w:after="120"/>
              <w:jc w:val="both"/>
              <w:rPr>
                <w:rFonts w:cstheme="minorHAnsi"/>
                <w:szCs w:val="22"/>
              </w:rPr>
            </w:pPr>
            <m:oMathPara>
              <m:oMathParaPr>
                <m:jc m:val="left"/>
              </m:oMathParaPr>
              <m:oMath>
                <m:sSub>
                  <m:sSubPr>
                    <m:ctrlPr>
                      <w:rPr>
                        <w:rFonts w:ascii="Cambria Math" w:hAnsi="Cambria Math" w:cstheme="minorHAnsi"/>
                        <w:szCs w:val="22"/>
                      </w:rPr>
                    </m:ctrlPr>
                  </m:sSubPr>
                  <m:e>
                    <m:r>
                      <w:rPr>
                        <w:rFonts w:ascii="Cambria Math" w:hAnsi="Cambria Math" w:cstheme="minorHAnsi"/>
                        <w:szCs w:val="22"/>
                      </w:rPr>
                      <m:t>VMG</m:t>
                    </m:r>
                  </m:e>
                  <m:sub>
                    <m:r>
                      <w:rPr>
                        <w:rFonts w:ascii="Cambria Math" w:hAnsi="Cambria Math" w:cstheme="minorHAnsi"/>
                        <w:szCs w:val="22"/>
                      </w:rPr>
                      <m:t>B</m:t>
                    </m:r>
                  </m:sub>
                </m:sSub>
                <m:r>
                  <m:rPr>
                    <m:sty m:val="p"/>
                  </m:rPr>
                  <w:rPr>
                    <w:rFonts w:ascii="Cambria Math" w:hAnsi="Cambria Math" w:cstheme="minorHAnsi"/>
                    <w:szCs w:val="22"/>
                  </w:rPr>
                  <m:t>=</m:t>
                </m:r>
                <m:r>
                  <w:rPr>
                    <w:rFonts w:ascii="Cambria Math" w:hAnsi="Cambria Math" w:cstheme="minorHAnsi"/>
                    <w:szCs w:val="22"/>
                  </w:rPr>
                  <m:t>BV</m:t>
                </m:r>
                <m:r>
                  <m:rPr>
                    <m:sty m:val="p"/>
                  </m:rPr>
                  <w:rPr>
                    <w:rFonts w:ascii="Cambria Math" w:hAnsi="Cambria Math" w:cstheme="minorHAnsi"/>
                    <w:szCs w:val="22"/>
                  </w:rPr>
                  <m:t>-</m:t>
                </m:r>
                <m:r>
                  <w:rPr>
                    <w:rFonts w:ascii="Cambria Math" w:hAnsi="Cambria Math" w:cstheme="minorHAnsi"/>
                    <w:szCs w:val="22"/>
                  </w:rPr>
                  <m:t>BG</m:t>
                </m:r>
              </m:oMath>
            </m:oMathPara>
          </w:p>
        </w:tc>
        <w:tc>
          <w:tcPr>
            <w:tcW w:w="794" w:type="dxa"/>
            <w:vAlign w:val="center"/>
          </w:tcPr>
          <w:p w:rsidR="00FF2892" w:rsidRPr="00A36F60" w:rsidRDefault="00FF2892" w:rsidP="00BC48E9">
            <w:pPr>
              <w:bidi/>
              <w:spacing w:after="120"/>
              <w:jc w:val="both"/>
              <w:rPr>
                <w:rFonts w:cstheme="minorHAnsi"/>
                <w:bCs/>
                <w:szCs w:val="22"/>
              </w:rPr>
            </w:pPr>
            <w:bookmarkStart w:id="5" w:name="_Toc92453258"/>
            <w:bookmarkStart w:id="6" w:name="_Toc92665272"/>
            <w:r w:rsidRPr="00A36F60">
              <w:rPr>
                <w:rFonts w:cstheme="minorHAnsi"/>
                <w:bCs/>
                <w:szCs w:val="22"/>
              </w:rPr>
              <w:t>(</w:t>
            </w:r>
            <w:r w:rsidRPr="00A36F60">
              <w:rPr>
                <w:rFonts w:cstheme="minorHAnsi"/>
              </w:rPr>
              <w:fldChar w:fldCharType="begin"/>
            </w:r>
            <w:r w:rsidRPr="00A36F60">
              <w:rPr>
                <w:rFonts w:cstheme="minorHAnsi"/>
                <w:szCs w:val="22"/>
              </w:rPr>
              <w:instrText xml:space="preserve"> SEQ Eq \* MERGEFORMAT </w:instrText>
            </w:r>
            <w:r w:rsidRPr="00A36F60">
              <w:rPr>
                <w:rFonts w:cstheme="minorHAnsi"/>
                <w:szCs w:val="22"/>
                <w:lang w:bidi="ar-SA"/>
              </w:rPr>
              <w:fldChar w:fldCharType="separate"/>
            </w:r>
            <w:r w:rsidR="004E0E95" w:rsidRPr="004E0E95">
              <w:rPr>
                <w:rFonts w:cstheme="minorHAnsi"/>
                <w:bCs/>
                <w:noProof/>
                <w:szCs w:val="22"/>
              </w:rPr>
              <w:t>3</w:t>
            </w:r>
            <w:r w:rsidRPr="00A36F60">
              <w:rPr>
                <w:rFonts w:cstheme="minorHAnsi"/>
                <w:bCs/>
                <w:noProof/>
              </w:rPr>
              <w:fldChar w:fldCharType="end"/>
            </w:r>
            <w:r w:rsidRPr="00A36F60">
              <w:rPr>
                <w:rFonts w:cstheme="minorHAnsi"/>
                <w:bCs/>
                <w:szCs w:val="22"/>
              </w:rPr>
              <w:t>)</w:t>
            </w:r>
            <w:bookmarkEnd w:id="5"/>
            <w:bookmarkEnd w:id="6"/>
          </w:p>
        </w:tc>
      </w:tr>
      <w:tr w:rsidR="00FF2892" w:rsidRPr="00A36F60" w:rsidTr="0029403B">
        <w:trPr>
          <w:jc w:val="center"/>
        </w:trPr>
        <w:tc>
          <w:tcPr>
            <w:tcW w:w="784" w:type="dxa"/>
          </w:tcPr>
          <w:p w:rsidR="00FF2892" w:rsidRPr="00A36F60" w:rsidRDefault="00FF2892" w:rsidP="00BC48E9">
            <w:pPr>
              <w:spacing w:after="120"/>
              <w:jc w:val="both"/>
              <w:rPr>
                <w:rFonts w:cstheme="minorHAnsi"/>
                <w:szCs w:val="22"/>
              </w:rPr>
            </w:pPr>
          </w:p>
        </w:tc>
        <w:tc>
          <w:tcPr>
            <w:tcW w:w="7713" w:type="dxa"/>
            <w:vAlign w:val="center"/>
          </w:tcPr>
          <w:p w:rsidR="00FF2892" w:rsidRPr="00A36F60" w:rsidRDefault="00FF2892" w:rsidP="00BC48E9">
            <w:pPr>
              <w:spacing w:after="120"/>
              <w:jc w:val="both"/>
              <w:rPr>
                <w:rFonts w:cstheme="minorHAnsi"/>
                <w:szCs w:val="22"/>
              </w:rPr>
            </w:pPr>
            <m:oMathPara>
              <m:oMathParaPr>
                <m:jc m:val="left"/>
              </m:oMathParaPr>
              <m:oMath>
                <m:r>
                  <w:rPr>
                    <w:rFonts w:ascii="Cambria Math" w:hAnsi="Cambria Math" w:cstheme="minorHAnsi"/>
                    <w:szCs w:val="22"/>
                  </w:rPr>
                  <m:t>VMG</m:t>
                </m:r>
                <m:r>
                  <m:rPr>
                    <m:sty m:val="p"/>
                  </m:rPr>
                  <w:rPr>
                    <w:rFonts w:ascii="Cambria Math" w:hAnsi="Cambria Math" w:cstheme="minorHAnsi"/>
                    <w:szCs w:val="22"/>
                  </w:rPr>
                  <m:t>=</m:t>
                </m:r>
                <m:r>
                  <w:rPr>
                    <w:rFonts w:ascii="Cambria Math" w:hAnsi="Cambria Math" w:cstheme="minorHAnsi"/>
                    <w:szCs w:val="22"/>
                  </w:rPr>
                  <m:t>Equal</m:t>
                </m:r>
                <m:r>
                  <m:rPr>
                    <m:sty m:val="p"/>
                  </m:rPr>
                  <w:rPr>
                    <w:rFonts w:ascii="Cambria Math" w:hAnsi="Cambria Math" w:cstheme="minorHAnsi"/>
                    <w:szCs w:val="22"/>
                  </w:rPr>
                  <m:t xml:space="preserve"> </m:t>
                </m:r>
                <m:r>
                  <w:rPr>
                    <w:rFonts w:ascii="Cambria Math" w:hAnsi="Cambria Math" w:cstheme="minorHAnsi"/>
                    <w:szCs w:val="22"/>
                  </w:rPr>
                  <m:t>weight</m:t>
                </m:r>
                <m:r>
                  <m:rPr>
                    <m:sty m:val="p"/>
                  </m:rPr>
                  <w:rPr>
                    <w:rFonts w:ascii="Cambria Math" w:hAnsi="Cambria Math" w:cstheme="minorHAnsi"/>
                    <w:szCs w:val="22"/>
                  </w:rPr>
                  <m:t xml:space="preserve">  </m:t>
                </m:r>
                <m:sSub>
                  <m:sSubPr>
                    <m:ctrlPr>
                      <w:rPr>
                        <w:rFonts w:ascii="Cambria Math" w:hAnsi="Cambria Math" w:cstheme="minorHAnsi"/>
                        <w:szCs w:val="22"/>
                      </w:rPr>
                    </m:ctrlPr>
                  </m:sSubPr>
                  <m:e>
                    <m:r>
                      <w:rPr>
                        <w:rFonts w:ascii="Cambria Math" w:hAnsi="Cambria Math" w:cstheme="minorHAnsi"/>
                        <w:szCs w:val="22"/>
                      </w:rPr>
                      <m:t>of</m:t>
                    </m:r>
                    <m:r>
                      <m:rPr>
                        <m:sty m:val="p"/>
                      </m:rPr>
                      <w:rPr>
                        <w:rFonts w:ascii="Cambria Math" w:hAnsi="Cambria Math" w:cstheme="minorHAnsi"/>
                        <w:szCs w:val="22"/>
                      </w:rPr>
                      <m:t xml:space="preserve"> </m:t>
                    </m:r>
                    <m:r>
                      <w:rPr>
                        <w:rFonts w:ascii="Cambria Math" w:hAnsi="Cambria Math" w:cstheme="minorHAnsi"/>
                        <w:szCs w:val="22"/>
                      </w:rPr>
                      <m:t>VMG</m:t>
                    </m:r>
                  </m:e>
                  <m:sub>
                    <m:r>
                      <w:rPr>
                        <w:rFonts w:ascii="Cambria Math" w:hAnsi="Cambria Math" w:cstheme="minorHAnsi"/>
                        <w:szCs w:val="22"/>
                      </w:rPr>
                      <m:t>S</m:t>
                    </m:r>
                  </m:sub>
                </m:sSub>
                <m:r>
                  <m:rPr>
                    <m:sty m:val="p"/>
                  </m:rPr>
                  <w:rPr>
                    <w:rFonts w:ascii="Cambria Math" w:hAnsi="Cambria Math" w:cstheme="minorHAnsi"/>
                    <w:szCs w:val="22"/>
                  </w:rPr>
                  <m:t xml:space="preserve"> </m:t>
                </m:r>
                <m:r>
                  <w:rPr>
                    <w:rFonts w:ascii="Cambria Math" w:hAnsi="Cambria Math" w:cstheme="minorHAnsi"/>
                    <w:szCs w:val="22"/>
                  </w:rPr>
                  <m:t>and</m:t>
                </m:r>
                <m:r>
                  <m:rPr>
                    <m:sty m:val="p"/>
                  </m:rPr>
                  <w:rPr>
                    <w:rFonts w:ascii="Cambria Math" w:hAnsi="Cambria Math" w:cstheme="minorHAnsi"/>
                    <w:szCs w:val="22"/>
                  </w:rPr>
                  <m:t xml:space="preserve"> </m:t>
                </m:r>
                <m:sSub>
                  <m:sSubPr>
                    <m:ctrlPr>
                      <w:rPr>
                        <w:rFonts w:ascii="Cambria Math" w:hAnsi="Cambria Math" w:cstheme="minorHAnsi"/>
                        <w:szCs w:val="22"/>
                      </w:rPr>
                    </m:ctrlPr>
                  </m:sSubPr>
                  <m:e>
                    <m:r>
                      <w:rPr>
                        <w:rFonts w:ascii="Cambria Math" w:hAnsi="Cambria Math" w:cstheme="minorHAnsi"/>
                        <w:szCs w:val="22"/>
                      </w:rPr>
                      <m:t>VMG</m:t>
                    </m:r>
                  </m:e>
                  <m:sub>
                    <m:r>
                      <w:rPr>
                        <w:rFonts w:ascii="Cambria Math" w:hAnsi="Cambria Math" w:cstheme="minorHAnsi"/>
                        <w:szCs w:val="22"/>
                      </w:rPr>
                      <m:t>B</m:t>
                    </m:r>
                  </m:sub>
                </m:sSub>
              </m:oMath>
            </m:oMathPara>
          </w:p>
        </w:tc>
        <w:tc>
          <w:tcPr>
            <w:tcW w:w="794" w:type="dxa"/>
            <w:vAlign w:val="center"/>
          </w:tcPr>
          <w:p w:rsidR="00FF2892" w:rsidRPr="00A36F60" w:rsidRDefault="00FF2892" w:rsidP="00BC48E9">
            <w:pPr>
              <w:bidi/>
              <w:spacing w:after="120"/>
              <w:jc w:val="both"/>
              <w:rPr>
                <w:rFonts w:cstheme="minorHAnsi"/>
                <w:bCs/>
                <w:szCs w:val="22"/>
              </w:rPr>
            </w:pPr>
            <w:bookmarkStart w:id="7" w:name="_Toc92453259"/>
            <w:bookmarkStart w:id="8" w:name="_Toc92665273"/>
            <w:r w:rsidRPr="00A36F60">
              <w:rPr>
                <w:rFonts w:cstheme="minorHAnsi"/>
                <w:bCs/>
                <w:szCs w:val="22"/>
              </w:rPr>
              <w:t>(</w:t>
            </w:r>
            <w:r w:rsidRPr="00A36F60">
              <w:rPr>
                <w:rFonts w:cstheme="minorHAnsi"/>
              </w:rPr>
              <w:fldChar w:fldCharType="begin"/>
            </w:r>
            <w:r w:rsidRPr="00A36F60">
              <w:rPr>
                <w:rFonts w:cstheme="minorHAnsi"/>
                <w:szCs w:val="22"/>
              </w:rPr>
              <w:instrText xml:space="preserve"> SEQ Eq \* MERGEFORMAT </w:instrText>
            </w:r>
            <w:r w:rsidRPr="00A36F60">
              <w:rPr>
                <w:rFonts w:cstheme="minorHAnsi"/>
                <w:szCs w:val="22"/>
                <w:lang w:bidi="ar-SA"/>
              </w:rPr>
              <w:fldChar w:fldCharType="separate"/>
            </w:r>
            <w:r w:rsidR="004E0E95" w:rsidRPr="004E0E95">
              <w:rPr>
                <w:rFonts w:cstheme="minorHAnsi"/>
                <w:bCs/>
                <w:noProof/>
                <w:szCs w:val="22"/>
              </w:rPr>
              <w:t>4</w:t>
            </w:r>
            <w:r w:rsidRPr="00A36F60">
              <w:rPr>
                <w:rFonts w:cstheme="minorHAnsi"/>
                <w:bCs/>
                <w:noProof/>
              </w:rPr>
              <w:fldChar w:fldCharType="end"/>
            </w:r>
            <w:r w:rsidRPr="00A36F60">
              <w:rPr>
                <w:rFonts w:cstheme="minorHAnsi"/>
                <w:bCs/>
                <w:szCs w:val="22"/>
              </w:rPr>
              <w:t>)</w:t>
            </w:r>
            <w:bookmarkEnd w:id="7"/>
            <w:bookmarkEnd w:id="8"/>
          </w:p>
        </w:tc>
      </w:tr>
    </w:tbl>
    <w:p w:rsidR="00FF2892" w:rsidRPr="00C616E6" w:rsidRDefault="00FF2892" w:rsidP="004036C2">
      <w:pPr>
        <w:spacing w:before="120" w:after="120" w:line="240" w:lineRule="auto"/>
        <w:jc w:val="both"/>
      </w:pPr>
      <w:r w:rsidRPr="00C616E6">
        <w:t xml:space="preserve">Where, </w:t>
      </w:r>
      <w:r w:rsidRPr="00C616E6">
        <w:rPr>
          <w:i/>
          <w:iCs/>
        </w:rPr>
        <w:t>S</w:t>
      </w:r>
      <w:r w:rsidRPr="00C616E6">
        <w:t xml:space="preserve"> stands for small stocks and </w:t>
      </w:r>
      <w:r w:rsidRPr="00C616E6">
        <w:rPr>
          <w:i/>
          <w:iCs/>
        </w:rPr>
        <w:t>B</w:t>
      </w:r>
      <w:r w:rsidRPr="00C616E6">
        <w:t xml:space="preserve"> stands for large stocks, </w:t>
      </w:r>
      <w:r w:rsidRPr="00C616E6">
        <w:rPr>
          <w:i/>
          <w:iCs/>
        </w:rPr>
        <w:t>V</w:t>
      </w:r>
      <w:r w:rsidRPr="00C616E6">
        <w:t xml:space="preserve"> and </w:t>
      </w:r>
      <w:r w:rsidRPr="00C616E6">
        <w:rPr>
          <w:i/>
          <w:iCs/>
        </w:rPr>
        <w:t>G</w:t>
      </w:r>
      <w:r w:rsidRPr="00C616E6">
        <w:t xml:space="preserve"> denote value stocks and growth stocks, respectively.</w:t>
      </w:r>
    </w:p>
    <w:p w:rsidR="00261CB4" w:rsidRPr="00261CB4" w:rsidRDefault="00261CB4" w:rsidP="004036C2">
      <w:pPr>
        <w:pStyle w:val="Heading2"/>
        <w:spacing w:before="240" w:line="240" w:lineRule="auto"/>
        <w:rPr>
          <w:rFonts w:asciiTheme="minorHAnsi" w:hAnsiTheme="minorHAnsi" w:cstheme="minorHAnsi"/>
          <w:sz w:val="22"/>
          <w:szCs w:val="22"/>
        </w:rPr>
      </w:pPr>
      <w:r w:rsidRPr="00261CB4">
        <w:rPr>
          <w:rFonts w:asciiTheme="minorHAnsi" w:hAnsiTheme="minorHAnsi" w:cstheme="minorHAnsi"/>
          <w:sz w:val="22"/>
          <w:szCs w:val="22"/>
        </w:rPr>
        <w:t>3.</w:t>
      </w:r>
      <w:r>
        <w:rPr>
          <w:rFonts w:asciiTheme="minorHAnsi" w:hAnsiTheme="minorHAnsi" w:cstheme="minorHAnsi"/>
          <w:sz w:val="22"/>
          <w:szCs w:val="22"/>
        </w:rPr>
        <w:t>2</w:t>
      </w:r>
      <w:r w:rsidRPr="00261CB4">
        <w:rPr>
          <w:rFonts w:asciiTheme="minorHAnsi" w:hAnsiTheme="minorHAnsi" w:cstheme="minorHAnsi"/>
          <w:sz w:val="22"/>
          <w:szCs w:val="22"/>
        </w:rPr>
        <w:t xml:space="preserve"> Risk-adjusted returns</w:t>
      </w:r>
    </w:p>
    <w:p w:rsidR="00261CB4" w:rsidRPr="00C616E6" w:rsidRDefault="00261CB4" w:rsidP="004036C2">
      <w:pPr>
        <w:spacing w:before="120" w:after="120" w:line="240" w:lineRule="auto"/>
        <w:jc w:val="both"/>
      </w:pPr>
      <w:r w:rsidRPr="00C616E6">
        <w:t xml:space="preserve">According to </w:t>
      </w:r>
      <w:r w:rsidR="00216535">
        <w:fldChar w:fldCharType="begin"/>
      </w:r>
      <w:r w:rsidR="004036C2">
        <w:instrText xml:space="preserve"> ADDIN EN.CITE &lt;EndNote&gt;&lt;Cite&gt;&lt;Author&gt;Yen&lt;/Author&gt;&lt;Year&gt;2004&lt;/Year&gt;&lt;RecNum&gt;31&lt;/RecNum&gt;&lt;DisplayText&gt;[14]&lt;/DisplayText&gt;&lt;record&gt;&lt;rec-number&gt;31&lt;/rec-number&gt;&lt;foreign-keys&gt;&lt;key app="EN" db-id="r2etwrpv9zvzp3ezvrip02pxxdxa2wesx5fs"&gt;31&lt;/key&gt;&lt;/foreign-keys&gt;&lt;ref-type name="Journal Article"&gt;17&lt;/ref-type&gt;&lt;contributors&gt;&lt;authors&gt;&lt;author&gt;Yen, Jenn Yaw&lt;/author&gt;&lt;author&gt;Sun, Qian&lt;/author&gt;&lt;author&gt;Yan, Yuxing&lt;/author&gt;&lt;/authors&gt;&lt;/contributors&gt;&lt;titles&gt;&lt;title&gt;Value versus growth stocks in Singapore&lt;/title&gt;&lt;secondary-title&gt;Journal of Multinational Financial Management&lt;/secondary-title&gt;&lt;/titles&gt;&lt;periodical&gt;&lt;full-title&gt;Journal of Multinational Financial Management&lt;/full-title&gt;&lt;/periodical&gt;&lt;pages&gt;19-34&lt;/pages&gt;&lt;volume&gt;14&lt;/volume&gt;&lt;number&gt;1&lt;/number&gt;&lt;keywords&gt;&lt;keyword&gt;Value premium&lt;/keyword&gt;&lt;keyword&gt;Over-reaction&lt;/keyword&gt;&lt;keyword&gt;Mean reversion&lt;/keyword&gt;&lt;/keywords&gt;&lt;dates&gt;&lt;year&gt;2004&lt;/year&gt;&lt;pub-dates&gt;&lt;date&gt;2//&lt;/date&gt;&lt;/pub-dates&gt;&lt;/dates&gt;&lt;isbn&gt;1042-444X&lt;/isbn&gt;&lt;urls&gt;&lt;related-urls&gt;&lt;url&gt;http://www.sciencedirect.com/science/article/pii/S1042444X03000367&lt;/url&gt;&lt;/related-urls&gt;&lt;/urls&gt;&lt;electronic-resource-num&gt;http://dx.doi.org/10.1016/S1042-444X(03)00036-7&lt;/electronic-resource-num&gt;&lt;/record&gt;&lt;/Cite&gt;&lt;/EndNote&gt;</w:instrText>
      </w:r>
      <w:r w:rsidR="00216535">
        <w:fldChar w:fldCharType="separate"/>
      </w:r>
      <w:r w:rsidR="004036C2">
        <w:rPr>
          <w:noProof/>
        </w:rPr>
        <w:t>[14]</w:t>
      </w:r>
      <w:r w:rsidR="00216535">
        <w:fldChar w:fldCharType="end"/>
      </w:r>
      <w:r w:rsidR="00216535">
        <w:t xml:space="preserve"> </w:t>
      </w:r>
      <w:r w:rsidRPr="00C616E6">
        <w:t xml:space="preserve">stocks and portfolios should be evaluated both in terms of total return and risk adjusted return. In this study we use the Sharpe ratio for measuring the portfolios performances per unit of risk. Sharpe ratio is calculated for each portfolio formed based on size-P/B namely; </w:t>
      </w:r>
      <w:r w:rsidRPr="00C616E6">
        <w:rPr>
          <w:i/>
          <w:iCs/>
        </w:rPr>
        <w:t>SV, SN, SG, BV, BN</w:t>
      </w:r>
      <w:r w:rsidRPr="00C616E6">
        <w:t xml:space="preserve">, and </w:t>
      </w:r>
      <w:r>
        <w:rPr>
          <w:i/>
          <w:iCs/>
        </w:rPr>
        <w:t xml:space="preserve">BG. </w:t>
      </w:r>
      <w:r w:rsidRPr="00C616E6">
        <w:t>The Sharpe ratio formula can be written as follow: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7528"/>
        <w:gridCol w:w="765"/>
      </w:tblGrid>
      <w:tr w:rsidR="00261CB4" w:rsidRPr="00A36F60" w:rsidTr="0029403B">
        <w:trPr>
          <w:jc w:val="center"/>
        </w:trPr>
        <w:tc>
          <w:tcPr>
            <w:tcW w:w="784" w:type="dxa"/>
            <w:vAlign w:val="center"/>
          </w:tcPr>
          <w:p w:rsidR="00261CB4" w:rsidRPr="00A36F60" w:rsidRDefault="00261CB4" w:rsidP="00BC48E9">
            <w:pPr>
              <w:spacing w:after="120"/>
              <w:jc w:val="both"/>
              <w:rPr>
                <w:rFonts w:cstheme="minorHAnsi"/>
                <w:szCs w:val="22"/>
              </w:rPr>
            </w:pPr>
          </w:p>
        </w:tc>
        <w:tc>
          <w:tcPr>
            <w:tcW w:w="7797" w:type="dxa"/>
            <w:vAlign w:val="center"/>
          </w:tcPr>
          <w:p w:rsidR="00261CB4" w:rsidRPr="00A36F60" w:rsidRDefault="00261CB4" w:rsidP="00BC48E9">
            <w:pPr>
              <w:spacing w:after="120"/>
              <w:jc w:val="both"/>
              <w:rPr>
                <w:rFonts w:eastAsiaTheme="minorEastAsia" w:cstheme="minorHAnsi"/>
                <w:szCs w:val="22"/>
              </w:rPr>
            </w:pPr>
            <m:oMathPara>
              <m:oMathParaPr>
                <m:jc m:val="left"/>
              </m:oMathParaPr>
              <m:oMath>
                <m:r>
                  <w:rPr>
                    <w:rFonts w:ascii="Cambria Math" w:hAnsi="Cambria Math" w:cstheme="minorHAnsi"/>
                    <w:szCs w:val="22"/>
                  </w:rPr>
                  <m:t>Sharpe</m:t>
                </m:r>
                <m:r>
                  <m:rPr>
                    <m:sty m:val="p"/>
                  </m:rPr>
                  <w:rPr>
                    <w:rFonts w:ascii="Cambria Math" w:hAnsi="Cambria Math" w:cstheme="minorHAnsi"/>
                    <w:szCs w:val="22"/>
                  </w:rPr>
                  <m:t xml:space="preserve"> </m:t>
                </m:r>
                <m:r>
                  <w:rPr>
                    <w:rFonts w:ascii="Cambria Math" w:hAnsi="Cambria Math" w:cstheme="minorHAnsi"/>
                    <w:szCs w:val="22"/>
                  </w:rPr>
                  <m:t>ratio</m:t>
                </m:r>
                <m:r>
                  <m:rPr>
                    <m:sty m:val="p"/>
                  </m:rPr>
                  <w:rPr>
                    <w:rFonts w:ascii="Cambria Math" w:hAnsi="Cambria Math" w:cstheme="minorHAnsi"/>
                    <w:szCs w:val="22"/>
                  </w:rPr>
                  <m:t>=</m:t>
                </m:r>
                <m:f>
                  <m:fPr>
                    <m:ctrlPr>
                      <w:rPr>
                        <w:rFonts w:ascii="Cambria Math" w:hAnsi="Cambria Math" w:cstheme="minorHAnsi"/>
                        <w:szCs w:val="22"/>
                      </w:rPr>
                    </m:ctrlPr>
                  </m:fPr>
                  <m:num>
                    <m:sSub>
                      <m:sSubPr>
                        <m:ctrlPr>
                          <w:rPr>
                            <w:rFonts w:ascii="Cambria Math" w:hAnsi="Cambria Math" w:cstheme="minorHAnsi"/>
                            <w:szCs w:val="22"/>
                          </w:rPr>
                        </m:ctrlPr>
                      </m:sSubPr>
                      <m:e>
                        <m:acc>
                          <m:accPr>
                            <m:chr m:val="̅"/>
                            <m:ctrlPr>
                              <w:rPr>
                                <w:rFonts w:ascii="Cambria Math" w:hAnsi="Cambria Math" w:cstheme="minorHAnsi"/>
                                <w:szCs w:val="22"/>
                              </w:rPr>
                            </m:ctrlPr>
                          </m:accPr>
                          <m:e>
                            <m:r>
                              <w:rPr>
                                <w:rFonts w:ascii="Cambria Math" w:hAnsi="Cambria Math" w:cstheme="minorHAnsi"/>
                                <w:szCs w:val="22"/>
                              </w:rPr>
                              <m:t>R</m:t>
                            </m:r>
                          </m:e>
                        </m:acc>
                      </m:e>
                      <m:sub>
                        <m:r>
                          <w:rPr>
                            <w:rFonts w:ascii="Cambria Math" w:hAnsi="Cambria Math" w:cstheme="minorHAnsi"/>
                            <w:szCs w:val="22"/>
                          </w:rPr>
                          <m:t>p</m:t>
                        </m:r>
                      </m:sub>
                    </m:sSub>
                    <m:r>
                      <m:rPr>
                        <m:sty m:val="p"/>
                      </m:rPr>
                      <w:rPr>
                        <w:rFonts w:ascii="Cambria Math" w:hAnsi="Cambria Math" w:cstheme="minorHAnsi"/>
                        <w:szCs w:val="22"/>
                      </w:rPr>
                      <m:t xml:space="preserve"> - </m:t>
                    </m:r>
                    <m:sSub>
                      <m:sSubPr>
                        <m:ctrlPr>
                          <w:rPr>
                            <w:rFonts w:ascii="Cambria Math" w:hAnsi="Cambria Math" w:cstheme="minorHAnsi"/>
                            <w:szCs w:val="22"/>
                          </w:rPr>
                        </m:ctrlPr>
                      </m:sSubPr>
                      <m:e>
                        <m:acc>
                          <m:accPr>
                            <m:chr m:val="̅"/>
                            <m:ctrlPr>
                              <w:rPr>
                                <w:rFonts w:ascii="Cambria Math" w:hAnsi="Cambria Math" w:cstheme="minorHAnsi"/>
                                <w:szCs w:val="22"/>
                              </w:rPr>
                            </m:ctrlPr>
                          </m:accPr>
                          <m:e>
                            <m:r>
                              <w:rPr>
                                <w:rFonts w:ascii="Cambria Math" w:hAnsi="Cambria Math" w:cstheme="minorHAnsi"/>
                                <w:szCs w:val="22"/>
                              </w:rPr>
                              <m:t>r</m:t>
                            </m:r>
                          </m:e>
                        </m:acc>
                      </m:e>
                      <m:sub>
                        <m:r>
                          <w:rPr>
                            <w:rFonts w:ascii="Cambria Math" w:hAnsi="Cambria Math" w:cstheme="minorHAnsi"/>
                            <w:szCs w:val="22"/>
                          </w:rPr>
                          <m:t>f</m:t>
                        </m:r>
                      </m:sub>
                    </m:sSub>
                  </m:num>
                  <m:den>
                    <m:sSub>
                      <m:sSubPr>
                        <m:ctrlPr>
                          <w:rPr>
                            <w:rFonts w:ascii="Cambria Math" w:hAnsi="Cambria Math" w:cstheme="minorHAnsi"/>
                            <w:szCs w:val="22"/>
                          </w:rPr>
                        </m:ctrlPr>
                      </m:sSubPr>
                      <m:e>
                        <m:r>
                          <w:rPr>
                            <w:rFonts w:ascii="Cambria Math" w:hAnsi="Cambria Math" w:cstheme="minorHAnsi"/>
                            <w:szCs w:val="22"/>
                          </w:rPr>
                          <m:t>σ</m:t>
                        </m:r>
                      </m:e>
                      <m:sub>
                        <m:r>
                          <w:rPr>
                            <w:rFonts w:ascii="Cambria Math" w:hAnsi="Cambria Math" w:cstheme="minorHAnsi"/>
                            <w:szCs w:val="22"/>
                          </w:rPr>
                          <m:t>p</m:t>
                        </m:r>
                      </m:sub>
                    </m:sSub>
                  </m:den>
                </m:f>
              </m:oMath>
            </m:oMathPara>
          </w:p>
        </w:tc>
        <w:tc>
          <w:tcPr>
            <w:tcW w:w="779" w:type="dxa"/>
            <w:vAlign w:val="center"/>
          </w:tcPr>
          <w:p w:rsidR="00261CB4" w:rsidRPr="00A36F60" w:rsidRDefault="00261CB4" w:rsidP="00BC48E9">
            <w:pPr>
              <w:bidi/>
              <w:spacing w:after="120"/>
              <w:jc w:val="both"/>
              <w:rPr>
                <w:rFonts w:cstheme="minorHAnsi"/>
                <w:bCs/>
                <w:szCs w:val="22"/>
              </w:rPr>
            </w:pPr>
            <w:bookmarkStart w:id="9" w:name="_Toc92453263"/>
            <w:bookmarkStart w:id="10" w:name="_Toc92665277"/>
            <w:r w:rsidRPr="00A36F60">
              <w:rPr>
                <w:rFonts w:cstheme="minorHAnsi"/>
                <w:bCs/>
                <w:szCs w:val="22"/>
              </w:rPr>
              <w:t>(</w:t>
            </w:r>
            <w:r w:rsidR="005C2707" w:rsidRPr="00A36F60">
              <w:rPr>
                <w:rFonts w:cstheme="minorHAnsi"/>
              </w:rPr>
              <w:fldChar w:fldCharType="begin"/>
            </w:r>
            <w:r w:rsidR="005C2707" w:rsidRPr="00A36F60">
              <w:rPr>
                <w:rFonts w:cstheme="minorHAnsi"/>
                <w:szCs w:val="22"/>
              </w:rPr>
              <w:instrText xml:space="preserve"> SEQ Eq \* MERGEFORMAT </w:instrText>
            </w:r>
            <w:r w:rsidR="005C2707" w:rsidRPr="00A36F60">
              <w:rPr>
                <w:rFonts w:cstheme="minorHAnsi"/>
                <w:szCs w:val="22"/>
                <w:lang w:bidi="ar-SA"/>
              </w:rPr>
              <w:fldChar w:fldCharType="separate"/>
            </w:r>
            <w:r w:rsidR="004E0E95" w:rsidRPr="004E0E95">
              <w:rPr>
                <w:rFonts w:cstheme="minorHAnsi"/>
                <w:bCs/>
                <w:noProof/>
                <w:szCs w:val="22"/>
              </w:rPr>
              <w:t>5</w:t>
            </w:r>
            <w:r w:rsidR="005C2707" w:rsidRPr="00A36F60">
              <w:rPr>
                <w:rFonts w:cstheme="minorHAnsi"/>
                <w:bCs/>
                <w:noProof/>
              </w:rPr>
              <w:fldChar w:fldCharType="end"/>
            </w:r>
            <w:r w:rsidRPr="00A36F60">
              <w:rPr>
                <w:rFonts w:cstheme="minorHAnsi"/>
                <w:bCs/>
                <w:szCs w:val="22"/>
              </w:rPr>
              <w:t>)</w:t>
            </w:r>
            <w:bookmarkEnd w:id="9"/>
            <w:bookmarkEnd w:id="10"/>
          </w:p>
        </w:tc>
      </w:tr>
    </w:tbl>
    <w:p w:rsidR="00261CB4" w:rsidRPr="00C616E6" w:rsidRDefault="00261CB4" w:rsidP="004036C2">
      <w:pPr>
        <w:spacing w:before="120" w:after="120" w:line="240" w:lineRule="auto"/>
        <w:jc w:val="both"/>
      </w:pPr>
      <w:r w:rsidRPr="00C616E6">
        <w:t>Where,</w:t>
      </w:r>
      <m:oMath>
        <m:r>
          <w:rPr>
            <w:rFonts w:ascii="Cambria Math" w:hAnsi="Cambria Math"/>
          </w:rPr>
          <m:t xml:space="preserve"> </m:t>
        </m:r>
        <m:sSub>
          <m:sSubPr>
            <m:ctrlPr>
              <w:rPr>
                <w:rFonts w:ascii="Cambria Math" w:hAnsi="Cambria Math"/>
              </w:rPr>
            </m:ctrlPr>
          </m:sSubPr>
          <m:e>
            <m:acc>
              <m:accPr>
                <m:chr m:val="̅"/>
                <m:ctrlPr>
                  <w:rPr>
                    <w:rFonts w:ascii="Cambria Math" w:hAnsi="Cambria Math"/>
                    <w:i/>
                  </w:rPr>
                </m:ctrlPr>
              </m:accPr>
              <m:e>
                <m:r>
                  <w:rPr>
                    <w:rFonts w:ascii="Cambria Math" w:hAnsi="Cambria Math"/>
                  </w:rPr>
                  <m:t>R</m:t>
                </m:r>
              </m:e>
            </m:acc>
          </m:e>
          <m:sub>
            <m:r>
              <w:rPr>
                <w:rFonts w:ascii="Cambria Math" w:hAnsi="Cambria Math"/>
              </w:rPr>
              <m:t>p</m:t>
            </m:r>
          </m:sub>
        </m:sSub>
      </m:oMath>
      <w:r w:rsidRPr="00C616E6">
        <w:t xml:space="preserve"> is the average return of the portfolio for a certain period of time which is monthly return in this study, </w:t>
      </w:r>
      <m:oMath>
        <m:sSub>
          <m:sSubPr>
            <m:ctrlPr>
              <w:rPr>
                <w:rFonts w:ascii="Cambria Math" w:hAnsi="Cambria Math"/>
              </w:rPr>
            </m:ctrlPr>
          </m:sSubPr>
          <m:e>
            <m:acc>
              <m:accPr>
                <m:chr m:val="̅"/>
                <m:ctrlPr>
                  <w:rPr>
                    <w:rFonts w:ascii="Cambria Math" w:hAnsi="Cambria Math"/>
                    <w:i/>
                  </w:rPr>
                </m:ctrlPr>
              </m:accPr>
              <m:e>
                <m:r>
                  <w:rPr>
                    <w:rFonts w:ascii="Cambria Math" w:hAnsi="Cambria Math"/>
                  </w:rPr>
                  <m:t>r</m:t>
                </m:r>
              </m:e>
            </m:acc>
          </m:e>
          <m:sub>
            <m:r>
              <w:rPr>
                <w:rFonts w:ascii="Cambria Math" w:hAnsi="Cambria Math"/>
              </w:rPr>
              <m:t>f</m:t>
            </m:r>
          </m:sub>
        </m:sSub>
      </m:oMath>
      <w:r w:rsidRPr="00C616E6">
        <w:t xml:space="preserve"> is risk free rate within the same period of time, and </w:t>
      </w:r>
      <m:oMath>
        <m:sSub>
          <m:sSubPr>
            <m:ctrlPr>
              <w:rPr>
                <w:rFonts w:ascii="Cambria Math" w:hAnsi="Cambria Math"/>
                <w:i/>
              </w:rPr>
            </m:ctrlPr>
          </m:sSubPr>
          <m:e>
            <m:r>
              <w:rPr>
                <w:rFonts w:ascii="Cambria Math" w:hAnsi="Cambria Math"/>
              </w:rPr>
              <m:t>σ</m:t>
            </m:r>
          </m:e>
          <m:sub>
            <m:r>
              <w:rPr>
                <w:rFonts w:ascii="Cambria Math" w:hAnsi="Cambria Math"/>
              </w:rPr>
              <m:t>p</m:t>
            </m:r>
          </m:sub>
        </m:sSub>
      </m:oMath>
      <w:r w:rsidRPr="00C616E6">
        <w:t xml:space="preserve">is the standard deviation of the </w:t>
      </w:r>
      <w:proofErr w:type="gramStart"/>
      <w:r w:rsidRPr="00C616E6">
        <w:t>portfolio.</w:t>
      </w:r>
      <w:proofErr w:type="gramEnd"/>
    </w:p>
    <w:p w:rsidR="00261CB4" w:rsidRPr="00C616E6" w:rsidRDefault="00261CB4" w:rsidP="004036C2">
      <w:pPr>
        <w:spacing w:before="120" w:after="120" w:line="240" w:lineRule="auto"/>
        <w:jc w:val="both"/>
      </w:pPr>
      <w:r w:rsidRPr="00C616E6">
        <w:t>The chances that governments default on an obligation denominated in its own currency are almost zero so Treasury bill and government bond are totally risk free rate</w:t>
      </w:r>
      <w:r w:rsidR="00216535">
        <w:t xml:space="preserve"> </w:t>
      </w:r>
      <w:r w:rsidR="00216535">
        <w:fldChar w:fldCharType="begin"/>
      </w:r>
      <w:r w:rsidR="004036C2">
        <w:instrText xml:space="preserve"> ADDIN EN.CITE &lt;EndNote&gt;&lt;Cite&gt;&lt;Author&gt;Hull&lt;/Author&gt;&lt;Year&gt;2011&lt;/Year&gt;&lt;RecNum&gt;35&lt;/RecNum&gt;&lt;DisplayText&gt;[18]&lt;/DisplayText&gt;&lt;record&gt;&lt;rec-number&gt;35&lt;/rec-number&gt;&lt;foreign-keys&gt;&lt;key app="EN" db-id="r2etwrpv9zvzp3ezvrip02pxxdxa2wesx5fs"&gt;35&lt;/key&gt;&lt;/foreign-keys&gt;&lt;ref-type name="Book"&gt;6&lt;/ref-type&gt;&lt;contributors&gt;&lt;authors&gt;&lt;author&gt;John C. Hull&lt;/author&gt;&lt;/authors&gt;&lt;/contributors&gt;&lt;titles&gt;&lt;title&gt;Options, Futures, and Other Derivatives (8 ed.)&lt;/title&gt;&lt;secondary-title&gt;Pearson Education&lt;/secondary-title&gt;&lt;/titles&gt;&lt;periodical&gt;&lt;full-title&gt;Pearson Education&lt;/full-title&gt;&lt;/periodical&gt;&lt;dates&gt;&lt;year&gt;2011&lt;/year&gt;&lt;/dates&gt;&lt;urls&gt;&lt;/urls&gt;&lt;/record&gt;&lt;/Cite&gt;&lt;/EndNote&gt;</w:instrText>
      </w:r>
      <w:r w:rsidR="00216535">
        <w:fldChar w:fldCharType="separate"/>
      </w:r>
      <w:r w:rsidR="004036C2">
        <w:rPr>
          <w:noProof/>
        </w:rPr>
        <w:t>[18]</w:t>
      </w:r>
      <w:r w:rsidR="00216535">
        <w:fldChar w:fldCharType="end"/>
      </w:r>
      <w:r w:rsidR="00216535">
        <w:t xml:space="preserve">. </w:t>
      </w:r>
      <w:r w:rsidRPr="00C616E6">
        <w:t xml:space="preserve">In this study, </w:t>
      </w:r>
      <w:hyperlink w:anchor="_ENREF_15" w:tooltip="Fama, 2012 #2" w:history="1"/>
      <w:r w:rsidRPr="00C616E6">
        <w:t xml:space="preserve"> Thailand government Bond 10 years is used as risk free rate.</w:t>
      </w:r>
    </w:p>
    <w:p w:rsidR="00D449FA" w:rsidRPr="00D449FA" w:rsidRDefault="004036C2" w:rsidP="004036C2">
      <w:pPr>
        <w:pStyle w:val="Heading2"/>
        <w:spacing w:before="240" w:line="240" w:lineRule="auto"/>
        <w:rPr>
          <w:rFonts w:asciiTheme="minorHAnsi" w:hAnsiTheme="minorHAnsi" w:cstheme="minorHAnsi"/>
          <w:sz w:val="22"/>
          <w:szCs w:val="22"/>
        </w:rPr>
      </w:pPr>
      <w:r>
        <w:rPr>
          <w:rFonts w:asciiTheme="minorHAnsi" w:hAnsiTheme="minorHAnsi" w:cstheme="minorHAnsi"/>
          <w:sz w:val="22"/>
          <w:szCs w:val="22"/>
        </w:rPr>
        <w:t>4</w:t>
      </w:r>
      <w:r w:rsidR="00D449FA" w:rsidRPr="00D449FA">
        <w:rPr>
          <w:rFonts w:asciiTheme="minorHAnsi" w:hAnsiTheme="minorHAnsi" w:cstheme="minorHAnsi"/>
          <w:sz w:val="22"/>
          <w:szCs w:val="22"/>
        </w:rPr>
        <w:t xml:space="preserve"> Performance of the portfolios formed on size-P/B</w:t>
      </w:r>
    </w:p>
    <w:p w:rsidR="00D449FA" w:rsidRPr="00C616E6" w:rsidRDefault="00D449FA" w:rsidP="004036C2">
      <w:pPr>
        <w:spacing w:before="120" w:after="120" w:line="240" w:lineRule="auto"/>
        <w:jc w:val="both"/>
      </w:pPr>
      <w:r w:rsidRPr="00C616E6">
        <w:t xml:space="preserve">Table 1 summarizes the performance of the 6 portfolios formed based on size-P/B, namely; </w:t>
      </w:r>
      <w:r w:rsidRPr="00C616E6">
        <w:rPr>
          <w:i/>
          <w:iCs/>
        </w:rPr>
        <w:t>SV, SN, SG, BV, BN,</w:t>
      </w:r>
      <w:r w:rsidRPr="00C616E6">
        <w:t xml:space="preserve"> and </w:t>
      </w:r>
      <w:r w:rsidRPr="00C616E6">
        <w:rPr>
          <w:i/>
          <w:iCs/>
        </w:rPr>
        <w:t>BG</w:t>
      </w:r>
      <w:r w:rsidRPr="00C616E6">
        <w:t xml:space="preserve"> between 1999 and 2013. The result in panel A demonstrates that, there is no statistical difference between average monthly returns of small-value stock portfolios and small-</w:t>
      </w:r>
      <w:r w:rsidRPr="00C616E6">
        <w:lastRenderedPageBreak/>
        <w:t xml:space="preserve">growth stock portfolios. Small-value stock portfolios provide higher average monthly returns than small-growth stock portfolios in 10 out of 15 years; however, the difference is a statistically significant in only two of these ten years. The results indicate that small-value stock portfolios do not outperformed the small-growth stock portfolios. In other word, there is no value premium in small size category during the period of study. The average monthly value premium in small stock category </w:t>
      </w:r>
      <m:oMath>
        <m:sSub>
          <m:sSubPr>
            <m:ctrlPr>
              <w:rPr>
                <w:rFonts w:ascii="Cambria Math" w:hAnsi="Cambria Math"/>
                <w:i/>
              </w:rPr>
            </m:ctrlPr>
          </m:sSubPr>
          <m:e>
            <m:r>
              <w:rPr>
                <w:rFonts w:ascii="Cambria Math" w:hAnsi="Cambria Math"/>
              </w:rPr>
              <m:t>(VMG</m:t>
            </m:r>
          </m:e>
          <m:sub>
            <m:r>
              <w:rPr>
                <w:rFonts w:ascii="Cambria Math" w:hAnsi="Cambria Math"/>
              </w:rPr>
              <m:t>S</m:t>
            </m:r>
          </m:sub>
        </m:sSub>
        <m:r>
          <w:rPr>
            <w:rFonts w:ascii="Cambria Math" w:hAnsi="Cambria Math"/>
          </w:rPr>
          <m:t>)</m:t>
        </m:r>
      </m:oMath>
      <w:r w:rsidRPr="00C616E6">
        <w:t xml:space="preserve"> is 0.18 percent with the </w:t>
      </w:r>
      <w:r w:rsidRPr="00C616E6">
        <w:rPr>
          <w:i/>
          <w:iCs/>
        </w:rPr>
        <w:t>t</w:t>
      </w:r>
      <w:r w:rsidRPr="00C616E6">
        <w:t xml:space="preserve">-value of 0.1490. Furthermore, an analysis of average monthly risk –adjusted returns also yield similar results as those of average monthly returns, wherein a higher average monthly risk-adjusted return is noted in 10 of 15 years, but the difference is statistically significant only for two of these ten years, leading us to the conclusion that small-value stock portfolios do not provide higher average monthly risk-adjusted returns than small-growth stock portfolios, with the mean difference of 3.7 percent and the </w:t>
      </w:r>
      <w:r w:rsidRPr="00C616E6">
        <w:rPr>
          <w:i/>
          <w:iCs/>
        </w:rPr>
        <w:t>t</w:t>
      </w:r>
      <w:r w:rsidRPr="00C616E6">
        <w:t xml:space="preserve">-value of 0.309. </w:t>
      </w:r>
    </w:p>
    <w:p w:rsidR="00D449FA" w:rsidRPr="00C616E6" w:rsidRDefault="00D449FA" w:rsidP="004036C2">
      <w:pPr>
        <w:spacing w:before="120" w:after="120" w:line="240" w:lineRule="auto"/>
        <w:jc w:val="both"/>
      </w:pPr>
      <w:r w:rsidRPr="00C616E6">
        <w:t xml:space="preserve">The results in panel B report that there is statistical indifference in average monthly returns of large-value stock portfolios and large-growth stock portfolios. Large-value stock portfolios generate higher average monthly returns than large-growth stock portfolios in only 6 of 15 years of the study period and among these six years only one year is statistically significant. The result is conclusive evidence that large-value stock portfolios do not outperformed large-growth stock portfolios in the study period. In other word, there is no value premium in the large size category as well. The average monthly value premium in large size category </w:t>
      </w:r>
      <m:oMath>
        <m:sSub>
          <m:sSubPr>
            <m:ctrlPr>
              <w:rPr>
                <w:rFonts w:ascii="Cambria Math" w:hAnsi="Cambria Math"/>
                <w:i/>
              </w:rPr>
            </m:ctrlPr>
          </m:sSubPr>
          <m:e>
            <m:r>
              <w:rPr>
                <w:rFonts w:ascii="Cambria Math" w:hAnsi="Cambria Math"/>
              </w:rPr>
              <m:t>(VMG</m:t>
            </m:r>
          </m:e>
          <m:sub>
            <m:r>
              <w:rPr>
                <w:rFonts w:ascii="Cambria Math" w:hAnsi="Cambria Math"/>
              </w:rPr>
              <m:t>B</m:t>
            </m:r>
          </m:sub>
        </m:sSub>
        <m:r>
          <w:rPr>
            <w:rFonts w:ascii="Cambria Math" w:hAnsi="Cambria Math"/>
          </w:rPr>
          <m:t xml:space="preserve">) </m:t>
        </m:r>
      </m:oMath>
      <w:r w:rsidRPr="00C616E6">
        <w:t xml:space="preserve">is 0.21 percent with the </w:t>
      </w:r>
      <w:r w:rsidRPr="00C616E6">
        <w:rPr>
          <w:i/>
          <w:iCs/>
        </w:rPr>
        <w:t>t</w:t>
      </w:r>
      <w:r w:rsidRPr="00C616E6">
        <w:t xml:space="preserve">-value of 0.232. Furthermore, although large-value stock portfolios generate higher average monthly risk-adjusted return than large-growth stock portfolios in 7 of the 15 years, the results are not statistically significant in any of these seven years. Average results indicate that the large-value stock portfolios do not gain higher average monthly risk-adjusted returns than large-growth stock portfolios with a mean difference of -0.4 percent and a </w:t>
      </w:r>
      <w:r w:rsidRPr="00C616E6">
        <w:rPr>
          <w:i/>
          <w:iCs/>
        </w:rPr>
        <w:t>t</w:t>
      </w:r>
      <w:r w:rsidRPr="00C616E6">
        <w:t xml:space="preserve">-value of -0.04. </w:t>
      </w:r>
    </w:p>
    <w:p w:rsidR="00D449FA" w:rsidRDefault="00D449FA" w:rsidP="004036C2">
      <w:pPr>
        <w:spacing w:before="120" w:after="120" w:line="240" w:lineRule="auto"/>
        <w:jc w:val="both"/>
      </w:pPr>
      <w:r w:rsidRPr="00C616E6">
        <w:t xml:space="preserve">Panel C reports the difference between small stock portfolios and large stocks portfolios </w:t>
      </w:r>
      <w:r w:rsidRPr="00C616E6">
        <w:rPr>
          <w:i/>
          <w:iCs/>
        </w:rPr>
        <w:t>(SMB)</w:t>
      </w:r>
      <w:r w:rsidRPr="00C616E6">
        <w:t xml:space="preserve">. Small stock portfolios generate higher average monthly returns than large stocks portfolios in 11 of 15 the years of the study period. But this is statistically significant in only two of the eleven years. The result demonstrates that small stocks outperform large stocks with the mean of 2.02 </w:t>
      </w:r>
      <w:r w:rsidR="00A046B8" w:rsidRPr="00A046B8">
        <w:t>percent and the t-value of 2.22 over the period of 1999 to 2013. This finding is in line with previous studies such as those conducted by</w:t>
      </w:r>
      <w:r w:rsidR="00A219CA">
        <w:t xml:space="preserve"> </w:t>
      </w:r>
      <w:r w:rsidR="00A219CA">
        <w:fldChar w:fldCharType="begin"/>
      </w:r>
      <w:r w:rsidR="004036C2">
        <w:instrText xml:space="preserve"> ADDIN EN.CITE &lt;EndNote&gt;&lt;Cite&gt;&lt;Author&gt;Chui&lt;/Author&gt;&lt;Year&gt;1998&lt;/Year&gt;&lt;RecNum&gt;27&lt;/RecNum&gt;&lt;DisplayText&gt;[10]&lt;/DisplayText&gt;&lt;record&gt;&lt;rec-number&gt;27&lt;/rec-number&gt;&lt;foreign-keys&gt;&lt;key app="EN" db-id="r2etwrpv9zvzp3ezvrip02pxxdxa2wesx5fs"&gt;27&lt;/key&gt;&lt;/foreign-keys&gt;&lt;ref-type name="Journal Article"&gt;17&lt;/ref-type&gt;&lt;contributors&gt;&lt;authors&gt;&lt;author&gt;Chui, Andy C. W.&lt;/author&gt;&lt;author&gt;Wei, K. C. John&lt;/author&gt;&lt;/authors&gt;&lt;/contributors&gt;&lt;titles&gt;&lt;title&gt;Book-to-market, firm size, and the turn-of-the-year effect: Evidence from Pacific-Basin emerging markets&lt;/title&gt;&lt;secondary-title&gt;Pacific-Basin Finance Journal&lt;/secondary-title&gt;&lt;/titles&gt;&lt;periodical&gt;&lt;full-title&gt;Pacific-Basin Finance Journal&lt;/full-title&gt;&lt;/periodical&gt;&lt;pages&gt;275-293&lt;/pages&gt;&lt;volume&gt;6&lt;/volume&gt;&lt;number&gt;3–4&lt;/number&gt;&lt;keywords&gt;&lt;keyword&gt;Book-to-market equity&lt;/keyword&gt;&lt;keyword&gt;Firm size&lt;/keyword&gt;&lt;keyword&gt;Pacific-Basin emerging markets&lt;/keyword&gt;&lt;keyword&gt;Cross-section of expected stock returns&lt;/keyword&gt;&lt;keyword&gt;Turn-of-the-year effect&lt;/keyword&gt;&lt;/keywords&gt;&lt;dates&gt;&lt;year&gt;1998&lt;/year&gt;&lt;pub-dates&gt;&lt;date&gt;8//&lt;/date&gt;&lt;/pub-dates&gt;&lt;/dates&gt;&lt;isbn&gt;0927-538X&lt;/isbn&gt;&lt;urls&gt;&lt;related-urls&gt;&lt;url&gt;http://www.sciencedirect.com/science/article/pii/S0927538X98000134&lt;/url&gt;&lt;/related-urls&gt;&lt;/urls&gt;&lt;electronic-resource-num&gt;http://dx.doi.org/10.1016/S0927-538X(98)00013-4&lt;/electronic-resource-num&gt;&lt;/record&gt;&lt;/Cite&gt;&lt;/EndNote&gt;</w:instrText>
      </w:r>
      <w:r w:rsidR="00A219CA">
        <w:fldChar w:fldCharType="separate"/>
      </w:r>
      <w:r w:rsidR="004036C2">
        <w:rPr>
          <w:noProof/>
        </w:rPr>
        <w:t>[10]</w:t>
      </w:r>
      <w:r w:rsidR="00A219CA">
        <w:fldChar w:fldCharType="end"/>
      </w:r>
      <w:r w:rsidR="00AE40BA">
        <w:t xml:space="preserve"> </w:t>
      </w:r>
      <w:r w:rsidR="00A046B8" w:rsidRPr="00A046B8">
        <w:t xml:space="preserve">who find that there is significant size effect in all five countries covered in their study, namely: Thailand, Malaysia, Taiwan, Korea, and Hong Kong over the period of 1977 to 1993. </w:t>
      </w:r>
      <w:r w:rsidR="00AE40BA">
        <w:fldChar w:fldCharType="begin"/>
      </w:r>
      <w:r w:rsidR="004036C2">
        <w:instrText xml:space="preserve"> ADDIN EN.CITE &lt;EndNote&gt;&lt;Cite&gt;&lt;Author&gt;Nai‐fu Chen&lt;/Author&gt;&lt;Year&gt;1998&lt;/Year&gt;&lt;RecNum&gt;28&lt;/RecNum&gt;&lt;DisplayText&gt;[11]&lt;/DisplayText&gt;&lt;record&gt;&lt;rec-number&gt;28&lt;/rec-number&gt;&lt;foreign-keys&gt;&lt;key app="EN" db-id="r2etwrpv9zvzp3ezvrip02pxxdxa2wesx5fs"&gt;28&lt;/key&gt;&lt;/foreign-keys&gt;&lt;ref-type name="Journal Article"&gt;17&lt;/ref-type&gt;&lt;contributors&gt;&lt;authors&gt;&lt;author&gt;Nai‐fu Chen,&lt;/author&gt;&lt;author&gt;Feng Zhang,&lt;/author&gt;&lt;/authors&gt;&lt;/contributors&gt;&lt;titles&gt;&lt;title&gt;Risk and Return of Value Stocks&lt;/title&gt;&lt;secondary-title&gt;The Journal of Business&lt;/secondary-title&gt;&lt;/titles&gt;&lt;periodical&gt;&lt;full-title&gt;The Journal of Business&lt;/full-title&gt;&lt;/periodical&gt;&lt;pages&gt;501-535&lt;/pages&gt;&lt;volume&gt;71&lt;/volume&gt;&lt;number&gt;4&lt;/number&gt;&lt;dates&gt;&lt;year&gt;1998&lt;/year&gt;&lt;/dates&gt;&lt;publisher&gt;The University of Chicago Press&lt;/publisher&gt;&lt;isbn&gt;00219398&lt;/isbn&gt;&lt;urls&gt;&lt;related-urls&gt;&lt;url&gt;http://www.jstor.org/stable/10.1086/209755&lt;/url&gt;&lt;/related-urls&gt;&lt;/urls&gt;&lt;electronic-resource-num&gt;10.1086/209755&lt;/electronic-resource-num&gt;&lt;/record&gt;&lt;/Cite&gt;&lt;/EndNote&gt;</w:instrText>
      </w:r>
      <w:r w:rsidR="00AE40BA">
        <w:fldChar w:fldCharType="separate"/>
      </w:r>
      <w:r w:rsidR="004036C2">
        <w:rPr>
          <w:noProof/>
        </w:rPr>
        <w:t>[11]</w:t>
      </w:r>
      <w:r w:rsidR="00AE40BA">
        <w:fldChar w:fldCharType="end"/>
      </w:r>
      <w:r w:rsidR="00AE40BA">
        <w:t xml:space="preserve"> </w:t>
      </w:r>
      <w:proofErr w:type="gramStart"/>
      <w:r w:rsidR="00A046B8" w:rsidRPr="00A046B8">
        <w:t>also</w:t>
      </w:r>
      <w:proofErr w:type="gramEnd"/>
      <w:r w:rsidR="00A046B8" w:rsidRPr="00A046B8">
        <w:t xml:space="preserve"> find that in the six countries covered in their study including Thailand, except for Taiwan, small stocks tend to generate higher return than large stocks in all the countries studied. However, </w:t>
      </w:r>
      <w:r w:rsidR="00AE40BA">
        <w:fldChar w:fldCharType="begin"/>
      </w:r>
      <w:r w:rsidR="004036C2">
        <w:instrText xml:space="preserve"> ADDIN EN.CITE &lt;EndNote&gt;&lt;Cite&gt;&lt;Author&gt;Ding&lt;/Author&gt;&lt;Year&gt;2005&lt;/Year&gt;&lt;RecNum&gt;29&lt;/RecNum&gt;&lt;DisplayText&gt;[12]&lt;/DisplayText&gt;&lt;record&gt;&lt;rec-number&gt;29&lt;/rec-number&gt;&lt;foreign-keys&gt;&lt;key app="EN" db-id="r2etwrpv9zvzp3ezvrip02pxxdxa2wesx5fs"&gt;29&lt;/key&gt;&lt;/foreign-keys&gt;&lt;ref-type name="Journal Article"&gt;17&lt;/ref-type&gt;&lt;contributors&gt;&lt;authors&gt;&lt;author&gt;Ding, David K.&lt;/author&gt;&lt;author&gt;Chua, Jia Leng&lt;/author&gt;&lt;author&gt;Fetherston, Thomas A.&lt;/author&gt;&lt;/authors&gt;&lt;/contributors&gt;&lt;titles&gt;&lt;title&gt;The performance of value and growth portfolios in East Asia before the Asian financial crisis&lt;/title&gt;&lt;secondary-title&gt;Pacific-Basin Finance Journal&lt;/secondary-title&gt;&lt;/titles&gt;&lt;periodical&gt;&lt;full-title&gt;Pacific-Basin Finance Journal&lt;/full-title&gt;&lt;/periodical&gt;&lt;pages&gt;185-199&lt;/pages&gt;&lt;volume&gt;13&lt;/volume&gt;&lt;number&gt;2&lt;/number&gt;&lt;keywords&gt;&lt;keyword&gt;Value and growth portfolios&lt;/keyword&gt;&lt;keyword&gt;East Asia&lt;/keyword&gt;&lt;keyword&gt;Asian financial crisis&lt;/keyword&gt;&lt;/keywords&gt;&lt;dates&gt;&lt;year&gt;2005&lt;/year&gt;&lt;pub-dates&gt;&lt;date&gt;3//&lt;/date&gt;&lt;/pub-dates&gt;&lt;/dates&gt;&lt;isbn&gt;0927-538X&lt;/isbn&gt;&lt;urls&gt;&lt;related-urls&gt;&lt;url&gt;http://www.sciencedirect.com/science/article/pii/S0927538X0400040X&lt;/url&gt;&lt;/related-urls&gt;&lt;/urls&gt;&lt;electronic-resource-num&gt;http://dx.doi.org/10.1016/j.pacfin.2004.07.001&lt;/electronic-resource-num&gt;&lt;/record&gt;&lt;/Cite&gt;&lt;/EndNote&gt;</w:instrText>
      </w:r>
      <w:r w:rsidR="00AE40BA">
        <w:fldChar w:fldCharType="separate"/>
      </w:r>
      <w:r w:rsidR="004036C2">
        <w:rPr>
          <w:noProof/>
        </w:rPr>
        <w:t>[12]</w:t>
      </w:r>
      <w:r w:rsidR="00AE40BA">
        <w:fldChar w:fldCharType="end"/>
      </w:r>
      <w:r w:rsidR="00AE40BA">
        <w:t xml:space="preserve"> </w:t>
      </w:r>
      <w:r w:rsidR="00A046B8" w:rsidRPr="00A046B8">
        <w:t>by investigating the performance of stocks in seven Asian markets before Asian crisis including Thailand over the period of 1976 to 1997 find a weak size effect in Indonesia and Thailand.</w:t>
      </w:r>
    </w:p>
    <w:p w:rsidR="00FD1E7A" w:rsidRPr="00FD1E7A" w:rsidRDefault="00FD1E7A" w:rsidP="004036C2">
      <w:pPr>
        <w:spacing w:before="120" w:after="120" w:line="240" w:lineRule="auto"/>
        <w:jc w:val="both"/>
      </w:pPr>
      <w:r w:rsidRPr="00FD1E7A">
        <w:t xml:space="preserve">In panel D results indicate that there is no value premium (VMG) in Thailand during the period of 1999 to 2013. In other word, value stock portfolios do not outperform growth stock portfolios. Although, average monthly value premium is positive in 10 of the 15 years, it is statistically significant in only two of the ten years. Overall, the average monthly value premium over the period of the study is 0.2 percent with the t-value of 0.216. The result of the study is consistent with previous studies of value premium in Thailand; </w:t>
      </w:r>
      <w:r w:rsidR="00AE40BA">
        <w:fldChar w:fldCharType="begin"/>
      </w:r>
      <w:r w:rsidR="004036C2">
        <w:instrText xml:space="preserve"> ADDIN EN.CITE &lt;EndNote&gt;&lt;Cite&gt;&lt;Author&gt;Nai‐fu Chen&lt;/Author&gt;&lt;Year&gt;1998&lt;/Year&gt;&lt;RecNum&gt;28&lt;/RecNum&gt;&lt;DisplayText&gt;[11]&lt;/DisplayText&gt;&lt;record&gt;&lt;rec-number&gt;28&lt;/rec-number&gt;&lt;foreign-keys&gt;&lt;key app="EN" db-id="r2etwrpv9zvzp3ezvrip02pxxdxa2wesx5fs"&gt;28&lt;/key&gt;&lt;/foreign-keys&gt;&lt;ref-type name="Journal Article"&gt;17&lt;/ref-type&gt;&lt;contributors&gt;&lt;authors&gt;&lt;author&gt;Nai‐fu Chen,&lt;/author&gt;&lt;author&gt;Feng Zhang,&lt;/author&gt;&lt;/authors&gt;&lt;/contributors&gt;&lt;titles&gt;&lt;title&gt;Risk and Return of Value Stocks&lt;/title&gt;&lt;secondary-title&gt;The Journal of Business&lt;/secondary-title&gt;&lt;/titles&gt;&lt;periodical&gt;&lt;full-title&gt;The Journal of Business&lt;/full-title&gt;&lt;/periodical&gt;&lt;pages&gt;501-535&lt;/pages&gt;&lt;volume&gt;71&lt;/volume&gt;&lt;number&gt;4&lt;/number&gt;&lt;dates&gt;&lt;year&gt;1998&lt;/year&gt;&lt;/dates&gt;&lt;publisher&gt;The University of Chicago Press&lt;/publisher&gt;&lt;isbn&gt;00219398&lt;/isbn&gt;&lt;urls&gt;&lt;related-urls&gt;&lt;url&gt;http://www.jstor.org/stable/10.1086/209755&lt;/url&gt;&lt;/related-urls&gt;&lt;/urls&gt;&lt;electronic-resource-num&gt;10.1086/209755&lt;/electronic-resource-num&gt;&lt;/record&gt;&lt;/Cite&gt;&lt;/EndNote&gt;</w:instrText>
      </w:r>
      <w:r w:rsidR="00AE40BA">
        <w:fldChar w:fldCharType="separate"/>
      </w:r>
      <w:r w:rsidR="004036C2">
        <w:rPr>
          <w:noProof/>
        </w:rPr>
        <w:t>[11]</w:t>
      </w:r>
      <w:r w:rsidR="00AE40BA">
        <w:fldChar w:fldCharType="end"/>
      </w:r>
      <w:r w:rsidR="00AE40BA">
        <w:t xml:space="preserve"> </w:t>
      </w:r>
      <w:r w:rsidRPr="00FD1E7A">
        <w:t>examine and compare the value investing in different countries including Thailand over the period of 1978 to 1993 and they find that there is no reliable value premium in Thailand.</w:t>
      </w:r>
      <w:r w:rsidR="00AE40BA">
        <w:t xml:space="preserve"> </w:t>
      </w:r>
      <w:r w:rsidR="00422FC5">
        <w:fldChar w:fldCharType="begin"/>
      </w:r>
      <w:r w:rsidR="004036C2">
        <w:instrText xml:space="preserve"> ADDIN EN.CITE &lt;EndNote&gt;&lt;Cite&gt;&lt;Author&gt;Chui&lt;/Author&gt;&lt;Year&gt;1998&lt;/Year&gt;&lt;RecNum&gt;27&lt;/RecNum&gt;&lt;DisplayText&gt;[10]&lt;/DisplayText&gt;&lt;record&gt;&lt;rec-number&gt;27&lt;/rec-number&gt;&lt;foreign-keys&gt;&lt;key app="EN" db-id="r2etwrpv9zvzp3ezvrip02pxxdxa2wesx5fs"&gt;27&lt;/key&gt;&lt;/foreign-keys&gt;&lt;ref-type name="Journal Article"&gt;17&lt;/ref-type&gt;&lt;contributors&gt;&lt;authors&gt;&lt;author&gt;Chui, Andy C. W.&lt;/author&gt;&lt;author&gt;Wei, K. C. John&lt;/author&gt;&lt;/authors&gt;&lt;/contributors&gt;&lt;titles&gt;&lt;title&gt;Book-to-market, firm size, and the turn-of-the-year effect: Evidence from Pacific-Basin emerging markets&lt;/title&gt;&lt;secondary-title&gt;Pacific-Basin Finance Journal&lt;/secondary-title&gt;&lt;/titles&gt;&lt;periodical&gt;&lt;full-title&gt;Pacific-Basin Finance Journal&lt;/full-title&gt;&lt;/periodical&gt;&lt;pages&gt;275-293&lt;/pages&gt;&lt;volume&gt;6&lt;/volume&gt;&lt;number&gt;3–4&lt;/number&gt;&lt;keywords&gt;&lt;keyword&gt;Book-to-market equity&lt;/keyword&gt;&lt;keyword&gt;Firm size&lt;/keyword&gt;&lt;keyword&gt;Pacific-Basin emerging markets&lt;/keyword&gt;&lt;keyword&gt;Cross-section of expected stock returns&lt;/keyword&gt;&lt;keyword&gt;Turn-of-the-year effect&lt;/keyword&gt;&lt;/keywords&gt;&lt;dates&gt;&lt;year&gt;1998&lt;/year&gt;&lt;pub-dates&gt;&lt;date&gt;8//&lt;/date&gt;&lt;/pub-dates&gt;&lt;/dates&gt;&lt;isbn&gt;0927-538X&lt;/isbn&gt;&lt;urls&gt;&lt;related-urls&gt;&lt;url&gt;http://www.sciencedirect.com/science/article/pii/S0927538X98000134&lt;/url&gt;&lt;/related-urls&gt;&lt;/urls&gt;&lt;electronic-resource-num&gt;http://dx.doi.org/10.1016/S0927-538X(98)00013-4&lt;/electronic-resource-num&gt;&lt;/record&gt;&lt;/Cite&gt;&lt;/EndNote&gt;</w:instrText>
      </w:r>
      <w:r w:rsidR="00422FC5">
        <w:fldChar w:fldCharType="separate"/>
      </w:r>
      <w:r w:rsidR="004036C2">
        <w:rPr>
          <w:noProof/>
        </w:rPr>
        <w:t>[10]</w:t>
      </w:r>
      <w:r w:rsidR="00422FC5">
        <w:fldChar w:fldCharType="end"/>
      </w:r>
      <w:r w:rsidR="00422FC5">
        <w:t xml:space="preserve"> </w:t>
      </w:r>
      <w:proofErr w:type="gramStart"/>
      <w:r w:rsidRPr="00FD1E7A">
        <w:t>also</w:t>
      </w:r>
      <w:proofErr w:type="gramEnd"/>
      <w:r w:rsidRPr="00FD1E7A">
        <w:t xml:space="preserve"> examine the value premium in five Asian countries including Thailand and they find that there is no positive relationship between the portfolio </w:t>
      </w:r>
      <w:r w:rsidRPr="00FD1E7A">
        <w:lastRenderedPageBreak/>
        <w:t>returns and B/M ratio in Thailand during the period of 1984 to 1993.</w:t>
      </w:r>
      <w:r w:rsidR="00AE40BA">
        <w:t xml:space="preserve"> </w:t>
      </w:r>
      <w:r w:rsidR="00AE40BA">
        <w:fldChar w:fldCharType="begin"/>
      </w:r>
      <w:r w:rsidR="004036C2">
        <w:instrText xml:space="preserve"> ADDIN EN.CITE &lt;EndNote&gt;&lt;Cite&gt;&lt;Author&gt;Ding&lt;/Author&gt;&lt;Year&gt;2005&lt;/Year&gt;&lt;RecNum&gt;29&lt;/RecNum&gt;&lt;DisplayText&gt;[12]&lt;/DisplayText&gt;&lt;record&gt;&lt;rec-number&gt;29&lt;/rec-number&gt;&lt;foreign-keys&gt;&lt;key app="EN" db-id="r2etwrpv9zvzp3ezvrip02pxxdxa2wesx5fs"&gt;29&lt;/key&gt;&lt;/foreign-keys&gt;&lt;ref-type name="Journal Article"&gt;17&lt;/ref-type&gt;&lt;contributors&gt;&lt;authors&gt;&lt;author&gt;Ding, David K.&lt;/author&gt;&lt;author&gt;Chua, Jia Leng&lt;/author&gt;&lt;author&gt;Fetherston, Thomas A.&lt;/author&gt;&lt;/authors&gt;&lt;/contributors&gt;&lt;titles&gt;&lt;title&gt;The performance of value and growth portfolios in East Asia before the Asian financial crisis&lt;/title&gt;&lt;secondary-title&gt;Pacific-Basin Finance Journal&lt;/secondary-title&gt;&lt;/titles&gt;&lt;periodical&gt;&lt;full-title&gt;Pacific-Basin Finance Journal&lt;/full-title&gt;&lt;/periodical&gt;&lt;pages&gt;185-199&lt;/pages&gt;&lt;volume&gt;13&lt;/volume&gt;&lt;number&gt;2&lt;/number&gt;&lt;keywords&gt;&lt;keyword&gt;Value and growth portfolios&lt;/keyword&gt;&lt;keyword&gt;East Asia&lt;/keyword&gt;&lt;keyword&gt;Asian financial crisis&lt;/keyword&gt;&lt;/keywords&gt;&lt;dates&gt;&lt;year&gt;2005&lt;/year&gt;&lt;pub-dates&gt;&lt;date&gt;3//&lt;/date&gt;&lt;/pub-dates&gt;&lt;/dates&gt;&lt;isbn&gt;0927-538X&lt;/isbn&gt;&lt;urls&gt;&lt;related-urls&gt;&lt;url&gt;http://www.sciencedirect.com/science/article/pii/S0927538X0400040X&lt;/url&gt;&lt;/related-urls&gt;&lt;/urls&gt;&lt;electronic-resource-num&gt;http://dx.doi.org/10.1016/j.pacfin.2004.07.001&lt;/electronic-resource-num&gt;&lt;/record&gt;&lt;/Cite&gt;&lt;/EndNote&gt;</w:instrText>
      </w:r>
      <w:r w:rsidR="00AE40BA">
        <w:fldChar w:fldCharType="separate"/>
      </w:r>
      <w:r w:rsidR="004036C2">
        <w:rPr>
          <w:noProof/>
        </w:rPr>
        <w:t>[12]</w:t>
      </w:r>
      <w:r w:rsidR="00AE40BA">
        <w:fldChar w:fldCharType="end"/>
      </w:r>
      <w:r w:rsidRPr="00FD1E7A">
        <w:t xml:space="preserve"> </w:t>
      </w:r>
      <w:proofErr w:type="gramStart"/>
      <w:r w:rsidRPr="00FD1E7A">
        <w:t>also</w:t>
      </w:r>
      <w:proofErr w:type="gramEnd"/>
      <w:r w:rsidRPr="00FD1E7A">
        <w:t xml:space="preserve"> find that there is a negative value premium in Thailand for the period of 1976 to 1997.</w:t>
      </w:r>
    </w:p>
    <w:p w:rsidR="00E413E3" w:rsidRPr="00E413E3" w:rsidRDefault="004036C2" w:rsidP="004036C2">
      <w:pPr>
        <w:spacing w:before="240" w:after="120" w:line="240" w:lineRule="auto"/>
        <w:rPr>
          <w:b/>
          <w:bCs/>
        </w:rPr>
      </w:pPr>
      <w:r>
        <w:rPr>
          <w:b/>
          <w:bCs/>
        </w:rPr>
        <w:t>5</w:t>
      </w:r>
      <w:r w:rsidR="00E413E3" w:rsidRPr="00E413E3">
        <w:rPr>
          <w:b/>
          <w:bCs/>
        </w:rPr>
        <w:t xml:space="preserve"> </w:t>
      </w:r>
      <w:proofErr w:type="gramStart"/>
      <w:r>
        <w:rPr>
          <w:b/>
          <w:bCs/>
        </w:rPr>
        <w:t>Conclusion</w:t>
      </w:r>
      <w:proofErr w:type="gramEnd"/>
    </w:p>
    <w:p w:rsidR="00E413E3" w:rsidRDefault="00E413E3" w:rsidP="004036C2">
      <w:pPr>
        <w:spacing w:before="120" w:after="120" w:line="240" w:lineRule="auto"/>
        <w:jc w:val="both"/>
      </w:pPr>
      <w:r>
        <w:t>Large number of studies done on size effect, suggest that small stocks outperform large stocks on average. More specifically, in the context of Thailand, academic studies document that there is a size effect in Thai equity market before crisis, see e.g.</w:t>
      </w:r>
      <w:r w:rsidR="001203A6">
        <w:t xml:space="preserve"> </w:t>
      </w:r>
      <w:r w:rsidR="001203A6">
        <w:fldChar w:fldCharType="begin">
          <w:fldData xml:space="preserve">PEVuZE5vdGU+PENpdGU+PEF1dGhvcj5DaHVpPC9BdXRob3I+PFllYXI+MTk5ODwvWWVhcj48UmVj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</w:fldData>
        </w:fldChar>
      </w:r>
      <w:r w:rsidR="004036C2">
        <w:instrText xml:space="preserve"> ADDIN EN.CITE </w:instrText>
      </w:r>
      <w:r w:rsidR="004036C2">
        <w:fldChar w:fldCharType="begin">
          <w:fldData xml:space="preserve">PEVuZE5vdGU+PENpdGU+PEF1dGhvcj5DaHVpPC9BdXRob3I+PFllYXI+MTk5ODwvWWVhcj48UmVj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</w:fldData>
        </w:fldChar>
      </w:r>
      <w:r w:rsidR="004036C2">
        <w:instrText xml:space="preserve"> ADDIN EN.CITE.DATA </w:instrText>
      </w:r>
      <w:r w:rsidR="004036C2">
        <w:fldChar w:fldCharType="end"/>
      </w:r>
      <w:r w:rsidR="001203A6">
        <w:fldChar w:fldCharType="separate"/>
      </w:r>
      <w:r w:rsidR="004036C2">
        <w:rPr>
          <w:noProof/>
        </w:rPr>
        <w:t>[10, 11]</w:t>
      </w:r>
      <w:r w:rsidR="001203A6">
        <w:fldChar w:fldCharType="end"/>
      </w:r>
      <w:r w:rsidR="001203A6">
        <w:t xml:space="preserve">. </w:t>
      </w:r>
      <w:r>
        <w:t xml:space="preserve">Our findings provide no conclusive evidence of change from such pre crisis patterns in Thailand. We find that there is a size effect in SET over the period of 1999 through 2013 (after crisis). The difference between equal-weight averages of the monthly returns on small stock portfolios and large stock portfolios is 2.02 percent. Although, small stocks do not provide higher return in all years of the study period, on average, the returns are statistically higher for small stocks as compared to large stock portfolios. The same as in the pre-crisis period in Thailand, see e.g. </w:t>
      </w:r>
      <w:r w:rsidR="00AB457E">
        <w:fldChar w:fldCharType="begin">
          <w:fldData xml:space="preserve">PEVuZE5vdGU+PENpdGU+PEF1dGhvcj5DaHVpPC9BdXRob3I+PFllYXI+MTk5ODwvWWVhcj48UmVj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</w:fldData>
        </w:fldChar>
      </w:r>
      <w:r w:rsidR="004036C2">
        <w:instrText xml:space="preserve"> ADDIN EN.CITE </w:instrText>
      </w:r>
      <w:r w:rsidR="004036C2">
        <w:fldChar w:fldCharType="begin">
          <w:fldData xml:space="preserve">PEVuZE5vdGU+PENpdGU+PEF1dGhvcj5DaHVpPC9BdXRob3I+PFllYXI+MTk5ODwvWWVhcj48UmVj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</w:fldData>
        </w:fldChar>
      </w:r>
      <w:r w:rsidR="004036C2">
        <w:instrText xml:space="preserve"> ADDIN EN.CITE.DATA </w:instrText>
      </w:r>
      <w:r w:rsidR="004036C2">
        <w:fldChar w:fldCharType="end"/>
      </w:r>
      <w:r w:rsidR="00AB457E">
        <w:fldChar w:fldCharType="separate"/>
      </w:r>
      <w:r w:rsidR="004036C2">
        <w:rPr>
          <w:noProof/>
        </w:rPr>
        <w:t>[10-12]</w:t>
      </w:r>
      <w:r w:rsidR="00AB457E">
        <w:fldChar w:fldCharType="end"/>
      </w:r>
      <w:r w:rsidR="00AB457E">
        <w:t xml:space="preserve">, </w:t>
      </w:r>
      <w:r>
        <w:t xml:space="preserve">we also do not find any evidence of value premium in SET during the period of 1999 to 2013 (after crisis). Practically value stocks provide higher average monthly returns in most of the years of the study period, but they are not statistically significant. </w:t>
      </w:r>
    </w:p>
    <w:p w:rsidR="00A36515" w:rsidRPr="00877A0D" w:rsidRDefault="00A36515" w:rsidP="004036C2">
      <w:pPr>
        <w:spacing w:before="240" w:after="120" w:line="240" w:lineRule="auto"/>
        <w:jc w:val="both"/>
        <w:rPr>
          <w:rFonts w:cstheme="minorHAnsi"/>
          <w:b/>
          <w:bCs/>
        </w:rPr>
      </w:pPr>
      <w:r w:rsidRPr="00877A0D">
        <w:rPr>
          <w:rFonts w:cstheme="minorHAnsi"/>
          <w:b/>
          <w:bCs/>
        </w:rPr>
        <w:t>References:</w:t>
      </w:r>
    </w:p>
    <w:p w:rsidR="004036C2" w:rsidRPr="004036C2" w:rsidRDefault="004036C2" w:rsidP="004036C2">
      <w:pPr>
        <w:spacing w:after="0" w:line="240" w:lineRule="auto"/>
        <w:ind w:left="540" w:hanging="540"/>
        <w:jc w:val="both"/>
        <w:rPr>
          <w:rFonts w:ascii="Calibri" w:hAnsi="Calibri" w:cs="Calibri"/>
          <w:noProof/>
        </w:rPr>
      </w:pPr>
      <w:r>
        <w:rPr>
          <w:rFonts w:cstheme="minorHAnsi"/>
        </w:rPr>
        <w:t>[</w:t>
      </w:r>
      <w:r w:rsidR="00D4046A" w:rsidRPr="00877A0D">
        <w:rPr>
          <w:rFonts w:cstheme="minorHAnsi"/>
        </w:rPr>
        <w:fldChar w:fldCharType="begin"/>
      </w:r>
      <w:r w:rsidR="00D4046A" w:rsidRPr="00877A0D">
        <w:rPr>
          <w:rFonts w:cstheme="minorHAnsi"/>
        </w:rPr>
        <w:instrText xml:space="preserve"> ADDIN EN.REFLIST </w:instrText>
      </w:r>
      <w:r w:rsidR="00D4046A" w:rsidRPr="00877A0D">
        <w:rPr>
          <w:rFonts w:cstheme="minorHAnsi"/>
        </w:rPr>
        <w:fldChar w:fldCharType="separate"/>
      </w:r>
      <w:r>
        <w:rPr>
          <w:rFonts w:ascii="Calibri" w:hAnsi="Calibri" w:cs="Calibri"/>
          <w:noProof/>
        </w:rPr>
        <w:t>1]</w:t>
      </w:r>
      <w:r w:rsidRPr="004036C2">
        <w:rPr>
          <w:rFonts w:ascii="Calibri" w:hAnsi="Calibri" w:cs="Calibri"/>
          <w:noProof/>
        </w:rPr>
        <w:tab/>
        <w:t xml:space="preserve">Barberis, N. and A. Shleifer, </w:t>
      </w:r>
      <w:r w:rsidRPr="004036C2">
        <w:rPr>
          <w:rFonts w:ascii="Calibri" w:hAnsi="Calibri" w:cs="Calibri"/>
          <w:i/>
          <w:noProof/>
        </w:rPr>
        <w:t>Style investing.</w:t>
      </w:r>
      <w:r w:rsidRPr="004036C2">
        <w:rPr>
          <w:rFonts w:ascii="Calibri" w:hAnsi="Calibri" w:cs="Calibri"/>
          <w:noProof/>
        </w:rPr>
        <w:t xml:space="preserve"> Journal of Financial Economics, 2003. </w:t>
      </w:r>
      <w:r w:rsidRPr="004036C2">
        <w:rPr>
          <w:rFonts w:ascii="Calibri" w:hAnsi="Calibri" w:cs="Calibri"/>
          <w:b/>
          <w:noProof/>
        </w:rPr>
        <w:t>68</w:t>
      </w:r>
      <w:r w:rsidRPr="004036C2">
        <w:rPr>
          <w:rFonts w:ascii="Calibri" w:hAnsi="Calibri" w:cs="Calibri"/>
          <w:noProof/>
        </w:rPr>
        <w:t>(2): p. 161-199.</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t>[2]</w:t>
      </w:r>
      <w:r w:rsidRPr="004036C2">
        <w:rPr>
          <w:rFonts w:ascii="Calibri" w:hAnsi="Calibri" w:cs="Calibri"/>
          <w:noProof/>
        </w:rPr>
        <w:tab/>
        <w:t xml:space="preserve">Banz, R.W., </w:t>
      </w:r>
      <w:r w:rsidRPr="004036C2">
        <w:rPr>
          <w:rFonts w:ascii="Calibri" w:hAnsi="Calibri" w:cs="Calibri"/>
          <w:i/>
          <w:noProof/>
        </w:rPr>
        <w:t>The relationship between return and market value of common stocks.</w:t>
      </w:r>
      <w:r w:rsidRPr="004036C2">
        <w:rPr>
          <w:rFonts w:ascii="Calibri" w:hAnsi="Calibri" w:cs="Calibri"/>
          <w:noProof/>
        </w:rPr>
        <w:t xml:space="preserve"> Journal of Financial Economics, 1981. </w:t>
      </w:r>
      <w:r w:rsidRPr="004036C2">
        <w:rPr>
          <w:rFonts w:ascii="Calibri" w:hAnsi="Calibri" w:cs="Calibri"/>
          <w:b/>
          <w:noProof/>
        </w:rPr>
        <w:t>9</w:t>
      </w:r>
      <w:r w:rsidRPr="004036C2">
        <w:rPr>
          <w:rFonts w:ascii="Calibri" w:hAnsi="Calibri" w:cs="Calibri"/>
          <w:noProof/>
        </w:rPr>
        <w:t>(1): p. 3-18.</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t>[3]</w:t>
      </w:r>
      <w:r w:rsidRPr="004036C2">
        <w:rPr>
          <w:rFonts w:ascii="Calibri" w:hAnsi="Calibri" w:cs="Calibri"/>
          <w:noProof/>
        </w:rPr>
        <w:tab/>
        <w:t xml:space="preserve">Graham, B. and D.L.F. Dodd, </w:t>
      </w:r>
      <w:r w:rsidRPr="004036C2">
        <w:rPr>
          <w:rFonts w:ascii="Calibri" w:hAnsi="Calibri" w:cs="Calibri"/>
          <w:i/>
          <w:noProof/>
        </w:rPr>
        <w:t>Security Analysis: The Classic 1934 Edition</w:t>
      </w:r>
      <w:r w:rsidRPr="004036C2">
        <w:rPr>
          <w:rFonts w:ascii="Calibri" w:hAnsi="Calibri" w:cs="Calibri"/>
          <w:noProof/>
        </w:rPr>
        <w:t>. 1934: McGraw-Hill Education.</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t>[4]</w:t>
      </w:r>
      <w:r w:rsidRPr="004036C2">
        <w:rPr>
          <w:rFonts w:ascii="Calibri" w:hAnsi="Calibri" w:cs="Calibri"/>
          <w:noProof/>
        </w:rPr>
        <w:tab/>
        <w:t xml:space="preserve">Lakonishok, J., A. Shleifer, and R.W. Vishny, </w:t>
      </w:r>
      <w:r w:rsidRPr="004036C2">
        <w:rPr>
          <w:rFonts w:ascii="Calibri" w:hAnsi="Calibri" w:cs="Calibri"/>
          <w:i/>
          <w:noProof/>
        </w:rPr>
        <w:t>Contrarian Investment, Extrapolation, and Risk.</w:t>
      </w:r>
      <w:r w:rsidRPr="004036C2">
        <w:rPr>
          <w:rFonts w:ascii="Calibri" w:hAnsi="Calibri" w:cs="Calibri"/>
          <w:noProof/>
        </w:rPr>
        <w:t xml:space="preserve"> The Journal of Finance, 1994. </w:t>
      </w:r>
      <w:r w:rsidRPr="004036C2">
        <w:rPr>
          <w:rFonts w:ascii="Calibri" w:hAnsi="Calibri" w:cs="Calibri"/>
          <w:b/>
          <w:noProof/>
        </w:rPr>
        <w:t>49</w:t>
      </w:r>
      <w:r w:rsidRPr="004036C2">
        <w:rPr>
          <w:rFonts w:ascii="Calibri" w:hAnsi="Calibri" w:cs="Calibri"/>
          <w:noProof/>
        </w:rPr>
        <w:t>(5): p. 1541-1578.</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t>[5]</w:t>
      </w:r>
      <w:r w:rsidRPr="004036C2">
        <w:rPr>
          <w:rFonts w:ascii="Calibri" w:hAnsi="Calibri" w:cs="Calibri"/>
          <w:noProof/>
        </w:rPr>
        <w:tab/>
        <w:t xml:space="preserve">Fama, E.F. and K.R. French, </w:t>
      </w:r>
      <w:r w:rsidRPr="004036C2">
        <w:rPr>
          <w:rFonts w:ascii="Calibri" w:hAnsi="Calibri" w:cs="Calibri"/>
          <w:i/>
          <w:noProof/>
        </w:rPr>
        <w:t>Value versus Growth: The International Evidence.</w:t>
      </w:r>
      <w:r w:rsidRPr="004036C2">
        <w:rPr>
          <w:rFonts w:ascii="Calibri" w:hAnsi="Calibri" w:cs="Calibri"/>
          <w:noProof/>
        </w:rPr>
        <w:t xml:space="preserve"> The Journal of Finance, 1998. </w:t>
      </w:r>
      <w:r w:rsidRPr="004036C2">
        <w:rPr>
          <w:rFonts w:ascii="Calibri" w:hAnsi="Calibri" w:cs="Calibri"/>
          <w:b/>
          <w:noProof/>
        </w:rPr>
        <w:t>53</w:t>
      </w:r>
      <w:r w:rsidRPr="004036C2">
        <w:rPr>
          <w:rFonts w:ascii="Calibri" w:hAnsi="Calibri" w:cs="Calibri"/>
          <w:noProof/>
        </w:rPr>
        <w:t>(6): p. 1975-1999.</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t>[6]</w:t>
      </w:r>
      <w:r w:rsidRPr="004036C2">
        <w:rPr>
          <w:rFonts w:ascii="Calibri" w:hAnsi="Calibri" w:cs="Calibri"/>
          <w:noProof/>
        </w:rPr>
        <w:tab/>
        <w:t xml:space="preserve">Bauman, W.S., C.M. Conover, and R.E. Miller, </w:t>
      </w:r>
      <w:r w:rsidRPr="004036C2">
        <w:rPr>
          <w:rFonts w:ascii="Calibri" w:hAnsi="Calibri" w:cs="Calibri"/>
          <w:i/>
          <w:noProof/>
        </w:rPr>
        <w:t>Growth versus Value and Large-Cap versus Small-Cap Stocks in International Markets.</w:t>
      </w:r>
      <w:r w:rsidRPr="004036C2">
        <w:rPr>
          <w:rFonts w:ascii="Calibri" w:hAnsi="Calibri" w:cs="Calibri"/>
          <w:noProof/>
        </w:rPr>
        <w:t xml:space="preserve"> Financial Analysts Journal, 1998. </w:t>
      </w:r>
      <w:r w:rsidRPr="004036C2">
        <w:rPr>
          <w:rFonts w:ascii="Calibri" w:hAnsi="Calibri" w:cs="Calibri"/>
          <w:b/>
          <w:noProof/>
        </w:rPr>
        <w:t>54</w:t>
      </w:r>
      <w:r w:rsidRPr="004036C2">
        <w:rPr>
          <w:rFonts w:ascii="Calibri" w:hAnsi="Calibri" w:cs="Calibri"/>
          <w:noProof/>
        </w:rPr>
        <w:t>(2): p. 75-89.</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t>[7]</w:t>
      </w:r>
      <w:r w:rsidRPr="004036C2">
        <w:rPr>
          <w:rFonts w:ascii="Calibri" w:hAnsi="Calibri" w:cs="Calibri"/>
          <w:noProof/>
        </w:rPr>
        <w:tab/>
        <w:t xml:space="preserve">Rosenberg, B., K. Reid, and R. Lanstein, </w:t>
      </w:r>
      <w:r w:rsidRPr="004036C2">
        <w:rPr>
          <w:rFonts w:ascii="Calibri" w:hAnsi="Calibri" w:cs="Calibri"/>
          <w:i/>
          <w:noProof/>
        </w:rPr>
        <w:t>Persuasive evidence of market inefficiency.</w:t>
      </w:r>
      <w:r w:rsidRPr="004036C2">
        <w:rPr>
          <w:rFonts w:ascii="Calibri" w:hAnsi="Calibri" w:cs="Calibri"/>
          <w:noProof/>
        </w:rPr>
        <w:t xml:space="preserve"> The Journal of Portfolio Management, 1985. </w:t>
      </w:r>
      <w:r w:rsidRPr="004036C2">
        <w:rPr>
          <w:rFonts w:ascii="Calibri" w:hAnsi="Calibri" w:cs="Calibri"/>
          <w:b/>
          <w:noProof/>
        </w:rPr>
        <w:t>11</w:t>
      </w:r>
      <w:r w:rsidRPr="004036C2">
        <w:rPr>
          <w:rFonts w:ascii="Calibri" w:hAnsi="Calibri" w:cs="Calibri"/>
          <w:noProof/>
        </w:rPr>
        <w:t>(3): p. 9-16.</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t>[8]</w:t>
      </w:r>
      <w:r w:rsidRPr="004036C2">
        <w:rPr>
          <w:rFonts w:ascii="Calibri" w:hAnsi="Calibri" w:cs="Calibri"/>
          <w:noProof/>
        </w:rPr>
        <w:tab/>
        <w:t xml:space="preserve">Fama, E.F. and K.R. French, </w:t>
      </w:r>
      <w:r w:rsidRPr="004036C2">
        <w:rPr>
          <w:rFonts w:ascii="Calibri" w:hAnsi="Calibri" w:cs="Calibri"/>
          <w:i/>
          <w:noProof/>
        </w:rPr>
        <w:t>The Cross-Section of Expected Stock Returns.</w:t>
      </w:r>
      <w:r w:rsidRPr="004036C2">
        <w:rPr>
          <w:rFonts w:ascii="Calibri" w:hAnsi="Calibri" w:cs="Calibri"/>
          <w:noProof/>
        </w:rPr>
        <w:t xml:space="preserve"> The Journal of Finance, 1992. </w:t>
      </w:r>
      <w:r w:rsidRPr="004036C2">
        <w:rPr>
          <w:rFonts w:ascii="Calibri" w:hAnsi="Calibri" w:cs="Calibri"/>
          <w:b/>
          <w:noProof/>
        </w:rPr>
        <w:t>47</w:t>
      </w:r>
      <w:r w:rsidRPr="004036C2">
        <w:rPr>
          <w:rFonts w:ascii="Calibri" w:hAnsi="Calibri" w:cs="Calibri"/>
          <w:noProof/>
        </w:rPr>
        <w:t>(2): p. 427-465.</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t>[9]</w:t>
      </w:r>
      <w:r w:rsidRPr="004036C2">
        <w:rPr>
          <w:rFonts w:ascii="Calibri" w:hAnsi="Calibri" w:cs="Calibri"/>
          <w:noProof/>
        </w:rPr>
        <w:tab/>
        <w:t xml:space="preserve">Fama, E.F. and K.R. French, </w:t>
      </w:r>
      <w:r w:rsidRPr="004036C2">
        <w:rPr>
          <w:rFonts w:ascii="Calibri" w:hAnsi="Calibri" w:cs="Calibri"/>
          <w:i/>
          <w:noProof/>
        </w:rPr>
        <w:t>Size, value, and momentum in international stock returns.</w:t>
      </w:r>
      <w:r w:rsidRPr="004036C2">
        <w:rPr>
          <w:rFonts w:ascii="Calibri" w:hAnsi="Calibri" w:cs="Calibri"/>
          <w:noProof/>
        </w:rPr>
        <w:t xml:space="preserve"> Journal of Financial Economics, 2012. </w:t>
      </w:r>
      <w:r w:rsidRPr="004036C2">
        <w:rPr>
          <w:rFonts w:ascii="Calibri" w:hAnsi="Calibri" w:cs="Calibri"/>
          <w:b/>
          <w:noProof/>
        </w:rPr>
        <w:t>105</w:t>
      </w:r>
      <w:r w:rsidRPr="004036C2">
        <w:rPr>
          <w:rFonts w:ascii="Calibri" w:hAnsi="Calibri" w:cs="Calibri"/>
          <w:noProof/>
        </w:rPr>
        <w:t>(3): p. 457-472.</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t>[10]</w:t>
      </w:r>
      <w:r w:rsidRPr="004036C2">
        <w:rPr>
          <w:rFonts w:ascii="Calibri" w:hAnsi="Calibri" w:cs="Calibri"/>
          <w:noProof/>
        </w:rPr>
        <w:tab/>
        <w:t xml:space="preserve">Chui, A.C.W. and K.C.J. Wei, </w:t>
      </w:r>
      <w:r w:rsidRPr="004036C2">
        <w:rPr>
          <w:rFonts w:ascii="Calibri" w:hAnsi="Calibri" w:cs="Calibri"/>
          <w:i/>
          <w:noProof/>
        </w:rPr>
        <w:t>Book-to-market, firm size, and the turn-of-the-year effect: Evidence from Pacific-Basin emerging markets.</w:t>
      </w:r>
      <w:r w:rsidRPr="004036C2">
        <w:rPr>
          <w:rFonts w:ascii="Calibri" w:hAnsi="Calibri" w:cs="Calibri"/>
          <w:noProof/>
        </w:rPr>
        <w:t xml:space="preserve"> Pacific-Basin Finance Journal, 1998. </w:t>
      </w:r>
      <w:r w:rsidRPr="004036C2">
        <w:rPr>
          <w:rFonts w:ascii="Calibri" w:hAnsi="Calibri" w:cs="Calibri"/>
          <w:b/>
          <w:noProof/>
        </w:rPr>
        <w:t>6</w:t>
      </w:r>
      <w:r w:rsidRPr="004036C2">
        <w:rPr>
          <w:rFonts w:ascii="Calibri" w:hAnsi="Calibri" w:cs="Calibri"/>
          <w:noProof/>
        </w:rPr>
        <w:t>(3–4): p. 275-293.</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t>[11]</w:t>
      </w:r>
      <w:r w:rsidRPr="004036C2">
        <w:rPr>
          <w:rFonts w:ascii="Calibri" w:hAnsi="Calibri" w:cs="Calibri"/>
          <w:noProof/>
        </w:rPr>
        <w:tab/>
        <w:t xml:space="preserve">Nai‐fu Chen and Feng Zhang, </w:t>
      </w:r>
      <w:r w:rsidRPr="004036C2">
        <w:rPr>
          <w:rFonts w:ascii="Calibri" w:hAnsi="Calibri" w:cs="Calibri"/>
          <w:i/>
          <w:noProof/>
        </w:rPr>
        <w:t>Risk and Return of Value Stocks.</w:t>
      </w:r>
      <w:r w:rsidRPr="004036C2">
        <w:rPr>
          <w:rFonts w:ascii="Calibri" w:hAnsi="Calibri" w:cs="Calibri"/>
          <w:noProof/>
        </w:rPr>
        <w:t xml:space="preserve"> The Journal of Business, 1998. </w:t>
      </w:r>
      <w:r w:rsidRPr="004036C2">
        <w:rPr>
          <w:rFonts w:ascii="Calibri" w:hAnsi="Calibri" w:cs="Calibri"/>
          <w:b/>
          <w:noProof/>
        </w:rPr>
        <w:t>71</w:t>
      </w:r>
      <w:r w:rsidRPr="004036C2">
        <w:rPr>
          <w:rFonts w:ascii="Calibri" w:hAnsi="Calibri" w:cs="Calibri"/>
          <w:noProof/>
        </w:rPr>
        <w:t>(4): p. 501-535.</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t>[12]</w:t>
      </w:r>
      <w:r w:rsidRPr="004036C2">
        <w:rPr>
          <w:rFonts w:ascii="Calibri" w:hAnsi="Calibri" w:cs="Calibri"/>
          <w:noProof/>
        </w:rPr>
        <w:tab/>
        <w:t xml:space="preserve">Ding, D.K., J.L. Chua, and T.A. Fetherston, </w:t>
      </w:r>
      <w:r w:rsidRPr="004036C2">
        <w:rPr>
          <w:rFonts w:ascii="Calibri" w:hAnsi="Calibri" w:cs="Calibri"/>
          <w:i/>
          <w:noProof/>
        </w:rPr>
        <w:t>The performance of value and growth portfolios in East Asia before the Asian financial crisis.</w:t>
      </w:r>
      <w:r w:rsidRPr="004036C2">
        <w:rPr>
          <w:rFonts w:ascii="Calibri" w:hAnsi="Calibri" w:cs="Calibri"/>
          <w:noProof/>
        </w:rPr>
        <w:t xml:space="preserve"> Pacific-Basin Finance Journal, 2005. </w:t>
      </w:r>
      <w:r w:rsidRPr="004036C2">
        <w:rPr>
          <w:rFonts w:ascii="Calibri" w:hAnsi="Calibri" w:cs="Calibri"/>
          <w:b/>
          <w:noProof/>
        </w:rPr>
        <w:t>13</w:t>
      </w:r>
      <w:r w:rsidRPr="004036C2">
        <w:rPr>
          <w:rFonts w:ascii="Calibri" w:hAnsi="Calibri" w:cs="Calibri"/>
          <w:noProof/>
        </w:rPr>
        <w:t>(2): p. 185-199.</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lastRenderedPageBreak/>
        <w:t>[13]</w:t>
      </w:r>
      <w:r w:rsidRPr="004036C2">
        <w:rPr>
          <w:rFonts w:ascii="Calibri" w:hAnsi="Calibri" w:cs="Calibri"/>
          <w:noProof/>
        </w:rPr>
        <w:tab/>
        <w:t xml:space="preserve">Capaul, C., I. Rowley, and W.F. Sharpe, </w:t>
      </w:r>
      <w:r w:rsidRPr="004036C2">
        <w:rPr>
          <w:rFonts w:ascii="Calibri" w:hAnsi="Calibri" w:cs="Calibri"/>
          <w:i/>
          <w:noProof/>
        </w:rPr>
        <w:t>International Value and Growth Stock Returns.</w:t>
      </w:r>
      <w:r w:rsidRPr="004036C2">
        <w:rPr>
          <w:rFonts w:ascii="Calibri" w:hAnsi="Calibri" w:cs="Calibri"/>
          <w:noProof/>
        </w:rPr>
        <w:t xml:space="preserve"> Financial Analysts Journal, 1993. </w:t>
      </w:r>
      <w:r w:rsidRPr="004036C2">
        <w:rPr>
          <w:rFonts w:ascii="Calibri" w:hAnsi="Calibri" w:cs="Calibri"/>
          <w:b/>
          <w:noProof/>
        </w:rPr>
        <w:t>49</w:t>
      </w:r>
      <w:r w:rsidRPr="004036C2">
        <w:rPr>
          <w:rFonts w:ascii="Calibri" w:hAnsi="Calibri" w:cs="Calibri"/>
          <w:noProof/>
        </w:rPr>
        <w:t>(1): p. 27-36.</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t>[14]</w:t>
      </w:r>
      <w:r w:rsidRPr="004036C2">
        <w:rPr>
          <w:rFonts w:ascii="Calibri" w:hAnsi="Calibri" w:cs="Calibri"/>
          <w:noProof/>
        </w:rPr>
        <w:tab/>
        <w:t xml:space="preserve">Yen, J.Y., Q. Sun, and Y. Yan, </w:t>
      </w:r>
      <w:r w:rsidRPr="004036C2">
        <w:rPr>
          <w:rFonts w:ascii="Calibri" w:hAnsi="Calibri" w:cs="Calibri"/>
          <w:i/>
          <w:noProof/>
        </w:rPr>
        <w:t>Value versus growth stocks in Singapore.</w:t>
      </w:r>
      <w:r w:rsidRPr="004036C2">
        <w:rPr>
          <w:rFonts w:ascii="Calibri" w:hAnsi="Calibri" w:cs="Calibri"/>
          <w:noProof/>
        </w:rPr>
        <w:t xml:space="preserve"> Journal of Multinational Financial Management, 2004. </w:t>
      </w:r>
      <w:r w:rsidRPr="004036C2">
        <w:rPr>
          <w:rFonts w:ascii="Calibri" w:hAnsi="Calibri" w:cs="Calibri"/>
          <w:b/>
          <w:noProof/>
        </w:rPr>
        <w:t>14</w:t>
      </w:r>
      <w:r w:rsidRPr="004036C2">
        <w:rPr>
          <w:rFonts w:ascii="Calibri" w:hAnsi="Calibri" w:cs="Calibri"/>
          <w:noProof/>
        </w:rPr>
        <w:t>(1): p. 19-34.</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t>[15]</w:t>
      </w:r>
      <w:r w:rsidRPr="004036C2">
        <w:rPr>
          <w:rFonts w:ascii="Calibri" w:hAnsi="Calibri" w:cs="Calibri"/>
          <w:noProof/>
        </w:rPr>
        <w:tab/>
        <w:t xml:space="preserve">Basu, S., </w:t>
      </w:r>
      <w:r w:rsidRPr="004036C2">
        <w:rPr>
          <w:rFonts w:ascii="Calibri" w:hAnsi="Calibri" w:cs="Calibri"/>
          <w:i/>
          <w:noProof/>
        </w:rPr>
        <w:t>The relationship between earnings' yield, market value and return for NYSE common stocks: Further evidence.</w:t>
      </w:r>
      <w:r w:rsidRPr="004036C2">
        <w:rPr>
          <w:rFonts w:ascii="Calibri" w:hAnsi="Calibri" w:cs="Calibri"/>
          <w:noProof/>
        </w:rPr>
        <w:t xml:space="preserve"> Journal of Financial Economics, 1983. </w:t>
      </w:r>
      <w:r w:rsidRPr="004036C2">
        <w:rPr>
          <w:rFonts w:ascii="Calibri" w:hAnsi="Calibri" w:cs="Calibri"/>
          <w:b/>
          <w:noProof/>
        </w:rPr>
        <w:t>12</w:t>
      </w:r>
      <w:r w:rsidRPr="004036C2">
        <w:rPr>
          <w:rFonts w:ascii="Calibri" w:hAnsi="Calibri" w:cs="Calibri"/>
          <w:noProof/>
        </w:rPr>
        <w:t>(1): p. 129-156.</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t>[16]</w:t>
      </w:r>
      <w:r w:rsidRPr="004036C2">
        <w:rPr>
          <w:rFonts w:ascii="Calibri" w:hAnsi="Calibri" w:cs="Calibri"/>
          <w:noProof/>
        </w:rPr>
        <w:tab/>
        <w:t xml:space="preserve">Barber, B.M. and J.D. Lyon, </w:t>
      </w:r>
      <w:r w:rsidRPr="004036C2">
        <w:rPr>
          <w:rFonts w:ascii="Calibri" w:hAnsi="Calibri" w:cs="Calibri"/>
          <w:i/>
          <w:noProof/>
        </w:rPr>
        <w:t>Detecting long-run abnormal stock returns: The empirical power and specification of test statistics.</w:t>
      </w:r>
      <w:r w:rsidRPr="004036C2">
        <w:rPr>
          <w:rFonts w:ascii="Calibri" w:hAnsi="Calibri" w:cs="Calibri"/>
          <w:noProof/>
        </w:rPr>
        <w:t xml:space="preserve"> Journal of Financial Economics, 1997. </w:t>
      </w:r>
      <w:r w:rsidRPr="004036C2">
        <w:rPr>
          <w:rFonts w:ascii="Calibri" w:hAnsi="Calibri" w:cs="Calibri"/>
          <w:b/>
          <w:noProof/>
        </w:rPr>
        <w:t>43</w:t>
      </w:r>
      <w:r w:rsidRPr="004036C2">
        <w:rPr>
          <w:rFonts w:ascii="Calibri" w:hAnsi="Calibri" w:cs="Calibri"/>
          <w:noProof/>
        </w:rPr>
        <w:t>(3): p. 341-372.</w:t>
      </w:r>
    </w:p>
    <w:p w:rsidR="004036C2" w:rsidRPr="004036C2" w:rsidRDefault="004036C2" w:rsidP="004036C2">
      <w:pPr>
        <w:spacing w:after="0" w:line="240" w:lineRule="auto"/>
        <w:ind w:left="540" w:hanging="540"/>
        <w:jc w:val="both"/>
        <w:rPr>
          <w:rFonts w:ascii="Calibri" w:hAnsi="Calibri" w:cs="Calibri"/>
          <w:noProof/>
        </w:rPr>
      </w:pPr>
      <w:r>
        <w:rPr>
          <w:rFonts w:ascii="Calibri" w:hAnsi="Calibri" w:cs="Calibri"/>
          <w:noProof/>
        </w:rPr>
        <w:t>[17]</w:t>
      </w:r>
      <w:r w:rsidRPr="004036C2">
        <w:rPr>
          <w:rFonts w:ascii="Calibri" w:hAnsi="Calibri" w:cs="Calibri"/>
          <w:noProof/>
        </w:rPr>
        <w:tab/>
        <w:t xml:space="preserve">Chui, A.C., K.-C. Wei, and S. Titman, </w:t>
      </w:r>
      <w:r w:rsidRPr="004036C2">
        <w:rPr>
          <w:rFonts w:ascii="Calibri" w:hAnsi="Calibri" w:cs="Calibri"/>
          <w:i/>
          <w:noProof/>
        </w:rPr>
        <w:t>Momentum, Legal Systems and Ownership Structure: An Analysis of Asian Stock Markets.</w:t>
      </w:r>
      <w:r w:rsidRPr="004036C2">
        <w:rPr>
          <w:rFonts w:ascii="Calibri" w:hAnsi="Calibri" w:cs="Calibri"/>
          <w:noProof/>
        </w:rPr>
        <w:t xml:space="preserve"> SSRN Scholarly Paper No. ID 265848, Social Science Research Network, Rochester, NY., 2000.</w:t>
      </w:r>
    </w:p>
    <w:p w:rsidR="004036C2" w:rsidRPr="004036C2" w:rsidRDefault="004036C2" w:rsidP="004036C2">
      <w:pPr>
        <w:spacing w:line="240" w:lineRule="auto"/>
        <w:ind w:left="540" w:hanging="540"/>
        <w:jc w:val="both"/>
        <w:rPr>
          <w:rFonts w:ascii="Calibri" w:hAnsi="Calibri" w:cs="Calibri"/>
          <w:noProof/>
        </w:rPr>
      </w:pPr>
      <w:r>
        <w:rPr>
          <w:rFonts w:ascii="Calibri" w:hAnsi="Calibri" w:cs="Calibri"/>
          <w:noProof/>
        </w:rPr>
        <w:t>[18]</w:t>
      </w:r>
      <w:r w:rsidRPr="004036C2">
        <w:rPr>
          <w:rFonts w:ascii="Calibri" w:hAnsi="Calibri" w:cs="Calibri"/>
          <w:noProof/>
        </w:rPr>
        <w:tab/>
        <w:t xml:space="preserve">Hull, J.C., </w:t>
      </w:r>
      <w:r w:rsidRPr="004036C2">
        <w:rPr>
          <w:rFonts w:ascii="Calibri" w:hAnsi="Calibri" w:cs="Calibri"/>
          <w:i/>
          <w:noProof/>
        </w:rPr>
        <w:t>Options, Futures, and Other Derivatives (8 ed.)</w:t>
      </w:r>
      <w:r w:rsidRPr="004036C2">
        <w:rPr>
          <w:rFonts w:ascii="Calibri" w:hAnsi="Calibri" w:cs="Calibri"/>
          <w:noProof/>
        </w:rPr>
        <w:t>. Pearson Education. 2011.</w:t>
      </w:r>
    </w:p>
    <w:p w:rsidR="004036C2" w:rsidRDefault="004036C2" w:rsidP="004036C2">
      <w:pPr>
        <w:spacing w:line="240" w:lineRule="auto"/>
        <w:jc w:val="both"/>
        <w:rPr>
          <w:rFonts w:ascii="Calibri" w:hAnsi="Calibri" w:cs="Calibri"/>
          <w:noProof/>
        </w:rPr>
      </w:pPr>
    </w:p>
    <w:p w:rsidR="005B035B" w:rsidRDefault="00D4046A" w:rsidP="004036C2">
      <w:pPr>
        <w:spacing w:line="240" w:lineRule="auto"/>
        <w:ind w:left="720" w:hanging="720"/>
        <w:jc w:val="both"/>
        <w:rPr>
          <w:rFonts w:cstheme="minorHAnsi"/>
          <w:b/>
          <w:bCs/>
        </w:rPr>
      </w:pPr>
      <w:r w:rsidRPr="00877A0D">
        <w:rPr>
          <w:rFonts w:cstheme="minorHAnsi"/>
        </w:rPr>
        <w:fldChar w:fldCharType="end"/>
      </w:r>
    </w:p>
    <w:p w:rsidR="005B035B" w:rsidRPr="005B035B" w:rsidRDefault="005B035B" w:rsidP="005B035B">
      <w:pPr>
        <w:rPr>
          <w:rFonts w:cstheme="minorHAnsi"/>
        </w:rPr>
      </w:pPr>
    </w:p>
    <w:p w:rsidR="005B035B" w:rsidRPr="005B035B" w:rsidRDefault="005B035B" w:rsidP="005B035B">
      <w:pPr>
        <w:rPr>
          <w:rFonts w:cstheme="minorHAnsi"/>
        </w:rPr>
      </w:pPr>
    </w:p>
    <w:p w:rsidR="005B035B" w:rsidRPr="005B035B" w:rsidRDefault="005B035B" w:rsidP="005B035B">
      <w:pPr>
        <w:rPr>
          <w:rFonts w:cstheme="minorHAnsi"/>
        </w:rPr>
      </w:pPr>
    </w:p>
    <w:p w:rsidR="005B035B" w:rsidRPr="005B035B" w:rsidRDefault="005B035B" w:rsidP="005B035B">
      <w:pPr>
        <w:rPr>
          <w:rFonts w:cstheme="minorHAnsi"/>
        </w:rPr>
      </w:pPr>
    </w:p>
    <w:p w:rsidR="005B035B" w:rsidRPr="005B035B" w:rsidRDefault="005B035B" w:rsidP="005B035B">
      <w:pPr>
        <w:rPr>
          <w:rFonts w:cstheme="minorHAnsi"/>
        </w:rPr>
      </w:pPr>
    </w:p>
    <w:p w:rsidR="005B035B" w:rsidRPr="005B035B" w:rsidRDefault="005B035B" w:rsidP="005B035B">
      <w:pPr>
        <w:rPr>
          <w:rFonts w:cstheme="minorHAnsi"/>
        </w:rPr>
      </w:pPr>
    </w:p>
    <w:p w:rsidR="005B035B" w:rsidRDefault="005B035B" w:rsidP="005B035B">
      <w:pPr>
        <w:rPr>
          <w:rFonts w:cstheme="minorHAnsi"/>
        </w:rPr>
      </w:pPr>
    </w:p>
    <w:p w:rsidR="005B035B" w:rsidRDefault="005B035B" w:rsidP="005B035B">
      <w:pPr>
        <w:tabs>
          <w:tab w:val="left" w:pos="1275"/>
        </w:tabs>
        <w:rPr>
          <w:rFonts w:cstheme="minorHAnsi"/>
        </w:rPr>
        <w:sectPr w:rsidR="005B035B" w:rsidSect="00E11C97">
          <w:footerReference w:type="default" r:id="rId8"/>
          <w:pgSz w:w="12240" w:h="15840"/>
          <w:pgMar w:top="1701" w:right="1701" w:bottom="1701" w:left="1701" w:header="720" w:footer="720" w:gutter="0"/>
          <w:cols w:space="720"/>
          <w:docGrid w:linePitch="360"/>
        </w:sectPr>
      </w:pPr>
      <w:r>
        <w:rPr>
          <w:rFonts w:cstheme="minorHAnsi"/>
        </w:rPr>
        <w:tab/>
      </w:r>
    </w:p>
    <w:p w:rsidR="009B7F4A" w:rsidRPr="009B7F4A" w:rsidRDefault="009B7F4A" w:rsidP="009B7F4A">
      <w:pPr>
        <w:spacing w:before="240" w:after="120" w:line="240" w:lineRule="auto"/>
        <w:ind w:firstLine="720"/>
        <w:jc w:val="both"/>
        <w:rPr>
          <w:rFonts w:ascii="Calibri" w:eastAsia="Calibri" w:hAnsi="Calibri" w:cs="Calibri"/>
          <w:b/>
          <w:bCs/>
          <w:lang w:bidi="th-TH"/>
        </w:rPr>
      </w:pPr>
      <w:r w:rsidRPr="009B7F4A">
        <w:rPr>
          <w:rFonts w:ascii="Calibri" w:eastAsia="Calibri" w:hAnsi="Calibri" w:cs="Calibri"/>
          <w:b/>
          <w:bCs/>
          <w:lang w:bidi="th-TH"/>
        </w:rPr>
        <w:lastRenderedPageBreak/>
        <w:t>Appendix:</w:t>
      </w:r>
    </w:p>
    <w:p w:rsidR="009B7F4A" w:rsidRPr="009B7F4A" w:rsidRDefault="009B7F4A" w:rsidP="009B7F4A">
      <w:pPr>
        <w:spacing w:before="120" w:after="120" w:line="240" w:lineRule="auto"/>
        <w:ind w:firstLine="720"/>
        <w:jc w:val="both"/>
        <w:rPr>
          <w:rFonts w:ascii="Calibri" w:eastAsia="Calibri" w:hAnsi="Calibri" w:cs="Calibri"/>
          <w:b/>
          <w:bCs/>
          <w:sz w:val="18"/>
          <w:szCs w:val="18"/>
          <w:lang w:bidi="th-TH"/>
        </w:rPr>
      </w:pPr>
      <w:r w:rsidRPr="009B7F4A">
        <w:rPr>
          <w:rFonts w:ascii="Calibri" w:eastAsia="Calibri" w:hAnsi="Calibri" w:cs="Calibri"/>
          <w:b/>
          <w:bCs/>
          <w:sz w:val="18"/>
          <w:szCs w:val="18"/>
          <w:lang w:bidi="th-TH"/>
        </w:rPr>
        <w:t xml:space="preserve">Table </w:t>
      </w:r>
      <w:r w:rsidRPr="009B7F4A">
        <w:rPr>
          <w:rFonts w:ascii="Calibri" w:eastAsia="Calibri" w:hAnsi="Calibri" w:cs="Calibri"/>
          <w:b/>
          <w:bCs/>
          <w:sz w:val="18"/>
          <w:szCs w:val="18"/>
          <w:lang w:bidi="th-TH"/>
        </w:rPr>
        <w:fldChar w:fldCharType="begin"/>
      </w:r>
      <w:r w:rsidRPr="009B7F4A">
        <w:rPr>
          <w:rFonts w:ascii="Calibri" w:eastAsia="Calibri" w:hAnsi="Calibri" w:cs="Calibri"/>
          <w:b/>
          <w:bCs/>
          <w:sz w:val="18"/>
          <w:szCs w:val="18"/>
          <w:lang w:bidi="th-TH"/>
        </w:rPr>
        <w:instrText xml:space="preserve"> SEQ Table \* ARABIC </w:instrText>
      </w:r>
      <w:r w:rsidRPr="009B7F4A">
        <w:rPr>
          <w:rFonts w:ascii="Calibri" w:eastAsia="Calibri" w:hAnsi="Calibri" w:cs="Calibri"/>
          <w:b/>
          <w:bCs/>
          <w:sz w:val="18"/>
          <w:szCs w:val="18"/>
          <w:lang w:bidi="th-TH"/>
        </w:rPr>
        <w:fldChar w:fldCharType="separate"/>
      </w:r>
      <w:r w:rsidR="004E0E95">
        <w:rPr>
          <w:rFonts w:ascii="Calibri" w:eastAsia="Calibri" w:hAnsi="Calibri" w:cs="Calibri"/>
          <w:b/>
          <w:bCs/>
          <w:noProof/>
          <w:sz w:val="18"/>
          <w:szCs w:val="18"/>
          <w:lang w:bidi="th-TH"/>
        </w:rPr>
        <w:t>1</w:t>
      </w:r>
      <w:r w:rsidRPr="009B7F4A">
        <w:rPr>
          <w:rFonts w:ascii="Calibri" w:eastAsia="Calibri" w:hAnsi="Calibri" w:cs="Calibri"/>
          <w:b/>
          <w:bCs/>
          <w:sz w:val="18"/>
          <w:szCs w:val="18"/>
          <w:lang w:bidi="th-TH"/>
        </w:rPr>
        <w:fldChar w:fldCharType="end"/>
      </w:r>
      <w:r w:rsidRPr="009B7F4A">
        <w:rPr>
          <w:rFonts w:ascii="Calibri" w:eastAsia="Calibri" w:hAnsi="Calibri" w:cs="Calibri"/>
          <w:b/>
          <w:bCs/>
          <w:sz w:val="18"/>
          <w:szCs w:val="18"/>
          <w:lang w:bidi="th-TH"/>
        </w:rPr>
        <w:t>: Summary statistics for portfolios on size-P/B; March 1999-February 2014, 180 months</w:t>
      </w:r>
    </w:p>
    <w:p w:rsidR="009B7F4A" w:rsidRPr="009B7F4A" w:rsidRDefault="009B7F4A" w:rsidP="009B7F4A">
      <w:pPr>
        <w:spacing w:before="120" w:after="120" w:line="240" w:lineRule="auto"/>
        <w:ind w:firstLine="720"/>
        <w:jc w:val="both"/>
        <w:rPr>
          <w:rFonts w:ascii="Calibri" w:eastAsia="Calibri" w:hAnsi="Calibri" w:cs="Calibri"/>
          <w:sz w:val="18"/>
          <w:szCs w:val="18"/>
          <w:lang w:bidi="th-TH"/>
        </w:rPr>
      </w:pPr>
      <w:r w:rsidRPr="009B7F4A">
        <w:rPr>
          <w:rFonts w:ascii="Calibri" w:eastAsia="Calibri" w:hAnsi="Calibri" w:cs="Calibri"/>
          <w:sz w:val="18"/>
          <w:szCs w:val="18"/>
          <w:lang w:bidi="th-TH"/>
        </w:rPr>
        <w:t xml:space="preserve">The performance of small-stocks versus large-stocks portfolios and value-stocks versus growth-stocks portfolio are examined in Thailand. At the end of February of each year, stocks are sorted based on their market capitalization in descending order. Stocks in top 10% are considered as large stocks and stocks in bottom 10% are considered as small stocks. In each size class, stocks are then ranked based on their price-to-book ratio from highest to lowest. Top 30% of the stocks with the highest P/B ratio are selected to form the size- adjusted growth stocks and the bottoms 30% of the stocks with lowest P/B ratio are selected to form the size-adjusted value stocks. 40% middle considered as neutral stocks. Based on this method 6 portfolios are constructed on size-P/B, which are; SV, SN, SG, BV, BN, and BG, where S and B indicate small or big stocks and V, N, and G indicate value, neutral, and growth (bottom 30%, middle 40%, and top 30%), respectively. All portfolios are value-weighted. After forming portfolios at the end of February of year t, portfolios are evaluated for the next 12 months starting from March of year t to end of February of year t+1 based on value-weighted monthly returns of the portfolios. The size effect (SMB) is the equal weight average of three small portfolios returns minus equal-weight average of three large portfolios returns. Value and growth portfolios are formed in each size. The value premium in small size category is; </w:t>
      </w:r>
      <m:oMath>
        <m:sSub>
          <m:sSubPr>
            <m:ctrlPr>
              <w:rPr>
                <w:rFonts w:ascii="Cambria Math" w:eastAsia="Times New Roman" w:hAnsi="Cambria Math" w:cs="Calibri"/>
                <w:iCs/>
                <w:sz w:val="18"/>
                <w:szCs w:val="18"/>
              </w:rPr>
            </m:ctrlPr>
          </m:sSubPr>
          <m:e>
            <m:r>
              <m:rPr>
                <m:sty m:val="p"/>
              </m:rPr>
              <w:rPr>
                <w:rFonts w:ascii="Cambria Math" w:eastAsia="Times New Roman" w:hAnsi="Cambria Math" w:cs="Calibri"/>
                <w:sz w:val="18"/>
                <w:szCs w:val="18"/>
              </w:rPr>
              <m:t>VMG</m:t>
            </m:r>
          </m:e>
          <m:sub>
            <m:r>
              <m:rPr>
                <m:sty m:val="p"/>
              </m:rPr>
              <w:rPr>
                <w:rFonts w:ascii="Cambria Math" w:eastAsia="Times New Roman" w:hAnsi="Cambria Math" w:cs="Calibri"/>
                <w:sz w:val="18"/>
                <w:szCs w:val="18"/>
              </w:rPr>
              <m:t>S</m:t>
            </m:r>
          </m:sub>
        </m:sSub>
        <m:r>
          <w:rPr>
            <w:rFonts w:ascii="Cambria Math" w:eastAsia="Times New Roman" w:hAnsi="Cambria Math" w:cs="Calibri"/>
            <w:sz w:val="18"/>
            <w:szCs w:val="18"/>
          </w:rPr>
          <m:t>=SV-SG</m:t>
        </m:r>
      </m:oMath>
      <w:r w:rsidRPr="009B7F4A">
        <w:rPr>
          <w:rFonts w:ascii="Calibri" w:eastAsia="Times New Roman" w:hAnsi="Calibri" w:cs="Calibri"/>
          <w:iCs/>
          <w:sz w:val="18"/>
          <w:szCs w:val="18"/>
        </w:rPr>
        <w:t xml:space="preserve"> </w:t>
      </w:r>
      <w:r w:rsidRPr="009B7F4A">
        <w:rPr>
          <w:rFonts w:ascii="Calibri" w:eastAsia="Calibri" w:hAnsi="Calibri" w:cs="Calibri"/>
          <w:sz w:val="18"/>
          <w:szCs w:val="18"/>
          <w:lang w:bidi="th-TH"/>
        </w:rPr>
        <w:t xml:space="preserve">and for large size category </w:t>
      </w:r>
      <w:proofErr w:type="gramStart"/>
      <w:r w:rsidRPr="009B7F4A">
        <w:rPr>
          <w:rFonts w:ascii="Calibri" w:eastAsia="Calibri" w:hAnsi="Calibri" w:cs="Calibri"/>
          <w:sz w:val="18"/>
          <w:szCs w:val="18"/>
          <w:lang w:bidi="th-TH"/>
        </w:rPr>
        <w:t xml:space="preserve">is </w:t>
      </w:r>
      <w:proofErr w:type="gramEnd"/>
      <m:oMath>
        <m:sSub>
          <m:sSubPr>
            <m:ctrlPr>
              <w:rPr>
                <w:rFonts w:ascii="Cambria Math" w:eastAsia="Times New Roman" w:hAnsi="Cambria Math" w:cs="Calibri"/>
                <w:iCs/>
                <w:sz w:val="18"/>
                <w:szCs w:val="18"/>
              </w:rPr>
            </m:ctrlPr>
          </m:sSubPr>
          <m:e>
            <m:r>
              <m:rPr>
                <m:sty m:val="p"/>
              </m:rPr>
              <w:rPr>
                <w:rFonts w:ascii="Cambria Math" w:eastAsia="Times New Roman" w:hAnsi="Cambria Math" w:cs="Calibri"/>
                <w:sz w:val="18"/>
                <w:szCs w:val="18"/>
              </w:rPr>
              <m:t>VMG</m:t>
            </m:r>
          </m:e>
          <m:sub>
            <m:r>
              <w:rPr>
                <w:rFonts w:ascii="Cambria Math" w:eastAsia="Times New Roman" w:hAnsi="Cambria Math" w:cs="Calibri"/>
                <w:sz w:val="18"/>
                <w:szCs w:val="18"/>
              </w:rPr>
              <m:t>B</m:t>
            </m:r>
          </m:sub>
        </m:sSub>
        <m:r>
          <w:rPr>
            <w:rFonts w:ascii="Cambria Math" w:eastAsia="Times New Roman" w:hAnsi="Cambria Math" w:cs="Calibri"/>
            <w:sz w:val="18"/>
            <w:szCs w:val="18"/>
          </w:rPr>
          <m:t>=BV-BG</m:t>
        </m:r>
      </m:oMath>
      <w:r w:rsidRPr="009B7F4A">
        <w:rPr>
          <w:rFonts w:ascii="Calibri" w:eastAsia="Calibri" w:hAnsi="Calibri" w:cs="Calibri"/>
          <w:sz w:val="18"/>
          <w:szCs w:val="18"/>
          <w:lang w:bidi="th-TH"/>
        </w:rPr>
        <w:t>. Overall VMG is the equal-weight of VMG of small stocks portfolios and VMG of large stocks portfolios. Portfolios average monthly returns, standard deviation, and Sharpe ratio are reported. The risk free that is used in this study is the 10-year government bond. The t-statistics are given in parenthesis and * indicates that it is significant at 10%, ** indicates it is significant at 5%, and *** indicates it is significant at 1%.</w:t>
      </w:r>
    </w:p>
    <w:tbl>
      <w:tblPr>
        <w:tblW w:w="5000" w:type="pct"/>
        <w:tblLook w:val="04A0" w:firstRow="1" w:lastRow="0" w:firstColumn="1" w:lastColumn="0" w:noHBand="0" w:noVBand="1"/>
      </w:tblPr>
      <w:tblGrid>
        <w:gridCol w:w="1125"/>
        <w:gridCol w:w="747"/>
        <w:gridCol w:w="803"/>
        <w:gridCol w:w="750"/>
        <w:gridCol w:w="927"/>
        <w:gridCol w:w="803"/>
        <w:gridCol w:w="803"/>
        <w:gridCol w:w="747"/>
        <w:gridCol w:w="837"/>
        <w:gridCol w:w="747"/>
        <w:gridCol w:w="747"/>
        <w:gridCol w:w="657"/>
        <w:gridCol w:w="803"/>
        <w:gridCol w:w="893"/>
        <w:gridCol w:w="893"/>
        <w:gridCol w:w="747"/>
        <w:gridCol w:w="1011"/>
      </w:tblGrid>
      <w:tr w:rsidR="009B7F4A" w:rsidRPr="009B7F4A" w:rsidTr="00FD616F">
        <w:trPr>
          <w:trHeight w:val="170"/>
        </w:trPr>
        <w:tc>
          <w:tcPr>
            <w:tcW w:w="401" w:type="pct"/>
            <w:tcBorders>
              <w:top w:val="single" w:sz="4" w:space="0" w:color="auto"/>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i/>
                <w:iCs/>
                <w:sz w:val="18"/>
                <w:szCs w:val="18"/>
              </w:rPr>
            </w:pPr>
            <w:r w:rsidRPr="009B7F4A">
              <w:rPr>
                <w:rFonts w:ascii="Calibri" w:eastAsia="Times New Roman" w:hAnsi="Calibri" w:cs="Calibri"/>
                <w:i/>
                <w:iCs/>
                <w:sz w:val="18"/>
                <w:szCs w:val="18"/>
              </w:rPr>
              <w:t> </w:t>
            </w:r>
          </w:p>
        </w:tc>
        <w:tc>
          <w:tcPr>
            <w:tcW w:w="266" w:type="pct"/>
            <w:tcBorders>
              <w:top w:val="single" w:sz="4" w:space="0" w:color="auto"/>
              <w:left w:val="nil"/>
              <w:bottom w:val="single" w:sz="4" w:space="0" w:color="auto"/>
              <w:right w:val="nil"/>
            </w:tcBorders>
            <w:shd w:val="clear" w:color="000000" w:fill="FFFFFF"/>
            <w:noWrap/>
            <w:vAlign w:val="bottom"/>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Year</w:t>
            </w:r>
          </w:p>
        </w:tc>
        <w:tc>
          <w:tcPr>
            <w:tcW w:w="3972" w:type="pct"/>
            <w:gridSpan w:val="14"/>
            <w:tcBorders>
              <w:top w:val="single" w:sz="4" w:space="0" w:color="auto"/>
              <w:left w:val="nil"/>
              <w:bottom w:val="single" w:sz="4" w:space="0" w:color="auto"/>
              <w:right w:val="nil"/>
            </w:tcBorders>
            <w:shd w:val="clear" w:color="000000" w:fill="FFFFFF"/>
            <w:vAlign w:val="bottom"/>
          </w:tcPr>
          <w:p w:rsidR="009B7F4A" w:rsidRPr="009B7F4A" w:rsidRDefault="009B7F4A" w:rsidP="009B7F4A">
            <w:pPr>
              <w:spacing w:after="0" w:line="240" w:lineRule="auto"/>
              <w:jc w:val="lowKashida"/>
              <w:rPr>
                <w:rFonts w:ascii="Calibri" w:eastAsia="Times New Roman" w:hAnsi="Calibri" w:cs="Calibri"/>
                <w:sz w:val="18"/>
                <w:szCs w:val="18"/>
              </w:rPr>
            </w:pPr>
          </w:p>
        </w:tc>
        <w:tc>
          <w:tcPr>
            <w:tcW w:w="360" w:type="pct"/>
            <w:tcBorders>
              <w:top w:val="single" w:sz="4" w:space="0" w:color="auto"/>
              <w:left w:val="nil"/>
              <w:bottom w:val="single" w:sz="4" w:space="0" w:color="auto"/>
              <w:right w:val="nil"/>
            </w:tcBorders>
            <w:shd w:val="clear" w:color="auto" w:fill="auto"/>
            <w:noWrap/>
            <w:vAlign w:val="bottom"/>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Average</w:t>
            </w:r>
          </w:p>
        </w:tc>
      </w:tr>
      <w:tr w:rsidR="009B7F4A" w:rsidRPr="009B7F4A" w:rsidTr="00FD616F">
        <w:trPr>
          <w:trHeight w:val="170"/>
        </w:trPr>
        <w:tc>
          <w:tcPr>
            <w:tcW w:w="401" w:type="pct"/>
            <w:tcBorders>
              <w:top w:val="nil"/>
              <w:left w:val="nil"/>
              <w:bottom w:val="nil"/>
              <w:right w:val="nil"/>
            </w:tcBorders>
            <w:shd w:val="clear" w:color="auto" w:fill="auto"/>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1999</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2000</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2001</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2002</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2003</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2004</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2005</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2006</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2007</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2008</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2009</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2010</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2011</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2012</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2013</w:t>
            </w:r>
          </w:p>
        </w:tc>
        <w:tc>
          <w:tcPr>
            <w:tcW w:w="360"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1999-2013</w:t>
            </w:r>
          </w:p>
        </w:tc>
      </w:tr>
      <w:tr w:rsidR="009B7F4A" w:rsidRPr="009B7F4A" w:rsidTr="00FD616F">
        <w:trPr>
          <w:trHeight w:val="170"/>
        </w:trPr>
        <w:tc>
          <w:tcPr>
            <w:tcW w:w="1220" w:type="pct"/>
            <w:gridSpan w:val="4"/>
            <w:tcBorders>
              <w:top w:val="single" w:sz="4" w:space="0" w:color="auto"/>
              <w:left w:val="nil"/>
              <w:bottom w:val="single" w:sz="8" w:space="0" w:color="auto"/>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b/>
                <w:bCs/>
                <w:sz w:val="18"/>
                <w:szCs w:val="18"/>
              </w:rPr>
            </w:pPr>
            <w:r w:rsidRPr="009B7F4A">
              <w:rPr>
                <w:rFonts w:ascii="Calibri" w:eastAsia="Times New Roman" w:hAnsi="Calibri" w:cs="Calibri"/>
                <w:b/>
                <w:bCs/>
                <w:sz w:val="18"/>
                <w:szCs w:val="18"/>
              </w:rPr>
              <w:t>Panel A:Small stocks portfolios</w:t>
            </w:r>
          </w:p>
        </w:tc>
        <w:tc>
          <w:tcPr>
            <w:tcW w:w="330"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98"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34"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18"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18"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60" w:type="pct"/>
            <w:tcBorders>
              <w:top w:val="nil"/>
              <w:left w:val="nil"/>
              <w:bottom w:val="single" w:sz="8" w:space="0" w:color="auto"/>
              <w:right w:val="nil"/>
            </w:tcBorders>
            <w:shd w:val="clear" w:color="auto" w:fill="auto"/>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FD616F">
        <w:trPr>
          <w:trHeight w:val="170"/>
        </w:trPr>
        <w:tc>
          <w:tcPr>
            <w:tcW w:w="1220" w:type="pct"/>
            <w:gridSpan w:val="4"/>
            <w:tcBorders>
              <w:top w:val="single" w:sz="8" w:space="0" w:color="auto"/>
              <w:left w:val="nil"/>
              <w:bottom w:val="single" w:sz="4"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Average monthly portfolios return (%)</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60"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FD616F">
        <w:trPr>
          <w:trHeight w:val="170"/>
        </w:trPr>
        <w:tc>
          <w:tcPr>
            <w:tcW w:w="4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SV</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7.90</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0.88</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10.93</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8.14</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6.64</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-0.40</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0.59</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2.00</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0.55</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-2.15</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7.63</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4.05</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1.18</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5.22</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0.15</w:t>
            </w:r>
          </w:p>
        </w:tc>
        <w:tc>
          <w:tcPr>
            <w:tcW w:w="36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3.56</w:t>
            </w:r>
          </w:p>
        </w:tc>
      </w:tr>
      <w:tr w:rsidR="009B7F4A" w:rsidRPr="009B7F4A" w:rsidTr="00FD616F">
        <w:trPr>
          <w:trHeight w:val="170"/>
        </w:trPr>
        <w:tc>
          <w:tcPr>
            <w:tcW w:w="4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SN</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6.65</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3.84</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3.33</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6.06</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4.33</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-0.54</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0.93</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2.03</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1.15</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-4.21</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7.48</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2.53</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0.01</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6.89</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2.72</w:t>
            </w:r>
          </w:p>
        </w:tc>
        <w:tc>
          <w:tcPr>
            <w:tcW w:w="36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2.88</w:t>
            </w:r>
          </w:p>
        </w:tc>
      </w:tr>
      <w:tr w:rsidR="009B7F4A" w:rsidRPr="009B7F4A" w:rsidTr="00FD616F">
        <w:trPr>
          <w:trHeight w:val="170"/>
        </w:trPr>
        <w:tc>
          <w:tcPr>
            <w:tcW w:w="4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SG</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5.46</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1.83</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9.20</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2.46</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11.31</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3.92</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-0.02</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-1.72</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0.02</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-4.01</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3.97</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2.17</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7.75</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8.57</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-0.18</w:t>
            </w:r>
          </w:p>
        </w:tc>
        <w:tc>
          <w:tcPr>
            <w:tcW w:w="36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3.38</w:t>
            </w:r>
          </w:p>
        </w:tc>
      </w:tr>
      <w:tr w:rsidR="009B7F4A" w:rsidRPr="009B7F4A" w:rsidTr="00FD616F">
        <w:trPr>
          <w:trHeight w:val="170"/>
        </w:trPr>
        <w:tc>
          <w:tcPr>
            <w:tcW w:w="1220" w:type="pct"/>
            <w:gridSpan w:val="4"/>
            <w:tcBorders>
              <w:top w:val="nil"/>
              <w:left w:val="nil"/>
              <w:bottom w:val="single" w:sz="4"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xml:space="preserve">Standard Deviation of portfolios </w:t>
            </w:r>
            <m:oMath>
              <m:sSub>
                <m:sSubPr>
                  <m:ctrlPr>
                    <w:rPr>
                      <w:rFonts w:ascii="Cambria Math" w:eastAsia="Times New Roman" w:hAnsi="Cambria Math" w:cs="Calibri"/>
                      <w:i/>
                      <w:sz w:val="18"/>
                      <w:szCs w:val="18"/>
                    </w:rPr>
                  </m:ctrlPr>
                </m:sSubPr>
                <m:e>
                  <m:r>
                    <w:rPr>
                      <w:rFonts w:ascii="Cambria Math" w:eastAsia="Times New Roman" w:hAnsi="Cambria Math" w:cs="Calibri"/>
                      <w:sz w:val="18"/>
                      <w:szCs w:val="18"/>
                    </w:rPr>
                    <m:t>σ</m:t>
                  </m:r>
                </m:e>
                <m:sub>
                  <m:r>
                    <w:rPr>
                      <w:rFonts w:ascii="Cambria Math" w:eastAsia="Times New Roman" w:hAnsi="Cambria Math" w:cs="Calibri"/>
                      <w:sz w:val="18"/>
                      <w:szCs w:val="18"/>
                    </w:rPr>
                    <m:t>p</m:t>
                  </m:r>
                </m:sub>
              </m:sSub>
            </m:oMath>
            <w:r w:rsidRPr="009B7F4A">
              <w:rPr>
                <w:rFonts w:ascii="Calibri" w:eastAsia="Times New Roman" w:hAnsi="Calibri" w:cs="Calibri"/>
                <w:sz w:val="18"/>
                <w:szCs w:val="18"/>
              </w:rPr>
              <w:t xml:space="preserve"> (%)</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60"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FD616F">
        <w:trPr>
          <w:trHeight w:val="170"/>
        </w:trPr>
        <w:tc>
          <w:tcPr>
            <w:tcW w:w="4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SV</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20.94</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6.33</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16.49</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7.60</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9.24</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2.78</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3.82</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5.37</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2.55</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9.57</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8.08</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10.47</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6.56</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5.57</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9.70</w:t>
            </w:r>
          </w:p>
        </w:tc>
        <w:tc>
          <w:tcPr>
            <w:tcW w:w="36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8.34</w:t>
            </w:r>
          </w:p>
        </w:tc>
      </w:tr>
      <w:tr w:rsidR="009B7F4A" w:rsidRPr="009B7F4A" w:rsidTr="00FD616F">
        <w:trPr>
          <w:trHeight w:val="170"/>
        </w:trPr>
        <w:tc>
          <w:tcPr>
            <w:tcW w:w="4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SN</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20.49</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6.06</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12.08</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6.48</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5.80</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3.51</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2.70</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3.88</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3.61</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13.20</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5.77</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6.72</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6.31</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6.53</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7.76</w:t>
            </w:r>
          </w:p>
        </w:tc>
        <w:tc>
          <w:tcPr>
            <w:tcW w:w="36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7.39</w:t>
            </w:r>
          </w:p>
        </w:tc>
      </w:tr>
      <w:tr w:rsidR="009B7F4A" w:rsidRPr="009B7F4A" w:rsidTr="00FD616F">
        <w:trPr>
          <w:trHeight w:val="170"/>
        </w:trPr>
        <w:tc>
          <w:tcPr>
            <w:tcW w:w="4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SG</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20.55</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9.54</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16.75</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8.99</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16.51</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9.17</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2.82</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6.18</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3.26</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12.14</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6.56</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4.65</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11.53</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5.29</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8.09</w:t>
            </w:r>
          </w:p>
        </w:tc>
        <w:tc>
          <w:tcPr>
            <w:tcW w:w="36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9.47</w:t>
            </w:r>
          </w:p>
        </w:tc>
      </w:tr>
      <w:tr w:rsidR="009B7F4A" w:rsidRPr="009B7F4A" w:rsidTr="00FD616F">
        <w:trPr>
          <w:trHeight w:val="170"/>
        </w:trPr>
        <w:tc>
          <w:tcPr>
            <w:tcW w:w="1220" w:type="pct"/>
            <w:gridSpan w:val="4"/>
            <w:tcBorders>
              <w:top w:val="nil"/>
              <w:left w:val="nil"/>
              <w:bottom w:val="single" w:sz="4"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xml:space="preserve">Sharpe Ratio: </w:t>
            </w:r>
            <m:oMath>
              <m:acc>
                <m:accPr>
                  <m:chr m:val="̅"/>
                  <m:ctrlPr>
                    <w:rPr>
                      <w:rFonts w:ascii="Cambria Math" w:eastAsia="Times New Roman" w:hAnsi="Cambria Math" w:cs="Calibri"/>
                      <w:i/>
                      <w:sz w:val="18"/>
                      <w:szCs w:val="18"/>
                    </w:rPr>
                  </m:ctrlPr>
                </m:accPr>
                <m:e>
                  <m:sSub>
                    <m:sSubPr>
                      <m:ctrlPr>
                        <w:rPr>
                          <w:rFonts w:ascii="Cambria Math" w:eastAsia="Times New Roman" w:hAnsi="Cambria Math" w:cs="Calibri"/>
                          <w:i/>
                          <w:sz w:val="18"/>
                          <w:szCs w:val="18"/>
                        </w:rPr>
                      </m:ctrlPr>
                    </m:sSubPr>
                    <m:e>
                      <m:r>
                        <w:rPr>
                          <w:rFonts w:ascii="Cambria Math" w:eastAsia="Times New Roman" w:hAnsi="Cambria Math" w:cs="Calibri"/>
                          <w:sz w:val="18"/>
                          <w:szCs w:val="18"/>
                        </w:rPr>
                        <m:t>(R</m:t>
                      </m:r>
                    </m:e>
                    <m:sub>
                      <m:r>
                        <w:rPr>
                          <w:rFonts w:ascii="Cambria Math" w:eastAsia="Times New Roman" w:hAnsi="Cambria Math" w:cs="Calibri"/>
                          <w:sz w:val="18"/>
                          <w:szCs w:val="18"/>
                        </w:rPr>
                        <m:t>p</m:t>
                      </m:r>
                    </m:sub>
                  </m:sSub>
                  <m:r>
                    <w:rPr>
                      <w:rFonts w:ascii="Cambria Math" w:eastAsia="Times New Roman" w:hAnsi="Cambria Math" w:cs="Calibri"/>
                      <w:sz w:val="18"/>
                      <w:szCs w:val="18"/>
                    </w:rPr>
                    <m:t>-</m:t>
                  </m:r>
                  <m:sSub>
                    <m:sSubPr>
                      <m:ctrlPr>
                        <w:rPr>
                          <w:rFonts w:ascii="Cambria Math" w:eastAsia="Times New Roman" w:hAnsi="Cambria Math" w:cs="Calibri"/>
                          <w:i/>
                          <w:sz w:val="18"/>
                          <w:szCs w:val="18"/>
                        </w:rPr>
                      </m:ctrlPr>
                    </m:sSubPr>
                    <m:e>
                      <m:r>
                        <w:rPr>
                          <w:rFonts w:ascii="Cambria Math" w:eastAsia="Times New Roman" w:hAnsi="Cambria Math" w:cs="Calibri"/>
                          <w:sz w:val="18"/>
                          <w:szCs w:val="18"/>
                        </w:rPr>
                        <m:t>R</m:t>
                      </m:r>
                    </m:e>
                    <m:sub>
                      <m:r>
                        <w:rPr>
                          <w:rFonts w:ascii="Cambria Math" w:eastAsia="Times New Roman" w:hAnsi="Cambria Math" w:cs="Calibri"/>
                          <w:sz w:val="18"/>
                          <w:szCs w:val="18"/>
                        </w:rPr>
                        <m:t>f</m:t>
                      </m:r>
                    </m:sub>
                  </m:sSub>
                </m:e>
              </m:acc>
              <m:r>
                <w:rPr>
                  <w:rFonts w:ascii="Cambria Math" w:eastAsia="Times New Roman" w:hAnsi="Cambria Math" w:cs="Calibri"/>
                  <w:sz w:val="18"/>
                  <w:szCs w:val="18"/>
                </w:rPr>
                <m:t>)/</m:t>
              </m:r>
              <m:sSub>
                <m:sSubPr>
                  <m:ctrlPr>
                    <w:rPr>
                      <w:rFonts w:ascii="Cambria Math" w:eastAsia="Times New Roman" w:hAnsi="Cambria Math" w:cs="Calibri"/>
                      <w:i/>
                      <w:sz w:val="18"/>
                      <w:szCs w:val="18"/>
                    </w:rPr>
                  </m:ctrlPr>
                </m:sSubPr>
                <m:e>
                  <m:r>
                    <w:rPr>
                      <w:rFonts w:ascii="Cambria Math" w:eastAsia="Times New Roman" w:hAnsi="Cambria Math" w:cs="Calibri"/>
                      <w:sz w:val="18"/>
                      <w:szCs w:val="18"/>
                    </w:rPr>
                    <m:t>σ</m:t>
                  </m:r>
                </m:e>
                <m:sub>
                  <m:r>
                    <w:rPr>
                      <w:rFonts w:ascii="Cambria Math" w:eastAsia="Times New Roman" w:hAnsi="Cambria Math" w:cs="Calibri"/>
                      <w:sz w:val="18"/>
                      <w:szCs w:val="18"/>
                    </w:rPr>
                    <m:t>p</m:t>
                  </m:r>
                </m:sub>
              </m:sSub>
              <m:r>
                <w:rPr>
                  <w:rFonts w:ascii="Cambria Math" w:eastAsia="Times New Roman" w:hAnsi="Cambria Math" w:cs="Calibri"/>
                  <w:sz w:val="18"/>
                  <w:szCs w:val="18"/>
                </w:rPr>
                <m:t xml:space="preserve"> (x100)</m:t>
              </m:r>
            </m:oMath>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60"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FD616F">
        <w:trPr>
          <w:trHeight w:val="170"/>
        </w:trPr>
        <w:tc>
          <w:tcPr>
            <w:tcW w:w="4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SV</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0.35</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0.06</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0.63</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1.02</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0.69</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-0.29</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0.04</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0.29</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0.07</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-0.26</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0.90</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0.36</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0.13</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0.88</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-0.02</w:t>
            </w:r>
          </w:p>
        </w:tc>
        <w:tc>
          <w:tcPr>
            <w:tcW w:w="36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0.32</w:t>
            </w:r>
          </w:p>
        </w:tc>
      </w:tr>
      <w:tr w:rsidR="009B7F4A" w:rsidRPr="009B7F4A" w:rsidTr="00FD616F">
        <w:trPr>
          <w:trHeight w:val="170"/>
        </w:trPr>
        <w:tc>
          <w:tcPr>
            <w:tcW w:w="4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SN</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0.29</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0.55</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0.24</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0.88</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0.69</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-0.27</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0.19</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0.41</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0.21</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-0.35</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1.24</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0.33</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-0.05</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1.01</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0.31</w:t>
            </w:r>
          </w:p>
        </w:tc>
        <w:tc>
          <w:tcPr>
            <w:tcW w:w="36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0.38</w:t>
            </w:r>
          </w:p>
        </w:tc>
      </w:tr>
      <w:tr w:rsidR="009B7F4A" w:rsidRPr="009B7F4A" w:rsidTr="00FD616F">
        <w:trPr>
          <w:trHeight w:val="170"/>
        </w:trPr>
        <w:tc>
          <w:tcPr>
            <w:tcW w:w="4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SG</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0.23</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0.14</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0.52</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0.23</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0.67</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0.38</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-0.16</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-0.35</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-0.11</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-0.36</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0.55</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0.40</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0.65</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1.56</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-0.06</w:t>
            </w:r>
          </w:p>
        </w:tc>
        <w:tc>
          <w:tcPr>
            <w:tcW w:w="36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0.29</w:t>
            </w:r>
          </w:p>
        </w:tc>
      </w:tr>
      <w:tr w:rsidR="009B7F4A" w:rsidRPr="009B7F4A" w:rsidTr="00FD616F">
        <w:trPr>
          <w:trHeight w:val="170"/>
        </w:trPr>
        <w:tc>
          <w:tcPr>
            <w:tcW w:w="1220" w:type="pct"/>
            <w:gridSpan w:val="4"/>
            <w:tcBorders>
              <w:top w:val="nil"/>
              <w:left w:val="nil"/>
              <w:bottom w:val="single" w:sz="4"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xml:space="preserve">Difference in S.D </w:t>
            </w:r>
            <m:oMath>
              <m:sSub>
                <m:sSubPr>
                  <m:ctrlPr>
                    <w:rPr>
                      <w:rFonts w:ascii="Cambria Math" w:eastAsia="Times New Roman" w:hAnsi="Cambria Math" w:cs="Calibri"/>
                      <w:i/>
                      <w:sz w:val="18"/>
                      <w:szCs w:val="18"/>
                    </w:rPr>
                  </m:ctrlPr>
                </m:sSubPr>
                <m:e>
                  <m:r>
                    <w:rPr>
                      <w:rFonts w:ascii="Cambria Math" w:eastAsia="Times New Roman" w:hAnsi="Cambria Math" w:cs="Calibri"/>
                      <w:sz w:val="18"/>
                      <w:szCs w:val="18"/>
                    </w:rPr>
                    <m:t>σ</m:t>
                  </m:r>
                </m:e>
                <m:sub>
                  <m:r>
                    <w:rPr>
                      <w:rFonts w:ascii="Cambria Math" w:eastAsia="Times New Roman" w:hAnsi="Cambria Math" w:cs="Calibri"/>
                      <w:sz w:val="18"/>
                      <w:szCs w:val="18"/>
                    </w:rPr>
                    <m:t>p</m:t>
                  </m:r>
                </m:sub>
              </m:sSub>
            </m:oMath>
            <w:r w:rsidRPr="009B7F4A">
              <w:rPr>
                <w:rFonts w:ascii="Calibri" w:eastAsia="Times New Roman" w:hAnsi="Calibri" w:cs="Calibri"/>
                <w:sz w:val="18"/>
                <w:szCs w:val="18"/>
              </w:rPr>
              <w:t>(%)</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60"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FD616F">
        <w:trPr>
          <w:trHeight w:val="170"/>
        </w:trPr>
        <w:tc>
          <w:tcPr>
            <w:tcW w:w="4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SV - SG</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0.39</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-3.21</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-0.27</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-1.39</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-7.26</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-6.39</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1.00</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-0.81</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-0.72</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-2.57</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1.53</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5.83</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-4.97</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0.29</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1.61</w:t>
            </w:r>
          </w:p>
        </w:tc>
        <w:tc>
          <w:tcPr>
            <w:tcW w:w="36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-1.13</w:t>
            </w:r>
          </w:p>
        </w:tc>
      </w:tr>
      <w:tr w:rsidR="009B7F4A" w:rsidRPr="009B7F4A" w:rsidTr="00FD616F">
        <w:trPr>
          <w:trHeight w:val="170"/>
        </w:trPr>
        <w:tc>
          <w:tcPr>
            <w:tcW w:w="1220" w:type="pct"/>
            <w:gridSpan w:val="4"/>
            <w:tcBorders>
              <w:top w:val="nil"/>
              <w:left w:val="nil"/>
              <w:bottom w:val="single" w:sz="4"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Difference in returns</w:t>
            </w:r>
            <m:oMath>
              <m:r>
                <w:rPr>
                  <w:rFonts w:ascii="Cambria Math" w:eastAsia="Times New Roman" w:hAnsi="Cambria Math" w:cs="Calibri"/>
                  <w:sz w:val="18"/>
                  <w:szCs w:val="18"/>
                </w:rPr>
                <m:t>(</m:t>
              </m:r>
              <m:sSub>
                <m:sSubPr>
                  <m:ctrlPr>
                    <w:rPr>
                      <w:rFonts w:ascii="Cambria Math" w:eastAsia="Calibri" w:hAnsi="Cambria Math" w:cs="Calibri"/>
                      <w:iCs/>
                      <w:sz w:val="18"/>
                      <w:szCs w:val="18"/>
                      <w:lang w:bidi="th-TH"/>
                    </w:rPr>
                  </m:ctrlPr>
                </m:sSubPr>
                <m:e>
                  <m:r>
                    <m:rPr>
                      <m:sty m:val="p"/>
                    </m:rPr>
                    <w:rPr>
                      <w:rFonts w:ascii="Cambria Math" w:eastAsia="Calibri" w:hAnsi="Cambria Math" w:cs="Calibri"/>
                      <w:sz w:val="18"/>
                      <w:szCs w:val="18"/>
                      <w:lang w:bidi="th-TH"/>
                    </w:rPr>
                    <m:t>WMG</m:t>
                  </m:r>
                </m:e>
                <m:sub>
                  <m:r>
                    <m:rPr>
                      <m:sty m:val="p"/>
                    </m:rPr>
                    <w:rPr>
                      <w:rFonts w:ascii="Cambria Math" w:eastAsia="Calibri" w:hAnsi="Cambria Math" w:cs="Calibri"/>
                      <w:sz w:val="18"/>
                      <w:szCs w:val="18"/>
                      <w:lang w:bidi="th-TH"/>
                    </w:rPr>
                    <m:t>S</m:t>
                  </m:r>
                </m:sub>
              </m:sSub>
              <m:r>
                <w:rPr>
                  <w:rFonts w:ascii="Cambria Math" w:eastAsia="Calibri" w:hAnsi="Cambria Math" w:cs="Calibri"/>
                  <w:sz w:val="18"/>
                  <w:szCs w:val="18"/>
                  <w:lang w:bidi="th-TH"/>
                </w:rPr>
                <m:t>)</m:t>
              </m:r>
            </m:oMath>
            <w:r w:rsidRPr="009B7F4A">
              <w:rPr>
                <w:rFonts w:ascii="Calibri" w:eastAsia="Times New Roman" w:hAnsi="Calibri" w:cs="Calibri"/>
                <w:sz w:val="18"/>
                <w:szCs w:val="18"/>
              </w:rPr>
              <w:t xml:space="preserve"> (%)</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60"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FD616F">
        <w:trPr>
          <w:trHeight w:val="170"/>
        </w:trPr>
        <w:tc>
          <w:tcPr>
            <w:tcW w:w="401" w:type="pct"/>
            <w:vMerge w:val="restart"/>
            <w:tcBorders>
              <w:top w:val="nil"/>
              <w:left w:val="nil"/>
              <w:bottom w:val="nil"/>
              <w:right w:val="nil"/>
            </w:tcBorders>
            <w:shd w:val="clear" w:color="000000" w:fill="FFFFFF"/>
            <w:hideMark/>
          </w:tcPr>
          <w:p w:rsidR="009B7F4A" w:rsidRPr="009B7F4A" w:rsidRDefault="005A1CF1" w:rsidP="009B7F4A">
            <w:pPr>
              <w:spacing w:after="0" w:line="240" w:lineRule="auto"/>
              <w:jc w:val="lowKashida"/>
              <w:rPr>
                <w:rFonts w:ascii="Calibri" w:eastAsia="Times New Roman" w:hAnsi="Calibri" w:cs="Calibri"/>
                <w:sz w:val="18"/>
                <w:szCs w:val="18"/>
              </w:rPr>
            </w:pPr>
            <m:oMath>
              <m:sSub>
                <m:sSubPr>
                  <m:ctrlPr>
                    <w:rPr>
                      <w:rFonts w:ascii="Cambria Math" w:eastAsia="Times New Roman" w:hAnsi="Cambria Math" w:cs="Calibri"/>
                      <w:i/>
                      <w:sz w:val="18"/>
                      <w:szCs w:val="18"/>
                    </w:rPr>
                  </m:ctrlPr>
                </m:sSubPr>
                <m:e>
                  <m:r>
                    <w:rPr>
                      <w:rFonts w:ascii="Cambria Math" w:eastAsia="Times New Roman" w:hAnsi="Cambria Math" w:cs="Calibri"/>
                      <w:sz w:val="18"/>
                      <w:szCs w:val="18"/>
                    </w:rPr>
                    <m:t>R</m:t>
                  </m:r>
                </m:e>
                <m:sub>
                  <m:r>
                    <w:rPr>
                      <w:rFonts w:ascii="Cambria Math" w:eastAsia="Times New Roman" w:hAnsi="Cambria Math" w:cs="Calibri"/>
                      <w:sz w:val="18"/>
                      <w:szCs w:val="18"/>
                    </w:rPr>
                    <m:t>SV</m:t>
                  </m:r>
                </m:sub>
              </m:sSub>
            </m:oMath>
            <w:r w:rsidR="009B7F4A" w:rsidRPr="009B7F4A">
              <w:rPr>
                <w:rFonts w:ascii="Calibri" w:eastAsia="Times New Roman" w:hAnsi="Calibri" w:cs="Calibri"/>
                <w:sz w:val="18"/>
                <w:szCs w:val="18"/>
              </w:rPr>
              <w:t xml:space="preserve"> - </w:t>
            </w:r>
            <m:oMath>
              <m:sSub>
                <m:sSubPr>
                  <m:ctrlPr>
                    <w:rPr>
                      <w:rFonts w:ascii="Cambria Math" w:eastAsia="Times New Roman" w:hAnsi="Cambria Math" w:cs="Calibri"/>
                      <w:i/>
                      <w:sz w:val="18"/>
                      <w:szCs w:val="18"/>
                    </w:rPr>
                  </m:ctrlPr>
                </m:sSubPr>
                <m:e>
                  <m:r>
                    <w:rPr>
                      <w:rFonts w:ascii="Cambria Math" w:eastAsia="Times New Roman" w:hAnsi="Cambria Math" w:cs="Calibri"/>
                      <w:sz w:val="18"/>
                      <w:szCs w:val="18"/>
                    </w:rPr>
                    <m:t>R</m:t>
                  </m:r>
                </m:e>
                <m:sub>
                  <m:r>
                    <w:rPr>
                      <w:rFonts w:ascii="Cambria Math" w:eastAsia="Times New Roman" w:hAnsi="Cambria Math" w:cs="Calibri"/>
                      <w:sz w:val="18"/>
                      <w:szCs w:val="18"/>
                    </w:rPr>
                    <m:t>SG</m:t>
                  </m:r>
                </m:sub>
              </m:sSub>
            </m:oMath>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2.51</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-0.95</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1.73</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5.69</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-4.67</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-4.32</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0.60</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3.71</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0.53</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1.86</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3.65</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1.89</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-6.57</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-3.35</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0.33</w:t>
            </w:r>
          </w:p>
        </w:tc>
        <w:tc>
          <w:tcPr>
            <w:tcW w:w="36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0.18</w:t>
            </w:r>
          </w:p>
        </w:tc>
      </w:tr>
      <w:tr w:rsidR="009B7F4A" w:rsidRPr="009B7F4A" w:rsidTr="00FD616F">
        <w:trPr>
          <w:trHeight w:val="170"/>
        </w:trPr>
        <w:tc>
          <w:tcPr>
            <w:tcW w:w="401" w:type="pct"/>
            <w:vMerge/>
            <w:tcBorders>
              <w:top w:val="nil"/>
              <w:left w:val="nil"/>
              <w:bottom w:val="nil"/>
              <w:right w:val="nil"/>
            </w:tcBorders>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(0.283)</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(-0.319)</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(0.247)</w:t>
            </w:r>
          </w:p>
        </w:tc>
        <w:tc>
          <w:tcPr>
            <w:tcW w:w="33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(1.547)*</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(-0.849)</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(-0.76)</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(0.426)</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(1.555)*</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(0.435)</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(0.42)</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(1.2)</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(0.558)</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(-1.673)*</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(-1.21)</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(0.093)</w:t>
            </w:r>
          </w:p>
        </w:tc>
        <w:tc>
          <w:tcPr>
            <w:tcW w:w="36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(0.149)</w:t>
            </w:r>
          </w:p>
        </w:tc>
      </w:tr>
      <w:tr w:rsidR="009B7F4A" w:rsidRPr="009B7F4A" w:rsidTr="00FD616F">
        <w:trPr>
          <w:trHeight w:val="170"/>
        </w:trPr>
        <w:tc>
          <w:tcPr>
            <w:tcW w:w="1220" w:type="pct"/>
            <w:gridSpan w:val="4"/>
            <w:tcBorders>
              <w:top w:val="nil"/>
              <w:left w:val="nil"/>
              <w:bottom w:val="single" w:sz="4" w:space="0" w:color="auto"/>
              <w:right w:val="nil"/>
            </w:tcBorders>
            <w:shd w:val="clear" w:color="000000" w:fill="FFFFFF"/>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Difference in Sharpe ratio(x100)</w:t>
            </w:r>
          </w:p>
        </w:tc>
        <w:tc>
          <w:tcPr>
            <w:tcW w:w="330" w:type="pct"/>
            <w:tcBorders>
              <w:top w:val="nil"/>
              <w:left w:val="nil"/>
              <w:bottom w:val="nil"/>
              <w:right w:val="nil"/>
            </w:tcBorders>
            <w:shd w:val="clear" w:color="000000" w:fill="FFFFFF"/>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3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1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60"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FD616F">
        <w:trPr>
          <w:trHeight w:val="170"/>
        </w:trPr>
        <w:tc>
          <w:tcPr>
            <w:tcW w:w="401"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xml:space="preserve">SV - SG </w:t>
            </w:r>
          </w:p>
        </w:tc>
        <w:tc>
          <w:tcPr>
            <w:tcW w:w="266"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0.12</w:t>
            </w:r>
          </w:p>
        </w:tc>
        <w:tc>
          <w:tcPr>
            <w:tcW w:w="286"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-0.08</w:t>
            </w:r>
          </w:p>
        </w:tc>
        <w:tc>
          <w:tcPr>
            <w:tcW w:w="266"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0.11</w:t>
            </w:r>
          </w:p>
        </w:tc>
        <w:tc>
          <w:tcPr>
            <w:tcW w:w="330"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0.79</w:t>
            </w:r>
          </w:p>
        </w:tc>
        <w:tc>
          <w:tcPr>
            <w:tcW w:w="286"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0.02</w:t>
            </w:r>
          </w:p>
        </w:tc>
        <w:tc>
          <w:tcPr>
            <w:tcW w:w="286"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-0.67</w:t>
            </w:r>
          </w:p>
        </w:tc>
        <w:tc>
          <w:tcPr>
            <w:tcW w:w="266"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0.20</w:t>
            </w:r>
          </w:p>
        </w:tc>
        <w:tc>
          <w:tcPr>
            <w:tcW w:w="298"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0.64</w:t>
            </w:r>
          </w:p>
        </w:tc>
        <w:tc>
          <w:tcPr>
            <w:tcW w:w="266"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0.18</w:t>
            </w:r>
          </w:p>
        </w:tc>
        <w:tc>
          <w:tcPr>
            <w:tcW w:w="266"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0.10</w:t>
            </w:r>
          </w:p>
        </w:tc>
        <w:tc>
          <w:tcPr>
            <w:tcW w:w="234"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0.35</w:t>
            </w:r>
          </w:p>
        </w:tc>
        <w:tc>
          <w:tcPr>
            <w:tcW w:w="286"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-0.04</w:t>
            </w:r>
          </w:p>
        </w:tc>
        <w:tc>
          <w:tcPr>
            <w:tcW w:w="318"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-0.51</w:t>
            </w:r>
          </w:p>
        </w:tc>
        <w:tc>
          <w:tcPr>
            <w:tcW w:w="318"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-0.68</w:t>
            </w:r>
          </w:p>
        </w:tc>
        <w:tc>
          <w:tcPr>
            <w:tcW w:w="266"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0.04</w:t>
            </w:r>
          </w:p>
        </w:tc>
        <w:tc>
          <w:tcPr>
            <w:tcW w:w="360"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0.037</w:t>
            </w:r>
          </w:p>
        </w:tc>
      </w:tr>
      <w:tr w:rsidR="009B7F4A" w:rsidRPr="009B7F4A" w:rsidTr="00FD616F">
        <w:trPr>
          <w:trHeight w:val="170"/>
        </w:trPr>
        <w:tc>
          <w:tcPr>
            <w:tcW w:w="401" w:type="pct"/>
            <w:tcBorders>
              <w:top w:val="nil"/>
              <w:left w:val="nil"/>
              <w:bottom w:val="single" w:sz="4" w:space="0" w:color="auto"/>
              <w:right w:val="nil"/>
            </w:tcBorders>
            <w:shd w:val="clear" w:color="000000" w:fill="FFFFFF"/>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66"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(0.27)</w:t>
            </w:r>
          </w:p>
        </w:tc>
        <w:tc>
          <w:tcPr>
            <w:tcW w:w="286"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(-0.205)</w:t>
            </w:r>
          </w:p>
        </w:tc>
        <w:tc>
          <w:tcPr>
            <w:tcW w:w="266"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(0.269)</w:t>
            </w:r>
          </w:p>
        </w:tc>
        <w:tc>
          <w:tcPr>
            <w:tcW w:w="330"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(1.788)**</w:t>
            </w:r>
          </w:p>
        </w:tc>
        <w:tc>
          <w:tcPr>
            <w:tcW w:w="286"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(0.044)</w:t>
            </w:r>
          </w:p>
        </w:tc>
        <w:tc>
          <w:tcPr>
            <w:tcW w:w="286"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(-0.991)</w:t>
            </w:r>
          </w:p>
        </w:tc>
        <w:tc>
          <w:tcPr>
            <w:tcW w:w="266"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(0.471)</w:t>
            </w:r>
          </w:p>
        </w:tc>
        <w:tc>
          <w:tcPr>
            <w:tcW w:w="298"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(1.541)*</w:t>
            </w:r>
          </w:p>
        </w:tc>
        <w:tc>
          <w:tcPr>
            <w:tcW w:w="266"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(0.426)</w:t>
            </w:r>
          </w:p>
        </w:tc>
        <w:tc>
          <w:tcPr>
            <w:tcW w:w="266"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(0.239)</w:t>
            </w:r>
          </w:p>
        </w:tc>
        <w:tc>
          <w:tcPr>
            <w:tcW w:w="234"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(0.84)</w:t>
            </w:r>
          </w:p>
        </w:tc>
        <w:tc>
          <w:tcPr>
            <w:tcW w:w="286"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(-0.108)</w:t>
            </w:r>
          </w:p>
        </w:tc>
        <w:tc>
          <w:tcPr>
            <w:tcW w:w="318"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(-1.228)</w:t>
            </w:r>
          </w:p>
        </w:tc>
        <w:tc>
          <w:tcPr>
            <w:tcW w:w="318"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(-1.332)*</w:t>
            </w:r>
          </w:p>
        </w:tc>
        <w:tc>
          <w:tcPr>
            <w:tcW w:w="266"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(0.113)</w:t>
            </w:r>
          </w:p>
        </w:tc>
        <w:tc>
          <w:tcPr>
            <w:tcW w:w="360"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(0.309)</w:t>
            </w:r>
          </w:p>
          <w:p w:rsidR="009B7F4A" w:rsidRPr="009B7F4A" w:rsidRDefault="009B7F4A" w:rsidP="009B7F4A">
            <w:pPr>
              <w:spacing w:after="0" w:line="240" w:lineRule="auto"/>
              <w:jc w:val="right"/>
              <w:rPr>
                <w:rFonts w:ascii="Calibri" w:eastAsia="Times New Roman" w:hAnsi="Calibri" w:cs="Calibri"/>
                <w:sz w:val="18"/>
                <w:szCs w:val="18"/>
              </w:rPr>
            </w:pPr>
          </w:p>
        </w:tc>
      </w:tr>
    </w:tbl>
    <w:p w:rsidR="009B7F4A" w:rsidRPr="009B7F4A" w:rsidRDefault="009B7F4A" w:rsidP="009B7F4A">
      <w:pPr>
        <w:spacing w:after="0" w:line="480" w:lineRule="auto"/>
        <w:jc w:val="both"/>
        <w:rPr>
          <w:rFonts w:ascii="Calibri" w:eastAsia="Calibri" w:hAnsi="Calibri" w:cs="Calibri"/>
          <w:sz w:val="18"/>
          <w:szCs w:val="18"/>
          <w:lang w:bidi="th-TH"/>
        </w:rPr>
      </w:pPr>
    </w:p>
    <w:p w:rsidR="009B7F4A" w:rsidRPr="009B7F4A" w:rsidRDefault="009B7F4A" w:rsidP="009B7F4A">
      <w:pPr>
        <w:spacing w:after="0" w:line="480" w:lineRule="auto"/>
        <w:jc w:val="both"/>
        <w:rPr>
          <w:rFonts w:ascii="Calibri" w:eastAsia="Calibri" w:hAnsi="Calibri" w:cs="Calibri"/>
          <w:sz w:val="18"/>
          <w:szCs w:val="18"/>
          <w:lang w:bidi="th-TH"/>
        </w:rPr>
      </w:pPr>
    </w:p>
    <w:p w:rsidR="009B7F4A" w:rsidRPr="009B7F4A" w:rsidRDefault="009B7F4A" w:rsidP="009B7F4A">
      <w:pPr>
        <w:spacing w:after="0" w:line="480" w:lineRule="auto"/>
        <w:jc w:val="both"/>
        <w:rPr>
          <w:rFonts w:ascii="Calibri" w:eastAsia="Calibri" w:hAnsi="Calibri" w:cs="Calibri"/>
          <w:sz w:val="18"/>
          <w:szCs w:val="18"/>
          <w:lang w:bidi="th-TH"/>
        </w:rPr>
      </w:pPr>
    </w:p>
    <w:tbl>
      <w:tblPr>
        <w:tblW w:w="4989" w:type="pct"/>
        <w:tblLook w:val="04A0" w:firstRow="1" w:lastRow="0" w:firstColumn="1" w:lastColumn="0" w:noHBand="0" w:noVBand="1"/>
      </w:tblPr>
      <w:tblGrid>
        <w:gridCol w:w="769"/>
        <w:gridCol w:w="1201"/>
        <w:gridCol w:w="736"/>
        <w:gridCol w:w="779"/>
        <w:gridCol w:w="773"/>
        <w:gridCol w:w="846"/>
        <w:gridCol w:w="793"/>
        <w:gridCol w:w="911"/>
        <w:gridCol w:w="737"/>
        <w:gridCol w:w="791"/>
        <w:gridCol w:w="791"/>
        <w:gridCol w:w="827"/>
        <w:gridCol w:w="737"/>
        <w:gridCol w:w="855"/>
        <w:gridCol w:w="916"/>
        <w:gridCol w:w="791"/>
        <w:gridCol w:w="756"/>
      </w:tblGrid>
      <w:tr w:rsidR="009B7F4A" w:rsidRPr="009B7F4A" w:rsidTr="009B7F4A">
        <w:trPr>
          <w:trHeight w:val="170"/>
        </w:trPr>
        <w:tc>
          <w:tcPr>
            <w:tcW w:w="1245" w:type="pct"/>
            <w:gridSpan w:val="4"/>
            <w:tcBorders>
              <w:top w:val="single" w:sz="4" w:space="0" w:color="auto"/>
              <w:left w:val="nil"/>
              <w:bottom w:val="single" w:sz="8" w:space="0" w:color="auto"/>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b/>
                <w:bCs/>
                <w:sz w:val="18"/>
                <w:szCs w:val="18"/>
              </w:rPr>
            </w:pPr>
            <w:r w:rsidRPr="009B7F4A">
              <w:rPr>
                <w:rFonts w:ascii="Calibri" w:eastAsia="Times New Roman" w:hAnsi="Calibri" w:cs="Calibri"/>
                <w:b/>
                <w:bCs/>
                <w:sz w:val="18"/>
                <w:szCs w:val="18"/>
              </w:rPr>
              <w:lastRenderedPageBreak/>
              <w:t>Panel B:Big stocks portfolios</w:t>
            </w:r>
          </w:p>
        </w:tc>
        <w:tc>
          <w:tcPr>
            <w:tcW w:w="276"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02"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3"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25"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63"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95"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63"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05"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27"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70"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9B7F4A">
        <w:trPr>
          <w:trHeight w:val="170"/>
        </w:trPr>
        <w:tc>
          <w:tcPr>
            <w:tcW w:w="1245" w:type="pct"/>
            <w:gridSpan w:val="4"/>
            <w:tcBorders>
              <w:top w:val="single" w:sz="8" w:space="0" w:color="auto"/>
              <w:left w:val="nil"/>
              <w:bottom w:val="single" w:sz="4"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Average monthly portfolios return (%)</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70"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9B7F4A">
        <w:trPr>
          <w:trHeight w:val="170"/>
        </w:trPr>
        <w:tc>
          <w:tcPr>
            <w:tcW w:w="275" w:type="pct"/>
            <w:tcBorders>
              <w:top w:val="nil"/>
              <w:left w:val="nil"/>
              <w:bottom w:val="nil"/>
              <w:right w:val="nil"/>
            </w:tcBorders>
            <w:shd w:val="clear" w:color="000000" w:fill="FFFFFF"/>
            <w:noWrap/>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BV</w:t>
            </w:r>
          </w:p>
        </w:tc>
        <w:tc>
          <w:tcPr>
            <w:tcW w:w="42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-0.28</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-0.05</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3.97</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1.92</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3.53</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0.35</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0.64</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0.16</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0.61</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-5.34</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8.58</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3.42</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1.28</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2.92</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-0.81</w:t>
            </w:r>
          </w:p>
        </w:tc>
        <w:tc>
          <w:tcPr>
            <w:tcW w:w="270" w:type="pct"/>
            <w:tcBorders>
              <w:top w:val="nil"/>
              <w:left w:val="nil"/>
              <w:bottom w:val="nil"/>
              <w:right w:val="nil"/>
            </w:tcBorders>
            <w:shd w:val="clear" w:color="000000" w:fill="FFFFFF"/>
            <w:noWrap/>
            <w:vAlign w:val="center"/>
            <w:hideMark/>
          </w:tcPr>
          <w:p w:rsidR="009B7F4A" w:rsidRPr="009B7F4A" w:rsidRDefault="009B7F4A" w:rsidP="009B7F4A">
            <w:pPr>
              <w:tabs>
                <w:tab w:val="left" w:pos="585"/>
              </w:tabs>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1.39</w:t>
            </w:r>
          </w:p>
        </w:tc>
      </w:tr>
      <w:tr w:rsidR="009B7F4A" w:rsidRPr="009B7F4A" w:rsidTr="009B7F4A">
        <w:trPr>
          <w:trHeight w:val="170"/>
        </w:trPr>
        <w:tc>
          <w:tcPr>
            <w:tcW w:w="275" w:type="pct"/>
            <w:tcBorders>
              <w:top w:val="nil"/>
              <w:left w:val="nil"/>
              <w:bottom w:val="nil"/>
              <w:right w:val="nil"/>
            </w:tcBorders>
            <w:shd w:val="clear" w:color="000000" w:fill="FFFFFF"/>
            <w:noWrap/>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BN</w:t>
            </w:r>
          </w:p>
        </w:tc>
        <w:tc>
          <w:tcPr>
            <w:tcW w:w="42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2.23</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-0.50</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1.17</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-0.75</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7.02</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1.29</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0.06</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-0.32</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3.23</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-5.94</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4.54</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3.26</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1.77</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1.27</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-0.47</w:t>
            </w:r>
          </w:p>
        </w:tc>
        <w:tc>
          <w:tcPr>
            <w:tcW w:w="27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1.19</w:t>
            </w:r>
          </w:p>
        </w:tc>
      </w:tr>
      <w:tr w:rsidR="009B7F4A" w:rsidRPr="009B7F4A" w:rsidTr="009B7F4A">
        <w:trPr>
          <w:trHeight w:val="170"/>
        </w:trPr>
        <w:tc>
          <w:tcPr>
            <w:tcW w:w="275" w:type="pct"/>
            <w:tcBorders>
              <w:top w:val="nil"/>
              <w:left w:val="nil"/>
              <w:bottom w:val="nil"/>
              <w:right w:val="nil"/>
            </w:tcBorders>
            <w:shd w:val="clear" w:color="000000" w:fill="FFFFFF"/>
            <w:noWrap/>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BG</w:t>
            </w:r>
          </w:p>
        </w:tc>
        <w:tc>
          <w:tcPr>
            <w:tcW w:w="42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1.25</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-2.38</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-0.51</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0.17</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6.57</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1.72</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1.08</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-0.53</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2.93</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-3.96</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3.28</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2.26</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2.96</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3.37</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-0.48</w:t>
            </w:r>
          </w:p>
        </w:tc>
        <w:tc>
          <w:tcPr>
            <w:tcW w:w="27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1.18</w:t>
            </w:r>
          </w:p>
        </w:tc>
      </w:tr>
      <w:tr w:rsidR="009B7F4A" w:rsidRPr="009B7F4A" w:rsidTr="009B7F4A">
        <w:trPr>
          <w:trHeight w:val="170"/>
        </w:trPr>
        <w:tc>
          <w:tcPr>
            <w:tcW w:w="1245" w:type="pct"/>
            <w:gridSpan w:val="4"/>
            <w:tcBorders>
              <w:top w:val="nil"/>
              <w:left w:val="nil"/>
              <w:bottom w:val="single" w:sz="4"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xml:space="preserve">Standard Deviation of portfolios </w:t>
            </w:r>
            <m:oMath>
              <m:sSub>
                <m:sSubPr>
                  <m:ctrlPr>
                    <w:rPr>
                      <w:rFonts w:ascii="Cambria Math" w:eastAsia="Times New Roman" w:hAnsi="Cambria Math" w:cs="Calibri"/>
                      <w:i/>
                      <w:sz w:val="18"/>
                      <w:szCs w:val="18"/>
                    </w:rPr>
                  </m:ctrlPr>
                </m:sSubPr>
                <m:e>
                  <m:r>
                    <w:rPr>
                      <w:rFonts w:ascii="Cambria Math" w:eastAsia="Times New Roman" w:hAnsi="Cambria Math" w:cs="Calibri"/>
                      <w:sz w:val="18"/>
                      <w:szCs w:val="18"/>
                    </w:rPr>
                    <m:t>σ</m:t>
                  </m:r>
                </m:e>
                <m:sub>
                  <m:r>
                    <w:rPr>
                      <w:rFonts w:ascii="Cambria Math" w:eastAsia="Times New Roman" w:hAnsi="Cambria Math" w:cs="Calibri"/>
                      <w:sz w:val="18"/>
                      <w:szCs w:val="18"/>
                    </w:rPr>
                    <m:t>p</m:t>
                  </m:r>
                </m:sub>
              </m:sSub>
            </m:oMath>
            <w:r w:rsidRPr="009B7F4A">
              <w:rPr>
                <w:rFonts w:ascii="Calibri" w:eastAsia="Times New Roman" w:hAnsi="Calibri" w:cs="Calibri"/>
                <w:sz w:val="18"/>
                <w:szCs w:val="18"/>
              </w:rPr>
              <w:t xml:space="preserve"> (%)</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70"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9B7F4A">
        <w:trPr>
          <w:trHeight w:val="170"/>
        </w:trPr>
        <w:tc>
          <w:tcPr>
            <w:tcW w:w="275" w:type="pct"/>
            <w:tcBorders>
              <w:top w:val="nil"/>
              <w:left w:val="nil"/>
              <w:bottom w:val="nil"/>
              <w:right w:val="nil"/>
            </w:tcBorders>
            <w:shd w:val="clear" w:color="000000" w:fill="FFFFFF"/>
            <w:noWrap/>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BV</w:t>
            </w:r>
          </w:p>
        </w:tc>
        <w:tc>
          <w:tcPr>
            <w:tcW w:w="42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19.10</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14.66</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9.85</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7.60</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7.43</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4.39</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4.59</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5.77</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6.07</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12.38</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9.28</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5.57</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6.62</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4.45</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2.97</w:t>
            </w:r>
          </w:p>
        </w:tc>
        <w:tc>
          <w:tcPr>
            <w:tcW w:w="27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8.05</w:t>
            </w:r>
          </w:p>
        </w:tc>
      </w:tr>
      <w:tr w:rsidR="009B7F4A" w:rsidRPr="009B7F4A" w:rsidTr="009B7F4A">
        <w:trPr>
          <w:trHeight w:val="170"/>
        </w:trPr>
        <w:tc>
          <w:tcPr>
            <w:tcW w:w="275" w:type="pct"/>
            <w:tcBorders>
              <w:top w:val="nil"/>
              <w:left w:val="nil"/>
              <w:bottom w:val="nil"/>
              <w:right w:val="nil"/>
            </w:tcBorders>
            <w:shd w:val="clear" w:color="000000" w:fill="FFFFFF"/>
            <w:noWrap/>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BN</w:t>
            </w:r>
          </w:p>
        </w:tc>
        <w:tc>
          <w:tcPr>
            <w:tcW w:w="42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12.89</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9.48</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11.56</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6.42</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9.31</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3.52</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4.26</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5.03</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7.81</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13.00</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7.02</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5.12</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8.24</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4.04</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6.18</w:t>
            </w:r>
          </w:p>
        </w:tc>
        <w:tc>
          <w:tcPr>
            <w:tcW w:w="27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7.59</w:t>
            </w:r>
          </w:p>
        </w:tc>
      </w:tr>
      <w:tr w:rsidR="009B7F4A" w:rsidRPr="009B7F4A" w:rsidTr="009B7F4A">
        <w:trPr>
          <w:trHeight w:val="170"/>
        </w:trPr>
        <w:tc>
          <w:tcPr>
            <w:tcW w:w="275" w:type="pct"/>
            <w:tcBorders>
              <w:top w:val="nil"/>
              <w:left w:val="nil"/>
              <w:bottom w:val="nil"/>
              <w:right w:val="nil"/>
            </w:tcBorders>
            <w:shd w:val="clear" w:color="000000" w:fill="FFFFFF"/>
            <w:noWrap/>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BV</w:t>
            </w:r>
          </w:p>
        </w:tc>
        <w:tc>
          <w:tcPr>
            <w:tcW w:w="42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14.36</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11.59</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9.54</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4.86</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8.31</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5.98</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6.57</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4.19</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6.69</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11.93</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5.96</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4.38</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5.67</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5.78</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6.85</w:t>
            </w:r>
          </w:p>
        </w:tc>
        <w:tc>
          <w:tcPr>
            <w:tcW w:w="27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7.51</w:t>
            </w:r>
          </w:p>
        </w:tc>
      </w:tr>
      <w:tr w:rsidR="009B7F4A" w:rsidRPr="009B7F4A" w:rsidTr="009B7F4A">
        <w:trPr>
          <w:trHeight w:val="170"/>
        </w:trPr>
        <w:tc>
          <w:tcPr>
            <w:tcW w:w="1245" w:type="pct"/>
            <w:gridSpan w:val="4"/>
            <w:tcBorders>
              <w:top w:val="nil"/>
              <w:left w:val="nil"/>
              <w:bottom w:val="single" w:sz="4"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xml:space="preserve">Sharpe Ratio: </w:t>
            </w:r>
            <m:oMath>
              <m:acc>
                <m:accPr>
                  <m:chr m:val="̅"/>
                  <m:ctrlPr>
                    <w:rPr>
                      <w:rFonts w:ascii="Cambria Math" w:eastAsia="Times New Roman" w:hAnsi="Cambria Math" w:cs="Calibri"/>
                      <w:i/>
                      <w:sz w:val="18"/>
                      <w:szCs w:val="18"/>
                    </w:rPr>
                  </m:ctrlPr>
                </m:accPr>
                <m:e>
                  <m:sSub>
                    <m:sSubPr>
                      <m:ctrlPr>
                        <w:rPr>
                          <w:rFonts w:ascii="Cambria Math" w:eastAsia="Times New Roman" w:hAnsi="Cambria Math" w:cs="Calibri"/>
                          <w:i/>
                          <w:sz w:val="18"/>
                          <w:szCs w:val="18"/>
                        </w:rPr>
                      </m:ctrlPr>
                    </m:sSubPr>
                    <m:e>
                      <m:r>
                        <w:rPr>
                          <w:rFonts w:ascii="Cambria Math" w:eastAsia="Times New Roman" w:hAnsi="Cambria Math" w:cs="Calibri"/>
                          <w:sz w:val="18"/>
                          <w:szCs w:val="18"/>
                        </w:rPr>
                        <m:t>(R</m:t>
                      </m:r>
                    </m:e>
                    <m:sub>
                      <m:r>
                        <w:rPr>
                          <w:rFonts w:ascii="Cambria Math" w:eastAsia="Times New Roman" w:hAnsi="Cambria Math" w:cs="Calibri"/>
                          <w:sz w:val="18"/>
                          <w:szCs w:val="18"/>
                        </w:rPr>
                        <m:t>p</m:t>
                      </m:r>
                    </m:sub>
                  </m:sSub>
                  <m:r>
                    <w:rPr>
                      <w:rFonts w:ascii="Cambria Math" w:eastAsia="Times New Roman" w:hAnsi="Cambria Math" w:cs="Calibri"/>
                      <w:sz w:val="18"/>
                      <w:szCs w:val="18"/>
                    </w:rPr>
                    <m:t>-</m:t>
                  </m:r>
                  <m:sSub>
                    <m:sSubPr>
                      <m:ctrlPr>
                        <w:rPr>
                          <w:rFonts w:ascii="Cambria Math" w:eastAsia="Times New Roman" w:hAnsi="Cambria Math" w:cs="Calibri"/>
                          <w:i/>
                          <w:sz w:val="18"/>
                          <w:szCs w:val="18"/>
                        </w:rPr>
                      </m:ctrlPr>
                    </m:sSubPr>
                    <m:e>
                      <m:r>
                        <w:rPr>
                          <w:rFonts w:ascii="Cambria Math" w:eastAsia="Times New Roman" w:hAnsi="Cambria Math" w:cs="Calibri"/>
                          <w:sz w:val="18"/>
                          <w:szCs w:val="18"/>
                        </w:rPr>
                        <m:t>R</m:t>
                      </m:r>
                    </m:e>
                    <m:sub>
                      <m:r>
                        <w:rPr>
                          <w:rFonts w:ascii="Cambria Math" w:eastAsia="Times New Roman" w:hAnsi="Cambria Math" w:cs="Calibri"/>
                          <w:sz w:val="18"/>
                          <w:szCs w:val="18"/>
                        </w:rPr>
                        <m:t>f</m:t>
                      </m:r>
                    </m:sub>
                  </m:sSub>
                </m:e>
              </m:acc>
              <m:r>
                <w:rPr>
                  <w:rFonts w:ascii="Cambria Math" w:eastAsia="Times New Roman" w:hAnsi="Cambria Math" w:cs="Calibri"/>
                  <w:sz w:val="18"/>
                  <w:szCs w:val="18"/>
                </w:rPr>
                <m:t>)/</m:t>
              </m:r>
              <m:sSub>
                <m:sSubPr>
                  <m:ctrlPr>
                    <w:rPr>
                      <w:rFonts w:ascii="Cambria Math" w:eastAsia="Times New Roman" w:hAnsi="Cambria Math" w:cs="Calibri"/>
                      <w:i/>
                      <w:sz w:val="18"/>
                      <w:szCs w:val="18"/>
                    </w:rPr>
                  </m:ctrlPr>
                </m:sSubPr>
                <m:e>
                  <m:r>
                    <w:rPr>
                      <w:rFonts w:ascii="Cambria Math" w:eastAsia="Times New Roman" w:hAnsi="Cambria Math" w:cs="Calibri"/>
                      <w:sz w:val="18"/>
                      <w:szCs w:val="18"/>
                    </w:rPr>
                    <m:t>σ</m:t>
                  </m:r>
                </m:e>
                <m:sub>
                  <m:r>
                    <w:rPr>
                      <w:rFonts w:ascii="Cambria Math" w:eastAsia="Times New Roman" w:hAnsi="Cambria Math" w:cs="Calibri"/>
                      <w:sz w:val="18"/>
                      <w:szCs w:val="18"/>
                    </w:rPr>
                    <m:t>p</m:t>
                  </m:r>
                </m:sub>
              </m:sSub>
              <m:r>
                <w:rPr>
                  <w:rFonts w:ascii="Cambria Math" w:eastAsia="Times New Roman" w:hAnsi="Cambria Math" w:cs="Calibri"/>
                  <w:sz w:val="18"/>
                  <w:szCs w:val="18"/>
                </w:rPr>
                <m:t xml:space="preserve"> (x100)</m:t>
              </m:r>
            </m:oMath>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70"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9B7F4A">
        <w:trPr>
          <w:trHeight w:val="170"/>
        </w:trPr>
        <w:tc>
          <w:tcPr>
            <w:tcW w:w="275" w:type="pct"/>
            <w:tcBorders>
              <w:top w:val="nil"/>
              <w:left w:val="nil"/>
              <w:bottom w:val="nil"/>
              <w:right w:val="nil"/>
            </w:tcBorders>
            <w:shd w:val="clear" w:color="000000" w:fill="FFFFFF"/>
            <w:noWrap/>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BV</w:t>
            </w:r>
          </w:p>
        </w:tc>
        <w:tc>
          <w:tcPr>
            <w:tcW w:w="42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-0.05</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-0.04</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0.35</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0.20</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0.43</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-0.01</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0.05</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-0.05</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0.04</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-0.46</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0.89</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0.56</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0.15</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0.59</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-0.38</w:t>
            </w:r>
          </w:p>
        </w:tc>
        <w:tc>
          <w:tcPr>
            <w:tcW w:w="27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0.15</w:t>
            </w:r>
          </w:p>
        </w:tc>
      </w:tr>
      <w:tr w:rsidR="009B7F4A" w:rsidRPr="009B7F4A" w:rsidTr="009B7F4A">
        <w:trPr>
          <w:trHeight w:val="170"/>
        </w:trPr>
        <w:tc>
          <w:tcPr>
            <w:tcW w:w="275" w:type="pct"/>
            <w:tcBorders>
              <w:top w:val="nil"/>
              <w:left w:val="nil"/>
              <w:bottom w:val="nil"/>
              <w:right w:val="nil"/>
            </w:tcBorders>
            <w:shd w:val="clear" w:color="000000" w:fill="FFFFFF"/>
            <w:noWrap/>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BN</w:t>
            </w:r>
          </w:p>
        </w:tc>
        <w:tc>
          <w:tcPr>
            <w:tcW w:w="42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0.12</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-0.10</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0.06</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-0.17</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0.72</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0.25</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-0.09</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-0.15</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0.37</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-0.49</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0.60</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0.58</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0.18</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0.24</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-0.13</w:t>
            </w:r>
          </w:p>
        </w:tc>
        <w:tc>
          <w:tcPr>
            <w:tcW w:w="27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0.13</w:t>
            </w:r>
          </w:p>
        </w:tc>
      </w:tr>
      <w:tr w:rsidR="009B7F4A" w:rsidRPr="009B7F4A" w:rsidTr="009B7F4A">
        <w:trPr>
          <w:trHeight w:val="170"/>
        </w:trPr>
        <w:tc>
          <w:tcPr>
            <w:tcW w:w="275" w:type="pct"/>
            <w:tcBorders>
              <w:top w:val="nil"/>
              <w:left w:val="nil"/>
              <w:bottom w:val="nil"/>
              <w:right w:val="nil"/>
            </w:tcBorders>
            <w:shd w:val="clear" w:color="000000" w:fill="FFFFFF"/>
            <w:noWrap/>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BG</w:t>
            </w:r>
          </w:p>
        </w:tc>
        <w:tc>
          <w:tcPr>
            <w:tcW w:w="42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0.04</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-0.25</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-0.10</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-0.04</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0.75</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0.22</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0.10</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-0.23</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0.38</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-0.36</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0.49</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0.45</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0.47</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0.53</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-0.12</w:t>
            </w:r>
          </w:p>
        </w:tc>
        <w:tc>
          <w:tcPr>
            <w:tcW w:w="27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0.16</w:t>
            </w:r>
          </w:p>
        </w:tc>
      </w:tr>
      <w:tr w:rsidR="009B7F4A" w:rsidRPr="009B7F4A" w:rsidTr="009B7F4A">
        <w:trPr>
          <w:trHeight w:val="170"/>
        </w:trPr>
        <w:tc>
          <w:tcPr>
            <w:tcW w:w="1245" w:type="pct"/>
            <w:gridSpan w:val="4"/>
            <w:tcBorders>
              <w:top w:val="nil"/>
              <w:left w:val="nil"/>
              <w:bottom w:val="single" w:sz="4"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xml:space="preserve">Difference in S.D </w:t>
            </w:r>
            <m:oMath>
              <m:sSub>
                <m:sSubPr>
                  <m:ctrlPr>
                    <w:rPr>
                      <w:rFonts w:ascii="Cambria Math" w:eastAsia="Times New Roman" w:hAnsi="Cambria Math" w:cs="Calibri"/>
                      <w:i/>
                      <w:sz w:val="18"/>
                      <w:szCs w:val="18"/>
                    </w:rPr>
                  </m:ctrlPr>
                </m:sSubPr>
                <m:e>
                  <m:r>
                    <w:rPr>
                      <w:rFonts w:ascii="Cambria Math" w:eastAsia="Times New Roman" w:hAnsi="Cambria Math" w:cs="Calibri"/>
                      <w:sz w:val="18"/>
                      <w:szCs w:val="18"/>
                    </w:rPr>
                    <m:t>σ</m:t>
                  </m:r>
                </m:e>
                <m:sub>
                  <m:r>
                    <w:rPr>
                      <w:rFonts w:ascii="Cambria Math" w:eastAsia="Times New Roman" w:hAnsi="Cambria Math" w:cs="Calibri"/>
                      <w:sz w:val="18"/>
                      <w:szCs w:val="18"/>
                    </w:rPr>
                    <m:t>p</m:t>
                  </m:r>
                </m:sub>
              </m:sSub>
            </m:oMath>
            <w:r w:rsidRPr="009B7F4A">
              <w:rPr>
                <w:rFonts w:ascii="Calibri" w:eastAsia="Times New Roman" w:hAnsi="Calibri" w:cs="Calibri"/>
                <w:sz w:val="18"/>
                <w:szCs w:val="18"/>
              </w:rPr>
              <w:t xml:space="preserve"> (%)</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70"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9B7F4A">
        <w:trPr>
          <w:trHeight w:val="170"/>
        </w:trPr>
        <w:tc>
          <w:tcPr>
            <w:tcW w:w="275" w:type="pct"/>
            <w:tcBorders>
              <w:top w:val="nil"/>
              <w:left w:val="nil"/>
              <w:bottom w:val="nil"/>
              <w:right w:val="nil"/>
            </w:tcBorders>
            <w:shd w:val="clear" w:color="000000" w:fill="FFFFFF"/>
            <w:noWrap/>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BV -BG</w:t>
            </w:r>
          </w:p>
        </w:tc>
        <w:tc>
          <w:tcPr>
            <w:tcW w:w="42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4.74</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3.07</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0.31</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2.74</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-0.87</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-1.59</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-1.99</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1.58</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-0.62</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0.45</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3.33</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1.20</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0.95</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-1.33</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-3.87</w:t>
            </w:r>
          </w:p>
        </w:tc>
        <w:tc>
          <w:tcPr>
            <w:tcW w:w="27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0.54</w:t>
            </w:r>
          </w:p>
        </w:tc>
      </w:tr>
      <w:tr w:rsidR="009B7F4A" w:rsidRPr="009B7F4A" w:rsidTr="009B7F4A">
        <w:trPr>
          <w:trHeight w:val="170"/>
        </w:trPr>
        <w:tc>
          <w:tcPr>
            <w:tcW w:w="1245" w:type="pct"/>
            <w:gridSpan w:val="4"/>
            <w:tcBorders>
              <w:top w:val="nil"/>
              <w:left w:val="nil"/>
              <w:bottom w:val="single" w:sz="4"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Difference in returns</w:t>
            </w:r>
            <m:oMath>
              <m:r>
                <w:rPr>
                  <w:rFonts w:ascii="Cambria Math" w:eastAsia="Times New Roman" w:hAnsi="Cambria Math" w:cs="Calibri"/>
                  <w:sz w:val="18"/>
                  <w:szCs w:val="18"/>
                </w:rPr>
                <m:t>(</m:t>
              </m:r>
              <m:sSub>
                <m:sSubPr>
                  <m:ctrlPr>
                    <w:rPr>
                      <w:rFonts w:ascii="Cambria Math" w:eastAsia="Calibri" w:hAnsi="Cambria Math" w:cs="Calibri"/>
                      <w:iCs/>
                      <w:sz w:val="18"/>
                      <w:szCs w:val="18"/>
                      <w:lang w:bidi="th-TH"/>
                    </w:rPr>
                  </m:ctrlPr>
                </m:sSubPr>
                <m:e>
                  <m:r>
                    <m:rPr>
                      <m:sty m:val="p"/>
                    </m:rPr>
                    <w:rPr>
                      <w:rFonts w:ascii="Cambria Math" w:eastAsia="Calibri" w:hAnsi="Cambria Math" w:cs="Calibri"/>
                      <w:sz w:val="18"/>
                      <w:szCs w:val="18"/>
                      <w:lang w:bidi="th-TH"/>
                    </w:rPr>
                    <m:t>WMG</m:t>
                  </m:r>
                </m:e>
                <m:sub>
                  <m:r>
                    <m:rPr>
                      <m:sty m:val="p"/>
                    </m:rPr>
                    <w:rPr>
                      <w:rFonts w:ascii="Cambria Math" w:eastAsia="Calibri" w:hAnsi="Cambria Math" w:cs="Calibri"/>
                      <w:sz w:val="18"/>
                      <w:szCs w:val="18"/>
                      <w:lang w:bidi="th-TH"/>
                    </w:rPr>
                    <m:t>B</m:t>
                  </m:r>
                </m:sub>
              </m:sSub>
            </m:oMath>
            <w:r w:rsidRPr="009B7F4A">
              <w:rPr>
                <w:rFonts w:ascii="Calibri" w:eastAsia="Times New Roman" w:hAnsi="Calibri" w:cs="Calibri"/>
                <w:sz w:val="18"/>
                <w:szCs w:val="18"/>
              </w:rPr>
              <w:t>) (%)</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70"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9B7F4A">
        <w:trPr>
          <w:trHeight w:val="170"/>
        </w:trPr>
        <w:tc>
          <w:tcPr>
            <w:tcW w:w="275" w:type="pct"/>
            <w:vMerge w:val="restart"/>
            <w:tcBorders>
              <w:top w:val="nil"/>
              <w:left w:val="nil"/>
              <w:bottom w:val="nil"/>
              <w:right w:val="nil"/>
            </w:tcBorders>
            <w:shd w:val="clear" w:color="000000" w:fill="FFFFFF"/>
            <w:hideMark/>
          </w:tcPr>
          <w:p w:rsidR="009B7F4A" w:rsidRPr="009B7F4A" w:rsidRDefault="005A1CF1" w:rsidP="009B7F4A">
            <w:pPr>
              <w:spacing w:after="0" w:line="240" w:lineRule="auto"/>
              <w:jc w:val="lowKashida"/>
              <w:rPr>
                <w:rFonts w:ascii="Calibri" w:eastAsia="Times New Roman" w:hAnsi="Calibri" w:cs="Calibri"/>
                <w:sz w:val="18"/>
                <w:szCs w:val="18"/>
              </w:rPr>
            </w:pPr>
            <m:oMath>
              <m:sSub>
                <m:sSubPr>
                  <m:ctrlPr>
                    <w:rPr>
                      <w:rFonts w:ascii="Cambria Math" w:eastAsia="Times New Roman" w:hAnsi="Cambria Math" w:cs="Calibri"/>
                      <w:i/>
                      <w:sz w:val="18"/>
                      <w:szCs w:val="18"/>
                    </w:rPr>
                  </m:ctrlPr>
                </m:sSubPr>
                <m:e>
                  <m:r>
                    <w:rPr>
                      <w:rFonts w:ascii="Cambria Math" w:eastAsia="Times New Roman" w:hAnsi="Cambria Math" w:cs="Calibri"/>
                      <w:sz w:val="18"/>
                      <w:szCs w:val="18"/>
                    </w:rPr>
                    <m:t>R</m:t>
                  </m:r>
                </m:e>
                <m:sub>
                  <m:r>
                    <w:rPr>
                      <w:rFonts w:ascii="Cambria Math" w:eastAsia="Times New Roman" w:hAnsi="Cambria Math" w:cs="Calibri"/>
                      <w:sz w:val="18"/>
                      <w:szCs w:val="18"/>
                    </w:rPr>
                    <m:t>BV</m:t>
                  </m:r>
                </m:sub>
              </m:sSub>
            </m:oMath>
            <w:r w:rsidR="009B7F4A" w:rsidRPr="009B7F4A">
              <w:rPr>
                <w:rFonts w:ascii="Calibri" w:eastAsia="Times New Roman" w:hAnsi="Calibri" w:cs="Calibri"/>
                <w:sz w:val="18"/>
                <w:szCs w:val="18"/>
              </w:rPr>
              <w:t xml:space="preserve"> - </w:t>
            </w:r>
            <m:oMath>
              <m:sSub>
                <m:sSubPr>
                  <m:ctrlPr>
                    <w:rPr>
                      <w:rFonts w:ascii="Cambria Math" w:eastAsia="Times New Roman" w:hAnsi="Cambria Math" w:cs="Calibri"/>
                      <w:i/>
                      <w:sz w:val="18"/>
                      <w:szCs w:val="18"/>
                    </w:rPr>
                  </m:ctrlPr>
                </m:sSubPr>
                <m:e>
                  <m:r>
                    <w:rPr>
                      <w:rFonts w:ascii="Cambria Math" w:eastAsia="Times New Roman" w:hAnsi="Cambria Math" w:cs="Calibri"/>
                      <w:sz w:val="18"/>
                      <w:szCs w:val="18"/>
                    </w:rPr>
                    <m:t>R</m:t>
                  </m:r>
                </m:e>
                <m:sub>
                  <m:r>
                    <w:rPr>
                      <w:rFonts w:ascii="Cambria Math" w:eastAsia="Times New Roman" w:hAnsi="Cambria Math" w:cs="Calibri"/>
                      <w:sz w:val="18"/>
                      <w:szCs w:val="18"/>
                    </w:rPr>
                    <m:t>BG</m:t>
                  </m:r>
                </m:sub>
              </m:sSub>
            </m:oMath>
          </w:p>
        </w:tc>
        <w:tc>
          <w:tcPr>
            <w:tcW w:w="42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-1.53</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2.33</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4.48</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1.74</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-3.04</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-1.38</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-0.43</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0.69</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-2.32</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-1.38</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5.30</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1.16</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-1.68</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-0.45</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-0.33</w:t>
            </w:r>
          </w:p>
        </w:tc>
        <w:tc>
          <w:tcPr>
            <w:tcW w:w="27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0.21</w:t>
            </w:r>
          </w:p>
        </w:tc>
      </w:tr>
      <w:tr w:rsidR="009B7F4A" w:rsidRPr="009B7F4A" w:rsidTr="009B7F4A">
        <w:trPr>
          <w:trHeight w:val="170"/>
        </w:trPr>
        <w:tc>
          <w:tcPr>
            <w:tcW w:w="275" w:type="pct"/>
            <w:vMerge/>
            <w:tcBorders>
              <w:top w:val="nil"/>
              <w:left w:val="nil"/>
              <w:right w:val="nil"/>
            </w:tcBorders>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p>
        </w:tc>
        <w:tc>
          <w:tcPr>
            <w:tcW w:w="429"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(-0.226)</w:t>
            </w:r>
          </w:p>
        </w:tc>
        <w:tc>
          <w:tcPr>
            <w:tcW w:w="263"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(0.43)</w:t>
            </w:r>
          </w:p>
        </w:tc>
        <w:tc>
          <w:tcPr>
            <w:tcW w:w="278"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(1.137)</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(0.681)</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(-0.902)</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(-0.633)</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(-0.186)</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(0.338)</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(-0.893)</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(-0.283)</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(1.653)*</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(0.567)</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(-0.704)</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(-0.282)</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(-0.159)</w:t>
            </w:r>
          </w:p>
        </w:tc>
        <w:tc>
          <w:tcPr>
            <w:tcW w:w="27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(0.232)</w:t>
            </w:r>
          </w:p>
        </w:tc>
      </w:tr>
      <w:tr w:rsidR="009B7F4A" w:rsidRPr="009B7F4A" w:rsidTr="009B7F4A">
        <w:trPr>
          <w:trHeight w:val="170"/>
        </w:trPr>
        <w:tc>
          <w:tcPr>
            <w:tcW w:w="1245" w:type="pct"/>
            <w:gridSpan w:val="4"/>
            <w:tcBorders>
              <w:top w:val="nil"/>
              <w:left w:val="nil"/>
              <w:bottom w:val="single" w:sz="4" w:space="0" w:color="auto"/>
              <w:right w:val="nil"/>
            </w:tcBorders>
            <w:shd w:val="clear" w:color="000000" w:fill="FFFFFF"/>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Difference in Sharpe ratio (x100)</w:t>
            </w:r>
          </w:p>
        </w:tc>
        <w:tc>
          <w:tcPr>
            <w:tcW w:w="276"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0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2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9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0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2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70"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9B7F4A">
        <w:trPr>
          <w:trHeight w:val="170"/>
        </w:trPr>
        <w:tc>
          <w:tcPr>
            <w:tcW w:w="275" w:type="pct"/>
            <w:vMerge w:val="restart"/>
            <w:tcBorders>
              <w:top w:val="single" w:sz="4" w:space="0" w:color="auto"/>
              <w:left w:val="nil"/>
              <w:bottom w:val="single" w:sz="4" w:space="0" w:color="auto"/>
              <w:right w:val="nil"/>
            </w:tcBorders>
            <w:shd w:val="clear" w:color="000000" w:fill="FFFFFF"/>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xml:space="preserve">BV- BG </w:t>
            </w:r>
          </w:p>
        </w:tc>
        <w:tc>
          <w:tcPr>
            <w:tcW w:w="429" w:type="pct"/>
            <w:tcBorders>
              <w:top w:val="single" w:sz="4" w:space="0" w:color="auto"/>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-0.09</w:t>
            </w:r>
          </w:p>
        </w:tc>
        <w:tc>
          <w:tcPr>
            <w:tcW w:w="263" w:type="pct"/>
            <w:tcBorders>
              <w:top w:val="single" w:sz="4" w:space="0" w:color="auto"/>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0.21</w:t>
            </w:r>
          </w:p>
        </w:tc>
        <w:tc>
          <w:tcPr>
            <w:tcW w:w="278" w:type="pct"/>
            <w:tcBorders>
              <w:top w:val="single" w:sz="4" w:space="0" w:color="auto"/>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0.46</w:t>
            </w:r>
          </w:p>
        </w:tc>
        <w:tc>
          <w:tcPr>
            <w:tcW w:w="276"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0.24</w:t>
            </w:r>
          </w:p>
        </w:tc>
        <w:tc>
          <w:tcPr>
            <w:tcW w:w="302"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-0.32</w:t>
            </w:r>
          </w:p>
        </w:tc>
        <w:tc>
          <w:tcPr>
            <w:tcW w:w="283"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-0.23</w:t>
            </w:r>
          </w:p>
        </w:tc>
        <w:tc>
          <w:tcPr>
            <w:tcW w:w="325"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-0.05</w:t>
            </w:r>
          </w:p>
        </w:tc>
        <w:tc>
          <w:tcPr>
            <w:tcW w:w="263"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0.18</w:t>
            </w:r>
          </w:p>
        </w:tc>
        <w:tc>
          <w:tcPr>
            <w:tcW w:w="282"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-0.34</w:t>
            </w:r>
          </w:p>
        </w:tc>
        <w:tc>
          <w:tcPr>
            <w:tcW w:w="282"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-0.10</w:t>
            </w:r>
          </w:p>
        </w:tc>
        <w:tc>
          <w:tcPr>
            <w:tcW w:w="295"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0.39</w:t>
            </w:r>
          </w:p>
        </w:tc>
        <w:tc>
          <w:tcPr>
            <w:tcW w:w="263"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0.11</w:t>
            </w:r>
          </w:p>
        </w:tc>
        <w:tc>
          <w:tcPr>
            <w:tcW w:w="305"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-0.32</w:t>
            </w:r>
          </w:p>
        </w:tc>
        <w:tc>
          <w:tcPr>
            <w:tcW w:w="327"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0.06</w:t>
            </w:r>
          </w:p>
        </w:tc>
        <w:tc>
          <w:tcPr>
            <w:tcW w:w="282"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-0.26</w:t>
            </w:r>
          </w:p>
        </w:tc>
        <w:tc>
          <w:tcPr>
            <w:tcW w:w="270"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-0.004</w:t>
            </w:r>
          </w:p>
        </w:tc>
      </w:tr>
      <w:tr w:rsidR="009B7F4A" w:rsidRPr="009B7F4A" w:rsidTr="009B7F4A">
        <w:trPr>
          <w:trHeight w:val="170"/>
        </w:trPr>
        <w:tc>
          <w:tcPr>
            <w:tcW w:w="275" w:type="pct"/>
            <w:vMerge/>
            <w:tcBorders>
              <w:top w:val="nil"/>
              <w:left w:val="nil"/>
              <w:right w:val="nil"/>
            </w:tcBorders>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p>
        </w:tc>
        <w:tc>
          <w:tcPr>
            <w:tcW w:w="429"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(-0.226)</w:t>
            </w:r>
          </w:p>
        </w:tc>
        <w:tc>
          <w:tcPr>
            <w:tcW w:w="263"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(0.515)</w:t>
            </w:r>
          </w:p>
        </w:tc>
        <w:tc>
          <w:tcPr>
            <w:tcW w:w="278"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(1.129)</w:t>
            </w:r>
          </w:p>
        </w:tc>
        <w:tc>
          <w:tcPr>
            <w:tcW w:w="276"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(0.62)</w:t>
            </w:r>
          </w:p>
        </w:tc>
        <w:tc>
          <w:tcPr>
            <w:tcW w:w="302"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(-0.746)</w:t>
            </w:r>
          </w:p>
        </w:tc>
        <w:tc>
          <w:tcPr>
            <w:tcW w:w="283"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(-0.566)</w:t>
            </w:r>
          </w:p>
        </w:tc>
        <w:tc>
          <w:tcPr>
            <w:tcW w:w="325"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(-0.126)</w:t>
            </w:r>
          </w:p>
        </w:tc>
        <w:tc>
          <w:tcPr>
            <w:tcW w:w="263"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(0.452)</w:t>
            </w:r>
          </w:p>
        </w:tc>
        <w:tc>
          <w:tcPr>
            <w:tcW w:w="282"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(-0.843)</w:t>
            </w:r>
          </w:p>
        </w:tc>
        <w:tc>
          <w:tcPr>
            <w:tcW w:w="282"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(-0.245)</w:t>
            </w:r>
          </w:p>
        </w:tc>
        <w:tc>
          <w:tcPr>
            <w:tcW w:w="295"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(0.958)</w:t>
            </w:r>
          </w:p>
        </w:tc>
        <w:tc>
          <w:tcPr>
            <w:tcW w:w="263"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(0.274)</w:t>
            </w:r>
          </w:p>
        </w:tc>
        <w:tc>
          <w:tcPr>
            <w:tcW w:w="305"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(-0.831)</w:t>
            </w:r>
          </w:p>
        </w:tc>
        <w:tc>
          <w:tcPr>
            <w:tcW w:w="327"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(0.179)</w:t>
            </w:r>
          </w:p>
        </w:tc>
        <w:tc>
          <w:tcPr>
            <w:tcW w:w="282"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(-0.664)</w:t>
            </w:r>
          </w:p>
        </w:tc>
        <w:tc>
          <w:tcPr>
            <w:tcW w:w="270"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(-0.04)</w:t>
            </w:r>
          </w:p>
        </w:tc>
      </w:tr>
      <w:tr w:rsidR="009B7F4A" w:rsidRPr="009B7F4A" w:rsidTr="00FD616F">
        <w:trPr>
          <w:trHeight w:val="170"/>
        </w:trPr>
        <w:tc>
          <w:tcPr>
            <w:tcW w:w="5000" w:type="pct"/>
            <w:gridSpan w:val="17"/>
            <w:tcBorders>
              <w:left w:val="nil"/>
              <w:bottom w:val="single" w:sz="8" w:space="0" w:color="auto"/>
              <w:right w:val="nil"/>
            </w:tcBorders>
            <w:shd w:val="clear" w:color="000000" w:fill="FFFFFF"/>
            <w:noWrap/>
            <w:vAlign w:val="center"/>
          </w:tcPr>
          <w:p w:rsidR="009B7F4A" w:rsidRPr="009B7F4A" w:rsidRDefault="009B7F4A" w:rsidP="009B7F4A">
            <w:pPr>
              <w:spacing w:after="0" w:line="240" w:lineRule="auto"/>
              <w:jc w:val="lowKashida"/>
              <w:rPr>
                <w:rFonts w:ascii="Calibri" w:eastAsia="Times New Roman" w:hAnsi="Calibri" w:cs="Calibri"/>
                <w:sz w:val="18"/>
                <w:szCs w:val="18"/>
              </w:rPr>
            </w:pPr>
          </w:p>
        </w:tc>
      </w:tr>
    </w:tbl>
    <w:p w:rsidR="009B7F4A" w:rsidRPr="009B7F4A" w:rsidRDefault="009B7F4A" w:rsidP="009B7F4A">
      <w:pPr>
        <w:spacing w:after="0" w:line="480" w:lineRule="auto"/>
        <w:jc w:val="both"/>
        <w:rPr>
          <w:rFonts w:ascii="Calibri" w:eastAsia="Calibri" w:hAnsi="Calibri" w:cs="Calibri"/>
          <w:sz w:val="18"/>
          <w:szCs w:val="18"/>
          <w:lang w:bidi="th-TH"/>
        </w:rPr>
      </w:pPr>
    </w:p>
    <w:tbl>
      <w:tblPr>
        <w:tblW w:w="4989" w:type="pct"/>
        <w:tblLook w:val="04A0" w:firstRow="1" w:lastRow="0" w:firstColumn="1" w:lastColumn="0" w:noHBand="0" w:noVBand="1"/>
      </w:tblPr>
      <w:tblGrid>
        <w:gridCol w:w="1329"/>
        <w:gridCol w:w="736"/>
        <w:gridCol w:w="736"/>
        <w:gridCol w:w="736"/>
        <w:gridCol w:w="915"/>
        <w:gridCol w:w="774"/>
        <w:gridCol w:w="878"/>
        <w:gridCol w:w="791"/>
        <w:gridCol w:w="736"/>
        <w:gridCol w:w="710"/>
        <w:gridCol w:w="749"/>
        <w:gridCol w:w="736"/>
        <w:gridCol w:w="791"/>
        <w:gridCol w:w="736"/>
        <w:gridCol w:w="1005"/>
        <w:gridCol w:w="736"/>
        <w:gridCol w:w="915"/>
      </w:tblGrid>
      <w:tr w:rsidR="009B7F4A" w:rsidRPr="009B7F4A" w:rsidTr="00FD616F">
        <w:trPr>
          <w:trHeight w:val="170"/>
        </w:trPr>
        <w:tc>
          <w:tcPr>
            <w:tcW w:w="1203" w:type="pct"/>
            <w:gridSpan w:val="4"/>
            <w:tcBorders>
              <w:top w:val="single" w:sz="4" w:space="0" w:color="auto"/>
              <w:left w:val="nil"/>
              <w:bottom w:val="single" w:sz="8" w:space="0" w:color="auto"/>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b/>
                <w:bCs/>
                <w:sz w:val="18"/>
                <w:szCs w:val="18"/>
              </w:rPr>
            </w:pPr>
            <w:r w:rsidRPr="009B7F4A">
              <w:rPr>
                <w:rFonts w:ascii="Calibri" w:eastAsia="Times New Roman" w:hAnsi="Calibri" w:cs="Calibri"/>
                <w:b/>
                <w:bCs/>
                <w:sz w:val="18"/>
                <w:szCs w:val="18"/>
              </w:rPr>
              <w:t>Panel C: Small – Big</w:t>
            </w:r>
          </w:p>
        </w:tc>
        <w:tc>
          <w:tcPr>
            <w:tcW w:w="301"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07"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44"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75"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49"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4"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98"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0"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64"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78"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38"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72"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07"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FD616F">
        <w:trPr>
          <w:trHeight w:val="170"/>
        </w:trPr>
        <w:tc>
          <w:tcPr>
            <w:tcW w:w="1203" w:type="pct"/>
            <w:gridSpan w:val="4"/>
            <w:tcBorders>
              <w:top w:val="single" w:sz="8" w:space="0" w:color="auto"/>
              <w:left w:val="nil"/>
              <w:bottom w:val="single" w:sz="4"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Equal weight of the returns (%)</w:t>
            </w:r>
          </w:p>
        </w:tc>
        <w:tc>
          <w:tcPr>
            <w:tcW w:w="301"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07"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44"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75"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49"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4"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98"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0"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64"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78"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38"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72"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07"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FD616F">
        <w:trPr>
          <w:trHeight w:val="170"/>
        </w:trPr>
        <w:tc>
          <w:tcPr>
            <w:tcW w:w="472"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SV, SN, and SG</w:t>
            </w:r>
          </w:p>
        </w:tc>
        <w:tc>
          <w:tcPr>
            <w:tcW w:w="2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6.69</w:t>
            </w:r>
          </w:p>
        </w:tc>
        <w:tc>
          <w:tcPr>
            <w:tcW w:w="24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2.18</w:t>
            </w:r>
          </w:p>
        </w:tc>
        <w:tc>
          <w:tcPr>
            <w:tcW w:w="2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7.82</w:t>
            </w:r>
          </w:p>
        </w:tc>
        <w:tc>
          <w:tcPr>
            <w:tcW w:w="3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5.55</w:t>
            </w:r>
          </w:p>
        </w:tc>
        <w:tc>
          <w:tcPr>
            <w:tcW w:w="30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7.43</w:t>
            </w:r>
          </w:p>
        </w:tc>
        <w:tc>
          <w:tcPr>
            <w:tcW w:w="3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0.99</w:t>
            </w:r>
          </w:p>
        </w:tc>
        <w:tc>
          <w:tcPr>
            <w:tcW w:w="27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0.50</w:t>
            </w:r>
          </w:p>
        </w:tc>
        <w:tc>
          <w:tcPr>
            <w:tcW w:w="24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0.77</w:t>
            </w:r>
          </w:p>
        </w:tc>
        <w:tc>
          <w:tcPr>
            <w:tcW w:w="28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0.57</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-3.46</w:t>
            </w:r>
          </w:p>
        </w:tc>
        <w:tc>
          <w:tcPr>
            <w:tcW w:w="28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6.36</w:t>
            </w:r>
          </w:p>
        </w:tc>
        <w:tc>
          <w:tcPr>
            <w:tcW w:w="26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2.92</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2.98</w:t>
            </w:r>
          </w:p>
        </w:tc>
        <w:tc>
          <w:tcPr>
            <w:tcW w:w="33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6.89</w:t>
            </w:r>
          </w:p>
        </w:tc>
        <w:tc>
          <w:tcPr>
            <w:tcW w:w="27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0.90</w:t>
            </w:r>
          </w:p>
        </w:tc>
        <w:tc>
          <w:tcPr>
            <w:tcW w:w="30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3.27</w:t>
            </w:r>
          </w:p>
        </w:tc>
      </w:tr>
      <w:tr w:rsidR="009B7F4A" w:rsidRPr="009B7F4A" w:rsidTr="00FD616F">
        <w:trPr>
          <w:trHeight w:val="170"/>
        </w:trPr>
        <w:tc>
          <w:tcPr>
            <w:tcW w:w="472"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xml:space="preserve">BV, BN, and BG </w:t>
            </w:r>
          </w:p>
        </w:tc>
        <w:tc>
          <w:tcPr>
            <w:tcW w:w="2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1.07</w:t>
            </w:r>
          </w:p>
        </w:tc>
        <w:tc>
          <w:tcPr>
            <w:tcW w:w="24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-0.98</w:t>
            </w:r>
          </w:p>
        </w:tc>
        <w:tc>
          <w:tcPr>
            <w:tcW w:w="2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1.54</w:t>
            </w:r>
          </w:p>
        </w:tc>
        <w:tc>
          <w:tcPr>
            <w:tcW w:w="3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0.44</w:t>
            </w:r>
          </w:p>
        </w:tc>
        <w:tc>
          <w:tcPr>
            <w:tcW w:w="30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5.70</w:t>
            </w:r>
          </w:p>
        </w:tc>
        <w:tc>
          <w:tcPr>
            <w:tcW w:w="3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1.12</w:t>
            </w:r>
          </w:p>
        </w:tc>
        <w:tc>
          <w:tcPr>
            <w:tcW w:w="27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0.59</w:t>
            </w:r>
          </w:p>
        </w:tc>
        <w:tc>
          <w:tcPr>
            <w:tcW w:w="24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-0.23</w:t>
            </w:r>
          </w:p>
        </w:tc>
        <w:tc>
          <w:tcPr>
            <w:tcW w:w="28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2.26</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-5.08</w:t>
            </w:r>
          </w:p>
        </w:tc>
        <w:tc>
          <w:tcPr>
            <w:tcW w:w="28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5.47</w:t>
            </w:r>
          </w:p>
        </w:tc>
        <w:tc>
          <w:tcPr>
            <w:tcW w:w="26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2.98</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2.00</w:t>
            </w:r>
          </w:p>
        </w:tc>
        <w:tc>
          <w:tcPr>
            <w:tcW w:w="33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2.52</w:t>
            </w:r>
          </w:p>
        </w:tc>
        <w:tc>
          <w:tcPr>
            <w:tcW w:w="27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-0.58</w:t>
            </w:r>
          </w:p>
        </w:tc>
        <w:tc>
          <w:tcPr>
            <w:tcW w:w="30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1.26</w:t>
            </w:r>
          </w:p>
        </w:tc>
      </w:tr>
      <w:tr w:rsidR="009B7F4A" w:rsidRPr="009B7F4A" w:rsidTr="00FD616F">
        <w:trPr>
          <w:trHeight w:val="170"/>
        </w:trPr>
        <w:tc>
          <w:tcPr>
            <w:tcW w:w="1203" w:type="pct"/>
            <w:gridSpan w:val="4"/>
            <w:tcBorders>
              <w:top w:val="nil"/>
              <w:left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Difference in returns (%)</w:t>
            </w:r>
          </w:p>
        </w:tc>
        <w:tc>
          <w:tcPr>
            <w:tcW w:w="301"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07"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44"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75"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49"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4"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98"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0"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4"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78"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38"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72"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07"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FD616F">
        <w:trPr>
          <w:trHeight w:val="170"/>
        </w:trPr>
        <w:tc>
          <w:tcPr>
            <w:tcW w:w="472" w:type="pct"/>
            <w:vMerge w:val="restart"/>
            <w:tcBorders>
              <w:top w:val="nil"/>
              <w:left w:val="nil"/>
              <w:bottom w:val="nil"/>
              <w:right w:val="nil"/>
            </w:tcBorders>
            <w:shd w:val="clear" w:color="000000" w:fill="FFFFFF"/>
            <w:noWrap/>
            <w:hideMark/>
          </w:tcPr>
          <w:p w:rsidR="009B7F4A" w:rsidRPr="009B7F4A" w:rsidRDefault="009B7F4A" w:rsidP="009B7F4A">
            <w:pPr>
              <w:spacing w:after="0" w:line="240" w:lineRule="auto"/>
              <w:jc w:val="lowKashida"/>
              <w:rPr>
                <w:rFonts w:ascii="Calibri" w:eastAsia="Times New Roman" w:hAnsi="Calibri" w:cs="Calibri"/>
                <w:b/>
                <w:bCs/>
                <w:sz w:val="18"/>
                <w:szCs w:val="18"/>
              </w:rPr>
            </w:pPr>
            <w:r w:rsidRPr="009B7F4A">
              <w:rPr>
                <w:rFonts w:ascii="Calibri" w:eastAsia="Times New Roman" w:hAnsi="Calibri" w:cs="Calibri"/>
                <w:b/>
                <w:bCs/>
                <w:sz w:val="18"/>
                <w:szCs w:val="18"/>
              </w:rPr>
              <w:t xml:space="preserve">SMB </w:t>
            </w:r>
          </w:p>
        </w:tc>
        <w:tc>
          <w:tcPr>
            <w:tcW w:w="2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5.63</w:t>
            </w:r>
          </w:p>
        </w:tc>
        <w:tc>
          <w:tcPr>
            <w:tcW w:w="24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3.17</w:t>
            </w:r>
          </w:p>
        </w:tc>
        <w:tc>
          <w:tcPr>
            <w:tcW w:w="2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6.28</w:t>
            </w:r>
          </w:p>
        </w:tc>
        <w:tc>
          <w:tcPr>
            <w:tcW w:w="3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5.11</w:t>
            </w:r>
          </w:p>
        </w:tc>
        <w:tc>
          <w:tcPr>
            <w:tcW w:w="30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1.72</w:t>
            </w:r>
          </w:p>
        </w:tc>
        <w:tc>
          <w:tcPr>
            <w:tcW w:w="3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-0.13</w:t>
            </w:r>
          </w:p>
        </w:tc>
        <w:tc>
          <w:tcPr>
            <w:tcW w:w="27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-0.09</w:t>
            </w:r>
          </w:p>
        </w:tc>
        <w:tc>
          <w:tcPr>
            <w:tcW w:w="24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1.00</w:t>
            </w:r>
          </w:p>
        </w:tc>
        <w:tc>
          <w:tcPr>
            <w:tcW w:w="28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-1.69</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1.63</w:t>
            </w:r>
          </w:p>
        </w:tc>
        <w:tc>
          <w:tcPr>
            <w:tcW w:w="28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0.89</w:t>
            </w:r>
          </w:p>
        </w:tc>
        <w:tc>
          <w:tcPr>
            <w:tcW w:w="26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-0.06</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0.97</w:t>
            </w:r>
          </w:p>
        </w:tc>
        <w:tc>
          <w:tcPr>
            <w:tcW w:w="33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4.37</w:t>
            </w:r>
          </w:p>
        </w:tc>
        <w:tc>
          <w:tcPr>
            <w:tcW w:w="27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1.48</w:t>
            </w:r>
          </w:p>
        </w:tc>
        <w:tc>
          <w:tcPr>
            <w:tcW w:w="30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2.02</w:t>
            </w:r>
          </w:p>
        </w:tc>
      </w:tr>
      <w:tr w:rsidR="009B7F4A" w:rsidRPr="009B7F4A" w:rsidTr="00FD616F">
        <w:trPr>
          <w:trHeight w:val="170"/>
        </w:trPr>
        <w:tc>
          <w:tcPr>
            <w:tcW w:w="472" w:type="pct"/>
            <w:vMerge/>
            <w:tcBorders>
              <w:top w:val="nil"/>
              <w:left w:val="nil"/>
              <w:bottom w:val="single" w:sz="4" w:space="0" w:color="auto"/>
              <w:right w:val="nil"/>
            </w:tcBorders>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p>
        </w:tc>
        <w:tc>
          <w:tcPr>
            <w:tcW w:w="244"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(0.783)</w:t>
            </w:r>
          </w:p>
        </w:tc>
        <w:tc>
          <w:tcPr>
            <w:tcW w:w="243"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(0.839)</w:t>
            </w:r>
          </w:p>
        </w:tc>
        <w:tc>
          <w:tcPr>
            <w:tcW w:w="244"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(1.233)</w:t>
            </w:r>
          </w:p>
        </w:tc>
        <w:tc>
          <w:tcPr>
            <w:tcW w:w="301"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(2.017)**</w:t>
            </w:r>
          </w:p>
        </w:tc>
        <w:tc>
          <w:tcPr>
            <w:tcW w:w="307"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(0.478)</w:t>
            </w:r>
          </w:p>
        </w:tc>
        <w:tc>
          <w:tcPr>
            <w:tcW w:w="344"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(-0.052)</w:t>
            </w:r>
          </w:p>
        </w:tc>
        <w:tc>
          <w:tcPr>
            <w:tcW w:w="275"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(-0.061)</w:t>
            </w:r>
          </w:p>
        </w:tc>
        <w:tc>
          <w:tcPr>
            <w:tcW w:w="249"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(0.553)</w:t>
            </w:r>
          </w:p>
        </w:tc>
        <w:tc>
          <w:tcPr>
            <w:tcW w:w="284"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(-0.82)</w:t>
            </w:r>
          </w:p>
        </w:tc>
        <w:tc>
          <w:tcPr>
            <w:tcW w:w="298"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(0.348)</w:t>
            </w:r>
          </w:p>
        </w:tc>
        <w:tc>
          <w:tcPr>
            <w:tcW w:w="280"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(0.334)</w:t>
            </w:r>
          </w:p>
        </w:tc>
        <w:tc>
          <w:tcPr>
            <w:tcW w:w="264"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(-0.028)</w:t>
            </w:r>
          </w:p>
        </w:tc>
        <w:tc>
          <w:tcPr>
            <w:tcW w:w="278"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(0.342)</w:t>
            </w:r>
          </w:p>
        </w:tc>
        <w:tc>
          <w:tcPr>
            <w:tcW w:w="338"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(2.612)***</w:t>
            </w:r>
          </w:p>
        </w:tc>
        <w:tc>
          <w:tcPr>
            <w:tcW w:w="272"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(0.554)</w:t>
            </w:r>
          </w:p>
        </w:tc>
        <w:tc>
          <w:tcPr>
            <w:tcW w:w="307"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(2.221)**</w:t>
            </w:r>
          </w:p>
        </w:tc>
      </w:tr>
    </w:tbl>
    <w:p w:rsidR="009B7F4A" w:rsidRPr="009B7F4A" w:rsidRDefault="009B7F4A" w:rsidP="009B7F4A">
      <w:pPr>
        <w:spacing w:after="0" w:line="480" w:lineRule="auto"/>
        <w:jc w:val="both"/>
        <w:rPr>
          <w:rFonts w:ascii="Calibri" w:eastAsia="Calibri" w:hAnsi="Calibri" w:cs="Calibri"/>
          <w:sz w:val="18"/>
          <w:szCs w:val="18"/>
          <w:lang w:bidi="th-TH"/>
        </w:rPr>
      </w:pPr>
    </w:p>
    <w:tbl>
      <w:tblPr>
        <w:tblW w:w="4989" w:type="pct"/>
        <w:tblLook w:val="04A0" w:firstRow="1" w:lastRow="0" w:firstColumn="1" w:lastColumn="0" w:noHBand="0" w:noVBand="1"/>
      </w:tblPr>
      <w:tblGrid>
        <w:gridCol w:w="1309"/>
        <w:gridCol w:w="736"/>
        <w:gridCol w:w="736"/>
        <w:gridCol w:w="671"/>
        <w:gridCol w:w="831"/>
        <w:gridCol w:w="848"/>
        <w:gridCol w:w="952"/>
        <w:gridCol w:w="758"/>
        <w:gridCol w:w="736"/>
        <w:gridCol w:w="791"/>
        <w:gridCol w:w="816"/>
        <w:gridCol w:w="773"/>
        <w:gridCol w:w="736"/>
        <w:gridCol w:w="791"/>
        <w:gridCol w:w="927"/>
        <w:gridCol w:w="750"/>
        <w:gridCol w:w="848"/>
      </w:tblGrid>
      <w:tr w:rsidR="009B7F4A" w:rsidRPr="009B7F4A" w:rsidTr="00FD616F">
        <w:trPr>
          <w:trHeight w:val="170"/>
        </w:trPr>
        <w:tc>
          <w:tcPr>
            <w:tcW w:w="1203" w:type="pct"/>
            <w:gridSpan w:val="4"/>
            <w:tcBorders>
              <w:top w:val="single" w:sz="4" w:space="0" w:color="auto"/>
              <w:left w:val="nil"/>
              <w:bottom w:val="single" w:sz="8" w:space="0" w:color="auto"/>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b/>
                <w:bCs/>
                <w:sz w:val="18"/>
                <w:szCs w:val="18"/>
              </w:rPr>
            </w:pPr>
            <w:r w:rsidRPr="009B7F4A">
              <w:rPr>
                <w:rFonts w:ascii="Calibri" w:eastAsia="Times New Roman" w:hAnsi="Calibri" w:cs="Calibri"/>
                <w:b/>
                <w:bCs/>
                <w:sz w:val="18"/>
                <w:szCs w:val="18"/>
              </w:rPr>
              <w:t>Panel D: Value – Growth</w:t>
            </w:r>
          </w:p>
        </w:tc>
        <w:tc>
          <w:tcPr>
            <w:tcW w:w="301"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b/>
                <w:bCs/>
                <w:i/>
                <w:iCs/>
                <w:sz w:val="18"/>
                <w:szCs w:val="18"/>
              </w:rPr>
            </w:pPr>
            <w:r w:rsidRPr="009B7F4A">
              <w:rPr>
                <w:rFonts w:ascii="Calibri" w:eastAsia="Times New Roman" w:hAnsi="Calibri" w:cs="Calibri"/>
                <w:b/>
                <w:bCs/>
                <w:i/>
                <w:iCs/>
                <w:sz w:val="18"/>
                <w:szCs w:val="18"/>
              </w:rPr>
              <w:t> </w:t>
            </w:r>
          </w:p>
        </w:tc>
        <w:tc>
          <w:tcPr>
            <w:tcW w:w="307"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b/>
                <w:bCs/>
                <w:i/>
                <w:iCs/>
                <w:sz w:val="18"/>
                <w:szCs w:val="18"/>
              </w:rPr>
            </w:pPr>
            <w:r w:rsidRPr="009B7F4A">
              <w:rPr>
                <w:rFonts w:ascii="Calibri" w:eastAsia="Times New Roman" w:hAnsi="Calibri" w:cs="Calibri"/>
                <w:b/>
                <w:bCs/>
                <w:i/>
                <w:iCs/>
                <w:sz w:val="18"/>
                <w:szCs w:val="18"/>
              </w:rPr>
              <w:t> </w:t>
            </w:r>
          </w:p>
        </w:tc>
        <w:tc>
          <w:tcPr>
            <w:tcW w:w="344"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b/>
                <w:bCs/>
                <w:i/>
                <w:iCs/>
                <w:sz w:val="18"/>
                <w:szCs w:val="18"/>
              </w:rPr>
            </w:pPr>
            <w:r w:rsidRPr="009B7F4A">
              <w:rPr>
                <w:rFonts w:ascii="Calibri" w:eastAsia="Times New Roman" w:hAnsi="Calibri" w:cs="Calibri"/>
                <w:b/>
                <w:bCs/>
                <w:i/>
                <w:iCs/>
                <w:sz w:val="18"/>
                <w:szCs w:val="18"/>
              </w:rPr>
              <w:t> </w:t>
            </w:r>
          </w:p>
        </w:tc>
        <w:tc>
          <w:tcPr>
            <w:tcW w:w="275"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b/>
                <w:bCs/>
                <w:i/>
                <w:iCs/>
                <w:sz w:val="18"/>
                <w:szCs w:val="18"/>
              </w:rPr>
            </w:pPr>
            <w:r w:rsidRPr="009B7F4A">
              <w:rPr>
                <w:rFonts w:ascii="Calibri" w:eastAsia="Times New Roman" w:hAnsi="Calibri" w:cs="Calibri"/>
                <w:b/>
                <w:bCs/>
                <w:i/>
                <w:iCs/>
                <w:sz w:val="18"/>
                <w:szCs w:val="18"/>
              </w:rPr>
              <w:t> </w:t>
            </w:r>
          </w:p>
        </w:tc>
        <w:tc>
          <w:tcPr>
            <w:tcW w:w="249"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b/>
                <w:bCs/>
                <w:i/>
                <w:iCs/>
                <w:sz w:val="18"/>
                <w:szCs w:val="18"/>
              </w:rPr>
            </w:pPr>
            <w:r w:rsidRPr="009B7F4A">
              <w:rPr>
                <w:rFonts w:ascii="Calibri" w:eastAsia="Times New Roman" w:hAnsi="Calibri" w:cs="Calibri"/>
                <w:b/>
                <w:bCs/>
                <w:i/>
                <w:iCs/>
                <w:sz w:val="18"/>
                <w:szCs w:val="18"/>
              </w:rPr>
              <w:t> </w:t>
            </w:r>
          </w:p>
        </w:tc>
        <w:tc>
          <w:tcPr>
            <w:tcW w:w="284"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b/>
                <w:bCs/>
                <w:i/>
                <w:iCs/>
                <w:sz w:val="18"/>
                <w:szCs w:val="18"/>
              </w:rPr>
            </w:pPr>
            <w:r w:rsidRPr="009B7F4A">
              <w:rPr>
                <w:rFonts w:ascii="Calibri" w:eastAsia="Times New Roman" w:hAnsi="Calibri" w:cs="Calibri"/>
                <w:b/>
                <w:bCs/>
                <w:i/>
                <w:iCs/>
                <w:sz w:val="18"/>
                <w:szCs w:val="18"/>
              </w:rPr>
              <w:t> </w:t>
            </w:r>
          </w:p>
        </w:tc>
        <w:tc>
          <w:tcPr>
            <w:tcW w:w="298"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b/>
                <w:bCs/>
                <w:i/>
                <w:iCs/>
                <w:sz w:val="18"/>
                <w:szCs w:val="18"/>
              </w:rPr>
            </w:pPr>
            <w:r w:rsidRPr="009B7F4A">
              <w:rPr>
                <w:rFonts w:ascii="Calibri" w:eastAsia="Times New Roman" w:hAnsi="Calibri" w:cs="Calibri"/>
                <w:b/>
                <w:bCs/>
                <w:i/>
                <w:iCs/>
                <w:sz w:val="18"/>
                <w:szCs w:val="18"/>
              </w:rPr>
              <w:t> </w:t>
            </w:r>
          </w:p>
        </w:tc>
        <w:tc>
          <w:tcPr>
            <w:tcW w:w="280"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b/>
                <w:bCs/>
                <w:i/>
                <w:iCs/>
                <w:sz w:val="18"/>
                <w:szCs w:val="18"/>
              </w:rPr>
            </w:pPr>
            <w:r w:rsidRPr="009B7F4A">
              <w:rPr>
                <w:rFonts w:ascii="Calibri" w:eastAsia="Times New Roman" w:hAnsi="Calibri" w:cs="Calibri"/>
                <w:b/>
                <w:bCs/>
                <w:i/>
                <w:iCs/>
                <w:sz w:val="18"/>
                <w:szCs w:val="18"/>
              </w:rPr>
              <w:t> </w:t>
            </w:r>
          </w:p>
        </w:tc>
        <w:tc>
          <w:tcPr>
            <w:tcW w:w="264"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b/>
                <w:bCs/>
                <w:i/>
                <w:iCs/>
                <w:sz w:val="18"/>
                <w:szCs w:val="18"/>
              </w:rPr>
            </w:pPr>
            <w:r w:rsidRPr="009B7F4A">
              <w:rPr>
                <w:rFonts w:ascii="Calibri" w:eastAsia="Times New Roman" w:hAnsi="Calibri" w:cs="Calibri"/>
                <w:b/>
                <w:bCs/>
                <w:i/>
                <w:iCs/>
                <w:sz w:val="18"/>
                <w:szCs w:val="18"/>
              </w:rPr>
              <w:t> </w:t>
            </w:r>
          </w:p>
        </w:tc>
        <w:tc>
          <w:tcPr>
            <w:tcW w:w="278"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b/>
                <w:bCs/>
                <w:i/>
                <w:iCs/>
                <w:sz w:val="18"/>
                <w:szCs w:val="18"/>
              </w:rPr>
            </w:pPr>
            <w:r w:rsidRPr="009B7F4A">
              <w:rPr>
                <w:rFonts w:ascii="Calibri" w:eastAsia="Times New Roman" w:hAnsi="Calibri" w:cs="Calibri"/>
                <w:b/>
                <w:bCs/>
                <w:i/>
                <w:iCs/>
                <w:sz w:val="18"/>
                <w:szCs w:val="18"/>
              </w:rPr>
              <w:t> </w:t>
            </w:r>
          </w:p>
        </w:tc>
        <w:tc>
          <w:tcPr>
            <w:tcW w:w="338"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b/>
                <w:bCs/>
                <w:i/>
                <w:iCs/>
                <w:sz w:val="18"/>
                <w:szCs w:val="18"/>
              </w:rPr>
            </w:pPr>
            <w:r w:rsidRPr="009B7F4A">
              <w:rPr>
                <w:rFonts w:ascii="Calibri" w:eastAsia="Times New Roman" w:hAnsi="Calibri" w:cs="Calibri"/>
                <w:b/>
                <w:bCs/>
                <w:i/>
                <w:iCs/>
                <w:sz w:val="18"/>
                <w:szCs w:val="18"/>
              </w:rPr>
              <w:t> </w:t>
            </w:r>
          </w:p>
        </w:tc>
        <w:tc>
          <w:tcPr>
            <w:tcW w:w="272"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b/>
                <w:bCs/>
                <w:i/>
                <w:iCs/>
                <w:sz w:val="18"/>
                <w:szCs w:val="18"/>
              </w:rPr>
            </w:pPr>
            <w:r w:rsidRPr="009B7F4A">
              <w:rPr>
                <w:rFonts w:ascii="Calibri" w:eastAsia="Times New Roman" w:hAnsi="Calibri" w:cs="Calibri"/>
                <w:b/>
                <w:bCs/>
                <w:i/>
                <w:iCs/>
                <w:sz w:val="18"/>
                <w:szCs w:val="18"/>
              </w:rPr>
              <w:t> </w:t>
            </w:r>
          </w:p>
        </w:tc>
        <w:tc>
          <w:tcPr>
            <w:tcW w:w="307" w:type="pct"/>
            <w:tcBorders>
              <w:top w:val="single" w:sz="4" w:space="0" w:color="auto"/>
              <w:left w:val="nil"/>
              <w:bottom w:val="single" w:sz="8"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b/>
                <w:bCs/>
                <w:i/>
                <w:iCs/>
                <w:sz w:val="18"/>
                <w:szCs w:val="18"/>
              </w:rPr>
            </w:pPr>
            <w:r w:rsidRPr="009B7F4A">
              <w:rPr>
                <w:rFonts w:ascii="Calibri" w:eastAsia="Times New Roman" w:hAnsi="Calibri" w:cs="Calibri"/>
                <w:b/>
                <w:bCs/>
                <w:i/>
                <w:iCs/>
                <w:sz w:val="18"/>
                <w:szCs w:val="18"/>
              </w:rPr>
              <w:t> </w:t>
            </w:r>
          </w:p>
        </w:tc>
      </w:tr>
      <w:tr w:rsidR="009B7F4A" w:rsidRPr="009B7F4A" w:rsidTr="00FD616F">
        <w:trPr>
          <w:trHeight w:val="170"/>
        </w:trPr>
        <w:tc>
          <w:tcPr>
            <w:tcW w:w="1203" w:type="pct"/>
            <w:gridSpan w:val="4"/>
            <w:tcBorders>
              <w:top w:val="single" w:sz="8" w:space="0" w:color="auto"/>
              <w:left w:val="nil"/>
              <w:bottom w:val="single" w:sz="4" w:space="0" w:color="auto"/>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Difference in returns (%)</w:t>
            </w:r>
          </w:p>
        </w:tc>
        <w:tc>
          <w:tcPr>
            <w:tcW w:w="301"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07"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44"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75"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49"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4"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98"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80"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64"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78"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38"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72"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307" w:type="pct"/>
            <w:tcBorders>
              <w:top w:val="nil"/>
              <w:left w:val="nil"/>
              <w:bottom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FD616F">
        <w:trPr>
          <w:trHeight w:val="170"/>
        </w:trPr>
        <w:tc>
          <w:tcPr>
            <w:tcW w:w="472" w:type="pct"/>
            <w:tcBorders>
              <w:top w:val="nil"/>
              <w:left w:val="nil"/>
              <w:bottom w:val="nil"/>
              <w:right w:val="nil"/>
            </w:tcBorders>
            <w:shd w:val="clear" w:color="000000" w:fill="FFFFFF"/>
            <w:noWrap/>
            <w:vAlign w:val="bottom"/>
            <w:hideMark/>
          </w:tcPr>
          <w:p w:rsidR="009B7F4A" w:rsidRPr="009B7F4A" w:rsidRDefault="005A1CF1" w:rsidP="009B7F4A">
            <w:pPr>
              <w:spacing w:after="0" w:line="240" w:lineRule="auto"/>
              <w:jc w:val="lowKashida"/>
              <w:rPr>
                <w:rFonts w:ascii="Calibri" w:eastAsia="Times New Roman" w:hAnsi="Calibri" w:cs="Calibri"/>
                <w:iCs/>
                <w:sz w:val="18"/>
                <w:szCs w:val="18"/>
              </w:rPr>
            </w:pPr>
            <m:oMathPara>
              <m:oMathParaPr>
                <m:jc m:val="left"/>
              </m:oMathParaPr>
              <m:oMath>
                <m:sSub>
                  <m:sSubPr>
                    <m:ctrlPr>
                      <w:rPr>
                        <w:rFonts w:ascii="Cambria Math" w:eastAsia="Times New Roman" w:hAnsi="Cambria Math" w:cs="Calibri"/>
                        <w:iCs/>
                        <w:sz w:val="18"/>
                        <w:szCs w:val="18"/>
                      </w:rPr>
                    </m:ctrlPr>
                  </m:sSubPr>
                  <m:e>
                    <m:r>
                      <m:rPr>
                        <m:sty m:val="p"/>
                      </m:rPr>
                      <w:rPr>
                        <w:rFonts w:ascii="Cambria Math" w:eastAsia="Times New Roman" w:hAnsi="Cambria Math" w:cs="Calibri"/>
                        <w:sz w:val="18"/>
                        <w:szCs w:val="18"/>
                      </w:rPr>
                      <m:t>VMG</m:t>
                    </m:r>
                  </m:e>
                  <m:sub>
                    <m:r>
                      <m:rPr>
                        <m:sty m:val="p"/>
                      </m:rPr>
                      <w:rPr>
                        <w:rFonts w:ascii="Cambria Math" w:eastAsia="Times New Roman" w:hAnsi="Cambria Math" w:cs="Calibri"/>
                        <w:sz w:val="18"/>
                        <w:szCs w:val="18"/>
                      </w:rPr>
                      <m:t>S</m:t>
                    </m:r>
                  </m:sub>
                </m:sSub>
              </m:oMath>
            </m:oMathPara>
          </w:p>
        </w:tc>
        <w:tc>
          <w:tcPr>
            <w:tcW w:w="2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2.51</w:t>
            </w:r>
          </w:p>
        </w:tc>
        <w:tc>
          <w:tcPr>
            <w:tcW w:w="24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-0.95</w:t>
            </w:r>
          </w:p>
        </w:tc>
        <w:tc>
          <w:tcPr>
            <w:tcW w:w="2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1.73</w:t>
            </w:r>
          </w:p>
        </w:tc>
        <w:tc>
          <w:tcPr>
            <w:tcW w:w="3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5.69</w:t>
            </w:r>
          </w:p>
        </w:tc>
        <w:tc>
          <w:tcPr>
            <w:tcW w:w="30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-4.67</w:t>
            </w:r>
          </w:p>
        </w:tc>
        <w:tc>
          <w:tcPr>
            <w:tcW w:w="3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-4.32</w:t>
            </w:r>
          </w:p>
        </w:tc>
        <w:tc>
          <w:tcPr>
            <w:tcW w:w="27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0.60</w:t>
            </w:r>
          </w:p>
        </w:tc>
        <w:tc>
          <w:tcPr>
            <w:tcW w:w="24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3.71</w:t>
            </w:r>
          </w:p>
        </w:tc>
        <w:tc>
          <w:tcPr>
            <w:tcW w:w="28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0.53</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1.86</w:t>
            </w:r>
          </w:p>
        </w:tc>
        <w:tc>
          <w:tcPr>
            <w:tcW w:w="28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3.65</w:t>
            </w:r>
          </w:p>
        </w:tc>
        <w:tc>
          <w:tcPr>
            <w:tcW w:w="26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1.89</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-6.57</w:t>
            </w:r>
          </w:p>
        </w:tc>
        <w:tc>
          <w:tcPr>
            <w:tcW w:w="33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-3.35</w:t>
            </w:r>
          </w:p>
        </w:tc>
        <w:tc>
          <w:tcPr>
            <w:tcW w:w="27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0.33</w:t>
            </w:r>
          </w:p>
        </w:tc>
        <w:tc>
          <w:tcPr>
            <w:tcW w:w="30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0.18</w:t>
            </w:r>
          </w:p>
        </w:tc>
      </w:tr>
      <w:tr w:rsidR="009B7F4A" w:rsidRPr="009B7F4A" w:rsidTr="00FD616F">
        <w:trPr>
          <w:trHeight w:val="170"/>
        </w:trPr>
        <w:tc>
          <w:tcPr>
            <w:tcW w:w="472" w:type="pct"/>
            <w:tcBorders>
              <w:top w:val="nil"/>
              <w:left w:val="nil"/>
              <w:bottom w:val="nil"/>
              <w:right w:val="nil"/>
            </w:tcBorders>
            <w:shd w:val="clear" w:color="000000" w:fill="FFFFFF"/>
            <w:noWrap/>
            <w:vAlign w:val="bottom"/>
            <w:hideMark/>
          </w:tcPr>
          <w:p w:rsidR="009B7F4A" w:rsidRPr="009B7F4A" w:rsidRDefault="005A1CF1" w:rsidP="009B7F4A">
            <w:pPr>
              <w:spacing w:after="0" w:line="240" w:lineRule="auto"/>
              <w:jc w:val="lowKashida"/>
              <w:rPr>
                <w:rFonts w:ascii="Calibri" w:eastAsia="Times New Roman" w:hAnsi="Calibri" w:cs="Calibri"/>
                <w:iCs/>
                <w:sz w:val="18"/>
                <w:szCs w:val="18"/>
              </w:rPr>
            </w:pPr>
            <m:oMathPara>
              <m:oMathParaPr>
                <m:jc m:val="left"/>
              </m:oMathParaPr>
              <m:oMath>
                <m:sSub>
                  <m:sSubPr>
                    <m:ctrlPr>
                      <w:rPr>
                        <w:rFonts w:ascii="Cambria Math" w:eastAsia="Times New Roman" w:hAnsi="Cambria Math" w:cs="Calibri"/>
                        <w:iCs/>
                        <w:sz w:val="18"/>
                        <w:szCs w:val="18"/>
                      </w:rPr>
                    </m:ctrlPr>
                  </m:sSubPr>
                  <m:e>
                    <m:r>
                      <m:rPr>
                        <m:sty m:val="p"/>
                      </m:rPr>
                      <w:rPr>
                        <w:rFonts w:ascii="Cambria Math" w:eastAsia="Times New Roman" w:hAnsi="Cambria Math" w:cs="Calibri"/>
                        <w:sz w:val="18"/>
                        <w:szCs w:val="18"/>
                      </w:rPr>
                      <m:t>VMG</m:t>
                    </m:r>
                  </m:e>
                  <m:sub>
                    <m:r>
                      <m:rPr>
                        <m:sty m:val="p"/>
                      </m:rPr>
                      <w:rPr>
                        <w:rFonts w:ascii="Cambria Math" w:eastAsia="Times New Roman" w:hAnsi="Cambria Math" w:cs="Calibri"/>
                        <w:sz w:val="18"/>
                        <w:szCs w:val="18"/>
                      </w:rPr>
                      <m:t>B</m:t>
                    </m:r>
                  </m:sub>
                </m:sSub>
              </m:oMath>
            </m:oMathPara>
          </w:p>
        </w:tc>
        <w:tc>
          <w:tcPr>
            <w:tcW w:w="2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-1.53</w:t>
            </w:r>
          </w:p>
        </w:tc>
        <w:tc>
          <w:tcPr>
            <w:tcW w:w="24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2.33</w:t>
            </w:r>
          </w:p>
        </w:tc>
        <w:tc>
          <w:tcPr>
            <w:tcW w:w="2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4.48</w:t>
            </w:r>
          </w:p>
        </w:tc>
        <w:tc>
          <w:tcPr>
            <w:tcW w:w="3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1.74</w:t>
            </w:r>
          </w:p>
        </w:tc>
        <w:tc>
          <w:tcPr>
            <w:tcW w:w="30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-3.04</w:t>
            </w:r>
          </w:p>
        </w:tc>
        <w:tc>
          <w:tcPr>
            <w:tcW w:w="3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-1.38</w:t>
            </w:r>
          </w:p>
        </w:tc>
        <w:tc>
          <w:tcPr>
            <w:tcW w:w="27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-0.43</w:t>
            </w:r>
          </w:p>
        </w:tc>
        <w:tc>
          <w:tcPr>
            <w:tcW w:w="24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0.69</w:t>
            </w:r>
          </w:p>
        </w:tc>
        <w:tc>
          <w:tcPr>
            <w:tcW w:w="28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-2.32</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-1.38</w:t>
            </w:r>
          </w:p>
        </w:tc>
        <w:tc>
          <w:tcPr>
            <w:tcW w:w="28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5.30</w:t>
            </w:r>
          </w:p>
        </w:tc>
        <w:tc>
          <w:tcPr>
            <w:tcW w:w="26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1.16</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-1.68</w:t>
            </w:r>
          </w:p>
        </w:tc>
        <w:tc>
          <w:tcPr>
            <w:tcW w:w="33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-0.45</w:t>
            </w:r>
          </w:p>
        </w:tc>
        <w:tc>
          <w:tcPr>
            <w:tcW w:w="27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-0.33</w:t>
            </w:r>
          </w:p>
        </w:tc>
        <w:tc>
          <w:tcPr>
            <w:tcW w:w="30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0.21</w:t>
            </w:r>
          </w:p>
        </w:tc>
      </w:tr>
      <w:tr w:rsidR="009B7F4A" w:rsidRPr="009B7F4A" w:rsidTr="00FD616F">
        <w:trPr>
          <w:trHeight w:val="170"/>
        </w:trPr>
        <w:tc>
          <w:tcPr>
            <w:tcW w:w="472" w:type="pct"/>
            <w:tcBorders>
              <w:top w:val="nil"/>
              <w:left w:val="nil"/>
              <w:bottom w:val="nil"/>
              <w:right w:val="nil"/>
            </w:tcBorders>
            <w:shd w:val="clear" w:color="000000" w:fill="FFFFFF"/>
            <w:noWrap/>
            <w:vAlign w:val="bottom"/>
            <w:hideMark/>
          </w:tcPr>
          <w:p w:rsidR="009B7F4A" w:rsidRPr="009B7F4A" w:rsidRDefault="005A1CF1" w:rsidP="009B7F4A">
            <w:pPr>
              <w:spacing w:after="0" w:line="240" w:lineRule="auto"/>
              <w:jc w:val="lowKashida"/>
              <w:rPr>
                <w:rFonts w:ascii="Calibri" w:eastAsia="Times New Roman" w:hAnsi="Calibri" w:cs="Calibri"/>
                <w:iCs/>
                <w:sz w:val="18"/>
                <w:szCs w:val="18"/>
              </w:rPr>
            </w:pPr>
            <m:oMathPara>
              <m:oMathParaPr>
                <m:jc m:val="left"/>
              </m:oMathParaPr>
              <m:oMath>
                <m:sSub>
                  <m:sSubPr>
                    <m:ctrlPr>
                      <w:rPr>
                        <w:rFonts w:ascii="Cambria Math" w:eastAsia="Times New Roman" w:hAnsi="Cambria Math" w:cs="Calibri"/>
                        <w:iCs/>
                        <w:sz w:val="18"/>
                        <w:szCs w:val="18"/>
                      </w:rPr>
                    </m:ctrlPr>
                  </m:sSubPr>
                  <m:e>
                    <m:r>
                      <m:rPr>
                        <m:sty m:val="p"/>
                      </m:rPr>
                      <w:rPr>
                        <w:rFonts w:ascii="Cambria Math" w:eastAsia="Times New Roman" w:hAnsi="Cambria Math" w:cs="Calibri"/>
                        <w:sz w:val="18"/>
                        <w:szCs w:val="18"/>
                      </w:rPr>
                      <m:t>VMG</m:t>
                    </m:r>
                  </m:e>
                  <m:sub>
                    <m:r>
                      <m:rPr>
                        <m:sty m:val="p"/>
                      </m:rPr>
                      <w:rPr>
                        <w:rFonts w:ascii="Cambria Math" w:eastAsia="Times New Roman" w:hAnsi="Cambria Math" w:cs="Calibri"/>
                        <w:sz w:val="18"/>
                        <w:szCs w:val="18"/>
                      </w:rPr>
                      <m:t>S-B</m:t>
                    </m:r>
                  </m:sub>
                </m:sSub>
              </m:oMath>
            </m:oMathPara>
          </w:p>
        </w:tc>
        <w:tc>
          <w:tcPr>
            <w:tcW w:w="2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4.04</w:t>
            </w:r>
          </w:p>
        </w:tc>
        <w:tc>
          <w:tcPr>
            <w:tcW w:w="24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-3.28</w:t>
            </w:r>
          </w:p>
        </w:tc>
        <w:tc>
          <w:tcPr>
            <w:tcW w:w="2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-2.75</w:t>
            </w:r>
          </w:p>
        </w:tc>
        <w:tc>
          <w:tcPr>
            <w:tcW w:w="3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3.94</w:t>
            </w:r>
          </w:p>
        </w:tc>
        <w:tc>
          <w:tcPr>
            <w:tcW w:w="30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-1.63</w:t>
            </w:r>
          </w:p>
        </w:tc>
        <w:tc>
          <w:tcPr>
            <w:tcW w:w="3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-2.94</w:t>
            </w:r>
          </w:p>
        </w:tc>
        <w:tc>
          <w:tcPr>
            <w:tcW w:w="27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1.03</w:t>
            </w:r>
          </w:p>
        </w:tc>
        <w:tc>
          <w:tcPr>
            <w:tcW w:w="24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3.03</w:t>
            </w:r>
          </w:p>
        </w:tc>
        <w:tc>
          <w:tcPr>
            <w:tcW w:w="28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2.85</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3.24</w:t>
            </w:r>
          </w:p>
        </w:tc>
        <w:tc>
          <w:tcPr>
            <w:tcW w:w="28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-1.64</w:t>
            </w:r>
          </w:p>
        </w:tc>
        <w:tc>
          <w:tcPr>
            <w:tcW w:w="26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0.73</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-4.89</w:t>
            </w:r>
          </w:p>
        </w:tc>
        <w:tc>
          <w:tcPr>
            <w:tcW w:w="33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-2.90</w:t>
            </w:r>
          </w:p>
        </w:tc>
        <w:tc>
          <w:tcPr>
            <w:tcW w:w="27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0.66</w:t>
            </w:r>
          </w:p>
        </w:tc>
        <w:tc>
          <w:tcPr>
            <w:tcW w:w="30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-0.03</w:t>
            </w:r>
          </w:p>
        </w:tc>
      </w:tr>
      <w:tr w:rsidR="009B7F4A" w:rsidRPr="009B7F4A" w:rsidTr="00FD616F">
        <w:trPr>
          <w:trHeight w:val="170"/>
        </w:trPr>
        <w:tc>
          <w:tcPr>
            <w:tcW w:w="472" w:type="pct"/>
            <w:tcBorders>
              <w:top w:val="nil"/>
              <w:left w:val="nil"/>
              <w:right w:val="nil"/>
            </w:tcBorders>
            <w:shd w:val="clear" w:color="000000" w:fill="FFFFFF"/>
            <w:noWrap/>
            <w:vAlign w:val="bottom"/>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c>
          <w:tcPr>
            <w:tcW w:w="244"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43"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44"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01"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07"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44"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75"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49"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4"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98"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80"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64"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78"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38"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272"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 </w:t>
            </w:r>
          </w:p>
        </w:tc>
        <w:tc>
          <w:tcPr>
            <w:tcW w:w="307" w:type="pct"/>
            <w:tcBorders>
              <w:top w:val="nil"/>
              <w:left w:val="nil"/>
              <w:right w:val="nil"/>
            </w:tcBorders>
            <w:shd w:val="clear" w:color="000000" w:fill="FFFFFF"/>
            <w:noWrap/>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r w:rsidRPr="009B7F4A">
              <w:rPr>
                <w:rFonts w:ascii="Calibri" w:eastAsia="Times New Roman" w:hAnsi="Calibri" w:cs="Calibri"/>
                <w:sz w:val="18"/>
                <w:szCs w:val="18"/>
              </w:rPr>
              <w:t> </w:t>
            </w:r>
          </w:p>
        </w:tc>
      </w:tr>
      <w:tr w:rsidR="009B7F4A" w:rsidRPr="009B7F4A" w:rsidTr="00FD616F">
        <w:trPr>
          <w:trHeight w:val="170"/>
        </w:trPr>
        <w:tc>
          <w:tcPr>
            <w:tcW w:w="472" w:type="pct"/>
            <w:vMerge w:val="restart"/>
            <w:tcBorders>
              <w:top w:val="nil"/>
              <w:left w:val="nil"/>
              <w:bottom w:val="nil"/>
              <w:right w:val="nil"/>
            </w:tcBorders>
            <w:shd w:val="clear" w:color="000000" w:fill="FFFFFF"/>
            <w:noWrap/>
            <w:hideMark/>
          </w:tcPr>
          <w:p w:rsidR="009B7F4A" w:rsidRPr="009B7F4A" w:rsidRDefault="009B7F4A" w:rsidP="009B7F4A">
            <w:pPr>
              <w:spacing w:after="0" w:line="240" w:lineRule="auto"/>
              <w:jc w:val="lowKashida"/>
              <w:rPr>
                <w:rFonts w:ascii="Calibri" w:eastAsia="Times New Roman" w:hAnsi="Calibri" w:cs="Calibri"/>
                <w:b/>
                <w:bCs/>
                <w:sz w:val="18"/>
                <w:szCs w:val="18"/>
              </w:rPr>
            </w:pPr>
            <w:r w:rsidRPr="009B7F4A">
              <w:rPr>
                <w:rFonts w:ascii="Calibri" w:eastAsia="Times New Roman" w:hAnsi="Calibri" w:cs="Calibri"/>
                <w:b/>
                <w:bCs/>
                <w:sz w:val="18"/>
                <w:szCs w:val="18"/>
              </w:rPr>
              <w:t>VMG</w:t>
            </w:r>
          </w:p>
        </w:tc>
        <w:tc>
          <w:tcPr>
            <w:tcW w:w="2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0.49</w:t>
            </w:r>
          </w:p>
        </w:tc>
        <w:tc>
          <w:tcPr>
            <w:tcW w:w="243"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0.69</w:t>
            </w:r>
          </w:p>
        </w:tc>
        <w:tc>
          <w:tcPr>
            <w:tcW w:w="2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3.10</w:t>
            </w:r>
          </w:p>
        </w:tc>
        <w:tc>
          <w:tcPr>
            <w:tcW w:w="301"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3.72</w:t>
            </w:r>
          </w:p>
        </w:tc>
        <w:tc>
          <w:tcPr>
            <w:tcW w:w="30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-3.85</w:t>
            </w:r>
          </w:p>
        </w:tc>
        <w:tc>
          <w:tcPr>
            <w:tcW w:w="34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-2.85</w:t>
            </w:r>
          </w:p>
        </w:tc>
        <w:tc>
          <w:tcPr>
            <w:tcW w:w="275"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0.08</w:t>
            </w:r>
          </w:p>
        </w:tc>
        <w:tc>
          <w:tcPr>
            <w:tcW w:w="249"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2.20</w:t>
            </w:r>
          </w:p>
        </w:tc>
        <w:tc>
          <w:tcPr>
            <w:tcW w:w="28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-0.89</w:t>
            </w:r>
          </w:p>
        </w:tc>
        <w:tc>
          <w:tcPr>
            <w:tcW w:w="29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0.24</w:t>
            </w:r>
          </w:p>
        </w:tc>
        <w:tc>
          <w:tcPr>
            <w:tcW w:w="280"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4.48</w:t>
            </w:r>
          </w:p>
        </w:tc>
        <w:tc>
          <w:tcPr>
            <w:tcW w:w="264"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1.52</w:t>
            </w:r>
          </w:p>
        </w:tc>
        <w:tc>
          <w:tcPr>
            <w:tcW w:w="27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-4.13</w:t>
            </w:r>
          </w:p>
        </w:tc>
        <w:tc>
          <w:tcPr>
            <w:tcW w:w="338"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-1.90</w:t>
            </w:r>
          </w:p>
        </w:tc>
        <w:tc>
          <w:tcPr>
            <w:tcW w:w="272"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0.00</w:t>
            </w:r>
          </w:p>
        </w:tc>
        <w:tc>
          <w:tcPr>
            <w:tcW w:w="307" w:type="pct"/>
            <w:tcBorders>
              <w:top w:val="nil"/>
              <w:left w:val="nil"/>
              <w:bottom w:val="nil"/>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0.19</w:t>
            </w:r>
          </w:p>
        </w:tc>
      </w:tr>
      <w:tr w:rsidR="009B7F4A" w:rsidRPr="009B7F4A" w:rsidTr="00FD616F">
        <w:trPr>
          <w:trHeight w:val="170"/>
        </w:trPr>
        <w:tc>
          <w:tcPr>
            <w:tcW w:w="472" w:type="pct"/>
            <w:vMerge/>
            <w:tcBorders>
              <w:top w:val="nil"/>
              <w:left w:val="nil"/>
              <w:bottom w:val="single" w:sz="4" w:space="0" w:color="auto"/>
              <w:right w:val="nil"/>
            </w:tcBorders>
            <w:vAlign w:val="center"/>
            <w:hideMark/>
          </w:tcPr>
          <w:p w:rsidR="009B7F4A" w:rsidRPr="009B7F4A" w:rsidRDefault="009B7F4A" w:rsidP="009B7F4A">
            <w:pPr>
              <w:spacing w:after="0" w:line="240" w:lineRule="auto"/>
              <w:jc w:val="lowKashida"/>
              <w:rPr>
                <w:rFonts w:ascii="Calibri" w:eastAsia="Times New Roman" w:hAnsi="Calibri" w:cs="Calibri"/>
                <w:sz w:val="18"/>
                <w:szCs w:val="18"/>
              </w:rPr>
            </w:pPr>
          </w:p>
        </w:tc>
        <w:tc>
          <w:tcPr>
            <w:tcW w:w="244"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(0.073)</w:t>
            </w:r>
          </w:p>
        </w:tc>
        <w:tc>
          <w:tcPr>
            <w:tcW w:w="243"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(0.184)</w:t>
            </w:r>
          </w:p>
        </w:tc>
        <w:tc>
          <w:tcPr>
            <w:tcW w:w="244"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(0.64)</w:t>
            </w:r>
          </w:p>
        </w:tc>
        <w:tc>
          <w:tcPr>
            <w:tcW w:w="301"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(1.465)*</w:t>
            </w:r>
          </w:p>
        </w:tc>
        <w:tc>
          <w:tcPr>
            <w:tcW w:w="307"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(-1.111)</w:t>
            </w:r>
          </w:p>
        </w:tc>
        <w:tc>
          <w:tcPr>
            <w:tcW w:w="344"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(-0.832)</w:t>
            </w:r>
          </w:p>
        </w:tc>
        <w:tc>
          <w:tcPr>
            <w:tcW w:w="275"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(0.055)</w:t>
            </w:r>
          </w:p>
        </w:tc>
        <w:tc>
          <w:tcPr>
            <w:tcW w:w="249"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(1.105)</w:t>
            </w:r>
          </w:p>
        </w:tc>
        <w:tc>
          <w:tcPr>
            <w:tcW w:w="284"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(-0.523)</w:t>
            </w:r>
          </w:p>
        </w:tc>
        <w:tc>
          <w:tcPr>
            <w:tcW w:w="298"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(0.054)</w:t>
            </w:r>
          </w:p>
        </w:tc>
        <w:tc>
          <w:tcPr>
            <w:tcW w:w="280"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(1.61)*</w:t>
            </w:r>
          </w:p>
        </w:tc>
        <w:tc>
          <w:tcPr>
            <w:tcW w:w="264"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(0.712)</w:t>
            </w:r>
          </w:p>
        </w:tc>
        <w:tc>
          <w:tcPr>
            <w:tcW w:w="278"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(-1.435)</w:t>
            </w:r>
          </w:p>
        </w:tc>
        <w:tc>
          <w:tcPr>
            <w:tcW w:w="338"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(-1.198)*</w:t>
            </w:r>
          </w:p>
        </w:tc>
        <w:tc>
          <w:tcPr>
            <w:tcW w:w="272"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w:t>
            </w:r>
          </w:p>
        </w:tc>
        <w:tc>
          <w:tcPr>
            <w:tcW w:w="307" w:type="pct"/>
            <w:tcBorders>
              <w:top w:val="nil"/>
              <w:left w:val="nil"/>
              <w:bottom w:val="single" w:sz="4" w:space="0" w:color="auto"/>
              <w:right w:val="nil"/>
            </w:tcBorders>
            <w:shd w:val="clear" w:color="000000" w:fill="FFFFFF"/>
            <w:noWrap/>
            <w:vAlign w:val="center"/>
            <w:hideMark/>
          </w:tcPr>
          <w:p w:rsidR="009B7F4A" w:rsidRPr="009B7F4A" w:rsidRDefault="009B7F4A" w:rsidP="009B7F4A">
            <w:pPr>
              <w:spacing w:after="0" w:line="240" w:lineRule="auto"/>
              <w:jc w:val="right"/>
              <w:rPr>
                <w:rFonts w:ascii="Calibri" w:eastAsia="Times New Roman" w:hAnsi="Calibri" w:cs="Calibri"/>
                <w:sz w:val="18"/>
                <w:szCs w:val="18"/>
              </w:rPr>
            </w:pPr>
            <w:r w:rsidRPr="009B7F4A">
              <w:rPr>
                <w:rFonts w:ascii="Calibri" w:eastAsia="Times New Roman" w:hAnsi="Calibri" w:cs="Calibri"/>
                <w:sz w:val="18"/>
                <w:szCs w:val="18"/>
              </w:rPr>
              <w:t>(0.216)</w:t>
            </w:r>
          </w:p>
        </w:tc>
      </w:tr>
    </w:tbl>
    <w:p w:rsidR="001E5104" w:rsidRPr="005B035B" w:rsidRDefault="001E5104" w:rsidP="005B035B">
      <w:pPr>
        <w:tabs>
          <w:tab w:val="left" w:pos="1275"/>
        </w:tabs>
        <w:rPr>
          <w:rFonts w:cstheme="minorHAnsi"/>
        </w:rPr>
      </w:pPr>
    </w:p>
    <w:sectPr w:rsidR="001E5104" w:rsidRPr="005B035B" w:rsidSect="00CA75D3">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F1" w:rsidRDefault="005A1CF1" w:rsidP="005244D3">
      <w:pPr>
        <w:spacing w:after="0" w:line="240" w:lineRule="auto"/>
      </w:pPr>
      <w:r>
        <w:separator/>
      </w:r>
    </w:p>
  </w:endnote>
  <w:endnote w:type="continuationSeparator" w:id="0">
    <w:p w:rsidR="005A1CF1" w:rsidRDefault="005A1CF1" w:rsidP="0052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15180"/>
      <w:docPartObj>
        <w:docPartGallery w:val="Page Numbers (Bottom of Page)"/>
        <w:docPartUnique/>
      </w:docPartObj>
    </w:sdtPr>
    <w:sdtEndPr>
      <w:rPr>
        <w:color w:val="7F7F7F" w:themeColor="background1" w:themeShade="7F"/>
        <w:spacing w:val="60"/>
        <w:sz w:val="20"/>
        <w:szCs w:val="20"/>
      </w:rPr>
    </w:sdtEndPr>
    <w:sdtContent>
      <w:p w:rsidR="00D4046A" w:rsidRPr="008E1714" w:rsidRDefault="00D4046A">
        <w:pPr>
          <w:pStyle w:val="Footer"/>
          <w:pBdr>
            <w:top w:val="single" w:sz="4" w:space="1" w:color="D9D9D9" w:themeColor="background1" w:themeShade="D9"/>
          </w:pBdr>
          <w:jc w:val="right"/>
          <w:rPr>
            <w:sz w:val="20"/>
            <w:szCs w:val="20"/>
          </w:rPr>
        </w:pPr>
        <w:r w:rsidRPr="008E1714">
          <w:rPr>
            <w:sz w:val="20"/>
            <w:szCs w:val="20"/>
          </w:rPr>
          <w:fldChar w:fldCharType="begin"/>
        </w:r>
        <w:r w:rsidRPr="008E1714">
          <w:rPr>
            <w:sz w:val="20"/>
            <w:szCs w:val="20"/>
          </w:rPr>
          <w:instrText xml:space="preserve"> PAGE   \* MERGEFORMAT </w:instrText>
        </w:r>
        <w:r w:rsidRPr="008E1714">
          <w:rPr>
            <w:sz w:val="20"/>
            <w:szCs w:val="20"/>
          </w:rPr>
          <w:fldChar w:fldCharType="separate"/>
        </w:r>
        <w:r w:rsidR="00FC28E6">
          <w:rPr>
            <w:noProof/>
            <w:sz w:val="20"/>
            <w:szCs w:val="20"/>
          </w:rPr>
          <w:t>9</w:t>
        </w:r>
        <w:r w:rsidRPr="008E1714">
          <w:rPr>
            <w:noProof/>
            <w:sz w:val="20"/>
            <w:szCs w:val="20"/>
          </w:rPr>
          <w:fldChar w:fldCharType="end"/>
        </w:r>
        <w:r w:rsidRPr="008E1714">
          <w:rPr>
            <w:sz w:val="20"/>
            <w:szCs w:val="20"/>
          </w:rPr>
          <w:t xml:space="preserve"> | </w:t>
        </w:r>
        <w:r w:rsidRPr="008E1714">
          <w:rPr>
            <w:color w:val="7F7F7F" w:themeColor="background1" w:themeShade="7F"/>
            <w:spacing w:val="60"/>
            <w:sz w:val="20"/>
            <w:szCs w:val="20"/>
          </w:rPr>
          <w:t>Page</w:t>
        </w:r>
      </w:p>
    </w:sdtContent>
  </w:sdt>
  <w:p w:rsidR="00D4046A" w:rsidRDefault="00D40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F1" w:rsidRDefault="005A1CF1" w:rsidP="005244D3">
      <w:pPr>
        <w:spacing w:after="0" w:line="240" w:lineRule="auto"/>
      </w:pPr>
      <w:r>
        <w:separator/>
      </w:r>
    </w:p>
  </w:footnote>
  <w:footnote w:type="continuationSeparator" w:id="0">
    <w:p w:rsidR="005A1CF1" w:rsidRDefault="005A1CF1" w:rsidP="00524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07584"/>
    <w:multiLevelType w:val="hybridMultilevel"/>
    <w:tmpl w:val="56E87CC6"/>
    <w:lvl w:ilvl="0" w:tplc="26DE93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r2etwrpv9zvzp3ezvrip02pxxdxa2wesx5fs&quot;&gt;Size. Value, and momentum  in stock exchange of thailand&lt;record-ids&gt;&lt;item&gt;17&lt;/item&gt;&lt;item&gt;18&lt;/item&gt;&lt;item&gt;19&lt;/item&gt;&lt;item&gt;20&lt;/item&gt;&lt;item&gt;21&lt;/item&gt;&lt;item&gt;22&lt;/item&gt;&lt;item&gt;23&lt;/item&gt;&lt;item&gt;24&lt;/item&gt;&lt;item&gt;26&lt;/item&gt;&lt;item&gt;27&lt;/item&gt;&lt;item&gt;28&lt;/item&gt;&lt;item&gt;29&lt;/item&gt;&lt;item&gt;31&lt;/item&gt;&lt;item&gt;32&lt;/item&gt;&lt;item&gt;33&lt;/item&gt;&lt;item&gt;34&lt;/item&gt;&lt;item&gt;35&lt;/item&gt;&lt;/record-ids&gt;&lt;/item&gt;&lt;/Libraries&gt;"/>
  </w:docVars>
  <w:rsids>
    <w:rsidRoot w:val="00F851A4"/>
    <w:rsid w:val="00064533"/>
    <w:rsid w:val="001203A6"/>
    <w:rsid w:val="001564A7"/>
    <w:rsid w:val="00162A31"/>
    <w:rsid w:val="001A1761"/>
    <w:rsid w:val="001A36DC"/>
    <w:rsid w:val="001A56A7"/>
    <w:rsid w:val="001E5104"/>
    <w:rsid w:val="00216535"/>
    <w:rsid w:val="002246A8"/>
    <w:rsid w:val="0024667C"/>
    <w:rsid w:val="00261CB4"/>
    <w:rsid w:val="002667CD"/>
    <w:rsid w:val="00284D2B"/>
    <w:rsid w:val="00286342"/>
    <w:rsid w:val="002939A4"/>
    <w:rsid w:val="0029403B"/>
    <w:rsid w:val="00301405"/>
    <w:rsid w:val="003217A6"/>
    <w:rsid w:val="003466A7"/>
    <w:rsid w:val="00350C8D"/>
    <w:rsid w:val="00356E88"/>
    <w:rsid w:val="00362970"/>
    <w:rsid w:val="003A3E04"/>
    <w:rsid w:val="004036C2"/>
    <w:rsid w:val="00422FC5"/>
    <w:rsid w:val="00436280"/>
    <w:rsid w:val="00440846"/>
    <w:rsid w:val="00446B94"/>
    <w:rsid w:val="00467A88"/>
    <w:rsid w:val="004D7390"/>
    <w:rsid w:val="004E0E95"/>
    <w:rsid w:val="004E527A"/>
    <w:rsid w:val="005244D3"/>
    <w:rsid w:val="005259CD"/>
    <w:rsid w:val="005319EF"/>
    <w:rsid w:val="005A1CF1"/>
    <w:rsid w:val="005A56D2"/>
    <w:rsid w:val="005B035B"/>
    <w:rsid w:val="005C2707"/>
    <w:rsid w:val="006716A1"/>
    <w:rsid w:val="00691EAE"/>
    <w:rsid w:val="006B73CF"/>
    <w:rsid w:val="006C02B3"/>
    <w:rsid w:val="0070267F"/>
    <w:rsid w:val="007130F5"/>
    <w:rsid w:val="0072708C"/>
    <w:rsid w:val="00732B0D"/>
    <w:rsid w:val="00763C74"/>
    <w:rsid w:val="00780B5E"/>
    <w:rsid w:val="007E4D1C"/>
    <w:rsid w:val="007F32F7"/>
    <w:rsid w:val="00825143"/>
    <w:rsid w:val="00850292"/>
    <w:rsid w:val="00850E82"/>
    <w:rsid w:val="00875576"/>
    <w:rsid w:val="00877A0D"/>
    <w:rsid w:val="008870DD"/>
    <w:rsid w:val="008A6CAF"/>
    <w:rsid w:val="008E1714"/>
    <w:rsid w:val="008F10FA"/>
    <w:rsid w:val="0092797D"/>
    <w:rsid w:val="009B7F4A"/>
    <w:rsid w:val="009D4644"/>
    <w:rsid w:val="009E4291"/>
    <w:rsid w:val="009F4FE2"/>
    <w:rsid w:val="009F7E91"/>
    <w:rsid w:val="00A046B8"/>
    <w:rsid w:val="00A219CA"/>
    <w:rsid w:val="00A36515"/>
    <w:rsid w:val="00A36F60"/>
    <w:rsid w:val="00A37623"/>
    <w:rsid w:val="00A400BE"/>
    <w:rsid w:val="00AA2B25"/>
    <w:rsid w:val="00AB457E"/>
    <w:rsid w:val="00AE40BA"/>
    <w:rsid w:val="00B20515"/>
    <w:rsid w:val="00B318D2"/>
    <w:rsid w:val="00B465FA"/>
    <w:rsid w:val="00B83D23"/>
    <w:rsid w:val="00B87A35"/>
    <w:rsid w:val="00B90233"/>
    <w:rsid w:val="00B91455"/>
    <w:rsid w:val="00BC48E9"/>
    <w:rsid w:val="00C13BE7"/>
    <w:rsid w:val="00C6577E"/>
    <w:rsid w:val="00D4046A"/>
    <w:rsid w:val="00D449FA"/>
    <w:rsid w:val="00DC3012"/>
    <w:rsid w:val="00E11C97"/>
    <w:rsid w:val="00E413E3"/>
    <w:rsid w:val="00EA3352"/>
    <w:rsid w:val="00EF50FF"/>
    <w:rsid w:val="00F851A4"/>
    <w:rsid w:val="00F96244"/>
    <w:rsid w:val="00FB5BD1"/>
    <w:rsid w:val="00FC28E6"/>
    <w:rsid w:val="00FD1E7A"/>
    <w:rsid w:val="00FF2892"/>
    <w:rsid w:val="00FF7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2892"/>
    <w:pPr>
      <w:keepNext/>
      <w:spacing w:before="240" w:after="120" w:line="276" w:lineRule="auto"/>
      <w:jc w:val="both"/>
      <w:outlineLvl w:val="0"/>
    </w:pPr>
    <w:rPr>
      <w:rFonts w:ascii="Arial" w:hAnsi="Arial" w:cs="Arial"/>
      <w:b/>
      <w:bCs/>
      <w:sz w:val="28"/>
      <w:szCs w:val="28"/>
      <w:lang w:bidi="th-TH"/>
    </w:rPr>
  </w:style>
  <w:style w:type="paragraph" w:styleId="Heading2">
    <w:name w:val="heading 2"/>
    <w:basedOn w:val="Normal"/>
    <w:next w:val="Normal"/>
    <w:link w:val="Heading2Char"/>
    <w:uiPriority w:val="9"/>
    <w:unhideWhenUsed/>
    <w:qFormat/>
    <w:rsid w:val="00FF2892"/>
    <w:pPr>
      <w:keepNext/>
      <w:spacing w:after="120" w:line="276" w:lineRule="auto"/>
      <w:jc w:val="both"/>
      <w:outlineLvl w:val="1"/>
    </w:pPr>
    <w:rPr>
      <w:rFonts w:ascii="Arial" w:hAnsi="Arial" w:cs="Arial"/>
      <w:b/>
      <w:iCs/>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892"/>
    <w:rPr>
      <w:rFonts w:ascii="Arial" w:hAnsi="Arial" w:cs="Arial"/>
      <w:b/>
      <w:bCs/>
      <w:sz w:val="28"/>
      <w:szCs w:val="28"/>
      <w:lang w:bidi="th-TH"/>
    </w:rPr>
  </w:style>
  <w:style w:type="character" w:customStyle="1" w:styleId="Heading2Char">
    <w:name w:val="Heading 2 Char"/>
    <w:basedOn w:val="DefaultParagraphFont"/>
    <w:link w:val="Heading2"/>
    <w:uiPriority w:val="9"/>
    <w:rsid w:val="00FF2892"/>
    <w:rPr>
      <w:rFonts w:ascii="Arial" w:hAnsi="Arial" w:cs="Arial"/>
      <w:b/>
      <w:iCs/>
      <w:sz w:val="24"/>
      <w:szCs w:val="24"/>
      <w:lang w:bidi="th-TH"/>
    </w:rPr>
  </w:style>
  <w:style w:type="table" w:styleId="TableGrid">
    <w:name w:val="Table Grid"/>
    <w:basedOn w:val="TableNormal"/>
    <w:uiPriority w:val="59"/>
    <w:rsid w:val="00FF2892"/>
    <w:pPr>
      <w:spacing w:before="120" w:after="0" w:line="240" w:lineRule="auto"/>
      <w:jc w:val="lowKashida"/>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2970"/>
    <w:pPr>
      <w:spacing w:after="120" w:line="276" w:lineRule="auto"/>
      <w:ind w:left="720"/>
      <w:contextualSpacing/>
      <w:jc w:val="both"/>
    </w:pPr>
    <w:rPr>
      <w:rFonts w:ascii="Arial" w:hAnsi="Arial" w:cs="Arial"/>
      <w:sz w:val="24"/>
      <w:szCs w:val="24"/>
      <w:lang w:bidi="th-TH"/>
    </w:rPr>
  </w:style>
  <w:style w:type="paragraph" w:customStyle="1" w:styleId="Default">
    <w:name w:val="Default"/>
    <w:rsid w:val="0036297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62970"/>
    <w:pPr>
      <w:spacing w:after="0" w:line="276" w:lineRule="auto"/>
      <w:jc w:val="both"/>
    </w:pPr>
    <w:rPr>
      <w:rFonts w:ascii="Arial" w:hAnsi="Arial" w:cs="Arial"/>
      <w:sz w:val="20"/>
      <w:szCs w:val="25"/>
      <w:lang w:bidi="th-TH"/>
    </w:rPr>
  </w:style>
  <w:style w:type="character" w:customStyle="1" w:styleId="FootnoteTextChar">
    <w:name w:val="Footnote Text Char"/>
    <w:basedOn w:val="DefaultParagraphFont"/>
    <w:link w:val="FootnoteText"/>
    <w:uiPriority w:val="99"/>
    <w:semiHidden/>
    <w:rsid w:val="00362970"/>
    <w:rPr>
      <w:rFonts w:ascii="Arial" w:hAnsi="Arial" w:cs="Arial"/>
      <w:sz w:val="20"/>
      <w:szCs w:val="25"/>
      <w:lang w:bidi="th-TH"/>
    </w:rPr>
  </w:style>
  <w:style w:type="paragraph" w:styleId="Header">
    <w:name w:val="header"/>
    <w:basedOn w:val="Normal"/>
    <w:link w:val="HeaderChar"/>
    <w:uiPriority w:val="99"/>
    <w:unhideWhenUsed/>
    <w:rsid w:val="00362970"/>
    <w:pPr>
      <w:tabs>
        <w:tab w:val="center" w:pos="4680"/>
        <w:tab w:val="right" w:pos="9360"/>
      </w:tabs>
      <w:spacing w:after="0" w:line="276" w:lineRule="auto"/>
      <w:jc w:val="both"/>
    </w:pPr>
    <w:rPr>
      <w:rFonts w:ascii="Arial" w:hAnsi="Arial" w:cs="Arial"/>
      <w:sz w:val="24"/>
      <w:szCs w:val="24"/>
      <w:lang w:bidi="th-TH"/>
    </w:rPr>
  </w:style>
  <w:style w:type="character" w:customStyle="1" w:styleId="HeaderChar">
    <w:name w:val="Header Char"/>
    <w:basedOn w:val="DefaultParagraphFont"/>
    <w:link w:val="Header"/>
    <w:uiPriority w:val="99"/>
    <w:rsid w:val="00362970"/>
    <w:rPr>
      <w:rFonts w:ascii="Arial" w:hAnsi="Arial" w:cs="Arial"/>
      <w:sz w:val="24"/>
      <w:szCs w:val="24"/>
      <w:lang w:bidi="th-TH"/>
    </w:rPr>
  </w:style>
  <w:style w:type="paragraph" w:styleId="Footer">
    <w:name w:val="footer"/>
    <w:basedOn w:val="Normal"/>
    <w:link w:val="FooterChar"/>
    <w:uiPriority w:val="99"/>
    <w:unhideWhenUsed/>
    <w:rsid w:val="00362970"/>
    <w:pPr>
      <w:tabs>
        <w:tab w:val="center" w:pos="4680"/>
        <w:tab w:val="right" w:pos="9360"/>
      </w:tabs>
      <w:spacing w:after="0" w:line="276" w:lineRule="auto"/>
      <w:jc w:val="both"/>
    </w:pPr>
    <w:rPr>
      <w:rFonts w:ascii="Arial" w:hAnsi="Arial" w:cs="Arial"/>
      <w:sz w:val="24"/>
      <w:szCs w:val="24"/>
      <w:lang w:bidi="th-TH"/>
    </w:rPr>
  </w:style>
  <w:style w:type="character" w:customStyle="1" w:styleId="FooterChar">
    <w:name w:val="Footer Char"/>
    <w:basedOn w:val="DefaultParagraphFont"/>
    <w:link w:val="Footer"/>
    <w:uiPriority w:val="99"/>
    <w:rsid w:val="00362970"/>
    <w:rPr>
      <w:rFonts w:ascii="Arial" w:hAnsi="Arial" w:cs="Arial"/>
      <w:sz w:val="24"/>
      <w:szCs w:val="24"/>
      <w:lang w:bidi="th-TH"/>
    </w:rPr>
  </w:style>
  <w:style w:type="character" w:styleId="FootnoteReference">
    <w:name w:val="footnote reference"/>
    <w:basedOn w:val="DefaultParagraphFont"/>
    <w:uiPriority w:val="99"/>
    <w:semiHidden/>
    <w:unhideWhenUsed/>
    <w:rsid w:val="00362970"/>
    <w:rPr>
      <w:vertAlign w:val="superscript"/>
    </w:rPr>
  </w:style>
  <w:style w:type="character" w:styleId="PageNumber">
    <w:name w:val="page number"/>
    <w:basedOn w:val="DefaultParagraphFont"/>
    <w:uiPriority w:val="99"/>
    <w:unhideWhenUsed/>
    <w:rsid w:val="00362970"/>
  </w:style>
  <w:style w:type="paragraph" w:styleId="BalloonText">
    <w:name w:val="Balloon Text"/>
    <w:basedOn w:val="Normal"/>
    <w:link w:val="BalloonTextChar"/>
    <w:uiPriority w:val="99"/>
    <w:semiHidden/>
    <w:unhideWhenUsed/>
    <w:rsid w:val="00362970"/>
    <w:pPr>
      <w:spacing w:after="0" w:line="276" w:lineRule="auto"/>
      <w:jc w:val="both"/>
    </w:pPr>
    <w:rPr>
      <w:rFonts w:ascii="Tahoma" w:hAnsi="Tahoma" w:cs="Angsana New"/>
      <w:sz w:val="16"/>
      <w:szCs w:val="20"/>
      <w:lang w:bidi="th-TH"/>
    </w:rPr>
  </w:style>
  <w:style w:type="character" w:customStyle="1" w:styleId="BalloonTextChar">
    <w:name w:val="Balloon Text Char"/>
    <w:basedOn w:val="DefaultParagraphFont"/>
    <w:link w:val="BalloonText"/>
    <w:uiPriority w:val="99"/>
    <w:semiHidden/>
    <w:rsid w:val="00362970"/>
    <w:rPr>
      <w:rFonts w:ascii="Tahoma" w:hAnsi="Tahoma" w:cs="Angsana New"/>
      <w:sz w:val="16"/>
      <w:szCs w:val="20"/>
      <w:lang w:bidi="th-TH"/>
    </w:rPr>
  </w:style>
  <w:style w:type="character" w:styleId="PlaceholderText">
    <w:name w:val="Placeholder Text"/>
    <w:basedOn w:val="DefaultParagraphFont"/>
    <w:uiPriority w:val="99"/>
    <w:semiHidden/>
    <w:rsid w:val="00362970"/>
    <w:rPr>
      <w:color w:val="808080"/>
    </w:rPr>
  </w:style>
  <w:style w:type="paragraph" w:styleId="Bibliography">
    <w:name w:val="Bibliography"/>
    <w:basedOn w:val="Normal"/>
    <w:next w:val="Normal"/>
    <w:uiPriority w:val="37"/>
    <w:unhideWhenUsed/>
    <w:rsid w:val="00362970"/>
    <w:pPr>
      <w:spacing w:after="0" w:line="276" w:lineRule="auto"/>
      <w:ind w:left="720" w:hanging="720"/>
      <w:jc w:val="both"/>
    </w:pPr>
    <w:rPr>
      <w:rFonts w:ascii="Arial" w:hAnsi="Arial" w:cs="Arial"/>
      <w:sz w:val="24"/>
      <w:szCs w:val="24"/>
      <w:lang w:bidi="th-TH"/>
    </w:rPr>
  </w:style>
  <w:style w:type="paragraph" w:customStyle="1" w:styleId="EndNoteBibliographyTitle">
    <w:name w:val="EndNote Bibliography Title"/>
    <w:basedOn w:val="Normal"/>
    <w:link w:val="EndNoteBibliographyTitleChar"/>
    <w:rsid w:val="00362970"/>
    <w:pPr>
      <w:spacing w:after="0" w:line="276" w:lineRule="auto"/>
      <w:jc w:val="center"/>
    </w:pPr>
    <w:rPr>
      <w:rFonts w:ascii="Calibri" w:hAnsi="Calibri" w:cs="Calibri"/>
      <w:noProof/>
      <w:szCs w:val="24"/>
      <w:lang w:bidi="th-TH"/>
    </w:rPr>
  </w:style>
  <w:style w:type="character" w:customStyle="1" w:styleId="EndNoteBibliographyTitleChar">
    <w:name w:val="EndNote Bibliography Title Char"/>
    <w:basedOn w:val="DefaultParagraphFont"/>
    <w:link w:val="EndNoteBibliographyTitle"/>
    <w:rsid w:val="00362970"/>
    <w:rPr>
      <w:rFonts w:ascii="Calibri" w:hAnsi="Calibri" w:cs="Calibri"/>
      <w:noProof/>
      <w:szCs w:val="24"/>
      <w:lang w:bidi="th-TH"/>
    </w:rPr>
  </w:style>
  <w:style w:type="paragraph" w:customStyle="1" w:styleId="EndNoteBibliography">
    <w:name w:val="EndNote Bibliography"/>
    <w:basedOn w:val="Normal"/>
    <w:link w:val="EndNoteBibliographyChar"/>
    <w:rsid w:val="00362970"/>
    <w:pPr>
      <w:spacing w:after="120" w:line="240" w:lineRule="auto"/>
      <w:jc w:val="both"/>
    </w:pPr>
    <w:rPr>
      <w:rFonts w:ascii="Calibri" w:hAnsi="Calibri" w:cs="Calibri"/>
      <w:noProof/>
      <w:szCs w:val="24"/>
      <w:lang w:bidi="th-TH"/>
    </w:rPr>
  </w:style>
  <w:style w:type="character" w:customStyle="1" w:styleId="EndNoteBibliographyChar">
    <w:name w:val="EndNote Bibliography Char"/>
    <w:basedOn w:val="DefaultParagraphFont"/>
    <w:link w:val="EndNoteBibliography"/>
    <w:rsid w:val="00362970"/>
    <w:rPr>
      <w:rFonts w:ascii="Calibri" w:hAnsi="Calibri" w:cs="Calibri"/>
      <w:noProof/>
      <w:szCs w:val="24"/>
      <w:lang w:bidi="th-TH"/>
    </w:rPr>
  </w:style>
  <w:style w:type="character" w:styleId="Hyperlink">
    <w:name w:val="Hyperlink"/>
    <w:basedOn w:val="DefaultParagraphFont"/>
    <w:uiPriority w:val="99"/>
    <w:unhideWhenUsed/>
    <w:rsid w:val="00362970"/>
    <w:rPr>
      <w:color w:val="0563C1" w:themeColor="hyperlink"/>
      <w:u w:val="single"/>
    </w:rPr>
  </w:style>
  <w:style w:type="character" w:styleId="CommentReference">
    <w:name w:val="annotation reference"/>
    <w:basedOn w:val="DefaultParagraphFont"/>
    <w:uiPriority w:val="99"/>
    <w:semiHidden/>
    <w:unhideWhenUsed/>
    <w:rsid w:val="00362970"/>
    <w:rPr>
      <w:sz w:val="16"/>
      <w:szCs w:val="16"/>
    </w:rPr>
  </w:style>
  <w:style w:type="paragraph" w:styleId="CommentText">
    <w:name w:val="annotation text"/>
    <w:basedOn w:val="Normal"/>
    <w:link w:val="CommentTextChar"/>
    <w:uiPriority w:val="99"/>
    <w:semiHidden/>
    <w:unhideWhenUsed/>
    <w:rsid w:val="00362970"/>
    <w:pPr>
      <w:spacing w:after="120" w:line="276" w:lineRule="auto"/>
      <w:jc w:val="both"/>
    </w:pPr>
    <w:rPr>
      <w:rFonts w:ascii="Arial" w:hAnsi="Arial" w:cs="Angsana New"/>
      <w:sz w:val="20"/>
      <w:szCs w:val="25"/>
      <w:lang w:bidi="th-TH"/>
    </w:rPr>
  </w:style>
  <w:style w:type="character" w:customStyle="1" w:styleId="CommentTextChar">
    <w:name w:val="Comment Text Char"/>
    <w:basedOn w:val="DefaultParagraphFont"/>
    <w:link w:val="CommentText"/>
    <w:uiPriority w:val="99"/>
    <w:semiHidden/>
    <w:rsid w:val="00362970"/>
    <w:rPr>
      <w:rFonts w:ascii="Arial" w:hAnsi="Arial" w:cs="Angsana New"/>
      <w:sz w:val="20"/>
      <w:szCs w:val="25"/>
      <w:lang w:bidi="th-TH"/>
    </w:rPr>
  </w:style>
  <w:style w:type="paragraph" w:styleId="CommentSubject">
    <w:name w:val="annotation subject"/>
    <w:basedOn w:val="CommentText"/>
    <w:next w:val="CommentText"/>
    <w:link w:val="CommentSubjectChar"/>
    <w:uiPriority w:val="99"/>
    <w:semiHidden/>
    <w:unhideWhenUsed/>
    <w:rsid w:val="00362970"/>
    <w:rPr>
      <w:b/>
      <w:bCs/>
    </w:rPr>
  </w:style>
  <w:style w:type="character" w:customStyle="1" w:styleId="CommentSubjectChar">
    <w:name w:val="Comment Subject Char"/>
    <w:basedOn w:val="CommentTextChar"/>
    <w:link w:val="CommentSubject"/>
    <w:uiPriority w:val="99"/>
    <w:semiHidden/>
    <w:rsid w:val="00362970"/>
    <w:rPr>
      <w:rFonts w:ascii="Arial" w:hAnsi="Arial" w:cs="Angsana New"/>
      <w:b/>
      <w:bCs/>
      <w:sz w:val="20"/>
      <w:szCs w:val="25"/>
      <w:lang w:bidi="th-TH"/>
    </w:rPr>
  </w:style>
  <w:style w:type="paragraph" w:styleId="Caption">
    <w:name w:val="caption"/>
    <w:basedOn w:val="Normal"/>
    <w:next w:val="Normal"/>
    <w:uiPriority w:val="35"/>
    <w:unhideWhenUsed/>
    <w:qFormat/>
    <w:rsid w:val="00362970"/>
    <w:pPr>
      <w:spacing w:after="200" w:line="240" w:lineRule="auto"/>
    </w:pPr>
    <w:rPr>
      <w:b/>
      <w:bCs/>
      <w:color w:val="5B9BD5" w:themeColor="accent1"/>
      <w:sz w:val="18"/>
      <w:lang w:bidi="th-TH"/>
    </w:rPr>
  </w:style>
  <w:style w:type="numbering" w:customStyle="1" w:styleId="NoList1">
    <w:name w:val="No List1"/>
    <w:next w:val="NoList"/>
    <w:uiPriority w:val="99"/>
    <w:semiHidden/>
    <w:unhideWhenUsed/>
    <w:rsid w:val="009B7F4A"/>
  </w:style>
  <w:style w:type="character" w:customStyle="1" w:styleId="Hyperlink1">
    <w:name w:val="Hyperlink1"/>
    <w:basedOn w:val="DefaultParagraphFont"/>
    <w:uiPriority w:val="99"/>
    <w:unhideWhenUsed/>
    <w:rsid w:val="009B7F4A"/>
    <w:rPr>
      <w:color w:val="0000FF"/>
      <w:u w:val="single"/>
    </w:rPr>
  </w:style>
  <w:style w:type="paragraph" w:customStyle="1" w:styleId="Caption1">
    <w:name w:val="Caption1"/>
    <w:basedOn w:val="Normal"/>
    <w:next w:val="Normal"/>
    <w:uiPriority w:val="35"/>
    <w:unhideWhenUsed/>
    <w:qFormat/>
    <w:rsid w:val="009B7F4A"/>
    <w:pPr>
      <w:spacing w:after="200" w:line="240" w:lineRule="auto"/>
    </w:pPr>
    <w:rPr>
      <w:b/>
      <w:bCs/>
      <w:color w:val="4F81BD"/>
      <w:sz w:val="18"/>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2892"/>
    <w:pPr>
      <w:keepNext/>
      <w:spacing w:before="240" w:after="120" w:line="276" w:lineRule="auto"/>
      <w:jc w:val="both"/>
      <w:outlineLvl w:val="0"/>
    </w:pPr>
    <w:rPr>
      <w:rFonts w:ascii="Arial" w:hAnsi="Arial" w:cs="Arial"/>
      <w:b/>
      <w:bCs/>
      <w:sz w:val="28"/>
      <w:szCs w:val="28"/>
      <w:lang w:bidi="th-TH"/>
    </w:rPr>
  </w:style>
  <w:style w:type="paragraph" w:styleId="Heading2">
    <w:name w:val="heading 2"/>
    <w:basedOn w:val="Normal"/>
    <w:next w:val="Normal"/>
    <w:link w:val="Heading2Char"/>
    <w:uiPriority w:val="9"/>
    <w:unhideWhenUsed/>
    <w:qFormat/>
    <w:rsid w:val="00FF2892"/>
    <w:pPr>
      <w:keepNext/>
      <w:spacing w:after="120" w:line="276" w:lineRule="auto"/>
      <w:jc w:val="both"/>
      <w:outlineLvl w:val="1"/>
    </w:pPr>
    <w:rPr>
      <w:rFonts w:ascii="Arial" w:hAnsi="Arial" w:cs="Arial"/>
      <w:b/>
      <w:iCs/>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892"/>
    <w:rPr>
      <w:rFonts w:ascii="Arial" w:hAnsi="Arial" w:cs="Arial"/>
      <w:b/>
      <w:bCs/>
      <w:sz w:val="28"/>
      <w:szCs w:val="28"/>
      <w:lang w:bidi="th-TH"/>
    </w:rPr>
  </w:style>
  <w:style w:type="character" w:customStyle="1" w:styleId="Heading2Char">
    <w:name w:val="Heading 2 Char"/>
    <w:basedOn w:val="DefaultParagraphFont"/>
    <w:link w:val="Heading2"/>
    <w:uiPriority w:val="9"/>
    <w:rsid w:val="00FF2892"/>
    <w:rPr>
      <w:rFonts w:ascii="Arial" w:hAnsi="Arial" w:cs="Arial"/>
      <w:b/>
      <w:iCs/>
      <w:sz w:val="24"/>
      <w:szCs w:val="24"/>
      <w:lang w:bidi="th-TH"/>
    </w:rPr>
  </w:style>
  <w:style w:type="table" w:styleId="TableGrid">
    <w:name w:val="Table Grid"/>
    <w:basedOn w:val="TableNormal"/>
    <w:uiPriority w:val="59"/>
    <w:rsid w:val="00FF2892"/>
    <w:pPr>
      <w:spacing w:before="120" w:after="0" w:line="240" w:lineRule="auto"/>
      <w:jc w:val="lowKashida"/>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2970"/>
    <w:pPr>
      <w:spacing w:after="120" w:line="276" w:lineRule="auto"/>
      <w:ind w:left="720"/>
      <w:contextualSpacing/>
      <w:jc w:val="both"/>
    </w:pPr>
    <w:rPr>
      <w:rFonts w:ascii="Arial" w:hAnsi="Arial" w:cs="Arial"/>
      <w:sz w:val="24"/>
      <w:szCs w:val="24"/>
      <w:lang w:bidi="th-TH"/>
    </w:rPr>
  </w:style>
  <w:style w:type="paragraph" w:customStyle="1" w:styleId="Default">
    <w:name w:val="Default"/>
    <w:rsid w:val="0036297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62970"/>
    <w:pPr>
      <w:spacing w:after="0" w:line="276" w:lineRule="auto"/>
      <w:jc w:val="both"/>
    </w:pPr>
    <w:rPr>
      <w:rFonts w:ascii="Arial" w:hAnsi="Arial" w:cs="Arial"/>
      <w:sz w:val="20"/>
      <w:szCs w:val="25"/>
      <w:lang w:bidi="th-TH"/>
    </w:rPr>
  </w:style>
  <w:style w:type="character" w:customStyle="1" w:styleId="FootnoteTextChar">
    <w:name w:val="Footnote Text Char"/>
    <w:basedOn w:val="DefaultParagraphFont"/>
    <w:link w:val="FootnoteText"/>
    <w:uiPriority w:val="99"/>
    <w:semiHidden/>
    <w:rsid w:val="00362970"/>
    <w:rPr>
      <w:rFonts w:ascii="Arial" w:hAnsi="Arial" w:cs="Arial"/>
      <w:sz w:val="20"/>
      <w:szCs w:val="25"/>
      <w:lang w:bidi="th-TH"/>
    </w:rPr>
  </w:style>
  <w:style w:type="paragraph" w:styleId="Header">
    <w:name w:val="header"/>
    <w:basedOn w:val="Normal"/>
    <w:link w:val="HeaderChar"/>
    <w:uiPriority w:val="99"/>
    <w:unhideWhenUsed/>
    <w:rsid w:val="00362970"/>
    <w:pPr>
      <w:tabs>
        <w:tab w:val="center" w:pos="4680"/>
        <w:tab w:val="right" w:pos="9360"/>
      </w:tabs>
      <w:spacing w:after="0" w:line="276" w:lineRule="auto"/>
      <w:jc w:val="both"/>
    </w:pPr>
    <w:rPr>
      <w:rFonts w:ascii="Arial" w:hAnsi="Arial" w:cs="Arial"/>
      <w:sz w:val="24"/>
      <w:szCs w:val="24"/>
      <w:lang w:bidi="th-TH"/>
    </w:rPr>
  </w:style>
  <w:style w:type="character" w:customStyle="1" w:styleId="HeaderChar">
    <w:name w:val="Header Char"/>
    <w:basedOn w:val="DefaultParagraphFont"/>
    <w:link w:val="Header"/>
    <w:uiPriority w:val="99"/>
    <w:rsid w:val="00362970"/>
    <w:rPr>
      <w:rFonts w:ascii="Arial" w:hAnsi="Arial" w:cs="Arial"/>
      <w:sz w:val="24"/>
      <w:szCs w:val="24"/>
      <w:lang w:bidi="th-TH"/>
    </w:rPr>
  </w:style>
  <w:style w:type="paragraph" w:styleId="Footer">
    <w:name w:val="footer"/>
    <w:basedOn w:val="Normal"/>
    <w:link w:val="FooterChar"/>
    <w:uiPriority w:val="99"/>
    <w:unhideWhenUsed/>
    <w:rsid w:val="00362970"/>
    <w:pPr>
      <w:tabs>
        <w:tab w:val="center" w:pos="4680"/>
        <w:tab w:val="right" w:pos="9360"/>
      </w:tabs>
      <w:spacing w:after="0" w:line="276" w:lineRule="auto"/>
      <w:jc w:val="both"/>
    </w:pPr>
    <w:rPr>
      <w:rFonts w:ascii="Arial" w:hAnsi="Arial" w:cs="Arial"/>
      <w:sz w:val="24"/>
      <w:szCs w:val="24"/>
      <w:lang w:bidi="th-TH"/>
    </w:rPr>
  </w:style>
  <w:style w:type="character" w:customStyle="1" w:styleId="FooterChar">
    <w:name w:val="Footer Char"/>
    <w:basedOn w:val="DefaultParagraphFont"/>
    <w:link w:val="Footer"/>
    <w:uiPriority w:val="99"/>
    <w:rsid w:val="00362970"/>
    <w:rPr>
      <w:rFonts w:ascii="Arial" w:hAnsi="Arial" w:cs="Arial"/>
      <w:sz w:val="24"/>
      <w:szCs w:val="24"/>
      <w:lang w:bidi="th-TH"/>
    </w:rPr>
  </w:style>
  <w:style w:type="character" w:styleId="FootnoteReference">
    <w:name w:val="footnote reference"/>
    <w:basedOn w:val="DefaultParagraphFont"/>
    <w:uiPriority w:val="99"/>
    <w:semiHidden/>
    <w:unhideWhenUsed/>
    <w:rsid w:val="00362970"/>
    <w:rPr>
      <w:vertAlign w:val="superscript"/>
    </w:rPr>
  </w:style>
  <w:style w:type="character" w:styleId="PageNumber">
    <w:name w:val="page number"/>
    <w:basedOn w:val="DefaultParagraphFont"/>
    <w:uiPriority w:val="99"/>
    <w:unhideWhenUsed/>
    <w:rsid w:val="00362970"/>
  </w:style>
  <w:style w:type="paragraph" w:styleId="BalloonText">
    <w:name w:val="Balloon Text"/>
    <w:basedOn w:val="Normal"/>
    <w:link w:val="BalloonTextChar"/>
    <w:uiPriority w:val="99"/>
    <w:semiHidden/>
    <w:unhideWhenUsed/>
    <w:rsid w:val="00362970"/>
    <w:pPr>
      <w:spacing w:after="0" w:line="276" w:lineRule="auto"/>
      <w:jc w:val="both"/>
    </w:pPr>
    <w:rPr>
      <w:rFonts w:ascii="Tahoma" w:hAnsi="Tahoma" w:cs="Angsana New"/>
      <w:sz w:val="16"/>
      <w:szCs w:val="20"/>
      <w:lang w:bidi="th-TH"/>
    </w:rPr>
  </w:style>
  <w:style w:type="character" w:customStyle="1" w:styleId="BalloonTextChar">
    <w:name w:val="Balloon Text Char"/>
    <w:basedOn w:val="DefaultParagraphFont"/>
    <w:link w:val="BalloonText"/>
    <w:uiPriority w:val="99"/>
    <w:semiHidden/>
    <w:rsid w:val="00362970"/>
    <w:rPr>
      <w:rFonts w:ascii="Tahoma" w:hAnsi="Tahoma" w:cs="Angsana New"/>
      <w:sz w:val="16"/>
      <w:szCs w:val="20"/>
      <w:lang w:bidi="th-TH"/>
    </w:rPr>
  </w:style>
  <w:style w:type="character" w:styleId="PlaceholderText">
    <w:name w:val="Placeholder Text"/>
    <w:basedOn w:val="DefaultParagraphFont"/>
    <w:uiPriority w:val="99"/>
    <w:semiHidden/>
    <w:rsid w:val="00362970"/>
    <w:rPr>
      <w:color w:val="808080"/>
    </w:rPr>
  </w:style>
  <w:style w:type="paragraph" w:styleId="Bibliography">
    <w:name w:val="Bibliography"/>
    <w:basedOn w:val="Normal"/>
    <w:next w:val="Normal"/>
    <w:uiPriority w:val="37"/>
    <w:unhideWhenUsed/>
    <w:rsid w:val="00362970"/>
    <w:pPr>
      <w:spacing w:after="0" w:line="276" w:lineRule="auto"/>
      <w:ind w:left="720" w:hanging="720"/>
      <w:jc w:val="both"/>
    </w:pPr>
    <w:rPr>
      <w:rFonts w:ascii="Arial" w:hAnsi="Arial" w:cs="Arial"/>
      <w:sz w:val="24"/>
      <w:szCs w:val="24"/>
      <w:lang w:bidi="th-TH"/>
    </w:rPr>
  </w:style>
  <w:style w:type="paragraph" w:customStyle="1" w:styleId="EndNoteBibliographyTitle">
    <w:name w:val="EndNote Bibliography Title"/>
    <w:basedOn w:val="Normal"/>
    <w:link w:val="EndNoteBibliographyTitleChar"/>
    <w:rsid w:val="00362970"/>
    <w:pPr>
      <w:spacing w:after="0" w:line="276" w:lineRule="auto"/>
      <w:jc w:val="center"/>
    </w:pPr>
    <w:rPr>
      <w:rFonts w:ascii="Calibri" w:hAnsi="Calibri" w:cs="Calibri"/>
      <w:noProof/>
      <w:szCs w:val="24"/>
      <w:lang w:bidi="th-TH"/>
    </w:rPr>
  </w:style>
  <w:style w:type="character" w:customStyle="1" w:styleId="EndNoteBibliographyTitleChar">
    <w:name w:val="EndNote Bibliography Title Char"/>
    <w:basedOn w:val="DefaultParagraphFont"/>
    <w:link w:val="EndNoteBibliographyTitle"/>
    <w:rsid w:val="00362970"/>
    <w:rPr>
      <w:rFonts w:ascii="Calibri" w:hAnsi="Calibri" w:cs="Calibri"/>
      <w:noProof/>
      <w:szCs w:val="24"/>
      <w:lang w:bidi="th-TH"/>
    </w:rPr>
  </w:style>
  <w:style w:type="paragraph" w:customStyle="1" w:styleId="EndNoteBibliography">
    <w:name w:val="EndNote Bibliography"/>
    <w:basedOn w:val="Normal"/>
    <w:link w:val="EndNoteBibliographyChar"/>
    <w:rsid w:val="00362970"/>
    <w:pPr>
      <w:spacing w:after="120" w:line="240" w:lineRule="auto"/>
      <w:jc w:val="both"/>
    </w:pPr>
    <w:rPr>
      <w:rFonts w:ascii="Calibri" w:hAnsi="Calibri" w:cs="Calibri"/>
      <w:noProof/>
      <w:szCs w:val="24"/>
      <w:lang w:bidi="th-TH"/>
    </w:rPr>
  </w:style>
  <w:style w:type="character" w:customStyle="1" w:styleId="EndNoteBibliographyChar">
    <w:name w:val="EndNote Bibliography Char"/>
    <w:basedOn w:val="DefaultParagraphFont"/>
    <w:link w:val="EndNoteBibliography"/>
    <w:rsid w:val="00362970"/>
    <w:rPr>
      <w:rFonts w:ascii="Calibri" w:hAnsi="Calibri" w:cs="Calibri"/>
      <w:noProof/>
      <w:szCs w:val="24"/>
      <w:lang w:bidi="th-TH"/>
    </w:rPr>
  </w:style>
  <w:style w:type="character" w:styleId="Hyperlink">
    <w:name w:val="Hyperlink"/>
    <w:basedOn w:val="DefaultParagraphFont"/>
    <w:uiPriority w:val="99"/>
    <w:unhideWhenUsed/>
    <w:rsid w:val="00362970"/>
    <w:rPr>
      <w:color w:val="0563C1" w:themeColor="hyperlink"/>
      <w:u w:val="single"/>
    </w:rPr>
  </w:style>
  <w:style w:type="character" w:styleId="CommentReference">
    <w:name w:val="annotation reference"/>
    <w:basedOn w:val="DefaultParagraphFont"/>
    <w:uiPriority w:val="99"/>
    <w:semiHidden/>
    <w:unhideWhenUsed/>
    <w:rsid w:val="00362970"/>
    <w:rPr>
      <w:sz w:val="16"/>
      <w:szCs w:val="16"/>
    </w:rPr>
  </w:style>
  <w:style w:type="paragraph" w:styleId="CommentText">
    <w:name w:val="annotation text"/>
    <w:basedOn w:val="Normal"/>
    <w:link w:val="CommentTextChar"/>
    <w:uiPriority w:val="99"/>
    <w:semiHidden/>
    <w:unhideWhenUsed/>
    <w:rsid w:val="00362970"/>
    <w:pPr>
      <w:spacing w:after="120" w:line="276" w:lineRule="auto"/>
      <w:jc w:val="both"/>
    </w:pPr>
    <w:rPr>
      <w:rFonts w:ascii="Arial" w:hAnsi="Arial" w:cs="Angsana New"/>
      <w:sz w:val="20"/>
      <w:szCs w:val="25"/>
      <w:lang w:bidi="th-TH"/>
    </w:rPr>
  </w:style>
  <w:style w:type="character" w:customStyle="1" w:styleId="CommentTextChar">
    <w:name w:val="Comment Text Char"/>
    <w:basedOn w:val="DefaultParagraphFont"/>
    <w:link w:val="CommentText"/>
    <w:uiPriority w:val="99"/>
    <w:semiHidden/>
    <w:rsid w:val="00362970"/>
    <w:rPr>
      <w:rFonts w:ascii="Arial" w:hAnsi="Arial" w:cs="Angsana New"/>
      <w:sz w:val="20"/>
      <w:szCs w:val="25"/>
      <w:lang w:bidi="th-TH"/>
    </w:rPr>
  </w:style>
  <w:style w:type="paragraph" w:styleId="CommentSubject">
    <w:name w:val="annotation subject"/>
    <w:basedOn w:val="CommentText"/>
    <w:next w:val="CommentText"/>
    <w:link w:val="CommentSubjectChar"/>
    <w:uiPriority w:val="99"/>
    <w:semiHidden/>
    <w:unhideWhenUsed/>
    <w:rsid w:val="00362970"/>
    <w:rPr>
      <w:b/>
      <w:bCs/>
    </w:rPr>
  </w:style>
  <w:style w:type="character" w:customStyle="1" w:styleId="CommentSubjectChar">
    <w:name w:val="Comment Subject Char"/>
    <w:basedOn w:val="CommentTextChar"/>
    <w:link w:val="CommentSubject"/>
    <w:uiPriority w:val="99"/>
    <w:semiHidden/>
    <w:rsid w:val="00362970"/>
    <w:rPr>
      <w:rFonts w:ascii="Arial" w:hAnsi="Arial" w:cs="Angsana New"/>
      <w:b/>
      <w:bCs/>
      <w:sz w:val="20"/>
      <w:szCs w:val="25"/>
      <w:lang w:bidi="th-TH"/>
    </w:rPr>
  </w:style>
  <w:style w:type="paragraph" w:styleId="Caption">
    <w:name w:val="caption"/>
    <w:basedOn w:val="Normal"/>
    <w:next w:val="Normal"/>
    <w:uiPriority w:val="35"/>
    <w:unhideWhenUsed/>
    <w:qFormat/>
    <w:rsid w:val="00362970"/>
    <w:pPr>
      <w:spacing w:after="200" w:line="240" w:lineRule="auto"/>
    </w:pPr>
    <w:rPr>
      <w:b/>
      <w:bCs/>
      <w:color w:val="5B9BD5" w:themeColor="accent1"/>
      <w:sz w:val="18"/>
      <w:lang w:bidi="th-TH"/>
    </w:rPr>
  </w:style>
  <w:style w:type="numbering" w:customStyle="1" w:styleId="NoList1">
    <w:name w:val="No List1"/>
    <w:next w:val="NoList"/>
    <w:uiPriority w:val="99"/>
    <w:semiHidden/>
    <w:unhideWhenUsed/>
    <w:rsid w:val="009B7F4A"/>
  </w:style>
  <w:style w:type="character" w:customStyle="1" w:styleId="Hyperlink1">
    <w:name w:val="Hyperlink1"/>
    <w:basedOn w:val="DefaultParagraphFont"/>
    <w:uiPriority w:val="99"/>
    <w:unhideWhenUsed/>
    <w:rsid w:val="009B7F4A"/>
    <w:rPr>
      <w:color w:val="0000FF"/>
      <w:u w:val="single"/>
    </w:rPr>
  </w:style>
  <w:style w:type="paragraph" w:customStyle="1" w:styleId="Caption1">
    <w:name w:val="Caption1"/>
    <w:basedOn w:val="Normal"/>
    <w:next w:val="Normal"/>
    <w:uiPriority w:val="35"/>
    <w:unhideWhenUsed/>
    <w:qFormat/>
    <w:rsid w:val="009B7F4A"/>
    <w:pPr>
      <w:spacing w:after="200" w:line="240" w:lineRule="auto"/>
    </w:pPr>
    <w:rPr>
      <w:b/>
      <w:bCs/>
      <w:color w:val="4F81BD"/>
      <w:sz w:val="1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11248</Words>
  <Characters>64114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Mussa</dc:creator>
  <cp:lastModifiedBy>Mussa</cp:lastModifiedBy>
  <cp:revision>4</cp:revision>
  <cp:lastPrinted>2015-05-19T08:42:00Z</cp:lastPrinted>
  <dcterms:created xsi:type="dcterms:W3CDTF">2015-05-22T11:09:00Z</dcterms:created>
  <dcterms:modified xsi:type="dcterms:W3CDTF">2015-05-22T11:11:00Z</dcterms:modified>
</cp:coreProperties>
</file>