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A2505" w14:textId="2C80F457" w:rsidR="007565E8" w:rsidRPr="00AD710F" w:rsidRDefault="00B4512E" w:rsidP="007162CD">
      <w:pPr>
        <w:spacing w:line="360" w:lineRule="auto"/>
        <w:jc w:val="both"/>
        <w:rPr>
          <w:rFonts w:ascii="Times New Roman" w:hAnsi="Times New Roman" w:cs="Times New Roman"/>
          <w:b/>
          <w:bCs/>
          <w:sz w:val="36"/>
          <w:szCs w:val="36"/>
        </w:rPr>
      </w:pPr>
      <w:r w:rsidRPr="00AD710F">
        <w:rPr>
          <w:rFonts w:ascii="Times New Roman" w:hAnsi="Times New Roman" w:cs="Times New Roman"/>
          <w:b/>
          <w:bCs/>
          <w:sz w:val="36"/>
          <w:szCs w:val="36"/>
        </w:rPr>
        <w:t>P</w:t>
      </w:r>
      <w:r w:rsidR="007565E8" w:rsidRPr="00AD710F">
        <w:rPr>
          <w:rFonts w:ascii="Times New Roman" w:hAnsi="Times New Roman" w:cs="Times New Roman"/>
          <w:b/>
          <w:bCs/>
          <w:sz w:val="36"/>
          <w:szCs w:val="36"/>
        </w:rPr>
        <w:t xml:space="preserve">ullout </w:t>
      </w:r>
      <w:r w:rsidRPr="00AD710F">
        <w:rPr>
          <w:rFonts w:ascii="Times New Roman" w:hAnsi="Times New Roman" w:cs="Times New Roman"/>
          <w:b/>
          <w:bCs/>
          <w:sz w:val="36"/>
          <w:szCs w:val="36"/>
        </w:rPr>
        <w:t>C</w:t>
      </w:r>
      <w:r w:rsidR="007565E8" w:rsidRPr="00AD710F">
        <w:rPr>
          <w:rFonts w:ascii="Times New Roman" w:hAnsi="Times New Roman" w:cs="Times New Roman"/>
          <w:b/>
          <w:bCs/>
          <w:sz w:val="36"/>
          <w:szCs w:val="36"/>
        </w:rPr>
        <w:t>apacity of H-</w:t>
      </w:r>
      <w:r w:rsidRPr="00AD710F">
        <w:rPr>
          <w:rFonts w:ascii="Times New Roman" w:hAnsi="Times New Roman" w:cs="Times New Roman"/>
          <w:b/>
          <w:bCs/>
          <w:sz w:val="36"/>
          <w:szCs w:val="36"/>
        </w:rPr>
        <w:t>S</w:t>
      </w:r>
      <w:r w:rsidR="007565E8" w:rsidRPr="00AD710F">
        <w:rPr>
          <w:rFonts w:ascii="Times New Roman" w:hAnsi="Times New Roman" w:cs="Times New Roman"/>
          <w:b/>
          <w:bCs/>
          <w:sz w:val="36"/>
          <w:szCs w:val="36"/>
        </w:rPr>
        <w:t xml:space="preserve">haped </w:t>
      </w:r>
      <w:r w:rsidRPr="00AD710F">
        <w:rPr>
          <w:rFonts w:ascii="Times New Roman" w:hAnsi="Times New Roman" w:cs="Times New Roman"/>
          <w:b/>
          <w:bCs/>
          <w:sz w:val="36"/>
          <w:szCs w:val="36"/>
        </w:rPr>
        <w:t>M</w:t>
      </w:r>
      <w:r w:rsidR="007565E8" w:rsidRPr="00AD710F">
        <w:rPr>
          <w:rFonts w:ascii="Times New Roman" w:hAnsi="Times New Roman" w:cs="Times New Roman"/>
          <w:b/>
          <w:bCs/>
          <w:sz w:val="36"/>
          <w:szCs w:val="36"/>
        </w:rPr>
        <w:t>ulti-</w:t>
      </w:r>
      <w:r w:rsidRPr="00AD710F">
        <w:rPr>
          <w:rFonts w:ascii="Times New Roman" w:hAnsi="Times New Roman" w:cs="Times New Roman"/>
          <w:b/>
          <w:bCs/>
          <w:sz w:val="36"/>
          <w:szCs w:val="36"/>
        </w:rPr>
        <w:t>P</w:t>
      </w:r>
      <w:r w:rsidR="007565E8" w:rsidRPr="00AD710F">
        <w:rPr>
          <w:rFonts w:ascii="Times New Roman" w:hAnsi="Times New Roman" w:cs="Times New Roman"/>
          <w:b/>
          <w:bCs/>
          <w:sz w:val="36"/>
          <w:szCs w:val="36"/>
        </w:rPr>
        <w:t xml:space="preserve">late </w:t>
      </w:r>
      <w:r w:rsidRPr="00AD710F">
        <w:rPr>
          <w:rFonts w:ascii="Times New Roman" w:hAnsi="Times New Roman" w:cs="Times New Roman"/>
          <w:b/>
          <w:bCs/>
          <w:sz w:val="36"/>
          <w:szCs w:val="36"/>
        </w:rPr>
        <w:t>A</w:t>
      </w:r>
      <w:r w:rsidR="007565E8" w:rsidRPr="00AD710F">
        <w:rPr>
          <w:rFonts w:ascii="Times New Roman" w:hAnsi="Times New Roman" w:cs="Times New Roman"/>
          <w:b/>
          <w:bCs/>
          <w:sz w:val="36"/>
          <w:szCs w:val="36"/>
        </w:rPr>
        <w:t xml:space="preserve">nchor in </w:t>
      </w:r>
      <w:r w:rsidRPr="00AD710F">
        <w:rPr>
          <w:rFonts w:ascii="Times New Roman" w:hAnsi="Times New Roman" w:cs="Times New Roman"/>
          <w:b/>
          <w:bCs/>
          <w:sz w:val="36"/>
          <w:szCs w:val="36"/>
        </w:rPr>
        <w:t>S</w:t>
      </w:r>
      <w:r w:rsidR="007565E8" w:rsidRPr="00AD710F">
        <w:rPr>
          <w:rFonts w:ascii="Times New Roman" w:hAnsi="Times New Roman" w:cs="Times New Roman"/>
          <w:b/>
          <w:bCs/>
          <w:sz w:val="36"/>
          <w:szCs w:val="36"/>
        </w:rPr>
        <w:t>and</w:t>
      </w:r>
    </w:p>
    <w:p w14:paraId="55FAFF1E" w14:textId="149F505C" w:rsidR="007565E8" w:rsidRPr="006E59F1" w:rsidRDefault="007565E8" w:rsidP="007162CD">
      <w:pPr>
        <w:spacing w:after="0" w:line="360" w:lineRule="auto"/>
        <w:jc w:val="both"/>
        <w:rPr>
          <w:rFonts w:ascii="Times New Roman" w:hAnsi="Times New Roman" w:cs="Times New Roman"/>
          <w:sz w:val="20"/>
          <w:szCs w:val="20"/>
        </w:rPr>
      </w:pPr>
      <w:r w:rsidRPr="006E59F1">
        <w:rPr>
          <w:rFonts w:ascii="Times New Roman" w:hAnsi="Times New Roman" w:cs="Times New Roman"/>
          <w:sz w:val="20"/>
          <w:szCs w:val="20"/>
        </w:rPr>
        <w:t>Rakesh Kumar Dutta</w:t>
      </w:r>
      <w:r w:rsidR="0026088F" w:rsidRPr="006E59F1">
        <w:rPr>
          <w:rFonts w:ascii="Times New Roman" w:hAnsi="Times New Roman" w:cs="Times New Roman"/>
          <w:sz w:val="20"/>
          <w:szCs w:val="20"/>
        </w:rPr>
        <w:t>, Professor, Department of Civil Engineering</w:t>
      </w:r>
      <w:r w:rsidR="00733BD6" w:rsidRPr="006E59F1">
        <w:rPr>
          <w:rFonts w:ascii="Times New Roman" w:hAnsi="Times New Roman" w:cs="Times New Roman"/>
          <w:sz w:val="20"/>
          <w:szCs w:val="20"/>
        </w:rPr>
        <w:t>, NIT Hamirpur, Himachal Pradesh, India</w:t>
      </w:r>
      <w:r w:rsidR="004417F4" w:rsidRPr="006E59F1">
        <w:rPr>
          <w:rFonts w:ascii="Times New Roman" w:hAnsi="Times New Roman" w:cs="Times New Roman"/>
          <w:sz w:val="20"/>
          <w:szCs w:val="20"/>
        </w:rPr>
        <w:t xml:space="preserve">, E-mail: </w:t>
      </w:r>
      <w:hyperlink r:id="rId6" w:history="1">
        <w:r w:rsidR="004417F4" w:rsidRPr="006E59F1">
          <w:rPr>
            <w:rStyle w:val="Hyperlink"/>
            <w:rFonts w:ascii="Times New Roman" w:hAnsi="Times New Roman" w:cs="Times New Roman"/>
            <w:sz w:val="20"/>
            <w:szCs w:val="20"/>
          </w:rPr>
          <w:t>rkd@nith.ac.in</w:t>
        </w:r>
      </w:hyperlink>
    </w:p>
    <w:p w14:paraId="1919F49F" w14:textId="5FED77F4" w:rsidR="007565E8" w:rsidRPr="006E59F1" w:rsidRDefault="00733BD6" w:rsidP="004417F4">
      <w:pPr>
        <w:spacing w:line="360" w:lineRule="auto"/>
        <w:jc w:val="both"/>
        <w:rPr>
          <w:rFonts w:ascii="Times New Roman" w:hAnsi="Times New Roman" w:cs="Times New Roman"/>
          <w:sz w:val="20"/>
          <w:szCs w:val="20"/>
        </w:rPr>
      </w:pPr>
      <w:r w:rsidRPr="006E59F1">
        <w:rPr>
          <w:rFonts w:ascii="Times New Roman" w:hAnsi="Times New Roman" w:cs="Times New Roman"/>
          <w:sz w:val="20"/>
          <w:szCs w:val="20"/>
        </w:rPr>
        <w:t xml:space="preserve">Vikas Rawat, PG student, </w:t>
      </w:r>
      <w:r w:rsidR="007565E8" w:rsidRPr="006E59F1">
        <w:rPr>
          <w:rFonts w:ascii="Times New Roman" w:hAnsi="Times New Roman" w:cs="Times New Roman"/>
          <w:sz w:val="20"/>
          <w:szCs w:val="20"/>
        </w:rPr>
        <w:t>Department of Civil Engineering NIT Hamirpur, Himachal Pradesh</w:t>
      </w:r>
      <w:r w:rsidRPr="006E59F1">
        <w:rPr>
          <w:rFonts w:ascii="Times New Roman" w:hAnsi="Times New Roman" w:cs="Times New Roman"/>
          <w:sz w:val="20"/>
          <w:szCs w:val="20"/>
        </w:rPr>
        <w:t>, India</w:t>
      </w:r>
      <w:r w:rsidR="004417F4" w:rsidRPr="006E59F1">
        <w:rPr>
          <w:rFonts w:ascii="Times New Roman" w:hAnsi="Times New Roman" w:cs="Times New Roman"/>
          <w:sz w:val="20"/>
          <w:szCs w:val="20"/>
        </w:rPr>
        <w:t xml:space="preserve">, E-mail: </w:t>
      </w:r>
      <w:hyperlink r:id="rId7" w:history="1">
        <w:r w:rsidR="004417F4" w:rsidRPr="006E59F1">
          <w:rPr>
            <w:rStyle w:val="Hyperlink"/>
            <w:rFonts w:ascii="Times New Roman" w:hAnsi="Times New Roman" w:cs="Times New Roman"/>
            <w:sz w:val="20"/>
            <w:szCs w:val="20"/>
          </w:rPr>
          <w:t>21mce016@nith.ac.in</w:t>
        </w:r>
      </w:hyperlink>
    </w:p>
    <w:p w14:paraId="13CA3F9F" w14:textId="77777777" w:rsidR="007565E8" w:rsidRPr="006E59F1" w:rsidRDefault="007565E8" w:rsidP="007162CD">
      <w:pPr>
        <w:spacing w:line="360" w:lineRule="auto"/>
        <w:jc w:val="both"/>
        <w:rPr>
          <w:rFonts w:ascii="Times New Roman" w:hAnsi="Times New Roman" w:cs="Times New Roman"/>
          <w:b/>
          <w:bCs/>
          <w:sz w:val="20"/>
          <w:szCs w:val="20"/>
        </w:rPr>
      </w:pPr>
      <w:r w:rsidRPr="006E59F1">
        <w:rPr>
          <w:rFonts w:ascii="Times New Roman" w:hAnsi="Times New Roman" w:cs="Times New Roman"/>
          <w:b/>
          <w:bCs/>
          <w:sz w:val="20"/>
          <w:szCs w:val="20"/>
        </w:rPr>
        <w:t>Abstract</w:t>
      </w:r>
      <w:r w:rsidRPr="006E59F1">
        <w:rPr>
          <w:rFonts w:ascii="Times New Roman" w:hAnsi="Times New Roman" w:cs="Times New Roman"/>
          <w:sz w:val="20"/>
          <w:szCs w:val="20"/>
        </w:rPr>
        <w:t xml:space="preserve"> </w:t>
      </w:r>
    </w:p>
    <w:p w14:paraId="30E8AE15" w14:textId="2396B03E" w:rsidR="00362ECA" w:rsidRPr="006E59F1" w:rsidRDefault="007565E8" w:rsidP="007162CD">
      <w:pPr>
        <w:spacing w:line="360" w:lineRule="auto"/>
        <w:jc w:val="both"/>
        <w:rPr>
          <w:rFonts w:ascii="Times New Roman" w:hAnsi="Times New Roman" w:cs="Times New Roman"/>
          <w:sz w:val="20"/>
          <w:szCs w:val="20"/>
        </w:rPr>
      </w:pPr>
      <w:r w:rsidRPr="006E59F1">
        <w:rPr>
          <w:rFonts w:ascii="Times New Roman" w:hAnsi="Times New Roman" w:cs="Times New Roman"/>
          <w:sz w:val="20"/>
          <w:szCs w:val="20"/>
        </w:rPr>
        <w:t xml:space="preserve">The objective of this study is to </w:t>
      </w:r>
      <w:r w:rsidR="00A12B09" w:rsidRPr="006E59F1">
        <w:rPr>
          <w:rFonts w:ascii="Times New Roman" w:hAnsi="Times New Roman" w:cs="Times New Roman"/>
          <w:sz w:val="20"/>
          <w:szCs w:val="20"/>
        </w:rPr>
        <w:t>present</w:t>
      </w:r>
      <w:r w:rsidRPr="006E59F1">
        <w:rPr>
          <w:rFonts w:ascii="Times New Roman" w:hAnsi="Times New Roman" w:cs="Times New Roman"/>
          <w:sz w:val="20"/>
          <w:szCs w:val="20"/>
        </w:rPr>
        <w:t xml:space="preserve"> a numerical analysis </w:t>
      </w:r>
      <w:r w:rsidR="00A12B09" w:rsidRPr="006E59F1">
        <w:rPr>
          <w:rFonts w:ascii="Times New Roman" w:hAnsi="Times New Roman" w:cs="Times New Roman"/>
          <w:sz w:val="20"/>
          <w:szCs w:val="20"/>
        </w:rPr>
        <w:t>using</w:t>
      </w:r>
      <w:r w:rsidRPr="006E59F1">
        <w:rPr>
          <w:rFonts w:ascii="Times New Roman" w:hAnsi="Times New Roman" w:cs="Times New Roman"/>
          <w:sz w:val="20"/>
          <w:szCs w:val="20"/>
        </w:rPr>
        <w:t xml:space="preserve"> ABAQUS to estimate the pullout capacity of </w:t>
      </w:r>
      <w:r w:rsidR="00A12B09" w:rsidRPr="006E59F1">
        <w:rPr>
          <w:rFonts w:ascii="Times New Roman" w:hAnsi="Times New Roman" w:cs="Times New Roman"/>
          <w:sz w:val="20"/>
          <w:szCs w:val="20"/>
        </w:rPr>
        <w:t xml:space="preserve">H shaped </w:t>
      </w:r>
      <w:r w:rsidRPr="006E59F1">
        <w:rPr>
          <w:rFonts w:ascii="Times New Roman" w:hAnsi="Times New Roman" w:cs="Times New Roman"/>
          <w:sz w:val="20"/>
          <w:szCs w:val="20"/>
        </w:rPr>
        <w:t>multiple</w:t>
      </w:r>
      <w:r w:rsidR="00A12B09" w:rsidRPr="006E59F1">
        <w:rPr>
          <w:rFonts w:ascii="Times New Roman" w:hAnsi="Times New Roman" w:cs="Times New Roman"/>
          <w:sz w:val="20"/>
          <w:szCs w:val="20"/>
        </w:rPr>
        <w:t xml:space="preserve"> </w:t>
      </w:r>
      <w:r w:rsidRPr="006E59F1">
        <w:rPr>
          <w:rFonts w:ascii="Times New Roman" w:hAnsi="Times New Roman" w:cs="Times New Roman"/>
          <w:sz w:val="20"/>
          <w:szCs w:val="20"/>
        </w:rPr>
        <w:t>plate horizontal anchors embedded in sand</w:t>
      </w:r>
      <w:r w:rsidR="00A12B09" w:rsidRPr="006E59F1">
        <w:rPr>
          <w:rFonts w:ascii="Times New Roman" w:hAnsi="Times New Roman" w:cs="Times New Roman"/>
          <w:sz w:val="20"/>
          <w:szCs w:val="20"/>
        </w:rPr>
        <w:t>.</w:t>
      </w:r>
      <w:r w:rsidRPr="006E59F1">
        <w:rPr>
          <w:rFonts w:ascii="Times New Roman" w:hAnsi="Times New Roman" w:cs="Times New Roman"/>
          <w:sz w:val="20"/>
          <w:szCs w:val="20"/>
        </w:rPr>
        <w:t xml:space="preserve"> Important parameters that </w:t>
      </w:r>
      <w:r w:rsidR="00A12B09" w:rsidRPr="006E59F1">
        <w:rPr>
          <w:rFonts w:ascii="Times New Roman" w:hAnsi="Times New Roman" w:cs="Times New Roman"/>
          <w:sz w:val="20"/>
          <w:szCs w:val="20"/>
        </w:rPr>
        <w:t>were</w:t>
      </w:r>
      <w:r w:rsidRPr="006E59F1">
        <w:rPr>
          <w:rFonts w:ascii="Times New Roman" w:hAnsi="Times New Roman" w:cs="Times New Roman"/>
          <w:sz w:val="20"/>
          <w:szCs w:val="20"/>
        </w:rPr>
        <w:t xml:space="preserve"> taken into consideration include embedment depth, anchor plate thickness, spacing, and anchor plate diameter provisioned in sands of varying relative density</w:t>
      </w:r>
      <w:r w:rsidR="001E206A" w:rsidRPr="006E59F1">
        <w:rPr>
          <w:rFonts w:ascii="Times New Roman" w:hAnsi="Times New Roman" w:cs="Times New Roman"/>
          <w:sz w:val="20"/>
          <w:szCs w:val="20"/>
        </w:rPr>
        <w:t xml:space="preserve">. </w:t>
      </w:r>
      <w:r w:rsidRPr="006E59F1">
        <w:rPr>
          <w:rFonts w:ascii="Times New Roman" w:hAnsi="Times New Roman" w:cs="Times New Roman"/>
          <w:sz w:val="20"/>
          <w:szCs w:val="20"/>
        </w:rPr>
        <w:t xml:space="preserve">The study characterises </w:t>
      </w:r>
      <w:r w:rsidR="003E3B3D">
        <w:rPr>
          <w:rFonts w:ascii="Times New Roman" w:hAnsi="Times New Roman" w:cs="Times New Roman"/>
          <w:sz w:val="20"/>
          <w:szCs w:val="20"/>
        </w:rPr>
        <w:t xml:space="preserve">pullout </w:t>
      </w:r>
      <w:r w:rsidRPr="006E59F1">
        <w:rPr>
          <w:rFonts w:ascii="Times New Roman" w:hAnsi="Times New Roman" w:cs="Times New Roman"/>
          <w:sz w:val="20"/>
          <w:szCs w:val="20"/>
        </w:rPr>
        <w:t>load-displacement behaviour by expressing pullout capacity</w:t>
      </w:r>
      <w:r w:rsidR="003E3B3D">
        <w:rPr>
          <w:rFonts w:ascii="Times New Roman" w:hAnsi="Times New Roman" w:cs="Times New Roman"/>
          <w:sz w:val="20"/>
          <w:szCs w:val="20"/>
        </w:rPr>
        <w:t>.</w:t>
      </w:r>
      <w:r w:rsidRPr="006E59F1">
        <w:rPr>
          <w:rFonts w:ascii="Times New Roman" w:hAnsi="Times New Roman" w:cs="Times New Roman"/>
          <w:sz w:val="20"/>
          <w:szCs w:val="20"/>
        </w:rPr>
        <w:t xml:space="preserve"> The paper compares </w:t>
      </w:r>
      <w:r w:rsidR="00A12B09" w:rsidRPr="006E59F1">
        <w:rPr>
          <w:rFonts w:ascii="Times New Roman" w:hAnsi="Times New Roman" w:cs="Times New Roman"/>
          <w:sz w:val="20"/>
          <w:szCs w:val="20"/>
        </w:rPr>
        <w:t>H shaped</w:t>
      </w:r>
      <w:r w:rsidRPr="006E59F1">
        <w:rPr>
          <w:rFonts w:ascii="Times New Roman" w:hAnsi="Times New Roman" w:cs="Times New Roman"/>
          <w:sz w:val="20"/>
          <w:szCs w:val="20"/>
        </w:rPr>
        <w:t xml:space="preserve"> multi-plate anchors to studies</w:t>
      </w:r>
      <w:r w:rsidR="00A12B09" w:rsidRPr="006E59F1">
        <w:rPr>
          <w:rFonts w:ascii="Times New Roman" w:hAnsi="Times New Roman" w:cs="Times New Roman"/>
          <w:sz w:val="20"/>
          <w:szCs w:val="20"/>
        </w:rPr>
        <w:t xml:space="preserve"> carried out on square shaped anchors</w:t>
      </w:r>
      <w:r w:rsidRPr="006E59F1">
        <w:rPr>
          <w:rFonts w:ascii="Times New Roman" w:hAnsi="Times New Roman" w:cs="Times New Roman"/>
          <w:sz w:val="20"/>
          <w:szCs w:val="20"/>
        </w:rPr>
        <w:t xml:space="preserve">. </w:t>
      </w:r>
      <w:r w:rsidR="00362ECA" w:rsidRPr="006E59F1">
        <w:rPr>
          <w:rFonts w:ascii="Times New Roman" w:hAnsi="Times New Roman" w:cs="Times New Roman"/>
          <w:sz w:val="20"/>
          <w:szCs w:val="20"/>
        </w:rPr>
        <w:t xml:space="preserve">The results </w:t>
      </w:r>
      <w:r w:rsidR="00A12B09" w:rsidRPr="006E59F1">
        <w:rPr>
          <w:rFonts w:ascii="Times New Roman" w:hAnsi="Times New Roman" w:cs="Times New Roman"/>
          <w:sz w:val="20"/>
          <w:szCs w:val="20"/>
        </w:rPr>
        <w:t>reveals</w:t>
      </w:r>
      <w:r w:rsidR="00362ECA" w:rsidRPr="006E59F1">
        <w:rPr>
          <w:rFonts w:ascii="Times New Roman" w:hAnsi="Times New Roman" w:cs="Times New Roman"/>
          <w:sz w:val="20"/>
          <w:szCs w:val="20"/>
        </w:rPr>
        <w:t xml:space="preserve"> that </w:t>
      </w:r>
      <w:r w:rsidR="00A12B09" w:rsidRPr="006E59F1">
        <w:rPr>
          <w:rFonts w:ascii="Times New Roman" w:hAnsi="Times New Roman" w:cs="Times New Roman"/>
          <w:sz w:val="20"/>
          <w:szCs w:val="20"/>
        </w:rPr>
        <w:t xml:space="preserve">the </w:t>
      </w:r>
      <w:r w:rsidR="00362ECA" w:rsidRPr="006E59F1">
        <w:rPr>
          <w:rFonts w:ascii="Times New Roman" w:hAnsi="Times New Roman" w:cs="Times New Roman"/>
          <w:sz w:val="20"/>
          <w:szCs w:val="20"/>
        </w:rPr>
        <w:t>pullout capacity increases with increase i</w:t>
      </w:r>
      <w:r w:rsidR="001E206A" w:rsidRPr="006E59F1">
        <w:rPr>
          <w:rFonts w:ascii="Times New Roman" w:hAnsi="Times New Roman" w:cs="Times New Roman"/>
          <w:sz w:val="20"/>
          <w:szCs w:val="20"/>
        </w:rPr>
        <w:t>n embedment</w:t>
      </w:r>
      <w:r w:rsidR="00362ECA" w:rsidRPr="006E59F1">
        <w:rPr>
          <w:rFonts w:ascii="Times New Roman" w:hAnsi="Times New Roman" w:cs="Times New Roman"/>
          <w:sz w:val="20"/>
          <w:szCs w:val="20"/>
        </w:rPr>
        <w:t xml:space="preserve"> </w:t>
      </w:r>
      <w:r w:rsidR="001E206A" w:rsidRPr="006E59F1">
        <w:rPr>
          <w:rFonts w:ascii="Times New Roman" w:hAnsi="Times New Roman" w:cs="Times New Roman"/>
          <w:sz w:val="20"/>
          <w:szCs w:val="20"/>
        </w:rPr>
        <w:t>depth</w:t>
      </w:r>
      <w:r w:rsidR="00362ECA" w:rsidRPr="006E59F1">
        <w:rPr>
          <w:rFonts w:ascii="Times New Roman" w:hAnsi="Times New Roman" w:cs="Times New Roman"/>
          <w:sz w:val="20"/>
          <w:szCs w:val="20"/>
        </w:rPr>
        <w:t xml:space="preserve">, </w:t>
      </w:r>
      <w:r w:rsidR="001E206A" w:rsidRPr="006E59F1">
        <w:rPr>
          <w:rFonts w:ascii="Times New Roman" w:hAnsi="Times New Roman" w:cs="Times New Roman"/>
          <w:sz w:val="20"/>
          <w:szCs w:val="20"/>
        </w:rPr>
        <w:t xml:space="preserve">number of plates, </w:t>
      </w:r>
      <w:r w:rsidR="00A12B09" w:rsidRPr="006E59F1">
        <w:rPr>
          <w:rFonts w:ascii="Times New Roman" w:hAnsi="Times New Roman" w:cs="Times New Roman"/>
          <w:sz w:val="20"/>
          <w:szCs w:val="20"/>
        </w:rPr>
        <w:t xml:space="preserve">plate thickness, </w:t>
      </w:r>
      <w:r w:rsidR="00A12B09" w:rsidRPr="006E59F1">
        <w:rPr>
          <w:rFonts w:ascii="Times New Roman" w:hAnsi="Times New Roman" w:cs="Times New Roman"/>
          <w:color w:val="252525"/>
          <w:sz w:val="20"/>
          <w:szCs w:val="20"/>
        </w:rPr>
        <w:t>critical spacing</w:t>
      </w:r>
      <w:r w:rsidR="00A12B09" w:rsidRPr="006E59F1">
        <w:rPr>
          <w:rFonts w:ascii="Times New Roman" w:hAnsi="Times New Roman" w:cs="Times New Roman"/>
          <w:sz w:val="20"/>
          <w:szCs w:val="20"/>
        </w:rPr>
        <w:t xml:space="preserve"> and the sand relative density whereas it decreases with the increase in the </w:t>
      </w:r>
      <w:r w:rsidR="00362ECA" w:rsidRPr="006E59F1">
        <w:rPr>
          <w:rFonts w:ascii="Times New Roman" w:hAnsi="Times New Roman" w:cs="Times New Roman"/>
          <w:sz w:val="20"/>
          <w:szCs w:val="20"/>
        </w:rPr>
        <w:t>diameter</w:t>
      </w:r>
      <w:r w:rsidR="00A12B09" w:rsidRPr="006E59F1">
        <w:rPr>
          <w:rFonts w:ascii="Times New Roman" w:hAnsi="Times New Roman" w:cs="Times New Roman"/>
          <w:sz w:val="20"/>
          <w:szCs w:val="20"/>
        </w:rPr>
        <w:t xml:space="preserve"> of the tie rod.</w:t>
      </w:r>
      <w:r w:rsidR="00835883" w:rsidRPr="00835883">
        <w:t xml:space="preserve"> </w:t>
      </w:r>
      <w:r w:rsidR="00835883" w:rsidRPr="00835883">
        <w:rPr>
          <w:rFonts w:ascii="Times New Roman" w:hAnsi="Times New Roman" w:cs="Times New Roman"/>
          <w:sz w:val="20"/>
          <w:szCs w:val="20"/>
        </w:rPr>
        <w:t>H shaped double and triple plate anchor has higher pullout capacity in comparison to the single square plate anchor.</w:t>
      </w:r>
    </w:p>
    <w:p w14:paraId="2B43F2F2" w14:textId="2B46EA15" w:rsidR="007565E8" w:rsidRPr="006E59F1" w:rsidRDefault="00362ECA" w:rsidP="007162CD">
      <w:pPr>
        <w:spacing w:line="360" w:lineRule="auto"/>
        <w:jc w:val="both"/>
        <w:rPr>
          <w:rFonts w:ascii="Times New Roman" w:hAnsi="Times New Roman" w:cs="Times New Roman"/>
          <w:sz w:val="20"/>
          <w:szCs w:val="20"/>
        </w:rPr>
      </w:pPr>
      <w:r w:rsidRPr="006E59F1">
        <w:rPr>
          <w:rFonts w:ascii="Times New Roman" w:hAnsi="Times New Roman" w:cs="Times New Roman"/>
          <w:b/>
          <w:bCs/>
          <w:sz w:val="20"/>
          <w:szCs w:val="20"/>
        </w:rPr>
        <w:t xml:space="preserve">Keywords: </w:t>
      </w:r>
      <w:r w:rsidRPr="006E59F1">
        <w:rPr>
          <w:rFonts w:ascii="Times New Roman" w:hAnsi="Times New Roman" w:cs="Times New Roman"/>
          <w:sz w:val="20"/>
          <w:szCs w:val="20"/>
        </w:rPr>
        <w:t xml:space="preserve">ABAQUS, </w:t>
      </w:r>
      <w:r w:rsidR="00667DB3">
        <w:rPr>
          <w:rFonts w:ascii="Times New Roman" w:hAnsi="Times New Roman" w:cs="Times New Roman"/>
          <w:sz w:val="20"/>
          <w:szCs w:val="20"/>
        </w:rPr>
        <w:t>H shaped</w:t>
      </w:r>
      <w:r w:rsidRPr="006E59F1">
        <w:rPr>
          <w:rFonts w:ascii="Times New Roman" w:hAnsi="Times New Roman" w:cs="Times New Roman"/>
          <w:sz w:val="20"/>
          <w:szCs w:val="20"/>
        </w:rPr>
        <w:t xml:space="preserve"> multi plate anchor, Numerical analysis, Pullout capacity, Sand, Square plate anchor.</w:t>
      </w:r>
    </w:p>
    <w:p w14:paraId="6960275D" w14:textId="49B5235A" w:rsidR="001E206A" w:rsidRPr="006E59F1" w:rsidRDefault="00C6084C" w:rsidP="007162CD">
      <w:pPr>
        <w:pStyle w:val="ListParagraph"/>
        <w:numPr>
          <w:ilvl w:val="0"/>
          <w:numId w:val="1"/>
        </w:numPr>
        <w:spacing w:line="360" w:lineRule="auto"/>
        <w:jc w:val="both"/>
        <w:rPr>
          <w:rFonts w:ascii="Times New Roman" w:hAnsi="Times New Roman" w:cs="Times New Roman"/>
          <w:b/>
          <w:bCs/>
          <w:sz w:val="20"/>
          <w:szCs w:val="20"/>
          <w:lang w:val="en-US"/>
        </w:rPr>
      </w:pPr>
      <w:r>
        <w:rPr>
          <w:rFonts w:ascii="Times New Roman" w:hAnsi="Times New Roman" w:cs="Times New Roman"/>
          <w:b/>
          <w:bCs/>
          <w:sz w:val="20"/>
          <w:szCs w:val="20"/>
          <w:lang w:val="en-US"/>
        </w:rPr>
        <w:t>INTRODUCTION</w:t>
      </w:r>
    </w:p>
    <w:p w14:paraId="7463DF07" w14:textId="5B1E0AA4" w:rsidR="007565E8" w:rsidRPr="006E59F1" w:rsidRDefault="007565E8" w:rsidP="001E206A">
      <w:pPr>
        <w:spacing w:line="360" w:lineRule="auto"/>
        <w:jc w:val="both"/>
        <w:rPr>
          <w:rFonts w:ascii="Times New Roman" w:hAnsi="Times New Roman" w:cs="Times New Roman"/>
          <w:b/>
          <w:bCs/>
          <w:sz w:val="20"/>
          <w:szCs w:val="20"/>
          <w:lang w:val="en-US"/>
        </w:rPr>
      </w:pPr>
      <w:r w:rsidRPr="006E59F1">
        <w:rPr>
          <w:rFonts w:ascii="Times New Roman" w:hAnsi="Times New Roman" w:cs="Times New Roman"/>
          <w:sz w:val="20"/>
          <w:szCs w:val="20"/>
          <w:lang w:val="en-US"/>
        </w:rPr>
        <w:t>Civil engineering constructions need foundation system solutions that are economically feasible, safe and use greener building practices</w:t>
      </w:r>
      <w:r w:rsidRPr="006E59F1">
        <w:rPr>
          <w:rFonts w:ascii="Times New Roman" w:hAnsi="Times New Roman" w:cs="Times New Roman"/>
          <w:sz w:val="20"/>
          <w:szCs w:val="20"/>
        </w:rPr>
        <w:t xml:space="preserve">. </w:t>
      </w:r>
      <w:r w:rsidRPr="006E59F1">
        <w:rPr>
          <w:rFonts w:ascii="Times New Roman" w:hAnsi="Times New Roman" w:cs="Times New Roman"/>
          <w:sz w:val="20"/>
          <w:szCs w:val="20"/>
          <w:lang w:val="en-US"/>
        </w:rPr>
        <w:t xml:space="preserve">The replacement of concrete with lighter-weight components appears a feasible solution. </w:t>
      </w:r>
      <w:r w:rsidRPr="006E59F1">
        <w:rPr>
          <w:rFonts w:ascii="Times New Roman" w:hAnsi="Times New Roman" w:cs="Times New Roman"/>
          <w:sz w:val="20"/>
          <w:szCs w:val="20"/>
        </w:rPr>
        <w:t>Anchors are lightweight foundation structures that are designed and built to withstand overturning moment imposed on the structure by outward soil movement.</w:t>
      </w:r>
      <w:r w:rsidR="00AC4022" w:rsidRPr="006E59F1">
        <w:rPr>
          <w:rFonts w:ascii="Times New Roman" w:hAnsi="Times New Roman" w:cs="Times New Roman"/>
          <w:sz w:val="20"/>
          <w:szCs w:val="20"/>
        </w:rPr>
        <w:t xml:space="preserve"> </w:t>
      </w:r>
      <w:r w:rsidRPr="006E59F1">
        <w:rPr>
          <w:rFonts w:ascii="Times New Roman" w:hAnsi="Times New Roman" w:cs="Times New Roman"/>
          <w:sz w:val="20"/>
          <w:szCs w:val="20"/>
          <w:lang w:val="en-US"/>
        </w:rPr>
        <w:t>Plate anchors can withstand tensile forces, wind forces, and wave action. Depending on load</w:t>
      </w:r>
      <w:r w:rsidR="00CD0DBA" w:rsidRPr="006E59F1">
        <w:rPr>
          <w:rFonts w:ascii="Times New Roman" w:hAnsi="Times New Roman" w:cs="Times New Roman"/>
          <w:sz w:val="20"/>
          <w:szCs w:val="20"/>
          <w:lang w:val="en-US"/>
        </w:rPr>
        <w:t xml:space="preserve"> </w:t>
      </w:r>
      <w:r w:rsidR="00F8729B" w:rsidRPr="006E59F1">
        <w:rPr>
          <w:rFonts w:ascii="Times New Roman" w:hAnsi="Times New Roman" w:cs="Times New Roman"/>
          <w:sz w:val="20"/>
          <w:szCs w:val="20"/>
          <w:lang w:val="en-US"/>
        </w:rPr>
        <w:t>orientation,</w:t>
      </w:r>
      <w:r w:rsidRPr="006E59F1">
        <w:rPr>
          <w:rFonts w:ascii="Times New Roman" w:hAnsi="Times New Roman" w:cs="Times New Roman"/>
          <w:sz w:val="20"/>
          <w:szCs w:val="20"/>
          <w:lang w:val="en-US"/>
        </w:rPr>
        <w:t xml:space="preserve"> the kind of structure that needs support, plate anchors might be horizontal, vertical, or inclined.</w:t>
      </w:r>
      <w:r w:rsidRPr="006E59F1">
        <w:rPr>
          <w:sz w:val="20"/>
          <w:szCs w:val="20"/>
        </w:rPr>
        <w:t xml:space="preserve"> </w:t>
      </w:r>
      <w:r w:rsidRPr="006E59F1">
        <w:rPr>
          <w:rFonts w:ascii="Times New Roman" w:hAnsi="Times New Roman" w:cs="Times New Roman"/>
          <w:sz w:val="20"/>
          <w:szCs w:val="20"/>
          <w:lang w:val="en-US"/>
        </w:rPr>
        <w:t>An anchor may be constructed of steel, precast or cast-in-place concrete, or timber. The anchors provide passive resistance to tensile force by mobilizing the volume of soil enclosed by the plate</w:t>
      </w:r>
      <w:r w:rsidR="00412DDF" w:rsidRPr="006E59F1">
        <w:rPr>
          <w:rFonts w:ascii="Times New Roman" w:hAnsi="Times New Roman" w:cs="Times New Roman"/>
          <w:sz w:val="20"/>
          <w:szCs w:val="20"/>
          <w:lang w:val="en-US"/>
        </w:rPr>
        <w:t xml:space="preserve"> </w:t>
      </w:r>
      <w:r w:rsidR="00626025" w:rsidRPr="002B0B5D">
        <w:rPr>
          <w:rFonts w:ascii="Times New Roman" w:hAnsi="Times New Roman" w:cs="Times New Roman"/>
          <w:color w:val="00B0F0"/>
          <w:sz w:val="20"/>
          <w:szCs w:val="20"/>
          <w:lang w:val="en-US"/>
        </w:rPr>
        <w:fldChar w:fldCharType="begin"/>
      </w:r>
      <w:r w:rsidR="00626025" w:rsidRPr="002B0B5D">
        <w:rPr>
          <w:rFonts w:ascii="Times New Roman" w:hAnsi="Times New Roman" w:cs="Times New Roman"/>
          <w:color w:val="00B0F0"/>
          <w:sz w:val="20"/>
          <w:szCs w:val="20"/>
          <w:lang w:val="en-US"/>
        </w:rPr>
        <w:instrText xml:space="preserve"> ADDIN ZOTERO_ITEM CSL_CITATION {"citationID":"ynLJLLwD","properties":{"formattedCitation":"[1]","plainCitation":"[1]","noteIndex":0},"citationItems":[{"id":6,"uris":["http://zotero.org/users/local/i0qEo0wj/items/SP2DUZUK"],"itemData":{"id":6,"type":"article-journal","abstract":"A horizontal anchor is a structural member designed to resist the vertical pullout forces and ensure the stability of structures like the tower foundations, masts and bridges. This paper focuses on the experimental study for the estimation of the ultimate pullout capacity of multi-plate horizontal anchors embedded in the sand. The tensile load of a structure is resisted by the multi-plate anchors using the many plates connected along the central shaft. The multi-plate anchors would be capable of generating higher pullout capacity in comparison with the single-plate anchors, for an embedment depth considered. The pullout capacity is generative of the inherent structure of the multiple plates encompassing multiple layers of sand. The paper presents a comparison of the multi-plate anchors with the existing studies of single-plate anchors. Results show the multi-plate anchor replacing the existing single-plate anchors efﬁciently. Few of the primary conclusions are (a) the increase in the pullout capacity of the double-plate and triple-plate anchors with the increase in the embedment ratio, (b) the critical embedment ratio being indicative of a transition of the failure mechanism developing for shallow and deep anchors, (c) a decreasing pullout capacity for shallow multi-plate anchors in comparison with the single-plate anchors, and (d) an increasing pullout capacity for deep multi-plate anchors in comparison with the single-plate anchors. The paper provides a brief discussion on the scale effect, the effect of spacing, the effect of the shape of the anchors on the pullout capacity.","container-title":"Acta Geotechnica","DOI":"10.1007/s11440-021-01173-1","ISSN":"1861-1125, 1861-1133","issue":"9","journalAbbreviation":"Acta Geotech.","language":"en","page":"2851-2875","source":"DOI.org (Crossref)","title":"Pullout capacity of multi-plate horizontal anchors in sand: an experimental study","title-short":"Pullout capacity of multi-plate horizontal anchors in sand","volume":"16","author":[{"family":"Tilak","given":"B. Vidya"},{"family":"Samadhiya","given":"Narendra Kumar"}],"issued":{"date-parts":[["2021",9]]}}}],"schema":"https://github.com/citation-style-language/schema/raw/master/csl-citation.json"} </w:instrText>
      </w:r>
      <w:r w:rsidR="00626025" w:rsidRPr="002B0B5D">
        <w:rPr>
          <w:rFonts w:ascii="Times New Roman" w:hAnsi="Times New Roman" w:cs="Times New Roman"/>
          <w:color w:val="00B0F0"/>
          <w:sz w:val="20"/>
          <w:szCs w:val="20"/>
          <w:lang w:val="en-US"/>
        </w:rPr>
        <w:fldChar w:fldCharType="separate"/>
      </w:r>
      <w:r w:rsidR="00626025" w:rsidRPr="002B0B5D">
        <w:rPr>
          <w:rFonts w:ascii="Times New Roman" w:hAnsi="Times New Roman" w:cs="Times New Roman"/>
          <w:color w:val="00B0F0"/>
          <w:sz w:val="20"/>
          <w:szCs w:val="20"/>
        </w:rPr>
        <w:t>[1]</w:t>
      </w:r>
      <w:r w:rsidR="00626025" w:rsidRPr="002B0B5D">
        <w:rPr>
          <w:rFonts w:ascii="Times New Roman" w:hAnsi="Times New Roman" w:cs="Times New Roman"/>
          <w:color w:val="00B0F0"/>
          <w:sz w:val="20"/>
          <w:szCs w:val="20"/>
          <w:lang w:val="en-US"/>
        </w:rPr>
        <w:fldChar w:fldCharType="end"/>
      </w:r>
      <w:r w:rsidRPr="006E59F1">
        <w:rPr>
          <w:rFonts w:ascii="Times New Roman" w:hAnsi="Times New Roman" w:cs="Times New Roman"/>
          <w:sz w:val="20"/>
          <w:szCs w:val="20"/>
          <w:lang w:val="en-US"/>
        </w:rPr>
        <w:t>.</w:t>
      </w:r>
      <w:r w:rsidR="00095B92" w:rsidRPr="006E59F1">
        <w:rPr>
          <w:sz w:val="20"/>
          <w:szCs w:val="20"/>
        </w:rPr>
        <w:t xml:space="preserve"> </w:t>
      </w:r>
      <w:r w:rsidR="00095B92" w:rsidRPr="006E59F1">
        <w:rPr>
          <w:rFonts w:ascii="Times New Roman" w:hAnsi="Times New Roman" w:cs="Times New Roman"/>
          <w:sz w:val="20"/>
          <w:szCs w:val="20"/>
          <w:lang w:val="en-US"/>
        </w:rPr>
        <w:t>A horizontal plate anchor is installed by excavating to the necessary depth, setting the anchor, and then backfilling the hole with soil</w:t>
      </w:r>
      <w:r w:rsidR="00070BD1" w:rsidRPr="002B0B5D">
        <w:rPr>
          <w:rFonts w:ascii="Times New Roman" w:hAnsi="Times New Roman" w:cs="Times New Roman"/>
          <w:color w:val="00B0F0"/>
          <w:sz w:val="20"/>
          <w:szCs w:val="20"/>
          <w:lang w:val="en-US"/>
        </w:rPr>
        <w:fldChar w:fldCharType="begin"/>
      </w:r>
      <w:r w:rsidR="00070BD1" w:rsidRPr="002B0B5D">
        <w:rPr>
          <w:rFonts w:ascii="Times New Roman" w:hAnsi="Times New Roman" w:cs="Times New Roman"/>
          <w:color w:val="00B0F0"/>
          <w:sz w:val="20"/>
          <w:szCs w:val="20"/>
          <w:lang w:val="en-US"/>
        </w:rPr>
        <w:instrText xml:space="preserve"> ADDIN ZOTERO_ITEM CSL_CITATION {"citationID":"VvjknPYx","properties":{"formattedCitation":"[2]","plainCitation":"[2]","noteIndex":0},"citationItems":[{"id":4,"uris":["http://zotero.org/users/local/i0qEo0wj/items/28H2ZAFD"],"itemData":{"id":4,"type":"article-journal","abstract":"During the last 30 years various researchers have proposed approximate techniques to estimate the uplift capacity of soil anchors. As the majority of past research has been experimentally based, much current design practice is based on empiricism. Somewhat surprisingly, very few numerical analyses have been performed to determine the ultimate pullout loads of anchors. This paper presents the results of a rigorous numerical study to estimate the ultimate pullout load for vertical and horizontal plate anchors in frictional soils. Rigorous bounds have been obtained using two numerical procedures that are based on finite element formulations of the upper and lower bound theorems of limit analysis. For comparison purposes, numerical estimates of the break-out factor have also been obtained using the more conventional displacement finite element method. Results are presented in the familiar form of break-out factors based on various soil strength profiles and geometries and are compared with existing numerical and empirical solutions.","container-title":"Canadian Geotechnical Journal","DOI":"10.1139/t06-052","ISSN":"0008-3674, 1208-6010","issue":"8","journalAbbreviation":"Can. Geotech. J.","language":"en","page":"852-868","source":"DOI.org (Crossref)","title":"The ultimate pullout capacity of anchors in frictional soils","volume":"43","author":[{"family":"Merifield","given":"R S"},{"family":"Sloan","given":"S W"}],"issued":{"date-parts":[["2006",8,1]]}}}],"schema":"https://github.com/citation-style-language/schema/raw/master/csl-citation.json"} </w:instrText>
      </w:r>
      <w:r w:rsidR="00070BD1" w:rsidRPr="002B0B5D">
        <w:rPr>
          <w:rFonts w:ascii="Times New Roman" w:hAnsi="Times New Roman" w:cs="Times New Roman"/>
          <w:color w:val="00B0F0"/>
          <w:sz w:val="20"/>
          <w:szCs w:val="20"/>
          <w:lang w:val="en-US"/>
        </w:rPr>
        <w:fldChar w:fldCharType="separate"/>
      </w:r>
      <w:r w:rsidR="00070BD1" w:rsidRPr="002B0B5D">
        <w:rPr>
          <w:rFonts w:ascii="Times New Roman" w:hAnsi="Times New Roman" w:cs="Times New Roman"/>
          <w:color w:val="00B0F0"/>
          <w:sz w:val="20"/>
          <w:szCs w:val="20"/>
        </w:rPr>
        <w:t>[2]</w:t>
      </w:r>
      <w:r w:rsidR="00070BD1" w:rsidRPr="002B0B5D">
        <w:rPr>
          <w:rFonts w:ascii="Times New Roman" w:hAnsi="Times New Roman" w:cs="Times New Roman"/>
          <w:color w:val="00B0F0"/>
          <w:sz w:val="20"/>
          <w:szCs w:val="20"/>
          <w:lang w:val="en-US"/>
        </w:rPr>
        <w:fldChar w:fldCharType="end"/>
      </w:r>
      <w:r w:rsidR="00095B92" w:rsidRPr="006E59F1">
        <w:rPr>
          <w:rFonts w:ascii="Times New Roman" w:hAnsi="Times New Roman" w:cs="Times New Roman"/>
          <w:sz w:val="20"/>
          <w:szCs w:val="20"/>
          <w:lang w:val="en-US"/>
        </w:rPr>
        <w:t xml:space="preserve">. Anchors are used in several civil engineering projects, such as bridges, underground structures, transmission towers, and offshore structures. </w:t>
      </w:r>
      <w:r w:rsidRPr="006E59F1">
        <w:rPr>
          <w:rFonts w:ascii="Times New Roman" w:hAnsi="Times New Roman" w:cs="Times New Roman"/>
          <w:sz w:val="20"/>
          <w:szCs w:val="20"/>
          <w:lang w:val="en-US"/>
        </w:rPr>
        <w:t xml:space="preserve">Investigation </w:t>
      </w:r>
      <w:r w:rsidR="00605756" w:rsidRPr="006E59F1">
        <w:rPr>
          <w:rFonts w:ascii="Times New Roman" w:hAnsi="Times New Roman" w:cs="Times New Roman"/>
          <w:sz w:val="20"/>
          <w:szCs w:val="20"/>
          <w:lang w:val="en-US"/>
        </w:rPr>
        <w:t>of</w:t>
      </w:r>
      <w:r w:rsidR="00CC44C8" w:rsidRPr="006E59F1">
        <w:rPr>
          <w:rFonts w:ascii="Times New Roman" w:hAnsi="Times New Roman" w:cs="Times New Roman"/>
          <w:sz w:val="20"/>
          <w:szCs w:val="20"/>
          <w:lang w:val="en-US"/>
        </w:rPr>
        <w:t xml:space="preserve"> </w:t>
      </w:r>
      <w:r w:rsidRPr="006E59F1">
        <w:rPr>
          <w:rFonts w:ascii="Times New Roman" w:hAnsi="Times New Roman" w:cs="Times New Roman"/>
          <w:sz w:val="20"/>
          <w:szCs w:val="20"/>
          <w:lang w:val="en-US"/>
        </w:rPr>
        <w:t xml:space="preserve">behavior of anchors can </w:t>
      </w:r>
      <w:r w:rsidR="00605756" w:rsidRPr="006E59F1">
        <w:rPr>
          <w:rFonts w:ascii="Times New Roman" w:hAnsi="Times New Roman" w:cs="Times New Roman"/>
          <w:sz w:val="20"/>
          <w:szCs w:val="20"/>
          <w:lang w:val="en-US"/>
        </w:rPr>
        <w:t xml:space="preserve">be of </w:t>
      </w:r>
      <w:r w:rsidRPr="006E59F1">
        <w:rPr>
          <w:rFonts w:ascii="Times New Roman" w:hAnsi="Times New Roman" w:cs="Times New Roman"/>
          <w:sz w:val="20"/>
          <w:szCs w:val="20"/>
          <w:lang w:val="en-US"/>
        </w:rPr>
        <w:t xml:space="preserve">three </w:t>
      </w:r>
      <w:r w:rsidR="00437B70" w:rsidRPr="006E59F1">
        <w:rPr>
          <w:rFonts w:ascii="Times New Roman" w:hAnsi="Times New Roman" w:cs="Times New Roman"/>
          <w:sz w:val="20"/>
          <w:szCs w:val="20"/>
          <w:lang w:val="en-US"/>
        </w:rPr>
        <w:t>types</w:t>
      </w:r>
      <w:r w:rsidRPr="006E59F1">
        <w:rPr>
          <w:rFonts w:ascii="Times New Roman" w:hAnsi="Times New Roman" w:cs="Times New Roman"/>
          <w:sz w:val="20"/>
          <w:szCs w:val="20"/>
          <w:lang w:val="en-US"/>
        </w:rPr>
        <w:t xml:space="preserve">: experimental, numerical, and analytical. Several researchers have conducted laboratory </w:t>
      </w:r>
      <w:r w:rsidR="003B3773" w:rsidRPr="006E59F1">
        <w:rPr>
          <w:rFonts w:ascii="Times New Roman" w:hAnsi="Times New Roman" w:cs="Times New Roman"/>
          <w:sz w:val="20"/>
          <w:szCs w:val="20"/>
          <w:lang w:val="en-US"/>
        </w:rPr>
        <w:t>models</w:t>
      </w:r>
      <w:r w:rsidRPr="006E59F1">
        <w:rPr>
          <w:rFonts w:ascii="Times New Roman" w:hAnsi="Times New Roman" w:cs="Times New Roman"/>
          <w:sz w:val="20"/>
          <w:szCs w:val="20"/>
          <w:lang w:val="en-US"/>
        </w:rPr>
        <w:t xml:space="preserve">, field experiments and numerical analysis </w:t>
      </w:r>
      <w:r w:rsidR="00667F4C" w:rsidRPr="006E59F1">
        <w:rPr>
          <w:rFonts w:ascii="Times New Roman" w:hAnsi="Times New Roman" w:cs="Times New Roman"/>
          <w:sz w:val="20"/>
          <w:szCs w:val="20"/>
          <w:lang w:val="en-US"/>
        </w:rPr>
        <w:t>to</w:t>
      </w:r>
      <w:r w:rsidRPr="006E59F1">
        <w:rPr>
          <w:rFonts w:ascii="Times New Roman" w:hAnsi="Times New Roman" w:cs="Times New Roman"/>
          <w:sz w:val="20"/>
          <w:szCs w:val="20"/>
          <w:lang w:val="en-US"/>
        </w:rPr>
        <w:t xml:space="preserve"> comprehend the failure process, impact of embedding, impact of anchor size and shape, and impact of friction angle. The failure process was assumed in the bulk of these investigations, and the pullout capacity was derived by fulfilling the equilibrium of the soil mass contained by failure surface. This study's purpose is to provide a numerical analysis using the ABAQUS to </w:t>
      </w:r>
      <w:r w:rsidR="00E85487" w:rsidRPr="006E59F1">
        <w:rPr>
          <w:rFonts w:ascii="Times New Roman" w:hAnsi="Times New Roman" w:cs="Times New Roman"/>
          <w:sz w:val="20"/>
          <w:szCs w:val="20"/>
          <w:lang w:val="en-US"/>
        </w:rPr>
        <w:t>find out</w:t>
      </w:r>
      <w:r w:rsidRPr="006E59F1">
        <w:rPr>
          <w:rFonts w:ascii="Times New Roman" w:hAnsi="Times New Roman" w:cs="Times New Roman"/>
          <w:sz w:val="20"/>
          <w:szCs w:val="20"/>
          <w:lang w:val="en-US"/>
        </w:rPr>
        <w:t xml:space="preserve"> the pullout capacity of </w:t>
      </w:r>
      <w:r w:rsidR="003C097F" w:rsidRPr="006E59F1">
        <w:rPr>
          <w:rFonts w:ascii="Times New Roman" w:hAnsi="Times New Roman" w:cs="Times New Roman"/>
          <w:sz w:val="20"/>
          <w:szCs w:val="20"/>
          <w:lang w:val="en-US"/>
        </w:rPr>
        <w:t xml:space="preserve">H shaped multi </w:t>
      </w:r>
      <w:r w:rsidRPr="006E59F1">
        <w:rPr>
          <w:rFonts w:ascii="Times New Roman" w:hAnsi="Times New Roman" w:cs="Times New Roman"/>
          <w:sz w:val="20"/>
          <w:szCs w:val="20"/>
          <w:lang w:val="en-US"/>
        </w:rPr>
        <w:t>plate horizontal anchors embedded in sand</w:t>
      </w:r>
      <w:r w:rsidR="003C097F" w:rsidRPr="006E59F1">
        <w:rPr>
          <w:rFonts w:ascii="Times New Roman" w:hAnsi="Times New Roman" w:cs="Times New Roman"/>
          <w:sz w:val="20"/>
          <w:szCs w:val="20"/>
          <w:lang w:val="en-US"/>
        </w:rPr>
        <w:t>.</w:t>
      </w:r>
    </w:p>
    <w:p w14:paraId="6677DFB5" w14:textId="77777777" w:rsidR="00E65F23" w:rsidRDefault="000F2990" w:rsidP="00E65F23">
      <w:pPr>
        <w:pStyle w:val="ListParagraph"/>
        <w:numPr>
          <w:ilvl w:val="0"/>
          <w:numId w:val="1"/>
        </w:num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BACKGROUND</w:t>
      </w:r>
    </w:p>
    <w:p w14:paraId="4F78D0FE" w14:textId="01FF01A4" w:rsidR="0027513D" w:rsidRPr="0061689E" w:rsidRDefault="0027513D" w:rsidP="0061689E">
      <w:pPr>
        <w:spacing w:line="360" w:lineRule="auto"/>
        <w:jc w:val="both"/>
        <w:rPr>
          <w:rFonts w:ascii="Times New Roman" w:hAnsi="Times New Roman" w:cs="Times New Roman"/>
          <w:b/>
          <w:bCs/>
          <w:sz w:val="20"/>
          <w:szCs w:val="20"/>
        </w:rPr>
      </w:pPr>
      <w:r w:rsidRPr="0061689E">
        <w:rPr>
          <w:rFonts w:ascii="Times New Roman" w:hAnsi="Times New Roman" w:cs="Times New Roman"/>
          <w:sz w:val="20"/>
          <w:szCs w:val="20"/>
        </w:rPr>
        <w:lastRenderedPageBreak/>
        <w:t xml:space="preserve">There are two approaches for investigating the behaviour of anchors in sand: through experimentation or through numerical-theoretical analyses. Furthermore, investigations </w:t>
      </w:r>
      <w:r w:rsidRPr="0061689E">
        <w:rPr>
          <w:rFonts w:ascii="Times New Roman" w:hAnsi="Times New Roman" w:cs="Times New Roman"/>
          <w:color w:val="00B0F0"/>
          <w:sz w:val="20"/>
          <w:szCs w:val="20"/>
        </w:rPr>
        <w:t>[1]</w:t>
      </w:r>
      <w:r w:rsidRPr="0061689E">
        <w:rPr>
          <w:rFonts w:ascii="Times New Roman" w:hAnsi="Times New Roman" w:cs="Times New Roman"/>
          <w:sz w:val="20"/>
          <w:szCs w:val="20"/>
        </w:rPr>
        <w:t xml:space="preserve"> on helical anchors and helical screw piles provide a load-carrying mechanism comparison with multi-plate anchors. A more selected assessment of research with the greatest relevance to this study is offered rather than an attempt to provide a thorough bibliography of all studies. Although no substitute for full-scale field testing exists, laboratory studies offer benefits of permitting close control of at least some of the factors experienced in practise. Hence, trends and behaviour patterns seen in the laboratory can be utilised to establish a comprehension of performance on a larger scale. Furthermore, to create semi-empirical hypotheses, laboratory testing observations might be combined with mathematical research. Then, a wider variety of issues can be addressed using these theories </w:t>
      </w:r>
      <w:r w:rsidRPr="0061689E">
        <w:rPr>
          <w:rFonts w:ascii="Times New Roman" w:hAnsi="Times New Roman" w:cs="Times New Roman"/>
          <w:color w:val="00B0F0"/>
          <w:sz w:val="20"/>
          <w:szCs w:val="20"/>
        </w:rPr>
        <w:fldChar w:fldCharType="begin"/>
      </w:r>
      <w:r w:rsidRPr="0061689E">
        <w:rPr>
          <w:rFonts w:ascii="Times New Roman" w:hAnsi="Times New Roman" w:cs="Times New Roman"/>
          <w:color w:val="00B0F0"/>
          <w:sz w:val="20"/>
          <w:szCs w:val="20"/>
        </w:rPr>
        <w:instrText xml:space="preserve"> ADDIN ZOTERO_ITEM CSL_CITATION {"citationID":"XnBvi2I8","properties":{"formattedCitation":"[2]","plainCitation":"[2]","noteIndex":0},"citationItems":[{"id":4,"uris":["http://zotero.org/users/local/i0qEo0wj/items/28H2ZAFD"],"itemData":{"id":4,"type":"article-journal","abstract":"During the last 30 years various researchers have proposed approximate techniques to estimate the uplift capacity of soil anchors. As the majority of past research has been experimentally based, much current design practice is based on empiricism. Somewhat surprisingly, very few numerical analyses have been performed to determine the ultimate pullout loads of anchors. This paper presents the results of a rigorous numerical study to estimate the ultimate pullout load for vertical and horizontal plate anchors in frictional soils. Rigorous bounds have been obtained using two numerical procedures that are based on finite element formulations of the upper and lower bound theorems of limit analysis. For comparison purposes, numerical estimates of the break-out factor have also been obtained using the more conventional displacement finite element method. Results are presented in the familiar form of break-out factors based on various soil strength profiles and geometries and are compared with existing numerical and empirical solutions.","container-title":"Canadian Geotechnical Journal","DOI":"10.1139/t06-052","ISSN":"0008-3674, 1208-6010","issue":"8","journalAbbreviation":"Can. Geotech. J.","language":"en","page":"852-868","source":"DOI.org (Crossref)","title":"The ultimate pullout capacity of anchors in frictional soils","volume":"43","author":[{"family":"Merifield","given":"R S"},{"family":"Sloan","given":"S W"}],"issued":{"date-parts":[["2006",8,1]]}}}],"schema":"https://github.com/citation-style-language/schema/raw/master/csl-citation.json"} </w:instrText>
      </w:r>
      <w:r w:rsidRPr="0061689E">
        <w:rPr>
          <w:rFonts w:ascii="Times New Roman" w:hAnsi="Times New Roman" w:cs="Times New Roman"/>
          <w:color w:val="00B0F0"/>
          <w:sz w:val="20"/>
          <w:szCs w:val="20"/>
        </w:rPr>
        <w:fldChar w:fldCharType="separate"/>
      </w:r>
      <w:r w:rsidRPr="0061689E">
        <w:rPr>
          <w:rFonts w:ascii="Times New Roman" w:hAnsi="Times New Roman" w:cs="Times New Roman"/>
          <w:color w:val="00B0F0"/>
          <w:sz w:val="20"/>
          <w:szCs w:val="20"/>
        </w:rPr>
        <w:t>[2]</w:t>
      </w:r>
      <w:r w:rsidRPr="0061689E">
        <w:rPr>
          <w:rFonts w:ascii="Times New Roman" w:hAnsi="Times New Roman" w:cs="Times New Roman"/>
          <w:color w:val="00B0F0"/>
          <w:sz w:val="20"/>
          <w:szCs w:val="20"/>
        </w:rPr>
        <w:fldChar w:fldCharType="end"/>
      </w:r>
      <w:r w:rsidRPr="0061689E">
        <w:rPr>
          <w:rFonts w:ascii="Times New Roman" w:hAnsi="Times New Roman" w:cs="Times New Roman"/>
          <w:sz w:val="20"/>
          <w:szCs w:val="20"/>
        </w:rPr>
        <w:t xml:space="preserve">. The two main procedures used in experimental studies of plate anchor behaviour are centrifuge systems or conventional methods. However, there are advantages and disadvantages to both approaches, and it is important to keep them in mind when analysing the results of experimental studies of anchor behaviour. </w:t>
      </w:r>
      <w:bookmarkStart w:id="0" w:name="_Hlk132032623"/>
      <w:r w:rsidRPr="0061689E">
        <w:rPr>
          <w:rFonts w:ascii="Times New Roman" w:hAnsi="Times New Roman" w:cs="Times New Roman"/>
          <w:sz w:val="20"/>
          <w:szCs w:val="20"/>
        </w:rPr>
        <w:t xml:space="preserve">Researchers </w:t>
      </w:r>
      <w:r w:rsidRPr="0061689E">
        <w:rPr>
          <w:rFonts w:ascii="Times New Roman" w:hAnsi="Times New Roman" w:cs="Times New Roman"/>
          <w:color w:val="00B0F0"/>
          <w:sz w:val="20"/>
          <w:szCs w:val="20"/>
        </w:rPr>
        <w:t xml:space="preserve">[3] </w:t>
      </w:r>
      <w:r w:rsidRPr="0061689E">
        <w:rPr>
          <w:rFonts w:ascii="Times New Roman" w:hAnsi="Times New Roman" w:cs="Times New Roman"/>
          <w:sz w:val="20"/>
          <w:szCs w:val="20"/>
        </w:rPr>
        <w:t xml:space="preserve">provided an approximate theory for predicting the pullout capacity of a strip footing. The analysis was expanded to include circular and rectangular footings by incorporating shape parameters. The resistance of the soil to an elevating foundation was a combination of the soil's weight and the shear resistance mobilised inside a defined border or failure region </w:t>
      </w:r>
      <w:r w:rsidRPr="0061689E">
        <w:rPr>
          <w:rFonts w:ascii="Times New Roman" w:hAnsi="Times New Roman" w:cs="Times New Roman"/>
          <w:color w:val="00B0F0"/>
          <w:sz w:val="20"/>
          <w:szCs w:val="20"/>
        </w:rPr>
        <w:fldChar w:fldCharType="begin"/>
      </w:r>
      <w:r w:rsidRPr="0061689E">
        <w:rPr>
          <w:rFonts w:ascii="Times New Roman" w:hAnsi="Times New Roman" w:cs="Times New Roman"/>
          <w:color w:val="00B0F0"/>
          <w:sz w:val="20"/>
          <w:szCs w:val="20"/>
        </w:rPr>
        <w:instrText xml:space="preserve"> ADDIN ZOTERO_ITEM CSL_CITATION {"citationID":"PLP7uS5h","properties":{"formattedCitation":"[1]","plainCitation":"[1]","noteIndex":0},"citationItems":[{"id":6,"uris":["http://zotero.org/users/local/i0qEo0wj/items/SP2DUZUK"],"itemData":{"id":6,"type":"article-journal","abstract":"A horizontal anchor is a structural member designed to resist the vertical pullout forces and ensure the stability of structures like the tower foundations, masts and bridges. This paper focuses on the experimental study for the estimation of the ultimate pullout capacity of multi-plate horizontal anchors embedded in the sand. The tensile load of a structure is resisted by the multi-plate anchors using the many plates connected along the central shaft. The multi-plate anchors would be capable of generating higher pullout capacity in comparison with the single-plate anchors, for an embedment depth considered. The pullout capacity is generative of the inherent structure of the multiple plates encompassing multiple layers of sand. The paper presents a comparison of the multi-plate anchors with the existing studies of single-plate anchors. Results show the multi-plate anchor replacing the existing single-plate anchors efﬁciently. Few of the primary conclusions are (a) the increase in the pullout capacity of the double-plate and triple-plate anchors with the increase in the embedment ratio, (b) the critical embedment ratio being indicative of a transition of the failure mechanism developing for shallow and deep anchors, (c) a decreasing pullout capacity for shallow multi-plate anchors in comparison with the single-plate anchors, and (d) an increasing pullout capacity for deep multi-plate anchors in comparison with the single-plate anchors. The paper provides a brief discussion on the scale effect, the effect of spacing, the effect of the shape of the anchors on the pullout capacity.","container-title":"Acta Geotechnica","DOI":"10.1007/s11440-021-01173-1","ISSN":"1861-1125, 1861-1133","issue":"9","journalAbbreviation":"Acta Geotech.","language":"en","page":"2851-2875","source":"DOI.org (Crossref)","title":"Pullout capacity of multi-plate horizontal anchors in sand: an experimental study","title-short":"Pullout capacity of multi-plate horizontal anchors in sand","volume":"16","author":[{"family":"Tilak","given":"B. Vidya"},{"family":"Samadhiya","given":"Narendra Kumar"}],"issued":{"date-parts":[["2021",9]]}}}],"schema":"https://github.com/citation-style-language/schema/raw/master/csl-citation.json"} </w:instrText>
      </w:r>
      <w:r w:rsidRPr="0061689E">
        <w:rPr>
          <w:rFonts w:ascii="Times New Roman" w:hAnsi="Times New Roman" w:cs="Times New Roman"/>
          <w:color w:val="00B0F0"/>
          <w:sz w:val="20"/>
          <w:szCs w:val="20"/>
        </w:rPr>
        <w:fldChar w:fldCharType="separate"/>
      </w:r>
      <w:r w:rsidRPr="0061689E">
        <w:rPr>
          <w:rFonts w:ascii="Times New Roman" w:hAnsi="Times New Roman" w:cs="Times New Roman"/>
          <w:color w:val="00B0F0"/>
          <w:sz w:val="20"/>
          <w:szCs w:val="20"/>
        </w:rPr>
        <w:t>[1]</w:t>
      </w:r>
      <w:r w:rsidRPr="0061689E">
        <w:rPr>
          <w:rFonts w:ascii="Times New Roman" w:hAnsi="Times New Roman" w:cs="Times New Roman"/>
          <w:color w:val="00B0F0"/>
          <w:sz w:val="20"/>
          <w:szCs w:val="20"/>
        </w:rPr>
        <w:fldChar w:fldCharType="end"/>
      </w:r>
      <w:r w:rsidRPr="0061689E">
        <w:rPr>
          <w:rFonts w:ascii="Times New Roman" w:hAnsi="Times New Roman" w:cs="Times New Roman"/>
          <w:sz w:val="20"/>
          <w:szCs w:val="20"/>
        </w:rPr>
        <w:t>. The conventional experimental tests were conducted in laboratory chambers. Researchers</w:t>
      </w:r>
      <w:r w:rsidRPr="0061689E">
        <w:rPr>
          <w:rFonts w:ascii="Times New Roman" w:hAnsi="Times New Roman" w:cs="Times New Roman"/>
          <w:color w:val="00B0F0"/>
          <w:sz w:val="20"/>
          <w:szCs w:val="20"/>
        </w:rPr>
        <w:fldChar w:fldCharType="begin"/>
      </w:r>
      <w:r w:rsidRPr="0061689E">
        <w:rPr>
          <w:rFonts w:ascii="Times New Roman" w:hAnsi="Times New Roman" w:cs="Times New Roman"/>
          <w:color w:val="00B0F0"/>
          <w:sz w:val="20"/>
          <w:szCs w:val="20"/>
        </w:rPr>
        <w:instrText xml:space="preserve"> ADDIN ZOTERO_ITEM CSL_CITATION {"citationID":"eadiftJG","properties":{"formattedCitation":"[5], [6]","plainCitation":"[5], [6]","noteIndex":0},"citationItems":[{"id":26,"uris":["http://zotero.org/users/local/i0qEo0wj/items/UBY25VE5"],"itemData":{"id":26,"type":"article-journal","container-title":"Journal of the Geotechnical Engineering Division","DOI":"10.1061/AJGEB6.0000202","ISSN":"0093-6405, 2690-246X","issue":"9","journalAbbreviation":"J. Geotech. Engrg. Div.","language":"en","page":"999-1003","source":"DOI.org (Crossref)","title":"Breakout Resistance of Shallow Horizontal Anchors","volume":"101","author":[{"family":"Das","given":"Braja M."},{"family":"Seeley","given":"Gerald R."}],"issued":{"date-parts":[["1975",9]]}}},{"id":27,"uris":["http://zotero.org/users/local/i0qEo0wj/items/JE7RXRLS"],"itemData":{"id":27,"type":"article-journal","container-title":"International Journal of Geomechanics","DOI":"10.1061/(ASCE)GM.1943-5622.0000119","ISSN":"1532-3641, 1943-5622","issue":"2","journalAbbreviation":"Int. J. Geomech.","language":"en","page":"105-112","source":"DOI.org (Crossref)","title":"Model Tests and 3D Finite Element Simulations of Uplift Resistance of Shallow Rectangular Anchor Foundations","volume":"12","author":[{"family":"Rokonuzzaman","given":"Md."},{"family":"Sakai","given":"Toshinori"}],"issued":{"date-parts":[["2012",4]]}}}],"schema":"https://github.com/citation-style-language/schema/raw/master/csl-citation.json"} </w:instrText>
      </w:r>
      <w:r w:rsidRPr="0061689E">
        <w:rPr>
          <w:rFonts w:ascii="Times New Roman" w:hAnsi="Times New Roman" w:cs="Times New Roman"/>
          <w:color w:val="00B0F0"/>
          <w:sz w:val="20"/>
          <w:szCs w:val="20"/>
        </w:rPr>
        <w:fldChar w:fldCharType="separate"/>
      </w:r>
      <w:r w:rsidRPr="0061689E">
        <w:rPr>
          <w:rFonts w:ascii="Times New Roman" w:hAnsi="Times New Roman" w:cs="Times New Roman"/>
          <w:color w:val="00B0F0"/>
          <w:sz w:val="20"/>
          <w:szCs w:val="20"/>
        </w:rPr>
        <w:t>[4-5]</w:t>
      </w:r>
      <w:r w:rsidRPr="0061689E">
        <w:rPr>
          <w:rFonts w:ascii="Times New Roman" w:hAnsi="Times New Roman" w:cs="Times New Roman"/>
          <w:color w:val="00B0F0"/>
          <w:sz w:val="20"/>
          <w:szCs w:val="20"/>
        </w:rPr>
        <w:fldChar w:fldCharType="end"/>
      </w:r>
      <w:r w:rsidRPr="0061689E">
        <w:rPr>
          <w:rFonts w:ascii="Times New Roman" w:hAnsi="Times New Roman" w:cs="Times New Roman"/>
          <w:sz w:val="20"/>
          <w:szCs w:val="20"/>
        </w:rPr>
        <w:t xml:space="preserve"> investigate the pullout capacity of horizontal plate anchors in sand through a series of single gravity model laboratory tests. The studies indicate that the pullout capacity of horizontal plate anchors increases with an increase in anchor size, embedment depth, and sand bed density</w:t>
      </w:r>
      <w:r w:rsidRPr="0061689E">
        <w:rPr>
          <w:rFonts w:ascii="Times New Roman" w:hAnsi="Times New Roman" w:cs="Times New Roman"/>
          <w:color w:val="00B0F0"/>
          <w:sz w:val="20"/>
          <w:szCs w:val="20"/>
        </w:rPr>
        <w:fldChar w:fldCharType="begin"/>
      </w:r>
      <w:r w:rsidRPr="0061689E">
        <w:rPr>
          <w:rFonts w:ascii="Times New Roman" w:hAnsi="Times New Roman" w:cs="Times New Roman"/>
          <w:color w:val="00B0F0"/>
          <w:sz w:val="20"/>
          <w:szCs w:val="20"/>
        </w:rPr>
        <w:instrText xml:space="preserve"> ADDIN ZOTERO_ITEM CSL_CITATION {"citationID":"ZdAGnX8u","properties":{"formattedCitation":"[1]","plainCitation":"[1]","noteIndex":0},"citationItems":[{"id":6,"uris":["http://zotero.org/users/local/i0qEo0wj/items/SP2DUZUK"],"itemData":{"id":6,"type":"article-journal","abstract":"A horizontal anchor is a structural member designed to resist the vertical pullout forces and ensure the stability of structures like the tower foundations, masts and bridges. This paper focuses on the experimental study for the estimation of the ultimate pullout capacity of multi-plate horizontal anchors embedded in the sand. The tensile load of a structure is resisted by the multi-plate anchors using the many plates connected along the central shaft. The multi-plate anchors would be capable of generating higher pullout capacity in comparison with the single-plate anchors, for an embedment depth considered. The pullout capacity is generative of the inherent structure of the multiple plates encompassing multiple layers of sand. The paper presents a comparison of the multi-plate anchors with the existing studies of single-plate anchors. Results show the multi-plate anchor replacing the existing single-plate anchors efﬁciently. Few of the primary conclusions are (a) the increase in the pullout capacity of the double-plate and triple-plate anchors with the increase in the embedment ratio, (b) the critical embedment ratio being indicative of a transition of the failure mechanism developing for shallow and deep anchors, (c) a decreasing pullout capacity for shallow multi-plate anchors in comparison with the single-plate anchors, and (d) an increasing pullout capacity for deep multi-plate anchors in comparison with the single-plate anchors. The paper provides a brief discussion on the scale effect, the effect of spacing, the effect of the shape of the anchors on the pullout capacity.","container-title":"Acta Geotechnica","DOI":"10.1007/s11440-021-01173-1","ISSN":"1861-1125, 1861-1133","issue":"9","journalAbbreviation":"Acta Geotech.","language":"en","page":"2851-2875","source":"DOI.org (Crossref)","title":"Pullout capacity of multi-plate horizontal anchors in sand: an experimental study","title-short":"Pullout capacity of multi-plate horizontal anchors in sand","volume":"16","author":[{"family":"Tilak","given":"B. Vidya"},{"family":"Samadhiya","given":"Narendra Kumar"}],"issued":{"date-parts":[["2021",9]]}}}],"schema":"https://github.com/citation-style-language/schema/raw/master/csl-citation.json"} </w:instrText>
      </w:r>
      <w:r w:rsidRPr="0061689E">
        <w:rPr>
          <w:rFonts w:ascii="Times New Roman" w:hAnsi="Times New Roman" w:cs="Times New Roman"/>
          <w:color w:val="00B0F0"/>
          <w:sz w:val="20"/>
          <w:szCs w:val="20"/>
        </w:rPr>
        <w:fldChar w:fldCharType="separate"/>
      </w:r>
      <w:r w:rsidRPr="0061689E">
        <w:rPr>
          <w:rFonts w:ascii="Times New Roman" w:hAnsi="Times New Roman" w:cs="Times New Roman"/>
          <w:color w:val="00B0F0"/>
          <w:sz w:val="20"/>
          <w:szCs w:val="20"/>
        </w:rPr>
        <w:t>[1]</w:t>
      </w:r>
      <w:r w:rsidRPr="0061689E">
        <w:rPr>
          <w:rFonts w:ascii="Times New Roman" w:hAnsi="Times New Roman" w:cs="Times New Roman"/>
          <w:color w:val="00B0F0"/>
          <w:sz w:val="20"/>
          <w:szCs w:val="20"/>
        </w:rPr>
        <w:fldChar w:fldCharType="end"/>
      </w:r>
      <w:r w:rsidRPr="0061689E">
        <w:rPr>
          <w:rFonts w:ascii="Times New Roman" w:hAnsi="Times New Roman" w:cs="Times New Roman"/>
          <w:sz w:val="20"/>
          <w:szCs w:val="20"/>
        </w:rPr>
        <w:t xml:space="preserve">. </w:t>
      </w:r>
      <w:bookmarkEnd w:id="0"/>
      <w:r w:rsidRPr="0061689E">
        <w:rPr>
          <w:rFonts w:ascii="Times New Roman" w:hAnsi="Times New Roman" w:cs="Times New Roman"/>
          <w:sz w:val="20"/>
          <w:szCs w:val="20"/>
        </w:rPr>
        <w:t xml:space="preserve">Researcher </w:t>
      </w:r>
      <w:r w:rsidRPr="0061689E">
        <w:rPr>
          <w:rFonts w:ascii="Times New Roman" w:hAnsi="Times New Roman" w:cs="Times New Roman"/>
          <w:color w:val="00B0F0"/>
          <w:sz w:val="20"/>
          <w:szCs w:val="20"/>
        </w:rPr>
        <w:t xml:space="preserve">[6] </w:t>
      </w:r>
      <w:r w:rsidRPr="0061689E">
        <w:rPr>
          <w:rFonts w:ascii="Times New Roman" w:hAnsi="Times New Roman" w:cs="Times New Roman"/>
          <w:sz w:val="20"/>
          <w:szCs w:val="20"/>
        </w:rPr>
        <w:t>observed oscillatory load behaviour at considerable displacements caused by sand collapse into the void created beneath the anchor with each upward displacement. Centrifuge experiment on horizontal plate anchors revealed that anchor geometry has a significant effect on dimensionless breakout factors and failure displacements. The plate anchors were arranged in a group to test the effect of plate spacing.</w:t>
      </w:r>
      <w:r w:rsidRPr="0061689E">
        <w:rPr>
          <w:sz w:val="20"/>
          <w:szCs w:val="20"/>
        </w:rPr>
        <w:t xml:space="preserve"> </w:t>
      </w:r>
      <w:r w:rsidRPr="0061689E">
        <w:rPr>
          <w:rFonts w:ascii="Times New Roman" w:hAnsi="Times New Roman" w:cs="Times New Roman"/>
          <w:sz w:val="20"/>
          <w:szCs w:val="20"/>
        </w:rPr>
        <w:t xml:space="preserve">Investigator </w:t>
      </w:r>
      <w:r w:rsidRPr="0061689E">
        <w:rPr>
          <w:rFonts w:ascii="Times New Roman" w:hAnsi="Times New Roman" w:cs="Times New Roman"/>
          <w:color w:val="00B0F0"/>
          <w:sz w:val="20"/>
          <w:szCs w:val="20"/>
        </w:rPr>
        <w:t>[</w:t>
      </w:r>
      <w:r w:rsidR="0099452B" w:rsidRPr="0061689E">
        <w:rPr>
          <w:rFonts w:ascii="Times New Roman" w:hAnsi="Times New Roman" w:cs="Times New Roman"/>
          <w:color w:val="00B0F0"/>
          <w:sz w:val="20"/>
          <w:szCs w:val="20"/>
        </w:rPr>
        <w:t>7</w:t>
      </w:r>
      <w:r w:rsidRPr="0061689E">
        <w:rPr>
          <w:rFonts w:ascii="Times New Roman" w:hAnsi="Times New Roman" w:cs="Times New Roman"/>
          <w:color w:val="00B0F0"/>
          <w:sz w:val="20"/>
          <w:szCs w:val="20"/>
        </w:rPr>
        <w:t>]</w:t>
      </w:r>
      <w:r w:rsidRPr="0061689E">
        <w:rPr>
          <w:rFonts w:ascii="Times New Roman" w:hAnsi="Times New Roman" w:cs="Times New Roman"/>
          <w:sz w:val="20"/>
          <w:szCs w:val="20"/>
        </w:rPr>
        <w:t xml:space="preserve"> suggested a potential approach for predicting how interaction would affect the pullout capacity of both model and full-scale anchors in a row arrangement. For all the pullout studies, a displacement restrained loading mechanism was used to record post-peak behaviour in detail. Numerous researchers</w:t>
      </w:r>
      <w:r w:rsidRPr="0061689E">
        <w:rPr>
          <w:rFonts w:ascii="Times New Roman" w:hAnsi="Times New Roman" w:cs="Times New Roman"/>
          <w:color w:val="FF0000"/>
          <w:sz w:val="20"/>
          <w:szCs w:val="20"/>
        </w:rPr>
        <w:t xml:space="preserve"> </w:t>
      </w:r>
      <w:r w:rsidRPr="0061689E">
        <w:rPr>
          <w:rFonts w:ascii="Times New Roman" w:hAnsi="Times New Roman" w:cs="Times New Roman"/>
          <w:color w:val="00B0F0"/>
          <w:sz w:val="20"/>
          <w:szCs w:val="20"/>
        </w:rPr>
        <w:t>[</w:t>
      </w:r>
      <w:r w:rsidR="0099452B" w:rsidRPr="0061689E">
        <w:rPr>
          <w:rFonts w:ascii="Times New Roman" w:hAnsi="Times New Roman" w:cs="Times New Roman"/>
          <w:color w:val="00B0F0"/>
          <w:sz w:val="20"/>
          <w:szCs w:val="20"/>
        </w:rPr>
        <w:t>8</w:t>
      </w:r>
      <w:r w:rsidRPr="0061689E">
        <w:rPr>
          <w:rFonts w:ascii="Times New Roman" w:hAnsi="Times New Roman" w:cs="Times New Roman"/>
          <w:color w:val="00B0F0"/>
          <w:sz w:val="20"/>
          <w:szCs w:val="20"/>
        </w:rPr>
        <w:t>]</w:t>
      </w:r>
      <w:r w:rsidRPr="0061689E">
        <w:rPr>
          <w:rFonts w:ascii="Times New Roman" w:hAnsi="Times New Roman" w:cs="Times New Roman"/>
          <w:sz w:val="20"/>
          <w:szCs w:val="20"/>
        </w:rPr>
        <w:t xml:space="preserve"> evaluated the impact of varying sand bed relative density. The authors arranged strata of dense and loose sand in various configurations to determine the effect on anchors' pullout capacity. Researcher </w:t>
      </w:r>
      <w:r w:rsidRPr="0061689E">
        <w:rPr>
          <w:rFonts w:ascii="Times New Roman" w:hAnsi="Times New Roman" w:cs="Times New Roman"/>
          <w:color w:val="00B0F0"/>
          <w:sz w:val="20"/>
          <w:szCs w:val="20"/>
        </w:rPr>
        <w:t>[9]</w:t>
      </w:r>
      <w:r w:rsidRPr="0061689E">
        <w:rPr>
          <w:rFonts w:ascii="Times New Roman" w:hAnsi="Times New Roman" w:cs="Times New Roman"/>
          <w:sz w:val="20"/>
          <w:szCs w:val="20"/>
        </w:rPr>
        <w:t xml:space="preserve"> suggested considering frictional resistance for limited-width anchors. Previous research </w:t>
      </w:r>
      <w:r w:rsidRPr="0061689E">
        <w:rPr>
          <w:rFonts w:ascii="Times New Roman" w:hAnsi="Times New Roman" w:cs="Times New Roman"/>
          <w:color w:val="00B0F0"/>
          <w:sz w:val="20"/>
          <w:szCs w:val="20"/>
        </w:rPr>
        <w:t xml:space="preserve">[7] </w:t>
      </w:r>
      <w:r w:rsidRPr="0061689E">
        <w:rPr>
          <w:rFonts w:ascii="Times New Roman" w:hAnsi="Times New Roman" w:cs="Times New Roman"/>
          <w:sz w:val="20"/>
          <w:szCs w:val="20"/>
        </w:rPr>
        <w:t xml:space="preserve">was conducted in smaller tanks and was limited to a small range of plate diameters. A combination of sand weight and shear resistance that was mobilised inside a predefined boundary or failure surface offered soil resistance to anchor plate. The pullout forces of anchors in frictional soils are calculated using a numerical approach that considers a broad range of anchor sizes, soil characteristics, embedment ratios, and analysis techniques. The numerical analyses, which take into consideration the roughness of the plate anchor, offer space for comprehension with a larger number of situations and enhanced combinations. Prior numerical investigations </w:t>
      </w:r>
      <w:r w:rsidRPr="0061689E">
        <w:rPr>
          <w:rFonts w:ascii="Times New Roman" w:hAnsi="Times New Roman" w:cs="Times New Roman"/>
          <w:color w:val="00B0F0"/>
          <w:sz w:val="20"/>
          <w:szCs w:val="20"/>
        </w:rPr>
        <w:t xml:space="preserve">[10] </w:t>
      </w:r>
      <w:r w:rsidRPr="0061689E">
        <w:rPr>
          <w:rFonts w:ascii="Times New Roman" w:hAnsi="Times New Roman" w:cs="Times New Roman"/>
          <w:sz w:val="20"/>
          <w:szCs w:val="20"/>
        </w:rPr>
        <w:t xml:space="preserve">of anchors in sand have mainly used straight forward analytical techniques like limit analysis, cavity expansion, and limiting equilibrium. Utilizing limit analysis techniques, the capacity of horizontal and vertical anchors in sand has been estimated </w:t>
      </w:r>
      <w:r w:rsidRPr="0061689E">
        <w:rPr>
          <w:rFonts w:ascii="Times New Roman" w:hAnsi="Times New Roman" w:cs="Times New Roman"/>
          <w:color w:val="00B0F0"/>
          <w:sz w:val="20"/>
          <w:szCs w:val="20"/>
        </w:rPr>
        <w:t>[11]</w:t>
      </w:r>
      <w:r w:rsidRPr="0061689E">
        <w:rPr>
          <w:rFonts w:ascii="Times New Roman" w:hAnsi="Times New Roman" w:cs="Times New Roman"/>
          <w:sz w:val="20"/>
          <w:szCs w:val="20"/>
        </w:rPr>
        <w:t>.</w:t>
      </w:r>
      <w:r w:rsidRPr="0061689E">
        <w:rPr>
          <w:rFonts w:ascii="Times New Roman" w:hAnsi="Times New Roman" w:cs="Times New Roman"/>
          <w:color w:val="00B0F0"/>
          <w:sz w:val="20"/>
          <w:szCs w:val="20"/>
        </w:rPr>
        <w:t xml:space="preserve"> </w:t>
      </w:r>
      <w:r w:rsidRPr="0061689E">
        <w:rPr>
          <w:rFonts w:ascii="Times New Roman" w:hAnsi="Times New Roman" w:cs="Times New Roman"/>
          <w:sz w:val="20"/>
          <w:szCs w:val="20"/>
        </w:rPr>
        <w:t xml:space="preserve">Researcher </w:t>
      </w:r>
      <w:r w:rsidRPr="0061689E">
        <w:rPr>
          <w:rFonts w:ascii="Times New Roman" w:hAnsi="Times New Roman" w:cs="Times New Roman"/>
          <w:color w:val="00B0F0"/>
          <w:sz w:val="20"/>
          <w:szCs w:val="20"/>
        </w:rPr>
        <w:t xml:space="preserve">[12] </w:t>
      </w:r>
      <w:r w:rsidRPr="0061689E">
        <w:rPr>
          <w:rFonts w:ascii="Times New Roman" w:hAnsi="Times New Roman" w:cs="Times New Roman"/>
          <w:sz w:val="20"/>
          <w:szCs w:val="20"/>
        </w:rPr>
        <w:t>presented a novel rigorous limiting stress field solution. The above literature reveals that many numerical studies on square, circular, and strip anchors have been conducted. The H-shaped anchor has not been the subject of any research till date. The authors intend to fill this research gap. In this study, the pullout capacity of H-shaped multi-plate anchors has been investigated numerically using the ABAQUS, and comparisons has been made with the square plate anchors.</w:t>
      </w:r>
    </w:p>
    <w:p w14:paraId="366FFB37" w14:textId="51C8DE19" w:rsidR="007565E8" w:rsidRPr="006E59F1" w:rsidRDefault="00985FFF" w:rsidP="007162CD">
      <w:pPr>
        <w:pStyle w:val="ListParagraph"/>
        <w:numPr>
          <w:ilvl w:val="0"/>
          <w:numId w:val="1"/>
        </w:numPr>
        <w:spacing w:line="360" w:lineRule="auto"/>
        <w:jc w:val="both"/>
        <w:rPr>
          <w:rFonts w:ascii="Times New Roman" w:hAnsi="Times New Roman" w:cs="Times New Roman"/>
          <w:b/>
          <w:bCs/>
          <w:sz w:val="20"/>
          <w:szCs w:val="20"/>
          <w:lang w:val="en-US"/>
        </w:rPr>
      </w:pPr>
      <w:r w:rsidRPr="006E59F1">
        <w:rPr>
          <w:rFonts w:ascii="Times New Roman" w:hAnsi="Times New Roman" w:cs="Times New Roman"/>
          <w:b/>
          <w:bCs/>
          <w:sz w:val="20"/>
          <w:szCs w:val="20"/>
          <w:lang w:val="en-US"/>
        </w:rPr>
        <w:lastRenderedPageBreak/>
        <w:t>PROBLEM DEFINITION AND PARAMETERS</w:t>
      </w:r>
      <w:r w:rsidR="00D21500">
        <w:rPr>
          <w:rFonts w:ascii="Times New Roman" w:hAnsi="Times New Roman" w:cs="Times New Roman"/>
          <w:b/>
          <w:bCs/>
          <w:sz w:val="20"/>
          <w:szCs w:val="20"/>
          <w:lang w:val="en-US"/>
        </w:rPr>
        <w:t xml:space="preserve"> VARIED</w:t>
      </w:r>
    </w:p>
    <w:p w14:paraId="429776AB" w14:textId="346D62DB" w:rsidR="007565E8" w:rsidRDefault="0008418F" w:rsidP="004A791F">
      <w:pPr>
        <w:spacing w:line="360" w:lineRule="auto"/>
        <w:jc w:val="both"/>
        <w:rPr>
          <w:rFonts w:ascii="Times New Roman" w:hAnsi="Times New Roman" w:cs="Times New Roman"/>
          <w:sz w:val="20"/>
          <w:szCs w:val="20"/>
        </w:rPr>
      </w:pPr>
      <w:r w:rsidRPr="006E59F1">
        <w:rPr>
          <w:rFonts w:ascii="Times New Roman" w:hAnsi="Times New Roman" w:cs="Times New Roman"/>
          <w:sz w:val="20"/>
          <w:szCs w:val="20"/>
        </w:rPr>
        <w:t xml:space="preserve">Anchor plate used in the present study were SPA, DPA, TPA as shown in </w:t>
      </w:r>
      <w:r w:rsidRPr="003222A2">
        <w:rPr>
          <w:rFonts w:ascii="Times New Roman" w:hAnsi="Times New Roman" w:cs="Times New Roman"/>
          <w:b/>
          <w:bCs/>
          <w:color w:val="00B0F0"/>
          <w:sz w:val="20"/>
          <w:szCs w:val="20"/>
        </w:rPr>
        <w:t>Fig.1</w:t>
      </w:r>
      <w:r w:rsidRPr="006E59F1">
        <w:rPr>
          <w:rFonts w:ascii="Times New Roman" w:hAnsi="Times New Roman" w:cs="Times New Roman"/>
          <w:sz w:val="20"/>
          <w:szCs w:val="20"/>
        </w:rPr>
        <w:t>.</w:t>
      </w:r>
      <w:r>
        <w:rPr>
          <w:rFonts w:ascii="Times New Roman" w:hAnsi="Times New Roman" w:cs="Times New Roman"/>
          <w:sz w:val="20"/>
          <w:szCs w:val="20"/>
        </w:rPr>
        <w:t xml:space="preserve"> </w:t>
      </w:r>
      <w:r w:rsidR="007565E8" w:rsidRPr="006E59F1">
        <w:rPr>
          <w:rFonts w:ascii="Times New Roman" w:hAnsi="Times New Roman" w:cs="Times New Roman"/>
          <w:color w:val="252525"/>
          <w:sz w:val="20"/>
          <w:szCs w:val="20"/>
        </w:rPr>
        <w:t>In the research, several horizontal plate anchors models of differing thickness (t) and different diameters of tie rods (d) are embedded in a sand bed of varying relative densities, such as loose, medium, and dense sand, at variable embedment depths (h). The horizontal plate anchors used are single-plate anchors, double-plate anchor</w:t>
      </w:r>
      <w:r w:rsidR="00EF4052" w:rsidRPr="006E59F1">
        <w:rPr>
          <w:rFonts w:ascii="Times New Roman" w:hAnsi="Times New Roman" w:cs="Times New Roman"/>
          <w:color w:val="252525"/>
          <w:sz w:val="20"/>
          <w:szCs w:val="20"/>
        </w:rPr>
        <w:t>s,</w:t>
      </w:r>
      <w:r w:rsidR="007565E8" w:rsidRPr="006E59F1">
        <w:rPr>
          <w:rFonts w:ascii="Times New Roman" w:hAnsi="Times New Roman" w:cs="Times New Roman"/>
          <w:color w:val="252525"/>
          <w:sz w:val="20"/>
          <w:szCs w:val="20"/>
        </w:rPr>
        <w:t xml:space="preserve"> and triple-plate anchors</w:t>
      </w:r>
      <w:r w:rsidR="00EF4052" w:rsidRPr="006E59F1">
        <w:rPr>
          <w:rFonts w:ascii="Times New Roman" w:hAnsi="Times New Roman" w:cs="Times New Roman"/>
          <w:color w:val="252525"/>
          <w:sz w:val="20"/>
          <w:szCs w:val="20"/>
        </w:rPr>
        <w:t xml:space="preserve">. </w:t>
      </w:r>
      <w:r w:rsidR="007565E8" w:rsidRPr="006E59F1">
        <w:rPr>
          <w:rFonts w:ascii="Times New Roman" w:hAnsi="Times New Roman" w:cs="Times New Roman"/>
          <w:color w:val="252525"/>
          <w:sz w:val="20"/>
          <w:szCs w:val="20"/>
        </w:rPr>
        <w:t xml:space="preserve">Numerous anchor plates are placed in various positions by varying the spacing between them. Numerical analyses are carried out to determine the </w:t>
      </w:r>
      <w:r w:rsidR="00380A9C" w:rsidRPr="006E59F1">
        <w:rPr>
          <w:rFonts w:ascii="Times New Roman" w:hAnsi="Times New Roman" w:cs="Times New Roman"/>
          <w:color w:val="252525"/>
          <w:sz w:val="20"/>
          <w:szCs w:val="20"/>
        </w:rPr>
        <w:t>pullout capacity</w:t>
      </w:r>
      <w:r w:rsidR="007565E8" w:rsidRPr="006E59F1">
        <w:rPr>
          <w:rFonts w:ascii="Times New Roman" w:hAnsi="Times New Roman" w:cs="Times New Roman"/>
          <w:color w:val="252525"/>
          <w:sz w:val="20"/>
          <w:szCs w:val="20"/>
        </w:rPr>
        <w:t xml:space="preserve"> of the </w:t>
      </w:r>
      <w:r w:rsidR="00A96F6E">
        <w:rPr>
          <w:rFonts w:ascii="Times New Roman" w:hAnsi="Times New Roman" w:cs="Times New Roman"/>
          <w:color w:val="252525"/>
          <w:sz w:val="20"/>
          <w:szCs w:val="20"/>
        </w:rPr>
        <w:t>H shaped</w:t>
      </w:r>
      <w:r w:rsidR="007565E8" w:rsidRPr="006E59F1">
        <w:rPr>
          <w:rFonts w:ascii="Times New Roman" w:hAnsi="Times New Roman" w:cs="Times New Roman"/>
          <w:color w:val="252525"/>
          <w:sz w:val="20"/>
          <w:szCs w:val="20"/>
        </w:rPr>
        <w:t xml:space="preserve"> multi-plate anchor and to compare them to</w:t>
      </w:r>
      <w:r w:rsidR="00147A1D" w:rsidRPr="006E59F1">
        <w:rPr>
          <w:rFonts w:ascii="Times New Roman" w:hAnsi="Times New Roman" w:cs="Times New Roman"/>
          <w:color w:val="252525"/>
          <w:sz w:val="20"/>
          <w:szCs w:val="20"/>
        </w:rPr>
        <w:t xml:space="preserve"> the</w:t>
      </w:r>
      <w:r w:rsidR="007565E8" w:rsidRPr="006E59F1">
        <w:rPr>
          <w:rFonts w:ascii="Times New Roman" w:hAnsi="Times New Roman" w:cs="Times New Roman"/>
          <w:color w:val="252525"/>
          <w:sz w:val="20"/>
          <w:szCs w:val="20"/>
        </w:rPr>
        <w:t xml:space="preserve"> </w:t>
      </w:r>
      <w:r w:rsidR="00A96F6E">
        <w:rPr>
          <w:rFonts w:ascii="Times New Roman" w:hAnsi="Times New Roman" w:cs="Times New Roman"/>
          <w:color w:val="252525"/>
          <w:sz w:val="20"/>
          <w:szCs w:val="20"/>
        </w:rPr>
        <w:t>H shaped</w:t>
      </w:r>
      <w:r w:rsidR="007565E8" w:rsidRPr="006E59F1">
        <w:rPr>
          <w:rFonts w:ascii="Times New Roman" w:hAnsi="Times New Roman" w:cs="Times New Roman"/>
          <w:color w:val="252525"/>
          <w:sz w:val="20"/>
          <w:szCs w:val="20"/>
        </w:rPr>
        <w:t xml:space="preserve"> single-plate anchor and to pr</w:t>
      </w:r>
      <w:r w:rsidR="00A07181" w:rsidRPr="006E59F1">
        <w:rPr>
          <w:rFonts w:ascii="Times New Roman" w:hAnsi="Times New Roman" w:cs="Times New Roman"/>
          <w:color w:val="252525"/>
          <w:sz w:val="20"/>
          <w:szCs w:val="20"/>
        </w:rPr>
        <w:t>ior</w:t>
      </w:r>
      <w:r w:rsidR="007565E8" w:rsidRPr="006E59F1">
        <w:rPr>
          <w:rFonts w:ascii="Times New Roman" w:hAnsi="Times New Roman" w:cs="Times New Roman"/>
          <w:color w:val="252525"/>
          <w:sz w:val="20"/>
          <w:szCs w:val="20"/>
        </w:rPr>
        <w:t xml:space="preserve"> studies</w:t>
      </w:r>
      <w:r w:rsidR="00CC0304">
        <w:rPr>
          <w:rFonts w:ascii="Times New Roman" w:hAnsi="Times New Roman" w:cs="Times New Roman"/>
          <w:color w:val="252525"/>
          <w:sz w:val="20"/>
          <w:szCs w:val="20"/>
        </w:rPr>
        <w:t xml:space="preserve"> on the square plate anchors</w:t>
      </w:r>
      <w:r w:rsidR="007565E8" w:rsidRPr="006E59F1">
        <w:rPr>
          <w:rFonts w:ascii="Times New Roman" w:hAnsi="Times New Roman" w:cs="Times New Roman"/>
          <w:color w:val="252525"/>
          <w:sz w:val="20"/>
          <w:szCs w:val="20"/>
        </w:rPr>
        <w:t xml:space="preserve">. </w:t>
      </w:r>
      <w:r w:rsidR="0064316D" w:rsidRPr="006E59F1">
        <w:rPr>
          <w:rFonts w:ascii="Times New Roman" w:hAnsi="Times New Roman" w:cs="Times New Roman"/>
          <w:color w:val="000000" w:themeColor="text1"/>
          <w:sz w:val="20"/>
          <w:szCs w:val="20"/>
        </w:rPr>
        <w:t>The dimensions of the sand model</w:t>
      </w:r>
      <w:r w:rsidR="007565E8" w:rsidRPr="006E59F1">
        <w:rPr>
          <w:rFonts w:ascii="Times New Roman" w:hAnsi="Times New Roman" w:cs="Times New Roman"/>
          <w:color w:val="000000" w:themeColor="text1"/>
          <w:sz w:val="20"/>
          <w:szCs w:val="20"/>
        </w:rPr>
        <w:t xml:space="preserve"> are 13m long, 13m wide, and </w:t>
      </w:r>
      <w:r w:rsidR="0064316D">
        <w:rPr>
          <w:rFonts w:ascii="Times New Roman" w:hAnsi="Times New Roman" w:cs="Times New Roman"/>
          <w:color w:val="000000" w:themeColor="text1"/>
          <w:sz w:val="20"/>
          <w:szCs w:val="20"/>
        </w:rPr>
        <w:t>60 m deep. The anchor plate size used was</w:t>
      </w:r>
      <w:r w:rsidR="007565E8" w:rsidRPr="006E59F1">
        <w:rPr>
          <w:rFonts w:ascii="Times New Roman" w:hAnsi="Times New Roman" w:cs="Times New Roman"/>
          <w:color w:val="000000" w:themeColor="text1"/>
          <w:sz w:val="20"/>
          <w:szCs w:val="20"/>
        </w:rPr>
        <w:t xml:space="preserve"> 2m long, 2m wide</w:t>
      </w:r>
      <w:r w:rsidR="006B7C75" w:rsidRPr="006E59F1">
        <w:rPr>
          <w:rFonts w:ascii="Times New Roman" w:hAnsi="Times New Roman" w:cs="Times New Roman"/>
          <w:color w:val="000000" w:themeColor="text1"/>
          <w:sz w:val="20"/>
          <w:szCs w:val="20"/>
        </w:rPr>
        <w:t xml:space="preserve"> </w:t>
      </w:r>
      <w:r w:rsidR="00513EF2" w:rsidRPr="006E59F1">
        <w:rPr>
          <w:rFonts w:ascii="Times New Roman" w:hAnsi="Times New Roman" w:cs="Times New Roman"/>
          <w:color w:val="000000" w:themeColor="text1"/>
          <w:sz w:val="20"/>
          <w:szCs w:val="20"/>
        </w:rPr>
        <w:t xml:space="preserve">as shown in </w:t>
      </w:r>
      <w:r w:rsidRPr="003222A2">
        <w:rPr>
          <w:rFonts w:ascii="Times New Roman" w:hAnsi="Times New Roman" w:cs="Times New Roman"/>
          <w:b/>
          <w:bCs/>
          <w:color w:val="00B0F0"/>
          <w:sz w:val="20"/>
          <w:szCs w:val="20"/>
        </w:rPr>
        <w:t>F</w:t>
      </w:r>
      <w:r w:rsidR="00513EF2" w:rsidRPr="003222A2">
        <w:rPr>
          <w:rFonts w:ascii="Times New Roman" w:hAnsi="Times New Roman" w:cs="Times New Roman"/>
          <w:b/>
          <w:bCs/>
          <w:color w:val="00B0F0"/>
          <w:sz w:val="20"/>
          <w:szCs w:val="20"/>
        </w:rPr>
        <w:t>ig 2</w:t>
      </w:r>
      <w:r w:rsidR="000C4E4B" w:rsidRPr="003222A2">
        <w:rPr>
          <w:rFonts w:ascii="Times New Roman" w:hAnsi="Times New Roman" w:cs="Times New Roman"/>
          <w:b/>
          <w:bCs/>
          <w:color w:val="00B0F0"/>
          <w:sz w:val="20"/>
          <w:szCs w:val="20"/>
        </w:rPr>
        <w:t xml:space="preserve">(a) </w:t>
      </w:r>
      <w:r w:rsidR="000C4E4B" w:rsidRPr="00924DCF">
        <w:rPr>
          <w:rFonts w:ascii="Times New Roman" w:hAnsi="Times New Roman" w:cs="Times New Roman"/>
          <w:sz w:val="20"/>
          <w:szCs w:val="20"/>
        </w:rPr>
        <w:t>and</w:t>
      </w:r>
      <w:r w:rsidR="000C4E4B" w:rsidRPr="003222A2">
        <w:rPr>
          <w:rFonts w:ascii="Times New Roman" w:hAnsi="Times New Roman" w:cs="Times New Roman"/>
          <w:b/>
          <w:bCs/>
          <w:color w:val="00B0F0"/>
          <w:sz w:val="20"/>
          <w:szCs w:val="20"/>
        </w:rPr>
        <w:t xml:space="preserve"> </w:t>
      </w:r>
      <w:r w:rsidRPr="003222A2">
        <w:rPr>
          <w:rFonts w:ascii="Times New Roman" w:hAnsi="Times New Roman" w:cs="Times New Roman"/>
          <w:b/>
          <w:bCs/>
          <w:color w:val="00B0F0"/>
          <w:sz w:val="20"/>
          <w:szCs w:val="20"/>
        </w:rPr>
        <w:t xml:space="preserve">Fig. </w:t>
      </w:r>
      <w:r w:rsidR="000C4E4B" w:rsidRPr="003222A2">
        <w:rPr>
          <w:rFonts w:ascii="Times New Roman" w:hAnsi="Times New Roman" w:cs="Times New Roman"/>
          <w:b/>
          <w:bCs/>
          <w:color w:val="00B0F0"/>
          <w:sz w:val="20"/>
          <w:szCs w:val="20"/>
        </w:rPr>
        <w:t>2(b</w:t>
      </w:r>
      <w:r w:rsidR="00513EF2" w:rsidRPr="003222A2">
        <w:rPr>
          <w:rFonts w:ascii="Times New Roman" w:hAnsi="Times New Roman" w:cs="Times New Roman"/>
          <w:b/>
          <w:bCs/>
          <w:color w:val="00B0F0"/>
          <w:sz w:val="20"/>
          <w:szCs w:val="20"/>
        </w:rPr>
        <w:t>)</w:t>
      </w:r>
      <w:r w:rsidR="007565E8" w:rsidRPr="006E59F1">
        <w:rPr>
          <w:rFonts w:ascii="Times New Roman" w:hAnsi="Times New Roman" w:cs="Times New Roman"/>
          <w:color w:val="000000" w:themeColor="text1"/>
          <w:sz w:val="20"/>
          <w:szCs w:val="20"/>
        </w:rPr>
        <w:t xml:space="preserve">, and have a variable thickness (0.1m, 0.25m, and 0,50m). </w:t>
      </w:r>
      <w:r w:rsidR="007565E8" w:rsidRPr="006E59F1">
        <w:rPr>
          <w:rFonts w:ascii="Times New Roman" w:hAnsi="Times New Roman" w:cs="Times New Roman"/>
          <w:color w:val="252525"/>
          <w:sz w:val="20"/>
          <w:szCs w:val="20"/>
        </w:rPr>
        <w:t>The unit weight, friction angle</w:t>
      </w:r>
      <w:r w:rsidR="003C7321">
        <w:rPr>
          <w:rFonts w:ascii="Times New Roman" w:hAnsi="Times New Roman" w:cs="Times New Roman"/>
          <w:color w:val="252525"/>
          <w:sz w:val="20"/>
          <w:szCs w:val="20"/>
        </w:rPr>
        <w:t>, m</w:t>
      </w:r>
      <w:r w:rsidR="003C7321" w:rsidRPr="006E59F1">
        <w:rPr>
          <w:rFonts w:ascii="Times New Roman" w:hAnsi="Times New Roman" w:cs="Times New Roman"/>
          <w:color w:val="252525"/>
          <w:sz w:val="20"/>
          <w:szCs w:val="20"/>
        </w:rPr>
        <w:t>odulus of elasticity</w:t>
      </w:r>
      <w:r w:rsidR="003C7321">
        <w:rPr>
          <w:rFonts w:ascii="Times New Roman" w:hAnsi="Times New Roman" w:cs="Times New Roman"/>
          <w:color w:val="252525"/>
          <w:sz w:val="20"/>
          <w:szCs w:val="20"/>
        </w:rPr>
        <w:t>,</w:t>
      </w:r>
      <w:r w:rsidR="003C7321" w:rsidRPr="006E59F1">
        <w:rPr>
          <w:rFonts w:ascii="Times New Roman" w:hAnsi="Times New Roman" w:cs="Times New Roman"/>
          <w:color w:val="252525"/>
          <w:sz w:val="20"/>
          <w:szCs w:val="20"/>
        </w:rPr>
        <w:t xml:space="preserve"> dilation angles</w:t>
      </w:r>
      <w:r w:rsidR="003C7321">
        <w:rPr>
          <w:rFonts w:ascii="Times New Roman" w:hAnsi="Times New Roman" w:cs="Times New Roman"/>
          <w:color w:val="252525"/>
          <w:sz w:val="20"/>
          <w:szCs w:val="20"/>
        </w:rPr>
        <w:t xml:space="preserve"> and</w:t>
      </w:r>
      <w:r w:rsidR="007565E8" w:rsidRPr="006E59F1">
        <w:rPr>
          <w:rFonts w:ascii="Times New Roman" w:hAnsi="Times New Roman" w:cs="Times New Roman"/>
          <w:color w:val="252525"/>
          <w:sz w:val="20"/>
          <w:szCs w:val="20"/>
        </w:rPr>
        <w:t xml:space="preserve"> poisons ratio </w:t>
      </w:r>
      <w:r w:rsidR="003C7321">
        <w:rPr>
          <w:rFonts w:ascii="Times New Roman" w:hAnsi="Times New Roman" w:cs="Times New Roman"/>
          <w:color w:val="252525"/>
          <w:sz w:val="20"/>
          <w:szCs w:val="20"/>
        </w:rPr>
        <w:t>of the</w:t>
      </w:r>
      <w:r w:rsidR="007565E8" w:rsidRPr="006E59F1">
        <w:rPr>
          <w:rFonts w:ascii="Times New Roman" w:hAnsi="Times New Roman" w:cs="Times New Roman"/>
          <w:color w:val="252525"/>
          <w:sz w:val="20"/>
          <w:szCs w:val="20"/>
        </w:rPr>
        <w:t xml:space="preserve"> sand</w:t>
      </w:r>
      <w:r w:rsidR="000A014B" w:rsidRPr="006E59F1">
        <w:rPr>
          <w:rFonts w:ascii="Times New Roman" w:hAnsi="Times New Roman" w:cs="Times New Roman"/>
          <w:color w:val="252525"/>
          <w:sz w:val="20"/>
          <w:szCs w:val="20"/>
        </w:rPr>
        <w:t xml:space="preserve"> </w:t>
      </w:r>
      <w:r w:rsidR="003C7321">
        <w:rPr>
          <w:rFonts w:ascii="Times New Roman" w:hAnsi="Times New Roman" w:cs="Times New Roman"/>
          <w:color w:val="252525"/>
          <w:sz w:val="20"/>
          <w:szCs w:val="20"/>
        </w:rPr>
        <w:t xml:space="preserve">used in modelling </w:t>
      </w:r>
      <w:r w:rsidR="000A014B" w:rsidRPr="006E59F1">
        <w:rPr>
          <w:rFonts w:ascii="Times New Roman" w:hAnsi="Times New Roman" w:cs="Times New Roman"/>
          <w:color w:val="252525"/>
          <w:sz w:val="20"/>
          <w:szCs w:val="20"/>
        </w:rPr>
        <w:t>are</w:t>
      </w:r>
      <w:r w:rsidR="007565E8" w:rsidRPr="006E59F1">
        <w:rPr>
          <w:rFonts w:ascii="Times New Roman" w:hAnsi="Times New Roman" w:cs="Times New Roman"/>
          <w:color w:val="252525"/>
          <w:sz w:val="20"/>
          <w:szCs w:val="20"/>
        </w:rPr>
        <w:t xml:space="preserve"> </w:t>
      </w:r>
      <w:r w:rsidR="003C7321">
        <w:rPr>
          <w:rFonts w:ascii="Times New Roman" w:hAnsi="Times New Roman" w:cs="Times New Roman"/>
          <w:color w:val="252525"/>
          <w:sz w:val="20"/>
          <w:szCs w:val="20"/>
        </w:rPr>
        <w:t>given</w:t>
      </w:r>
      <w:r w:rsidR="007565E8" w:rsidRPr="006E59F1">
        <w:rPr>
          <w:rFonts w:ascii="Times New Roman" w:hAnsi="Times New Roman" w:cs="Times New Roman"/>
          <w:color w:val="252525"/>
          <w:sz w:val="20"/>
          <w:szCs w:val="20"/>
        </w:rPr>
        <w:t xml:space="preserve"> in </w:t>
      </w:r>
      <w:r w:rsidR="007565E8" w:rsidRPr="003222A2">
        <w:rPr>
          <w:rFonts w:ascii="Times New Roman" w:hAnsi="Times New Roman" w:cs="Times New Roman"/>
          <w:b/>
          <w:bCs/>
          <w:color w:val="00B0F0"/>
          <w:sz w:val="20"/>
          <w:szCs w:val="20"/>
        </w:rPr>
        <w:t>Table</w:t>
      </w:r>
      <w:r w:rsidR="003C7321" w:rsidRPr="003222A2">
        <w:rPr>
          <w:rFonts w:ascii="Times New Roman" w:hAnsi="Times New Roman" w:cs="Times New Roman"/>
          <w:b/>
          <w:bCs/>
          <w:color w:val="00B0F0"/>
          <w:sz w:val="20"/>
          <w:szCs w:val="20"/>
        </w:rPr>
        <w:t xml:space="preserve"> </w:t>
      </w:r>
      <w:r w:rsidR="00E139E9" w:rsidRPr="003222A2">
        <w:rPr>
          <w:rFonts w:ascii="Times New Roman" w:hAnsi="Times New Roman" w:cs="Times New Roman"/>
          <w:b/>
          <w:bCs/>
          <w:color w:val="00B0F0"/>
          <w:sz w:val="20"/>
          <w:szCs w:val="20"/>
        </w:rPr>
        <w:t>1</w:t>
      </w:r>
      <w:r w:rsidR="003C7321">
        <w:rPr>
          <w:rFonts w:ascii="Times New Roman" w:hAnsi="Times New Roman" w:cs="Times New Roman"/>
          <w:b/>
          <w:bCs/>
          <w:color w:val="252525"/>
          <w:sz w:val="20"/>
          <w:szCs w:val="20"/>
        </w:rPr>
        <w:t xml:space="preserve"> </w:t>
      </w:r>
      <w:r w:rsidR="003C7321" w:rsidRPr="003C7321">
        <w:rPr>
          <w:rFonts w:ascii="Times New Roman" w:hAnsi="Times New Roman" w:cs="Times New Roman"/>
          <w:color w:val="252525"/>
          <w:sz w:val="20"/>
          <w:szCs w:val="20"/>
        </w:rPr>
        <w:t xml:space="preserve">whereas the properties for the anchor plates are given in </w:t>
      </w:r>
      <w:r w:rsidR="00D60DDD" w:rsidRPr="003222A2">
        <w:rPr>
          <w:rFonts w:ascii="Times New Roman" w:hAnsi="Times New Roman" w:cs="Times New Roman"/>
          <w:b/>
          <w:bCs/>
          <w:color w:val="00B0F0"/>
          <w:sz w:val="20"/>
          <w:szCs w:val="20"/>
        </w:rPr>
        <w:t>Table 2</w:t>
      </w:r>
      <w:r w:rsidR="00D60DDD" w:rsidRPr="006E59F1">
        <w:rPr>
          <w:rFonts w:ascii="Times New Roman" w:hAnsi="Times New Roman" w:cs="Times New Roman"/>
          <w:sz w:val="20"/>
          <w:szCs w:val="20"/>
        </w:rPr>
        <w:t>.</w:t>
      </w:r>
    </w:p>
    <w:p w14:paraId="47B054AA" w14:textId="64E62002" w:rsidR="007565E8" w:rsidRPr="006E59F1" w:rsidRDefault="00D21500" w:rsidP="007162CD">
      <w:pPr>
        <w:pStyle w:val="ListParagraph"/>
        <w:numPr>
          <w:ilvl w:val="0"/>
          <w:numId w:val="1"/>
        </w:numPr>
        <w:spacing w:line="360" w:lineRule="auto"/>
        <w:jc w:val="both"/>
        <w:rPr>
          <w:rFonts w:ascii="Times New Roman" w:hAnsi="Times New Roman" w:cs="Times New Roman"/>
          <w:b/>
          <w:bCs/>
          <w:sz w:val="20"/>
          <w:szCs w:val="20"/>
        </w:rPr>
      </w:pPr>
      <w:r>
        <w:rPr>
          <w:rFonts w:ascii="Times New Roman" w:hAnsi="Times New Roman" w:cs="Times New Roman"/>
          <w:b/>
          <w:bCs/>
          <w:sz w:val="20"/>
          <w:szCs w:val="20"/>
        </w:rPr>
        <w:t>BOUNDARY CONDITION</w:t>
      </w:r>
      <w:r w:rsidR="00985FFF" w:rsidRPr="006E59F1">
        <w:rPr>
          <w:rFonts w:ascii="Times New Roman" w:hAnsi="Times New Roman" w:cs="Times New Roman"/>
          <w:b/>
          <w:bCs/>
          <w:sz w:val="20"/>
          <w:szCs w:val="20"/>
        </w:rPr>
        <w:t xml:space="preserve"> AND </w:t>
      </w:r>
      <w:r w:rsidR="008B2F96">
        <w:rPr>
          <w:rFonts w:ascii="Times New Roman" w:hAnsi="Times New Roman" w:cs="Times New Roman"/>
          <w:b/>
          <w:bCs/>
          <w:sz w:val="20"/>
          <w:szCs w:val="20"/>
        </w:rPr>
        <w:t xml:space="preserve">MESH </w:t>
      </w:r>
      <w:r w:rsidR="00985FFF" w:rsidRPr="006E59F1">
        <w:rPr>
          <w:rFonts w:ascii="Times New Roman" w:hAnsi="Times New Roman" w:cs="Times New Roman"/>
          <w:b/>
          <w:bCs/>
          <w:sz w:val="20"/>
          <w:szCs w:val="20"/>
        </w:rPr>
        <w:t>CONVERGENCE STUDY</w:t>
      </w:r>
    </w:p>
    <w:p w14:paraId="66DD613C" w14:textId="693CD990" w:rsidR="000C0C19" w:rsidRDefault="007565E8" w:rsidP="007162CD">
      <w:pPr>
        <w:spacing w:line="360" w:lineRule="auto"/>
        <w:jc w:val="both"/>
        <w:rPr>
          <w:rFonts w:ascii="Times New Roman" w:hAnsi="Times New Roman" w:cs="Times New Roman"/>
          <w:sz w:val="20"/>
          <w:szCs w:val="20"/>
        </w:rPr>
      </w:pPr>
      <w:r w:rsidRPr="006E59F1">
        <w:rPr>
          <w:rFonts w:ascii="Times New Roman" w:hAnsi="Times New Roman" w:cs="Times New Roman"/>
          <w:sz w:val="20"/>
          <w:szCs w:val="20"/>
        </w:rPr>
        <w:t xml:space="preserve">ABAQUS </w:t>
      </w:r>
      <w:r w:rsidR="00D97F2B">
        <w:rPr>
          <w:rFonts w:ascii="Times New Roman" w:hAnsi="Times New Roman" w:cs="Times New Roman"/>
          <w:sz w:val="20"/>
          <w:szCs w:val="20"/>
        </w:rPr>
        <w:t>was used</w:t>
      </w:r>
      <w:r w:rsidRPr="006E59F1">
        <w:rPr>
          <w:rFonts w:ascii="Times New Roman" w:hAnsi="Times New Roman" w:cs="Times New Roman"/>
          <w:sz w:val="20"/>
          <w:szCs w:val="20"/>
        </w:rPr>
        <w:t xml:space="preserve"> to develop a</w:t>
      </w:r>
      <w:r w:rsidR="00C22A0B" w:rsidRPr="006E59F1">
        <w:rPr>
          <w:rFonts w:ascii="Times New Roman" w:hAnsi="Times New Roman" w:cs="Times New Roman"/>
          <w:sz w:val="20"/>
          <w:szCs w:val="20"/>
        </w:rPr>
        <w:t xml:space="preserve"> three-dimensional finite element</w:t>
      </w:r>
      <w:r w:rsidRPr="006E59F1">
        <w:rPr>
          <w:rFonts w:ascii="Times New Roman" w:hAnsi="Times New Roman" w:cs="Times New Roman"/>
          <w:sz w:val="20"/>
          <w:szCs w:val="20"/>
        </w:rPr>
        <w:t xml:space="preserve"> model of </w:t>
      </w:r>
      <w:r w:rsidR="00D97F2B">
        <w:rPr>
          <w:rFonts w:ascii="Times New Roman" w:hAnsi="Times New Roman" w:cs="Times New Roman"/>
          <w:sz w:val="20"/>
          <w:szCs w:val="20"/>
        </w:rPr>
        <w:t>H shaped</w:t>
      </w:r>
      <w:r w:rsidRPr="006E59F1">
        <w:rPr>
          <w:rFonts w:ascii="Times New Roman" w:hAnsi="Times New Roman" w:cs="Times New Roman"/>
          <w:sz w:val="20"/>
          <w:szCs w:val="20"/>
        </w:rPr>
        <w:t xml:space="preserve"> plate anchor</w:t>
      </w:r>
      <w:r w:rsidR="00C22A0B" w:rsidRPr="006E59F1">
        <w:rPr>
          <w:rFonts w:ascii="Times New Roman" w:hAnsi="Times New Roman" w:cs="Times New Roman"/>
          <w:sz w:val="20"/>
          <w:szCs w:val="20"/>
        </w:rPr>
        <w:t xml:space="preserve"> embed</w:t>
      </w:r>
      <w:r w:rsidR="00E25494" w:rsidRPr="006E59F1">
        <w:rPr>
          <w:rFonts w:ascii="Times New Roman" w:hAnsi="Times New Roman" w:cs="Times New Roman"/>
          <w:sz w:val="20"/>
          <w:szCs w:val="20"/>
        </w:rPr>
        <w:t>ded in sand</w:t>
      </w:r>
      <w:r w:rsidRPr="006E59F1">
        <w:rPr>
          <w:rFonts w:ascii="Times New Roman" w:hAnsi="Times New Roman" w:cs="Times New Roman"/>
          <w:sz w:val="20"/>
          <w:szCs w:val="20"/>
        </w:rPr>
        <w:t xml:space="preserve">. Sand and the anchor plate </w:t>
      </w:r>
      <w:r w:rsidR="006F46B5" w:rsidRPr="006E59F1">
        <w:rPr>
          <w:rFonts w:ascii="Times New Roman" w:hAnsi="Times New Roman" w:cs="Times New Roman"/>
          <w:sz w:val="20"/>
          <w:szCs w:val="20"/>
        </w:rPr>
        <w:t>were</w:t>
      </w:r>
      <w:r w:rsidRPr="006E59F1">
        <w:rPr>
          <w:rFonts w:ascii="Times New Roman" w:hAnsi="Times New Roman" w:cs="Times New Roman"/>
          <w:sz w:val="20"/>
          <w:szCs w:val="20"/>
        </w:rPr>
        <w:t xml:space="preserve"> in rigid contact. The friction coefficient between the plate anchor and the soil is assumed to be 0.2</w:t>
      </w:r>
      <w:r w:rsidR="006F46B5">
        <w:rPr>
          <w:rFonts w:ascii="Times New Roman" w:hAnsi="Times New Roman" w:cs="Times New Roman"/>
          <w:sz w:val="20"/>
          <w:szCs w:val="20"/>
        </w:rPr>
        <w:t xml:space="preserve"> as per </w:t>
      </w:r>
      <w:r w:rsidR="002E3C80" w:rsidRPr="00D60D17">
        <w:rPr>
          <w:rFonts w:ascii="Times New Roman" w:hAnsi="Times New Roman" w:cs="Times New Roman"/>
          <w:color w:val="00B0F0"/>
          <w:sz w:val="20"/>
          <w:szCs w:val="20"/>
        </w:rPr>
        <w:fldChar w:fldCharType="begin"/>
      </w:r>
      <w:r w:rsidR="002E3C80" w:rsidRPr="00D60D17">
        <w:rPr>
          <w:rFonts w:ascii="Times New Roman" w:hAnsi="Times New Roman" w:cs="Times New Roman"/>
          <w:color w:val="00B0F0"/>
          <w:sz w:val="20"/>
          <w:szCs w:val="20"/>
        </w:rPr>
        <w:instrText xml:space="preserve"> ADDIN ZOTERO_ITEM CSL_CITATION {"citationID":"At29qQLW","properties":{"formattedCitation":"[4]","plainCitation":"[4]","noteIndex":0},"citationItems":[{"id":14,"uris":["http://zotero.org/users/local/i0qEo0wj/items/MIN9HRRV"],"itemData":{"id":14,"type":"article-journal","abstract":"Three-dimensional nonlinear numerical analysis is carried out to determine the ultimate pullout capacity of a square plate anchor in layered clay using the large finite element analysis software ABAQUS. An empirical formula for the pullout bearing capacity coefficient of a plate anchor in layered soils is proposed based on the bearing characteristics of plate anchors in single-layer soils. The results show that a circular flow (circulation field) is induced around the plate anchor during the uplift process and that the flow velocity and circulation field range are mainly affected by the properties of the soil around the plate anchor. The bearing characteristics of plate anchors in layered soils are influenced by factors such as the embedment depth of the plate anchor, the friction coefficient between the soil and the plate anchor, the thickness of the upper soil layer, and the thickness of the middle soil layer. The rationality of the finite element numerical calculation results and the empirical formula is verified by comparing the results from this study with results previously reported in the literature.","container-title":"Advances in Civil Engineering","DOI":"10.1155/2020/8867678","ISSN":"1687-8086, 1687-8094","journalAbbreviation":"Advances in Civil Engineering","language":"en","page":"1-10","source":"DOI.org (Crossref)","title":"Ultimate Pullout Capacity of a Square Plate Anchor in Clay with an Interbedded Stiff Layer","volume":"2020","author":[{"family":"Feng","given":"Tugen"},{"family":"Zong","given":"Jingyao"},{"family":"Jiang","given":"Wei"},{"family":"Zhang","given":"Jian"},{"family":"Song","given":"Jian"}],"issued":{"date-parts":[["2020",9,10]]}}}],"schema":"https://github.com/citation-style-language/schema/raw/master/csl-citation.json"} </w:instrText>
      </w:r>
      <w:r w:rsidR="002E3C80" w:rsidRPr="00D60D17">
        <w:rPr>
          <w:rFonts w:ascii="Times New Roman" w:hAnsi="Times New Roman" w:cs="Times New Roman"/>
          <w:color w:val="00B0F0"/>
          <w:sz w:val="20"/>
          <w:szCs w:val="20"/>
        </w:rPr>
        <w:fldChar w:fldCharType="separate"/>
      </w:r>
      <w:r w:rsidR="002E3C80" w:rsidRPr="00D60D17">
        <w:rPr>
          <w:rFonts w:ascii="Times New Roman" w:hAnsi="Times New Roman" w:cs="Times New Roman"/>
          <w:color w:val="00B0F0"/>
          <w:sz w:val="20"/>
          <w:szCs w:val="20"/>
        </w:rPr>
        <w:t>[4]</w:t>
      </w:r>
      <w:r w:rsidR="002E3C80" w:rsidRPr="00D60D17">
        <w:rPr>
          <w:rFonts w:ascii="Times New Roman" w:hAnsi="Times New Roman" w:cs="Times New Roman"/>
          <w:color w:val="00B0F0"/>
          <w:sz w:val="20"/>
          <w:szCs w:val="20"/>
        </w:rPr>
        <w:fldChar w:fldCharType="end"/>
      </w:r>
      <w:r w:rsidRPr="006E59F1">
        <w:rPr>
          <w:rFonts w:ascii="Times New Roman" w:hAnsi="Times New Roman" w:cs="Times New Roman"/>
          <w:sz w:val="20"/>
          <w:szCs w:val="20"/>
        </w:rPr>
        <w:t>.</w:t>
      </w:r>
      <w:r w:rsidRPr="006E59F1">
        <w:rPr>
          <w:rFonts w:ascii="Times New Roman" w:hAnsi="Times New Roman" w:cs="Times New Roman"/>
          <w:b/>
          <w:bCs/>
          <w:sz w:val="20"/>
          <w:szCs w:val="20"/>
        </w:rPr>
        <w:t xml:space="preserve"> </w:t>
      </w:r>
      <w:r w:rsidRPr="006E59F1">
        <w:rPr>
          <w:rFonts w:ascii="Times New Roman" w:hAnsi="Times New Roman" w:cs="Times New Roman"/>
          <w:sz w:val="20"/>
          <w:szCs w:val="20"/>
        </w:rPr>
        <w:t xml:space="preserve">To simulate real world soil conditions, the model </w:t>
      </w:r>
      <w:r w:rsidR="00985FFF">
        <w:rPr>
          <w:rFonts w:ascii="Times New Roman" w:hAnsi="Times New Roman" w:cs="Times New Roman"/>
          <w:sz w:val="20"/>
          <w:szCs w:val="20"/>
        </w:rPr>
        <w:t xml:space="preserve">shown </w:t>
      </w:r>
      <w:r w:rsidR="006F46B5">
        <w:rPr>
          <w:rFonts w:ascii="Times New Roman" w:hAnsi="Times New Roman" w:cs="Times New Roman"/>
          <w:sz w:val="20"/>
          <w:szCs w:val="20"/>
        </w:rPr>
        <w:t>i</w:t>
      </w:r>
      <w:r w:rsidR="00985FFF">
        <w:rPr>
          <w:rFonts w:ascii="Times New Roman" w:hAnsi="Times New Roman" w:cs="Times New Roman"/>
          <w:sz w:val="20"/>
          <w:szCs w:val="20"/>
        </w:rPr>
        <w:t xml:space="preserve">n Fig. 3 </w:t>
      </w:r>
      <w:r w:rsidRPr="006E59F1">
        <w:rPr>
          <w:rFonts w:ascii="Times New Roman" w:hAnsi="Times New Roman" w:cs="Times New Roman"/>
          <w:sz w:val="20"/>
          <w:szCs w:val="20"/>
        </w:rPr>
        <w:t>was exposed to geostatic static tension, which restrains it in all directions.</w:t>
      </w:r>
      <w:r w:rsidR="00631E25" w:rsidRPr="006E59F1">
        <w:rPr>
          <w:sz w:val="20"/>
          <w:szCs w:val="20"/>
        </w:rPr>
        <w:t xml:space="preserve"> </w:t>
      </w:r>
      <w:r w:rsidR="00631E25" w:rsidRPr="006E59F1">
        <w:rPr>
          <w:rFonts w:ascii="Times New Roman" w:hAnsi="Times New Roman" w:cs="Times New Roman"/>
          <w:sz w:val="20"/>
          <w:szCs w:val="20"/>
        </w:rPr>
        <w:t>In comparison to other soil hardening models, the simulation was carried out using the Mohr Coulomb model, which, by predicting a constant average stiffness, gives a "first order" approximation of the behaviour of the sands and reduces simulation time to obtain a preliminary estimate of deformations</w:t>
      </w:r>
      <w:r w:rsidR="00672B15" w:rsidRPr="00D60D17">
        <w:rPr>
          <w:rFonts w:ascii="Times New Roman" w:hAnsi="Times New Roman" w:cs="Times New Roman"/>
          <w:color w:val="00B0F0"/>
          <w:sz w:val="20"/>
          <w:szCs w:val="20"/>
        </w:rPr>
        <w:fldChar w:fldCharType="begin"/>
      </w:r>
      <w:r w:rsidR="00070BD1" w:rsidRPr="00D60D17">
        <w:rPr>
          <w:rFonts w:ascii="Times New Roman" w:hAnsi="Times New Roman" w:cs="Times New Roman"/>
          <w:color w:val="00B0F0"/>
          <w:sz w:val="20"/>
          <w:szCs w:val="20"/>
        </w:rPr>
        <w:instrText xml:space="preserve"> ADDIN ZOTERO_ITEM CSL_CITATION {"citationID":"UptXmDtg","properties":{"formattedCitation":"[4]","plainCitation":"[4]","noteIndex":0},"citationItems":[{"id":14,"uris":["http://zotero.org/users/local/i0qEo0wj/items/MIN9HRRV"],"itemData":{"id":14,"type":"article-journal","abstract":"Three-dimensional nonlinear numerical analysis is carried out to determine the ultimate pullout capacity of a square plate anchor in layered clay using the large finite element analysis software ABAQUS. An empirical formula for the pullout bearing capacity coefficient of a plate anchor in layered soils is proposed based on the bearing characteristics of plate anchors in single-layer soils. The results show that a circular flow (circulation field) is induced around the plate anchor during the uplift process and that the flow velocity and circulation field range are mainly affected by the properties of the soil around the plate anchor. The bearing characteristics of plate anchors in layered soils are influenced by factors such as the embedment depth of the plate anchor, the friction coefficient between the soil and the plate anchor, the thickness of the upper soil layer, and the thickness of the middle soil layer. The rationality of the finite element numerical calculation results and the empirical formula is verified by comparing the results from this study with results previously reported in the literature.","container-title":"Advances in Civil Engineering","DOI":"10.1155/2020/8867678","ISSN":"1687-8086, 1687-8094","journalAbbreviation":"Advances in Civil Engineering","language":"en","page":"1-10","source":"DOI.org (Crossref)","title":"Ultimate Pullout Capacity of a Square Plate Anchor in Clay with an Interbedded Stiff Layer","volume":"2020","author":[{"family":"Feng","given":"Tugen"},{"family":"Zong","given":"Jingyao"},{"family":"Jiang","given":"Wei"},{"family":"Zhang","given":"Jian"},{"family":"Song","given":"Jian"}],"issued":{"date-parts":[["2020",9,10]]}}}],"schema":"https://github.com/citation-style-language/schema/raw/master/csl-citation.json"} </w:instrText>
      </w:r>
      <w:r w:rsidR="00672B15" w:rsidRPr="00D60D17">
        <w:rPr>
          <w:rFonts w:ascii="Times New Roman" w:hAnsi="Times New Roman" w:cs="Times New Roman"/>
          <w:color w:val="00B0F0"/>
          <w:sz w:val="20"/>
          <w:szCs w:val="20"/>
        </w:rPr>
        <w:fldChar w:fldCharType="separate"/>
      </w:r>
      <w:r w:rsidR="00070BD1" w:rsidRPr="00D60D17">
        <w:rPr>
          <w:rFonts w:ascii="Times New Roman" w:hAnsi="Times New Roman" w:cs="Times New Roman"/>
          <w:color w:val="00B0F0"/>
          <w:sz w:val="20"/>
          <w:szCs w:val="20"/>
        </w:rPr>
        <w:t>[4]</w:t>
      </w:r>
      <w:r w:rsidR="00672B15" w:rsidRPr="00D60D17">
        <w:rPr>
          <w:rFonts w:ascii="Times New Roman" w:hAnsi="Times New Roman" w:cs="Times New Roman"/>
          <w:color w:val="00B0F0"/>
          <w:sz w:val="20"/>
          <w:szCs w:val="20"/>
        </w:rPr>
        <w:fldChar w:fldCharType="end"/>
      </w:r>
      <w:r w:rsidR="00F86A76" w:rsidRPr="006E59F1">
        <w:rPr>
          <w:rFonts w:ascii="Times New Roman" w:hAnsi="Times New Roman" w:cs="Times New Roman"/>
          <w:sz w:val="20"/>
          <w:szCs w:val="20"/>
        </w:rPr>
        <w:t xml:space="preserve">. </w:t>
      </w:r>
      <w:r w:rsidR="00985FFF">
        <w:rPr>
          <w:rFonts w:ascii="Times New Roman" w:hAnsi="Times New Roman" w:cs="Times New Roman"/>
          <w:sz w:val="20"/>
          <w:szCs w:val="20"/>
        </w:rPr>
        <w:t xml:space="preserve"> </w:t>
      </w:r>
      <w:r w:rsidRPr="006E59F1">
        <w:rPr>
          <w:rFonts w:ascii="Times New Roman" w:hAnsi="Times New Roman" w:cs="Times New Roman"/>
          <w:sz w:val="20"/>
          <w:szCs w:val="20"/>
        </w:rPr>
        <w:t>A multi-plate anchor's pullout capacity is determined in two steps</w:t>
      </w:r>
      <w:r w:rsidR="00116060" w:rsidRPr="006E59F1">
        <w:rPr>
          <w:rFonts w:ascii="Times New Roman" w:hAnsi="Times New Roman" w:cs="Times New Roman"/>
          <w:sz w:val="20"/>
          <w:szCs w:val="20"/>
        </w:rPr>
        <w:t>.</w:t>
      </w:r>
      <w:r w:rsidR="00116060" w:rsidRPr="006E59F1">
        <w:rPr>
          <w:sz w:val="20"/>
          <w:szCs w:val="20"/>
        </w:rPr>
        <w:t xml:space="preserve"> </w:t>
      </w:r>
      <w:r w:rsidR="00116060" w:rsidRPr="006E59F1">
        <w:rPr>
          <w:rFonts w:ascii="Times New Roman" w:hAnsi="Times New Roman" w:cs="Times New Roman"/>
          <w:sz w:val="20"/>
          <w:szCs w:val="20"/>
        </w:rPr>
        <w:t xml:space="preserve">In the first step, the model's initial ground stress balance </w:t>
      </w:r>
      <w:r w:rsidR="005B4D8B">
        <w:rPr>
          <w:rFonts w:ascii="Times New Roman" w:hAnsi="Times New Roman" w:cs="Times New Roman"/>
          <w:sz w:val="20"/>
          <w:szCs w:val="20"/>
        </w:rPr>
        <w:t xml:space="preserve">was </w:t>
      </w:r>
      <w:r w:rsidR="00116060" w:rsidRPr="006E59F1">
        <w:rPr>
          <w:rFonts w:ascii="Times New Roman" w:hAnsi="Times New Roman" w:cs="Times New Roman"/>
          <w:sz w:val="20"/>
          <w:szCs w:val="20"/>
        </w:rPr>
        <w:t xml:space="preserve">established, and the initial consolidation state of the </w:t>
      </w:r>
      <w:r w:rsidR="005B4D8B">
        <w:rPr>
          <w:rFonts w:ascii="Times New Roman" w:hAnsi="Times New Roman" w:cs="Times New Roman"/>
          <w:sz w:val="20"/>
          <w:szCs w:val="20"/>
        </w:rPr>
        <w:t>sand</w:t>
      </w:r>
      <w:r w:rsidR="00116060" w:rsidRPr="006E59F1">
        <w:rPr>
          <w:rFonts w:ascii="Times New Roman" w:hAnsi="Times New Roman" w:cs="Times New Roman"/>
          <w:sz w:val="20"/>
          <w:szCs w:val="20"/>
        </w:rPr>
        <w:t xml:space="preserve"> </w:t>
      </w:r>
      <w:r w:rsidR="005B4D8B">
        <w:rPr>
          <w:rFonts w:ascii="Times New Roman" w:hAnsi="Times New Roman" w:cs="Times New Roman"/>
          <w:sz w:val="20"/>
          <w:szCs w:val="20"/>
        </w:rPr>
        <w:t>was</w:t>
      </w:r>
      <w:r w:rsidR="00116060" w:rsidRPr="006E59F1">
        <w:rPr>
          <w:rFonts w:ascii="Times New Roman" w:hAnsi="Times New Roman" w:cs="Times New Roman"/>
          <w:sz w:val="20"/>
          <w:szCs w:val="20"/>
        </w:rPr>
        <w:t xml:space="preserve"> simulated. The plate anchor </w:t>
      </w:r>
      <w:r w:rsidR="005B4D8B">
        <w:rPr>
          <w:rFonts w:ascii="Times New Roman" w:hAnsi="Times New Roman" w:cs="Times New Roman"/>
          <w:sz w:val="20"/>
          <w:szCs w:val="20"/>
        </w:rPr>
        <w:t>was then a</w:t>
      </w:r>
      <w:r w:rsidR="00116060" w:rsidRPr="006E59F1">
        <w:rPr>
          <w:rFonts w:ascii="Times New Roman" w:hAnsi="Times New Roman" w:cs="Times New Roman"/>
          <w:sz w:val="20"/>
          <w:szCs w:val="20"/>
        </w:rPr>
        <w:t xml:space="preserve"> given uniform upward displacement in the second phase, which causes it to be </w:t>
      </w:r>
      <w:r w:rsidR="005B4D8B">
        <w:rPr>
          <w:rFonts w:ascii="Times New Roman" w:hAnsi="Times New Roman" w:cs="Times New Roman"/>
          <w:sz w:val="20"/>
          <w:szCs w:val="20"/>
        </w:rPr>
        <w:t>pulled up</w:t>
      </w:r>
      <w:r w:rsidR="00116060" w:rsidRPr="006E59F1">
        <w:rPr>
          <w:rFonts w:ascii="Times New Roman" w:hAnsi="Times New Roman" w:cs="Times New Roman"/>
          <w:sz w:val="20"/>
          <w:szCs w:val="20"/>
        </w:rPr>
        <w:t xml:space="preserve"> uniformly. </w:t>
      </w:r>
      <w:r w:rsidR="000C0C19" w:rsidRPr="006E59F1">
        <w:rPr>
          <w:rFonts w:ascii="Times New Roman" w:hAnsi="Times New Roman" w:cs="Times New Roman"/>
          <w:color w:val="000000" w:themeColor="text1"/>
          <w:sz w:val="20"/>
          <w:szCs w:val="20"/>
        </w:rPr>
        <w:t xml:space="preserve">The meshing </w:t>
      </w:r>
      <w:r w:rsidR="005B4D8B">
        <w:rPr>
          <w:rFonts w:ascii="Times New Roman" w:hAnsi="Times New Roman" w:cs="Times New Roman"/>
          <w:color w:val="000000" w:themeColor="text1"/>
          <w:sz w:val="20"/>
          <w:szCs w:val="20"/>
        </w:rPr>
        <w:t>was</w:t>
      </w:r>
      <w:r w:rsidR="000C0C19" w:rsidRPr="006E59F1">
        <w:rPr>
          <w:rFonts w:ascii="Times New Roman" w:hAnsi="Times New Roman" w:cs="Times New Roman"/>
          <w:color w:val="000000" w:themeColor="text1"/>
          <w:sz w:val="20"/>
          <w:szCs w:val="20"/>
        </w:rPr>
        <w:t xml:space="preserve"> carried out in such a way that while moving </w:t>
      </w:r>
      <w:r w:rsidR="005B4D8B">
        <w:rPr>
          <w:rFonts w:ascii="Times New Roman" w:hAnsi="Times New Roman" w:cs="Times New Roman"/>
          <w:color w:val="000000" w:themeColor="text1"/>
          <w:sz w:val="20"/>
          <w:szCs w:val="20"/>
        </w:rPr>
        <w:t>toward</w:t>
      </w:r>
      <w:r w:rsidR="000C0C19" w:rsidRPr="006E59F1">
        <w:rPr>
          <w:rFonts w:ascii="Times New Roman" w:hAnsi="Times New Roman" w:cs="Times New Roman"/>
          <w:color w:val="000000" w:themeColor="text1"/>
          <w:sz w:val="20"/>
          <w:szCs w:val="20"/>
        </w:rPr>
        <w:t xml:space="preserve"> the anchor, the meshing gets finer as shown in </w:t>
      </w:r>
      <w:r w:rsidR="000C0C19" w:rsidRPr="004B5C9D">
        <w:rPr>
          <w:rFonts w:ascii="Times New Roman" w:hAnsi="Times New Roman" w:cs="Times New Roman"/>
          <w:color w:val="00B0F0"/>
          <w:sz w:val="20"/>
          <w:szCs w:val="20"/>
        </w:rPr>
        <w:t>Fig.</w:t>
      </w:r>
      <w:r w:rsidR="004B5C9D">
        <w:rPr>
          <w:rFonts w:ascii="Times New Roman" w:hAnsi="Times New Roman" w:cs="Times New Roman"/>
          <w:color w:val="00B0F0"/>
          <w:sz w:val="20"/>
          <w:szCs w:val="20"/>
        </w:rPr>
        <w:t xml:space="preserve"> </w:t>
      </w:r>
      <w:r w:rsidR="000C0C19" w:rsidRPr="004B5C9D">
        <w:rPr>
          <w:rFonts w:ascii="Times New Roman" w:hAnsi="Times New Roman" w:cs="Times New Roman"/>
          <w:color w:val="00B0F0"/>
          <w:sz w:val="20"/>
          <w:szCs w:val="20"/>
        </w:rPr>
        <w:t>4(a)</w:t>
      </w:r>
      <w:r w:rsidR="000C0C19" w:rsidRPr="004B5C9D">
        <w:rPr>
          <w:rFonts w:ascii="Times New Roman" w:hAnsi="Times New Roman" w:cs="Times New Roman"/>
          <w:b/>
          <w:bCs/>
          <w:color w:val="00B0F0"/>
          <w:sz w:val="20"/>
          <w:szCs w:val="20"/>
        </w:rPr>
        <w:t xml:space="preserve"> </w:t>
      </w:r>
      <w:r w:rsidR="000C0C19" w:rsidRPr="006E59F1">
        <w:rPr>
          <w:rFonts w:ascii="Times New Roman" w:hAnsi="Times New Roman" w:cs="Times New Roman"/>
          <w:color w:val="000000" w:themeColor="text1"/>
          <w:sz w:val="20"/>
          <w:szCs w:val="20"/>
        </w:rPr>
        <w:t xml:space="preserve">and for anchor plate meshing </w:t>
      </w:r>
      <w:r w:rsidR="005B4D8B">
        <w:rPr>
          <w:rFonts w:ascii="Times New Roman" w:hAnsi="Times New Roman" w:cs="Times New Roman"/>
          <w:color w:val="000000" w:themeColor="text1"/>
          <w:sz w:val="20"/>
          <w:szCs w:val="20"/>
        </w:rPr>
        <w:t>adopted was</w:t>
      </w:r>
      <w:r w:rsidR="000C0C19" w:rsidRPr="006E59F1">
        <w:rPr>
          <w:rFonts w:ascii="Times New Roman" w:hAnsi="Times New Roman" w:cs="Times New Roman"/>
          <w:color w:val="000000" w:themeColor="text1"/>
          <w:sz w:val="20"/>
          <w:szCs w:val="20"/>
        </w:rPr>
        <w:t xml:space="preserve"> shown in </w:t>
      </w:r>
      <w:r w:rsidR="000C0C19" w:rsidRPr="004B5C9D">
        <w:rPr>
          <w:rFonts w:ascii="Times New Roman" w:hAnsi="Times New Roman" w:cs="Times New Roman"/>
          <w:color w:val="00B0F0"/>
          <w:sz w:val="20"/>
          <w:szCs w:val="20"/>
        </w:rPr>
        <w:t>Fig</w:t>
      </w:r>
      <w:r w:rsidR="004B5C9D" w:rsidRPr="004B5C9D">
        <w:rPr>
          <w:rFonts w:ascii="Times New Roman" w:hAnsi="Times New Roman" w:cs="Times New Roman"/>
          <w:color w:val="00B0F0"/>
          <w:sz w:val="20"/>
          <w:szCs w:val="20"/>
        </w:rPr>
        <w:t xml:space="preserve">. </w:t>
      </w:r>
      <w:r w:rsidR="000C0C19" w:rsidRPr="004B5C9D">
        <w:rPr>
          <w:rFonts w:ascii="Times New Roman" w:hAnsi="Times New Roman" w:cs="Times New Roman"/>
          <w:color w:val="00B0F0"/>
          <w:sz w:val="20"/>
          <w:szCs w:val="20"/>
        </w:rPr>
        <w:t>4(b)</w:t>
      </w:r>
      <w:r w:rsidR="000C0C19" w:rsidRPr="006E59F1">
        <w:rPr>
          <w:rFonts w:ascii="Times New Roman" w:hAnsi="Times New Roman" w:cs="Times New Roman"/>
          <w:color w:val="000000" w:themeColor="text1"/>
          <w:sz w:val="20"/>
          <w:szCs w:val="20"/>
        </w:rPr>
        <w:t xml:space="preserve">. The mesh convergence investigation </w:t>
      </w:r>
      <w:r w:rsidR="000C0C19">
        <w:rPr>
          <w:rFonts w:ascii="Times New Roman" w:hAnsi="Times New Roman" w:cs="Times New Roman"/>
          <w:color w:val="000000" w:themeColor="text1"/>
          <w:sz w:val="20"/>
          <w:szCs w:val="20"/>
        </w:rPr>
        <w:t>reveals</w:t>
      </w:r>
      <w:r w:rsidR="000C0C19" w:rsidRPr="006E59F1">
        <w:rPr>
          <w:rFonts w:ascii="Times New Roman" w:hAnsi="Times New Roman" w:cs="Times New Roman"/>
          <w:color w:val="000000" w:themeColor="text1"/>
          <w:sz w:val="20"/>
          <w:szCs w:val="20"/>
        </w:rPr>
        <w:t xml:space="preserve"> that 27400 was </w:t>
      </w:r>
      <w:r w:rsidR="000C0C19">
        <w:rPr>
          <w:rFonts w:ascii="Times New Roman" w:hAnsi="Times New Roman" w:cs="Times New Roman"/>
          <w:color w:val="000000" w:themeColor="text1"/>
          <w:sz w:val="20"/>
          <w:szCs w:val="20"/>
        </w:rPr>
        <w:t>the optimal</w:t>
      </w:r>
      <w:r w:rsidR="000C0C19" w:rsidRPr="006E59F1">
        <w:rPr>
          <w:rFonts w:ascii="Times New Roman" w:hAnsi="Times New Roman" w:cs="Times New Roman"/>
          <w:color w:val="000000" w:themeColor="text1"/>
          <w:sz w:val="20"/>
          <w:szCs w:val="20"/>
        </w:rPr>
        <w:t xml:space="preserve"> number of elements for this study.</w:t>
      </w:r>
      <w:r w:rsidR="000C0C19">
        <w:rPr>
          <w:rFonts w:ascii="Times New Roman" w:hAnsi="Times New Roman" w:cs="Times New Roman"/>
          <w:color w:val="000000" w:themeColor="text1"/>
          <w:sz w:val="20"/>
          <w:szCs w:val="20"/>
        </w:rPr>
        <w:t xml:space="preserve"> </w:t>
      </w:r>
      <w:r w:rsidR="000C0C19" w:rsidRPr="000C0C19">
        <w:rPr>
          <w:rFonts w:ascii="Times New Roman" w:hAnsi="Times New Roman" w:cs="Times New Roman"/>
          <w:sz w:val="20"/>
          <w:szCs w:val="20"/>
        </w:rPr>
        <w:t xml:space="preserve">Beyond this, there was not </w:t>
      </w:r>
      <w:r w:rsidR="00985FFF" w:rsidRPr="000C0C19">
        <w:rPr>
          <w:rFonts w:ascii="Times New Roman" w:hAnsi="Times New Roman" w:cs="Times New Roman"/>
          <w:sz w:val="20"/>
          <w:szCs w:val="20"/>
        </w:rPr>
        <w:t>a</w:t>
      </w:r>
      <w:r w:rsidR="000C0C19" w:rsidRPr="000C0C19">
        <w:rPr>
          <w:rFonts w:ascii="Times New Roman" w:hAnsi="Times New Roman" w:cs="Times New Roman"/>
          <w:sz w:val="20"/>
          <w:szCs w:val="20"/>
        </w:rPr>
        <w:t xml:space="preserve"> noticeable</w:t>
      </w:r>
      <w:r w:rsidR="000C0C19">
        <w:rPr>
          <w:rFonts w:ascii="Times New Roman" w:hAnsi="Times New Roman" w:cs="Times New Roman"/>
          <w:sz w:val="20"/>
          <w:szCs w:val="20"/>
        </w:rPr>
        <w:t xml:space="preserve"> </w:t>
      </w:r>
      <w:r w:rsidR="000C0C19" w:rsidRPr="000C0C19">
        <w:rPr>
          <w:rFonts w:ascii="Times New Roman" w:hAnsi="Times New Roman" w:cs="Times New Roman"/>
          <w:sz w:val="20"/>
          <w:szCs w:val="20"/>
        </w:rPr>
        <w:t xml:space="preserve">change in the </w:t>
      </w:r>
      <w:r w:rsidR="000C0C19">
        <w:rPr>
          <w:rFonts w:ascii="Times New Roman" w:hAnsi="Times New Roman" w:cs="Times New Roman"/>
          <w:sz w:val="20"/>
          <w:szCs w:val="20"/>
        </w:rPr>
        <w:t xml:space="preserve">pullout </w:t>
      </w:r>
      <w:r w:rsidR="000C0C19" w:rsidRPr="000C0C19">
        <w:rPr>
          <w:rFonts w:ascii="Times New Roman" w:hAnsi="Times New Roman" w:cs="Times New Roman"/>
          <w:sz w:val="20"/>
          <w:szCs w:val="20"/>
        </w:rPr>
        <w:t xml:space="preserve">capacity of </w:t>
      </w:r>
      <w:r w:rsidR="005B4D8B">
        <w:rPr>
          <w:rFonts w:ascii="Times New Roman" w:hAnsi="Times New Roman" w:cs="Times New Roman"/>
          <w:sz w:val="20"/>
          <w:szCs w:val="20"/>
        </w:rPr>
        <w:t xml:space="preserve">the </w:t>
      </w:r>
      <w:r w:rsidR="000C0C19">
        <w:rPr>
          <w:rFonts w:ascii="Times New Roman" w:hAnsi="Times New Roman" w:cs="Times New Roman"/>
          <w:sz w:val="20"/>
          <w:szCs w:val="20"/>
        </w:rPr>
        <w:t>anchor.</w:t>
      </w:r>
    </w:p>
    <w:p w14:paraId="60ADBE29" w14:textId="77AB6B8D" w:rsidR="007565E8" w:rsidRPr="006E59F1" w:rsidRDefault="008747CA" w:rsidP="007162CD">
      <w:pPr>
        <w:pStyle w:val="ListParagraph"/>
        <w:numPr>
          <w:ilvl w:val="0"/>
          <w:numId w:val="1"/>
        </w:numPr>
        <w:spacing w:line="360" w:lineRule="auto"/>
        <w:rPr>
          <w:rFonts w:ascii="Times New Roman" w:hAnsi="Times New Roman" w:cs="Times New Roman"/>
          <w:b/>
          <w:bCs/>
          <w:sz w:val="20"/>
          <w:szCs w:val="20"/>
        </w:rPr>
      </w:pPr>
      <w:r w:rsidRPr="006E59F1">
        <w:rPr>
          <w:rFonts w:ascii="Times New Roman" w:hAnsi="Times New Roman" w:cs="Times New Roman"/>
          <w:b/>
          <w:bCs/>
          <w:sz w:val="20"/>
          <w:szCs w:val="20"/>
        </w:rPr>
        <w:t>RESULTS AND DISCUSSIONS</w:t>
      </w:r>
    </w:p>
    <w:p w14:paraId="046509D5" w14:textId="38430E42" w:rsidR="007565E8" w:rsidRPr="006E59F1" w:rsidRDefault="001B66AD" w:rsidP="007162CD">
      <w:pPr>
        <w:spacing w:line="360" w:lineRule="auto"/>
        <w:jc w:val="both"/>
        <w:rPr>
          <w:rFonts w:ascii="Times New Roman" w:hAnsi="Times New Roman" w:cs="Times New Roman"/>
          <w:b/>
          <w:bCs/>
          <w:color w:val="000000" w:themeColor="text1"/>
          <w:sz w:val="20"/>
          <w:szCs w:val="20"/>
          <w:shd w:val="clear" w:color="auto" w:fill="FFFFFF"/>
        </w:rPr>
      </w:pPr>
      <w:bookmarkStart w:id="1" w:name="_Hlk131933766"/>
      <w:r>
        <w:rPr>
          <w:rFonts w:ascii="Times New Roman" w:hAnsi="Times New Roman" w:cs="Times New Roman"/>
          <w:b/>
          <w:bCs/>
          <w:color w:val="000000" w:themeColor="text1"/>
          <w:sz w:val="20"/>
          <w:szCs w:val="20"/>
          <w:shd w:val="clear" w:color="auto" w:fill="FFFFFF"/>
        </w:rPr>
        <w:t>5.1</w:t>
      </w:r>
      <w:r w:rsidR="007F11ED" w:rsidRPr="006E59F1">
        <w:rPr>
          <w:rFonts w:ascii="Times New Roman" w:hAnsi="Times New Roman" w:cs="Times New Roman"/>
          <w:b/>
          <w:bCs/>
          <w:color w:val="000000" w:themeColor="text1"/>
          <w:sz w:val="20"/>
          <w:szCs w:val="20"/>
          <w:shd w:val="clear" w:color="auto" w:fill="FFFFFF"/>
        </w:rPr>
        <w:t xml:space="preserve"> </w:t>
      </w:r>
      <w:r w:rsidR="005337D2">
        <w:rPr>
          <w:rFonts w:ascii="Times New Roman" w:hAnsi="Times New Roman" w:cs="Times New Roman"/>
          <w:b/>
          <w:bCs/>
          <w:color w:val="000000" w:themeColor="text1"/>
          <w:sz w:val="20"/>
          <w:szCs w:val="20"/>
          <w:shd w:val="clear" w:color="auto" w:fill="FFFFFF"/>
        </w:rPr>
        <w:t xml:space="preserve">Pullout Capacity of </w:t>
      </w:r>
      <w:r w:rsidR="007565E8" w:rsidRPr="006E59F1">
        <w:rPr>
          <w:rFonts w:ascii="Times New Roman" w:hAnsi="Times New Roman" w:cs="Times New Roman"/>
          <w:b/>
          <w:bCs/>
          <w:color w:val="000000" w:themeColor="text1"/>
          <w:sz w:val="20"/>
          <w:szCs w:val="20"/>
          <w:shd w:val="clear" w:color="auto" w:fill="FFFFFF"/>
        </w:rPr>
        <w:t xml:space="preserve">Single </w:t>
      </w:r>
      <w:r w:rsidRPr="006E59F1">
        <w:rPr>
          <w:rFonts w:ascii="Times New Roman" w:hAnsi="Times New Roman" w:cs="Times New Roman"/>
          <w:b/>
          <w:bCs/>
          <w:color w:val="000000" w:themeColor="text1"/>
          <w:sz w:val="20"/>
          <w:szCs w:val="20"/>
          <w:shd w:val="clear" w:color="auto" w:fill="FFFFFF"/>
        </w:rPr>
        <w:t>Plate Anchor</w:t>
      </w:r>
    </w:p>
    <w:p w14:paraId="6F3FB27D" w14:textId="780824D7" w:rsidR="00D90D00" w:rsidRPr="00D90D00" w:rsidRDefault="00A800A9" w:rsidP="00D90D00">
      <w:pPr>
        <w:spacing w:line="360" w:lineRule="auto"/>
        <w:jc w:val="both"/>
        <w:rPr>
          <w:rFonts w:ascii="Times New Roman" w:hAnsi="Times New Roman" w:cs="Times New Roman"/>
          <w:color w:val="252525"/>
          <w:sz w:val="20"/>
          <w:szCs w:val="20"/>
        </w:rPr>
      </w:pPr>
      <w:bookmarkStart w:id="2" w:name="_Hlk131933826"/>
      <w:bookmarkEnd w:id="1"/>
      <w:r>
        <w:rPr>
          <w:rFonts w:ascii="Times New Roman" w:hAnsi="Times New Roman" w:cs="Times New Roman"/>
          <w:sz w:val="20"/>
          <w:szCs w:val="20"/>
        </w:rPr>
        <w:t>The pu</w:t>
      </w:r>
      <w:r w:rsidR="007B6910">
        <w:rPr>
          <w:rFonts w:ascii="Times New Roman" w:hAnsi="Times New Roman" w:cs="Times New Roman"/>
          <w:sz w:val="20"/>
          <w:szCs w:val="20"/>
        </w:rPr>
        <w:t>llout capacity versus displacement curves for the square and the H shaped single plate anchors</w:t>
      </w:r>
      <w:r w:rsidR="00CC5AFD">
        <w:rPr>
          <w:rFonts w:ascii="Times New Roman" w:hAnsi="Times New Roman" w:cs="Times New Roman"/>
          <w:sz w:val="20"/>
          <w:szCs w:val="20"/>
        </w:rPr>
        <w:t xml:space="preserve"> </w:t>
      </w:r>
      <w:r w:rsidR="00F3219C">
        <w:rPr>
          <w:rFonts w:ascii="Times New Roman" w:hAnsi="Times New Roman" w:cs="Times New Roman"/>
          <w:sz w:val="20"/>
          <w:szCs w:val="20"/>
        </w:rPr>
        <w:t xml:space="preserve">corresponding to a tie rod length of </w:t>
      </w:r>
      <w:r w:rsidR="00F3219C" w:rsidRPr="006E59F1">
        <w:rPr>
          <w:rFonts w:ascii="Times New Roman" w:hAnsi="Times New Roman" w:cs="Times New Roman"/>
          <w:color w:val="222222"/>
          <w:sz w:val="20"/>
          <w:szCs w:val="20"/>
          <w:shd w:val="clear" w:color="auto" w:fill="FFFFFF"/>
        </w:rPr>
        <w:t>15m, 30m, and 45m</w:t>
      </w:r>
      <w:r w:rsidR="007B6910">
        <w:rPr>
          <w:rFonts w:ascii="Times New Roman" w:hAnsi="Times New Roman" w:cs="Times New Roman"/>
          <w:sz w:val="20"/>
          <w:szCs w:val="20"/>
        </w:rPr>
        <w:t xml:space="preserve"> are shown in </w:t>
      </w:r>
      <w:r w:rsidR="007B6910" w:rsidRPr="00924DCF">
        <w:rPr>
          <w:rFonts w:ascii="Times New Roman" w:hAnsi="Times New Roman" w:cs="Times New Roman"/>
          <w:color w:val="00B0F0"/>
          <w:sz w:val="20"/>
          <w:szCs w:val="20"/>
        </w:rPr>
        <w:t>Fig.</w:t>
      </w:r>
      <w:r w:rsidR="00F3219C" w:rsidRPr="00924DCF">
        <w:rPr>
          <w:rFonts w:ascii="Times New Roman" w:hAnsi="Times New Roman" w:cs="Times New Roman"/>
          <w:color w:val="00B0F0"/>
          <w:sz w:val="20"/>
          <w:szCs w:val="20"/>
        </w:rPr>
        <w:t xml:space="preserve"> 5(a) </w:t>
      </w:r>
      <w:r w:rsidR="00F3219C">
        <w:rPr>
          <w:rFonts w:ascii="Times New Roman" w:hAnsi="Times New Roman" w:cs="Times New Roman"/>
          <w:sz w:val="20"/>
          <w:szCs w:val="20"/>
        </w:rPr>
        <w:t xml:space="preserve">and </w:t>
      </w:r>
      <w:r w:rsidR="00F3219C" w:rsidRPr="00924DCF">
        <w:rPr>
          <w:rFonts w:ascii="Times New Roman" w:hAnsi="Times New Roman" w:cs="Times New Roman"/>
          <w:color w:val="00B0F0"/>
          <w:sz w:val="20"/>
          <w:szCs w:val="20"/>
        </w:rPr>
        <w:t xml:space="preserve">Fig. 5(b) </w:t>
      </w:r>
      <w:r w:rsidR="00F3219C">
        <w:rPr>
          <w:rFonts w:ascii="Times New Roman" w:hAnsi="Times New Roman" w:cs="Times New Roman"/>
          <w:sz w:val="20"/>
          <w:szCs w:val="20"/>
        </w:rPr>
        <w:t xml:space="preserve">respectively. </w:t>
      </w:r>
      <w:r w:rsidR="00CC5AFD">
        <w:rPr>
          <w:rFonts w:ascii="Times New Roman" w:hAnsi="Times New Roman" w:cs="Times New Roman"/>
          <w:sz w:val="20"/>
          <w:szCs w:val="20"/>
        </w:rPr>
        <w:t>It is pertinent to mention that the anchor plate thickness (</w:t>
      </w:r>
      <w:r w:rsidR="00CB5746">
        <w:rPr>
          <w:rFonts w:ascii="Times New Roman" w:hAnsi="Times New Roman" w:cs="Times New Roman"/>
          <w:sz w:val="20"/>
          <w:szCs w:val="20"/>
        </w:rPr>
        <w:t>10 m</w:t>
      </w:r>
      <w:r w:rsidR="00CC5AFD">
        <w:rPr>
          <w:rFonts w:ascii="Times New Roman" w:hAnsi="Times New Roman" w:cs="Times New Roman"/>
          <w:sz w:val="20"/>
          <w:szCs w:val="20"/>
        </w:rPr>
        <w:t>m) and the tie rod diameter (</w:t>
      </w:r>
      <w:r w:rsidR="00CB5746">
        <w:rPr>
          <w:rFonts w:ascii="Times New Roman" w:hAnsi="Times New Roman" w:cs="Times New Roman"/>
          <w:sz w:val="20"/>
          <w:szCs w:val="20"/>
        </w:rPr>
        <w:t>25 m</w:t>
      </w:r>
      <w:r w:rsidR="00CC5AFD">
        <w:rPr>
          <w:rFonts w:ascii="Times New Roman" w:hAnsi="Times New Roman" w:cs="Times New Roman"/>
          <w:sz w:val="20"/>
          <w:szCs w:val="20"/>
        </w:rPr>
        <w:t xml:space="preserve">m) was kept constant. </w:t>
      </w:r>
      <w:bookmarkStart w:id="3" w:name="_Hlk131933510"/>
      <w:bookmarkEnd w:id="2"/>
      <w:r w:rsidR="005A3E45">
        <w:rPr>
          <w:rFonts w:ascii="Times New Roman" w:hAnsi="Times New Roman" w:cs="Times New Roman"/>
          <w:sz w:val="20"/>
          <w:szCs w:val="20"/>
        </w:rPr>
        <w:t xml:space="preserve">Study of </w:t>
      </w:r>
      <w:r w:rsidR="005A3E45" w:rsidRPr="00924DCF">
        <w:rPr>
          <w:rFonts w:ascii="Times New Roman" w:hAnsi="Times New Roman" w:cs="Times New Roman"/>
          <w:color w:val="00B0F0"/>
          <w:sz w:val="20"/>
          <w:szCs w:val="20"/>
        </w:rPr>
        <w:t xml:space="preserve">Fig. 5(a) </w:t>
      </w:r>
      <w:r w:rsidR="005A3E45">
        <w:rPr>
          <w:rFonts w:ascii="Times New Roman" w:hAnsi="Times New Roman" w:cs="Times New Roman"/>
          <w:sz w:val="20"/>
          <w:szCs w:val="20"/>
        </w:rPr>
        <w:t xml:space="preserve">and </w:t>
      </w:r>
      <w:r w:rsidR="005A3E45" w:rsidRPr="00924DCF">
        <w:rPr>
          <w:rFonts w:ascii="Times New Roman" w:hAnsi="Times New Roman" w:cs="Times New Roman"/>
          <w:color w:val="00B0F0"/>
          <w:sz w:val="20"/>
          <w:szCs w:val="20"/>
        </w:rPr>
        <w:t xml:space="preserve">Fig. 5(b) </w:t>
      </w:r>
      <w:r w:rsidR="005A3E45">
        <w:rPr>
          <w:rFonts w:ascii="Times New Roman" w:hAnsi="Times New Roman" w:cs="Times New Roman"/>
          <w:sz w:val="20"/>
          <w:szCs w:val="20"/>
        </w:rPr>
        <w:t xml:space="preserve">reveals that the pullout load increased from </w:t>
      </w:r>
      <w:r w:rsidR="003F0B2F" w:rsidRPr="006E59F1">
        <w:rPr>
          <w:rFonts w:ascii="Times New Roman" w:hAnsi="Times New Roman" w:cs="Times New Roman"/>
          <w:sz w:val="20"/>
          <w:szCs w:val="20"/>
        </w:rPr>
        <w:t>129.64MPa</w:t>
      </w:r>
      <w:r w:rsidR="005A3E45">
        <w:rPr>
          <w:rFonts w:ascii="Times New Roman" w:hAnsi="Times New Roman" w:cs="Times New Roman"/>
          <w:sz w:val="20"/>
          <w:szCs w:val="20"/>
        </w:rPr>
        <w:t xml:space="preserve"> to</w:t>
      </w:r>
      <w:r w:rsidR="003F0B2F" w:rsidRPr="006E59F1">
        <w:rPr>
          <w:rFonts w:ascii="Times New Roman" w:hAnsi="Times New Roman" w:cs="Times New Roman"/>
          <w:sz w:val="20"/>
          <w:szCs w:val="20"/>
        </w:rPr>
        <w:t xml:space="preserve"> 150.90</w:t>
      </w:r>
      <w:r w:rsidR="003F0B2F" w:rsidRPr="006E59F1">
        <w:rPr>
          <w:rFonts w:ascii="Times New Roman" w:hAnsi="Times New Roman" w:cs="Times New Roman"/>
          <w:color w:val="222222"/>
          <w:sz w:val="20"/>
          <w:szCs w:val="20"/>
          <w:shd w:val="clear" w:color="auto" w:fill="FFFFFF"/>
        </w:rPr>
        <w:t>MPa</w:t>
      </w:r>
      <w:r w:rsidR="005A3E45">
        <w:rPr>
          <w:rFonts w:ascii="Times New Roman" w:hAnsi="Times New Roman" w:cs="Times New Roman"/>
          <w:color w:val="222222"/>
          <w:sz w:val="20"/>
          <w:szCs w:val="20"/>
          <w:shd w:val="clear" w:color="auto" w:fill="FFFFFF"/>
        </w:rPr>
        <w:t xml:space="preserve"> and then to</w:t>
      </w:r>
      <w:r w:rsidR="003F0B2F" w:rsidRPr="006E59F1">
        <w:rPr>
          <w:rFonts w:ascii="Times New Roman" w:hAnsi="Times New Roman" w:cs="Times New Roman"/>
          <w:color w:val="222222"/>
          <w:sz w:val="20"/>
          <w:szCs w:val="20"/>
          <w:shd w:val="clear" w:color="auto" w:fill="FFFFFF"/>
        </w:rPr>
        <w:t xml:space="preserve"> </w:t>
      </w:r>
      <w:r w:rsidR="003F0B2F" w:rsidRPr="006E59F1">
        <w:rPr>
          <w:rFonts w:ascii="Times New Roman" w:hAnsi="Times New Roman" w:cs="Times New Roman"/>
          <w:sz w:val="20"/>
          <w:szCs w:val="20"/>
        </w:rPr>
        <w:t>141.07MPa</w:t>
      </w:r>
      <w:r w:rsidR="003F0B2F" w:rsidRPr="006E59F1">
        <w:rPr>
          <w:rFonts w:ascii="Times New Roman" w:hAnsi="Times New Roman" w:cs="Times New Roman"/>
          <w:color w:val="222222"/>
          <w:sz w:val="20"/>
          <w:szCs w:val="20"/>
          <w:shd w:val="clear" w:color="auto" w:fill="FFFFFF"/>
        </w:rPr>
        <w:t xml:space="preserve"> for</w:t>
      </w:r>
      <w:r w:rsidR="005A3E45">
        <w:rPr>
          <w:rFonts w:ascii="Times New Roman" w:hAnsi="Times New Roman" w:cs="Times New Roman"/>
          <w:color w:val="222222"/>
          <w:sz w:val="20"/>
          <w:szCs w:val="20"/>
          <w:shd w:val="clear" w:color="auto" w:fill="FFFFFF"/>
        </w:rPr>
        <w:t xml:space="preserve"> the</w:t>
      </w:r>
      <w:r w:rsidR="007565E8" w:rsidRPr="006E59F1">
        <w:rPr>
          <w:rFonts w:ascii="Times New Roman" w:hAnsi="Times New Roman" w:cs="Times New Roman"/>
          <w:color w:val="222222"/>
          <w:sz w:val="20"/>
          <w:szCs w:val="20"/>
          <w:shd w:val="clear" w:color="auto" w:fill="FFFFFF"/>
        </w:rPr>
        <w:t xml:space="preserve"> square</w:t>
      </w:r>
      <w:r w:rsidR="003F0B2F" w:rsidRPr="006E59F1">
        <w:rPr>
          <w:rFonts w:ascii="Times New Roman" w:hAnsi="Times New Roman" w:cs="Times New Roman"/>
          <w:color w:val="222222"/>
          <w:sz w:val="20"/>
          <w:szCs w:val="20"/>
          <w:shd w:val="clear" w:color="auto" w:fill="FFFFFF"/>
        </w:rPr>
        <w:t xml:space="preserve"> shape single plate anchor</w:t>
      </w:r>
      <w:r w:rsidR="007565E8" w:rsidRPr="006E59F1">
        <w:rPr>
          <w:rFonts w:ascii="Times New Roman" w:hAnsi="Times New Roman" w:cs="Times New Roman"/>
          <w:color w:val="222222"/>
          <w:sz w:val="20"/>
          <w:szCs w:val="20"/>
          <w:shd w:val="clear" w:color="auto" w:fill="FFFFFF"/>
        </w:rPr>
        <w:t xml:space="preserve"> </w:t>
      </w:r>
      <w:r w:rsidR="005A3E45">
        <w:rPr>
          <w:rFonts w:ascii="Times New Roman" w:hAnsi="Times New Roman" w:cs="Times New Roman"/>
          <w:color w:val="222222"/>
          <w:sz w:val="20"/>
          <w:szCs w:val="20"/>
          <w:shd w:val="clear" w:color="auto" w:fill="FFFFFF"/>
        </w:rPr>
        <w:t>whereas it increased from</w:t>
      </w:r>
      <w:r w:rsidR="00AC5F2B" w:rsidRPr="006E59F1">
        <w:rPr>
          <w:rFonts w:ascii="Times New Roman" w:hAnsi="Times New Roman" w:cs="Times New Roman"/>
          <w:color w:val="222222"/>
          <w:sz w:val="20"/>
          <w:szCs w:val="20"/>
          <w:shd w:val="clear" w:color="auto" w:fill="FFFFFF"/>
        </w:rPr>
        <w:t xml:space="preserve"> </w:t>
      </w:r>
      <w:r w:rsidR="004B262D" w:rsidRPr="006E59F1">
        <w:rPr>
          <w:rFonts w:ascii="Times New Roman" w:hAnsi="Times New Roman" w:cs="Times New Roman"/>
          <w:color w:val="000000"/>
          <w:sz w:val="20"/>
          <w:szCs w:val="20"/>
        </w:rPr>
        <w:t>94.53</w:t>
      </w:r>
      <w:r w:rsidR="005A3E45">
        <w:rPr>
          <w:rFonts w:ascii="Times New Roman" w:hAnsi="Times New Roman" w:cs="Times New Roman"/>
          <w:color w:val="000000"/>
          <w:sz w:val="20"/>
          <w:szCs w:val="20"/>
        </w:rPr>
        <w:t xml:space="preserve"> </w:t>
      </w:r>
      <w:r w:rsidR="00FA594D" w:rsidRPr="006E59F1">
        <w:rPr>
          <w:rFonts w:ascii="Times New Roman" w:hAnsi="Times New Roman" w:cs="Times New Roman"/>
          <w:color w:val="000000"/>
          <w:sz w:val="20"/>
          <w:szCs w:val="20"/>
        </w:rPr>
        <w:t>M</w:t>
      </w:r>
      <w:r w:rsidR="005A3E45">
        <w:rPr>
          <w:rFonts w:ascii="Times New Roman" w:hAnsi="Times New Roman" w:cs="Times New Roman"/>
          <w:color w:val="000000"/>
          <w:sz w:val="20"/>
          <w:szCs w:val="20"/>
        </w:rPr>
        <w:t>P</w:t>
      </w:r>
      <w:r w:rsidR="00FA594D" w:rsidRPr="006E59F1">
        <w:rPr>
          <w:rFonts w:ascii="Times New Roman" w:hAnsi="Times New Roman" w:cs="Times New Roman"/>
          <w:color w:val="000000"/>
          <w:sz w:val="20"/>
          <w:szCs w:val="20"/>
        </w:rPr>
        <w:t>a</w:t>
      </w:r>
      <w:r w:rsidR="005A3E45">
        <w:rPr>
          <w:rFonts w:ascii="Times New Roman" w:hAnsi="Times New Roman" w:cs="Times New Roman"/>
          <w:color w:val="000000"/>
          <w:sz w:val="20"/>
          <w:szCs w:val="20"/>
        </w:rPr>
        <w:t xml:space="preserve"> to </w:t>
      </w:r>
      <w:r w:rsidR="005A3E45" w:rsidRPr="006E59F1">
        <w:rPr>
          <w:rFonts w:ascii="Times New Roman" w:hAnsi="Times New Roman" w:cs="Times New Roman"/>
          <w:color w:val="000000"/>
          <w:sz w:val="20"/>
          <w:szCs w:val="20"/>
        </w:rPr>
        <w:t>100.02</w:t>
      </w:r>
      <w:r w:rsidR="005A3E45">
        <w:rPr>
          <w:rFonts w:ascii="Times New Roman" w:hAnsi="Times New Roman" w:cs="Times New Roman"/>
          <w:color w:val="000000"/>
          <w:sz w:val="20"/>
          <w:szCs w:val="20"/>
        </w:rPr>
        <w:t xml:space="preserve"> </w:t>
      </w:r>
      <w:r w:rsidR="00FA594D" w:rsidRPr="006E59F1">
        <w:rPr>
          <w:rFonts w:ascii="Times New Roman" w:hAnsi="Times New Roman" w:cs="Times New Roman"/>
          <w:color w:val="000000"/>
          <w:sz w:val="20"/>
          <w:szCs w:val="20"/>
        </w:rPr>
        <w:t>MPa</w:t>
      </w:r>
      <w:r w:rsidR="005A3E45">
        <w:rPr>
          <w:rFonts w:ascii="Times New Roman" w:hAnsi="Times New Roman" w:cs="Times New Roman"/>
          <w:color w:val="000000"/>
          <w:sz w:val="20"/>
          <w:szCs w:val="20"/>
        </w:rPr>
        <w:t xml:space="preserve"> and then to </w:t>
      </w:r>
      <w:r w:rsidR="0028492C" w:rsidRPr="006E59F1">
        <w:rPr>
          <w:rFonts w:ascii="Times New Roman" w:hAnsi="Times New Roman" w:cs="Times New Roman"/>
          <w:color w:val="000000"/>
          <w:sz w:val="20"/>
          <w:szCs w:val="20"/>
        </w:rPr>
        <w:t>117.62</w:t>
      </w:r>
      <w:r w:rsidR="005A3E45">
        <w:rPr>
          <w:rFonts w:ascii="Times New Roman" w:hAnsi="Times New Roman" w:cs="Times New Roman"/>
          <w:color w:val="000000"/>
          <w:sz w:val="20"/>
          <w:szCs w:val="20"/>
        </w:rPr>
        <w:t xml:space="preserve"> </w:t>
      </w:r>
      <w:r w:rsidR="00FA594D" w:rsidRPr="006E59F1">
        <w:rPr>
          <w:rFonts w:ascii="Times New Roman" w:hAnsi="Times New Roman" w:cs="Times New Roman"/>
          <w:color w:val="000000"/>
          <w:sz w:val="20"/>
          <w:szCs w:val="20"/>
        </w:rPr>
        <w:t xml:space="preserve">MPa </w:t>
      </w:r>
      <w:r w:rsidR="0028492C" w:rsidRPr="006E59F1">
        <w:rPr>
          <w:rFonts w:ascii="Times New Roman" w:hAnsi="Times New Roman" w:cs="Times New Roman"/>
          <w:color w:val="000000"/>
          <w:sz w:val="20"/>
          <w:szCs w:val="20"/>
        </w:rPr>
        <w:t>for</w:t>
      </w:r>
      <w:r w:rsidR="007565E8" w:rsidRPr="006E59F1">
        <w:rPr>
          <w:rFonts w:ascii="Times New Roman" w:hAnsi="Times New Roman" w:cs="Times New Roman"/>
          <w:color w:val="222222"/>
          <w:sz w:val="20"/>
          <w:szCs w:val="20"/>
          <w:shd w:val="clear" w:color="auto" w:fill="FFFFFF"/>
        </w:rPr>
        <w:t xml:space="preserve"> </w:t>
      </w:r>
      <w:r w:rsidR="005A3E45">
        <w:rPr>
          <w:rFonts w:ascii="Times New Roman" w:hAnsi="Times New Roman" w:cs="Times New Roman"/>
          <w:color w:val="222222"/>
          <w:sz w:val="20"/>
          <w:szCs w:val="20"/>
          <w:shd w:val="clear" w:color="auto" w:fill="FFFFFF"/>
        </w:rPr>
        <w:t xml:space="preserve">the </w:t>
      </w:r>
      <w:r w:rsidR="007565E8" w:rsidRPr="006E59F1">
        <w:rPr>
          <w:rFonts w:ascii="Times New Roman" w:hAnsi="Times New Roman" w:cs="Times New Roman"/>
          <w:color w:val="222222"/>
          <w:sz w:val="20"/>
          <w:szCs w:val="20"/>
          <w:shd w:val="clear" w:color="auto" w:fill="FFFFFF"/>
        </w:rPr>
        <w:t>H-shaped single-plate anchor</w:t>
      </w:r>
      <w:r w:rsidR="005A3E45">
        <w:rPr>
          <w:rFonts w:ascii="Times New Roman" w:hAnsi="Times New Roman" w:cs="Times New Roman"/>
          <w:color w:val="222222"/>
          <w:sz w:val="20"/>
          <w:szCs w:val="20"/>
          <w:shd w:val="clear" w:color="auto" w:fill="FFFFFF"/>
        </w:rPr>
        <w:t xml:space="preserve"> corresponding to a tie rod length change from 15 m to 30 m and then to 45 m respectively. </w:t>
      </w:r>
      <w:r w:rsidR="00AC5F2B" w:rsidRPr="006E59F1">
        <w:rPr>
          <w:rFonts w:ascii="Times New Roman" w:hAnsi="Times New Roman" w:cs="Times New Roman"/>
          <w:color w:val="222222"/>
          <w:sz w:val="20"/>
          <w:szCs w:val="20"/>
          <w:shd w:val="clear" w:color="auto" w:fill="FFFFFF"/>
        </w:rPr>
        <w:t xml:space="preserve"> </w:t>
      </w:r>
      <w:r w:rsidR="006E0D07">
        <w:rPr>
          <w:rFonts w:ascii="Times New Roman" w:hAnsi="Times New Roman" w:cs="Times New Roman"/>
          <w:color w:val="222222"/>
          <w:sz w:val="20"/>
          <w:szCs w:val="20"/>
          <w:shd w:val="clear" w:color="auto" w:fill="FFFFFF"/>
        </w:rPr>
        <w:t xml:space="preserve">This increase in the pullout load with the increase in the length of the tie rod is attributed to the increase in the weight </w:t>
      </w:r>
      <w:r w:rsidR="00C344A7">
        <w:rPr>
          <w:rFonts w:ascii="Times New Roman" w:hAnsi="Times New Roman" w:cs="Times New Roman"/>
          <w:color w:val="222222"/>
          <w:sz w:val="20"/>
          <w:szCs w:val="20"/>
          <w:shd w:val="clear" w:color="auto" w:fill="FFFFFF"/>
        </w:rPr>
        <w:t>of the</w:t>
      </w:r>
      <w:r w:rsidR="006E0D07">
        <w:rPr>
          <w:rFonts w:ascii="Times New Roman" w:hAnsi="Times New Roman" w:cs="Times New Roman"/>
          <w:color w:val="222222"/>
          <w:sz w:val="20"/>
          <w:szCs w:val="20"/>
          <w:shd w:val="clear" w:color="auto" w:fill="FFFFFF"/>
        </w:rPr>
        <w:t xml:space="preserve"> sand on the anchor plate resulting higher pullout load. </w:t>
      </w:r>
      <w:bookmarkStart w:id="4" w:name="_Hlk131933133"/>
      <w:bookmarkEnd w:id="3"/>
      <w:r w:rsidR="00A63FE0" w:rsidRPr="00A63FE0">
        <w:rPr>
          <w:rFonts w:ascii="Times New Roman" w:hAnsi="Times New Roman" w:cs="Times New Roman"/>
          <w:color w:val="000000"/>
          <w:sz w:val="20"/>
          <w:szCs w:val="20"/>
          <w:shd w:val="clear" w:color="auto" w:fill="FFFFFF"/>
        </w:rPr>
        <w:t xml:space="preserve">In addition, </w:t>
      </w:r>
      <w:r w:rsidR="00A63FE0" w:rsidRPr="00924DCF">
        <w:rPr>
          <w:rFonts w:ascii="Times New Roman" w:hAnsi="Times New Roman" w:cs="Times New Roman"/>
          <w:color w:val="00B0F0"/>
          <w:sz w:val="20"/>
          <w:szCs w:val="20"/>
          <w:shd w:val="clear" w:color="auto" w:fill="FFFFFF"/>
        </w:rPr>
        <w:t>Fig. 6(a)</w:t>
      </w:r>
      <w:r w:rsidR="00A63FE0" w:rsidRPr="00A63FE0">
        <w:rPr>
          <w:rFonts w:ascii="Times New Roman" w:hAnsi="Times New Roman" w:cs="Times New Roman"/>
          <w:color w:val="000000"/>
          <w:sz w:val="20"/>
          <w:szCs w:val="20"/>
          <w:shd w:val="clear" w:color="auto" w:fill="FFFFFF"/>
        </w:rPr>
        <w:t xml:space="preserve"> and </w:t>
      </w:r>
      <w:r w:rsidR="00C344A7" w:rsidRPr="00924DCF">
        <w:rPr>
          <w:rFonts w:ascii="Times New Roman" w:hAnsi="Times New Roman" w:cs="Times New Roman"/>
          <w:color w:val="00B0F0"/>
          <w:sz w:val="20"/>
          <w:szCs w:val="20"/>
          <w:shd w:val="clear" w:color="auto" w:fill="FFFFFF"/>
        </w:rPr>
        <w:t>Fig. 6</w:t>
      </w:r>
      <w:r w:rsidR="00A63FE0" w:rsidRPr="00924DCF">
        <w:rPr>
          <w:rFonts w:ascii="Times New Roman" w:hAnsi="Times New Roman" w:cs="Times New Roman"/>
          <w:color w:val="00B0F0"/>
          <w:sz w:val="20"/>
          <w:szCs w:val="20"/>
          <w:shd w:val="clear" w:color="auto" w:fill="FFFFFF"/>
        </w:rPr>
        <w:t xml:space="preserve">(b) </w:t>
      </w:r>
      <w:r w:rsidR="00A63FE0" w:rsidRPr="00A63FE0">
        <w:rPr>
          <w:rFonts w:ascii="Times New Roman" w:hAnsi="Times New Roman" w:cs="Times New Roman"/>
          <w:color w:val="000000"/>
          <w:sz w:val="20"/>
          <w:szCs w:val="20"/>
          <w:shd w:val="clear" w:color="auto" w:fill="FFFFFF"/>
        </w:rPr>
        <w:t xml:space="preserve">depict the effect of the diameter of the tie rod on the </w:t>
      </w:r>
      <w:r w:rsidR="00522A95">
        <w:rPr>
          <w:rFonts w:ascii="Times New Roman" w:hAnsi="Times New Roman" w:cs="Times New Roman"/>
          <w:color w:val="000000"/>
          <w:sz w:val="20"/>
          <w:szCs w:val="20"/>
          <w:shd w:val="clear" w:color="auto" w:fill="FFFFFF"/>
        </w:rPr>
        <w:t>pullout</w:t>
      </w:r>
      <w:r w:rsidR="00A63FE0" w:rsidRPr="00A63FE0">
        <w:rPr>
          <w:rFonts w:ascii="Times New Roman" w:hAnsi="Times New Roman" w:cs="Times New Roman"/>
          <w:color w:val="000000"/>
          <w:sz w:val="20"/>
          <w:szCs w:val="20"/>
          <w:shd w:val="clear" w:color="auto" w:fill="FFFFFF"/>
        </w:rPr>
        <w:t xml:space="preserve"> load for the square and H-shaped single plate anchors, respectively. The </w:t>
      </w:r>
      <w:r w:rsidR="00522A95">
        <w:rPr>
          <w:rFonts w:ascii="Times New Roman" w:hAnsi="Times New Roman" w:cs="Times New Roman"/>
          <w:color w:val="000000"/>
          <w:sz w:val="20"/>
          <w:szCs w:val="20"/>
          <w:shd w:val="clear" w:color="auto" w:fill="FFFFFF"/>
        </w:rPr>
        <w:t>pullout</w:t>
      </w:r>
      <w:r w:rsidR="00A63FE0" w:rsidRPr="00A63FE0">
        <w:rPr>
          <w:rFonts w:ascii="Times New Roman" w:hAnsi="Times New Roman" w:cs="Times New Roman"/>
          <w:color w:val="000000"/>
          <w:sz w:val="20"/>
          <w:szCs w:val="20"/>
          <w:shd w:val="clear" w:color="auto" w:fill="FFFFFF"/>
        </w:rPr>
        <w:t xml:space="preserve"> load decreased from 129.64 MPa to 84.05 MPa to 56.83 </w:t>
      </w:r>
      <w:r w:rsidR="00A63FE0" w:rsidRPr="00A63FE0">
        <w:rPr>
          <w:rFonts w:ascii="Times New Roman" w:hAnsi="Times New Roman" w:cs="Times New Roman"/>
          <w:color w:val="000000"/>
          <w:sz w:val="20"/>
          <w:szCs w:val="20"/>
          <w:shd w:val="clear" w:color="auto" w:fill="FFFFFF"/>
        </w:rPr>
        <w:lastRenderedPageBreak/>
        <w:t xml:space="preserve">MPa for the square-shaped single-plate anchor, while it decreased from 94.53 MPa to 56.77 MPa to 41.67 MPa for the H-shaped single-plate anchor. This corresponds to a variation in the diameter of the tie rod from </w:t>
      </w:r>
      <w:r w:rsidR="000105EF">
        <w:rPr>
          <w:rFonts w:ascii="Times New Roman" w:hAnsi="Times New Roman" w:cs="Times New Roman"/>
          <w:color w:val="000000"/>
          <w:sz w:val="20"/>
          <w:szCs w:val="20"/>
          <w:shd w:val="clear" w:color="auto" w:fill="FFFFFF"/>
        </w:rPr>
        <w:t>25 mm</w:t>
      </w:r>
      <w:r w:rsidR="00A63FE0" w:rsidRPr="00A63FE0">
        <w:rPr>
          <w:rFonts w:ascii="Times New Roman" w:hAnsi="Times New Roman" w:cs="Times New Roman"/>
          <w:color w:val="000000"/>
          <w:sz w:val="20"/>
          <w:szCs w:val="20"/>
          <w:shd w:val="clear" w:color="auto" w:fill="FFFFFF"/>
        </w:rPr>
        <w:t xml:space="preserve"> to </w:t>
      </w:r>
      <w:r w:rsidR="000105EF">
        <w:rPr>
          <w:rFonts w:ascii="Times New Roman" w:hAnsi="Times New Roman" w:cs="Times New Roman"/>
          <w:color w:val="000000"/>
          <w:sz w:val="20"/>
          <w:szCs w:val="20"/>
          <w:shd w:val="clear" w:color="auto" w:fill="FFFFFF"/>
        </w:rPr>
        <w:t>32 mm</w:t>
      </w:r>
      <w:r w:rsidR="00A63FE0" w:rsidRPr="00A63FE0">
        <w:rPr>
          <w:rFonts w:ascii="Times New Roman" w:hAnsi="Times New Roman" w:cs="Times New Roman"/>
          <w:color w:val="000000"/>
          <w:sz w:val="20"/>
          <w:szCs w:val="20"/>
          <w:shd w:val="clear" w:color="auto" w:fill="FFFFFF"/>
        </w:rPr>
        <w:t xml:space="preserve"> and then to </w:t>
      </w:r>
      <w:r w:rsidR="000105EF">
        <w:rPr>
          <w:rFonts w:ascii="Times New Roman" w:hAnsi="Times New Roman" w:cs="Times New Roman"/>
          <w:color w:val="000000"/>
          <w:sz w:val="20"/>
          <w:szCs w:val="20"/>
          <w:shd w:val="clear" w:color="auto" w:fill="FFFFFF"/>
        </w:rPr>
        <w:t>40 mm</w:t>
      </w:r>
      <w:r w:rsidR="00522A95">
        <w:rPr>
          <w:rFonts w:ascii="Times New Roman" w:hAnsi="Times New Roman" w:cs="Times New Roman"/>
          <w:color w:val="000000"/>
          <w:sz w:val="20"/>
          <w:szCs w:val="20"/>
          <w:shd w:val="clear" w:color="auto" w:fill="FFFFFF"/>
        </w:rPr>
        <w:t xml:space="preserve"> as evident from </w:t>
      </w:r>
      <w:r w:rsidR="00522A95" w:rsidRPr="004D2AFE">
        <w:rPr>
          <w:rFonts w:ascii="Times New Roman" w:hAnsi="Times New Roman" w:cs="Times New Roman"/>
          <w:color w:val="00B0F0"/>
          <w:sz w:val="20"/>
          <w:szCs w:val="20"/>
          <w:shd w:val="clear" w:color="auto" w:fill="FFFFFF"/>
        </w:rPr>
        <w:t xml:space="preserve">Fig. 6(a) </w:t>
      </w:r>
      <w:r w:rsidR="00522A95" w:rsidRPr="00A63FE0">
        <w:rPr>
          <w:rFonts w:ascii="Times New Roman" w:hAnsi="Times New Roman" w:cs="Times New Roman"/>
          <w:color w:val="000000"/>
          <w:sz w:val="20"/>
          <w:szCs w:val="20"/>
          <w:shd w:val="clear" w:color="auto" w:fill="FFFFFF"/>
        </w:rPr>
        <w:t xml:space="preserve">and </w:t>
      </w:r>
      <w:r w:rsidR="00522A95" w:rsidRPr="004D2AFE">
        <w:rPr>
          <w:rFonts w:ascii="Times New Roman" w:hAnsi="Times New Roman" w:cs="Times New Roman"/>
          <w:color w:val="00B0F0"/>
          <w:sz w:val="20"/>
          <w:szCs w:val="20"/>
          <w:shd w:val="clear" w:color="auto" w:fill="FFFFFF"/>
        </w:rPr>
        <w:t>Fig. (b)</w:t>
      </w:r>
      <w:r w:rsidR="00A63FE0" w:rsidRPr="00A63FE0">
        <w:rPr>
          <w:rFonts w:ascii="Times New Roman" w:hAnsi="Times New Roman" w:cs="Times New Roman"/>
          <w:color w:val="000000"/>
          <w:sz w:val="20"/>
          <w:szCs w:val="20"/>
          <w:shd w:val="clear" w:color="auto" w:fill="FFFFFF"/>
        </w:rPr>
        <w:t xml:space="preserve">. This decrease in pullout load can be attributed to the reduction in </w:t>
      </w:r>
      <w:r w:rsidR="00522A95">
        <w:rPr>
          <w:rFonts w:ascii="Times New Roman" w:hAnsi="Times New Roman" w:cs="Times New Roman"/>
          <w:color w:val="000000"/>
          <w:sz w:val="20"/>
          <w:szCs w:val="20"/>
          <w:shd w:val="clear" w:color="auto" w:fill="FFFFFF"/>
        </w:rPr>
        <w:t>sand</w:t>
      </w:r>
      <w:r w:rsidR="00A63FE0" w:rsidRPr="00A63FE0">
        <w:rPr>
          <w:rFonts w:ascii="Times New Roman" w:hAnsi="Times New Roman" w:cs="Times New Roman"/>
          <w:color w:val="000000"/>
          <w:sz w:val="20"/>
          <w:szCs w:val="20"/>
          <w:shd w:val="clear" w:color="auto" w:fill="FFFFFF"/>
        </w:rPr>
        <w:t xml:space="preserve"> weight on the anchor plate, which led to a reduction in pullout load. This decrease in </w:t>
      </w:r>
      <w:r w:rsidR="00522A95">
        <w:rPr>
          <w:rFonts w:ascii="Times New Roman" w:hAnsi="Times New Roman" w:cs="Times New Roman"/>
          <w:color w:val="000000"/>
          <w:sz w:val="20"/>
          <w:szCs w:val="20"/>
          <w:shd w:val="clear" w:color="auto" w:fill="FFFFFF"/>
        </w:rPr>
        <w:t>pullout load</w:t>
      </w:r>
      <w:r w:rsidR="00A63FE0" w:rsidRPr="00A63FE0">
        <w:rPr>
          <w:rFonts w:ascii="Times New Roman" w:hAnsi="Times New Roman" w:cs="Times New Roman"/>
          <w:color w:val="000000"/>
          <w:sz w:val="20"/>
          <w:szCs w:val="20"/>
          <w:shd w:val="clear" w:color="auto" w:fill="FFFFFF"/>
        </w:rPr>
        <w:t xml:space="preserve"> resulted from increasing the diameter of the tie rod.</w:t>
      </w:r>
      <w:r w:rsidR="008843A9">
        <w:rPr>
          <w:rFonts w:ascii="Times New Roman" w:hAnsi="Times New Roman" w:cs="Times New Roman"/>
          <w:color w:val="222222"/>
          <w:sz w:val="20"/>
          <w:szCs w:val="20"/>
          <w:shd w:val="clear" w:color="auto" w:fill="FFFFFF"/>
        </w:rPr>
        <w:t xml:space="preserve"> </w:t>
      </w:r>
      <w:bookmarkStart w:id="5" w:name="_Hlk131941895"/>
      <w:bookmarkEnd w:id="4"/>
      <w:r w:rsidR="006B1C09" w:rsidRPr="006B1C09">
        <w:rPr>
          <w:rFonts w:ascii="Times New Roman" w:hAnsi="Times New Roman" w:cs="Times New Roman"/>
          <w:color w:val="000000"/>
          <w:sz w:val="20"/>
          <w:szCs w:val="20"/>
          <w:shd w:val="clear" w:color="auto" w:fill="FFFFFF"/>
        </w:rPr>
        <w:t xml:space="preserve">Additionally, </w:t>
      </w:r>
      <w:r w:rsidR="006B1C09" w:rsidRPr="004D2AFE">
        <w:rPr>
          <w:rFonts w:ascii="Times New Roman" w:hAnsi="Times New Roman" w:cs="Times New Roman"/>
          <w:color w:val="00B0F0"/>
          <w:sz w:val="20"/>
          <w:szCs w:val="20"/>
          <w:shd w:val="clear" w:color="auto" w:fill="FFFFFF"/>
        </w:rPr>
        <w:t xml:space="preserve">Fig. 7(a) </w:t>
      </w:r>
      <w:r w:rsidR="006B1C09" w:rsidRPr="006B1C09">
        <w:rPr>
          <w:rFonts w:ascii="Times New Roman" w:hAnsi="Times New Roman" w:cs="Times New Roman"/>
          <w:color w:val="000000"/>
          <w:sz w:val="20"/>
          <w:szCs w:val="20"/>
          <w:shd w:val="clear" w:color="auto" w:fill="FFFFFF"/>
        </w:rPr>
        <w:t xml:space="preserve">and </w:t>
      </w:r>
      <w:r w:rsidR="006B1C09" w:rsidRPr="004D2AFE">
        <w:rPr>
          <w:rFonts w:ascii="Times New Roman" w:hAnsi="Times New Roman" w:cs="Times New Roman"/>
          <w:color w:val="00B0F0"/>
          <w:sz w:val="20"/>
          <w:szCs w:val="20"/>
          <w:shd w:val="clear" w:color="auto" w:fill="FFFFFF"/>
        </w:rPr>
        <w:t xml:space="preserve">Fig. 7(b) </w:t>
      </w:r>
      <w:r w:rsidR="006B1C09" w:rsidRPr="006B1C09">
        <w:rPr>
          <w:rFonts w:ascii="Times New Roman" w:hAnsi="Times New Roman" w:cs="Times New Roman"/>
          <w:color w:val="000000"/>
          <w:sz w:val="20"/>
          <w:szCs w:val="20"/>
          <w:shd w:val="clear" w:color="auto" w:fill="FFFFFF"/>
        </w:rPr>
        <w:t xml:space="preserve">show, for the square and H-shaped single plate anchors, respectively, how the anchor plate thickness affects the pullout load. In the case of the square-shaped single-plate anchor, the pullout load went from 91.77 MPa to 129.64 MPa and then to 142.02 MPa, but in the case of the H-shaped single-plate anchor, the pullout load </w:t>
      </w:r>
      <w:r w:rsidR="006B1C09">
        <w:rPr>
          <w:rFonts w:ascii="Times New Roman" w:hAnsi="Times New Roman" w:cs="Times New Roman"/>
          <w:color w:val="000000"/>
          <w:sz w:val="20"/>
          <w:szCs w:val="20"/>
          <w:shd w:val="clear" w:color="auto" w:fill="FFFFFF"/>
        </w:rPr>
        <w:t>increased</w:t>
      </w:r>
      <w:r w:rsidR="006B1C09" w:rsidRPr="006B1C09">
        <w:rPr>
          <w:rFonts w:ascii="Times New Roman" w:hAnsi="Times New Roman" w:cs="Times New Roman"/>
          <w:color w:val="000000"/>
          <w:sz w:val="20"/>
          <w:szCs w:val="20"/>
          <w:shd w:val="clear" w:color="auto" w:fill="FFFFFF"/>
        </w:rPr>
        <w:t xml:space="preserve"> from 71.43 MPa to 94.53 MPa and then to 119.29 MPa. This results in the anchor plate's thickness changing from </w:t>
      </w:r>
      <w:r w:rsidR="00DA4B62">
        <w:rPr>
          <w:rFonts w:ascii="Times New Roman" w:hAnsi="Times New Roman" w:cs="Times New Roman"/>
          <w:color w:val="000000"/>
          <w:sz w:val="20"/>
          <w:szCs w:val="20"/>
          <w:shd w:val="clear" w:color="auto" w:fill="FFFFFF"/>
        </w:rPr>
        <w:t>10 mm</w:t>
      </w:r>
      <w:r w:rsidR="006B1C09" w:rsidRPr="006B1C09">
        <w:rPr>
          <w:rFonts w:ascii="Times New Roman" w:hAnsi="Times New Roman" w:cs="Times New Roman"/>
          <w:color w:val="000000"/>
          <w:sz w:val="20"/>
          <w:szCs w:val="20"/>
          <w:shd w:val="clear" w:color="auto" w:fill="FFFFFF"/>
        </w:rPr>
        <w:t xml:space="preserve"> to </w:t>
      </w:r>
      <w:r w:rsidR="00DA4B62">
        <w:rPr>
          <w:rFonts w:ascii="Times New Roman" w:hAnsi="Times New Roman" w:cs="Times New Roman"/>
          <w:color w:val="000000"/>
          <w:sz w:val="20"/>
          <w:szCs w:val="20"/>
          <w:shd w:val="clear" w:color="auto" w:fill="FFFFFF"/>
        </w:rPr>
        <w:t>25 mm</w:t>
      </w:r>
      <w:r w:rsidR="006B1C09" w:rsidRPr="006B1C09">
        <w:rPr>
          <w:rFonts w:ascii="Times New Roman" w:hAnsi="Times New Roman" w:cs="Times New Roman"/>
          <w:color w:val="000000"/>
          <w:sz w:val="20"/>
          <w:szCs w:val="20"/>
          <w:shd w:val="clear" w:color="auto" w:fill="FFFFFF"/>
        </w:rPr>
        <w:t xml:space="preserve">, then to </w:t>
      </w:r>
      <w:r w:rsidR="00DA4B62">
        <w:rPr>
          <w:rFonts w:ascii="Times New Roman" w:hAnsi="Times New Roman" w:cs="Times New Roman"/>
          <w:color w:val="000000"/>
          <w:sz w:val="20"/>
          <w:szCs w:val="20"/>
          <w:shd w:val="clear" w:color="auto" w:fill="FFFFFF"/>
        </w:rPr>
        <w:t>50 mm</w:t>
      </w:r>
      <w:r w:rsidR="006B1C09" w:rsidRPr="006B1C09">
        <w:rPr>
          <w:rFonts w:ascii="Times New Roman" w:hAnsi="Times New Roman" w:cs="Times New Roman"/>
          <w:color w:val="000000"/>
          <w:sz w:val="20"/>
          <w:szCs w:val="20"/>
          <w:shd w:val="clear" w:color="auto" w:fill="FFFFFF"/>
        </w:rPr>
        <w:t xml:space="preserve">, as </w:t>
      </w:r>
      <w:r w:rsidR="006B1C09">
        <w:rPr>
          <w:rFonts w:ascii="Times New Roman" w:hAnsi="Times New Roman" w:cs="Times New Roman"/>
          <w:color w:val="000000"/>
          <w:sz w:val="20"/>
          <w:szCs w:val="20"/>
          <w:shd w:val="clear" w:color="auto" w:fill="FFFFFF"/>
        </w:rPr>
        <w:t>evident from</w:t>
      </w:r>
      <w:r w:rsidR="006B1C09" w:rsidRPr="006B1C09">
        <w:rPr>
          <w:rFonts w:ascii="Times New Roman" w:hAnsi="Times New Roman" w:cs="Times New Roman"/>
          <w:color w:val="000000"/>
          <w:sz w:val="20"/>
          <w:szCs w:val="20"/>
          <w:shd w:val="clear" w:color="auto" w:fill="FFFFFF"/>
        </w:rPr>
        <w:t xml:space="preserve"> </w:t>
      </w:r>
      <w:r w:rsidR="006B1C09" w:rsidRPr="004D2AFE">
        <w:rPr>
          <w:rFonts w:ascii="Times New Roman" w:hAnsi="Times New Roman" w:cs="Times New Roman"/>
          <w:color w:val="00B0F0"/>
          <w:sz w:val="20"/>
          <w:szCs w:val="20"/>
          <w:shd w:val="clear" w:color="auto" w:fill="FFFFFF"/>
        </w:rPr>
        <w:t xml:space="preserve">Fig. 7(a) </w:t>
      </w:r>
      <w:r w:rsidR="006B1C09" w:rsidRPr="006B1C09">
        <w:rPr>
          <w:rFonts w:ascii="Times New Roman" w:hAnsi="Times New Roman" w:cs="Times New Roman"/>
          <w:color w:val="000000"/>
          <w:sz w:val="20"/>
          <w:szCs w:val="20"/>
          <w:shd w:val="clear" w:color="auto" w:fill="FFFFFF"/>
        </w:rPr>
        <w:t xml:space="preserve">and </w:t>
      </w:r>
      <w:r w:rsidR="006B1C09" w:rsidRPr="004D2AFE">
        <w:rPr>
          <w:rFonts w:ascii="Times New Roman" w:hAnsi="Times New Roman" w:cs="Times New Roman"/>
          <w:color w:val="00B0F0"/>
          <w:sz w:val="20"/>
          <w:szCs w:val="20"/>
          <w:shd w:val="clear" w:color="auto" w:fill="FFFFFF"/>
        </w:rPr>
        <w:t>Fig. 7(b)</w:t>
      </w:r>
      <w:r w:rsidR="006B1C09" w:rsidRPr="006B1C09">
        <w:rPr>
          <w:rFonts w:ascii="Times New Roman" w:hAnsi="Times New Roman" w:cs="Times New Roman"/>
          <w:color w:val="000000"/>
          <w:sz w:val="20"/>
          <w:szCs w:val="20"/>
          <w:shd w:val="clear" w:color="auto" w:fill="FFFFFF"/>
        </w:rPr>
        <w:t>, respectively. This increase in pullout load can be ascribed to the weight of the anchor plate going up</w:t>
      </w:r>
      <w:r w:rsidR="006B1C09">
        <w:rPr>
          <w:rFonts w:ascii="Times New Roman" w:hAnsi="Times New Roman" w:cs="Times New Roman"/>
          <w:color w:val="000000"/>
          <w:sz w:val="20"/>
          <w:szCs w:val="20"/>
          <w:shd w:val="clear" w:color="auto" w:fill="FFFFFF"/>
        </w:rPr>
        <w:t xml:space="preserve"> due to increase in the anchor plate thickness</w:t>
      </w:r>
      <w:r w:rsidR="006B1C09" w:rsidRPr="006B1C09">
        <w:rPr>
          <w:rFonts w:ascii="Times New Roman" w:hAnsi="Times New Roman" w:cs="Times New Roman"/>
          <w:color w:val="000000"/>
          <w:sz w:val="20"/>
          <w:szCs w:val="20"/>
          <w:shd w:val="clear" w:color="auto" w:fill="FFFFFF"/>
        </w:rPr>
        <w:t xml:space="preserve">, which in turn increasing </w:t>
      </w:r>
      <w:r w:rsidR="006B1C09">
        <w:rPr>
          <w:rFonts w:ascii="Times New Roman" w:hAnsi="Times New Roman" w:cs="Times New Roman"/>
          <w:color w:val="000000"/>
          <w:sz w:val="20"/>
          <w:szCs w:val="20"/>
          <w:shd w:val="clear" w:color="auto" w:fill="FFFFFF"/>
        </w:rPr>
        <w:t xml:space="preserve">the </w:t>
      </w:r>
      <w:r w:rsidR="006B1C09" w:rsidRPr="006B1C09">
        <w:rPr>
          <w:rFonts w:ascii="Times New Roman" w:hAnsi="Times New Roman" w:cs="Times New Roman"/>
          <w:color w:val="000000"/>
          <w:sz w:val="20"/>
          <w:szCs w:val="20"/>
          <w:shd w:val="clear" w:color="auto" w:fill="FFFFFF"/>
        </w:rPr>
        <w:t xml:space="preserve">pullout load. </w:t>
      </w:r>
      <w:bookmarkEnd w:id="5"/>
      <w:r w:rsidR="00D90D00" w:rsidRPr="00D90D00">
        <w:rPr>
          <w:rFonts w:ascii="Times New Roman" w:hAnsi="Times New Roman" w:cs="Times New Roman"/>
          <w:color w:val="252525"/>
          <w:sz w:val="20"/>
          <w:szCs w:val="20"/>
        </w:rPr>
        <w:t xml:space="preserve">To determine how the relative density of the sand influences the pullout load, a block of sand with three distinct densities was employed. As shown in </w:t>
      </w:r>
      <w:r w:rsidR="00D90D00" w:rsidRPr="004D2AFE">
        <w:rPr>
          <w:rFonts w:ascii="Times New Roman" w:hAnsi="Times New Roman" w:cs="Times New Roman"/>
          <w:color w:val="00B0F0"/>
          <w:sz w:val="20"/>
          <w:szCs w:val="20"/>
        </w:rPr>
        <w:t>Fig</w:t>
      </w:r>
      <w:r w:rsidR="009975E3" w:rsidRPr="004D2AFE">
        <w:rPr>
          <w:rFonts w:ascii="Times New Roman" w:hAnsi="Times New Roman" w:cs="Times New Roman"/>
          <w:color w:val="00B0F0"/>
          <w:sz w:val="20"/>
          <w:szCs w:val="20"/>
        </w:rPr>
        <w:t>.</w:t>
      </w:r>
      <w:r w:rsidR="00D90D00" w:rsidRPr="004D2AFE">
        <w:rPr>
          <w:rFonts w:ascii="Times New Roman" w:hAnsi="Times New Roman" w:cs="Times New Roman"/>
          <w:color w:val="00B0F0"/>
          <w:sz w:val="20"/>
          <w:szCs w:val="20"/>
        </w:rPr>
        <w:t xml:space="preserve"> 8</w:t>
      </w:r>
      <w:r w:rsidR="00D90D00" w:rsidRPr="00D90D00">
        <w:rPr>
          <w:rFonts w:ascii="Times New Roman" w:hAnsi="Times New Roman" w:cs="Times New Roman"/>
          <w:color w:val="252525"/>
          <w:sz w:val="20"/>
          <w:szCs w:val="20"/>
        </w:rPr>
        <w:t xml:space="preserve">, as the relative density of the sand block increases, the </w:t>
      </w:r>
      <w:r w:rsidR="009975E3">
        <w:rPr>
          <w:rFonts w:ascii="Times New Roman" w:hAnsi="Times New Roman" w:cs="Times New Roman"/>
          <w:color w:val="252525"/>
          <w:sz w:val="20"/>
          <w:szCs w:val="20"/>
        </w:rPr>
        <w:t>pullout</w:t>
      </w:r>
      <w:r w:rsidR="00D90D00" w:rsidRPr="00D90D00">
        <w:rPr>
          <w:rFonts w:ascii="Times New Roman" w:hAnsi="Times New Roman" w:cs="Times New Roman"/>
          <w:color w:val="252525"/>
          <w:sz w:val="20"/>
          <w:szCs w:val="20"/>
        </w:rPr>
        <w:t xml:space="preserve"> load of square and H-shaped single plate anchors increases. These loads correspond to 129.64 MPa, 169.70 MPa, and 343.19 MPa for square anchors and 71.4336 MPa, 118.56 MPa, and 217 MPa for H-shaped anchors, which correspond to 30%, 50%, and 85% relative densities, respectively. The increase in </w:t>
      </w:r>
      <w:r w:rsidR="009975E3">
        <w:rPr>
          <w:rFonts w:ascii="Times New Roman" w:hAnsi="Times New Roman" w:cs="Times New Roman"/>
          <w:color w:val="252525"/>
          <w:sz w:val="20"/>
          <w:szCs w:val="20"/>
        </w:rPr>
        <w:t>pullout</w:t>
      </w:r>
      <w:r w:rsidR="00D90D00" w:rsidRPr="00D90D00">
        <w:rPr>
          <w:rFonts w:ascii="Times New Roman" w:hAnsi="Times New Roman" w:cs="Times New Roman"/>
          <w:color w:val="252525"/>
          <w:sz w:val="20"/>
          <w:szCs w:val="20"/>
        </w:rPr>
        <w:t xml:space="preserve"> load as the relative density of the sand increases can be attributed to the increased compactness of the sand, which results in a strong bond and increased strength between the tie rod material and surrounding sand.</w:t>
      </w:r>
      <w:r w:rsidR="003C0596">
        <w:rPr>
          <w:rFonts w:ascii="Times New Roman" w:hAnsi="Times New Roman" w:cs="Times New Roman"/>
          <w:color w:val="252525"/>
          <w:sz w:val="20"/>
          <w:szCs w:val="20"/>
        </w:rPr>
        <w:t xml:space="preserve"> The summary of the results obtained for the single plate anchors are shown in </w:t>
      </w:r>
      <w:r w:rsidR="003C0596" w:rsidRPr="00272E24">
        <w:rPr>
          <w:rFonts w:ascii="Times New Roman" w:hAnsi="Times New Roman" w:cs="Times New Roman"/>
          <w:color w:val="00B0F0"/>
          <w:sz w:val="20"/>
          <w:szCs w:val="20"/>
        </w:rPr>
        <w:t>Table 3</w:t>
      </w:r>
      <w:r w:rsidR="003C0596">
        <w:rPr>
          <w:rFonts w:ascii="Times New Roman" w:hAnsi="Times New Roman" w:cs="Times New Roman"/>
          <w:color w:val="252525"/>
          <w:sz w:val="20"/>
          <w:szCs w:val="20"/>
        </w:rPr>
        <w:t>.</w:t>
      </w:r>
    </w:p>
    <w:p w14:paraId="733A9744" w14:textId="73E5DA2C" w:rsidR="007565E8" w:rsidRPr="006E59F1" w:rsidRDefault="001B66AD" w:rsidP="007162CD">
      <w:pPr>
        <w:spacing w:line="360" w:lineRule="auto"/>
        <w:jc w:val="both"/>
        <w:rPr>
          <w:rFonts w:ascii="Times New Roman" w:hAnsi="Times New Roman" w:cs="Times New Roman"/>
          <w:b/>
          <w:bCs/>
          <w:color w:val="000000" w:themeColor="text1"/>
          <w:sz w:val="20"/>
          <w:szCs w:val="20"/>
          <w:shd w:val="clear" w:color="auto" w:fill="FFFFFF"/>
        </w:rPr>
      </w:pPr>
      <w:r>
        <w:rPr>
          <w:rFonts w:ascii="Times New Roman" w:hAnsi="Times New Roman" w:cs="Times New Roman"/>
          <w:b/>
          <w:bCs/>
          <w:color w:val="000000" w:themeColor="text1"/>
          <w:sz w:val="20"/>
          <w:szCs w:val="20"/>
          <w:shd w:val="clear" w:color="auto" w:fill="FFFFFF"/>
        </w:rPr>
        <w:t>5</w:t>
      </w:r>
      <w:r w:rsidR="007F11ED" w:rsidRPr="006E59F1">
        <w:rPr>
          <w:rFonts w:ascii="Times New Roman" w:hAnsi="Times New Roman" w:cs="Times New Roman"/>
          <w:b/>
          <w:bCs/>
          <w:color w:val="000000" w:themeColor="text1"/>
          <w:sz w:val="20"/>
          <w:szCs w:val="20"/>
          <w:shd w:val="clear" w:color="auto" w:fill="FFFFFF"/>
        </w:rPr>
        <w:t xml:space="preserve">.2 </w:t>
      </w:r>
      <w:r w:rsidR="005337D2">
        <w:rPr>
          <w:rFonts w:ascii="Times New Roman" w:hAnsi="Times New Roman" w:cs="Times New Roman"/>
          <w:b/>
          <w:bCs/>
          <w:color w:val="000000" w:themeColor="text1"/>
          <w:sz w:val="20"/>
          <w:szCs w:val="20"/>
          <w:shd w:val="clear" w:color="auto" w:fill="FFFFFF"/>
        </w:rPr>
        <w:t xml:space="preserve">Pullout Capacity of </w:t>
      </w:r>
      <w:r w:rsidR="007565E8" w:rsidRPr="006E59F1">
        <w:rPr>
          <w:rFonts w:ascii="Times New Roman" w:hAnsi="Times New Roman" w:cs="Times New Roman"/>
          <w:b/>
          <w:bCs/>
          <w:color w:val="000000" w:themeColor="text1"/>
          <w:sz w:val="20"/>
          <w:szCs w:val="20"/>
          <w:shd w:val="clear" w:color="auto" w:fill="FFFFFF"/>
        </w:rPr>
        <w:t xml:space="preserve">Multi </w:t>
      </w:r>
      <w:r w:rsidRPr="006E59F1">
        <w:rPr>
          <w:rFonts w:ascii="Times New Roman" w:hAnsi="Times New Roman" w:cs="Times New Roman"/>
          <w:b/>
          <w:bCs/>
          <w:color w:val="000000" w:themeColor="text1"/>
          <w:sz w:val="20"/>
          <w:szCs w:val="20"/>
          <w:shd w:val="clear" w:color="auto" w:fill="FFFFFF"/>
        </w:rPr>
        <w:t>Plate Anchor</w:t>
      </w:r>
    </w:p>
    <w:p w14:paraId="337CCA18" w14:textId="29A84900" w:rsidR="00CA08E7" w:rsidRPr="00CA08E7" w:rsidRDefault="00CA08E7" w:rsidP="00CA08E7">
      <w:pPr>
        <w:spacing w:line="360" w:lineRule="auto"/>
        <w:jc w:val="both"/>
        <w:rPr>
          <w:rFonts w:ascii="Times New Roman" w:hAnsi="Times New Roman" w:cs="Times New Roman"/>
          <w:color w:val="252525"/>
          <w:sz w:val="20"/>
          <w:szCs w:val="20"/>
        </w:rPr>
      </w:pPr>
      <w:r w:rsidRPr="00CA08E7">
        <w:rPr>
          <w:rFonts w:ascii="Times New Roman" w:hAnsi="Times New Roman" w:cs="Times New Roman"/>
          <w:color w:val="252525"/>
          <w:sz w:val="20"/>
          <w:szCs w:val="20"/>
        </w:rPr>
        <w:t xml:space="preserve">In this study, square- and H-shaped multiplate anchors were numerically analysed to determine their </w:t>
      </w:r>
      <w:r w:rsidR="00574449">
        <w:rPr>
          <w:rFonts w:ascii="Times New Roman" w:hAnsi="Times New Roman" w:cs="Times New Roman"/>
          <w:color w:val="252525"/>
          <w:sz w:val="20"/>
          <w:szCs w:val="20"/>
        </w:rPr>
        <w:t xml:space="preserve">pullout </w:t>
      </w:r>
      <w:r w:rsidRPr="00CA08E7">
        <w:rPr>
          <w:rFonts w:ascii="Times New Roman" w:hAnsi="Times New Roman" w:cs="Times New Roman"/>
          <w:color w:val="252525"/>
          <w:sz w:val="20"/>
          <w:szCs w:val="20"/>
        </w:rPr>
        <w:t xml:space="preserve">capacities. Numerous parameters, including the length of the tie rod, the diameter of the tie rod, the thickness of the anchor plate, the relative density of the sand, and the distance between the plates, were adjusted to determine these capacities. </w:t>
      </w:r>
      <w:r w:rsidRPr="003222A2">
        <w:rPr>
          <w:rFonts w:ascii="Times New Roman" w:hAnsi="Times New Roman" w:cs="Times New Roman"/>
          <w:color w:val="00B0F0"/>
          <w:sz w:val="20"/>
          <w:szCs w:val="20"/>
        </w:rPr>
        <w:t>Fig</w:t>
      </w:r>
      <w:r w:rsidR="00574449" w:rsidRPr="003222A2">
        <w:rPr>
          <w:rFonts w:ascii="Times New Roman" w:hAnsi="Times New Roman" w:cs="Times New Roman"/>
          <w:color w:val="00B0F0"/>
          <w:sz w:val="20"/>
          <w:szCs w:val="20"/>
        </w:rPr>
        <w:t>.</w:t>
      </w:r>
      <w:r w:rsidRPr="003222A2">
        <w:rPr>
          <w:rFonts w:ascii="Times New Roman" w:hAnsi="Times New Roman" w:cs="Times New Roman"/>
          <w:color w:val="00B0F0"/>
          <w:sz w:val="20"/>
          <w:szCs w:val="20"/>
        </w:rPr>
        <w:t xml:space="preserve"> 9</w:t>
      </w:r>
      <w:r w:rsidRPr="00CA08E7">
        <w:rPr>
          <w:rFonts w:ascii="Times New Roman" w:hAnsi="Times New Roman" w:cs="Times New Roman"/>
          <w:color w:val="252525"/>
          <w:sz w:val="20"/>
          <w:szCs w:val="20"/>
        </w:rPr>
        <w:t xml:space="preserve"> demonstrates that the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of square- and H-shaped anchor plates increases with the number of plates to which they are attached. </w:t>
      </w:r>
      <w:r w:rsidR="00574449" w:rsidRPr="00CA08E7">
        <w:rPr>
          <w:rFonts w:ascii="Times New Roman" w:hAnsi="Times New Roman" w:cs="Times New Roman"/>
          <w:color w:val="252525"/>
          <w:sz w:val="20"/>
          <w:szCs w:val="20"/>
        </w:rPr>
        <w:t>To</w:t>
      </w:r>
      <w:r w:rsidRPr="00CA08E7">
        <w:rPr>
          <w:rFonts w:ascii="Times New Roman" w:hAnsi="Times New Roman" w:cs="Times New Roman"/>
          <w:color w:val="252525"/>
          <w:sz w:val="20"/>
          <w:szCs w:val="20"/>
        </w:rPr>
        <w:t xml:space="preserve"> determine the influence of the length of the tie rod on the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15-meter, 30-meter, and 45-meter-long tie rods </w:t>
      </w:r>
      <w:r w:rsidR="00574449">
        <w:rPr>
          <w:rFonts w:ascii="Times New Roman" w:hAnsi="Times New Roman" w:cs="Times New Roman"/>
          <w:color w:val="252525"/>
          <w:sz w:val="20"/>
          <w:szCs w:val="20"/>
        </w:rPr>
        <w:t>were</w:t>
      </w:r>
      <w:r w:rsidRPr="00CA08E7">
        <w:rPr>
          <w:rFonts w:ascii="Times New Roman" w:hAnsi="Times New Roman" w:cs="Times New Roman"/>
          <w:color w:val="252525"/>
          <w:sz w:val="20"/>
          <w:szCs w:val="20"/>
        </w:rPr>
        <w:t xml:space="preserve"> considered. The resistance to drawing out of a square or H-shaped multiplate anchor increases in proportion to the length of the tie rod. Because an increase in rod length or embedment depth results in an increase in the soil weight sustained by the plates, the pullout capacity increases accordingly. To determine how the diameter of the tie rod affects its pullout capacity, tie rods of three distinct diameters (0.25m, 0.32m, and 0.40m) </w:t>
      </w:r>
      <w:r w:rsidR="00574449">
        <w:rPr>
          <w:rFonts w:ascii="Times New Roman" w:hAnsi="Times New Roman" w:cs="Times New Roman"/>
          <w:color w:val="252525"/>
          <w:sz w:val="20"/>
          <w:szCs w:val="20"/>
        </w:rPr>
        <w:t>were</w:t>
      </w:r>
      <w:r w:rsidRPr="00CA08E7">
        <w:rPr>
          <w:rFonts w:ascii="Times New Roman" w:hAnsi="Times New Roman" w:cs="Times New Roman"/>
          <w:color w:val="252525"/>
          <w:sz w:val="20"/>
          <w:szCs w:val="20"/>
        </w:rPr>
        <w:t xml:space="preserve"> examined. The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of square and H-shaped multiplate anchors decreases dramatically as the diameter increases. Because the larger diameter of the tie rod covered a larger surface area, the soil pressure on the anchor plates decreased as the diameter of the rod increased. This was caused by the larger diameter of the tie rod, which decreased its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Various thicknesses of anchor plates (0.10 m, 0.25 m, and 0.50 m) </w:t>
      </w:r>
      <w:r w:rsidR="00574449">
        <w:rPr>
          <w:rFonts w:ascii="Times New Roman" w:hAnsi="Times New Roman" w:cs="Times New Roman"/>
          <w:color w:val="252525"/>
          <w:sz w:val="20"/>
          <w:szCs w:val="20"/>
        </w:rPr>
        <w:t>were</w:t>
      </w:r>
      <w:r w:rsidRPr="00CA08E7">
        <w:rPr>
          <w:rFonts w:ascii="Times New Roman" w:hAnsi="Times New Roman" w:cs="Times New Roman"/>
          <w:color w:val="252525"/>
          <w:sz w:val="20"/>
          <w:szCs w:val="20"/>
        </w:rPr>
        <w:t xml:space="preserve"> considered </w:t>
      </w:r>
      <w:r w:rsidR="00574449" w:rsidRPr="00CA08E7">
        <w:rPr>
          <w:rFonts w:ascii="Times New Roman" w:hAnsi="Times New Roman" w:cs="Times New Roman"/>
          <w:color w:val="252525"/>
          <w:sz w:val="20"/>
          <w:szCs w:val="20"/>
        </w:rPr>
        <w:t>to</w:t>
      </w:r>
      <w:r w:rsidRPr="00CA08E7">
        <w:rPr>
          <w:rFonts w:ascii="Times New Roman" w:hAnsi="Times New Roman" w:cs="Times New Roman"/>
          <w:color w:val="252525"/>
          <w:sz w:val="20"/>
          <w:szCs w:val="20"/>
        </w:rPr>
        <w:t xml:space="preserve"> investigate the relationship between anchor plate thickness and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The results lead to the conclusion that the </w:t>
      </w:r>
      <w:r w:rsidR="00574449">
        <w:rPr>
          <w:rFonts w:ascii="Times New Roman" w:hAnsi="Times New Roman" w:cs="Times New Roman"/>
          <w:color w:val="252525"/>
          <w:sz w:val="20"/>
          <w:szCs w:val="20"/>
        </w:rPr>
        <w:t xml:space="preserve">pullout </w:t>
      </w:r>
      <w:r w:rsidRPr="00CA08E7">
        <w:rPr>
          <w:rFonts w:ascii="Times New Roman" w:hAnsi="Times New Roman" w:cs="Times New Roman"/>
          <w:color w:val="252525"/>
          <w:sz w:val="20"/>
          <w:szCs w:val="20"/>
        </w:rPr>
        <w:t xml:space="preserve">capacity of square- and H-shaped multiplate anchors increases as the plate anchor's thickness increases. To examine the effect of </w:t>
      </w:r>
      <w:r w:rsidR="00574449">
        <w:rPr>
          <w:rFonts w:ascii="Times New Roman" w:hAnsi="Times New Roman" w:cs="Times New Roman"/>
          <w:color w:val="252525"/>
          <w:sz w:val="20"/>
          <w:szCs w:val="20"/>
        </w:rPr>
        <w:t>sand</w:t>
      </w:r>
      <w:r w:rsidRPr="00CA08E7">
        <w:rPr>
          <w:rFonts w:ascii="Times New Roman" w:hAnsi="Times New Roman" w:cs="Times New Roman"/>
          <w:color w:val="252525"/>
          <w:sz w:val="20"/>
          <w:szCs w:val="20"/>
        </w:rPr>
        <w:t xml:space="preserve"> relative density on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a block of </w:t>
      </w:r>
      <w:r w:rsidR="00574449">
        <w:rPr>
          <w:rFonts w:ascii="Times New Roman" w:hAnsi="Times New Roman" w:cs="Times New Roman"/>
          <w:color w:val="252525"/>
          <w:sz w:val="20"/>
          <w:szCs w:val="20"/>
        </w:rPr>
        <w:t>sand</w:t>
      </w:r>
      <w:r w:rsidRPr="00CA08E7">
        <w:rPr>
          <w:rFonts w:ascii="Times New Roman" w:hAnsi="Times New Roman" w:cs="Times New Roman"/>
          <w:color w:val="252525"/>
          <w:sz w:val="20"/>
          <w:szCs w:val="20"/>
        </w:rPr>
        <w:t xml:space="preserve"> with varying relative densities (30%, 50%, and 85%) </w:t>
      </w:r>
      <w:r w:rsidR="00574449">
        <w:rPr>
          <w:rFonts w:ascii="Times New Roman" w:hAnsi="Times New Roman" w:cs="Times New Roman"/>
          <w:color w:val="252525"/>
          <w:sz w:val="20"/>
          <w:szCs w:val="20"/>
        </w:rPr>
        <w:t xml:space="preserve">was </w:t>
      </w:r>
      <w:r w:rsidRPr="00CA08E7">
        <w:rPr>
          <w:rFonts w:ascii="Times New Roman" w:hAnsi="Times New Roman" w:cs="Times New Roman"/>
          <w:color w:val="252525"/>
          <w:sz w:val="20"/>
          <w:szCs w:val="20"/>
        </w:rPr>
        <w:t xml:space="preserve">considered. When the relative density of the </w:t>
      </w:r>
      <w:r w:rsidR="00574449">
        <w:rPr>
          <w:rFonts w:ascii="Times New Roman" w:hAnsi="Times New Roman" w:cs="Times New Roman"/>
          <w:color w:val="252525"/>
          <w:sz w:val="20"/>
          <w:szCs w:val="20"/>
        </w:rPr>
        <w:t>sand</w:t>
      </w:r>
      <w:r w:rsidRPr="00CA08E7">
        <w:rPr>
          <w:rFonts w:ascii="Times New Roman" w:hAnsi="Times New Roman" w:cs="Times New Roman"/>
          <w:color w:val="252525"/>
          <w:sz w:val="20"/>
          <w:szCs w:val="20"/>
        </w:rPr>
        <w:t xml:space="preserve"> block increases, the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of both a square-shaped and an H-shaped multiplate anchor increases as well. To examine how the distance between anchor plates effects </w:t>
      </w:r>
      <w:r w:rsidRPr="00CA08E7">
        <w:rPr>
          <w:rFonts w:ascii="Times New Roman" w:hAnsi="Times New Roman" w:cs="Times New Roman"/>
          <w:color w:val="252525"/>
          <w:sz w:val="20"/>
          <w:szCs w:val="20"/>
        </w:rPr>
        <w:lastRenderedPageBreak/>
        <w:t>pullout capa</w:t>
      </w:r>
      <w:r w:rsidR="00574449">
        <w:rPr>
          <w:rFonts w:ascii="Times New Roman" w:hAnsi="Times New Roman" w:cs="Times New Roman"/>
          <w:color w:val="252525"/>
          <w:sz w:val="20"/>
          <w:szCs w:val="20"/>
        </w:rPr>
        <w:t>city</w:t>
      </w:r>
      <w:r w:rsidRPr="00CA08E7">
        <w:rPr>
          <w:rFonts w:ascii="Times New Roman" w:hAnsi="Times New Roman" w:cs="Times New Roman"/>
          <w:color w:val="252525"/>
          <w:sz w:val="20"/>
          <w:szCs w:val="20"/>
        </w:rPr>
        <w:t xml:space="preserve">, various anchor plates with differing distances between them (1d, 2d, 3d, and 4d) </w:t>
      </w:r>
      <w:r w:rsidR="00574449">
        <w:rPr>
          <w:rFonts w:ascii="Times New Roman" w:hAnsi="Times New Roman" w:cs="Times New Roman"/>
          <w:color w:val="252525"/>
          <w:sz w:val="20"/>
          <w:szCs w:val="20"/>
        </w:rPr>
        <w:t>were</w:t>
      </w:r>
      <w:r w:rsidRPr="00CA08E7">
        <w:rPr>
          <w:rFonts w:ascii="Times New Roman" w:hAnsi="Times New Roman" w:cs="Times New Roman"/>
          <w:color w:val="252525"/>
          <w:sz w:val="20"/>
          <w:szCs w:val="20"/>
        </w:rPr>
        <w:t xml:space="preserve"> examined</w:t>
      </w:r>
      <w:r w:rsidR="00561205">
        <w:rPr>
          <w:rFonts w:ascii="Times New Roman" w:hAnsi="Times New Roman" w:cs="Times New Roman"/>
          <w:color w:val="252525"/>
          <w:sz w:val="20"/>
          <w:szCs w:val="20"/>
        </w:rPr>
        <w:t xml:space="preserve"> and the results were presented in </w:t>
      </w:r>
      <w:r w:rsidR="00561205" w:rsidRPr="003222A2">
        <w:rPr>
          <w:rFonts w:ascii="Times New Roman" w:hAnsi="Times New Roman" w:cs="Times New Roman"/>
          <w:color w:val="00B0F0"/>
          <w:sz w:val="20"/>
          <w:szCs w:val="20"/>
        </w:rPr>
        <w:t>Fig. 10</w:t>
      </w:r>
      <w:r w:rsidRPr="00CA08E7">
        <w:rPr>
          <w:rFonts w:ascii="Times New Roman" w:hAnsi="Times New Roman" w:cs="Times New Roman"/>
          <w:color w:val="252525"/>
          <w:sz w:val="20"/>
          <w:szCs w:val="20"/>
        </w:rPr>
        <w:t xml:space="preserve">. </w:t>
      </w:r>
      <w:r w:rsidR="009B60AB">
        <w:rPr>
          <w:rFonts w:ascii="Times New Roman" w:hAnsi="Times New Roman" w:cs="Times New Roman"/>
          <w:color w:val="252525"/>
          <w:sz w:val="20"/>
          <w:szCs w:val="20"/>
        </w:rPr>
        <w:t xml:space="preserve"> Study of this figure reveals that the</w:t>
      </w:r>
      <w:r w:rsidRPr="00CA08E7">
        <w:rPr>
          <w:rFonts w:ascii="Times New Roman" w:hAnsi="Times New Roman" w:cs="Times New Roman"/>
          <w:color w:val="252525"/>
          <w:sz w:val="20"/>
          <w:szCs w:val="20"/>
        </w:rPr>
        <w:t xml:space="preserve"> </w:t>
      </w:r>
      <w:r w:rsidR="00574449">
        <w:rPr>
          <w:rFonts w:ascii="Times New Roman" w:hAnsi="Times New Roman" w:cs="Times New Roman"/>
          <w:color w:val="252525"/>
          <w:sz w:val="20"/>
          <w:szCs w:val="20"/>
        </w:rPr>
        <w:t>pullout</w:t>
      </w:r>
      <w:r w:rsidRPr="00CA08E7">
        <w:rPr>
          <w:rFonts w:ascii="Times New Roman" w:hAnsi="Times New Roman" w:cs="Times New Roman"/>
          <w:color w:val="252525"/>
          <w:sz w:val="20"/>
          <w:szCs w:val="20"/>
        </w:rPr>
        <w:t xml:space="preserve"> capacity of square and H-shaped multiplate anchors increases with increasing spacing between multiplate anchors up to a critical spacing, after which it decreases further. This phenomenon occurs as the distance between multiplate anchors grows. </w:t>
      </w:r>
      <w:r w:rsidR="00A556A8">
        <w:rPr>
          <w:rFonts w:ascii="Times New Roman" w:hAnsi="Times New Roman" w:cs="Times New Roman"/>
          <w:color w:val="252525"/>
          <w:sz w:val="20"/>
          <w:szCs w:val="20"/>
        </w:rPr>
        <w:t>T</w:t>
      </w:r>
      <w:r w:rsidRPr="00CA08E7">
        <w:rPr>
          <w:rFonts w:ascii="Times New Roman" w:hAnsi="Times New Roman" w:cs="Times New Roman"/>
          <w:color w:val="252525"/>
          <w:sz w:val="20"/>
          <w:szCs w:val="20"/>
        </w:rPr>
        <w:t xml:space="preserve">he </w:t>
      </w:r>
      <w:r w:rsidR="00A556A8" w:rsidRPr="00CA08E7">
        <w:rPr>
          <w:rFonts w:ascii="Times New Roman" w:hAnsi="Times New Roman" w:cs="Times New Roman"/>
          <w:color w:val="252525"/>
          <w:sz w:val="20"/>
          <w:szCs w:val="20"/>
        </w:rPr>
        <w:t>result</w:t>
      </w:r>
      <w:r w:rsidR="00A97C65">
        <w:rPr>
          <w:rFonts w:ascii="Times New Roman" w:hAnsi="Times New Roman" w:cs="Times New Roman"/>
          <w:color w:val="252525"/>
          <w:sz w:val="20"/>
          <w:szCs w:val="20"/>
        </w:rPr>
        <w:t>s</w:t>
      </w:r>
      <w:r w:rsidR="00C857D7">
        <w:rPr>
          <w:rFonts w:ascii="Times New Roman" w:hAnsi="Times New Roman" w:cs="Times New Roman"/>
          <w:color w:val="252525"/>
          <w:sz w:val="20"/>
          <w:szCs w:val="20"/>
        </w:rPr>
        <w:t xml:space="preserve"> of this</w:t>
      </w:r>
      <w:r w:rsidRPr="00CA08E7">
        <w:rPr>
          <w:rFonts w:ascii="Times New Roman" w:hAnsi="Times New Roman" w:cs="Times New Roman"/>
          <w:color w:val="252525"/>
          <w:sz w:val="20"/>
          <w:szCs w:val="20"/>
        </w:rPr>
        <w:t xml:space="preserve"> investigation </w:t>
      </w:r>
      <w:r w:rsidR="00C857D7">
        <w:rPr>
          <w:rFonts w:ascii="Times New Roman" w:hAnsi="Times New Roman" w:cs="Times New Roman"/>
          <w:color w:val="252525"/>
          <w:sz w:val="20"/>
          <w:szCs w:val="20"/>
        </w:rPr>
        <w:t>are</w:t>
      </w:r>
      <w:r w:rsidR="00A556A8" w:rsidRPr="00CA08E7">
        <w:rPr>
          <w:rFonts w:ascii="Times New Roman" w:hAnsi="Times New Roman" w:cs="Times New Roman"/>
          <w:color w:val="252525"/>
          <w:sz w:val="20"/>
          <w:szCs w:val="20"/>
        </w:rPr>
        <w:t xml:space="preserve"> </w:t>
      </w:r>
      <w:r w:rsidR="00A556A8">
        <w:rPr>
          <w:rFonts w:ascii="Times New Roman" w:hAnsi="Times New Roman" w:cs="Times New Roman"/>
          <w:color w:val="252525"/>
          <w:sz w:val="20"/>
          <w:szCs w:val="20"/>
        </w:rPr>
        <w:t xml:space="preserve">presented in </w:t>
      </w:r>
      <w:r w:rsidR="00441B2D" w:rsidRPr="005E7B9C">
        <w:rPr>
          <w:rFonts w:ascii="Times New Roman" w:hAnsi="Times New Roman" w:cs="Times New Roman"/>
          <w:color w:val="00B0F0"/>
          <w:sz w:val="20"/>
          <w:szCs w:val="20"/>
        </w:rPr>
        <w:t>Table 4</w:t>
      </w:r>
      <w:r w:rsidR="00A556A8">
        <w:rPr>
          <w:rFonts w:ascii="Times New Roman" w:hAnsi="Times New Roman" w:cs="Times New Roman"/>
          <w:color w:val="252525"/>
          <w:sz w:val="20"/>
          <w:szCs w:val="20"/>
        </w:rPr>
        <w:t>.</w:t>
      </w:r>
    </w:p>
    <w:p w14:paraId="48BF04A1" w14:textId="3DEE97FD" w:rsidR="000C3E43" w:rsidRDefault="000E37EF" w:rsidP="001B66AD">
      <w:pPr>
        <w:pStyle w:val="ListParagraph"/>
        <w:numPr>
          <w:ilvl w:val="1"/>
          <w:numId w:val="1"/>
        </w:numPr>
        <w:spacing w:after="0" w:line="360" w:lineRule="auto"/>
        <w:rPr>
          <w:rFonts w:ascii="Times New Roman" w:hAnsi="Times New Roman" w:cs="Times New Roman"/>
          <w:b/>
          <w:bCs/>
          <w:sz w:val="20"/>
          <w:szCs w:val="20"/>
          <w:shd w:val="clear" w:color="auto" w:fill="FFFFFF"/>
        </w:rPr>
      </w:pPr>
      <w:r w:rsidRPr="00055340">
        <w:rPr>
          <w:rFonts w:ascii="Times New Roman" w:hAnsi="Times New Roman" w:cs="Times New Roman"/>
          <w:b/>
          <w:bCs/>
          <w:sz w:val="20"/>
          <w:szCs w:val="20"/>
          <w:shd w:val="clear" w:color="auto" w:fill="FFFFFF"/>
        </w:rPr>
        <w:t>Comparison</w:t>
      </w:r>
      <w:r w:rsidR="002E01CA" w:rsidRPr="00055340">
        <w:rPr>
          <w:rFonts w:ascii="Times New Roman" w:hAnsi="Times New Roman" w:cs="Times New Roman"/>
          <w:b/>
          <w:bCs/>
          <w:sz w:val="20"/>
          <w:szCs w:val="20"/>
          <w:shd w:val="clear" w:color="auto" w:fill="FFFFFF"/>
        </w:rPr>
        <w:t xml:space="preserve"> </w:t>
      </w:r>
    </w:p>
    <w:p w14:paraId="185C6829" w14:textId="77777777" w:rsidR="00F159D0" w:rsidRPr="00F159D0" w:rsidRDefault="008A4BB5" w:rsidP="00F159D0">
      <w:pPr>
        <w:spacing w:after="0" w:line="360" w:lineRule="auto"/>
        <w:jc w:val="both"/>
        <w:rPr>
          <w:rFonts w:ascii="Times New Roman" w:hAnsi="Times New Roman" w:cs="Times New Roman"/>
          <w:sz w:val="20"/>
          <w:szCs w:val="20"/>
          <w:shd w:val="clear" w:color="auto" w:fill="FFFFFF"/>
        </w:rPr>
      </w:pPr>
      <w:r w:rsidRPr="00AE4804">
        <w:rPr>
          <w:rFonts w:ascii="Times New Roman" w:hAnsi="Times New Roman" w:cs="Times New Roman"/>
          <w:color w:val="00B0F0"/>
          <w:sz w:val="20"/>
          <w:szCs w:val="20"/>
          <w:shd w:val="clear" w:color="auto" w:fill="FFFFFF"/>
        </w:rPr>
        <w:t>Fig</w:t>
      </w:r>
      <w:r w:rsidR="00AE4804" w:rsidRPr="00AE4804">
        <w:rPr>
          <w:rFonts w:ascii="Times New Roman" w:hAnsi="Times New Roman" w:cs="Times New Roman"/>
          <w:color w:val="00B0F0"/>
          <w:sz w:val="20"/>
          <w:szCs w:val="20"/>
          <w:shd w:val="clear" w:color="auto" w:fill="FFFFFF"/>
        </w:rPr>
        <w:t>.</w:t>
      </w:r>
      <w:r w:rsidRPr="00AE4804">
        <w:rPr>
          <w:rFonts w:ascii="Times New Roman" w:hAnsi="Times New Roman" w:cs="Times New Roman"/>
          <w:color w:val="00B0F0"/>
          <w:sz w:val="20"/>
          <w:szCs w:val="20"/>
          <w:shd w:val="clear" w:color="auto" w:fill="FFFFFF"/>
        </w:rPr>
        <w:t xml:space="preserve"> 11 </w:t>
      </w:r>
      <w:r w:rsidRPr="008A4BB5">
        <w:rPr>
          <w:rFonts w:ascii="Times New Roman" w:hAnsi="Times New Roman" w:cs="Times New Roman"/>
          <w:sz w:val="20"/>
          <w:szCs w:val="20"/>
          <w:shd w:val="clear" w:color="auto" w:fill="FFFFFF"/>
        </w:rPr>
        <w:t xml:space="preserve">depicts the comparative study of square- and H-shaped single- and multi-plate horizontal anchors. According to the study's findings, the pullout capacity of square-shaped single-plate and multi-plate anchors is greater than that of horizontal H-shaped anchor plates, which have lesser values. Nonetheless, the pullout capacities of square and H-shaped single and multi-plate anchors behave identically when the relative density (illustrated in </w:t>
      </w:r>
      <w:r w:rsidR="00551E54" w:rsidRPr="00AE4804">
        <w:rPr>
          <w:rFonts w:ascii="Times New Roman" w:hAnsi="Times New Roman" w:cs="Times New Roman"/>
          <w:color w:val="00B0F0"/>
          <w:sz w:val="20"/>
          <w:szCs w:val="20"/>
          <w:shd w:val="clear" w:color="auto" w:fill="FFFFFF"/>
        </w:rPr>
        <w:t>Fig.</w:t>
      </w:r>
      <w:r w:rsidRPr="00AE4804">
        <w:rPr>
          <w:rFonts w:ascii="Times New Roman" w:hAnsi="Times New Roman" w:cs="Times New Roman"/>
          <w:color w:val="00B0F0"/>
          <w:sz w:val="20"/>
          <w:szCs w:val="20"/>
          <w:shd w:val="clear" w:color="auto" w:fill="FFFFFF"/>
        </w:rPr>
        <w:t xml:space="preserve"> 11(a)</w:t>
      </w:r>
      <w:r w:rsidRPr="008A4BB5">
        <w:rPr>
          <w:rFonts w:ascii="Times New Roman" w:hAnsi="Times New Roman" w:cs="Times New Roman"/>
          <w:sz w:val="20"/>
          <w:szCs w:val="20"/>
          <w:shd w:val="clear" w:color="auto" w:fill="FFFFFF"/>
        </w:rPr>
        <w:t xml:space="preserve">), thickness of anchor plate (illustrated in </w:t>
      </w:r>
      <w:r w:rsidR="00551E54" w:rsidRPr="00AE4804">
        <w:rPr>
          <w:rFonts w:ascii="Times New Roman" w:hAnsi="Times New Roman" w:cs="Times New Roman"/>
          <w:color w:val="00B0F0"/>
          <w:sz w:val="20"/>
          <w:szCs w:val="20"/>
          <w:shd w:val="clear" w:color="auto" w:fill="FFFFFF"/>
        </w:rPr>
        <w:t>F</w:t>
      </w:r>
      <w:r w:rsidRPr="00AE4804">
        <w:rPr>
          <w:rFonts w:ascii="Times New Roman" w:hAnsi="Times New Roman" w:cs="Times New Roman"/>
          <w:color w:val="00B0F0"/>
          <w:sz w:val="20"/>
          <w:szCs w:val="20"/>
          <w:shd w:val="clear" w:color="auto" w:fill="FFFFFF"/>
        </w:rPr>
        <w:t>ig</w:t>
      </w:r>
      <w:r w:rsidR="00551E54" w:rsidRPr="00AE4804">
        <w:rPr>
          <w:rFonts w:ascii="Times New Roman" w:hAnsi="Times New Roman" w:cs="Times New Roman"/>
          <w:color w:val="00B0F0"/>
          <w:sz w:val="20"/>
          <w:szCs w:val="20"/>
          <w:shd w:val="clear" w:color="auto" w:fill="FFFFFF"/>
        </w:rPr>
        <w:t>.</w:t>
      </w:r>
      <w:r w:rsidRPr="00AE4804">
        <w:rPr>
          <w:rFonts w:ascii="Times New Roman" w:hAnsi="Times New Roman" w:cs="Times New Roman"/>
          <w:color w:val="00B0F0"/>
          <w:sz w:val="20"/>
          <w:szCs w:val="20"/>
          <w:shd w:val="clear" w:color="auto" w:fill="FFFFFF"/>
        </w:rPr>
        <w:t xml:space="preserve"> 11(b)), </w:t>
      </w:r>
      <w:r w:rsidRPr="008A4BB5">
        <w:rPr>
          <w:rFonts w:ascii="Times New Roman" w:hAnsi="Times New Roman" w:cs="Times New Roman"/>
          <w:sz w:val="20"/>
          <w:szCs w:val="20"/>
          <w:shd w:val="clear" w:color="auto" w:fill="FFFFFF"/>
        </w:rPr>
        <w:t xml:space="preserve">diameter of tie rod (illustrated in </w:t>
      </w:r>
      <w:r w:rsidR="00551E54" w:rsidRPr="00AE4804">
        <w:rPr>
          <w:rFonts w:ascii="Times New Roman" w:hAnsi="Times New Roman" w:cs="Times New Roman"/>
          <w:color w:val="00B0F0"/>
          <w:sz w:val="20"/>
          <w:szCs w:val="20"/>
          <w:shd w:val="clear" w:color="auto" w:fill="FFFFFF"/>
        </w:rPr>
        <w:t>F</w:t>
      </w:r>
      <w:r w:rsidRPr="00AE4804">
        <w:rPr>
          <w:rFonts w:ascii="Times New Roman" w:hAnsi="Times New Roman" w:cs="Times New Roman"/>
          <w:color w:val="00B0F0"/>
          <w:sz w:val="20"/>
          <w:szCs w:val="20"/>
          <w:shd w:val="clear" w:color="auto" w:fill="FFFFFF"/>
        </w:rPr>
        <w:t>ig</w:t>
      </w:r>
      <w:r w:rsidR="00551E54" w:rsidRPr="00AE4804">
        <w:rPr>
          <w:rFonts w:ascii="Times New Roman" w:hAnsi="Times New Roman" w:cs="Times New Roman"/>
          <w:color w:val="00B0F0"/>
          <w:sz w:val="20"/>
          <w:szCs w:val="20"/>
          <w:shd w:val="clear" w:color="auto" w:fill="FFFFFF"/>
        </w:rPr>
        <w:t>.</w:t>
      </w:r>
      <w:r w:rsidRPr="00AE4804">
        <w:rPr>
          <w:rFonts w:ascii="Times New Roman" w:hAnsi="Times New Roman" w:cs="Times New Roman"/>
          <w:color w:val="00B0F0"/>
          <w:sz w:val="20"/>
          <w:szCs w:val="20"/>
          <w:shd w:val="clear" w:color="auto" w:fill="FFFFFF"/>
        </w:rPr>
        <w:t xml:space="preserve"> 11(c)</w:t>
      </w:r>
      <w:r w:rsidRPr="008A4BB5">
        <w:rPr>
          <w:rFonts w:ascii="Times New Roman" w:hAnsi="Times New Roman" w:cs="Times New Roman"/>
          <w:sz w:val="20"/>
          <w:szCs w:val="20"/>
          <w:shd w:val="clear" w:color="auto" w:fill="FFFFFF"/>
        </w:rPr>
        <w:t xml:space="preserve">), and embedment depth (illustrated in </w:t>
      </w:r>
      <w:r w:rsidR="00551E54" w:rsidRPr="00AE4804">
        <w:rPr>
          <w:rFonts w:ascii="Times New Roman" w:hAnsi="Times New Roman" w:cs="Times New Roman"/>
          <w:color w:val="00B0F0"/>
          <w:sz w:val="20"/>
          <w:szCs w:val="20"/>
          <w:shd w:val="clear" w:color="auto" w:fill="FFFFFF"/>
        </w:rPr>
        <w:t>F</w:t>
      </w:r>
      <w:r w:rsidRPr="00AE4804">
        <w:rPr>
          <w:rFonts w:ascii="Times New Roman" w:hAnsi="Times New Roman" w:cs="Times New Roman"/>
          <w:color w:val="00B0F0"/>
          <w:sz w:val="20"/>
          <w:szCs w:val="20"/>
          <w:shd w:val="clear" w:color="auto" w:fill="FFFFFF"/>
        </w:rPr>
        <w:t>ig</w:t>
      </w:r>
      <w:r w:rsidR="00551E54" w:rsidRPr="00AE4804">
        <w:rPr>
          <w:rFonts w:ascii="Times New Roman" w:hAnsi="Times New Roman" w:cs="Times New Roman"/>
          <w:color w:val="00B0F0"/>
          <w:sz w:val="20"/>
          <w:szCs w:val="20"/>
          <w:shd w:val="clear" w:color="auto" w:fill="FFFFFF"/>
        </w:rPr>
        <w:t>.</w:t>
      </w:r>
      <w:r w:rsidRPr="00AE4804">
        <w:rPr>
          <w:rFonts w:ascii="Times New Roman" w:hAnsi="Times New Roman" w:cs="Times New Roman"/>
          <w:color w:val="00B0F0"/>
          <w:sz w:val="20"/>
          <w:szCs w:val="20"/>
          <w:shd w:val="clear" w:color="auto" w:fill="FFFFFF"/>
        </w:rPr>
        <w:t xml:space="preserve"> 11(d)</w:t>
      </w:r>
      <w:r w:rsidRPr="008A4BB5">
        <w:rPr>
          <w:rFonts w:ascii="Times New Roman" w:hAnsi="Times New Roman" w:cs="Times New Roman"/>
          <w:sz w:val="20"/>
          <w:szCs w:val="20"/>
          <w:shd w:val="clear" w:color="auto" w:fill="FFFFFF"/>
        </w:rPr>
        <w:t>) are varied. In areas with loose sand, the H-shaped single-point anchor's (SPA) pullout capacity can be reduced by up to 44.90% compared to the square single-plate anchor. As soil density increases, however, this percentage decreases to 36.77</w:t>
      </w:r>
      <w:r w:rsidR="00A14CD8">
        <w:rPr>
          <w:rFonts w:ascii="Times New Roman" w:hAnsi="Times New Roman" w:cs="Times New Roman"/>
          <w:sz w:val="20"/>
          <w:szCs w:val="20"/>
          <w:shd w:val="clear" w:color="auto" w:fill="FFFFFF"/>
        </w:rPr>
        <w:t xml:space="preserve"> %</w:t>
      </w:r>
      <w:r w:rsidRPr="008A4BB5">
        <w:rPr>
          <w:rFonts w:ascii="Times New Roman" w:hAnsi="Times New Roman" w:cs="Times New Roman"/>
          <w:sz w:val="20"/>
          <w:szCs w:val="20"/>
          <w:shd w:val="clear" w:color="auto" w:fill="FFFFFF"/>
        </w:rPr>
        <w:t xml:space="preserve">. H-shaped SPAs have a pullout capacity that is between </w:t>
      </w:r>
      <w:r w:rsidR="00F80EC6">
        <w:rPr>
          <w:rFonts w:ascii="Times New Roman" w:hAnsi="Times New Roman" w:cs="Times New Roman"/>
          <w:sz w:val="20"/>
          <w:szCs w:val="20"/>
          <w:shd w:val="clear" w:color="auto" w:fill="FFFFFF"/>
        </w:rPr>
        <w:t>16 %</w:t>
      </w:r>
      <w:r w:rsidRPr="008A4BB5">
        <w:rPr>
          <w:rFonts w:ascii="Times New Roman" w:hAnsi="Times New Roman" w:cs="Times New Roman"/>
          <w:sz w:val="20"/>
          <w:szCs w:val="20"/>
          <w:shd w:val="clear" w:color="auto" w:fill="FFFFFF"/>
        </w:rPr>
        <w:t xml:space="preserve"> and </w:t>
      </w:r>
      <w:r w:rsidR="00F80EC6">
        <w:rPr>
          <w:rFonts w:ascii="Times New Roman" w:hAnsi="Times New Roman" w:cs="Times New Roman"/>
          <w:sz w:val="20"/>
          <w:szCs w:val="20"/>
          <w:shd w:val="clear" w:color="auto" w:fill="FFFFFF"/>
        </w:rPr>
        <w:t>22.16 %</w:t>
      </w:r>
      <w:r w:rsidRPr="008A4BB5">
        <w:rPr>
          <w:rFonts w:ascii="Times New Roman" w:hAnsi="Times New Roman" w:cs="Times New Roman"/>
          <w:sz w:val="20"/>
          <w:szCs w:val="20"/>
          <w:shd w:val="clear" w:color="auto" w:fill="FFFFFF"/>
        </w:rPr>
        <w:t xml:space="preserve"> lower compared to square SPAs of varying thicknesses. However, this can range from 30.35</w:t>
      </w:r>
      <w:r w:rsidR="00F80EC6">
        <w:rPr>
          <w:rFonts w:ascii="Times New Roman" w:hAnsi="Times New Roman" w:cs="Times New Roman"/>
          <w:sz w:val="20"/>
          <w:szCs w:val="20"/>
          <w:shd w:val="clear" w:color="auto" w:fill="FFFFFF"/>
        </w:rPr>
        <w:t xml:space="preserve"> %</w:t>
      </w:r>
      <w:r w:rsidRPr="008A4BB5">
        <w:rPr>
          <w:rFonts w:ascii="Times New Roman" w:hAnsi="Times New Roman" w:cs="Times New Roman"/>
          <w:sz w:val="20"/>
          <w:szCs w:val="20"/>
          <w:shd w:val="clear" w:color="auto" w:fill="FFFFFF"/>
        </w:rPr>
        <w:t xml:space="preserve"> to 27.08 </w:t>
      </w:r>
      <w:r w:rsidR="00F80EC6">
        <w:rPr>
          <w:rFonts w:ascii="Times New Roman" w:hAnsi="Times New Roman" w:cs="Times New Roman"/>
          <w:sz w:val="20"/>
          <w:szCs w:val="20"/>
          <w:shd w:val="clear" w:color="auto" w:fill="FFFFFF"/>
        </w:rPr>
        <w:t>%</w:t>
      </w:r>
      <w:r w:rsidRPr="008A4BB5">
        <w:rPr>
          <w:rFonts w:ascii="Times New Roman" w:hAnsi="Times New Roman" w:cs="Times New Roman"/>
          <w:sz w:val="20"/>
          <w:szCs w:val="20"/>
          <w:shd w:val="clear" w:color="auto" w:fill="FFFFFF"/>
        </w:rPr>
        <w:t xml:space="preserve"> depending on the diameter. </w:t>
      </w:r>
      <w:r w:rsidR="00946C04" w:rsidRPr="008A4BB5">
        <w:rPr>
          <w:rFonts w:ascii="Times New Roman" w:hAnsi="Times New Roman" w:cs="Times New Roman"/>
          <w:sz w:val="20"/>
          <w:szCs w:val="20"/>
          <w:shd w:val="clear" w:color="auto" w:fill="FFFFFF"/>
        </w:rPr>
        <w:t>Since</w:t>
      </w:r>
      <w:r w:rsidRPr="008A4BB5">
        <w:rPr>
          <w:rFonts w:ascii="Times New Roman" w:hAnsi="Times New Roman" w:cs="Times New Roman"/>
          <w:sz w:val="20"/>
          <w:szCs w:val="20"/>
          <w:shd w:val="clear" w:color="auto" w:fill="FFFFFF"/>
        </w:rPr>
        <w:t xml:space="preserve"> the pullout capacity of square and plus-shaped SPAs increases with increasing embedment depth. Nonetheless, depending on the embedding depth, the percentage of reduction in these values ranges from 27.08 to 16.62 </w:t>
      </w:r>
      <w:r w:rsidR="00F80EC6">
        <w:rPr>
          <w:rFonts w:ascii="Times New Roman" w:hAnsi="Times New Roman" w:cs="Times New Roman"/>
          <w:sz w:val="20"/>
          <w:szCs w:val="20"/>
          <w:shd w:val="clear" w:color="auto" w:fill="FFFFFF"/>
        </w:rPr>
        <w:t>%</w:t>
      </w:r>
      <w:r w:rsidRPr="008A4BB5">
        <w:rPr>
          <w:rFonts w:ascii="Times New Roman" w:hAnsi="Times New Roman" w:cs="Times New Roman"/>
          <w:sz w:val="20"/>
          <w:szCs w:val="20"/>
          <w:shd w:val="clear" w:color="auto" w:fill="FFFFFF"/>
        </w:rPr>
        <w:t xml:space="preserve">. The percentage of decrease in pullout capacity of H-shaped anchors </w:t>
      </w:r>
      <w:r w:rsidR="00946C04" w:rsidRPr="008A4BB5">
        <w:rPr>
          <w:rFonts w:ascii="Times New Roman" w:hAnsi="Times New Roman" w:cs="Times New Roman"/>
          <w:sz w:val="20"/>
          <w:szCs w:val="20"/>
          <w:shd w:val="clear" w:color="auto" w:fill="FFFFFF"/>
        </w:rPr>
        <w:t>because of</w:t>
      </w:r>
      <w:r w:rsidRPr="008A4BB5">
        <w:rPr>
          <w:rFonts w:ascii="Times New Roman" w:hAnsi="Times New Roman" w:cs="Times New Roman"/>
          <w:sz w:val="20"/>
          <w:szCs w:val="20"/>
          <w:shd w:val="clear" w:color="auto" w:fill="FFFFFF"/>
        </w:rPr>
        <w:t xml:space="preserve"> increasing plate spacing in multi-plate anchors varies somewhat. This is </w:t>
      </w:r>
      <w:r w:rsidR="00946C04" w:rsidRPr="008A4BB5">
        <w:rPr>
          <w:rFonts w:ascii="Times New Roman" w:hAnsi="Times New Roman" w:cs="Times New Roman"/>
          <w:sz w:val="20"/>
          <w:szCs w:val="20"/>
          <w:shd w:val="clear" w:color="auto" w:fill="FFFFFF"/>
        </w:rPr>
        <w:t>since</w:t>
      </w:r>
      <w:r w:rsidRPr="008A4BB5">
        <w:rPr>
          <w:rFonts w:ascii="Times New Roman" w:hAnsi="Times New Roman" w:cs="Times New Roman"/>
          <w:sz w:val="20"/>
          <w:szCs w:val="20"/>
          <w:shd w:val="clear" w:color="auto" w:fill="FFFFFF"/>
        </w:rPr>
        <w:t xml:space="preserve"> pullout capacity initially increases with increasing spacing and then decreases as spacing increases. The 3</w:t>
      </w:r>
      <w:r w:rsidR="00551FAC">
        <w:rPr>
          <w:rFonts w:ascii="Times New Roman" w:hAnsi="Times New Roman" w:cs="Times New Roman"/>
          <w:sz w:val="20"/>
          <w:szCs w:val="20"/>
          <w:shd w:val="clear" w:color="auto" w:fill="FFFFFF"/>
        </w:rPr>
        <w:t xml:space="preserve"> m</w:t>
      </w:r>
      <w:r w:rsidRPr="008A4BB5">
        <w:rPr>
          <w:rFonts w:ascii="Times New Roman" w:hAnsi="Times New Roman" w:cs="Times New Roman"/>
          <w:sz w:val="20"/>
          <w:szCs w:val="20"/>
          <w:shd w:val="clear" w:color="auto" w:fill="FFFFFF"/>
        </w:rPr>
        <w:t xml:space="preserve"> maximum separation between multi-plate square anchors increases the pullout capacity of the anchors. This value, however, increases up to </w:t>
      </w:r>
      <w:r w:rsidR="00946C04" w:rsidRPr="008A4BB5">
        <w:rPr>
          <w:rFonts w:ascii="Times New Roman" w:hAnsi="Times New Roman" w:cs="Times New Roman"/>
          <w:sz w:val="20"/>
          <w:szCs w:val="20"/>
          <w:shd w:val="clear" w:color="auto" w:fill="FFFFFF"/>
        </w:rPr>
        <w:t>3</w:t>
      </w:r>
      <w:r w:rsidRPr="008A4BB5">
        <w:rPr>
          <w:rFonts w:ascii="Times New Roman" w:hAnsi="Times New Roman" w:cs="Times New Roman"/>
          <w:sz w:val="20"/>
          <w:szCs w:val="20"/>
          <w:shd w:val="clear" w:color="auto" w:fill="FFFFFF"/>
        </w:rPr>
        <w:t xml:space="preserve"> m, after which it begins to decrease when H-shaped multi-plate anchors are </w:t>
      </w:r>
      <w:r w:rsidR="00551E54" w:rsidRPr="008A4BB5">
        <w:rPr>
          <w:rFonts w:ascii="Times New Roman" w:hAnsi="Times New Roman" w:cs="Times New Roman"/>
          <w:sz w:val="20"/>
          <w:szCs w:val="20"/>
          <w:shd w:val="clear" w:color="auto" w:fill="FFFFFF"/>
        </w:rPr>
        <w:t>considered</w:t>
      </w:r>
      <w:r w:rsidRPr="008A4BB5">
        <w:rPr>
          <w:rFonts w:ascii="Times New Roman" w:hAnsi="Times New Roman" w:cs="Times New Roman"/>
          <w:sz w:val="20"/>
          <w:szCs w:val="20"/>
          <w:shd w:val="clear" w:color="auto" w:fill="FFFFFF"/>
        </w:rPr>
        <w:t>. In terms of TPA, the percentage of diminished pullout capacity decreases from 40.58</w:t>
      </w:r>
      <w:r w:rsidR="00551FAC">
        <w:rPr>
          <w:rFonts w:ascii="Times New Roman" w:hAnsi="Times New Roman" w:cs="Times New Roman"/>
          <w:sz w:val="20"/>
          <w:szCs w:val="20"/>
          <w:shd w:val="clear" w:color="auto" w:fill="FFFFFF"/>
        </w:rPr>
        <w:t xml:space="preserve"> %</w:t>
      </w:r>
      <w:r w:rsidRPr="008A4BB5">
        <w:rPr>
          <w:rFonts w:ascii="Times New Roman" w:hAnsi="Times New Roman" w:cs="Times New Roman"/>
          <w:sz w:val="20"/>
          <w:szCs w:val="20"/>
          <w:shd w:val="clear" w:color="auto" w:fill="FFFFFF"/>
        </w:rPr>
        <w:t xml:space="preserve"> to 26.1 </w:t>
      </w:r>
      <w:r w:rsidR="00551FAC">
        <w:rPr>
          <w:rFonts w:ascii="Times New Roman" w:hAnsi="Times New Roman" w:cs="Times New Roman"/>
          <w:sz w:val="20"/>
          <w:szCs w:val="20"/>
          <w:shd w:val="clear" w:color="auto" w:fill="FFFFFF"/>
        </w:rPr>
        <w:t>%</w:t>
      </w:r>
      <w:r w:rsidRPr="008A4BB5">
        <w:rPr>
          <w:rFonts w:ascii="Times New Roman" w:hAnsi="Times New Roman" w:cs="Times New Roman"/>
          <w:sz w:val="20"/>
          <w:szCs w:val="20"/>
          <w:shd w:val="clear" w:color="auto" w:fill="FFFFFF"/>
        </w:rPr>
        <w:t xml:space="preserve">. </w:t>
      </w:r>
      <w:r w:rsidRPr="00AE4804">
        <w:rPr>
          <w:rFonts w:ascii="Times New Roman" w:hAnsi="Times New Roman" w:cs="Times New Roman"/>
          <w:color w:val="00B0F0"/>
          <w:sz w:val="20"/>
          <w:szCs w:val="20"/>
          <w:shd w:val="clear" w:color="auto" w:fill="FFFFFF"/>
        </w:rPr>
        <w:t>Fig</w:t>
      </w:r>
      <w:r w:rsidR="00AE4804" w:rsidRPr="00AE4804">
        <w:rPr>
          <w:rFonts w:ascii="Times New Roman" w:hAnsi="Times New Roman" w:cs="Times New Roman"/>
          <w:color w:val="00B0F0"/>
          <w:sz w:val="20"/>
          <w:szCs w:val="20"/>
          <w:shd w:val="clear" w:color="auto" w:fill="FFFFFF"/>
        </w:rPr>
        <w:t>.</w:t>
      </w:r>
      <w:r w:rsidRPr="00AE4804">
        <w:rPr>
          <w:rFonts w:ascii="Times New Roman" w:hAnsi="Times New Roman" w:cs="Times New Roman"/>
          <w:color w:val="00B0F0"/>
          <w:sz w:val="20"/>
          <w:szCs w:val="20"/>
          <w:shd w:val="clear" w:color="auto" w:fill="FFFFFF"/>
        </w:rPr>
        <w:t xml:space="preserve"> 12 </w:t>
      </w:r>
      <w:r w:rsidRPr="008A4BB5">
        <w:rPr>
          <w:rFonts w:ascii="Times New Roman" w:hAnsi="Times New Roman" w:cs="Times New Roman"/>
          <w:sz w:val="20"/>
          <w:szCs w:val="20"/>
          <w:shd w:val="clear" w:color="auto" w:fill="FFFFFF"/>
        </w:rPr>
        <w:t>compares the SPA, DPA, and TPA for square and H-shaped plate anchors, individually</w:t>
      </w:r>
      <w:r w:rsidR="001515AE">
        <w:rPr>
          <w:rFonts w:ascii="Times New Roman" w:hAnsi="Times New Roman" w:cs="Times New Roman"/>
          <w:sz w:val="20"/>
          <w:szCs w:val="20"/>
          <w:shd w:val="clear" w:color="auto" w:fill="FFFFFF"/>
        </w:rPr>
        <w:t xml:space="preserve"> which </w:t>
      </w:r>
      <w:r w:rsidR="0055183C">
        <w:rPr>
          <w:rFonts w:ascii="Times New Roman" w:hAnsi="Times New Roman" w:cs="Times New Roman"/>
          <w:sz w:val="20"/>
          <w:szCs w:val="20"/>
          <w:shd w:val="clear" w:color="auto" w:fill="FFFFFF"/>
        </w:rPr>
        <w:t>reveals</w:t>
      </w:r>
      <w:r w:rsidR="001515AE">
        <w:rPr>
          <w:rFonts w:ascii="Times New Roman" w:hAnsi="Times New Roman" w:cs="Times New Roman"/>
          <w:sz w:val="20"/>
          <w:szCs w:val="20"/>
          <w:shd w:val="clear" w:color="auto" w:fill="FFFFFF"/>
        </w:rPr>
        <w:t xml:space="preserve"> that the TPA has the highest pullout capacity in comparison to the DPA and SPA</w:t>
      </w:r>
      <w:r w:rsidR="00926441">
        <w:rPr>
          <w:rFonts w:ascii="Times New Roman" w:hAnsi="Times New Roman" w:cs="Times New Roman"/>
          <w:sz w:val="20"/>
          <w:szCs w:val="20"/>
          <w:shd w:val="clear" w:color="auto" w:fill="FFFFFF"/>
        </w:rPr>
        <w:t xml:space="preserve"> in case of square and H shaped plate anchors</w:t>
      </w:r>
      <w:r w:rsidRPr="008A4BB5">
        <w:rPr>
          <w:rFonts w:ascii="Times New Roman" w:hAnsi="Times New Roman" w:cs="Times New Roman"/>
          <w:sz w:val="20"/>
          <w:szCs w:val="20"/>
          <w:shd w:val="clear" w:color="auto" w:fill="FFFFFF"/>
        </w:rPr>
        <w:t>.</w:t>
      </w:r>
      <w:r w:rsidR="002F4649">
        <w:rPr>
          <w:rFonts w:ascii="Times New Roman" w:hAnsi="Times New Roman" w:cs="Times New Roman"/>
          <w:sz w:val="20"/>
          <w:szCs w:val="20"/>
          <w:shd w:val="clear" w:color="auto" w:fill="FFFFFF"/>
        </w:rPr>
        <w:t xml:space="preserve"> Further study of </w:t>
      </w:r>
      <w:r w:rsidR="002F4649" w:rsidRPr="000A69A5">
        <w:rPr>
          <w:rFonts w:ascii="Times New Roman" w:hAnsi="Times New Roman" w:cs="Times New Roman"/>
          <w:color w:val="00B0F0"/>
          <w:sz w:val="20"/>
          <w:szCs w:val="20"/>
          <w:shd w:val="clear" w:color="auto" w:fill="FFFFFF"/>
        </w:rPr>
        <w:t xml:space="preserve">Fig. 12 </w:t>
      </w:r>
      <w:r w:rsidR="002F4649">
        <w:rPr>
          <w:rFonts w:ascii="Times New Roman" w:hAnsi="Times New Roman" w:cs="Times New Roman"/>
          <w:sz w:val="20"/>
          <w:szCs w:val="20"/>
          <w:shd w:val="clear" w:color="auto" w:fill="FFFFFF"/>
        </w:rPr>
        <w:t>reveals that the H shaped double</w:t>
      </w:r>
      <w:r w:rsidR="00B70D84">
        <w:rPr>
          <w:rFonts w:ascii="Times New Roman" w:hAnsi="Times New Roman" w:cs="Times New Roman"/>
          <w:sz w:val="20"/>
          <w:szCs w:val="20"/>
          <w:shd w:val="clear" w:color="auto" w:fill="FFFFFF"/>
        </w:rPr>
        <w:t xml:space="preserve"> (</w:t>
      </w:r>
      <w:r w:rsidR="00D11C35">
        <w:rPr>
          <w:rFonts w:ascii="Times New Roman" w:hAnsi="Times New Roman" w:cs="Times New Roman"/>
          <w:sz w:val="20"/>
          <w:szCs w:val="20"/>
          <w:shd w:val="clear" w:color="auto" w:fill="FFFFFF"/>
        </w:rPr>
        <w:t xml:space="preserve">plan </w:t>
      </w:r>
      <w:r w:rsidR="00B70D84">
        <w:rPr>
          <w:rFonts w:ascii="Times New Roman" w:hAnsi="Times New Roman" w:cs="Times New Roman"/>
          <w:sz w:val="20"/>
          <w:szCs w:val="20"/>
          <w:shd w:val="clear" w:color="auto" w:fill="FFFFFF"/>
        </w:rPr>
        <w:t>area = 6.125 m</w:t>
      </w:r>
      <w:r w:rsidR="00B70D84" w:rsidRPr="000A69A5">
        <w:rPr>
          <w:rFonts w:ascii="Times New Roman" w:hAnsi="Times New Roman" w:cs="Times New Roman"/>
          <w:sz w:val="20"/>
          <w:szCs w:val="20"/>
          <w:shd w:val="clear" w:color="auto" w:fill="FFFFFF"/>
          <w:vertAlign w:val="superscript"/>
        </w:rPr>
        <w:t>2</w:t>
      </w:r>
      <w:r w:rsidR="00B70D84">
        <w:rPr>
          <w:rFonts w:ascii="Times New Roman" w:hAnsi="Times New Roman" w:cs="Times New Roman"/>
          <w:sz w:val="20"/>
          <w:szCs w:val="20"/>
          <w:shd w:val="clear" w:color="auto" w:fill="FFFFFF"/>
        </w:rPr>
        <w:t>) and triple (</w:t>
      </w:r>
      <w:r w:rsidR="00D11C35">
        <w:rPr>
          <w:rFonts w:ascii="Times New Roman" w:hAnsi="Times New Roman" w:cs="Times New Roman"/>
          <w:sz w:val="20"/>
          <w:szCs w:val="20"/>
          <w:shd w:val="clear" w:color="auto" w:fill="FFFFFF"/>
        </w:rPr>
        <w:t xml:space="preserve">plan </w:t>
      </w:r>
      <w:r w:rsidR="00B70D84">
        <w:rPr>
          <w:rFonts w:ascii="Times New Roman" w:hAnsi="Times New Roman" w:cs="Times New Roman"/>
          <w:sz w:val="20"/>
          <w:szCs w:val="20"/>
          <w:shd w:val="clear" w:color="auto" w:fill="FFFFFF"/>
        </w:rPr>
        <w:t>area = 9.1875 m</w:t>
      </w:r>
      <w:r w:rsidR="00B70D84" w:rsidRPr="000A69A5">
        <w:rPr>
          <w:rFonts w:ascii="Times New Roman" w:hAnsi="Times New Roman" w:cs="Times New Roman"/>
          <w:sz w:val="20"/>
          <w:szCs w:val="20"/>
          <w:shd w:val="clear" w:color="auto" w:fill="FFFFFF"/>
          <w:vertAlign w:val="superscript"/>
        </w:rPr>
        <w:t>2</w:t>
      </w:r>
      <w:r w:rsidR="00B70D84">
        <w:rPr>
          <w:rFonts w:ascii="Times New Roman" w:hAnsi="Times New Roman" w:cs="Times New Roman"/>
          <w:sz w:val="20"/>
          <w:szCs w:val="20"/>
          <w:shd w:val="clear" w:color="auto" w:fill="FFFFFF"/>
        </w:rPr>
        <w:t>)</w:t>
      </w:r>
      <w:r w:rsidR="002F4649">
        <w:rPr>
          <w:rFonts w:ascii="Times New Roman" w:hAnsi="Times New Roman" w:cs="Times New Roman"/>
          <w:sz w:val="20"/>
          <w:szCs w:val="20"/>
          <w:shd w:val="clear" w:color="auto" w:fill="FFFFFF"/>
        </w:rPr>
        <w:t xml:space="preserve"> plate anchor has higher pullout capacity in comparison to the single </w:t>
      </w:r>
      <w:r w:rsidR="000A69A5">
        <w:rPr>
          <w:rFonts w:ascii="Times New Roman" w:hAnsi="Times New Roman" w:cs="Times New Roman"/>
          <w:sz w:val="20"/>
          <w:szCs w:val="20"/>
          <w:shd w:val="clear" w:color="auto" w:fill="FFFFFF"/>
        </w:rPr>
        <w:t xml:space="preserve">square </w:t>
      </w:r>
      <w:r w:rsidR="002F4649">
        <w:rPr>
          <w:rFonts w:ascii="Times New Roman" w:hAnsi="Times New Roman" w:cs="Times New Roman"/>
          <w:sz w:val="20"/>
          <w:szCs w:val="20"/>
          <w:shd w:val="clear" w:color="auto" w:fill="FFFFFF"/>
        </w:rPr>
        <w:t>plate anchor</w:t>
      </w:r>
      <w:r w:rsidR="000A69A5">
        <w:rPr>
          <w:rFonts w:ascii="Times New Roman" w:hAnsi="Times New Roman" w:cs="Times New Roman"/>
          <w:sz w:val="20"/>
          <w:szCs w:val="20"/>
          <w:shd w:val="clear" w:color="auto" w:fill="FFFFFF"/>
        </w:rPr>
        <w:t xml:space="preserve"> (</w:t>
      </w:r>
      <w:r w:rsidR="00D11C35">
        <w:rPr>
          <w:rFonts w:ascii="Times New Roman" w:hAnsi="Times New Roman" w:cs="Times New Roman"/>
          <w:sz w:val="20"/>
          <w:szCs w:val="20"/>
          <w:shd w:val="clear" w:color="auto" w:fill="FFFFFF"/>
        </w:rPr>
        <w:t xml:space="preserve">plan </w:t>
      </w:r>
      <w:r w:rsidR="000A69A5">
        <w:rPr>
          <w:rFonts w:ascii="Times New Roman" w:hAnsi="Times New Roman" w:cs="Times New Roman"/>
          <w:sz w:val="20"/>
          <w:szCs w:val="20"/>
          <w:shd w:val="clear" w:color="auto" w:fill="FFFFFF"/>
        </w:rPr>
        <w:t>area = 4 m</w:t>
      </w:r>
      <w:r w:rsidR="000A69A5" w:rsidRPr="000A69A5">
        <w:rPr>
          <w:rFonts w:ascii="Times New Roman" w:hAnsi="Times New Roman" w:cs="Times New Roman"/>
          <w:sz w:val="20"/>
          <w:szCs w:val="20"/>
          <w:shd w:val="clear" w:color="auto" w:fill="FFFFFF"/>
          <w:vertAlign w:val="superscript"/>
        </w:rPr>
        <w:t>2</w:t>
      </w:r>
      <w:r w:rsidR="000A69A5">
        <w:rPr>
          <w:rFonts w:ascii="Times New Roman" w:hAnsi="Times New Roman" w:cs="Times New Roman"/>
          <w:sz w:val="20"/>
          <w:szCs w:val="20"/>
          <w:shd w:val="clear" w:color="auto" w:fill="FFFFFF"/>
        </w:rPr>
        <w:t>)</w:t>
      </w:r>
      <w:r w:rsidR="002F4649">
        <w:rPr>
          <w:rFonts w:ascii="Times New Roman" w:hAnsi="Times New Roman" w:cs="Times New Roman"/>
          <w:sz w:val="20"/>
          <w:szCs w:val="20"/>
          <w:shd w:val="clear" w:color="auto" w:fill="FFFFFF"/>
        </w:rPr>
        <w:t>.</w:t>
      </w:r>
      <w:r w:rsidR="00B24524">
        <w:rPr>
          <w:rFonts w:ascii="Times New Roman" w:hAnsi="Times New Roman" w:cs="Times New Roman"/>
          <w:sz w:val="20"/>
          <w:szCs w:val="20"/>
          <w:shd w:val="clear" w:color="auto" w:fill="FFFFFF"/>
        </w:rPr>
        <w:t xml:space="preserve"> </w:t>
      </w:r>
      <w:r w:rsidR="00F159D0" w:rsidRPr="00F159D0">
        <w:rPr>
          <w:rFonts w:ascii="Times New Roman" w:hAnsi="Times New Roman" w:cs="Times New Roman"/>
          <w:sz w:val="20"/>
          <w:szCs w:val="20"/>
          <w:shd w:val="clear" w:color="auto" w:fill="FFFFFF"/>
        </w:rPr>
        <w:t xml:space="preserve">In terms of pullout capacity, an H-shaped double or triple plate anchor can be a viable alternative to a single square plate anchor, albeit at a substantially higher cost. </w:t>
      </w:r>
    </w:p>
    <w:p w14:paraId="64EDD959" w14:textId="0FC34D11" w:rsidR="00540F2F" w:rsidRPr="001B66AD" w:rsidRDefault="005A4763" w:rsidP="001B66AD">
      <w:pPr>
        <w:pStyle w:val="ListParagraph"/>
        <w:numPr>
          <w:ilvl w:val="1"/>
          <w:numId w:val="1"/>
        </w:numPr>
        <w:spacing w:line="360" w:lineRule="auto"/>
        <w:jc w:val="both"/>
        <w:rPr>
          <w:rFonts w:ascii="Times New Roman" w:hAnsi="Times New Roman" w:cs="Times New Roman"/>
          <w:b/>
          <w:bCs/>
          <w:color w:val="000000"/>
          <w:sz w:val="20"/>
          <w:szCs w:val="20"/>
          <w:shd w:val="clear" w:color="auto" w:fill="FFFFFF"/>
        </w:rPr>
      </w:pPr>
      <w:r w:rsidRPr="001B66AD">
        <w:rPr>
          <w:rFonts w:ascii="Times New Roman" w:hAnsi="Times New Roman" w:cs="Times New Roman"/>
          <w:b/>
          <w:bCs/>
          <w:color w:val="000000"/>
          <w:sz w:val="20"/>
          <w:szCs w:val="20"/>
          <w:shd w:val="clear" w:color="auto" w:fill="FFFFFF"/>
        </w:rPr>
        <w:t xml:space="preserve">Failure </w:t>
      </w:r>
      <w:r w:rsidR="001B66AD" w:rsidRPr="001B66AD">
        <w:rPr>
          <w:rFonts w:ascii="Times New Roman" w:hAnsi="Times New Roman" w:cs="Times New Roman"/>
          <w:b/>
          <w:bCs/>
          <w:color w:val="000000"/>
          <w:sz w:val="20"/>
          <w:szCs w:val="20"/>
          <w:shd w:val="clear" w:color="auto" w:fill="FFFFFF"/>
        </w:rPr>
        <w:t>Pattern</w:t>
      </w:r>
    </w:p>
    <w:p w14:paraId="16F40C5B" w14:textId="7D552B6C" w:rsidR="005D3074" w:rsidRPr="005D3074" w:rsidRDefault="005D3074" w:rsidP="005D3074">
      <w:pPr>
        <w:spacing w:line="360" w:lineRule="auto"/>
        <w:jc w:val="both"/>
        <w:rPr>
          <w:rFonts w:ascii="Times New Roman" w:hAnsi="Times New Roman" w:cs="Times New Roman"/>
          <w:color w:val="000000"/>
          <w:sz w:val="20"/>
          <w:szCs w:val="20"/>
          <w:shd w:val="clear" w:color="auto" w:fill="FFFFFF"/>
        </w:rPr>
      </w:pPr>
      <w:r w:rsidRPr="005D3074">
        <w:rPr>
          <w:rFonts w:ascii="Times New Roman" w:hAnsi="Times New Roman" w:cs="Times New Roman"/>
          <w:sz w:val="20"/>
          <w:szCs w:val="20"/>
        </w:rPr>
        <w:t xml:space="preserve">At an embedment depth of 15 metres, the failure patterns depicted in </w:t>
      </w:r>
      <w:r w:rsidRPr="00472814">
        <w:rPr>
          <w:rFonts w:ascii="Times New Roman" w:hAnsi="Times New Roman" w:cs="Times New Roman"/>
          <w:color w:val="00B0F0"/>
          <w:sz w:val="20"/>
          <w:szCs w:val="20"/>
        </w:rPr>
        <w:t xml:space="preserve">Fig. 13 </w:t>
      </w:r>
      <w:r w:rsidRPr="005D3074">
        <w:rPr>
          <w:rFonts w:ascii="Times New Roman" w:hAnsi="Times New Roman" w:cs="Times New Roman"/>
          <w:sz w:val="20"/>
          <w:szCs w:val="20"/>
        </w:rPr>
        <w:t xml:space="preserve">are typical for single-plate and multi-plate configurations of square and H-shaped plate anchors. </w:t>
      </w:r>
      <w:r w:rsidRPr="00472814">
        <w:rPr>
          <w:rFonts w:ascii="Times New Roman" w:hAnsi="Times New Roman" w:cs="Times New Roman"/>
          <w:color w:val="00B0F0"/>
          <w:sz w:val="20"/>
          <w:szCs w:val="20"/>
        </w:rPr>
        <w:t xml:space="preserve">Fig. 13(a), Fig. 13(b), Fig. 13(c), </w:t>
      </w:r>
      <w:r w:rsidRPr="00472814">
        <w:rPr>
          <w:rFonts w:ascii="Times New Roman" w:hAnsi="Times New Roman" w:cs="Times New Roman"/>
          <w:color w:val="000000" w:themeColor="text1"/>
          <w:sz w:val="20"/>
          <w:szCs w:val="20"/>
        </w:rPr>
        <w:t>and</w:t>
      </w:r>
      <w:r w:rsidRPr="00472814">
        <w:rPr>
          <w:rFonts w:ascii="Times New Roman" w:hAnsi="Times New Roman" w:cs="Times New Roman"/>
          <w:color w:val="00B0F0"/>
          <w:sz w:val="20"/>
          <w:szCs w:val="20"/>
        </w:rPr>
        <w:t xml:space="preserve"> Fig. 13(d) </w:t>
      </w:r>
      <w:r w:rsidRPr="005D3074">
        <w:rPr>
          <w:rFonts w:ascii="Times New Roman" w:hAnsi="Times New Roman" w:cs="Times New Roman"/>
          <w:sz w:val="20"/>
          <w:szCs w:val="20"/>
        </w:rPr>
        <w:t xml:space="preserve">depict the failure patterns, respectively. </w:t>
      </w:r>
      <w:r w:rsidRPr="00472814">
        <w:rPr>
          <w:rFonts w:ascii="Times New Roman" w:hAnsi="Times New Roman" w:cs="Times New Roman"/>
          <w:color w:val="00B0F0"/>
          <w:sz w:val="20"/>
          <w:szCs w:val="20"/>
        </w:rPr>
        <w:t xml:space="preserve">Fig. 13 </w:t>
      </w:r>
      <w:r w:rsidRPr="005D3074">
        <w:rPr>
          <w:rFonts w:ascii="Times New Roman" w:hAnsi="Times New Roman" w:cs="Times New Roman"/>
          <w:sz w:val="20"/>
          <w:szCs w:val="20"/>
        </w:rPr>
        <w:t xml:space="preserve">depicts the total contour of the stress, which is significant because it can be used to ascertain the actual stress induced by the application of pullout load. To determine whether the stress in the sand above the anchor plate lies within the permissible limits when a pullout load is applied, it is necessary to have the information described in this section. In both </w:t>
      </w:r>
      <w:r w:rsidRPr="00472814">
        <w:rPr>
          <w:rFonts w:ascii="Times New Roman" w:hAnsi="Times New Roman" w:cs="Times New Roman"/>
          <w:color w:val="00B0F0"/>
          <w:sz w:val="20"/>
          <w:szCs w:val="20"/>
        </w:rPr>
        <w:t xml:space="preserve">Fig. 13 (a) </w:t>
      </w:r>
      <w:r w:rsidRPr="005D3074">
        <w:rPr>
          <w:rFonts w:ascii="Times New Roman" w:hAnsi="Times New Roman" w:cs="Times New Roman"/>
          <w:sz w:val="20"/>
          <w:szCs w:val="20"/>
        </w:rPr>
        <w:t xml:space="preserve">and </w:t>
      </w:r>
      <w:r w:rsidRPr="00472814">
        <w:rPr>
          <w:rFonts w:ascii="Times New Roman" w:hAnsi="Times New Roman" w:cs="Times New Roman"/>
          <w:color w:val="00B0F0"/>
          <w:sz w:val="20"/>
          <w:szCs w:val="20"/>
        </w:rPr>
        <w:t>Fig. 13 (b)</w:t>
      </w:r>
      <w:r w:rsidRPr="005D3074">
        <w:rPr>
          <w:rFonts w:ascii="Times New Roman" w:hAnsi="Times New Roman" w:cs="Times New Roman"/>
          <w:sz w:val="20"/>
          <w:szCs w:val="20"/>
        </w:rPr>
        <w:t xml:space="preserve">, the stress contours reveal that the square single plate anchor is more resistant to </w:t>
      </w:r>
      <w:r>
        <w:rPr>
          <w:rFonts w:ascii="Times New Roman" w:hAnsi="Times New Roman" w:cs="Times New Roman"/>
          <w:sz w:val="20"/>
          <w:szCs w:val="20"/>
        </w:rPr>
        <w:t>pullout</w:t>
      </w:r>
      <w:r w:rsidRPr="005D3074">
        <w:rPr>
          <w:rFonts w:ascii="Times New Roman" w:hAnsi="Times New Roman" w:cs="Times New Roman"/>
          <w:sz w:val="20"/>
          <w:szCs w:val="20"/>
        </w:rPr>
        <w:t xml:space="preserve"> than the H-shaped single plate anchor. In the case of triple square and H shaped anchors, the stress contours in </w:t>
      </w:r>
      <w:r w:rsidRPr="00472814">
        <w:rPr>
          <w:rFonts w:ascii="Times New Roman" w:hAnsi="Times New Roman" w:cs="Times New Roman"/>
          <w:color w:val="00B0F0"/>
          <w:sz w:val="20"/>
          <w:szCs w:val="20"/>
        </w:rPr>
        <w:t xml:space="preserve">Fig. 13 (c) </w:t>
      </w:r>
      <w:r w:rsidRPr="005D3074">
        <w:rPr>
          <w:rFonts w:ascii="Times New Roman" w:hAnsi="Times New Roman" w:cs="Times New Roman"/>
          <w:sz w:val="20"/>
          <w:szCs w:val="20"/>
        </w:rPr>
        <w:t xml:space="preserve">and </w:t>
      </w:r>
      <w:r w:rsidRPr="00472814">
        <w:rPr>
          <w:rFonts w:ascii="Times New Roman" w:hAnsi="Times New Roman" w:cs="Times New Roman"/>
          <w:color w:val="00B0F0"/>
          <w:sz w:val="20"/>
          <w:szCs w:val="20"/>
        </w:rPr>
        <w:t xml:space="preserve">Fig. 13 (d) </w:t>
      </w:r>
      <w:r w:rsidRPr="005D3074">
        <w:rPr>
          <w:rFonts w:ascii="Times New Roman" w:hAnsi="Times New Roman" w:cs="Times New Roman"/>
          <w:sz w:val="20"/>
          <w:szCs w:val="20"/>
        </w:rPr>
        <w:t xml:space="preserve">disclose that square multi-plate anchors exhibited greater resistance to pullout loads than H shaped multi-plate anchors. A localised failure </w:t>
      </w:r>
      <w:r w:rsidRPr="005D3074">
        <w:rPr>
          <w:rFonts w:ascii="Times New Roman" w:hAnsi="Times New Roman" w:cs="Times New Roman"/>
          <w:sz w:val="20"/>
          <w:szCs w:val="20"/>
        </w:rPr>
        <w:lastRenderedPageBreak/>
        <w:t xml:space="preserve">mechanism, on the other hand, produces a failure surface that encompasses only a portion of the soil located above the horizontal anchor plate. In addition, the surface of the failure does not reach the surface of the </w:t>
      </w:r>
      <w:r>
        <w:rPr>
          <w:rFonts w:ascii="Times New Roman" w:hAnsi="Times New Roman" w:cs="Times New Roman"/>
          <w:sz w:val="20"/>
          <w:szCs w:val="20"/>
        </w:rPr>
        <w:t>sand</w:t>
      </w:r>
      <w:r w:rsidRPr="005D3074">
        <w:rPr>
          <w:rFonts w:ascii="Times New Roman" w:hAnsi="Times New Roman" w:cs="Times New Roman"/>
          <w:sz w:val="20"/>
          <w:szCs w:val="20"/>
        </w:rPr>
        <w:t xml:space="preserve"> layer's topmost layer. When examining </w:t>
      </w:r>
      <w:r w:rsidRPr="00472814">
        <w:rPr>
          <w:rFonts w:ascii="Times New Roman" w:hAnsi="Times New Roman" w:cs="Times New Roman"/>
          <w:color w:val="00B0F0"/>
          <w:sz w:val="20"/>
          <w:szCs w:val="20"/>
        </w:rPr>
        <w:t xml:space="preserve">Fig. 13 </w:t>
      </w:r>
      <w:r w:rsidRPr="005D3074">
        <w:rPr>
          <w:rFonts w:ascii="Times New Roman" w:hAnsi="Times New Roman" w:cs="Times New Roman"/>
          <w:sz w:val="20"/>
          <w:szCs w:val="20"/>
        </w:rPr>
        <w:t>in detail, it was found that the stress contours for the square and H-shaped triple plate anchors remained firmly established within the selected lateral and vertical limitations. The results of additional investigation on this figure indicate that the highest stress levels were observed directly above the anchor plate. Despite this, local shear failure above the plates was found to be the most prevalent cause of failure for both square and H-shaped multiplate anchors in all the investigated cases.</w:t>
      </w:r>
    </w:p>
    <w:p w14:paraId="566213B9" w14:textId="6338D945" w:rsidR="00850462" w:rsidRPr="006E59F1" w:rsidRDefault="00F35296" w:rsidP="001D720D">
      <w:pPr>
        <w:pStyle w:val="ListParagraph"/>
        <w:numPr>
          <w:ilvl w:val="0"/>
          <w:numId w:val="1"/>
        </w:numPr>
        <w:spacing w:line="360" w:lineRule="auto"/>
        <w:jc w:val="both"/>
        <w:rPr>
          <w:rFonts w:ascii="Times New Roman" w:hAnsi="Times New Roman" w:cs="Times New Roman"/>
          <w:b/>
          <w:bCs/>
          <w:color w:val="000000"/>
          <w:sz w:val="20"/>
          <w:szCs w:val="20"/>
          <w:shd w:val="clear" w:color="auto" w:fill="FFFFFF"/>
        </w:rPr>
      </w:pPr>
      <w:r w:rsidRPr="006E59F1">
        <w:rPr>
          <w:rFonts w:ascii="Times New Roman" w:hAnsi="Times New Roman" w:cs="Times New Roman"/>
          <w:b/>
          <w:bCs/>
          <w:color w:val="000000"/>
          <w:sz w:val="20"/>
          <w:szCs w:val="20"/>
          <w:shd w:val="clear" w:color="auto" w:fill="FFFFFF"/>
        </w:rPr>
        <w:t>Conclusion</w:t>
      </w:r>
      <w:r w:rsidR="00DE2A45" w:rsidRPr="006E59F1">
        <w:rPr>
          <w:rFonts w:ascii="Times New Roman" w:hAnsi="Times New Roman" w:cs="Times New Roman"/>
          <w:b/>
          <w:bCs/>
          <w:color w:val="000000"/>
          <w:sz w:val="20"/>
          <w:szCs w:val="20"/>
          <w:shd w:val="clear" w:color="auto" w:fill="FFFFFF"/>
        </w:rPr>
        <w:t xml:space="preserve"> </w:t>
      </w:r>
    </w:p>
    <w:p w14:paraId="56EC0B9B" w14:textId="01D6E2C4" w:rsidR="007B6C12" w:rsidRPr="007B6C12" w:rsidRDefault="007B6C12" w:rsidP="007B6C12">
      <w:pPr>
        <w:spacing w:line="360" w:lineRule="auto"/>
        <w:jc w:val="both"/>
        <w:rPr>
          <w:rFonts w:ascii="Times New Roman" w:hAnsi="Times New Roman" w:cs="Times New Roman"/>
          <w:sz w:val="20"/>
          <w:szCs w:val="20"/>
        </w:rPr>
      </w:pPr>
      <w:r w:rsidRPr="007B6C12">
        <w:rPr>
          <w:rFonts w:ascii="Times New Roman" w:hAnsi="Times New Roman" w:cs="Times New Roman"/>
          <w:sz w:val="20"/>
          <w:szCs w:val="20"/>
        </w:rPr>
        <w:t>In this paper, a numerical study using the ABAQUS software was conducted to determine the pullout capacity of single and multiple H-shaped anchor plates embedded in sand of various relative densities by varying several parameters, including the length of the tie rod, diameter of the tie rod, thickness of the anchor plate, and spacing between the anchor plates. The results were compared to square anchor plates. The following are the main findings:</w:t>
      </w:r>
    </w:p>
    <w:p w14:paraId="2711ACA1" w14:textId="77777777" w:rsidR="007B6C12" w:rsidRDefault="007B6C12" w:rsidP="00C12A28">
      <w:pPr>
        <w:pStyle w:val="ListParagraph"/>
        <w:numPr>
          <w:ilvl w:val="0"/>
          <w:numId w:val="9"/>
        </w:numPr>
        <w:spacing w:line="360" w:lineRule="auto"/>
        <w:jc w:val="both"/>
        <w:rPr>
          <w:rFonts w:ascii="Times New Roman" w:hAnsi="Times New Roman" w:cs="Times New Roman"/>
          <w:sz w:val="20"/>
          <w:szCs w:val="20"/>
        </w:rPr>
      </w:pPr>
      <w:r w:rsidRPr="007B6C12">
        <w:rPr>
          <w:rFonts w:ascii="Times New Roman" w:hAnsi="Times New Roman" w:cs="Times New Roman"/>
          <w:sz w:val="20"/>
          <w:szCs w:val="20"/>
        </w:rPr>
        <w:t>The pullout capacity of square and H-shaped single or multi-plate anchor increases along with changes in tie rod length, diameter, thickness, and relative sand density. Multi-plate anchors have a larger pullout capacity than single plate anchors.</w:t>
      </w:r>
    </w:p>
    <w:p w14:paraId="636FEBB0" w14:textId="77777777" w:rsidR="007B6C12" w:rsidRDefault="007B6C12" w:rsidP="00C12A28">
      <w:pPr>
        <w:pStyle w:val="ListParagraph"/>
        <w:numPr>
          <w:ilvl w:val="0"/>
          <w:numId w:val="9"/>
        </w:numPr>
        <w:spacing w:line="360" w:lineRule="auto"/>
        <w:jc w:val="both"/>
        <w:rPr>
          <w:rFonts w:ascii="Times New Roman" w:hAnsi="Times New Roman" w:cs="Times New Roman"/>
          <w:sz w:val="20"/>
          <w:szCs w:val="20"/>
        </w:rPr>
      </w:pPr>
      <w:r w:rsidRPr="007B6C12">
        <w:rPr>
          <w:rFonts w:ascii="Times New Roman" w:hAnsi="Times New Roman" w:cs="Times New Roman"/>
          <w:sz w:val="20"/>
          <w:szCs w:val="20"/>
        </w:rPr>
        <w:t>As plate spacing increases, pullout capacity rises until a critical gap is reached and then falls off.</w:t>
      </w:r>
    </w:p>
    <w:p w14:paraId="4F506C8A" w14:textId="0A61C284" w:rsidR="007B6C12" w:rsidRDefault="007B6C12" w:rsidP="00C12A28">
      <w:pPr>
        <w:pStyle w:val="ListParagraph"/>
        <w:numPr>
          <w:ilvl w:val="0"/>
          <w:numId w:val="9"/>
        </w:numPr>
        <w:spacing w:line="360" w:lineRule="auto"/>
        <w:jc w:val="both"/>
        <w:rPr>
          <w:rFonts w:ascii="Times New Roman" w:hAnsi="Times New Roman" w:cs="Times New Roman"/>
          <w:sz w:val="20"/>
          <w:szCs w:val="20"/>
        </w:rPr>
      </w:pPr>
      <w:r w:rsidRPr="007B6C12">
        <w:rPr>
          <w:rFonts w:ascii="Times New Roman" w:hAnsi="Times New Roman" w:cs="Times New Roman"/>
          <w:sz w:val="20"/>
          <w:szCs w:val="20"/>
        </w:rPr>
        <w:t>In all circumstances, H-shaped multiplate anchors have a lower pullout capacity than square plate anchors.</w:t>
      </w:r>
    </w:p>
    <w:p w14:paraId="2F6FB9DA" w14:textId="4388A03E" w:rsidR="00BF5A0E" w:rsidRDefault="00BF5A0E" w:rsidP="00C12A28">
      <w:pPr>
        <w:pStyle w:val="ListParagraph"/>
        <w:numPr>
          <w:ilvl w:val="0"/>
          <w:numId w:val="9"/>
        </w:numPr>
        <w:spacing w:line="360" w:lineRule="auto"/>
        <w:jc w:val="both"/>
        <w:rPr>
          <w:rFonts w:ascii="Times New Roman" w:hAnsi="Times New Roman" w:cs="Times New Roman"/>
          <w:sz w:val="20"/>
          <w:szCs w:val="20"/>
        </w:rPr>
      </w:pPr>
      <w:r w:rsidRPr="008A4BB5">
        <w:rPr>
          <w:rFonts w:ascii="Times New Roman" w:hAnsi="Times New Roman" w:cs="Times New Roman"/>
          <w:sz w:val="20"/>
          <w:szCs w:val="20"/>
          <w:shd w:val="clear" w:color="auto" w:fill="FFFFFF"/>
        </w:rPr>
        <w:t xml:space="preserve">H-shaped </w:t>
      </w:r>
      <w:r>
        <w:rPr>
          <w:rFonts w:ascii="Times New Roman" w:hAnsi="Times New Roman" w:cs="Times New Roman"/>
          <w:sz w:val="20"/>
          <w:szCs w:val="20"/>
          <w:shd w:val="clear" w:color="auto" w:fill="FFFFFF"/>
        </w:rPr>
        <w:t>single plate anchor has</w:t>
      </w:r>
      <w:r w:rsidRPr="008A4BB5">
        <w:rPr>
          <w:rFonts w:ascii="Times New Roman" w:hAnsi="Times New Roman" w:cs="Times New Roman"/>
          <w:sz w:val="20"/>
          <w:szCs w:val="20"/>
          <w:shd w:val="clear" w:color="auto" w:fill="FFFFFF"/>
        </w:rPr>
        <w:t xml:space="preserve"> a pullout capacity that is between </w:t>
      </w:r>
      <w:r>
        <w:rPr>
          <w:rFonts w:ascii="Times New Roman" w:hAnsi="Times New Roman" w:cs="Times New Roman"/>
          <w:sz w:val="20"/>
          <w:szCs w:val="20"/>
          <w:shd w:val="clear" w:color="auto" w:fill="FFFFFF"/>
        </w:rPr>
        <w:t>16 %</w:t>
      </w:r>
      <w:r w:rsidRPr="008A4BB5">
        <w:rPr>
          <w:rFonts w:ascii="Times New Roman" w:hAnsi="Times New Roman" w:cs="Times New Roman"/>
          <w:sz w:val="20"/>
          <w:szCs w:val="20"/>
          <w:shd w:val="clear" w:color="auto" w:fill="FFFFFF"/>
        </w:rPr>
        <w:t xml:space="preserve"> and </w:t>
      </w:r>
      <w:r>
        <w:rPr>
          <w:rFonts w:ascii="Times New Roman" w:hAnsi="Times New Roman" w:cs="Times New Roman"/>
          <w:sz w:val="20"/>
          <w:szCs w:val="20"/>
          <w:shd w:val="clear" w:color="auto" w:fill="FFFFFF"/>
        </w:rPr>
        <w:t>22.16 %</w:t>
      </w:r>
      <w:r w:rsidRPr="008A4BB5">
        <w:rPr>
          <w:rFonts w:ascii="Times New Roman" w:hAnsi="Times New Roman" w:cs="Times New Roman"/>
          <w:sz w:val="20"/>
          <w:szCs w:val="20"/>
          <w:shd w:val="clear" w:color="auto" w:fill="FFFFFF"/>
        </w:rPr>
        <w:t xml:space="preserve"> lower compared to square</w:t>
      </w:r>
      <w:r>
        <w:rPr>
          <w:rFonts w:ascii="Times New Roman" w:hAnsi="Times New Roman" w:cs="Times New Roman"/>
          <w:sz w:val="20"/>
          <w:szCs w:val="20"/>
          <w:shd w:val="clear" w:color="auto" w:fill="FFFFFF"/>
        </w:rPr>
        <w:t xml:space="preserve"> plate anchor</w:t>
      </w:r>
      <w:r w:rsidRPr="008A4BB5">
        <w:rPr>
          <w:rFonts w:ascii="Times New Roman" w:hAnsi="Times New Roman" w:cs="Times New Roman"/>
          <w:sz w:val="20"/>
          <w:szCs w:val="20"/>
          <w:shd w:val="clear" w:color="auto" w:fill="FFFFFF"/>
        </w:rPr>
        <w:t xml:space="preserve"> of varying thicknesses.</w:t>
      </w:r>
      <w:r w:rsidRPr="00BF5A0E">
        <w:rPr>
          <w:rFonts w:ascii="Times New Roman" w:hAnsi="Times New Roman" w:cs="Times New Roman"/>
          <w:sz w:val="20"/>
          <w:szCs w:val="20"/>
          <w:shd w:val="clear" w:color="auto" w:fill="FFFFFF"/>
        </w:rPr>
        <w:t xml:space="preserve"> </w:t>
      </w:r>
      <w:r w:rsidRPr="008A4BB5">
        <w:rPr>
          <w:rFonts w:ascii="Times New Roman" w:hAnsi="Times New Roman" w:cs="Times New Roman"/>
          <w:sz w:val="20"/>
          <w:szCs w:val="20"/>
          <w:shd w:val="clear" w:color="auto" w:fill="FFFFFF"/>
        </w:rPr>
        <w:t>However, this can range from 30.35</w:t>
      </w:r>
      <w:r>
        <w:rPr>
          <w:rFonts w:ascii="Times New Roman" w:hAnsi="Times New Roman" w:cs="Times New Roman"/>
          <w:sz w:val="20"/>
          <w:szCs w:val="20"/>
          <w:shd w:val="clear" w:color="auto" w:fill="FFFFFF"/>
        </w:rPr>
        <w:t xml:space="preserve"> %</w:t>
      </w:r>
      <w:r w:rsidRPr="008A4BB5">
        <w:rPr>
          <w:rFonts w:ascii="Times New Roman" w:hAnsi="Times New Roman" w:cs="Times New Roman"/>
          <w:sz w:val="20"/>
          <w:szCs w:val="20"/>
          <w:shd w:val="clear" w:color="auto" w:fill="FFFFFF"/>
        </w:rPr>
        <w:t xml:space="preserve"> to 27.08 </w:t>
      </w:r>
      <w:r>
        <w:rPr>
          <w:rFonts w:ascii="Times New Roman" w:hAnsi="Times New Roman" w:cs="Times New Roman"/>
          <w:sz w:val="20"/>
          <w:szCs w:val="20"/>
          <w:shd w:val="clear" w:color="auto" w:fill="FFFFFF"/>
        </w:rPr>
        <w:t>%</w:t>
      </w:r>
      <w:r w:rsidRPr="008A4BB5">
        <w:rPr>
          <w:rFonts w:ascii="Times New Roman" w:hAnsi="Times New Roman" w:cs="Times New Roman"/>
          <w:sz w:val="20"/>
          <w:szCs w:val="20"/>
          <w:shd w:val="clear" w:color="auto" w:fill="FFFFFF"/>
        </w:rPr>
        <w:t xml:space="preserve"> depending on the diameter.</w:t>
      </w:r>
    </w:p>
    <w:p w14:paraId="5D55B93E" w14:textId="7097FDBC" w:rsidR="001C58C4" w:rsidRPr="00DC4B70" w:rsidRDefault="001C58C4" w:rsidP="00DC4B70">
      <w:pPr>
        <w:pStyle w:val="ListParagraph"/>
        <w:numPr>
          <w:ilvl w:val="0"/>
          <w:numId w:val="9"/>
        </w:numPr>
        <w:spacing w:after="0" w:line="360" w:lineRule="auto"/>
        <w:jc w:val="both"/>
        <w:rPr>
          <w:rFonts w:ascii="Times New Roman" w:hAnsi="Times New Roman" w:cs="Times New Roman"/>
          <w:sz w:val="20"/>
          <w:szCs w:val="20"/>
          <w:shd w:val="clear" w:color="auto" w:fill="FFFFFF"/>
        </w:rPr>
      </w:pPr>
      <w:r w:rsidRPr="001C58C4">
        <w:rPr>
          <w:rFonts w:ascii="Times New Roman" w:hAnsi="Times New Roman" w:cs="Times New Roman"/>
          <w:sz w:val="20"/>
          <w:szCs w:val="20"/>
          <w:shd w:val="clear" w:color="auto" w:fill="FFFFFF"/>
        </w:rPr>
        <w:t>H shaped double and triple plate anchor has higher pullout capacity in comparison to the single square plate anchor.</w:t>
      </w:r>
    </w:p>
    <w:p w14:paraId="01B94E46" w14:textId="4E7BEC8E" w:rsidR="0045675B" w:rsidRPr="006E59F1" w:rsidRDefault="0045675B" w:rsidP="00E034B4">
      <w:pPr>
        <w:spacing w:line="360" w:lineRule="auto"/>
        <w:rPr>
          <w:rFonts w:ascii="Times New Roman" w:hAnsi="Times New Roman" w:cs="Times New Roman"/>
          <w:b/>
          <w:bCs/>
          <w:color w:val="000000"/>
          <w:sz w:val="20"/>
          <w:szCs w:val="20"/>
          <w:shd w:val="clear" w:color="auto" w:fill="FFFFFF"/>
        </w:rPr>
      </w:pPr>
      <w:r w:rsidRPr="006E59F1">
        <w:rPr>
          <w:rFonts w:ascii="Times New Roman" w:hAnsi="Times New Roman" w:cs="Times New Roman"/>
          <w:b/>
          <w:bCs/>
          <w:color w:val="000000"/>
          <w:sz w:val="20"/>
          <w:szCs w:val="20"/>
          <w:shd w:val="clear" w:color="auto" w:fill="FFFFFF"/>
        </w:rPr>
        <w:t>References</w:t>
      </w:r>
    </w:p>
    <w:p w14:paraId="71D25868" w14:textId="47715AA5" w:rsidR="002C5BB7" w:rsidRPr="00D60D1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t xml:space="preserve">B. V. Tilak and N. K. </w:t>
      </w:r>
      <w:proofErr w:type="spellStart"/>
      <w:r w:rsidRPr="00D60D17">
        <w:rPr>
          <w:rFonts w:ascii="Times New Roman" w:hAnsi="Times New Roman" w:cs="Times New Roman"/>
          <w:sz w:val="20"/>
          <w:szCs w:val="20"/>
        </w:rPr>
        <w:t>Samadhiya</w:t>
      </w:r>
      <w:proofErr w:type="spellEnd"/>
      <w:r w:rsidRPr="00D60D17">
        <w:rPr>
          <w:rFonts w:ascii="Times New Roman" w:hAnsi="Times New Roman" w:cs="Times New Roman"/>
          <w:sz w:val="20"/>
          <w:szCs w:val="20"/>
        </w:rPr>
        <w:t>, “</w:t>
      </w:r>
      <w:proofErr w:type="spellStart"/>
      <w:r w:rsidRPr="00D60D17">
        <w:rPr>
          <w:rFonts w:ascii="Times New Roman" w:hAnsi="Times New Roman" w:cs="Times New Roman"/>
          <w:sz w:val="20"/>
          <w:szCs w:val="20"/>
        </w:rPr>
        <w:t>Pullout</w:t>
      </w:r>
      <w:proofErr w:type="spellEnd"/>
      <w:r w:rsidRPr="00D60D17">
        <w:rPr>
          <w:rFonts w:ascii="Times New Roman" w:hAnsi="Times New Roman" w:cs="Times New Roman"/>
          <w:sz w:val="20"/>
          <w:szCs w:val="20"/>
        </w:rPr>
        <w:t xml:space="preserve"> capacity of multi-plate horizontal anchors in sand: an experimental study,” Acta Geotech., vol. 16, no. 9, pp. 2851–2875, Sep. 2021,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10.1007/s11440-021-01173-1.</w:t>
      </w:r>
    </w:p>
    <w:p w14:paraId="2D968838" w14:textId="26E868D7" w:rsidR="002C5BB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t xml:space="preserve">T. Feng, J. </w:t>
      </w:r>
      <w:proofErr w:type="spellStart"/>
      <w:r w:rsidRPr="00D60D17">
        <w:rPr>
          <w:rFonts w:ascii="Times New Roman" w:hAnsi="Times New Roman" w:cs="Times New Roman"/>
          <w:sz w:val="20"/>
          <w:szCs w:val="20"/>
        </w:rPr>
        <w:t>Zong</w:t>
      </w:r>
      <w:proofErr w:type="spellEnd"/>
      <w:r w:rsidRPr="00D60D17">
        <w:rPr>
          <w:rFonts w:ascii="Times New Roman" w:hAnsi="Times New Roman" w:cs="Times New Roman"/>
          <w:sz w:val="20"/>
          <w:szCs w:val="20"/>
        </w:rPr>
        <w:t xml:space="preserve">, W. Jiang, J. Zhang, and J. Song, “Ultimate Pullout Capacity of a Square Plate Anchor in Clay with an Interbedded Stiff Layer,” Adv. Civ. Eng., vol. 2020, pp. 1–10, Sep. 2020,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10.1155/2020/8867678.</w:t>
      </w:r>
    </w:p>
    <w:p w14:paraId="02F48F42" w14:textId="440D39E1" w:rsidR="002C5BB7" w:rsidRPr="00D60D1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t xml:space="preserve">R. S. </w:t>
      </w:r>
      <w:proofErr w:type="spellStart"/>
      <w:r w:rsidRPr="00D60D17">
        <w:rPr>
          <w:rFonts w:ascii="Times New Roman" w:hAnsi="Times New Roman" w:cs="Times New Roman"/>
          <w:sz w:val="20"/>
          <w:szCs w:val="20"/>
        </w:rPr>
        <w:t>Merifield</w:t>
      </w:r>
      <w:proofErr w:type="spellEnd"/>
      <w:r w:rsidRPr="00D60D17">
        <w:rPr>
          <w:rFonts w:ascii="Times New Roman" w:hAnsi="Times New Roman" w:cs="Times New Roman"/>
          <w:sz w:val="20"/>
          <w:szCs w:val="20"/>
        </w:rPr>
        <w:t xml:space="preserve"> and S. W. Sloan, “The ultimate pullout capacity of anchors in frictional soils,” Can. Geotech. J., vol. 43, no. 8, pp. 852–868, Aug. 2006,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10.1139/t06-052.</w:t>
      </w:r>
    </w:p>
    <w:p w14:paraId="7B289251" w14:textId="740B4090" w:rsidR="002C5BB7" w:rsidRPr="00D60D1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t xml:space="preserve">B. M. Das and G. R. Seeley, “Breakout Resistance of Shallow Horizontal Anchors,” J. Geotech. Eng. Div., vol. 101, no. 9, pp. 999–1003, Sep. 1975,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10.1061/AJGEB6.0000202.</w:t>
      </w:r>
    </w:p>
    <w:p w14:paraId="5E82283C" w14:textId="1AB73697" w:rsidR="002C5BB7" w:rsidRPr="00D60D1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t xml:space="preserve">Md. </w:t>
      </w:r>
      <w:proofErr w:type="spellStart"/>
      <w:r w:rsidRPr="00D60D17">
        <w:rPr>
          <w:rFonts w:ascii="Times New Roman" w:hAnsi="Times New Roman" w:cs="Times New Roman"/>
          <w:sz w:val="20"/>
          <w:szCs w:val="20"/>
        </w:rPr>
        <w:t>Rokonuzzaman</w:t>
      </w:r>
      <w:proofErr w:type="spellEnd"/>
      <w:r w:rsidRPr="00D60D17">
        <w:rPr>
          <w:rFonts w:ascii="Times New Roman" w:hAnsi="Times New Roman" w:cs="Times New Roman"/>
          <w:sz w:val="20"/>
          <w:szCs w:val="20"/>
        </w:rPr>
        <w:t xml:space="preserve"> and T. Sakai, “Model Tests and 3D Finite Element Simulations of Pullout Resistance of Shallow Rectangular Anchor Foundations,” Int. J. </w:t>
      </w:r>
      <w:proofErr w:type="spellStart"/>
      <w:r w:rsidRPr="00D60D17">
        <w:rPr>
          <w:rFonts w:ascii="Times New Roman" w:hAnsi="Times New Roman" w:cs="Times New Roman"/>
          <w:sz w:val="20"/>
          <w:szCs w:val="20"/>
        </w:rPr>
        <w:t>Geomech</w:t>
      </w:r>
      <w:proofErr w:type="spellEnd"/>
      <w:r w:rsidRPr="00D60D17">
        <w:rPr>
          <w:rFonts w:ascii="Times New Roman" w:hAnsi="Times New Roman" w:cs="Times New Roman"/>
          <w:sz w:val="20"/>
          <w:szCs w:val="20"/>
        </w:rPr>
        <w:t xml:space="preserve">., vol. 12, no. 2, pp. 105–112, Apr. 2012,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10.1061/(ASCE)GM.1943-5622.0000119.</w:t>
      </w:r>
    </w:p>
    <w:p w14:paraId="424E6B7A" w14:textId="60372A4F" w:rsidR="002C5BB7" w:rsidRPr="00D60D1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t xml:space="preserve">E. A. </w:t>
      </w:r>
      <w:proofErr w:type="spellStart"/>
      <w:r w:rsidRPr="00D60D17">
        <w:rPr>
          <w:rFonts w:ascii="Times New Roman" w:hAnsi="Times New Roman" w:cs="Times New Roman"/>
          <w:sz w:val="20"/>
          <w:szCs w:val="20"/>
        </w:rPr>
        <w:t>Dickin</w:t>
      </w:r>
      <w:proofErr w:type="spellEnd"/>
      <w:r w:rsidRPr="00D60D17">
        <w:rPr>
          <w:rFonts w:ascii="Times New Roman" w:hAnsi="Times New Roman" w:cs="Times New Roman"/>
          <w:sz w:val="20"/>
          <w:szCs w:val="20"/>
        </w:rPr>
        <w:t xml:space="preserve"> and M. </w:t>
      </w:r>
      <w:proofErr w:type="spellStart"/>
      <w:r w:rsidRPr="00D60D17">
        <w:rPr>
          <w:rFonts w:ascii="Times New Roman" w:hAnsi="Times New Roman" w:cs="Times New Roman"/>
          <w:sz w:val="20"/>
          <w:szCs w:val="20"/>
        </w:rPr>
        <w:t>Laman</w:t>
      </w:r>
      <w:proofErr w:type="spellEnd"/>
      <w:r w:rsidRPr="00D60D17">
        <w:rPr>
          <w:rFonts w:ascii="Times New Roman" w:hAnsi="Times New Roman" w:cs="Times New Roman"/>
          <w:sz w:val="20"/>
          <w:szCs w:val="20"/>
        </w:rPr>
        <w:t>, “</w:t>
      </w:r>
      <w:proofErr w:type="spellStart"/>
      <w:r w:rsidRPr="00D60D17">
        <w:rPr>
          <w:rFonts w:ascii="Times New Roman" w:hAnsi="Times New Roman" w:cs="Times New Roman"/>
          <w:sz w:val="20"/>
          <w:szCs w:val="20"/>
        </w:rPr>
        <w:t>Pullout</w:t>
      </w:r>
      <w:proofErr w:type="spellEnd"/>
      <w:r w:rsidRPr="00D60D17">
        <w:rPr>
          <w:rFonts w:ascii="Times New Roman" w:hAnsi="Times New Roman" w:cs="Times New Roman"/>
          <w:sz w:val="20"/>
          <w:szCs w:val="20"/>
        </w:rPr>
        <w:t xml:space="preserve"> response of strip anchors in cohesionless soil,” Adv. Eng. </w:t>
      </w:r>
      <w:proofErr w:type="spellStart"/>
      <w:r w:rsidRPr="00D60D17">
        <w:rPr>
          <w:rFonts w:ascii="Times New Roman" w:hAnsi="Times New Roman" w:cs="Times New Roman"/>
          <w:sz w:val="20"/>
          <w:szCs w:val="20"/>
        </w:rPr>
        <w:t>Softw</w:t>
      </w:r>
      <w:proofErr w:type="spellEnd"/>
      <w:r w:rsidRPr="00D60D17">
        <w:rPr>
          <w:rFonts w:ascii="Times New Roman" w:hAnsi="Times New Roman" w:cs="Times New Roman"/>
          <w:sz w:val="20"/>
          <w:szCs w:val="20"/>
        </w:rPr>
        <w:t xml:space="preserve">., vol. 38, no. 8–9, pp. 618–625, Aug. 2007,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10.1016/j.advengsoft.2006.08.041.</w:t>
      </w:r>
    </w:p>
    <w:p w14:paraId="557DED74" w14:textId="5B78CDD9" w:rsidR="002C5BB7" w:rsidRPr="00D60D1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lastRenderedPageBreak/>
        <w:t xml:space="preserve">J. D. Geddes and E. J. Murray, “Plate Anchor Groups Pulled Vertically in Sand,” J. Geotech. Eng., vol. 122, no. 7, pp. 509–516, Jul. 1996,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10.1061/(ASCE)0733-9410(1996)122:7(509).</w:t>
      </w:r>
    </w:p>
    <w:p w14:paraId="5B0B5594" w14:textId="426BD92B" w:rsidR="002C5BB7" w:rsidRPr="00D60D17" w:rsidRDefault="002C5BB7" w:rsidP="002C5BB7">
      <w:pPr>
        <w:pStyle w:val="Bibliography"/>
        <w:numPr>
          <w:ilvl w:val="0"/>
          <w:numId w:val="10"/>
        </w:numPr>
        <w:spacing w:line="360" w:lineRule="auto"/>
        <w:jc w:val="both"/>
        <w:rPr>
          <w:rFonts w:ascii="Times New Roman" w:hAnsi="Times New Roman" w:cs="Times New Roman"/>
          <w:sz w:val="20"/>
          <w:szCs w:val="20"/>
        </w:rPr>
      </w:pPr>
      <w:r w:rsidRPr="00D60D17">
        <w:rPr>
          <w:rFonts w:ascii="Times New Roman" w:hAnsi="Times New Roman" w:cs="Times New Roman"/>
          <w:sz w:val="20"/>
          <w:szCs w:val="20"/>
        </w:rPr>
        <w:t xml:space="preserve">S. Mukherjee, A. K. Choudhary, and G. L. Sivakumar Babu, “Three-dimensional analysis of inclined anchors in reinforced sand,” </w:t>
      </w:r>
      <w:proofErr w:type="spellStart"/>
      <w:r w:rsidRPr="00D60D17">
        <w:rPr>
          <w:rFonts w:ascii="Times New Roman" w:hAnsi="Times New Roman" w:cs="Times New Roman"/>
          <w:sz w:val="20"/>
          <w:szCs w:val="20"/>
        </w:rPr>
        <w:t>Geosynth</w:t>
      </w:r>
      <w:proofErr w:type="spellEnd"/>
      <w:r w:rsidRPr="00D60D17">
        <w:rPr>
          <w:rFonts w:ascii="Times New Roman" w:hAnsi="Times New Roman" w:cs="Times New Roman"/>
          <w:sz w:val="20"/>
          <w:szCs w:val="20"/>
        </w:rPr>
        <w:t xml:space="preserve">. Int., pp. 1–15, Nov. 2022, </w:t>
      </w:r>
      <w:proofErr w:type="spellStart"/>
      <w:r w:rsidRPr="00D60D17">
        <w:rPr>
          <w:rFonts w:ascii="Times New Roman" w:hAnsi="Times New Roman" w:cs="Times New Roman"/>
          <w:sz w:val="20"/>
          <w:szCs w:val="20"/>
        </w:rPr>
        <w:t>doi</w:t>
      </w:r>
      <w:proofErr w:type="spellEnd"/>
      <w:r w:rsidRPr="00D60D17">
        <w:rPr>
          <w:rFonts w:ascii="Times New Roman" w:hAnsi="Times New Roman" w:cs="Times New Roman"/>
          <w:sz w:val="20"/>
          <w:szCs w:val="20"/>
        </w:rPr>
        <w:t>: 10.1680/jgein.22.00318.</w:t>
      </w:r>
    </w:p>
    <w:p w14:paraId="576A9762" w14:textId="7C598232" w:rsidR="002070E2" w:rsidRDefault="002070E2" w:rsidP="00591EE8">
      <w:pPr>
        <w:pStyle w:val="ListParagraph"/>
        <w:numPr>
          <w:ilvl w:val="0"/>
          <w:numId w:val="10"/>
        </w:numPr>
        <w:rPr>
          <w:rFonts w:ascii="Times New Roman" w:hAnsi="Times New Roman" w:cs="Times New Roman"/>
          <w:sz w:val="20"/>
          <w:szCs w:val="20"/>
        </w:rPr>
      </w:pPr>
      <w:r w:rsidRPr="002070E2">
        <w:rPr>
          <w:rFonts w:ascii="Times New Roman" w:hAnsi="Times New Roman" w:cs="Times New Roman"/>
          <w:sz w:val="20"/>
          <w:szCs w:val="20"/>
        </w:rPr>
        <w:t xml:space="preserve">Bhattacharya, P., Roy, A. (2016), “Variation of Horizontal Pullout Capacity with Width of Vertical Anchor Plate.” International Journal of Geomechanics. Vol. 16, Issue 5 (October 2016). </w:t>
      </w:r>
      <w:hyperlink r:id="rId8" w:history="1">
        <w:r w:rsidRPr="007A478E">
          <w:rPr>
            <w:rStyle w:val="Hyperlink"/>
            <w:rFonts w:ascii="Times New Roman" w:hAnsi="Times New Roman" w:cs="Times New Roman"/>
            <w:sz w:val="20"/>
            <w:szCs w:val="20"/>
          </w:rPr>
          <w:t>https://doi.org/10.1061/(ASCE)GM.1943-5622.0000639</w:t>
        </w:r>
      </w:hyperlink>
    </w:p>
    <w:p w14:paraId="676BE888" w14:textId="6F7ADC84" w:rsidR="00591EE8" w:rsidRPr="00591EE8" w:rsidRDefault="002C5BB7" w:rsidP="00591EE8">
      <w:pPr>
        <w:pStyle w:val="ListParagraph"/>
        <w:numPr>
          <w:ilvl w:val="0"/>
          <w:numId w:val="10"/>
        </w:numPr>
        <w:rPr>
          <w:rFonts w:ascii="Times New Roman" w:hAnsi="Times New Roman" w:cs="Times New Roman"/>
          <w:sz w:val="20"/>
          <w:szCs w:val="20"/>
        </w:rPr>
      </w:pPr>
      <w:r w:rsidRPr="00591EE8">
        <w:rPr>
          <w:rFonts w:ascii="Times New Roman" w:hAnsi="Times New Roman" w:cs="Times New Roman"/>
          <w:sz w:val="20"/>
          <w:szCs w:val="20"/>
        </w:rPr>
        <w:t xml:space="preserve"> </w:t>
      </w:r>
      <w:proofErr w:type="spellStart"/>
      <w:r w:rsidR="00591EE8" w:rsidRPr="00591EE8">
        <w:rPr>
          <w:rFonts w:ascii="Times New Roman" w:hAnsi="Times New Roman" w:cs="Times New Roman"/>
          <w:sz w:val="20"/>
          <w:szCs w:val="20"/>
        </w:rPr>
        <w:t>Mokhbi</w:t>
      </w:r>
      <w:proofErr w:type="spellEnd"/>
      <w:r w:rsidR="00591EE8" w:rsidRPr="00591EE8">
        <w:rPr>
          <w:rFonts w:ascii="Times New Roman" w:hAnsi="Times New Roman" w:cs="Times New Roman"/>
          <w:sz w:val="20"/>
          <w:szCs w:val="20"/>
        </w:rPr>
        <w:t xml:space="preserve">, H., </w:t>
      </w:r>
      <w:proofErr w:type="spellStart"/>
      <w:r w:rsidR="00591EE8" w:rsidRPr="00591EE8">
        <w:rPr>
          <w:rFonts w:ascii="Times New Roman" w:hAnsi="Times New Roman" w:cs="Times New Roman"/>
          <w:sz w:val="20"/>
          <w:szCs w:val="20"/>
        </w:rPr>
        <w:t>Mellas</w:t>
      </w:r>
      <w:proofErr w:type="spellEnd"/>
      <w:r w:rsidR="00591EE8" w:rsidRPr="00591EE8">
        <w:rPr>
          <w:rFonts w:ascii="Times New Roman" w:hAnsi="Times New Roman" w:cs="Times New Roman"/>
          <w:sz w:val="20"/>
          <w:szCs w:val="20"/>
        </w:rPr>
        <w:t xml:space="preserve">, M., </w:t>
      </w:r>
      <w:proofErr w:type="spellStart"/>
      <w:r w:rsidR="00591EE8" w:rsidRPr="00591EE8">
        <w:rPr>
          <w:rFonts w:ascii="Times New Roman" w:hAnsi="Times New Roman" w:cs="Times New Roman"/>
          <w:sz w:val="20"/>
          <w:szCs w:val="20"/>
        </w:rPr>
        <w:t>Mabrouki</w:t>
      </w:r>
      <w:proofErr w:type="spellEnd"/>
      <w:r w:rsidR="00591EE8" w:rsidRPr="00591EE8">
        <w:rPr>
          <w:rFonts w:ascii="Times New Roman" w:hAnsi="Times New Roman" w:cs="Times New Roman"/>
          <w:sz w:val="20"/>
          <w:szCs w:val="20"/>
        </w:rPr>
        <w:t>, A., Pereira, J.M. (2018), “Three-dimensional numerical and analytical study of horizontal group of square anchor plates in sand.” Acta Geotech. 13, 159–174 (2018). https://doi.org/10.1007/s11440-017-0557-x</w:t>
      </w:r>
    </w:p>
    <w:p w14:paraId="261BE952" w14:textId="392260FB" w:rsidR="00D866BB" w:rsidRPr="00D866BB" w:rsidRDefault="002C5BB7" w:rsidP="00F460AE">
      <w:pPr>
        <w:pStyle w:val="ListParagraph"/>
        <w:numPr>
          <w:ilvl w:val="0"/>
          <w:numId w:val="10"/>
        </w:numPr>
        <w:spacing w:after="0" w:line="360" w:lineRule="auto"/>
        <w:jc w:val="both"/>
        <w:rPr>
          <w:rFonts w:ascii="Times New Roman" w:hAnsi="Times New Roman" w:cs="Times New Roman"/>
          <w:color w:val="222222"/>
          <w:sz w:val="20"/>
          <w:szCs w:val="20"/>
          <w:shd w:val="clear" w:color="auto" w:fill="FFFFFF"/>
        </w:rPr>
      </w:pPr>
      <w:r w:rsidRPr="00D866BB">
        <w:rPr>
          <w:rFonts w:ascii="Times New Roman" w:hAnsi="Times New Roman" w:cs="Times New Roman"/>
          <w:sz w:val="20"/>
          <w:szCs w:val="20"/>
        </w:rPr>
        <w:t xml:space="preserve"> </w:t>
      </w:r>
      <w:r w:rsidR="00D866BB" w:rsidRPr="00D866BB">
        <w:rPr>
          <w:rFonts w:ascii="Times New Roman" w:hAnsi="Times New Roman" w:cs="Times New Roman"/>
          <w:color w:val="222222"/>
          <w:sz w:val="20"/>
          <w:szCs w:val="20"/>
          <w:shd w:val="clear" w:color="auto" w:fill="FFFFFF"/>
        </w:rPr>
        <w:t>Kumar, J., Sahoo, J.P. (2012). "Upper bound solution for pullout capacity of vertical anchors in sand using finite elements and limit analysis." International Journal of Geomechanics. 12(3),</w:t>
      </w:r>
      <w:r w:rsidR="00D866BB">
        <w:rPr>
          <w:rFonts w:ascii="Times New Roman" w:hAnsi="Times New Roman" w:cs="Times New Roman"/>
          <w:color w:val="222222"/>
          <w:sz w:val="20"/>
          <w:szCs w:val="20"/>
          <w:shd w:val="clear" w:color="auto" w:fill="FFFFFF"/>
        </w:rPr>
        <w:t xml:space="preserve"> </w:t>
      </w:r>
      <w:r w:rsidR="00D866BB" w:rsidRPr="00D866BB">
        <w:rPr>
          <w:rFonts w:ascii="Times New Roman" w:hAnsi="Times New Roman" w:cs="Times New Roman"/>
          <w:color w:val="222222"/>
          <w:sz w:val="20"/>
          <w:szCs w:val="20"/>
          <w:shd w:val="clear" w:color="auto" w:fill="FFFFFF"/>
        </w:rPr>
        <w:t>https://doi.org/10.1061/(ASCE)GM.1943-5622.0000160</w:t>
      </w:r>
    </w:p>
    <w:p w14:paraId="5DAC6791" w14:textId="5C1601CA" w:rsidR="002C5BB7" w:rsidRPr="00D110D7" w:rsidRDefault="002C5BB7" w:rsidP="00D110D7">
      <w:pPr>
        <w:pStyle w:val="ListParagraph"/>
        <w:numPr>
          <w:ilvl w:val="0"/>
          <w:numId w:val="10"/>
        </w:numPr>
        <w:spacing w:after="0" w:line="360" w:lineRule="auto"/>
        <w:jc w:val="both"/>
        <w:rPr>
          <w:rFonts w:ascii="Times New Roman" w:hAnsi="Times New Roman" w:cs="Times New Roman"/>
          <w:sz w:val="20"/>
          <w:szCs w:val="20"/>
        </w:rPr>
      </w:pPr>
      <w:r w:rsidRPr="00D866BB">
        <w:rPr>
          <w:rFonts w:ascii="Times New Roman" w:hAnsi="Times New Roman" w:cs="Times New Roman"/>
          <w:color w:val="222222"/>
          <w:sz w:val="20"/>
          <w:szCs w:val="20"/>
          <w:shd w:val="clear" w:color="auto" w:fill="FFFFFF"/>
        </w:rPr>
        <w:t xml:space="preserve">  </w:t>
      </w:r>
      <w:proofErr w:type="spellStart"/>
      <w:r w:rsidR="00D866BB" w:rsidRPr="00D866BB">
        <w:rPr>
          <w:rFonts w:ascii="Times New Roman" w:hAnsi="Times New Roman" w:cs="Times New Roman"/>
          <w:sz w:val="20"/>
          <w:szCs w:val="20"/>
        </w:rPr>
        <w:t>Jadid</w:t>
      </w:r>
      <w:proofErr w:type="spellEnd"/>
      <w:r w:rsidR="00D866BB" w:rsidRPr="00D866BB">
        <w:rPr>
          <w:rFonts w:ascii="Times New Roman" w:hAnsi="Times New Roman" w:cs="Times New Roman"/>
          <w:sz w:val="20"/>
          <w:szCs w:val="20"/>
        </w:rPr>
        <w:t xml:space="preserve">, R., Shahriar, A.R., Rahman, M.R., Imtiaz, T. (2019), “Evaluation of theoretical Models to predict the pullout capacity of a vertical anchor embedded in cohesionless soil.” Geotech </w:t>
      </w:r>
      <w:proofErr w:type="spellStart"/>
      <w:r w:rsidR="00D866BB" w:rsidRPr="00D866BB">
        <w:rPr>
          <w:rFonts w:ascii="Times New Roman" w:hAnsi="Times New Roman" w:cs="Times New Roman"/>
          <w:sz w:val="20"/>
          <w:szCs w:val="20"/>
        </w:rPr>
        <w:t>Geol</w:t>
      </w:r>
      <w:proofErr w:type="spellEnd"/>
      <w:r w:rsidR="00D866BB" w:rsidRPr="00D866BB">
        <w:rPr>
          <w:rFonts w:ascii="Times New Roman" w:hAnsi="Times New Roman" w:cs="Times New Roman"/>
          <w:sz w:val="20"/>
          <w:szCs w:val="20"/>
        </w:rPr>
        <w:t xml:space="preserve"> Eng 37, 3567–3586 (2019). https://doi.org/10.1007/s10706-019-00870-9</w:t>
      </w:r>
    </w:p>
    <w:p w14:paraId="234ABC08" w14:textId="77777777" w:rsidR="00247477" w:rsidRDefault="00247477" w:rsidP="007162CD">
      <w:pPr>
        <w:spacing w:line="360" w:lineRule="auto"/>
        <w:jc w:val="both"/>
        <w:rPr>
          <w:rFonts w:ascii="Times New Roman" w:hAnsi="Times New Roman" w:cs="Times New Roman"/>
          <w:sz w:val="20"/>
          <w:szCs w:val="20"/>
        </w:rPr>
      </w:pPr>
    </w:p>
    <w:p w14:paraId="2D85FCAA" w14:textId="77777777" w:rsidR="005131AB" w:rsidRDefault="005131AB" w:rsidP="007162CD">
      <w:pPr>
        <w:spacing w:line="360" w:lineRule="auto"/>
        <w:jc w:val="both"/>
        <w:rPr>
          <w:rFonts w:ascii="Times New Roman" w:hAnsi="Times New Roman" w:cs="Times New Roman"/>
          <w:sz w:val="20"/>
          <w:szCs w:val="20"/>
        </w:rPr>
      </w:pPr>
    </w:p>
    <w:p w14:paraId="54507162" w14:textId="77777777" w:rsidR="005131AB" w:rsidRDefault="005131AB" w:rsidP="007162CD">
      <w:pPr>
        <w:spacing w:line="360" w:lineRule="auto"/>
        <w:jc w:val="both"/>
        <w:rPr>
          <w:rFonts w:ascii="Times New Roman" w:hAnsi="Times New Roman" w:cs="Times New Roman"/>
          <w:sz w:val="20"/>
          <w:szCs w:val="20"/>
        </w:rPr>
      </w:pPr>
    </w:p>
    <w:p w14:paraId="733D79DD" w14:textId="77777777" w:rsidR="005131AB" w:rsidRDefault="005131AB" w:rsidP="007162CD">
      <w:pPr>
        <w:spacing w:line="360" w:lineRule="auto"/>
        <w:jc w:val="both"/>
        <w:rPr>
          <w:rFonts w:ascii="Times New Roman" w:hAnsi="Times New Roman" w:cs="Times New Roman"/>
          <w:sz w:val="20"/>
          <w:szCs w:val="20"/>
        </w:rPr>
      </w:pPr>
    </w:p>
    <w:p w14:paraId="7452BDBE" w14:textId="77777777" w:rsidR="005131AB" w:rsidRDefault="005131AB" w:rsidP="007162CD">
      <w:pPr>
        <w:spacing w:line="360" w:lineRule="auto"/>
        <w:jc w:val="both"/>
        <w:rPr>
          <w:rFonts w:ascii="Times New Roman" w:hAnsi="Times New Roman" w:cs="Times New Roman"/>
          <w:sz w:val="20"/>
          <w:szCs w:val="20"/>
        </w:rPr>
      </w:pPr>
    </w:p>
    <w:p w14:paraId="0DA787E3" w14:textId="77777777" w:rsidR="005131AB" w:rsidRDefault="005131AB" w:rsidP="007162CD">
      <w:pPr>
        <w:spacing w:line="360" w:lineRule="auto"/>
        <w:jc w:val="both"/>
        <w:rPr>
          <w:rFonts w:ascii="Times New Roman" w:hAnsi="Times New Roman" w:cs="Times New Roman"/>
          <w:sz w:val="20"/>
          <w:szCs w:val="20"/>
        </w:rPr>
      </w:pPr>
    </w:p>
    <w:p w14:paraId="0D4D6948" w14:textId="77777777" w:rsidR="005131AB" w:rsidRDefault="005131AB" w:rsidP="007162CD">
      <w:pPr>
        <w:spacing w:line="360" w:lineRule="auto"/>
        <w:jc w:val="both"/>
        <w:rPr>
          <w:rFonts w:ascii="Times New Roman" w:hAnsi="Times New Roman" w:cs="Times New Roman"/>
          <w:sz w:val="20"/>
          <w:szCs w:val="20"/>
        </w:rPr>
      </w:pPr>
    </w:p>
    <w:p w14:paraId="61289442" w14:textId="77777777" w:rsidR="005131AB" w:rsidRDefault="005131AB" w:rsidP="007162CD">
      <w:pPr>
        <w:spacing w:line="360" w:lineRule="auto"/>
        <w:jc w:val="both"/>
        <w:rPr>
          <w:rFonts w:ascii="Times New Roman" w:hAnsi="Times New Roman" w:cs="Times New Roman"/>
          <w:sz w:val="20"/>
          <w:szCs w:val="20"/>
        </w:rPr>
      </w:pPr>
    </w:p>
    <w:p w14:paraId="01824837" w14:textId="77777777" w:rsidR="005131AB" w:rsidRDefault="005131AB" w:rsidP="007162CD">
      <w:pPr>
        <w:spacing w:line="360" w:lineRule="auto"/>
        <w:jc w:val="both"/>
        <w:rPr>
          <w:rFonts w:ascii="Times New Roman" w:hAnsi="Times New Roman" w:cs="Times New Roman"/>
          <w:sz w:val="20"/>
          <w:szCs w:val="20"/>
        </w:rPr>
      </w:pPr>
    </w:p>
    <w:p w14:paraId="24D864D5" w14:textId="77777777" w:rsidR="005131AB" w:rsidRDefault="005131AB" w:rsidP="007162CD">
      <w:pPr>
        <w:spacing w:line="360" w:lineRule="auto"/>
        <w:jc w:val="both"/>
        <w:rPr>
          <w:rFonts w:ascii="Times New Roman" w:hAnsi="Times New Roman" w:cs="Times New Roman"/>
          <w:sz w:val="20"/>
          <w:szCs w:val="20"/>
        </w:rPr>
      </w:pPr>
    </w:p>
    <w:p w14:paraId="6990DF30" w14:textId="77777777" w:rsidR="005131AB" w:rsidRDefault="005131AB" w:rsidP="007162CD">
      <w:pPr>
        <w:spacing w:line="360" w:lineRule="auto"/>
        <w:jc w:val="both"/>
        <w:rPr>
          <w:rFonts w:ascii="Times New Roman" w:hAnsi="Times New Roman" w:cs="Times New Roman"/>
          <w:sz w:val="20"/>
          <w:szCs w:val="20"/>
        </w:rPr>
      </w:pPr>
    </w:p>
    <w:p w14:paraId="27AD9A10" w14:textId="77777777" w:rsidR="005131AB" w:rsidRDefault="005131AB" w:rsidP="007162CD">
      <w:pPr>
        <w:spacing w:line="360" w:lineRule="auto"/>
        <w:jc w:val="both"/>
        <w:rPr>
          <w:rFonts w:ascii="Times New Roman" w:hAnsi="Times New Roman" w:cs="Times New Roman"/>
          <w:sz w:val="20"/>
          <w:szCs w:val="20"/>
        </w:rPr>
      </w:pPr>
    </w:p>
    <w:p w14:paraId="6AC4A871" w14:textId="77777777" w:rsidR="005131AB" w:rsidRDefault="005131AB" w:rsidP="007162CD">
      <w:pPr>
        <w:spacing w:line="360" w:lineRule="auto"/>
        <w:jc w:val="both"/>
        <w:rPr>
          <w:rFonts w:ascii="Times New Roman" w:hAnsi="Times New Roman" w:cs="Times New Roman"/>
          <w:sz w:val="20"/>
          <w:szCs w:val="20"/>
        </w:rPr>
      </w:pPr>
    </w:p>
    <w:p w14:paraId="40622712" w14:textId="77777777" w:rsidR="005131AB" w:rsidRDefault="005131AB" w:rsidP="007162CD">
      <w:pPr>
        <w:spacing w:line="360" w:lineRule="auto"/>
        <w:jc w:val="both"/>
        <w:rPr>
          <w:rFonts w:ascii="Times New Roman" w:hAnsi="Times New Roman" w:cs="Times New Roman"/>
          <w:sz w:val="20"/>
          <w:szCs w:val="20"/>
        </w:rPr>
      </w:pPr>
    </w:p>
    <w:p w14:paraId="5B7EB4BF" w14:textId="77777777" w:rsidR="005131AB" w:rsidRDefault="005131AB" w:rsidP="007162CD">
      <w:pPr>
        <w:spacing w:line="360" w:lineRule="auto"/>
        <w:jc w:val="both"/>
        <w:rPr>
          <w:rFonts w:ascii="Times New Roman" w:hAnsi="Times New Roman" w:cs="Times New Roman"/>
          <w:sz w:val="20"/>
          <w:szCs w:val="20"/>
        </w:rPr>
      </w:pPr>
    </w:p>
    <w:p w14:paraId="4E9B6A52" w14:textId="77777777" w:rsidR="005131AB" w:rsidRDefault="005131AB" w:rsidP="007162CD">
      <w:pPr>
        <w:spacing w:line="360" w:lineRule="auto"/>
        <w:jc w:val="both"/>
        <w:rPr>
          <w:rFonts w:ascii="Times New Roman" w:hAnsi="Times New Roman" w:cs="Times New Roman"/>
          <w:sz w:val="20"/>
          <w:szCs w:val="20"/>
        </w:rPr>
      </w:pPr>
    </w:p>
    <w:p w14:paraId="38A44FF7" w14:textId="77777777" w:rsidR="005131AB" w:rsidRDefault="005131AB" w:rsidP="007162CD">
      <w:pPr>
        <w:spacing w:line="360" w:lineRule="auto"/>
        <w:jc w:val="both"/>
        <w:rPr>
          <w:rFonts w:ascii="Times New Roman" w:hAnsi="Times New Roman" w:cs="Times New Roman"/>
          <w:sz w:val="20"/>
          <w:szCs w:val="20"/>
        </w:rPr>
      </w:pPr>
    </w:p>
    <w:p w14:paraId="19383BAC" w14:textId="77777777" w:rsidR="005131AB" w:rsidRDefault="005131AB" w:rsidP="007162CD">
      <w:pPr>
        <w:spacing w:line="360" w:lineRule="auto"/>
        <w:jc w:val="both"/>
        <w:rPr>
          <w:rFonts w:ascii="Times New Roman" w:hAnsi="Times New Roman" w:cs="Times New Roman"/>
          <w:sz w:val="20"/>
          <w:szCs w:val="20"/>
        </w:rPr>
      </w:pPr>
    </w:p>
    <w:p w14:paraId="396D2C6A" w14:textId="77777777" w:rsidR="005131AB" w:rsidRPr="006E59F1" w:rsidRDefault="005131AB" w:rsidP="005131AB">
      <w:pPr>
        <w:spacing w:line="360" w:lineRule="auto"/>
        <w:jc w:val="center"/>
        <w:rPr>
          <w:rFonts w:ascii="Times New Roman" w:hAnsi="Times New Roman" w:cs="Times New Roman"/>
          <w:color w:val="252525"/>
          <w:sz w:val="20"/>
          <w:szCs w:val="20"/>
        </w:rPr>
      </w:pPr>
      <w:r w:rsidRPr="006E59F1">
        <w:rPr>
          <w:rFonts w:ascii="Times New Roman" w:hAnsi="Times New Roman" w:cs="Times New Roman"/>
          <w:b/>
          <w:bCs/>
          <w:color w:val="252525"/>
          <w:sz w:val="20"/>
          <w:szCs w:val="20"/>
        </w:rPr>
        <w:lastRenderedPageBreak/>
        <w:t>Table 1</w:t>
      </w:r>
      <w:r w:rsidRPr="006E59F1">
        <w:rPr>
          <w:rFonts w:ascii="Times New Roman" w:hAnsi="Times New Roman" w:cs="Times New Roman"/>
          <w:color w:val="252525"/>
          <w:sz w:val="20"/>
          <w:szCs w:val="20"/>
        </w:rPr>
        <w:t xml:space="preserve"> Properties of </w:t>
      </w:r>
      <w:r>
        <w:rPr>
          <w:rFonts w:ascii="Times New Roman" w:hAnsi="Times New Roman" w:cs="Times New Roman"/>
          <w:color w:val="252525"/>
          <w:sz w:val="20"/>
          <w:szCs w:val="20"/>
        </w:rPr>
        <w:t>sand</w:t>
      </w:r>
    </w:p>
    <w:tbl>
      <w:tblPr>
        <w:tblStyle w:val="PlainTable2"/>
        <w:tblW w:w="0" w:type="auto"/>
        <w:tblLook w:val="04A0" w:firstRow="1" w:lastRow="0" w:firstColumn="1" w:lastColumn="0" w:noHBand="0" w:noVBand="1"/>
      </w:tblPr>
      <w:tblGrid>
        <w:gridCol w:w="1127"/>
        <w:gridCol w:w="1127"/>
        <w:gridCol w:w="1127"/>
        <w:gridCol w:w="1127"/>
        <w:gridCol w:w="1127"/>
        <w:gridCol w:w="1127"/>
        <w:gridCol w:w="1127"/>
        <w:gridCol w:w="1127"/>
      </w:tblGrid>
      <w:tr w:rsidR="005131AB" w:rsidRPr="006E59F1" w14:paraId="4C3FFAFC" w14:textId="77777777" w:rsidTr="001E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2C4DB8CC" w14:textId="77777777" w:rsidR="005131AB" w:rsidRPr="006E59F1" w:rsidRDefault="005131AB" w:rsidP="001E626B">
            <w:pPr>
              <w:spacing w:line="360" w:lineRule="auto"/>
              <w:jc w:val="center"/>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Type of Soil</w:t>
            </w:r>
          </w:p>
        </w:tc>
        <w:tc>
          <w:tcPr>
            <w:tcW w:w="1127" w:type="dxa"/>
          </w:tcPr>
          <w:p w14:paraId="3CB73F3A"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 xml:space="preserve">Relative </w:t>
            </w:r>
            <w:r>
              <w:rPr>
                <w:rFonts w:ascii="Times New Roman" w:hAnsi="Times New Roman" w:cs="Times New Roman"/>
                <w:b w:val="0"/>
                <w:bCs w:val="0"/>
                <w:color w:val="000000" w:themeColor="text1"/>
                <w:kern w:val="24"/>
                <w:sz w:val="20"/>
                <w:szCs w:val="20"/>
                <w:lang w:val="en-US"/>
              </w:rPr>
              <w:t>d</w:t>
            </w:r>
            <w:r w:rsidRPr="006E59F1">
              <w:rPr>
                <w:rFonts w:ascii="Times New Roman" w:hAnsi="Times New Roman" w:cs="Times New Roman"/>
                <w:b w:val="0"/>
                <w:bCs w:val="0"/>
                <w:color w:val="000000" w:themeColor="text1"/>
                <w:kern w:val="24"/>
                <w:sz w:val="20"/>
                <w:szCs w:val="20"/>
                <w:lang w:val="en-US"/>
              </w:rPr>
              <w:t>ensity (%)</w:t>
            </w:r>
          </w:p>
        </w:tc>
        <w:tc>
          <w:tcPr>
            <w:tcW w:w="1127" w:type="dxa"/>
          </w:tcPr>
          <w:p w14:paraId="5D017B18"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Friction angle</w:t>
            </w:r>
          </w:p>
        </w:tc>
        <w:tc>
          <w:tcPr>
            <w:tcW w:w="1127" w:type="dxa"/>
          </w:tcPr>
          <w:p w14:paraId="1CDC3E8F"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Dilation angle</w:t>
            </w:r>
          </w:p>
        </w:tc>
        <w:tc>
          <w:tcPr>
            <w:tcW w:w="1127" w:type="dxa"/>
          </w:tcPr>
          <w:p w14:paraId="4858AA92" w14:textId="77777777" w:rsidR="005131AB" w:rsidRPr="006E59F1" w:rsidRDefault="005131AB" w:rsidP="001E626B">
            <w:pPr>
              <w:pStyle w:val="NormalWeb"/>
              <w:spacing w:before="0" w:beforeAutospacing="0" w:after="0" w:afterAutospacing="0" w:line="360" w:lineRule="auto"/>
              <w:cnfStyle w:val="100000000000" w:firstRow="1" w:lastRow="0" w:firstColumn="0" w:lastColumn="0" w:oddVBand="0" w:evenVBand="0" w:oddHBand="0" w:evenHBand="0" w:firstRowFirstColumn="0" w:firstRowLastColumn="0" w:lastRowFirstColumn="0" w:lastRowLastColumn="0"/>
              <w:rPr>
                <w:b w:val="0"/>
                <w:bCs w:val="0"/>
                <w:color w:val="000000" w:themeColor="text1"/>
                <w:sz w:val="20"/>
                <w:szCs w:val="20"/>
              </w:rPr>
            </w:pPr>
            <w:r w:rsidRPr="006E59F1">
              <w:rPr>
                <w:b w:val="0"/>
                <w:bCs w:val="0"/>
                <w:color w:val="000000" w:themeColor="text1"/>
                <w:kern w:val="24"/>
                <w:sz w:val="20"/>
                <w:szCs w:val="20"/>
                <w:lang w:val="en-US"/>
              </w:rPr>
              <w:t>Density</w:t>
            </w:r>
          </w:p>
          <w:p w14:paraId="0C948CD7"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w:t>
            </w:r>
            <w:proofErr w:type="spellStart"/>
            <w:r>
              <w:rPr>
                <w:rFonts w:ascii="Times New Roman" w:hAnsi="Times New Roman" w:cs="Times New Roman"/>
                <w:b w:val="0"/>
                <w:bCs w:val="0"/>
                <w:color w:val="000000" w:themeColor="text1"/>
                <w:kern w:val="24"/>
                <w:sz w:val="20"/>
                <w:szCs w:val="20"/>
                <w:lang w:val="en-US"/>
              </w:rPr>
              <w:t>k</w:t>
            </w:r>
            <w:r w:rsidRPr="006E59F1">
              <w:rPr>
                <w:rFonts w:ascii="Times New Roman" w:hAnsi="Times New Roman" w:cs="Times New Roman"/>
                <w:b w:val="0"/>
                <w:bCs w:val="0"/>
                <w:color w:val="000000" w:themeColor="text1"/>
                <w:kern w:val="24"/>
                <w:sz w:val="20"/>
                <w:szCs w:val="20"/>
                <w:lang w:val="en-US"/>
              </w:rPr>
              <w:t>N</w:t>
            </w:r>
            <w:proofErr w:type="spellEnd"/>
            <w:r w:rsidRPr="006E59F1">
              <w:rPr>
                <w:rFonts w:ascii="Times New Roman" w:hAnsi="Times New Roman" w:cs="Times New Roman"/>
                <w:b w:val="0"/>
                <w:bCs w:val="0"/>
                <w:color w:val="000000" w:themeColor="text1"/>
                <w:kern w:val="24"/>
                <w:sz w:val="20"/>
                <w:szCs w:val="20"/>
                <w:lang w:val="en-US"/>
              </w:rPr>
              <w:t>/m</w:t>
            </w:r>
            <w:r w:rsidRPr="006E59F1">
              <w:rPr>
                <w:rFonts w:ascii="Times New Roman" w:hAnsi="Times New Roman" w:cs="Times New Roman"/>
                <w:b w:val="0"/>
                <w:bCs w:val="0"/>
                <w:color w:val="000000" w:themeColor="text1"/>
                <w:kern w:val="24"/>
                <w:sz w:val="20"/>
                <w:szCs w:val="20"/>
                <w:vertAlign w:val="superscript"/>
                <w:lang w:val="en-US"/>
              </w:rPr>
              <w:t>3</w:t>
            </w:r>
            <w:r w:rsidRPr="006E59F1">
              <w:rPr>
                <w:rFonts w:ascii="Times New Roman" w:hAnsi="Times New Roman" w:cs="Times New Roman"/>
                <w:b w:val="0"/>
                <w:bCs w:val="0"/>
                <w:color w:val="000000" w:themeColor="text1"/>
                <w:kern w:val="24"/>
                <w:sz w:val="20"/>
                <w:szCs w:val="20"/>
                <w:lang w:val="en-US"/>
              </w:rPr>
              <w:t>)</w:t>
            </w:r>
          </w:p>
        </w:tc>
        <w:tc>
          <w:tcPr>
            <w:tcW w:w="1127" w:type="dxa"/>
          </w:tcPr>
          <w:p w14:paraId="39EBD9DD"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Poisson’s ratio</w:t>
            </w:r>
          </w:p>
        </w:tc>
        <w:tc>
          <w:tcPr>
            <w:tcW w:w="1127" w:type="dxa"/>
          </w:tcPr>
          <w:p w14:paraId="2811D13F"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Young’s modulus (MPa)</w:t>
            </w:r>
          </w:p>
        </w:tc>
        <w:tc>
          <w:tcPr>
            <w:tcW w:w="1127" w:type="dxa"/>
          </w:tcPr>
          <w:p w14:paraId="4E952F2F"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Type of Soil</w:t>
            </w:r>
          </w:p>
        </w:tc>
      </w:tr>
      <w:tr w:rsidR="005131AB" w:rsidRPr="006E59F1" w14:paraId="2FDBE535" w14:textId="77777777" w:rsidTr="001E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4D8C7860" w14:textId="77777777" w:rsidR="005131AB" w:rsidRPr="006E59F1" w:rsidRDefault="005131AB" w:rsidP="001E626B">
            <w:pPr>
              <w:spacing w:line="360" w:lineRule="auto"/>
              <w:jc w:val="center"/>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Loose</w:t>
            </w:r>
          </w:p>
        </w:tc>
        <w:tc>
          <w:tcPr>
            <w:tcW w:w="1127" w:type="dxa"/>
          </w:tcPr>
          <w:p w14:paraId="20F2EB1F"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30</w:t>
            </w:r>
          </w:p>
        </w:tc>
        <w:tc>
          <w:tcPr>
            <w:tcW w:w="1127" w:type="dxa"/>
          </w:tcPr>
          <w:p w14:paraId="2232BB7C"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35</w:t>
            </w:r>
          </w:p>
        </w:tc>
        <w:tc>
          <w:tcPr>
            <w:tcW w:w="1127" w:type="dxa"/>
          </w:tcPr>
          <w:p w14:paraId="0F4F58DE"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5</w:t>
            </w:r>
          </w:p>
        </w:tc>
        <w:tc>
          <w:tcPr>
            <w:tcW w:w="1127" w:type="dxa"/>
          </w:tcPr>
          <w:p w14:paraId="721107CC"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16.5</w:t>
            </w:r>
          </w:p>
        </w:tc>
        <w:tc>
          <w:tcPr>
            <w:tcW w:w="1127" w:type="dxa"/>
          </w:tcPr>
          <w:p w14:paraId="1265246F"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0.31</w:t>
            </w:r>
          </w:p>
        </w:tc>
        <w:tc>
          <w:tcPr>
            <w:tcW w:w="1127" w:type="dxa"/>
          </w:tcPr>
          <w:p w14:paraId="4D336B99"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38.4</w:t>
            </w:r>
          </w:p>
        </w:tc>
        <w:tc>
          <w:tcPr>
            <w:tcW w:w="1127" w:type="dxa"/>
          </w:tcPr>
          <w:p w14:paraId="48B3AC0A"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Loose</w:t>
            </w:r>
          </w:p>
        </w:tc>
      </w:tr>
      <w:tr w:rsidR="005131AB" w:rsidRPr="006E59F1" w14:paraId="35762498" w14:textId="77777777" w:rsidTr="001E626B">
        <w:tc>
          <w:tcPr>
            <w:cnfStyle w:val="001000000000" w:firstRow="0" w:lastRow="0" w:firstColumn="1" w:lastColumn="0" w:oddVBand="0" w:evenVBand="0" w:oddHBand="0" w:evenHBand="0" w:firstRowFirstColumn="0" w:firstRowLastColumn="0" w:lastRowFirstColumn="0" w:lastRowLastColumn="0"/>
            <w:tcW w:w="1127" w:type="dxa"/>
          </w:tcPr>
          <w:p w14:paraId="21F4F979" w14:textId="77777777" w:rsidR="005131AB" w:rsidRPr="006E59F1" w:rsidRDefault="005131AB" w:rsidP="001E626B">
            <w:pPr>
              <w:spacing w:line="360" w:lineRule="auto"/>
              <w:jc w:val="center"/>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 xml:space="preserve">Medium </w:t>
            </w:r>
          </w:p>
        </w:tc>
        <w:tc>
          <w:tcPr>
            <w:tcW w:w="1127" w:type="dxa"/>
          </w:tcPr>
          <w:p w14:paraId="4E135AEB"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50</w:t>
            </w:r>
          </w:p>
        </w:tc>
        <w:tc>
          <w:tcPr>
            <w:tcW w:w="1127" w:type="dxa"/>
          </w:tcPr>
          <w:p w14:paraId="5793B98B"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38</w:t>
            </w:r>
          </w:p>
        </w:tc>
        <w:tc>
          <w:tcPr>
            <w:tcW w:w="1127" w:type="dxa"/>
          </w:tcPr>
          <w:p w14:paraId="5941F0F9"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8</w:t>
            </w:r>
          </w:p>
        </w:tc>
        <w:tc>
          <w:tcPr>
            <w:tcW w:w="1127" w:type="dxa"/>
          </w:tcPr>
          <w:p w14:paraId="51C65460"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18</w:t>
            </w:r>
          </w:p>
        </w:tc>
        <w:tc>
          <w:tcPr>
            <w:tcW w:w="1127" w:type="dxa"/>
          </w:tcPr>
          <w:p w14:paraId="409FD180"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0.30</w:t>
            </w:r>
          </w:p>
        </w:tc>
        <w:tc>
          <w:tcPr>
            <w:tcW w:w="1127" w:type="dxa"/>
          </w:tcPr>
          <w:p w14:paraId="4E34E12F"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54.8</w:t>
            </w:r>
          </w:p>
        </w:tc>
        <w:tc>
          <w:tcPr>
            <w:tcW w:w="1127" w:type="dxa"/>
          </w:tcPr>
          <w:p w14:paraId="5DAF9F11"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 xml:space="preserve">Medium </w:t>
            </w:r>
          </w:p>
        </w:tc>
      </w:tr>
      <w:tr w:rsidR="005131AB" w:rsidRPr="006E59F1" w14:paraId="17AE9B95" w14:textId="77777777" w:rsidTr="001E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7" w:type="dxa"/>
          </w:tcPr>
          <w:p w14:paraId="1066B7C2" w14:textId="77777777" w:rsidR="005131AB" w:rsidRPr="006E59F1" w:rsidRDefault="005131AB" w:rsidP="001E626B">
            <w:pPr>
              <w:spacing w:line="360" w:lineRule="auto"/>
              <w:jc w:val="center"/>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Dense</w:t>
            </w:r>
          </w:p>
        </w:tc>
        <w:tc>
          <w:tcPr>
            <w:tcW w:w="1127" w:type="dxa"/>
          </w:tcPr>
          <w:p w14:paraId="4FA44D77"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85</w:t>
            </w:r>
          </w:p>
        </w:tc>
        <w:tc>
          <w:tcPr>
            <w:tcW w:w="1127" w:type="dxa"/>
          </w:tcPr>
          <w:p w14:paraId="6D3CACB6"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46</w:t>
            </w:r>
          </w:p>
        </w:tc>
        <w:tc>
          <w:tcPr>
            <w:tcW w:w="1127" w:type="dxa"/>
          </w:tcPr>
          <w:p w14:paraId="4BBAC431"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16</w:t>
            </w:r>
          </w:p>
        </w:tc>
        <w:tc>
          <w:tcPr>
            <w:tcW w:w="1127" w:type="dxa"/>
          </w:tcPr>
          <w:p w14:paraId="5705723A"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22</w:t>
            </w:r>
          </w:p>
        </w:tc>
        <w:tc>
          <w:tcPr>
            <w:tcW w:w="1127" w:type="dxa"/>
          </w:tcPr>
          <w:p w14:paraId="06FC0087"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0.20</w:t>
            </w:r>
          </w:p>
        </w:tc>
        <w:tc>
          <w:tcPr>
            <w:tcW w:w="1127" w:type="dxa"/>
          </w:tcPr>
          <w:p w14:paraId="0CACEC46"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120.0</w:t>
            </w:r>
          </w:p>
        </w:tc>
        <w:tc>
          <w:tcPr>
            <w:tcW w:w="1127" w:type="dxa"/>
          </w:tcPr>
          <w:p w14:paraId="60F0F9DE"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6E59F1">
              <w:rPr>
                <w:rFonts w:ascii="Times New Roman" w:hAnsi="Times New Roman" w:cs="Times New Roman"/>
                <w:color w:val="000000" w:themeColor="text1"/>
                <w:kern w:val="24"/>
                <w:sz w:val="20"/>
                <w:szCs w:val="20"/>
                <w:lang w:val="en-US"/>
              </w:rPr>
              <w:t>Dense</w:t>
            </w:r>
          </w:p>
        </w:tc>
      </w:tr>
    </w:tbl>
    <w:p w14:paraId="2093661E" w14:textId="77777777" w:rsidR="005131AB" w:rsidRDefault="005131AB" w:rsidP="005131AB">
      <w:pPr>
        <w:spacing w:line="360" w:lineRule="auto"/>
        <w:jc w:val="center"/>
        <w:rPr>
          <w:rFonts w:ascii="Times New Roman" w:hAnsi="Times New Roman" w:cs="Times New Roman"/>
          <w:color w:val="252525"/>
          <w:sz w:val="20"/>
          <w:szCs w:val="20"/>
        </w:rPr>
      </w:pPr>
    </w:p>
    <w:p w14:paraId="51C14F36" w14:textId="77777777" w:rsidR="005131AB" w:rsidRDefault="005131AB" w:rsidP="005131AB">
      <w:pPr>
        <w:spacing w:line="360" w:lineRule="auto"/>
        <w:jc w:val="center"/>
        <w:rPr>
          <w:rFonts w:ascii="Times New Roman" w:hAnsi="Times New Roman" w:cs="Times New Roman"/>
          <w:color w:val="252525"/>
          <w:sz w:val="20"/>
          <w:szCs w:val="20"/>
        </w:rPr>
      </w:pPr>
    </w:p>
    <w:p w14:paraId="00089AF2" w14:textId="77777777" w:rsidR="005131AB" w:rsidRDefault="005131AB" w:rsidP="005131AB">
      <w:pPr>
        <w:spacing w:line="360" w:lineRule="auto"/>
        <w:jc w:val="center"/>
        <w:rPr>
          <w:rFonts w:ascii="Times New Roman" w:hAnsi="Times New Roman" w:cs="Times New Roman"/>
          <w:color w:val="252525"/>
          <w:sz w:val="20"/>
          <w:szCs w:val="20"/>
        </w:rPr>
      </w:pPr>
    </w:p>
    <w:p w14:paraId="652CDE99" w14:textId="77777777" w:rsidR="005131AB" w:rsidRDefault="005131AB" w:rsidP="005131AB">
      <w:pPr>
        <w:spacing w:line="360" w:lineRule="auto"/>
        <w:jc w:val="center"/>
        <w:rPr>
          <w:rFonts w:ascii="Times New Roman" w:hAnsi="Times New Roman" w:cs="Times New Roman"/>
          <w:color w:val="252525"/>
          <w:sz w:val="20"/>
          <w:szCs w:val="20"/>
        </w:rPr>
      </w:pPr>
    </w:p>
    <w:p w14:paraId="056485A1" w14:textId="77777777" w:rsidR="005131AB" w:rsidRDefault="005131AB" w:rsidP="005131AB">
      <w:pPr>
        <w:spacing w:line="360" w:lineRule="auto"/>
        <w:jc w:val="center"/>
        <w:rPr>
          <w:rFonts w:ascii="Times New Roman" w:hAnsi="Times New Roman" w:cs="Times New Roman"/>
          <w:color w:val="252525"/>
          <w:sz w:val="20"/>
          <w:szCs w:val="20"/>
        </w:rPr>
      </w:pPr>
    </w:p>
    <w:p w14:paraId="7C671DC4" w14:textId="77777777" w:rsidR="005131AB" w:rsidRDefault="005131AB" w:rsidP="005131AB">
      <w:pPr>
        <w:spacing w:line="360" w:lineRule="auto"/>
        <w:jc w:val="center"/>
        <w:rPr>
          <w:rFonts w:ascii="Times New Roman" w:hAnsi="Times New Roman" w:cs="Times New Roman"/>
          <w:color w:val="252525"/>
          <w:sz w:val="20"/>
          <w:szCs w:val="20"/>
        </w:rPr>
      </w:pPr>
    </w:p>
    <w:p w14:paraId="1AEDF5D2" w14:textId="77777777" w:rsidR="005131AB" w:rsidRDefault="005131AB" w:rsidP="005131AB">
      <w:pPr>
        <w:spacing w:line="360" w:lineRule="auto"/>
        <w:jc w:val="center"/>
        <w:rPr>
          <w:rFonts w:ascii="Times New Roman" w:hAnsi="Times New Roman" w:cs="Times New Roman"/>
          <w:color w:val="252525"/>
          <w:sz w:val="20"/>
          <w:szCs w:val="20"/>
        </w:rPr>
      </w:pPr>
    </w:p>
    <w:p w14:paraId="35FC3874" w14:textId="77777777" w:rsidR="005131AB" w:rsidRDefault="005131AB" w:rsidP="005131AB">
      <w:pPr>
        <w:spacing w:line="360" w:lineRule="auto"/>
        <w:jc w:val="center"/>
        <w:rPr>
          <w:rFonts w:ascii="Times New Roman" w:hAnsi="Times New Roman" w:cs="Times New Roman"/>
          <w:color w:val="252525"/>
          <w:sz w:val="20"/>
          <w:szCs w:val="20"/>
        </w:rPr>
      </w:pPr>
    </w:p>
    <w:p w14:paraId="280E98B4" w14:textId="77777777" w:rsidR="005131AB" w:rsidRDefault="005131AB" w:rsidP="005131AB">
      <w:pPr>
        <w:spacing w:line="360" w:lineRule="auto"/>
        <w:jc w:val="center"/>
        <w:rPr>
          <w:rFonts w:ascii="Times New Roman" w:hAnsi="Times New Roman" w:cs="Times New Roman"/>
          <w:color w:val="252525"/>
          <w:sz w:val="20"/>
          <w:szCs w:val="20"/>
        </w:rPr>
      </w:pPr>
    </w:p>
    <w:p w14:paraId="5304EDB5" w14:textId="77777777" w:rsidR="005131AB" w:rsidRDefault="005131AB" w:rsidP="005131AB">
      <w:pPr>
        <w:spacing w:line="360" w:lineRule="auto"/>
        <w:jc w:val="center"/>
        <w:rPr>
          <w:rFonts w:ascii="Times New Roman" w:hAnsi="Times New Roman" w:cs="Times New Roman"/>
          <w:color w:val="252525"/>
          <w:sz w:val="20"/>
          <w:szCs w:val="20"/>
        </w:rPr>
      </w:pPr>
    </w:p>
    <w:p w14:paraId="7F201B0E" w14:textId="77777777" w:rsidR="005131AB" w:rsidRDefault="005131AB" w:rsidP="005131AB">
      <w:pPr>
        <w:spacing w:line="360" w:lineRule="auto"/>
        <w:jc w:val="center"/>
        <w:rPr>
          <w:rFonts w:ascii="Times New Roman" w:hAnsi="Times New Roman" w:cs="Times New Roman"/>
          <w:color w:val="252525"/>
          <w:sz w:val="20"/>
          <w:szCs w:val="20"/>
        </w:rPr>
      </w:pPr>
    </w:p>
    <w:p w14:paraId="0DBAF448" w14:textId="77777777" w:rsidR="005131AB" w:rsidRDefault="005131AB" w:rsidP="005131AB">
      <w:pPr>
        <w:spacing w:line="360" w:lineRule="auto"/>
        <w:jc w:val="center"/>
        <w:rPr>
          <w:rFonts w:ascii="Times New Roman" w:hAnsi="Times New Roman" w:cs="Times New Roman"/>
          <w:color w:val="252525"/>
          <w:sz w:val="20"/>
          <w:szCs w:val="20"/>
        </w:rPr>
      </w:pPr>
    </w:p>
    <w:p w14:paraId="583A1BF0" w14:textId="77777777" w:rsidR="005131AB" w:rsidRDefault="005131AB" w:rsidP="005131AB">
      <w:pPr>
        <w:spacing w:line="360" w:lineRule="auto"/>
        <w:jc w:val="center"/>
        <w:rPr>
          <w:rFonts w:ascii="Times New Roman" w:hAnsi="Times New Roman" w:cs="Times New Roman"/>
          <w:color w:val="252525"/>
          <w:sz w:val="20"/>
          <w:szCs w:val="20"/>
        </w:rPr>
      </w:pPr>
    </w:p>
    <w:p w14:paraId="484E9F5A" w14:textId="77777777" w:rsidR="005131AB" w:rsidRDefault="005131AB" w:rsidP="005131AB">
      <w:pPr>
        <w:spacing w:line="360" w:lineRule="auto"/>
        <w:jc w:val="center"/>
        <w:rPr>
          <w:rFonts w:ascii="Times New Roman" w:hAnsi="Times New Roman" w:cs="Times New Roman"/>
          <w:color w:val="252525"/>
          <w:sz w:val="20"/>
          <w:szCs w:val="20"/>
        </w:rPr>
      </w:pPr>
    </w:p>
    <w:p w14:paraId="0B441F62" w14:textId="77777777" w:rsidR="005131AB" w:rsidRDefault="005131AB" w:rsidP="005131AB">
      <w:pPr>
        <w:spacing w:line="360" w:lineRule="auto"/>
        <w:jc w:val="center"/>
        <w:rPr>
          <w:rFonts w:ascii="Times New Roman" w:hAnsi="Times New Roman" w:cs="Times New Roman"/>
          <w:color w:val="252525"/>
          <w:sz w:val="20"/>
          <w:szCs w:val="20"/>
        </w:rPr>
      </w:pPr>
    </w:p>
    <w:p w14:paraId="4F74A45A" w14:textId="77777777" w:rsidR="005131AB" w:rsidRDefault="005131AB" w:rsidP="005131AB">
      <w:pPr>
        <w:spacing w:line="360" w:lineRule="auto"/>
        <w:jc w:val="center"/>
        <w:rPr>
          <w:rFonts w:ascii="Times New Roman" w:hAnsi="Times New Roman" w:cs="Times New Roman"/>
          <w:color w:val="252525"/>
          <w:sz w:val="20"/>
          <w:szCs w:val="20"/>
        </w:rPr>
      </w:pPr>
    </w:p>
    <w:p w14:paraId="48D201E9" w14:textId="77777777" w:rsidR="005131AB" w:rsidRDefault="005131AB" w:rsidP="005131AB">
      <w:pPr>
        <w:spacing w:line="360" w:lineRule="auto"/>
        <w:jc w:val="center"/>
        <w:rPr>
          <w:rFonts w:ascii="Times New Roman" w:hAnsi="Times New Roman" w:cs="Times New Roman"/>
          <w:color w:val="252525"/>
          <w:sz w:val="20"/>
          <w:szCs w:val="20"/>
        </w:rPr>
      </w:pPr>
    </w:p>
    <w:p w14:paraId="3BA03318" w14:textId="77777777" w:rsidR="005131AB" w:rsidRDefault="005131AB" w:rsidP="005131AB">
      <w:pPr>
        <w:spacing w:line="360" w:lineRule="auto"/>
        <w:jc w:val="center"/>
        <w:rPr>
          <w:rFonts w:ascii="Times New Roman" w:hAnsi="Times New Roman" w:cs="Times New Roman"/>
          <w:color w:val="252525"/>
          <w:sz w:val="20"/>
          <w:szCs w:val="20"/>
        </w:rPr>
      </w:pPr>
    </w:p>
    <w:p w14:paraId="0BD4E555" w14:textId="77777777" w:rsidR="005131AB" w:rsidRDefault="005131AB" w:rsidP="005131AB">
      <w:pPr>
        <w:spacing w:line="360" w:lineRule="auto"/>
        <w:jc w:val="center"/>
        <w:rPr>
          <w:rFonts w:ascii="Times New Roman" w:hAnsi="Times New Roman" w:cs="Times New Roman"/>
          <w:color w:val="252525"/>
          <w:sz w:val="20"/>
          <w:szCs w:val="20"/>
        </w:rPr>
      </w:pPr>
    </w:p>
    <w:p w14:paraId="016E978B" w14:textId="77777777" w:rsidR="005131AB" w:rsidRDefault="005131AB" w:rsidP="005131AB">
      <w:pPr>
        <w:spacing w:line="360" w:lineRule="auto"/>
        <w:jc w:val="center"/>
        <w:rPr>
          <w:rFonts w:ascii="Times New Roman" w:hAnsi="Times New Roman" w:cs="Times New Roman"/>
          <w:color w:val="252525"/>
          <w:sz w:val="20"/>
          <w:szCs w:val="20"/>
        </w:rPr>
      </w:pPr>
    </w:p>
    <w:p w14:paraId="44FB52EA" w14:textId="77777777" w:rsidR="005131AB" w:rsidRDefault="005131AB" w:rsidP="005131AB">
      <w:pPr>
        <w:spacing w:line="360" w:lineRule="auto"/>
        <w:jc w:val="center"/>
        <w:rPr>
          <w:rFonts w:ascii="Times New Roman" w:hAnsi="Times New Roman" w:cs="Times New Roman"/>
          <w:color w:val="252525"/>
          <w:sz w:val="20"/>
          <w:szCs w:val="20"/>
        </w:rPr>
      </w:pPr>
    </w:p>
    <w:p w14:paraId="0AB862AD" w14:textId="77777777" w:rsidR="005131AB" w:rsidRPr="006E59F1" w:rsidRDefault="005131AB" w:rsidP="005131AB">
      <w:pPr>
        <w:spacing w:line="360" w:lineRule="auto"/>
        <w:jc w:val="center"/>
        <w:rPr>
          <w:rFonts w:ascii="Times New Roman" w:hAnsi="Times New Roman" w:cs="Times New Roman"/>
          <w:color w:val="252525"/>
          <w:sz w:val="20"/>
          <w:szCs w:val="20"/>
        </w:rPr>
      </w:pPr>
    </w:p>
    <w:p w14:paraId="5EAE3CA5" w14:textId="77777777" w:rsidR="005131AB" w:rsidRPr="006E59F1" w:rsidRDefault="005131AB" w:rsidP="005131AB">
      <w:pPr>
        <w:spacing w:line="360" w:lineRule="auto"/>
        <w:jc w:val="center"/>
        <w:rPr>
          <w:rFonts w:ascii="Times New Roman" w:hAnsi="Times New Roman" w:cs="Times New Roman"/>
          <w:color w:val="252525"/>
          <w:sz w:val="20"/>
          <w:szCs w:val="20"/>
        </w:rPr>
      </w:pPr>
      <w:r w:rsidRPr="006E59F1">
        <w:rPr>
          <w:rFonts w:ascii="Times New Roman" w:hAnsi="Times New Roman" w:cs="Times New Roman"/>
          <w:b/>
          <w:bCs/>
          <w:color w:val="252525"/>
          <w:sz w:val="20"/>
          <w:szCs w:val="20"/>
        </w:rPr>
        <w:lastRenderedPageBreak/>
        <w:t>Table 2</w:t>
      </w:r>
      <w:r w:rsidRPr="006E59F1">
        <w:rPr>
          <w:rFonts w:ascii="Times New Roman" w:hAnsi="Times New Roman" w:cs="Times New Roman"/>
          <w:color w:val="252525"/>
          <w:sz w:val="20"/>
          <w:szCs w:val="20"/>
        </w:rPr>
        <w:t xml:space="preserve"> Properties of anchor </w:t>
      </w:r>
    </w:p>
    <w:tbl>
      <w:tblPr>
        <w:tblStyle w:val="PlainTable2"/>
        <w:tblW w:w="0" w:type="auto"/>
        <w:tblLook w:val="04A0" w:firstRow="1" w:lastRow="0" w:firstColumn="1" w:lastColumn="0" w:noHBand="0" w:noVBand="1"/>
      </w:tblPr>
      <w:tblGrid>
        <w:gridCol w:w="1803"/>
        <w:gridCol w:w="1803"/>
        <w:gridCol w:w="1803"/>
        <w:gridCol w:w="1803"/>
        <w:gridCol w:w="1804"/>
      </w:tblGrid>
      <w:tr w:rsidR="005131AB" w:rsidRPr="006E59F1" w14:paraId="3F7DF8F7" w14:textId="77777777" w:rsidTr="001E62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D597B51" w14:textId="77777777" w:rsidR="005131AB" w:rsidRPr="006E59F1" w:rsidRDefault="005131AB" w:rsidP="001E626B">
            <w:pPr>
              <w:spacing w:line="360" w:lineRule="auto"/>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Type of Anchor</w:t>
            </w:r>
          </w:p>
        </w:tc>
        <w:tc>
          <w:tcPr>
            <w:tcW w:w="1803" w:type="dxa"/>
          </w:tcPr>
          <w:p w14:paraId="4CDCADD6"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Embedment depth</w:t>
            </w:r>
            <w:r w:rsidRPr="006E59F1">
              <w:rPr>
                <w:rFonts w:ascii="Times New Roman" w:hAnsi="Times New Roman" w:cs="Times New Roman"/>
                <w:color w:val="000000" w:themeColor="text1"/>
                <w:kern w:val="24"/>
                <w:sz w:val="20"/>
                <w:szCs w:val="20"/>
                <w:lang w:val="en-US"/>
              </w:rPr>
              <w:t xml:space="preserve"> </w:t>
            </w:r>
            <w:r w:rsidRPr="006E59F1">
              <w:rPr>
                <w:rFonts w:ascii="Times New Roman" w:hAnsi="Times New Roman" w:cs="Times New Roman"/>
                <w:b w:val="0"/>
                <w:bCs w:val="0"/>
                <w:color w:val="000000" w:themeColor="text1"/>
                <w:kern w:val="24"/>
                <w:sz w:val="20"/>
                <w:szCs w:val="20"/>
                <w:lang w:val="en-US"/>
              </w:rPr>
              <w:t>(m)</w:t>
            </w:r>
          </w:p>
        </w:tc>
        <w:tc>
          <w:tcPr>
            <w:tcW w:w="1803" w:type="dxa"/>
          </w:tcPr>
          <w:p w14:paraId="4905DBA9"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Spacing</w:t>
            </w:r>
          </w:p>
        </w:tc>
        <w:tc>
          <w:tcPr>
            <w:tcW w:w="1803" w:type="dxa"/>
          </w:tcPr>
          <w:p w14:paraId="00C8B1F9"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Thickness of plate (</w:t>
            </w:r>
            <w:r>
              <w:rPr>
                <w:rFonts w:ascii="Times New Roman" w:hAnsi="Times New Roman" w:cs="Times New Roman"/>
                <w:b w:val="0"/>
                <w:bCs w:val="0"/>
                <w:color w:val="000000" w:themeColor="text1"/>
                <w:kern w:val="24"/>
                <w:sz w:val="20"/>
                <w:szCs w:val="20"/>
                <w:lang w:val="en-US"/>
              </w:rPr>
              <w:t>m</w:t>
            </w:r>
            <w:r w:rsidRPr="006E59F1">
              <w:rPr>
                <w:rFonts w:ascii="Times New Roman" w:hAnsi="Times New Roman" w:cs="Times New Roman"/>
                <w:b w:val="0"/>
                <w:bCs w:val="0"/>
                <w:color w:val="000000" w:themeColor="text1"/>
                <w:kern w:val="24"/>
                <w:sz w:val="20"/>
                <w:szCs w:val="20"/>
                <w:lang w:val="en-US"/>
              </w:rPr>
              <w:t>m)</w:t>
            </w:r>
          </w:p>
        </w:tc>
        <w:tc>
          <w:tcPr>
            <w:tcW w:w="1804" w:type="dxa"/>
          </w:tcPr>
          <w:p w14:paraId="2E604D30"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000000" w:themeColor="text1"/>
                <w:sz w:val="20"/>
                <w:szCs w:val="20"/>
              </w:rPr>
            </w:pPr>
            <w:r w:rsidRPr="006E59F1">
              <w:rPr>
                <w:rFonts w:ascii="Times New Roman" w:hAnsi="Times New Roman" w:cs="Times New Roman"/>
                <w:b w:val="0"/>
                <w:bCs w:val="0"/>
                <w:color w:val="000000" w:themeColor="text1"/>
                <w:kern w:val="24"/>
                <w:sz w:val="20"/>
                <w:szCs w:val="20"/>
                <w:lang w:val="en-US"/>
              </w:rPr>
              <w:t>Diameter of tie rod (</w:t>
            </w:r>
            <w:r>
              <w:rPr>
                <w:rFonts w:ascii="Times New Roman" w:hAnsi="Times New Roman" w:cs="Times New Roman"/>
                <w:b w:val="0"/>
                <w:bCs w:val="0"/>
                <w:color w:val="000000" w:themeColor="text1"/>
                <w:kern w:val="24"/>
                <w:sz w:val="20"/>
                <w:szCs w:val="20"/>
                <w:lang w:val="en-US"/>
              </w:rPr>
              <w:t>m</w:t>
            </w:r>
            <w:r w:rsidRPr="006E59F1">
              <w:rPr>
                <w:rFonts w:ascii="Times New Roman" w:hAnsi="Times New Roman" w:cs="Times New Roman"/>
                <w:b w:val="0"/>
                <w:bCs w:val="0"/>
                <w:color w:val="000000" w:themeColor="text1"/>
                <w:kern w:val="24"/>
                <w:sz w:val="20"/>
                <w:szCs w:val="20"/>
                <w:lang w:val="en-US"/>
              </w:rPr>
              <w:t>m)</w:t>
            </w:r>
          </w:p>
        </w:tc>
      </w:tr>
      <w:tr w:rsidR="005131AB" w:rsidRPr="006E59F1" w14:paraId="62E255AD" w14:textId="77777777" w:rsidTr="001E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5EC4E87E" w14:textId="77777777" w:rsidR="005131AB" w:rsidRPr="006E59F1" w:rsidRDefault="005131AB" w:rsidP="001E626B">
            <w:pPr>
              <w:spacing w:line="360" w:lineRule="auto"/>
              <w:jc w:val="center"/>
              <w:rPr>
                <w:rFonts w:ascii="Times New Roman" w:hAnsi="Times New Roman" w:cs="Times New Roman"/>
                <w:b w:val="0"/>
                <w:bCs w:val="0"/>
                <w:sz w:val="20"/>
                <w:szCs w:val="20"/>
              </w:rPr>
            </w:pPr>
            <w:r w:rsidRPr="006E59F1">
              <w:rPr>
                <w:rFonts w:ascii="Times New Roman" w:hAnsi="Times New Roman" w:cs="Times New Roman"/>
                <w:b w:val="0"/>
                <w:bCs w:val="0"/>
                <w:color w:val="000000" w:themeColor="dark1"/>
                <w:kern w:val="24"/>
                <w:sz w:val="20"/>
                <w:szCs w:val="20"/>
                <w:lang w:val="en-US"/>
              </w:rPr>
              <w:t xml:space="preserve">Single plate </w:t>
            </w:r>
          </w:p>
        </w:tc>
        <w:tc>
          <w:tcPr>
            <w:tcW w:w="1803" w:type="dxa"/>
          </w:tcPr>
          <w:p w14:paraId="43181A51"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themeColor="dark1"/>
                <w:kern w:val="24"/>
                <w:sz w:val="20"/>
                <w:szCs w:val="20"/>
                <w:lang w:val="en-US"/>
              </w:rPr>
              <w:t>15,30,45</w:t>
            </w:r>
          </w:p>
        </w:tc>
        <w:tc>
          <w:tcPr>
            <w:tcW w:w="1803" w:type="dxa"/>
          </w:tcPr>
          <w:p w14:paraId="0EB66886"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themeColor="dark1"/>
                <w:kern w:val="24"/>
                <w:sz w:val="20"/>
                <w:szCs w:val="20"/>
                <w:lang w:val="en-US"/>
              </w:rPr>
              <w:t>-</w:t>
            </w:r>
          </w:p>
        </w:tc>
        <w:tc>
          <w:tcPr>
            <w:tcW w:w="1803" w:type="dxa"/>
          </w:tcPr>
          <w:p w14:paraId="06D4A105"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color w:val="000000" w:themeColor="dark1"/>
                <w:kern w:val="24"/>
                <w:sz w:val="20"/>
                <w:szCs w:val="20"/>
                <w:lang w:val="en-US"/>
              </w:rPr>
              <w:t>10, 25, 50</w:t>
            </w:r>
          </w:p>
        </w:tc>
        <w:tc>
          <w:tcPr>
            <w:tcW w:w="1804" w:type="dxa"/>
          </w:tcPr>
          <w:p w14:paraId="2631E31B"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color w:val="000000" w:themeColor="dark1"/>
                <w:kern w:val="24"/>
                <w:sz w:val="20"/>
                <w:szCs w:val="20"/>
                <w:lang w:val="en-US"/>
              </w:rPr>
              <w:t>25, 32, 40</w:t>
            </w:r>
          </w:p>
        </w:tc>
      </w:tr>
      <w:tr w:rsidR="005131AB" w:rsidRPr="006E59F1" w14:paraId="72E9262A" w14:textId="77777777" w:rsidTr="001E626B">
        <w:tc>
          <w:tcPr>
            <w:cnfStyle w:val="001000000000" w:firstRow="0" w:lastRow="0" w:firstColumn="1" w:lastColumn="0" w:oddVBand="0" w:evenVBand="0" w:oddHBand="0" w:evenHBand="0" w:firstRowFirstColumn="0" w:firstRowLastColumn="0" w:lastRowFirstColumn="0" w:lastRowLastColumn="0"/>
            <w:tcW w:w="1803" w:type="dxa"/>
          </w:tcPr>
          <w:p w14:paraId="1FFDCA02" w14:textId="77777777" w:rsidR="005131AB" w:rsidRPr="006E59F1" w:rsidRDefault="005131AB" w:rsidP="001E626B">
            <w:pPr>
              <w:spacing w:line="360" w:lineRule="auto"/>
              <w:jc w:val="center"/>
              <w:rPr>
                <w:rFonts w:ascii="Times New Roman" w:hAnsi="Times New Roman" w:cs="Times New Roman"/>
                <w:b w:val="0"/>
                <w:bCs w:val="0"/>
                <w:sz w:val="20"/>
                <w:szCs w:val="20"/>
              </w:rPr>
            </w:pPr>
            <w:r w:rsidRPr="006E59F1">
              <w:rPr>
                <w:rFonts w:ascii="Times New Roman" w:hAnsi="Times New Roman" w:cs="Times New Roman"/>
                <w:b w:val="0"/>
                <w:bCs w:val="0"/>
                <w:color w:val="000000" w:themeColor="dark1"/>
                <w:kern w:val="24"/>
                <w:sz w:val="20"/>
                <w:szCs w:val="20"/>
                <w:lang w:val="en-US"/>
              </w:rPr>
              <w:t>Double plate</w:t>
            </w:r>
          </w:p>
        </w:tc>
        <w:tc>
          <w:tcPr>
            <w:tcW w:w="1803" w:type="dxa"/>
          </w:tcPr>
          <w:p w14:paraId="663B6160"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themeColor="dark1"/>
                <w:kern w:val="24"/>
                <w:sz w:val="20"/>
                <w:szCs w:val="20"/>
                <w:lang w:val="en-US"/>
              </w:rPr>
              <w:t>15,30,45</w:t>
            </w:r>
          </w:p>
        </w:tc>
        <w:tc>
          <w:tcPr>
            <w:tcW w:w="1803" w:type="dxa"/>
          </w:tcPr>
          <w:p w14:paraId="0F1397FD"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themeColor="dark1"/>
                <w:kern w:val="24"/>
                <w:sz w:val="20"/>
                <w:szCs w:val="20"/>
                <w:lang w:val="en-US"/>
              </w:rPr>
              <w:t>1d,2d,3d</w:t>
            </w:r>
          </w:p>
        </w:tc>
        <w:tc>
          <w:tcPr>
            <w:tcW w:w="1803" w:type="dxa"/>
          </w:tcPr>
          <w:p w14:paraId="7DBA7EE7"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color w:val="000000" w:themeColor="dark1"/>
                <w:kern w:val="24"/>
                <w:sz w:val="20"/>
                <w:szCs w:val="20"/>
                <w:lang w:val="en-US"/>
              </w:rPr>
              <w:t>10, 25, 50</w:t>
            </w:r>
          </w:p>
        </w:tc>
        <w:tc>
          <w:tcPr>
            <w:tcW w:w="1804" w:type="dxa"/>
          </w:tcPr>
          <w:p w14:paraId="76A35462"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color w:val="000000" w:themeColor="dark1"/>
                <w:kern w:val="24"/>
                <w:sz w:val="20"/>
                <w:szCs w:val="20"/>
                <w:lang w:val="en-US"/>
              </w:rPr>
              <w:t>25, 32, 40</w:t>
            </w:r>
          </w:p>
        </w:tc>
      </w:tr>
      <w:tr w:rsidR="005131AB" w:rsidRPr="006E59F1" w14:paraId="440111F1" w14:textId="77777777" w:rsidTr="001E62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756A0F1E" w14:textId="77777777" w:rsidR="005131AB" w:rsidRPr="006E59F1" w:rsidRDefault="005131AB" w:rsidP="001E626B">
            <w:pPr>
              <w:spacing w:line="360" w:lineRule="auto"/>
              <w:jc w:val="center"/>
              <w:rPr>
                <w:rFonts w:ascii="Times New Roman" w:hAnsi="Times New Roman" w:cs="Times New Roman"/>
                <w:b w:val="0"/>
                <w:bCs w:val="0"/>
                <w:sz w:val="20"/>
                <w:szCs w:val="20"/>
              </w:rPr>
            </w:pPr>
            <w:r w:rsidRPr="006E59F1">
              <w:rPr>
                <w:rFonts w:ascii="Times New Roman" w:hAnsi="Times New Roman" w:cs="Times New Roman"/>
                <w:b w:val="0"/>
                <w:bCs w:val="0"/>
                <w:color w:val="000000" w:themeColor="dark1"/>
                <w:kern w:val="24"/>
                <w:sz w:val="20"/>
                <w:szCs w:val="20"/>
                <w:lang w:val="en-US"/>
              </w:rPr>
              <w:t xml:space="preserve">Triple </w:t>
            </w:r>
            <w:r>
              <w:rPr>
                <w:rFonts w:ascii="Times New Roman" w:hAnsi="Times New Roman" w:cs="Times New Roman"/>
                <w:b w:val="0"/>
                <w:bCs w:val="0"/>
                <w:color w:val="000000" w:themeColor="dark1"/>
                <w:kern w:val="24"/>
                <w:sz w:val="20"/>
                <w:szCs w:val="20"/>
                <w:lang w:val="en-US"/>
              </w:rPr>
              <w:t>p</w:t>
            </w:r>
            <w:r w:rsidRPr="006E59F1">
              <w:rPr>
                <w:rFonts w:ascii="Times New Roman" w:hAnsi="Times New Roman" w:cs="Times New Roman"/>
                <w:b w:val="0"/>
                <w:bCs w:val="0"/>
                <w:color w:val="000000" w:themeColor="dark1"/>
                <w:kern w:val="24"/>
                <w:sz w:val="20"/>
                <w:szCs w:val="20"/>
                <w:lang w:val="en-US"/>
              </w:rPr>
              <w:t xml:space="preserve">late </w:t>
            </w:r>
          </w:p>
        </w:tc>
        <w:tc>
          <w:tcPr>
            <w:tcW w:w="1803" w:type="dxa"/>
          </w:tcPr>
          <w:p w14:paraId="00D2E777"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themeColor="dark1"/>
                <w:kern w:val="24"/>
                <w:sz w:val="20"/>
                <w:szCs w:val="20"/>
                <w:lang w:val="en-US"/>
              </w:rPr>
              <w:t>15,30,45</w:t>
            </w:r>
          </w:p>
        </w:tc>
        <w:tc>
          <w:tcPr>
            <w:tcW w:w="1803" w:type="dxa"/>
          </w:tcPr>
          <w:p w14:paraId="3606738F"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themeColor="dark1"/>
                <w:kern w:val="24"/>
                <w:sz w:val="20"/>
                <w:szCs w:val="20"/>
                <w:lang w:val="en-US"/>
              </w:rPr>
              <w:t>1d,2d,3d,4d</w:t>
            </w:r>
          </w:p>
        </w:tc>
        <w:tc>
          <w:tcPr>
            <w:tcW w:w="1803" w:type="dxa"/>
          </w:tcPr>
          <w:p w14:paraId="308BF8B0"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color w:val="000000" w:themeColor="dark1"/>
                <w:kern w:val="24"/>
                <w:sz w:val="20"/>
                <w:szCs w:val="20"/>
                <w:lang w:val="en-US"/>
              </w:rPr>
              <w:t>10, 25, 50</w:t>
            </w:r>
          </w:p>
        </w:tc>
        <w:tc>
          <w:tcPr>
            <w:tcW w:w="1804" w:type="dxa"/>
          </w:tcPr>
          <w:p w14:paraId="04D03EAC"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color w:val="000000" w:themeColor="dark1"/>
                <w:kern w:val="24"/>
                <w:sz w:val="20"/>
                <w:szCs w:val="20"/>
                <w:lang w:val="en-US"/>
              </w:rPr>
              <w:t>25, 32, 40</w:t>
            </w:r>
          </w:p>
        </w:tc>
      </w:tr>
    </w:tbl>
    <w:p w14:paraId="781A32FF" w14:textId="77777777" w:rsidR="005131AB" w:rsidRDefault="005131AB" w:rsidP="005131AB"/>
    <w:p w14:paraId="202368C9" w14:textId="77777777" w:rsidR="005131AB" w:rsidRDefault="005131AB" w:rsidP="005131AB"/>
    <w:p w14:paraId="09779C26" w14:textId="77777777" w:rsidR="005131AB" w:rsidRDefault="005131AB" w:rsidP="005131AB"/>
    <w:p w14:paraId="4CAE08F7" w14:textId="77777777" w:rsidR="005131AB" w:rsidRDefault="005131AB" w:rsidP="005131AB"/>
    <w:p w14:paraId="4B9AB72F" w14:textId="77777777" w:rsidR="005131AB" w:rsidRDefault="005131AB" w:rsidP="005131AB"/>
    <w:p w14:paraId="09725C8C" w14:textId="77777777" w:rsidR="005131AB" w:rsidRDefault="005131AB" w:rsidP="005131AB"/>
    <w:p w14:paraId="03550B81" w14:textId="77777777" w:rsidR="005131AB" w:rsidRDefault="005131AB" w:rsidP="005131AB"/>
    <w:p w14:paraId="70A70085" w14:textId="77777777" w:rsidR="005131AB" w:rsidRDefault="005131AB" w:rsidP="005131AB"/>
    <w:p w14:paraId="51CBD20C" w14:textId="77777777" w:rsidR="005131AB" w:rsidRDefault="005131AB" w:rsidP="005131AB"/>
    <w:p w14:paraId="1345FE23" w14:textId="77777777" w:rsidR="005131AB" w:rsidRDefault="005131AB" w:rsidP="005131AB"/>
    <w:p w14:paraId="7F334E24" w14:textId="77777777" w:rsidR="005131AB" w:rsidRDefault="005131AB" w:rsidP="005131AB"/>
    <w:p w14:paraId="6E49BB94" w14:textId="77777777" w:rsidR="005131AB" w:rsidRDefault="005131AB" w:rsidP="005131AB"/>
    <w:p w14:paraId="1DAE0A63" w14:textId="77777777" w:rsidR="005131AB" w:rsidRDefault="005131AB" w:rsidP="005131AB"/>
    <w:p w14:paraId="38D147EA" w14:textId="77777777" w:rsidR="005131AB" w:rsidRDefault="005131AB" w:rsidP="005131AB"/>
    <w:p w14:paraId="4FC0AE94" w14:textId="77777777" w:rsidR="005131AB" w:rsidRDefault="005131AB" w:rsidP="005131AB"/>
    <w:p w14:paraId="2DF6440D" w14:textId="77777777" w:rsidR="005131AB" w:rsidRDefault="005131AB" w:rsidP="005131AB"/>
    <w:p w14:paraId="5B9D69DB" w14:textId="77777777" w:rsidR="005131AB" w:rsidRDefault="005131AB" w:rsidP="005131AB"/>
    <w:p w14:paraId="40F2ED2C" w14:textId="77777777" w:rsidR="005131AB" w:rsidRDefault="005131AB" w:rsidP="005131AB"/>
    <w:p w14:paraId="42817911" w14:textId="77777777" w:rsidR="005131AB" w:rsidRDefault="005131AB" w:rsidP="005131AB"/>
    <w:p w14:paraId="7C0E50F9" w14:textId="77777777" w:rsidR="005131AB" w:rsidRDefault="005131AB" w:rsidP="005131AB"/>
    <w:p w14:paraId="4C454B74" w14:textId="77777777" w:rsidR="005131AB" w:rsidRDefault="005131AB" w:rsidP="005131AB"/>
    <w:p w14:paraId="196C89AB" w14:textId="77777777" w:rsidR="005131AB" w:rsidRDefault="005131AB" w:rsidP="005131AB"/>
    <w:p w14:paraId="73EA2781" w14:textId="77777777" w:rsidR="005131AB" w:rsidRDefault="005131AB" w:rsidP="005131AB"/>
    <w:p w14:paraId="7B5138F3" w14:textId="77777777" w:rsidR="005131AB" w:rsidRDefault="005131AB" w:rsidP="005131AB"/>
    <w:p w14:paraId="6136CE16" w14:textId="77777777" w:rsidR="005131AB" w:rsidRDefault="005131AB" w:rsidP="005131AB"/>
    <w:p w14:paraId="78FA7D84" w14:textId="77777777" w:rsidR="005131AB" w:rsidRDefault="005131AB" w:rsidP="005131AB"/>
    <w:p w14:paraId="3CAE2252" w14:textId="77777777" w:rsidR="005131AB" w:rsidRPr="006E59F1" w:rsidRDefault="005131AB" w:rsidP="005131AB">
      <w:pPr>
        <w:spacing w:line="360" w:lineRule="auto"/>
        <w:jc w:val="center"/>
        <w:rPr>
          <w:rFonts w:ascii="Times New Roman" w:hAnsi="Times New Roman" w:cs="Times New Roman"/>
          <w:b/>
          <w:bCs/>
          <w:color w:val="000000"/>
          <w:sz w:val="20"/>
          <w:szCs w:val="20"/>
          <w:shd w:val="clear" w:color="auto" w:fill="FFFFFF"/>
        </w:rPr>
      </w:pPr>
      <w:r w:rsidRPr="006E59F1">
        <w:rPr>
          <w:rFonts w:ascii="Times New Roman" w:hAnsi="Times New Roman" w:cs="Times New Roman"/>
          <w:b/>
          <w:bCs/>
          <w:color w:val="000000"/>
          <w:sz w:val="20"/>
          <w:szCs w:val="20"/>
          <w:shd w:val="clear" w:color="auto" w:fill="FFFFFF"/>
        </w:rPr>
        <w:lastRenderedPageBreak/>
        <w:t>Table 3</w:t>
      </w:r>
      <w:r w:rsidRPr="00A87AE2">
        <w:rPr>
          <w:rFonts w:ascii="Times New Roman" w:hAnsi="Times New Roman" w:cs="Times New Roman"/>
          <w:sz w:val="24"/>
          <w:szCs w:val="24"/>
        </w:rPr>
        <w:t xml:space="preserve"> </w:t>
      </w:r>
      <w:proofErr w:type="spellStart"/>
      <w:r w:rsidRPr="00A87AE2">
        <w:rPr>
          <w:rFonts w:ascii="Times New Roman" w:hAnsi="Times New Roman" w:cs="Times New Roman"/>
          <w:sz w:val="20"/>
          <w:szCs w:val="20"/>
        </w:rPr>
        <w:t>Pullout</w:t>
      </w:r>
      <w:proofErr w:type="spellEnd"/>
      <w:r w:rsidRPr="00A87AE2">
        <w:rPr>
          <w:rFonts w:ascii="Times New Roman" w:hAnsi="Times New Roman" w:cs="Times New Roman"/>
          <w:sz w:val="20"/>
          <w:szCs w:val="20"/>
        </w:rPr>
        <w:t xml:space="preserve"> capacity of single plate anchor</w:t>
      </w:r>
      <w:r>
        <w:rPr>
          <w:rFonts w:ascii="Times New Roman" w:hAnsi="Times New Roman" w:cs="Times New Roman"/>
          <w:sz w:val="20"/>
          <w:szCs w:val="20"/>
        </w:rPr>
        <w:t xml:space="preserve"> with varying parameters</w:t>
      </w:r>
    </w:p>
    <w:tbl>
      <w:tblPr>
        <w:tblStyle w:val="PlainTable2"/>
        <w:tblW w:w="0" w:type="auto"/>
        <w:jc w:val="center"/>
        <w:tblLook w:val="04A0" w:firstRow="1" w:lastRow="0" w:firstColumn="1" w:lastColumn="0" w:noHBand="0" w:noVBand="1"/>
      </w:tblPr>
      <w:tblGrid>
        <w:gridCol w:w="2405"/>
        <w:gridCol w:w="1701"/>
        <w:gridCol w:w="1701"/>
        <w:gridCol w:w="1701"/>
      </w:tblGrid>
      <w:tr w:rsidR="005131AB" w:rsidRPr="006E59F1" w14:paraId="1C374580" w14:textId="77777777" w:rsidTr="001E626B">
        <w:trPr>
          <w:cnfStyle w:val="100000000000" w:firstRow="1" w:lastRow="0" w:firstColumn="0" w:lastColumn="0" w:oddVBand="0" w:evenVBand="0" w:oddHBand="0" w:evenHBand="0" w:firstRowFirstColumn="0" w:firstRowLastColumn="0" w:lastRowFirstColumn="0" w:lastRowLastColumn="0"/>
          <w:trHeight w:val="49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7F6776E2" w14:textId="77777777" w:rsidR="005131AB" w:rsidRPr="006E59F1" w:rsidRDefault="005131AB" w:rsidP="001E626B">
            <w:pPr>
              <w:spacing w:line="360" w:lineRule="auto"/>
              <w:rPr>
                <w:rFonts w:ascii="Times New Roman" w:hAnsi="Times New Roman" w:cs="Times New Roman"/>
                <w:b w:val="0"/>
                <w:bCs w:val="0"/>
                <w:sz w:val="20"/>
                <w:szCs w:val="20"/>
              </w:rPr>
            </w:pPr>
            <w:r>
              <w:rPr>
                <w:rFonts w:ascii="Times New Roman" w:hAnsi="Times New Roman" w:cs="Times New Roman"/>
                <w:b w:val="0"/>
                <w:bCs w:val="0"/>
                <w:sz w:val="20"/>
                <w:szCs w:val="20"/>
              </w:rPr>
              <w:t>Parameter</w:t>
            </w:r>
          </w:p>
        </w:tc>
        <w:tc>
          <w:tcPr>
            <w:tcW w:w="1701" w:type="dxa"/>
            <w:vMerge w:val="restart"/>
          </w:tcPr>
          <w:p w14:paraId="3F48A6CD" w14:textId="77777777" w:rsidR="005131AB" w:rsidRPr="006E59F1" w:rsidRDefault="005131AB" w:rsidP="001E626B">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tc>
        <w:tc>
          <w:tcPr>
            <w:tcW w:w="3402" w:type="dxa"/>
            <w:gridSpan w:val="2"/>
          </w:tcPr>
          <w:p w14:paraId="6133D31F"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6E59F1">
              <w:rPr>
                <w:rFonts w:ascii="Times New Roman" w:hAnsi="Times New Roman" w:cs="Times New Roman"/>
                <w:b w:val="0"/>
                <w:bCs w:val="0"/>
                <w:sz w:val="20"/>
                <w:szCs w:val="20"/>
              </w:rPr>
              <w:t>Pullout</w:t>
            </w:r>
            <w:proofErr w:type="spellEnd"/>
            <w:r w:rsidRPr="006E59F1">
              <w:rPr>
                <w:rFonts w:ascii="Times New Roman" w:hAnsi="Times New Roman" w:cs="Times New Roman"/>
                <w:b w:val="0"/>
                <w:bCs w:val="0"/>
                <w:sz w:val="20"/>
                <w:szCs w:val="20"/>
              </w:rPr>
              <w:t xml:space="preserve"> capacity (MPa)</w:t>
            </w:r>
          </w:p>
        </w:tc>
      </w:tr>
      <w:tr w:rsidR="005131AB" w:rsidRPr="006E59F1" w14:paraId="7B70D505" w14:textId="77777777" w:rsidTr="001E626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0F71EEEF"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vMerge/>
          </w:tcPr>
          <w:p w14:paraId="20E7F97A" w14:textId="77777777" w:rsidR="005131AB" w:rsidRPr="006E59F1" w:rsidRDefault="005131AB" w:rsidP="001E6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701" w:type="dxa"/>
          </w:tcPr>
          <w:p w14:paraId="7E5A8F10"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Square</w:t>
            </w:r>
          </w:p>
        </w:tc>
        <w:tc>
          <w:tcPr>
            <w:tcW w:w="1701" w:type="dxa"/>
          </w:tcPr>
          <w:p w14:paraId="732F5F88"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H-shaped</w:t>
            </w:r>
          </w:p>
        </w:tc>
      </w:tr>
      <w:tr w:rsidR="005131AB" w:rsidRPr="006E59F1" w14:paraId="41A0F489"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2A92152" w14:textId="77777777" w:rsidR="005131AB" w:rsidRPr="006E59F1" w:rsidRDefault="005131AB" w:rsidP="001E626B">
            <w:pPr>
              <w:spacing w:line="360" w:lineRule="auto"/>
              <w:rPr>
                <w:rFonts w:ascii="Times New Roman" w:hAnsi="Times New Roman" w:cs="Times New Roman"/>
                <w:b w:val="0"/>
                <w:bCs w:val="0"/>
                <w:sz w:val="20"/>
                <w:szCs w:val="20"/>
              </w:rPr>
            </w:pPr>
            <w:r w:rsidRPr="006E59F1">
              <w:rPr>
                <w:rFonts w:ascii="Times New Roman" w:hAnsi="Times New Roman" w:cs="Times New Roman"/>
                <w:b w:val="0"/>
                <w:bCs w:val="0"/>
                <w:sz w:val="20"/>
                <w:szCs w:val="20"/>
              </w:rPr>
              <w:t>Embedment depth</w:t>
            </w:r>
          </w:p>
        </w:tc>
        <w:tc>
          <w:tcPr>
            <w:tcW w:w="1701" w:type="dxa"/>
          </w:tcPr>
          <w:p w14:paraId="1D700E0C"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15m</w:t>
            </w:r>
          </w:p>
        </w:tc>
        <w:tc>
          <w:tcPr>
            <w:tcW w:w="1701" w:type="dxa"/>
          </w:tcPr>
          <w:p w14:paraId="6ED7B23B"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129.64</w:t>
            </w:r>
          </w:p>
        </w:tc>
        <w:tc>
          <w:tcPr>
            <w:tcW w:w="1701" w:type="dxa"/>
          </w:tcPr>
          <w:p w14:paraId="63DD7366"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94.53</w:t>
            </w:r>
          </w:p>
        </w:tc>
      </w:tr>
      <w:tr w:rsidR="005131AB" w:rsidRPr="006E59F1" w14:paraId="1277C6BA"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56D1F57F"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4FC3FF26"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30m</w:t>
            </w:r>
          </w:p>
        </w:tc>
        <w:tc>
          <w:tcPr>
            <w:tcW w:w="1701" w:type="dxa"/>
          </w:tcPr>
          <w:p w14:paraId="2D2031DE"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150.90</w:t>
            </w:r>
          </w:p>
        </w:tc>
        <w:tc>
          <w:tcPr>
            <w:tcW w:w="1701" w:type="dxa"/>
          </w:tcPr>
          <w:p w14:paraId="4725DC0D"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100.02</w:t>
            </w:r>
          </w:p>
        </w:tc>
      </w:tr>
      <w:tr w:rsidR="005131AB" w:rsidRPr="006E59F1" w14:paraId="571AF7A2"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180F858B"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2682F346"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45m</w:t>
            </w:r>
          </w:p>
        </w:tc>
        <w:tc>
          <w:tcPr>
            <w:tcW w:w="1701" w:type="dxa"/>
          </w:tcPr>
          <w:p w14:paraId="08BB8CBD"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141.07</w:t>
            </w:r>
          </w:p>
        </w:tc>
        <w:tc>
          <w:tcPr>
            <w:tcW w:w="1701" w:type="dxa"/>
          </w:tcPr>
          <w:p w14:paraId="1E12ED01"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117.62</w:t>
            </w:r>
          </w:p>
        </w:tc>
      </w:tr>
      <w:tr w:rsidR="005131AB" w:rsidRPr="006E59F1" w14:paraId="0A576410"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409AEB80" w14:textId="77777777" w:rsidR="005131AB" w:rsidRPr="006E59F1" w:rsidRDefault="005131AB" w:rsidP="001E626B">
            <w:pPr>
              <w:spacing w:line="360" w:lineRule="auto"/>
              <w:rPr>
                <w:rFonts w:ascii="Times New Roman" w:hAnsi="Times New Roman" w:cs="Times New Roman"/>
                <w:b w:val="0"/>
                <w:bCs w:val="0"/>
                <w:sz w:val="20"/>
                <w:szCs w:val="20"/>
              </w:rPr>
            </w:pPr>
            <w:r w:rsidRPr="006E59F1">
              <w:rPr>
                <w:rFonts w:ascii="Times New Roman" w:hAnsi="Times New Roman" w:cs="Times New Roman"/>
                <w:b w:val="0"/>
                <w:bCs w:val="0"/>
                <w:sz w:val="20"/>
                <w:szCs w:val="20"/>
              </w:rPr>
              <w:t>Thickness</w:t>
            </w:r>
          </w:p>
        </w:tc>
        <w:tc>
          <w:tcPr>
            <w:tcW w:w="1701" w:type="dxa"/>
          </w:tcPr>
          <w:p w14:paraId="12496BB0"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10mm</w:t>
            </w:r>
          </w:p>
        </w:tc>
        <w:tc>
          <w:tcPr>
            <w:tcW w:w="1701" w:type="dxa"/>
          </w:tcPr>
          <w:p w14:paraId="25B4FEC7"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91.77</w:t>
            </w:r>
          </w:p>
        </w:tc>
        <w:tc>
          <w:tcPr>
            <w:tcW w:w="1701" w:type="dxa"/>
          </w:tcPr>
          <w:p w14:paraId="2B9EE8D8"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71.43</w:t>
            </w:r>
          </w:p>
        </w:tc>
      </w:tr>
      <w:tr w:rsidR="005131AB" w:rsidRPr="006E59F1" w14:paraId="58B41A5C"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55A67920"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6E81AD1E"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25mm</w:t>
            </w:r>
          </w:p>
        </w:tc>
        <w:tc>
          <w:tcPr>
            <w:tcW w:w="1701" w:type="dxa"/>
          </w:tcPr>
          <w:p w14:paraId="7FDB58B2"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129.64</w:t>
            </w:r>
          </w:p>
        </w:tc>
        <w:tc>
          <w:tcPr>
            <w:tcW w:w="1701" w:type="dxa"/>
          </w:tcPr>
          <w:p w14:paraId="1CE6AE29"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94.53</w:t>
            </w:r>
          </w:p>
        </w:tc>
      </w:tr>
      <w:tr w:rsidR="005131AB" w:rsidRPr="006E59F1" w14:paraId="5A16D7FC"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10640F7F"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69B326F8"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50mm</w:t>
            </w:r>
          </w:p>
        </w:tc>
        <w:tc>
          <w:tcPr>
            <w:tcW w:w="1701" w:type="dxa"/>
          </w:tcPr>
          <w:p w14:paraId="18EADBE7"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142.02</w:t>
            </w:r>
          </w:p>
        </w:tc>
        <w:tc>
          <w:tcPr>
            <w:tcW w:w="1701" w:type="dxa"/>
          </w:tcPr>
          <w:p w14:paraId="0502DE4D"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119.29</w:t>
            </w:r>
          </w:p>
        </w:tc>
      </w:tr>
      <w:tr w:rsidR="005131AB" w:rsidRPr="006E59F1" w14:paraId="19A10940"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3968B83D" w14:textId="77777777" w:rsidR="005131AB" w:rsidRPr="006E59F1" w:rsidRDefault="005131AB" w:rsidP="001E626B">
            <w:pPr>
              <w:spacing w:line="360" w:lineRule="auto"/>
              <w:rPr>
                <w:rFonts w:ascii="Times New Roman" w:hAnsi="Times New Roman" w:cs="Times New Roman"/>
                <w:b w:val="0"/>
                <w:bCs w:val="0"/>
                <w:sz w:val="20"/>
                <w:szCs w:val="20"/>
              </w:rPr>
            </w:pPr>
            <w:r w:rsidRPr="006E59F1">
              <w:rPr>
                <w:rFonts w:ascii="Times New Roman" w:hAnsi="Times New Roman" w:cs="Times New Roman"/>
                <w:b w:val="0"/>
                <w:bCs w:val="0"/>
                <w:sz w:val="20"/>
                <w:szCs w:val="20"/>
              </w:rPr>
              <w:t>Diameter</w:t>
            </w:r>
          </w:p>
        </w:tc>
        <w:tc>
          <w:tcPr>
            <w:tcW w:w="1701" w:type="dxa"/>
          </w:tcPr>
          <w:p w14:paraId="0170BFE6"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25mm</w:t>
            </w:r>
          </w:p>
        </w:tc>
        <w:tc>
          <w:tcPr>
            <w:tcW w:w="1701" w:type="dxa"/>
          </w:tcPr>
          <w:p w14:paraId="5D7E95D2"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129.64</w:t>
            </w:r>
          </w:p>
        </w:tc>
        <w:tc>
          <w:tcPr>
            <w:tcW w:w="1701" w:type="dxa"/>
          </w:tcPr>
          <w:p w14:paraId="5C468D21"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94.53</w:t>
            </w:r>
          </w:p>
        </w:tc>
      </w:tr>
      <w:tr w:rsidR="005131AB" w:rsidRPr="006E59F1" w14:paraId="22A568A0"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51ECA30E"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7E3842DF"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32mm</w:t>
            </w:r>
          </w:p>
        </w:tc>
        <w:tc>
          <w:tcPr>
            <w:tcW w:w="1701" w:type="dxa"/>
          </w:tcPr>
          <w:p w14:paraId="4F6A6FB4"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84.05</w:t>
            </w:r>
          </w:p>
        </w:tc>
        <w:tc>
          <w:tcPr>
            <w:tcW w:w="1701" w:type="dxa"/>
          </w:tcPr>
          <w:p w14:paraId="414C2E9F"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56.77</w:t>
            </w:r>
          </w:p>
        </w:tc>
      </w:tr>
      <w:tr w:rsidR="005131AB" w:rsidRPr="006E59F1" w14:paraId="250DC54F"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3EAB73F4"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528C2976"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40mm</w:t>
            </w:r>
          </w:p>
        </w:tc>
        <w:tc>
          <w:tcPr>
            <w:tcW w:w="1701" w:type="dxa"/>
          </w:tcPr>
          <w:p w14:paraId="661F7B31"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56.83</w:t>
            </w:r>
          </w:p>
        </w:tc>
        <w:tc>
          <w:tcPr>
            <w:tcW w:w="1701" w:type="dxa"/>
          </w:tcPr>
          <w:p w14:paraId="60C5F325"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41.67</w:t>
            </w:r>
          </w:p>
        </w:tc>
      </w:tr>
      <w:tr w:rsidR="005131AB" w:rsidRPr="006E59F1" w14:paraId="0BE49E7E"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val="restart"/>
          </w:tcPr>
          <w:p w14:paraId="1C572CA3" w14:textId="77777777" w:rsidR="005131AB" w:rsidRPr="006E59F1" w:rsidRDefault="005131AB" w:rsidP="001E626B">
            <w:pPr>
              <w:spacing w:line="360" w:lineRule="auto"/>
              <w:rPr>
                <w:rFonts w:ascii="Times New Roman" w:hAnsi="Times New Roman" w:cs="Times New Roman"/>
                <w:b w:val="0"/>
                <w:bCs w:val="0"/>
                <w:sz w:val="20"/>
                <w:szCs w:val="20"/>
              </w:rPr>
            </w:pPr>
            <w:r w:rsidRPr="006E59F1">
              <w:rPr>
                <w:rFonts w:ascii="Times New Roman" w:hAnsi="Times New Roman" w:cs="Times New Roman"/>
                <w:b w:val="0"/>
                <w:bCs w:val="0"/>
                <w:sz w:val="20"/>
                <w:szCs w:val="20"/>
              </w:rPr>
              <w:t>Relative density</w:t>
            </w:r>
          </w:p>
        </w:tc>
        <w:tc>
          <w:tcPr>
            <w:tcW w:w="1701" w:type="dxa"/>
          </w:tcPr>
          <w:p w14:paraId="575820E3"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30%</w:t>
            </w:r>
          </w:p>
        </w:tc>
        <w:tc>
          <w:tcPr>
            <w:tcW w:w="1701" w:type="dxa"/>
          </w:tcPr>
          <w:p w14:paraId="6AF27CBA"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129.64</w:t>
            </w:r>
          </w:p>
        </w:tc>
        <w:tc>
          <w:tcPr>
            <w:tcW w:w="1701" w:type="dxa"/>
          </w:tcPr>
          <w:p w14:paraId="73A7EAB9"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71.43</w:t>
            </w:r>
          </w:p>
        </w:tc>
      </w:tr>
      <w:tr w:rsidR="005131AB" w:rsidRPr="006E59F1" w14:paraId="408C86B2"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5CA0EECF"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24F66D64"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50%</w:t>
            </w:r>
          </w:p>
        </w:tc>
        <w:tc>
          <w:tcPr>
            <w:tcW w:w="1701" w:type="dxa"/>
          </w:tcPr>
          <w:p w14:paraId="1CCF6847"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169.70</w:t>
            </w:r>
          </w:p>
        </w:tc>
        <w:tc>
          <w:tcPr>
            <w:tcW w:w="1701" w:type="dxa"/>
          </w:tcPr>
          <w:p w14:paraId="5BE02231" w14:textId="77777777" w:rsidR="005131AB" w:rsidRPr="006E59F1" w:rsidRDefault="005131AB" w:rsidP="001E626B">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118.56</w:t>
            </w:r>
          </w:p>
        </w:tc>
      </w:tr>
      <w:tr w:rsidR="005131AB" w:rsidRPr="006E59F1" w14:paraId="39206C02"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405" w:type="dxa"/>
            <w:vMerge/>
          </w:tcPr>
          <w:p w14:paraId="6A182CC9" w14:textId="77777777" w:rsidR="005131AB" w:rsidRPr="006E59F1" w:rsidRDefault="005131AB" w:rsidP="001E626B">
            <w:pPr>
              <w:spacing w:line="360" w:lineRule="auto"/>
              <w:rPr>
                <w:rFonts w:ascii="Times New Roman" w:hAnsi="Times New Roman" w:cs="Times New Roman"/>
                <w:b w:val="0"/>
                <w:bCs w:val="0"/>
                <w:sz w:val="20"/>
                <w:szCs w:val="20"/>
              </w:rPr>
            </w:pPr>
          </w:p>
        </w:tc>
        <w:tc>
          <w:tcPr>
            <w:tcW w:w="1701" w:type="dxa"/>
          </w:tcPr>
          <w:p w14:paraId="3C7AF7DB"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85%</w:t>
            </w:r>
          </w:p>
        </w:tc>
        <w:tc>
          <w:tcPr>
            <w:tcW w:w="1701" w:type="dxa"/>
          </w:tcPr>
          <w:p w14:paraId="5483686B"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343.19</w:t>
            </w:r>
          </w:p>
        </w:tc>
        <w:tc>
          <w:tcPr>
            <w:tcW w:w="1701" w:type="dxa"/>
          </w:tcPr>
          <w:p w14:paraId="5049C53C" w14:textId="77777777" w:rsidR="005131AB" w:rsidRPr="006E59F1" w:rsidRDefault="005131AB" w:rsidP="001E62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6E59F1">
              <w:rPr>
                <w:rFonts w:ascii="Times New Roman" w:hAnsi="Times New Roman" w:cs="Times New Roman"/>
                <w:color w:val="000000"/>
                <w:sz w:val="20"/>
                <w:szCs w:val="20"/>
              </w:rPr>
              <w:t>217</w:t>
            </w:r>
            <w:r>
              <w:rPr>
                <w:rFonts w:ascii="Times New Roman" w:hAnsi="Times New Roman" w:cs="Times New Roman"/>
                <w:color w:val="000000"/>
                <w:sz w:val="20"/>
                <w:szCs w:val="20"/>
              </w:rPr>
              <w:t>.00</w:t>
            </w:r>
          </w:p>
        </w:tc>
      </w:tr>
    </w:tbl>
    <w:p w14:paraId="2BDC6112" w14:textId="77777777" w:rsidR="005131AB" w:rsidRDefault="005131AB" w:rsidP="005131AB"/>
    <w:p w14:paraId="4084A8EF" w14:textId="77777777" w:rsidR="005131AB" w:rsidRDefault="005131AB" w:rsidP="005131AB"/>
    <w:p w14:paraId="3C51B7E9" w14:textId="77777777" w:rsidR="005131AB" w:rsidRDefault="005131AB" w:rsidP="005131AB"/>
    <w:p w14:paraId="26092C61" w14:textId="77777777" w:rsidR="005131AB" w:rsidRDefault="005131AB" w:rsidP="005131AB"/>
    <w:p w14:paraId="48F84AB2" w14:textId="77777777" w:rsidR="005131AB" w:rsidRDefault="005131AB" w:rsidP="005131AB"/>
    <w:p w14:paraId="7856771C" w14:textId="77777777" w:rsidR="005131AB" w:rsidRDefault="005131AB" w:rsidP="005131AB"/>
    <w:p w14:paraId="28247552" w14:textId="77777777" w:rsidR="005131AB" w:rsidRDefault="005131AB" w:rsidP="005131AB"/>
    <w:p w14:paraId="19B57FEA" w14:textId="77777777" w:rsidR="005131AB" w:rsidRDefault="005131AB" w:rsidP="005131AB"/>
    <w:p w14:paraId="62F90587" w14:textId="77777777" w:rsidR="005131AB" w:rsidRDefault="005131AB" w:rsidP="005131AB"/>
    <w:p w14:paraId="0655FDDD" w14:textId="77777777" w:rsidR="005131AB" w:rsidRDefault="005131AB" w:rsidP="005131AB"/>
    <w:p w14:paraId="2BF8B764" w14:textId="77777777" w:rsidR="005131AB" w:rsidRDefault="005131AB" w:rsidP="005131AB"/>
    <w:p w14:paraId="7FA04254" w14:textId="77777777" w:rsidR="005131AB" w:rsidRDefault="005131AB" w:rsidP="005131AB"/>
    <w:p w14:paraId="421D89E6" w14:textId="77777777" w:rsidR="005131AB" w:rsidRDefault="005131AB" w:rsidP="005131AB"/>
    <w:p w14:paraId="0240204A" w14:textId="77777777" w:rsidR="005131AB" w:rsidRDefault="005131AB" w:rsidP="005131AB"/>
    <w:p w14:paraId="7123614A" w14:textId="77777777" w:rsidR="005131AB" w:rsidRDefault="005131AB" w:rsidP="005131AB"/>
    <w:p w14:paraId="5485CAF1" w14:textId="77777777" w:rsidR="005131AB" w:rsidRDefault="005131AB" w:rsidP="005131AB"/>
    <w:p w14:paraId="1C8BC2AC" w14:textId="77777777" w:rsidR="005131AB" w:rsidRDefault="005131AB" w:rsidP="005131AB"/>
    <w:p w14:paraId="75584CBE" w14:textId="77777777" w:rsidR="005131AB" w:rsidRDefault="005131AB" w:rsidP="005131AB"/>
    <w:p w14:paraId="57850557" w14:textId="77777777" w:rsidR="005131AB" w:rsidRPr="007E008A" w:rsidRDefault="005131AB" w:rsidP="005131AB">
      <w:pPr>
        <w:rPr>
          <w:rFonts w:ascii="Times New Roman" w:hAnsi="Times New Roman" w:cs="Times New Roman"/>
        </w:rPr>
      </w:pPr>
      <w:r w:rsidRPr="007E008A">
        <w:rPr>
          <w:rFonts w:ascii="Times New Roman" w:hAnsi="Times New Roman" w:cs="Times New Roman"/>
        </w:rPr>
        <w:lastRenderedPageBreak/>
        <w:t xml:space="preserve">Table 4 </w:t>
      </w:r>
      <w:proofErr w:type="spellStart"/>
      <w:r w:rsidRPr="007E008A">
        <w:rPr>
          <w:rFonts w:ascii="Times New Roman" w:hAnsi="Times New Roman" w:cs="Times New Roman"/>
        </w:rPr>
        <w:t>Pullout</w:t>
      </w:r>
      <w:proofErr w:type="spellEnd"/>
      <w:r w:rsidRPr="007E008A">
        <w:rPr>
          <w:rFonts w:ascii="Times New Roman" w:hAnsi="Times New Roman" w:cs="Times New Roman"/>
        </w:rPr>
        <w:t xml:space="preserve"> capacity of square and H shaped multiplate anchors</w:t>
      </w:r>
    </w:p>
    <w:tbl>
      <w:tblPr>
        <w:tblStyle w:val="PlainTable2"/>
        <w:tblW w:w="5000" w:type="pct"/>
        <w:jc w:val="center"/>
        <w:tblLook w:val="04A0" w:firstRow="1" w:lastRow="0" w:firstColumn="1" w:lastColumn="0" w:noHBand="0" w:noVBand="1"/>
      </w:tblPr>
      <w:tblGrid>
        <w:gridCol w:w="3010"/>
        <w:gridCol w:w="3009"/>
        <w:gridCol w:w="3007"/>
      </w:tblGrid>
      <w:tr w:rsidR="005131AB" w:rsidRPr="006E59F1" w14:paraId="6E3DF4A2" w14:textId="77777777" w:rsidTr="001E626B">
        <w:trPr>
          <w:cnfStyle w:val="100000000000" w:firstRow="1" w:lastRow="0" w:firstColumn="0" w:lastColumn="0" w:oddVBand="0" w:evenVBand="0" w:oddHBand="0"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667" w:type="pct"/>
            <w:vMerge w:val="restart"/>
          </w:tcPr>
          <w:p w14:paraId="252ABF3C" w14:textId="77777777" w:rsidR="005131AB" w:rsidRPr="006E59F1" w:rsidRDefault="005131AB" w:rsidP="001E626B">
            <w:pPr>
              <w:spacing w:line="360" w:lineRule="auto"/>
              <w:rPr>
                <w:rFonts w:ascii="Times New Roman" w:hAnsi="Times New Roman" w:cs="Times New Roman"/>
                <w:b w:val="0"/>
                <w:bCs w:val="0"/>
                <w:sz w:val="20"/>
                <w:szCs w:val="20"/>
              </w:rPr>
            </w:pPr>
            <w:r w:rsidRPr="006E59F1">
              <w:rPr>
                <w:rFonts w:ascii="Times New Roman" w:hAnsi="Times New Roman" w:cs="Times New Roman"/>
                <w:b w:val="0"/>
                <w:bCs w:val="0"/>
                <w:sz w:val="20"/>
                <w:szCs w:val="20"/>
              </w:rPr>
              <w:t>Spacing</w:t>
            </w:r>
          </w:p>
        </w:tc>
        <w:tc>
          <w:tcPr>
            <w:tcW w:w="3333" w:type="pct"/>
            <w:gridSpan w:val="2"/>
          </w:tcPr>
          <w:p w14:paraId="73F73876" w14:textId="77777777" w:rsidR="005131AB" w:rsidRPr="006E59F1" w:rsidRDefault="005131AB" w:rsidP="001E626B">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roofErr w:type="spellStart"/>
            <w:r w:rsidRPr="006E59F1">
              <w:rPr>
                <w:rFonts w:ascii="Times New Roman" w:hAnsi="Times New Roman" w:cs="Times New Roman"/>
                <w:b w:val="0"/>
                <w:bCs w:val="0"/>
                <w:sz w:val="20"/>
                <w:szCs w:val="20"/>
              </w:rPr>
              <w:t>Pullout</w:t>
            </w:r>
            <w:proofErr w:type="spellEnd"/>
            <w:r w:rsidRPr="006E59F1">
              <w:rPr>
                <w:rFonts w:ascii="Times New Roman" w:hAnsi="Times New Roman" w:cs="Times New Roman"/>
                <w:b w:val="0"/>
                <w:bCs w:val="0"/>
                <w:sz w:val="20"/>
                <w:szCs w:val="20"/>
              </w:rPr>
              <w:t xml:space="preserve"> capacity (MPa)</w:t>
            </w:r>
          </w:p>
        </w:tc>
      </w:tr>
      <w:tr w:rsidR="005131AB" w:rsidRPr="006E59F1" w14:paraId="441417B7" w14:textId="77777777" w:rsidTr="001E626B">
        <w:trPr>
          <w:cnfStyle w:val="000000100000" w:firstRow="0" w:lastRow="0" w:firstColumn="0" w:lastColumn="0" w:oddVBand="0" w:evenVBand="0" w:oddHBand="1" w:evenHBand="0" w:firstRowFirstColumn="0" w:firstRowLastColumn="0" w:lastRowFirstColumn="0" w:lastRowLastColumn="0"/>
          <w:trHeight w:val="320"/>
          <w:jc w:val="center"/>
        </w:trPr>
        <w:tc>
          <w:tcPr>
            <w:cnfStyle w:val="001000000000" w:firstRow="0" w:lastRow="0" w:firstColumn="1" w:lastColumn="0" w:oddVBand="0" w:evenVBand="0" w:oddHBand="0" w:evenHBand="0" w:firstRowFirstColumn="0" w:firstRowLastColumn="0" w:lastRowFirstColumn="0" w:lastRowLastColumn="0"/>
            <w:tcW w:w="1667" w:type="pct"/>
            <w:vMerge/>
          </w:tcPr>
          <w:p w14:paraId="59DEEF19" w14:textId="77777777" w:rsidR="005131AB" w:rsidRPr="006E59F1" w:rsidRDefault="005131AB" w:rsidP="001E626B">
            <w:pPr>
              <w:spacing w:line="360" w:lineRule="auto"/>
              <w:rPr>
                <w:rFonts w:ascii="Times New Roman" w:hAnsi="Times New Roman" w:cs="Times New Roman"/>
                <w:sz w:val="20"/>
                <w:szCs w:val="20"/>
              </w:rPr>
            </w:pPr>
          </w:p>
        </w:tc>
        <w:tc>
          <w:tcPr>
            <w:tcW w:w="1667" w:type="pct"/>
          </w:tcPr>
          <w:p w14:paraId="588782D9" w14:textId="77777777" w:rsidR="005131AB" w:rsidRPr="006E59F1" w:rsidRDefault="005131AB" w:rsidP="001E6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Square</w:t>
            </w:r>
          </w:p>
        </w:tc>
        <w:tc>
          <w:tcPr>
            <w:tcW w:w="1666" w:type="pct"/>
          </w:tcPr>
          <w:p w14:paraId="61B3A6D5" w14:textId="77777777" w:rsidR="005131AB" w:rsidRPr="006E59F1" w:rsidRDefault="005131AB" w:rsidP="001E6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H-shaped</w:t>
            </w:r>
          </w:p>
        </w:tc>
      </w:tr>
      <w:tr w:rsidR="005131AB" w:rsidRPr="006E59F1" w14:paraId="1926018F"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1667" w:type="pct"/>
          </w:tcPr>
          <w:p w14:paraId="51DE9541" w14:textId="77777777" w:rsidR="005131AB" w:rsidRPr="006E59F1" w:rsidRDefault="005131AB" w:rsidP="001E626B">
            <w:pPr>
              <w:spacing w:line="360" w:lineRule="auto"/>
              <w:rPr>
                <w:rFonts w:ascii="Times New Roman" w:hAnsi="Times New Roman" w:cs="Times New Roman"/>
                <w:sz w:val="20"/>
                <w:szCs w:val="20"/>
              </w:rPr>
            </w:pPr>
            <w:r w:rsidRPr="006E59F1">
              <w:rPr>
                <w:rFonts w:ascii="Times New Roman" w:hAnsi="Times New Roman" w:cs="Times New Roman"/>
                <w:sz w:val="20"/>
                <w:szCs w:val="20"/>
              </w:rPr>
              <w:t>1d</w:t>
            </w:r>
          </w:p>
        </w:tc>
        <w:tc>
          <w:tcPr>
            <w:tcW w:w="1667" w:type="pct"/>
          </w:tcPr>
          <w:p w14:paraId="6310CD48" w14:textId="77777777" w:rsidR="005131AB" w:rsidRPr="006E59F1" w:rsidRDefault="005131AB" w:rsidP="001E62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307.28</w:t>
            </w:r>
          </w:p>
        </w:tc>
        <w:tc>
          <w:tcPr>
            <w:tcW w:w="1666" w:type="pct"/>
          </w:tcPr>
          <w:p w14:paraId="16A027DD" w14:textId="77777777" w:rsidR="005131AB" w:rsidRPr="006E59F1" w:rsidRDefault="005131AB" w:rsidP="001E62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sz w:val="20"/>
                <w:szCs w:val="20"/>
              </w:rPr>
              <w:t>182.56</w:t>
            </w:r>
          </w:p>
        </w:tc>
      </w:tr>
      <w:tr w:rsidR="005131AB" w:rsidRPr="006E59F1" w14:paraId="5B1FF683"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Pr>
          <w:p w14:paraId="62168E3C" w14:textId="77777777" w:rsidR="005131AB" w:rsidRPr="006E59F1" w:rsidRDefault="005131AB" w:rsidP="001E626B">
            <w:pPr>
              <w:spacing w:line="360" w:lineRule="auto"/>
              <w:rPr>
                <w:rFonts w:ascii="Times New Roman" w:hAnsi="Times New Roman" w:cs="Times New Roman"/>
                <w:sz w:val="20"/>
                <w:szCs w:val="20"/>
              </w:rPr>
            </w:pPr>
            <w:r w:rsidRPr="006E59F1">
              <w:rPr>
                <w:rFonts w:ascii="Times New Roman" w:hAnsi="Times New Roman" w:cs="Times New Roman"/>
                <w:sz w:val="20"/>
                <w:szCs w:val="20"/>
              </w:rPr>
              <w:t>2d</w:t>
            </w:r>
          </w:p>
        </w:tc>
        <w:tc>
          <w:tcPr>
            <w:tcW w:w="1667" w:type="pct"/>
          </w:tcPr>
          <w:p w14:paraId="165B71FC" w14:textId="77777777" w:rsidR="005131AB" w:rsidRPr="006E59F1" w:rsidRDefault="005131AB" w:rsidP="001E6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340.54</w:t>
            </w:r>
          </w:p>
        </w:tc>
        <w:tc>
          <w:tcPr>
            <w:tcW w:w="1666" w:type="pct"/>
          </w:tcPr>
          <w:p w14:paraId="4D309063" w14:textId="77777777" w:rsidR="005131AB" w:rsidRPr="006E59F1" w:rsidRDefault="005131AB" w:rsidP="001E6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sz w:val="20"/>
                <w:szCs w:val="20"/>
              </w:rPr>
              <w:t>238.56</w:t>
            </w:r>
          </w:p>
        </w:tc>
      </w:tr>
      <w:tr w:rsidR="005131AB" w:rsidRPr="006E59F1" w14:paraId="603A9611" w14:textId="77777777" w:rsidTr="001E626B">
        <w:trPr>
          <w:jc w:val="center"/>
        </w:trPr>
        <w:tc>
          <w:tcPr>
            <w:cnfStyle w:val="001000000000" w:firstRow="0" w:lastRow="0" w:firstColumn="1" w:lastColumn="0" w:oddVBand="0" w:evenVBand="0" w:oddHBand="0" w:evenHBand="0" w:firstRowFirstColumn="0" w:firstRowLastColumn="0" w:lastRowFirstColumn="0" w:lastRowLastColumn="0"/>
            <w:tcW w:w="1667" w:type="pct"/>
          </w:tcPr>
          <w:p w14:paraId="7440E38B" w14:textId="77777777" w:rsidR="005131AB" w:rsidRPr="006E59F1" w:rsidRDefault="005131AB" w:rsidP="001E626B">
            <w:pPr>
              <w:spacing w:line="360" w:lineRule="auto"/>
              <w:rPr>
                <w:rFonts w:ascii="Times New Roman" w:hAnsi="Times New Roman" w:cs="Times New Roman"/>
                <w:sz w:val="20"/>
                <w:szCs w:val="20"/>
              </w:rPr>
            </w:pPr>
            <w:r w:rsidRPr="006E59F1">
              <w:rPr>
                <w:rFonts w:ascii="Times New Roman" w:hAnsi="Times New Roman" w:cs="Times New Roman"/>
                <w:sz w:val="20"/>
                <w:szCs w:val="20"/>
              </w:rPr>
              <w:t>3d</w:t>
            </w:r>
          </w:p>
        </w:tc>
        <w:tc>
          <w:tcPr>
            <w:tcW w:w="1667" w:type="pct"/>
          </w:tcPr>
          <w:p w14:paraId="7866312C" w14:textId="77777777" w:rsidR="005131AB" w:rsidRPr="006E59F1" w:rsidRDefault="005131AB" w:rsidP="001E62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360.57</w:t>
            </w:r>
          </w:p>
        </w:tc>
        <w:tc>
          <w:tcPr>
            <w:tcW w:w="1666" w:type="pct"/>
          </w:tcPr>
          <w:p w14:paraId="0379518F" w14:textId="77777777" w:rsidR="005131AB" w:rsidRPr="006E59F1" w:rsidRDefault="005131AB" w:rsidP="001E626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sz w:val="20"/>
                <w:szCs w:val="20"/>
              </w:rPr>
              <w:t>265.02</w:t>
            </w:r>
          </w:p>
        </w:tc>
      </w:tr>
      <w:tr w:rsidR="005131AB" w:rsidRPr="006E59F1" w14:paraId="1FA6407A" w14:textId="77777777" w:rsidTr="001E626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7" w:type="pct"/>
          </w:tcPr>
          <w:p w14:paraId="429BF014" w14:textId="77777777" w:rsidR="005131AB" w:rsidRPr="006E59F1" w:rsidRDefault="005131AB" w:rsidP="001E626B">
            <w:pPr>
              <w:spacing w:line="360" w:lineRule="auto"/>
              <w:rPr>
                <w:rFonts w:ascii="Times New Roman" w:hAnsi="Times New Roman" w:cs="Times New Roman"/>
                <w:sz w:val="20"/>
                <w:szCs w:val="20"/>
              </w:rPr>
            </w:pPr>
            <w:r w:rsidRPr="006E59F1">
              <w:rPr>
                <w:rFonts w:ascii="Times New Roman" w:hAnsi="Times New Roman" w:cs="Times New Roman"/>
                <w:sz w:val="20"/>
                <w:szCs w:val="20"/>
              </w:rPr>
              <w:t>4d</w:t>
            </w:r>
          </w:p>
        </w:tc>
        <w:tc>
          <w:tcPr>
            <w:tcW w:w="1667" w:type="pct"/>
          </w:tcPr>
          <w:p w14:paraId="73560A4D" w14:textId="77777777" w:rsidR="005131AB" w:rsidRPr="006E59F1" w:rsidRDefault="005131AB" w:rsidP="001E6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sz w:val="20"/>
                <w:szCs w:val="20"/>
              </w:rPr>
              <w:t>343.45</w:t>
            </w:r>
          </w:p>
        </w:tc>
        <w:tc>
          <w:tcPr>
            <w:tcW w:w="1666" w:type="pct"/>
          </w:tcPr>
          <w:p w14:paraId="46D62069" w14:textId="77777777" w:rsidR="005131AB" w:rsidRPr="006E59F1" w:rsidRDefault="005131AB" w:rsidP="001E626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6E59F1">
              <w:rPr>
                <w:rFonts w:ascii="Times New Roman" w:hAnsi="Times New Roman" w:cs="Times New Roman"/>
                <w:color w:val="000000"/>
                <w:sz w:val="20"/>
                <w:szCs w:val="20"/>
              </w:rPr>
              <w:t>253.55</w:t>
            </w:r>
          </w:p>
        </w:tc>
      </w:tr>
    </w:tbl>
    <w:p w14:paraId="4804441D" w14:textId="77777777" w:rsidR="005131AB" w:rsidRDefault="005131AB" w:rsidP="005131AB"/>
    <w:p w14:paraId="66B5E46D" w14:textId="77777777" w:rsidR="005131AB" w:rsidRDefault="005131AB" w:rsidP="005131AB"/>
    <w:p w14:paraId="6B0905E8" w14:textId="77777777" w:rsidR="005131AB" w:rsidRDefault="005131AB" w:rsidP="005131AB"/>
    <w:p w14:paraId="54348D17" w14:textId="77777777" w:rsidR="005131AB" w:rsidRDefault="005131AB" w:rsidP="005131AB"/>
    <w:p w14:paraId="7F159646" w14:textId="77777777" w:rsidR="005131AB" w:rsidRDefault="005131AB" w:rsidP="005131AB"/>
    <w:p w14:paraId="43B760BF" w14:textId="77777777" w:rsidR="00433093" w:rsidRDefault="00433093" w:rsidP="005131AB"/>
    <w:p w14:paraId="4F21CA4B" w14:textId="77777777" w:rsidR="00433093" w:rsidRDefault="00433093" w:rsidP="005131AB"/>
    <w:p w14:paraId="4EDB9E90" w14:textId="77777777" w:rsidR="00433093" w:rsidRDefault="00433093" w:rsidP="005131AB"/>
    <w:p w14:paraId="023FF661" w14:textId="77777777" w:rsidR="00433093" w:rsidRDefault="00433093" w:rsidP="005131AB"/>
    <w:p w14:paraId="063E2AFC" w14:textId="77777777" w:rsidR="00433093" w:rsidRDefault="00433093" w:rsidP="005131AB"/>
    <w:p w14:paraId="1D8D1974" w14:textId="77777777" w:rsidR="00433093" w:rsidRDefault="00433093" w:rsidP="005131AB"/>
    <w:p w14:paraId="77758721" w14:textId="77777777" w:rsidR="00433093" w:rsidRDefault="00433093" w:rsidP="005131AB"/>
    <w:p w14:paraId="62ADDB99" w14:textId="77777777" w:rsidR="00433093" w:rsidRDefault="00433093" w:rsidP="005131AB"/>
    <w:p w14:paraId="04CFD121" w14:textId="77777777" w:rsidR="00433093" w:rsidRDefault="00433093" w:rsidP="005131AB"/>
    <w:p w14:paraId="3244337D" w14:textId="77777777" w:rsidR="00433093" w:rsidRDefault="00433093" w:rsidP="005131AB"/>
    <w:p w14:paraId="04A9CBDF" w14:textId="77777777" w:rsidR="00433093" w:rsidRDefault="00433093" w:rsidP="005131AB"/>
    <w:p w14:paraId="4F35B70B" w14:textId="77777777" w:rsidR="00433093" w:rsidRDefault="00433093" w:rsidP="005131AB"/>
    <w:p w14:paraId="79C3732B" w14:textId="77777777" w:rsidR="00433093" w:rsidRDefault="00433093" w:rsidP="005131AB"/>
    <w:p w14:paraId="03E0D08C" w14:textId="77777777" w:rsidR="00433093" w:rsidRDefault="00433093" w:rsidP="005131AB"/>
    <w:p w14:paraId="2D84C0AA" w14:textId="77777777" w:rsidR="00433093" w:rsidRDefault="00433093" w:rsidP="005131AB"/>
    <w:p w14:paraId="22A83C72" w14:textId="77777777" w:rsidR="00433093" w:rsidRDefault="00433093" w:rsidP="005131AB"/>
    <w:p w14:paraId="0F10E0A2" w14:textId="77777777" w:rsidR="00433093" w:rsidRDefault="00433093" w:rsidP="005131AB"/>
    <w:p w14:paraId="5ED0F3D9" w14:textId="77777777" w:rsidR="00433093" w:rsidRDefault="00433093" w:rsidP="005131AB"/>
    <w:p w14:paraId="3D35F92D" w14:textId="77777777" w:rsidR="00433093" w:rsidRDefault="00433093" w:rsidP="005131AB"/>
    <w:p w14:paraId="09BE1331" w14:textId="77777777" w:rsidR="00433093" w:rsidRDefault="00433093" w:rsidP="005131A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4"/>
        <w:gridCol w:w="2945"/>
        <w:gridCol w:w="2997"/>
      </w:tblGrid>
      <w:tr w:rsidR="00433093" w:rsidRPr="006E59F1" w14:paraId="0FE39CB4" w14:textId="77777777" w:rsidTr="001E626B">
        <w:trPr>
          <w:trHeight w:val="6653"/>
        </w:trPr>
        <w:tc>
          <w:tcPr>
            <w:tcW w:w="3011" w:type="dxa"/>
          </w:tcPr>
          <w:p w14:paraId="67301C97" w14:textId="77777777" w:rsidR="00433093" w:rsidRPr="006E59F1" w:rsidRDefault="00433093" w:rsidP="001E626B">
            <w:pPr>
              <w:keepNext/>
              <w:spacing w:line="360" w:lineRule="auto"/>
              <w:rPr>
                <w:sz w:val="20"/>
                <w:szCs w:val="20"/>
              </w:rPr>
            </w:pPr>
            <w:r w:rsidRPr="006E59F1">
              <w:rPr>
                <w:noProof/>
                <w:sz w:val="20"/>
                <w:szCs w:val="20"/>
              </w:rPr>
              <w:lastRenderedPageBreak/>
              <w:drawing>
                <wp:inline distT="0" distB="0" distL="0" distR="0" wp14:anchorId="4970122F" wp14:editId="6B76682B">
                  <wp:extent cx="1885070" cy="3816350"/>
                  <wp:effectExtent l="0" t="0" r="1270" b="0"/>
                  <wp:docPr id="20" name="Picture 2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go&#10;&#10;Description automatically generated with medium confidence"/>
                          <pic:cNvPicPr/>
                        </pic:nvPicPr>
                        <pic:blipFill>
                          <a:blip r:embed="rId9"/>
                          <a:stretch>
                            <a:fillRect/>
                          </a:stretch>
                        </pic:blipFill>
                        <pic:spPr>
                          <a:xfrm>
                            <a:off x="0" y="0"/>
                            <a:ext cx="1889706" cy="3825736"/>
                          </a:xfrm>
                          <a:prstGeom prst="rect">
                            <a:avLst/>
                          </a:prstGeom>
                        </pic:spPr>
                      </pic:pic>
                    </a:graphicData>
                  </a:graphic>
                </wp:inline>
              </w:drawing>
            </w:r>
          </w:p>
          <w:p w14:paraId="3BC5AE0A" w14:textId="77777777" w:rsidR="00433093" w:rsidRPr="006E59F1" w:rsidRDefault="00433093" w:rsidP="001E626B">
            <w:pPr>
              <w:pStyle w:val="Caption"/>
              <w:spacing w:after="0" w:line="360" w:lineRule="auto"/>
              <w:jc w:val="center"/>
              <w:rPr>
                <w:rFonts w:ascii="Times New Roman" w:hAnsi="Times New Roman" w:cs="Times New Roman"/>
                <w:i w:val="0"/>
                <w:iCs w:val="0"/>
                <w:color w:val="auto"/>
                <w:sz w:val="20"/>
                <w:szCs w:val="20"/>
              </w:rPr>
            </w:pPr>
            <w:r w:rsidRPr="006E59F1">
              <w:rPr>
                <w:rFonts w:ascii="Times New Roman" w:hAnsi="Times New Roman" w:cs="Times New Roman"/>
                <w:i w:val="0"/>
                <w:iCs w:val="0"/>
                <w:color w:val="auto"/>
                <w:sz w:val="20"/>
                <w:szCs w:val="20"/>
              </w:rPr>
              <w:t>(a)</w:t>
            </w:r>
          </w:p>
        </w:tc>
        <w:tc>
          <w:tcPr>
            <w:tcW w:w="2876" w:type="dxa"/>
          </w:tcPr>
          <w:p w14:paraId="29B27FAA"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38872452" wp14:editId="33892A71">
                  <wp:extent cx="1795387" cy="3809365"/>
                  <wp:effectExtent l="0" t="0" r="0" b="635"/>
                  <wp:docPr id="17" name="Picture 1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with medium confidence"/>
                          <pic:cNvPicPr/>
                        </pic:nvPicPr>
                        <pic:blipFill>
                          <a:blip r:embed="rId10"/>
                          <a:stretch>
                            <a:fillRect/>
                          </a:stretch>
                        </pic:blipFill>
                        <pic:spPr>
                          <a:xfrm>
                            <a:off x="0" y="0"/>
                            <a:ext cx="1798828" cy="3816667"/>
                          </a:xfrm>
                          <a:prstGeom prst="rect">
                            <a:avLst/>
                          </a:prstGeom>
                        </pic:spPr>
                      </pic:pic>
                    </a:graphicData>
                  </a:graphic>
                </wp:inline>
              </w:drawing>
            </w:r>
          </w:p>
          <w:p w14:paraId="3FD861EB" w14:textId="77777777" w:rsidR="00433093" w:rsidRPr="006E59F1" w:rsidRDefault="00433093" w:rsidP="001E626B">
            <w:pPr>
              <w:pStyle w:val="Caption"/>
              <w:spacing w:after="0" w:line="360" w:lineRule="auto"/>
              <w:jc w:val="center"/>
              <w:rPr>
                <w:rFonts w:ascii="Times New Roman" w:hAnsi="Times New Roman" w:cs="Times New Roman"/>
                <w:i w:val="0"/>
                <w:iCs w:val="0"/>
                <w:color w:val="auto"/>
                <w:sz w:val="20"/>
                <w:szCs w:val="20"/>
              </w:rPr>
            </w:pPr>
            <w:r w:rsidRPr="006E59F1">
              <w:rPr>
                <w:rFonts w:ascii="Times New Roman" w:hAnsi="Times New Roman" w:cs="Times New Roman"/>
                <w:i w:val="0"/>
                <w:iCs w:val="0"/>
                <w:color w:val="auto"/>
                <w:sz w:val="20"/>
                <w:szCs w:val="20"/>
              </w:rPr>
              <w:t>(b)</w:t>
            </w:r>
          </w:p>
        </w:tc>
        <w:tc>
          <w:tcPr>
            <w:tcW w:w="2927" w:type="dxa"/>
          </w:tcPr>
          <w:p w14:paraId="6B3140F2"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302E03EC" wp14:editId="70594A86">
                  <wp:extent cx="1829435" cy="3835400"/>
                  <wp:effectExtent l="0" t="0" r="0" b="0"/>
                  <wp:docPr id="15" name="Picture 1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icon&#10;&#10;Description automatically generated"/>
                          <pic:cNvPicPr/>
                        </pic:nvPicPr>
                        <pic:blipFill>
                          <a:blip r:embed="rId11"/>
                          <a:stretch>
                            <a:fillRect/>
                          </a:stretch>
                        </pic:blipFill>
                        <pic:spPr>
                          <a:xfrm>
                            <a:off x="0" y="0"/>
                            <a:ext cx="1833451" cy="3843820"/>
                          </a:xfrm>
                          <a:prstGeom prst="rect">
                            <a:avLst/>
                          </a:prstGeom>
                        </pic:spPr>
                      </pic:pic>
                    </a:graphicData>
                  </a:graphic>
                </wp:inline>
              </w:drawing>
            </w:r>
          </w:p>
          <w:p w14:paraId="5B95762E" w14:textId="77777777" w:rsidR="00433093" w:rsidRPr="006E59F1" w:rsidRDefault="00433093" w:rsidP="001E626B">
            <w:pPr>
              <w:pStyle w:val="Caption"/>
              <w:spacing w:line="360" w:lineRule="auto"/>
              <w:jc w:val="center"/>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(c)</w:t>
            </w:r>
          </w:p>
        </w:tc>
      </w:tr>
    </w:tbl>
    <w:p w14:paraId="29FF5EA3" w14:textId="77777777" w:rsidR="00433093" w:rsidRDefault="00433093" w:rsidP="00433093">
      <w:pPr>
        <w:spacing w:line="360" w:lineRule="auto"/>
        <w:jc w:val="center"/>
        <w:rPr>
          <w:rFonts w:ascii="Times New Roman" w:hAnsi="Times New Roman" w:cs="Times New Roman"/>
          <w:sz w:val="20"/>
          <w:szCs w:val="20"/>
          <w:lang w:val="en-US"/>
        </w:rPr>
      </w:pPr>
      <w:r w:rsidRPr="006E59F1">
        <w:rPr>
          <w:rFonts w:ascii="Times New Roman" w:hAnsi="Times New Roman" w:cs="Times New Roman"/>
          <w:b/>
          <w:bCs/>
          <w:sz w:val="20"/>
          <w:szCs w:val="20"/>
          <w:lang w:val="en-US"/>
        </w:rPr>
        <w:t>Fig</w:t>
      </w:r>
      <w:r>
        <w:rPr>
          <w:rFonts w:ascii="Times New Roman" w:hAnsi="Times New Roman" w:cs="Times New Roman"/>
          <w:b/>
          <w:bCs/>
          <w:sz w:val="20"/>
          <w:szCs w:val="20"/>
          <w:lang w:val="en-US"/>
        </w:rPr>
        <w:t>.</w:t>
      </w:r>
      <w:r w:rsidRPr="006E59F1">
        <w:rPr>
          <w:rFonts w:ascii="Times New Roman" w:hAnsi="Times New Roman" w:cs="Times New Roman"/>
          <w:b/>
          <w:bCs/>
          <w:sz w:val="20"/>
          <w:szCs w:val="20"/>
          <w:lang w:val="en-US"/>
        </w:rPr>
        <w:t xml:space="preserve"> 1</w:t>
      </w:r>
      <w:r w:rsidRPr="006E59F1">
        <w:rPr>
          <w:rFonts w:ascii="Times New Roman" w:hAnsi="Times New Roman" w:cs="Times New Roman"/>
          <w:sz w:val="20"/>
          <w:szCs w:val="20"/>
          <w:lang w:val="en-US"/>
        </w:rPr>
        <w:t xml:space="preserve"> H-shaped (a) </w:t>
      </w:r>
      <w:r>
        <w:rPr>
          <w:rFonts w:ascii="Times New Roman" w:hAnsi="Times New Roman" w:cs="Times New Roman"/>
          <w:sz w:val="20"/>
          <w:szCs w:val="20"/>
          <w:lang w:val="en-US"/>
        </w:rPr>
        <w:t>s</w:t>
      </w:r>
      <w:r w:rsidRPr="006E59F1">
        <w:rPr>
          <w:rFonts w:ascii="Times New Roman" w:hAnsi="Times New Roman" w:cs="Times New Roman"/>
          <w:sz w:val="20"/>
          <w:szCs w:val="20"/>
          <w:lang w:val="en-US"/>
        </w:rPr>
        <w:t xml:space="preserve">ingle plate anchor (b) </w:t>
      </w:r>
      <w:r>
        <w:rPr>
          <w:rFonts w:ascii="Times New Roman" w:hAnsi="Times New Roman" w:cs="Times New Roman"/>
          <w:sz w:val="20"/>
          <w:szCs w:val="20"/>
          <w:lang w:val="en-US"/>
        </w:rPr>
        <w:t>d</w:t>
      </w:r>
      <w:r w:rsidRPr="006E59F1">
        <w:rPr>
          <w:rFonts w:ascii="Times New Roman" w:hAnsi="Times New Roman" w:cs="Times New Roman"/>
          <w:sz w:val="20"/>
          <w:szCs w:val="20"/>
          <w:lang w:val="en-US"/>
        </w:rPr>
        <w:t xml:space="preserve">ouble plate anchor (c) </w:t>
      </w:r>
      <w:r>
        <w:rPr>
          <w:rFonts w:ascii="Times New Roman" w:hAnsi="Times New Roman" w:cs="Times New Roman"/>
          <w:sz w:val="20"/>
          <w:szCs w:val="20"/>
          <w:lang w:val="en-US"/>
        </w:rPr>
        <w:t>t</w:t>
      </w:r>
      <w:r w:rsidRPr="006E59F1">
        <w:rPr>
          <w:rFonts w:ascii="Times New Roman" w:hAnsi="Times New Roman" w:cs="Times New Roman"/>
          <w:sz w:val="20"/>
          <w:szCs w:val="20"/>
          <w:lang w:val="en-US"/>
        </w:rPr>
        <w:t>riple plate anchor</w:t>
      </w:r>
    </w:p>
    <w:p w14:paraId="44DE645D" w14:textId="77777777" w:rsidR="00433093" w:rsidRDefault="00433093" w:rsidP="00433093">
      <w:pPr>
        <w:spacing w:line="360" w:lineRule="auto"/>
        <w:jc w:val="center"/>
        <w:rPr>
          <w:rFonts w:ascii="Times New Roman" w:hAnsi="Times New Roman" w:cs="Times New Roman"/>
          <w:sz w:val="20"/>
          <w:szCs w:val="20"/>
          <w:lang w:val="en-US"/>
        </w:rPr>
      </w:pPr>
    </w:p>
    <w:p w14:paraId="1689420A" w14:textId="77777777" w:rsidR="004B55F7" w:rsidRDefault="004B55F7" w:rsidP="00433093">
      <w:pPr>
        <w:spacing w:line="360" w:lineRule="auto"/>
        <w:jc w:val="center"/>
        <w:rPr>
          <w:rFonts w:ascii="Times New Roman" w:hAnsi="Times New Roman" w:cs="Times New Roman"/>
          <w:sz w:val="20"/>
          <w:szCs w:val="20"/>
          <w:lang w:val="en-US"/>
        </w:rPr>
      </w:pPr>
    </w:p>
    <w:p w14:paraId="529A8234" w14:textId="77777777" w:rsidR="004B55F7" w:rsidRDefault="004B55F7" w:rsidP="00433093">
      <w:pPr>
        <w:spacing w:line="360" w:lineRule="auto"/>
        <w:jc w:val="center"/>
        <w:rPr>
          <w:rFonts w:ascii="Times New Roman" w:hAnsi="Times New Roman" w:cs="Times New Roman"/>
          <w:sz w:val="20"/>
          <w:szCs w:val="20"/>
          <w:lang w:val="en-US"/>
        </w:rPr>
      </w:pPr>
    </w:p>
    <w:p w14:paraId="22BD12C3" w14:textId="77777777" w:rsidR="00433093" w:rsidRDefault="00433093" w:rsidP="00433093">
      <w:pPr>
        <w:spacing w:line="360" w:lineRule="auto"/>
        <w:jc w:val="center"/>
        <w:rPr>
          <w:rFonts w:ascii="Times New Roman" w:hAnsi="Times New Roman" w:cs="Times New Roman"/>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4"/>
        <w:gridCol w:w="4642"/>
      </w:tblGrid>
      <w:tr w:rsidR="00433093" w:rsidRPr="006E59F1" w14:paraId="2908DC91" w14:textId="77777777" w:rsidTr="001E626B">
        <w:trPr>
          <w:trHeight w:val="4467"/>
        </w:trPr>
        <w:tc>
          <w:tcPr>
            <w:tcW w:w="4508" w:type="dxa"/>
          </w:tcPr>
          <w:p w14:paraId="4A85878C" w14:textId="77777777" w:rsidR="00433093" w:rsidRPr="006E59F1" w:rsidRDefault="00433093" w:rsidP="001E626B">
            <w:pPr>
              <w:keepNext/>
              <w:spacing w:line="360" w:lineRule="auto"/>
              <w:rPr>
                <w:sz w:val="20"/>
                <w:szCs w:val="20"/>
              </w:rPr>
            </w:pPr>
            <w:r w:rsidRPr="006E59F1">
              <w:rPr>
                <w:noProof/>
                <w:sz w:val="20"/>
                <w:szCs w:val="20"/>
              </w:rPr>
              <w:lastRenderedPageBreak/>
              <w:drawing>
                <wp:inline distT="0" distB="0" distL="0" distR="0" wp14:anchorId="2C8CF60F" wp14:editId="36C86F32">
                  <wp:extent cx="2672805" cy="2573851"/>
                  <wp:effectExtent l="0" t="0" r="0" b="0"/>
                  <wp:docPr id="16" name="Picture 16"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hape, square&#10;&#10;Description automatically generated"/>
                          <pic:cNvPicPr/>
                        </pic:nvPicPr>
                        <pic:blipFill>
                          <a:blip r:embed="rId12"/>
                          <a:stretch>
                            <a:fillRect/>
                          </a:stretch>
                        </pic:blipFill>
                        <pic:spPr>
                          <a:xfrm>
                            <a:off x="0" y="0"/>
                            <a:ext cx="2679772" cy="2580561"/>
                          </a:xfrm>
                          <a:prstGeom prst="rect">
                            <a:avLst/>
                          </a:prstGeom>
                        </pic:spPr>
                      </pic:pic>
                    </a:graphicData>
                  </a:graphic>
                </wp:inline>
              </w:drawing>
            </w:r>
          </w:p>
          <w:p w14:paraId="7FADF559" w14:textId="77777777" w:rsidR="00433093" w:rsidRPr="006E59F1" w:rsidRDefault="00433093" w:rsidP="001E626B">
            <w:pPr>
              <w:pStyle w:val="Caption"/>
              <w:spacing w:after="0" w:line="360" w:lineRule="auto"/>
              <w:jc w:val="center"/>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(a)</w:t>
            </w:r>
          </w:p>
        </w:tc>
        <w:tc>
          <w:tcPr>
            <w:tcW w:w="4508" w:type="dxa"/>
          </w:tcPr>
          <w:p w14:paraId="4FAA6253"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425EB186" wp14:editId="45CD2BC9">
                  <wp:extent cx="2834640" cy="2517557"/>
                  <wp:effectExtent l="0" t="0" r="3810" b="0"/>
                  <wp:docPr id="18" name="Picture 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ogo&#10;&#10;Description automatically generated"/>
                          <pic:cNvPicPr/>
                        </pic:nvPicPr>
                        <pic:blipFill>
                          <a:blip r:embed="rId13"/>
                          <a:stretch>
                            <a:fillRect/>
                          </a:stretch>
                        </pic:blipFill>
                        <pic:spPr>
                          <a:xfrm>
                            <a:off x="0" y="0"/>
                            <a:ext cx="2860849" cy="2540834"/>
                          </a:xfrm>
                          <a:prstGeom prst="rect">
                            <a:avLst/>
                          </a:prstGeom>
                        </pic:spPr>
                      </pic:pic>
                    </a:graphicData>
                  </a:graphic>
                </wp:inline>
              </w:drawing>
            </w:r>
          </w:p>
          <w:p w14:paraId="568AE1E4" w14:textId="77777777" w:rsidR="00433093" w:rsidRPr="006E59F1" w:rsidRDefault="00433093" w:rsidP="001E626B">
            <w:pPr>
              <w:pStyle w:val="Caption"/>
              <w:spacing w:after="0" w:line="360" w:lineRule="auto"/>
              <w:jc w:val="center"/>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(b)</w:t>
            </w:r>
          </w:p>
        </w:tc>
      </w:tr>
    </w:tbl>
    <w:p w14:paraId="5402805D" w14:textId="77777777" w:rsidR="00433093" w:rsidRPr="006E59F1" w:rsidRDefault="00433093" w:rsidP="00433093">
      <w:pPr>
        <w:spacing w:line="360" w:lineRule="auto"/>
        <w:jc w:val="center"/>
        <w:rPr>
          <w:rFonts w:ascii="Times New Roman" w:hAnsi="Times New Roman" w:cs="Times New Roman"/>
          <w:color w:val="252525"/>
          <w:sz w:val="20"/>
          <w:szCs w:val="20"/>
        </w:rPr>
      </w:pPr>
      <w:r w:rsidRPr="006E59F1">
        <w:rPr>
          <w:rFonts w:ascii="Times New Roman" w:hAnsi="Times New Roman" w:cs="Times New Roman"/>
          <w:b/>
          <w:bCs/>
          <w:color w:val="252525"/>
          <w:sz w:val="20"/>
          <w:szCs w:val="20"/>
        </w:rPr>
        <w:t>Fig</w:t>
      </w:r>
      <w:r>
        <w:rPr>
          <w:rFonts w:ascii="Times New Roman" w:hAnsi="Times New Roman" w:cs="Times New Roman"/>
          <w:b/>
          <w:bCs/>
          <w:color w:val="252525"/>
          <w:sz w:val="20"/>
          <w:szCs w:val="20"/>
        </w:rPr>
        <w:t>.</w:t>
      </w:r>
      <w:r w:rsidRPr="006E59F1">
        <w:rPr>
          <w:rFonts w:ascii="Times New Roman" w:hAnsi="Times New Roman" w:cs="Times New Roman"/>
          <w:b/>
          <w:bCs/>
          <w:color w:val="252525"/>
          <w:sz w:val="20"/>
          <w:szCs w:val="20"/>
        </w:rPr>
        <w:t xml:space="preserve"> 2 </w:t>
      </w:r>
      <w:r w:rsidRPr="00034999">
        <w:rPr>
          <w:rFonts w:ascii="Times New Roman" w:hAnsi="Times New Roman" w:cs="Times New Roman"/>
          <w:color w:val="252525"/>
          <w:sz w:val="20"/>
          <w:szCs w:val="20"/>
        </w:rPr>
        <w:t>Dimension of anchor</w:t>
      </w:r>
      <w:r w:rsidRPr="006E59F1">
        <w:rPr>
          <w:rFonts w:ascii="Times New Roman" w:hAnsi="Times New Roman" w:cs="Times New Roman"/>
          <w:color w:val="252525"/>
          <w:sz w:val="20"/>
          <w:szCs w:val="20"/>
        </w:rPr>
        <w:t xml:space="preserve"> plate (a) </w:t>
      </w:r>
      <w:r>
        <w:rPr>
          <w:rFonts w:ascii="Times New Roman" w:hAnsi="Times New Roman" w:cs="Times New Roman"/>
          <w:color w:val="252525"/>
          <w:sz w:val="20"/>
          <w:szCs w:val="20"/>
        </w:rPr>
        <w:t>s</w:t>
      </w:r>
      <w:r w:rsidRPr="006E59F1">
        <w:rPr>
          <w:rFonts w:ascii="Times New Roman" w:hAnsi="Times New Roman" w:cs="Times New Roman"/>
          <w:color w:val="252525"/>
          <w:sz w:val="20"/>
          <w:szCs w:val="20"/>
        </w:rPr>
        <w:t>quare shape (b) H</w:t>
      </w:r>
      <w:r>
        <w:rPr>
          <w:rFonts w:ascii="Times New Roman" w:hAnsi="Times New Roman" w:cs="Times New Roman"/>
          <w:color w:val="252525"/>
          <w:sz w:val="20"/>
          <w:szCs w:val="20"/>
        </w:rPr>
        <w:t xml:space="preserve"> </w:t>
      </w:r>
      <w:r w:rsidRPr="006E59F1">
        <w:rPr>
          <w:rFonts w:ascii="Times New Roman" w:hAnsi="Times New Roman" w:cs="Times New Roman"/>
          <w:color w:val="252525"/>
          <w:sz w:val="20"/>
          <w:szCs w:val="20"/>
        </w:rPr>
        <w:t>shape</w:t>
      </w:r>
    </w:p>
    <w:p w14:paraId="7F0359E1" w14:textId="77777777" w:rsidR="00433093" w:rsidRDefault="00433093" w:rsidP="00433093"/>
    <w:p w14:paraId="3E9C14BC" w14:textId="77777777" w:rsidR="00433093" w:rsidRDefault="00433093" w:rsidP="00433093"/>
    <w:p w14:paraId="04D43DDA" w14:textId="77777777" w:rsidR="00433093" w:rsidRDefault="00433093" w:rsidP="00433093"/>
    <w:p w14:paraId="5D558798" w14:textId="77777777" w:rsidR="00433093" w:rsidRDefault="00433093" w:rsidP="00433093"/>
    <w:p w14:paraId="353FC349" w14:textId="77777777" w:rsidR="00433093" w:rsidRDefault="00433093" w:rsidP="00433093"/>
    <w:p w14:paraId="6A33A507" w14:textId="77777777" w:rsidR="00433093" w:rsidRDefault="00433093" w:rsidP="00433093"/>
    <w:p w14:paraId="5A4EF1C1" w14:textId="77777777" w:rsidR="00433093" w:rsidRDefault="00433093" w:rsidP="00433093"/>
    <w:p w14:paraId="219D6EC1" w14:textId="77777777" w:rsidR="00433093" w:rsidRDefault="00433093" w:rsidP="00433093"/>
    <w:p w14:paraId="2FAE9C55" w14:textId="77777777" w:rsidR="00433093" w:rsidRDefault="00433093" w:rsidP="00433093"/>
    <w:p w14:paraId="58B047E3" w14:textId="77777777" w:rsidR="00433093" w:rsidRDefault="00433093" w:rsidP="00433093"/>
    <w:p w14:paraId="7DC2B597" w14:textId="77777777" w:rsidR="00433093" w:rsidRDefault="00433093" w:rsidP="00433093"/>
    <w:p w14:paraId="31BD51CD" w14:textId="77777777" w:rsidR="00433093" w:rsidRDefault="00433093" w:rsidP="00433093"/>
    <w:p w14:paraId="46F7E756" w14:textId="77777777" w:rsidR="00433093" w:rsidRDefault="00433093" w:rsidP="00433093"/>
    <w:p w14:paraId="2F729B1F" w14:textId="77777777" w:rsidR="00433093" w:rsidRDefault="00433093" w:rsidP="00433093"/>
    <w:p w14:paraId="5AB5B5AC" w14:textId="77777777" w:rsidR="00433093" w:rsidRDefault="00433093" w:rsidP="00433093"/>
    <w:p w14:paraId="08077748" w14:textId="77777777" w:rsidR="00433093" w:rsidRDefault="00433093" w:rsidP="00433093"/>
    <w:p w14:paraId="2177B8EF" w14:textId="77777777" w:rsidR="00433093" w:rsidRDefault="00433093" w:rsidP="00433093"/>
    <w:p w14:paraId="08FE7003" w14:textId="77777777" w:rsidR="00433093" w:rsidRDefault="00433093" w:rsidP="00433093"/>
    <w:p w14:paraId="241BC5A2" w14:textId="77777777" w:rsidR="00433093" w:rsidRPr="000C0C19" w:rsidRDefault="00433093" w:rsidP="00433093">
      <w:pPr>
        <w:spacing w:line="360" w:lineRule="auto"/>
        <w:jc w:val="center"/>
        <w:rPr>
          <w:rFonts w:ascii="Times New Roman" w:hAnsi="Times New Roman" w:cs="Times New Roman"/>
          <w:color w:val="000000" w:themeColor="text1"/>
          <w:sz w:val="20"/>
          <w:szCs w:val="20"/>
        </w:rPr>
      </w:pPr>
      <w:r w:rsidRPr="006E59F1">
        <w:rPr>
          <w:noProof/>
          <w:sz w:val="20"/>
          <w:szCs w:val="20"/>
        </w:rPr>
        <w:lastRenderedPageBreak/>
        <w:drawing>
          <wp:inline distT="0" distB="0" distL="0" distR="0" wp14:anchorId="6B158A25" wp14:editId="34619C43">
            <wp:extent cx="3065145" cy="3200400"/>
            <wp:effectExtent l="0" t="0" r="1905" b="0"/>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14"/>
                    <a:stretch>
                      <a:fillRect/>
                    </a:stretch>
                  </pic:blipFill>
                  <pic:spPr>
                    <a:xfrm>
                      <a:off x="0" y="0"/>
                      <a:ext cx="3067378" cy="3202732"/>
                    </a:xfrm>
                    <a:prstGeom prst="rect">
                      <a:avLst/>
                    </a:prstGeom>
                  </pic:spPr>
                </pic:pic>
              </a:graphicData>
            </a:graphic>
          </wp:inline>
        </w:drawing>
      </w:r>
    </w:p>
    <w:p w14:paraId="5879A793" w14:textId="77777777" w:rsidR="00433093" w:rsidRDefault="00433093" w:rsidP="00433093">
      <w:pPr>
        <w:jc w:val="center"/>
        <w:rPr>
          <w:rFonts w:ascii="Times New Roman" w:hAnsi="Times New Roman" w:cs="Times New Roman"/>
          <w:sz w:val="20"/>
          <w:szCs w:val="20"/>
        </w:rPr>
      </w:pPr>
      <w:r w:rsidRPr="006E59F1">
        <w:rPr>
          <w:rFonts w:ascii="Times New Roman" w:hAnsi="Times New Roman" w:cs="Times New Roman"/>
          <w:b/>
          <w:bCs/>
          <w:sz w:val="20"/>
          <w:szCs w:val="20"/>
        </w:rPr>
        <w:t>Fig.</w:t>
      </w:r>
      <w:r>
        <w:rPr>
          <w:rFonts w:ascii="Times New Roman" w:hAnsi="Times New Roman" w:cs="Times New Roman"/>
          <w:b/>
          <w:bCs/>
          <w:sz w:val="20"/>
          <w:szCs w:val="20"/>
        </w:rPr>
        <w:t xml:space="preserve"> </w:t>
      </w:r>
      <w:r w:rsidRPr="006E59F1">
        <w:rPr>
          <w:rFonts w:ascii="Times New Roman" w:hAnsi="Times New Roman" w:cs="Times New Roman"/>
          <w:b/>
          <w:bCs/>
          <w:sz w:val="20"/>
          <w:szCs w:val="20"/>
        </w:rPr>
        <w:t xml:space="preserve">3 </w:t>
      </w:r>
      <w:r>
        <w:rPr>
          <w:rFonts w:ascii="Times New Roman" w:hAnsi="Times New Roman" w:cs="Times New Roman"/>
          <w:sz w:val="20"/>
          <w:szCs w:val="20"/>
        </w:rPr>
        <w:t>V</w:t>
      </w:r>
      <w:r w:rsidRPr="006E59F1">
        <w:rPr>
          <w:rFonts w:ascii="Times New Roman" w:hAnsi="Times New Roman" w:cs="Times New Roman"/>
          <w:sz w:val="20"/>
          <w:szCs w:val="20"/>
        </w:rPr>
        <w:t>isualization of loading</w:t>
      </w:r>
    </w:p>
    <w:p w14:paraId="4E1E966E" w14:textId="77777777" w:rsidR="00433093" w:rsidRDefault="00433093" w:rsidP="00433093">
      <w:pPr>
        <w:rPr>
          <w:rFonts w:ascii="Times New Roman" w:hAnsi="Times New Roman" w:cs="Times New Roman"/>
          <w:sz w:val="20"/>
          <w:szCs w:val="20"/>
        </w:rPr>
      </w:pPr>
    </w:p>
    <w:p w14:paraId="067DE69C" w14:textId="77777777" w:rsidR="00433093" w:rsidRDefault="00433093" w:rsidP="00433093">
      <w:pPr>
        <w:rPr>
          <w:rFonts w:ascii="Times New Roman" w:hAnsi="Times New Roman" w:cs="Times New Roman"/>
          <w:sz w:val="20"/>
          <w:szCs w:val="20"/>
        </w:rPr>
      </w:pPr>
    </w:p>
    <w:p w14:paraId="2704B0B0" w14:textId="77777777" w:rsidR="00433093" w:rsidRDefault="00433093" w:rsidP="00433093">
      <w:pPr>
        <w:rPr>
          <w:rFonts w:ascii="Times New Roman" w:hAnsi="Times New Roman" w:cs="Times New Roman"/>
          <w:sz w:val="20"/>
          <w:szCs w:val="20"/>
        </w:rPr>
      </w:pPr>
    </w:p>
    <w:p w14:paraId="79FB0462" w14:textId="77777777" w:rsidR="00433093" w:rsidRDefault="00433093" w:rsidP="00433093">
      <w:pPr>
        <w:rPr>
          <w:rFonts w:ascii="Times New Roman" w:hAnsi="Times New Roman" w:cs="Times New Roman"/>
          <w:sz w:val="20"/>
          <w:szCs w:val="20"/>
        </w:rPr>
      </w:pPr>
    </w:p>
    <w:p w14:paraId="2DE42980" w14:textId="77777777" w:rsidR="00433093" w:rsidRDefault="00433093" w:rsidP="00433093">
      <w:pPr>
        <w:rPr>
          <w:rFonts w:ascii="Times New Roman" w:hAnsi="Times New Roman" w:cs="Times New Roman"/>
          <w:sz w:val="20"/>
          <w:szCs w:val="20"/>
        </w:rPr>
      </w:pPr>
    </w:p>
    <w:p w14:paraId="2518DDC2" w14:textId="77777777" w:rsidR="00433093" w:rsidRDefault="00433093" w:rsidP="00433093">
      <w:pPr>
        <w:rPr>
          <w:rFonts w:ascii="Times New Roman" w:hAnsi="Times New Roman" w:cs="Times New Roman"/>
          <w:sz w:val="20"/>
          <w:szCs w:val="20"/>
        </w:rPr>
      </w:pPr>
    </w:p>
    <w:p w14:paraId="46000F2D" w14:textId="77777777" w:rsidR="00433093" w:rsidRDefault="00433093" w:rsidP="00433093">
      <w:pPr>
        <w:rPr>
          <w:rFonts w:ascii="Times New Roman" w:hAnsi="Times New Roman" w:cs="Times New Roman"/>
          <w:sz w:val="20"/>
          <w:szCs w:val="20"/>
        </w:rPr>
      </w:pPr>
    </w:p>
    <w:p w14:paraId="0B5317EE" w14:textId="77777777" w:rsidR="00433093" w:rsidRDefault="00433093" w:rsidP="00433093">
      <w:pPr>
        <w:rPr>
          <w:rFonts w:ascii="Times New Roman" w:hAnsi="Times New Roman" w:cs="Times New Roman"/>
          <w:sz w:val="20"/>
          <w:szCs w:val="20"/>
        </w:rPr>
      </w:pPr>
    </w:p>
    <w:p w14:paraId="0DC9AC21" w14:textId="77777777" w:rsidR="00433093" w:rsidRDefault="00433093" w:rsidP="00433093">
      <w:pPr>
        <w:rPr>
          <w:rFonts w:ascii="Times New Roman" w:hAnsi="Times New Roman" w:cs="Times New Roman"/>
          <w:sz w:val="20"/>
          <w:szCs w:val="20"/>
        </w:rPr>
      </w:pPr>
    </w:p>
    <w:p w14:paraId="0CDD16FA" w14:textId="77777777" w:rsidR="00433093" w:rsidRDefault="00433093" w:rsidP="00433093">
      <w:pPr>
        <w:rPr>
          <w:rFonts w:ascii="Times New Roman" w:hAnsi="Times New Roman" w:cs="Times New Roman"/>
          <w:sz w:val="20"/>
          <w:szCs w:val="20"/>
        </w:rPr>
      </w:pPr>
    </w:p>
    <w:p w14:paraId="18C73603" w14:textId="77777777" w:rsidR="00433093" w:rsidRDefault="00433093" w:rsidP="00433093">
      <w:pPr>
        <w:rPr>
          <w:rFonts w:ascii="Times New Roman" w:hAnsi="Times New Roman" w:cs="Times New Roman"/>
          <w:sz w:val="20"/>
          <w:szCs w:val="20"/>
        </w:rPr>
      </w:pPr>
    </w:p>
    <w:p w14:paraId="2D6FC59E" w14:textId="77777777" w:rsidR="00433093" w:rsidRDefault="00433093" w:rsidP="00433093">
      <w:pPr>
        <w:rPr>
          <w:rFonts w:ascii="Times New Roman" w:hAnsi="Times New Roman" w:cs="Times New Roman"/>
          <w:sz w:val="20"/>
          <w:szCs w:val="20"/>
        </w:rPr>
      </w:pPr>
    </w:p>
    <w:p w14:paraId="33FCFE8A" w14:textId="77777777" w:rsidR="00433093" w:rsidRDefault="00433093" w:rsidP="00433093">
      <w:pPr>
        <w:rPr>
          <w:rFonts w:ascii="Times New Roman" w:hAnsi="Times New Roman" w:cs="Times New Roman"/>
          <w:sz w:val="20"/>
          <w:szCs w:val="20"/>
        </w:rPr>
      </w:pPr>
    </w:p>
    <w:p w14:paraId="0BBDBA32" w14:textId="77777777" w:rsidR="00433093" w:rsidRDefault="00433093" w:rsidP="00433093">
      <w:pPr>
        <w:rPr>
          <w:rFonts w:ascii="Times New Roman" w:hAnsi="Times New Roman" w:cs="Times New Roman"/>
          <w:sz w:val="20"/>
          <w:szCs w:val="20"/>
        </w:rPr>
      </w:pPr>
    </w:p>
    <w:p w14:paraId="089CBD46" w14:textId="77777777" w:rsidR="00433093" w:rsidRDefault="00433093" w:rsidP="00433093">
      <w:pPr>
        <w:rPr>
          <w:rFonts w:ascii="Times New Roman" w:hAnsi="Times New Roman" w:cs="Times New Roman"/>
          <w:sz w:val="20"/>
          <w:szCs w:val="20"/>
        </w:rPr>
      </w:pPr>
    </w:p>
    <w:p w14:paraId="0015E73F" w14:textId="77777777" w:rsidR="00433093" w:rsidRDefault="00433093" w:rsidP="00433093">
      <w:pPr>
        <w:rPr>
          <w:rFonts w:ascii="Times New Roman" w:hAnsi="Times New Roman" w:cs="Times New Roman"/>
          <w:sz w:val="20"/>
          <w:szCs w:val="20"/>
        </w:rPr>
      </w:pPr>
    </w:p>
    <w:p w14:paraId="635513EE" w14:textId="77777777" w:rsidR="00433093" w:rsidRDefault="00433093" w:rsidP="00433093">
      <w:pPr>
        <w:rPr>
          <w:rFonts w:ascii="Times New Roman" w:hAnsi="Times New Roman" w:cs="Times New Roman"/>
          <w:sz w:val="20"/>
          <w:szCs w:val="20"/>
        </w:rPr>
      </w:pPr>
    </w:p>
    <w:p w14:paraId="51EA8C92" w14:textId="77777777" w:rsidR="00433093" w:rsidRDefault="00433093" w:rsidP="00433093">
      <w:pPr>
        <w:rPr>
          <w:rFonts w:ascii="Times New Roman" w:hAnsi="Times New Roman" w:cs="Times New Roman"/>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170"/>
      </w:tblGrid>
      <w:tr w:rsidR="00433093" w:rsidRPr="006E59F1" w14:paraId="1D38FEE9" w14:textId="77777777" w:rsidTr="001E626B">
        <w:tc>
          <w:tcPr>
            <w:tcW w:w="4508" w:type="dxa"/>
          </w:tcPr>
          <w:p w14:paraId="2E1F8EDD" w14:textId="77777777" w:rsidR="00433093" w:rsidRPr="006E59F1" w:rsidRDefault="00433093" w:rsidP="001E626B">
            <w:pPr>
              <w:keepNext/>
              <w:spacing w:line="360" w:lineRule="auto"/>
              <w:rPr>
                <w:sz w:val="20"/>
                <w:szCs w:val="20"/>
              </w:rPr>
            </w:pPr>
            <w:r w:rsidRPr="006E59F1">
              <w:rPr>
                <w:noProof/>
                <w:sz w:val="20"/>
                <w:szCs w:val="20"/>
              </w:rPr>
              <w:lastRenderedPageBreak/>
              <w:drawing>
                <wp:inline distT="0" distB="0" distL="0" distR="0" wp14:anchorId="1FB482B2" wp14:editId="6B069DA9">
                  <wp:extent cx="3017520" cy="3066197"/>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29509" cy="3078380"/>
                          </a:xfrm>
                          <a:prstGeom prst="rect">
                            <a:avLst/>
                          </a:prstGeom>
                        </pic:spPr>
                      </pic:pic>
                    </a:graphicData>
                  </a:graphic>
                </wp:inline>
              </w:drawing>
            </w:r>
          </w:p>
          <w:p w14:paraId="0BB87540" w14:textId="77777777" w:rsidR="00433093" w:rsidRPr="006E59F1" w:rsidRDefault="00433093" w:rsidP="001E626B">
            <w:pPr>
              <w:pStyle w:val="Caption"/>
              <w:spacing w:after="0" w:line="360" w:lineRule="auto"/>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 xml:space="preserve">                                 (a)</w:t>
            </w:r>
          </w:p>
        </w:tc>
        <w:tc>
          <w:tcPr>
            <w:tcW w:w="4508" w:type="dxa"/>
          </w:tcPr>
          <w:p w14:paraId="3E76DE3C"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77DB42AB" wp14:editId="31999814">
                  <wp:extent cx="2565742" cy="3066415"/>
                  <wp:effectExtent l="0" t="0" r="6350" b="635"/>
                  <wp:docPr id="24" name="Picture 2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pic:cNvPicPr/>
                        </pic:nvPicPr>
                        <pic:blipFill>
                          <a:blip r:embed="rId16"/>
                          <a:stretch>
                            <a:fillRect/>
                          </a:stretch>
                        </pic:blipFill>
                        <pic:spPr>
                          <a:xfrm>
                            <a:off x="0" y="0"/>
                            <a:ext cx="2569161" cy="3070502"/>
                          </a:xfrm>
                          <a:prstGeom prst="rect">
                            <a:avLst/>
                          </a:prstGeom>
                        </pic:spPr>
                      </pic:pic>
                    </a:graphicData>
                  </a:graphic>
                </wp:inline>
              </w:drawing>
            </w:r>
          </w:p>
          <w:p w14:paraId="7138704C" w14:textId="77777777" w:rsidR="00433093" w:rsidRPr="006E59F1" w:rsidRDefault="00433093" w:rsidP="001E626B">
            <w:pPr>
              <w:pStyle w:val="Caption"/>
              <w:spacing w:after="0" w:line="360" w:lineRule="auto"/>
              <w:rPr>
                <w:rFonts w:ascii="Times New Roman" w:hAnsi="Times New Roman" w:cs="Times New Roman"/>
                <w:i w:val="0"/>
                <w:iCs w:val="0"/>
                <w:sz w:val="20"/>
                <w:szCs w:val="20"/>
              </w:rPr>
            </w:pPr>
            <w:r w:rsidRPr="006E59F1">
              <w:rPr>
                <w:sz w:val="20"/>
                <w:szCs w:val="20"/>
              </w:rPr>
              <w:t xml:space="preserve">                                             </w:t>
            </w:r>
            <w:r w:rsidRPr="006E59F1">
              <w:rPr>
                <w:rFonts w:ascii="Times New Roman" w:hAnsi="Times New Roman" w:cs="Times New Roman"/>
                <w:i w:val="0"/>
                <w:iCs w:val="0"/>
                <w:color w:val="000000" w:themeColor="text1"/>
                <w:sz w:val="20"/>
                <w:szCs w:val="20"/>
              </w:rPr>
              <w:t>(b)</w:t>
            </w:r>
          </w:p>
        </w:tc>
      </w:tr>
    </w:tbl>
    <w:p w14:paraId="2E97E851" w14:textId="77777777" w:rsidR="00433093" w:rsidRPr="006E59F1" w:rsidRDefault="00433093" w:rsidP="00433093">
      <w:pPr>
        <w:spacing w:line="360" w:lineRule="auto"/>
        <w:jc w:val="center"/>
        <w:rPr>
          <w:rFonts w:ascii="Times New Roman" w:hAnsi="Times New Roman" w:cs="Times New Roman"/>
          <w:sz w:val="20"/>
          <w:szCs w:val="20"/>
        </w:rPr>
      </w:pPr>
      <w:r w:rsidRPr="006E59F1">
        <w:rPr>
          <w:rFonts w:ascii="Times New Roman" w:hAnsi="Times New Roman" w:cs="Times New Roman"/>
          <w:b/>
          <w:bCs/>
          <w:sz w:val="20"/>
          <w:szCs w:val="20"/>
        </w:rPr>
        <w:t>Fig.</w:t>
      </w:r>
      <w:r>
        <w:rPr>
          <w:rFonts w:ascii="Times New Roman" w:hAnsi="Times New Roman" w:cs="Times New Roman"/>
          <w:b/>
          <w:bCs/>
          <w:sz w:val="20"/>
          <w:szCs w:val="20"/>
        </w:rPr>
        <w:t xml:space="preserve"> </w:t>
      </w:r>
      <w:r w:rsidRPr="006E59F1">
        <w:rPr>
          <w:rFonts w:ascii="Times New Roman" w:hAnsi="Times New Roman" w:cs="Times New Roman"/>
          <w:b/>
          <w:bCs/>
          <w:sz w:val="20"/>
          <w:szCs w:val="20"/>
        </w:rPr>
        <w:t xml:space="preserve">4 </w:t>
      </w:r>
      <w:r w:rsidRPr="006E59F1">
        <w:rPr>
          <w:rFonts w:ascii="Times New Roman" w:hAnsi="Times New Roman" w:cs="Times New Roman"/>
          <w:sz w:val="20"/>
          <w:szCs w:val="20"/>
        </w:rPr>
        <w:t xml:space="preserve">Meshing </w:t>
      </w:r>
      <w:r>
        <w:rPr>
          <w:rFonts w:ascii="Times New Roman" w:hAnsi="Times New Roman" w:cs="Times New Roman"/>
          <w:sz w:val="20"/>
          <w:szCs w:val="20"/>
        </w:rPr>
        <w:t xml:space="preserve">of </w:t>
      </w:r>
      <w:r w:rsidRPr="006E59F1">
        <w:rPr>
          <w:rFonts w:ascii="Times New Roman" w:hAnsi="Times New Roman" w:cs="Times New Roman"/>
          <w:sz w:val="20"/>
          <w:szCs w:val="20"/>
        </w:rPr>
        <w:t xml:space="preserve">(a) </w:t>
      </w:r>
      <w:r>
        <w:rPr>
          <w:rFonts w:ascii="Times New Roman" w:hAnsi="Times New Roman" w:cs="Times New Roman"/>
          <w:sz w:val="20"/>
          <w:szCs w:val="20"/>
        </w:rPr>
        <w:t>sand</w:t>
      </w:r>
      <w:r w:rsidRPr="006E59F1">
        <w:rPr>
          <w:rFonts w:ascii="Times New Roman" w:hAnsi="Times New Roman" w:cs="Times New Roman"/>
          <w:sz w:val="20"/>
          <w:szCs w:val="20"/>
        </w:rPr>
        <w:t xml:space="preserve"> block (b) H-shaped anchor plate </w:t>
      </w:r>
    </w:p>
    <w:p w14:paraId="14B843B2" w14:textId="77777777" w:rsidR="00433093" w:rsidRDefault="00433093" w:rsidP="00433093">
      <w:pPr>
        <w:rPr>
          <w:rFonts w:ascii="Times New Roman" w:hAnsi="Times New Roman" w:cs="Times New Roman"/>
          <w:sz w:val="20"/>
          <w:szCs w:val="20"/>
        </w:rPr>
      </w:pPr>
    </w:p>
    <w:p w14:paraId="7C09B616" w14:textId="77777777" w:rsidR="00433093" w:rsidRDefault="00433093" w:rsidP="00433093"/>
    <w:p w14:paraId="1B9B7390" w14:textId="77777777" w:rsidR="00433093" w:rsidRDefault="00433093" w:rsidP="00433093"/>
    <w:p w14:paraId="35AD21AC" w14:textId="77777777" w:rsidR="00433093" w:rsidRDefault="00433093" w:rsidP="00433093"/>
    <w:p w14:paraId="6C7B86EA" w14:textId="77777777" w:rsidR="004B55F7" w:rsidRDefault="004B55F7" w:rsidP="00433093"/>
    <w:p w14:paraId="75631EBA" w14:textId="77777777" w:rsidR="004B55F7" w:rsidRDefault="004B55F7" w:rsidP="00433093"/>
    <w:p w14:paraId="4DF18C77" w14:textId="77777777" w:rsidR="00433093" w:rsidRDefault="00433093" w:rsidP="00433093"/>
    <w:p w14:paraId="46A687EC" w14:textId="77777777" w:rsidR="00433093" w:rsidRDefault="00433093" w:rsidP="004330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4571"/>
      </w:tblGrid>
      <w:tr w:rsidR="00433093" w:rsidRPr="006E59F1" w14:paraId="39675C7D" w14:textId="77777777" w:rsidTr="001E626B">
        <w:trPr>
          <w:trHeight w:val="4101"/>
        </w:trPr>
        <w:tc>
          <w:tcPr>
            <w:tcW w:w="4508" w:type="dxa"/>
          </w:tcPr>
          <w:p w14:paraId="7DB948A4" w14:textId="77777777" w:rsidR="00433093" w:rsidRPr="006E59F1" w:rsidRDefault="00433093" w:rsidP="001E626B">
            <w:pPr>
              <w:keepNext/>
              <w:spacing w:line="360" w:lineRule="auto"/>
              <w:rPr>
                <w:sz w:val="20"/>
                <w:szCs w:val="20"/>
              </w:rPr>
            </w:pPr>
            <w:r w:rsidRPr="006E59F1">
              <w:rPr>
                <w:rFonts w:ascii="Times New Roman" w:hAnsi="Times New Roman" w:cs="Times New Roman"/>
                <w:noProof/>
                <w:color w:val="000000" w:themeColor="text1"/>
                <w:sz w:val="20"/>
                <w:szCs w:val="20"/>
              </w:rPr>
              <w:lastRenderedPageBreak/>
              <w:drawing>
                <wp:inline distT="0" distB="0" distL="0" distR="0" wp14:anchorId="6C6BF7C7" wp14:editId="050D7632">
                  <wp:extent cx="2800350" cy="2545715"/>
                  <wp:effectExtent l="0" t="0" r="0" b="6985"/>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24A899" w14:textId="77777777" w:rsidR="00433093" w:rsidRPr="006E59F1" w:rsidRDefault="00433093" w:rsidP="001E626B">
            <w:pPr>
              <w:pStyle w:val="Caption"/>
              <w:spacing w:after="0" w:line="360" w:lineRule="auto"/>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 xml:space="preserve">                                     (a)</w:t>
            </w:r>
          </w:p>
        </w:tc>
        <w:tc>
          <w:tcPr>
            <w:tcW w:w="4508" w:type="dxa"/>
          </w:tcPr>
          <w:p w14:paraId="4164DA83"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707C1B07" wp14:editId="6425C497">
                  <wp:extent cx="2858770" cy="2546252"/>
                  <wp:effectExtent l="0" t="0" r="17780" b="6985"/>
                  <wp:docPr id="6" name="Chart 6">
                    <a:extLst xmlns:a="http://schemas.openxmlformats.org/drawingml/2006/main">
                      <a:ext uri="{FF2B5EF4-FFF2-40B4-BE49-F238E27FC236}">
                        <a16:creationId xmlns:a16="http://schemas.microsoft.com/office/drawing/2014/main" id="{0BFE71D6-A7B5-B3F4-DAA1-916C109996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51FA0C4" w14:textId="77777777" w:rsidR="00433093" w:rsidRPr="006E59F1" w:rsidRDefault="00433093" w:rsidP="001E626B">
            <w:pPr>
              <w:pStyle w:val="Caption"/>
              <w:spacing w:after="0" w:line="360" w:lineRule="auto"/>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 xml:space="preserve">                                   (b)</w:t>
            </w:r>
          </w:p>
        </w:tc>
      </w:tr>
    </w:tbl>
    <w:p w14:paraId="4D5406B8" w14:textId="77777777" w:rsidR="00433093" w:rsidRPr="006E59F1" w:rsidRDefault="00433093" w:rsidP="00433093">
      <w:pPr>
        <w:spacing w:line="360" w:lineRule="auto"/>
        <w:jc w:val="center"/>
        <w:rPr>
          <w:rFonts w:ascii="Times New Roman" w:hAnsi="Times New Roman" w:cs="Times New Roman"/>
          <w:color w:val="000000" w:themeColor="text1"/>
          <w:sz w:val="20"/>
          <w:szCs w:val="20"/>
          <w:shd w:val="clear" w:color="auto" w:fill="FFFFFF"/>
        </w:rPr>
      </w:pPr>
      <w:r w:rsidRPr="006E59F1">
        <w:rPr>
          <w:rFonts w:ascii="Times New Roman" w:hAnsi="Times New Roman" w:cs="Times New Roman"/>
          <w:b/>
          <w:bCs/>
          <w:color w:val="000000" w:themeColor="text1"/>
          <w:sz w:val="20"/>
          <w:szCs w:val="20"/>
          <w:shd w:val="clear" w:color="auto" w:fill="FFFFFF"/>
        </w:rPr>
        <w:t>Fig.</w:t>
      </w:r>
      <w:r>
        <w:rPr>
          <w:rFonts w:ascii="Times New Roman" w:hAnsi="Times New Roman" w:cs="Times New Roman"/>
          <w:b/>
          <w:bCs/>
          <w:color w:val="000000" w:themeColor="text1"/>
          <w:sz w:val="20"/>
          <w:szCs w:val="20"/>
          <w:shd w:val="clear" w:color="auto" w:fill="FFFFFF"/>
        </w:rPr>
        <w:t xml:space="preserve"> </w:t>
      </w:r>
      <w:r w:rsidRPr="006E59F1">
        <w:rPr>
          <w:rFonts w:ascii="Times New Roman" w:hAnsi="Times New Roman" w:cs="Times New Roman"/>
          <w:b/>
          <w:bCs/>
          <w:color w:val="000000" w:themeColor="text1"/>
          <w:sz w:val="20"/>
          <w:szCs w:val="20"/>
          <w:shd w:val="clear" w:color="auto" w:fill="FFFFFF"/>
        </w:rPr>
        <w:t xml:space="preserve">5 </w:t>
      </w:r>
      <w:bookmarkStart w:id="6" w:name="_Hlk132028164"/>
      <w:proofErr w:type="spellStart"/>
      <w:r w:rsidRPr="006E59F1">
        <w:rPr>
          <w:rFonts w:ascii="Times New Roman" w:hAnsi="Times New Roman" w:cs="Times New Roman"/>
          <w:color w:val="000000" w:themeColor="text1"/>
          <w:sz w:val="20"/>
          <w:szCs w:val="20"/>
          <w:shd w:val="clear" w:color="auto" w:fill="FFFFFF"/>
        </w:rPr>
        <w:t>Pullout</w:t>
      </w:r>
      <w:proofErr w:type="spellEnd"/>
      <w:r w:rsidRPr="006E59F1">
        <w:rPr>
          <w:rFonts w:ascii="Times New Roman" w:hAnsi="Times New Roman" w:cs="Times New Roman"/>
          <w:color w:val="000000" w:themeColor="text1"/>
          <w:sz w:val="20"/>
          <w:szCs w:val="20"/>
          <w:shd w:val="clear" w:color="auto" w:fill="FFFFFF"/>
        </w:rPr>
        <w:t xml:space="preserve"> capacity </w:t>
      </w:r>
      <w:r>
        <w:rPr>
          <w:rFonts w:ascii="Times New Roman" w:hAnsi="Times New Roman" w:cs="Times New Roman"/>
          <w:color w:val="000000" w:themeColor="text1"/>
          <w:sz w:val="20"/>
          <w:szCs w:val="20"/>
          <w:shd w:val="clear" w:color="auto" w:fill="FFFFFF"/>
        </w:rPr>
        <w:t>versus</w:t>
      </w:r>
      <w:r w:rsidRPr="006E59F1">
        <w:rPr>
          <w:rFonts w:ascii="Times New Roman" w:hAnsi="Times New Roman" w:cs="Times New Roman"/>
          <w:color w:val="000000" w:themeColor="text1"/>
          <w:sz w:val="20"/>
          <w:szCs w:val="20"/>
          <w:shd w:val="clear" w:color="auto" w:fill="FFFFFF"/>
        </w:rPr>
        <w:t xml:space="preserve"> displacement curve </w:t>
      </w:r>
      <w:bookmarkEnd w:id="6"/>
      <w:r w:rsidRPr="006E59F1">
        <w:rPr>
          <w:rFonts w:ascii="Times New Roman" w:hAnsi="Times New Roman" w:cs="Times New Roman"/>
          <w:color w:val="000000" w:themeColor="text1"/>
          <w:sz w:val="20"/>
          <w:szCs w:val="20"/>
          <w:shd w:val="clear" w:color="auto" w:fill="FFFFFF"/>
        </w:rPr>
        <w:t>(a) Square plate anchor (b) H-shaped plate anchor</w:t>
      </w:r>
    </w:p>
    <w:p w14:paraId="2B929C7C" w14:textId="77777777" w:rsidR="00433093" w:rsidRDefault="00433093" w:rsidP="00433093"/>
    <w:p w14:paraId="3289FA25" w14:textId="77777777" w:rsidR="00433093" w:rsidRDefault="00433093" w:rsidP="00433093"/>
    <w:p w14:paraId="724E20A6" w14:textId="77777777" w:rsidR="00433093" w:rsidRDefault="00433093" w:rsidP="00433093"/>
    <w:p w14:paraId="3A477DE3" w14:textId="77777777" w:rsidR="00433093" w:rsidRDefault="00433093" w:rsidP="00433093"/>
    <w:p w14:paraId="63B5316C" w14:textId="77777777" w:rsidR="00433093" w:rsidRDefault="00433093" w:rsidP="00433093"/>
    <w:p w14:paraId="3935F2C6" w14:textId="77777777" w:rsidR="00433093" w:rsidRDefault="00433093" w:rsidP="00433093"/>
    <w:p w14:paraId="65AF570A" w14:textId="77777777" w:rsidR="00433093" w:rsidRDefault="00433093" w:rsidP="00433093"/>
    <w:p w14:paraId="12AB14EB" w14:textId="77777777" w:rsidR="00433093" w:rsidRDefault="00433093" w:rsidP="00433093"/>
    <w:p w14:paraId="484E3FA1" w14:textId="77777777" w:rsidR="00433093" w:rsidRDefault="00433093" w:rsidP="00433093"/>
    <w:p w14:paraId="7CEBEF88" w14:textId="77777777" w:rsidR="00433093" w:rsidRDefault="00433093" w:rsidP="00433093"/>
    <w:p w14:paraId="025131C4" w14:textId="77777777" w:rsidR="00433093" w:rsidRDefault="00433093" w:rsidP="00433093"/>
    <w:p w14:paraId="7FEEDB54" w14:textId="77777777" w:rsidR="00433093" w:rsidRDefault="00433093" w:rsidP="00433093"/>
    <w:p w14:paraId="09612F64" w14:textId="77777777" w:rsidR="00433093" w:rsidRDefault="00433093" w:rsidP="00433093"/>
    <w:p w14:paraId="7063BBE8" w14:textId="77777777" w:rsidR="00433093" w:rsidRDefault="00433093" w:rsidP="00433093"/>
    <w:p w14:paraId="3D2CB668" w14:textId="77777777" w:rsidR="00433093" w:rsidRDefault="00433093" w:rsidP="00433093"/>
    <w:p w14:paraId="775E88D2" w14:textId="77777777" w:rsidR="00433093" w:rsidRDefault="00433093" w:rsidP="00433093"/>
    <w:p w14:paraId="00B3E6B7" w14:textId="77777777" w:rsidR="00433093" w:rsidRDefault="00433093" w:rsidP="00433093"/>
    <w:p w14:paraId="10A6A8DD" w14:textId="77777777" w:rsidR="00433093" w:rsidRDefault="00433093" w:rsidP="00433093"/>
    <w:p w14:paraId="64A8EA78" w14:textId="77777777" w:rsidR="00433093" w:rsidRDefault="00433093" w:rsidP="004330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2"/>
        <w:gridCol w:w="4614"/>
      </w:tblGrid>
      <w:tr w:rsidR="00433093" w:rsidRPr="006E59F1" w14:paraId="5F4E55E9" w14:textId="77777777" w:rsidTr="001E626B">
        <w:tc>
          <w:tcPr>
            <w:tcW w:w="4508" w:type="dxa"/>
          </w:tcPr>
          <w:p w14:paraId="3F37EE2D" w14:textId="77777777" w:rsidR="00433093" w:rsidRPr="006E59F1" w:rsidRDefault="00433093" w:rsidP="001E626B">
            <w:pPr>
              <w:keepNext/>
              <w:spacing w:line="360" w:lineRule="auto"/>
              <w:rPr>
                <w:sz w:val="20"/>
                <w:szCs w:val="20"/>
              </w:rPr>
            </w:pPr>
            <w:r w:rsidRPr="006E59F1">
              <w:rPr>
                <w:rFonts w:ascii="Times New Roman" w:hAnsi="Times New Roman" w:cs="Times New Roman"/>
                <w:noProof/>
                <w:color w:val="000000" w:themeColor="text1"/>
                <w:sz w:val="20"/>
                <w:szCs w:val="20"/>
              </w:rPr>
              <w:lastRenderedPageBreak/>
              <w:drawing>
                <wp:inline distT="0" distB="0" distL="0" distR="0" wp14:anchorId="17F3C82C" wp14:editId="7E53085D">
                  <wp:extent cx="2757268" cy="2352675"/>
                  <wp:effectExtent l="0" t="0" r="508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FB8F7C8" w14:textId="77777777" w:rsidR="00433093" w:rsidRPr="006E59F1" w:rsidRDefault="00433093" w:rsidP="001E626B">
            <w:pPr>
              <w:pStyle w:val="Caption"/>
              <w:spacing w:after="0" w:line="360" w:lineRule="auto"/>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 xml:space="preserve">                                    (a)</w:t>
            </w:r>
          </w:p>
        </w:tc>
        <w:tc>
          <w:tcPr>
            <w:tcW w:w="4508" w:type="dxa"/>
          </w:tcPr>
          <w:p w14:paraId="56069FC7"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5274C375" wp14:editId="647B3A17">
                  <wp:extent cx="2880995" cy="2352675"/>
                  <wp:effectExtent l="0" t="0" r="14605" b="9525"/>
                  <wp:docPr id="8" name="Chart 8">
                    <a:extLst xmlns:a="http://schemas.openxmlformats.org/drawingml/2006/main">
                      <a:ext uri="{FF2B5EF4-FFF2-40B4-BE49-F238E27FC236}">
                        <a16:creationId xmlns:a16="http://schemas.microsoft.com/office/drawing/2014/main" id="{0417D8F5-8FEC-DE48-FD27-5CBDD7B2B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72C7341" w14:textId="77777777" w:rsidR="00433093" w:rsidRPr="006E59F1" w:rsidRDefault="00433093" w:rsidP="001E626B">
            <w:pPr>
              <w:pStyle w:val="Caption"/>
              <w:spacing w:after="0" w:line="360" w:lineRule="auto"/>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 xml:space="preserve">                                    (b)</w:t>
            </w:r>
          </w:p>
        </w:tc>
      </w:tr>
    </w:tbl>
    <w:p w14:paraId="5B42A88E" w14:textId="77777777" w:rsidR="00433093" w:rsidRPr="006E59F1" w:rsidRDefault="00433093" w:rsidP="00433093">
      <w:pPr>
        <w:spacing w:line="360" w:lineRule="auto"/>
        <w:jc w:val="center"/>
        <w:rPr>
          <w:rFonts w:ascii="Times New Roman" w:hAnsi="Times New Roman" w:cs="Times New Roman"/>
          <w:color w:val="000000" w:themeColor="text1"/>
          <w:sz w:val="20"/>
          <w:szCs w:val="20"/>
          <w:shd w:val="clear" w:color="auto" w:fill="FFFFFF"/>
        </w:rPr>
      </w:pPr>
      <w:r w:rsidRPr="006E59F1">
        <w:rPr>
          <w:rFonts w:ascii="Times New Roman" w:hAnsi="Times New Roman" w:cs="Times New Roman"/>
          <w:b/>
          <w:bCs/>
          <w:color w:val="000000"/>
          <w:sz w:val="20"/>
          <w:szCs w:val="20"/>
          <w:shd w:val="clear" w:color="auto" w:fill="FFFFFF"/>
        </w:rPr>
        <w:t>Fig.</w:t>
      </w:r>
      <w:bookmarkStart w:id="7" w:name="_Hlk132028209"/>
      <w:r>
        <w:rPr>
          <w:rFonts w:ascii="Times New Roman" w:hAnsi="Times New Roman" w:cs="Times New Roman"/>
          <w:b/>
          <w:bCs/>
          <w:color w:val="000000"/>
          <w:sz w:val="20"/>
          <w:szCs w:val="20"/>
          <w:shd w:val="clear" w:color="auto" w:fill="FFFFFF"/>
        </w:rPr>
        <w:t xml:space="preserve"> </w:t>
      </w:r>
      <w:r w:rsidRPr="006E59F1">
        <w:rPr>
          <w:rFonts w:ascii="Times New Roman" w:hAnsi="Times New Roman" w:cs="Times New Roman"/>
          <w:b/>
          <w:bCs/>
          <w:color w:val="000000"/>
          <w:sz w:val="20"/>
          <w:szCs w:val="20"/>
          <w:shd w:val="clear" w:color="auto" w:fill="FFFFFF"/>
        </w:rPr>
        <w:t>6</w:t>
      </w:r>
      <w:r w:rsidRPr="006E59F1">
        <w:rPr>
          <w:rFonts w:ascii="Times New Roman" w:hAnsi="Times New Roman" w:cs="Times New Roman"/>
          <w:color w:val="000000"/>
          <w:sz w:val="20"/>
          <w:szCs w:val="20"/>
          <w:shd w:val="clear" w:color="auto" w:fill="FFFFFF"/>
        </w:rPr>
        <w:t xml:space="preserve"> </w:t>
      </w:r>
      <w:proofErr w:type="spellStart"/>
      <w:r w:rsidRPr="006E59F1">
        <w:rPr>
          <w:rFonts w:ascii="Times New Roman" w:hAnsi="Times New Roman" w:cs="Times New Roman"/>
          <w:color w:val="000000" w:themeColor="text1"/>
          <w:sz w:val="20"/>
          <w:szCs w:val="20"/>
          <w:shd w:val="clear" w:color="auto" w:fill="FFFFFF"/>
        </w:rPr>
        <w:t>Pullout</w:t>
      </w:r>
      <w:proofErr w:type="spellEnd"/>
      <w:r w:rsidRPr="006E59F1">
        <w:rPr>
          <w:rFonts w:ascii="Times New Roman" w:hAnsi="Times New Roman" w:cs="Times New Roman"/>
          <w:color w:val="000000" w:themeColor="text1"/>
          <w:sz w:val="20"/>
          <w:szCs w:val="20"/>
          <w:shd w:val="clear" w:color="auto" w:fill="FFFFFF"/>
        </w:rPr>
        <w:t xml:space="preserve"> capacity </w:t>
      </w:r>
      <w:r>
        <w:rPr>
          <w:rFonts w:ascii="Times New Roman" w:hAnsi="Times New Roman" w:cs="Times New Roman"/>
          <w:color w:val="000000" w:themeColor="text1"/>
          <w:sz w:val="20"/>
          <w:szCs w:val="20"/>
          <w:shd w:val="clear" w:color="auto" w:fill="FFFFFF"/>
        </w:rPr>
        <w:t>versus</w:t>
      </w:r>
      <w:r w:rsidRPr="006E59F1">
        <w:rPr>
          <w:rFonts w:ascii="Times New Roman" w:hAnsi="Times New Roman" w:cs="Times New Roman"/>
          <w:color w:val="000000" w:themeColor="text1"/>
          <w:sz w:val="20"/>
          <w:szCs w:val="20"/>
          <w:shd w:val="clear" w:color="auto" w:fill="FFFFFF"/>
        </w:rPr>
        <w:t xml:space="preserve"> displacement curve (a) Square plate anchor (b) H-shaped plate anchor</w:t>
      </w:r>
    </w:p>
    <w:bookmarkEnd w:id="7"/>
    <w:p w14:paraId="2749326B" w14:textId="77777777" w:rsidR="00433093" w:rsidRDefault="00433093" w:rsidP="00433093"/>
    <w:p w14:paraId="3E1FFCC0" w14:textId="77777777" w:rsidR="00433093" w:rsidRDefault="00433093" w:rsidP="00433093"/>
    <w:p w14:paraId="6C302F55" w14:textId="77777777" w:rsidR="00433093" w:rsidRDefault="00433093" w:rsidP="00433093"/>
    <w:p w14:paraId="0F94CB10" w14:textId="77777777" w:rsidR="00433093" w:rsidRDefault="00433093" w:rsidP="00433093"/>
    <w:p w14:paraId="5A3EEFF7" w14:textId="77777777" w:rsidR="00433093" w:rsidRDefault="00433093" w:rsidP="00433093"/>
    <w:p w14:paraId="3B88B7B0" w14:textId="77777777" w:rsidR="00433093" w:rsidRDefault="00433093" w:rsidP="00433093"/>
    <w:p w14:paraId="06FBB66E" w14:textId="77777777" w:rsidR="00433093" w:rsidRDefault="00433093" w:rsidP="00433093"/>
    <w:p w14:paraId="01924520" w14:textId="77777777" w:rsidR="00433093" w:rsidRDefault="00433093" w:rsidP="00433093"/>
    <w:p w14:paraId="637281B6" w14:textId="77777777" w:rsidR="00433093" w:rsidRDefault="00433093" w:rsidP="00433093"/>
    <w:p w14:paraId="3AE71FF3" w14:textId="77777777" w:rsidR="00433093" w:rsidRDefault="00433093" w:rsidP="00433093"/>
    <w:p w14:paraId="4FC183BE" w14:textId="77777777" w:rsidR="00433093" w:rsidRDefault="00433093" w:rsidP="00433093"/>
    <w:p w14:paraId="4DE80164" w14:textId="77777777" w:rsidR="00433093" w:rsidRDefault="00433093" w:rsidP="00433093"/>
    <w:p w14:paraId="588A2C59" w14:textId="77777777" w:rsidR="00433093" w:rsidRDefault="00433093" w:rsidP="00433093"/>
    <w:p w14:paraId="47D43610" w14:textId="77777777" w:rsidR="00433093" w:rsidRDefault="00433093" w:rsidP="00433093"/>
    <w:p w14:paraId="332AD496" w14:textId="77777777" w:rsidR="00433093" w:rsidRDefault="00433093" w:rsidP="00433093"/>
    <w:p w14:paraId="0D2A50FE" w14:textId="77777777" w:rsidR="00433093" w:rsidRDefault="00433093" w:rsidP="00433093"/>
    <w:p w14:paraId="2B71D33A" w14:textId="77777777" w:rsidR="00433093" w:rsidRDefault="00433093" w:rsidP="004330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0"/>
        <w:gridCol w:w="4776"/>
      </w:tblGrid>
      <w:tr w:rsidR="00433093" w:rsidRPr="006E59F1" w14:paraId="5EF22968" w14:textId="77777777" w:rsidTr="001E626B">
        <w:tc>
          <w:tcPr>
            <w:tcW w:w="4250" w:type="dxa"/>
          </w:tcPr>
          <w:p w14:paraId="48C11F54" w14:textId="77777777" w:rsidR="00433093" w:rsidRPr="006E59F1" w:rsidRDefault="00433093" w:rsidP="001E626B">
            <w:pPr>
              <w:keepNext/>
              <w:spacing w:line="360" w:lineRule="auto"/>
              <w:rPr>
                <w:sz w:val="20"/>
                <w:szCs w:val="20"/>
              </w:rPr>
            </w:pPr>
            <w:r w:rsidRPr="006E59F1">
              <w:rPr>
                <w:rFonts w:ascii="Times New Roman" w:hAnsi="Times New Roman" w:cs="Times New Roman"/>
                <w:noProof/>
                <w:color w:val="000000" w:themeColor="text1"/>
                <w:sz w:val="20"/>
                <w:szCs w:val="20"/>
              </w:rPr>
              <w:lastRenderedPageBreak/>
              <w:drawing>
                <wp:inline distT="0" distB="0" distL="0" distR="0" wp14:anchorId="66707558" wp14:editId="0352ADE1">
                  <wp:extent cx="2560320" cy="238589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DBA964" w14:textId="77777777" w:rsidR="00433093" w:rsidRPr="006E59F1" w:rsidRDefault="00433093" w:rsidP="001E626B">
            <w:pPr>
              <w:pStyle w:val="Caption"/>
              <w:spacing w:after="0" w:line="360" w:lineRule="auto"/>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 xml:space="preserve">                                (a)</w:t>
            </w:r>
          </w:p>
        </w:tc>
        <w:tc>
          <w:tcPr>
            <w:tcW w:w="4776" w:type="dxa"/>
          </w:tcPr>
          <w:p w14:paraId="0CFE2CEF"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15E53C59" wp14:editId="1648F13D">
                  <wp:extent cx="2889250" cy="2385695"/>
                  <wp:effectExtent l="0" t="0" r="6350" b="14605"/>
                  <wp:docPr id="10" name="Chart 10">
                    <a:extLst xmlns:a="http://schemas.openxmlformats.org/drawingml/2006/main">
                      <a:ext uri="{FF2B5EF4-FFF2-40B4-BE49-F238E27FC236}">
                        <a16:creationId xmlns:a16="http://schemas.microsoft.com/office/drawing/2014/main" id="{7DE96AD1-62AD-CE06-CF03-F8D3F29E5C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E0E8ADE" w14:textId="77777777" w:rsidR="00433093" w:rsidRPr="006E59F1" w:rsidRDefault="00433093" w:rsidP="001E626B">
            <w:pPr>
              <w:pStyle w:val="Caption"/>
              <w:spacing w:after="0" w:line="360" w:lineRule="auto"/>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 xml:space="preserve">                                  (b)</w:t>
            </w:r>
          </w:p>
        </w:tc>
      </w:tr>
    </w:tbl>
    <w:p w14:paraId="0B2B74EB" w14:textId="77777777" w:rsidR="00433093" w:rsidRPr="006E59F1" w:rsidRDefault="00433093" w:rsidP="00433093">
      <w:pPr>
        <w:spacing w:line="360" w:lineRule="auto"/>
        <w:jc w:val="center"/>
        <w:rPr>
          <w:rFonts w:ascii="Times New Roman" w:hAnsi="Times New Roman" w:cs="Times New Roman"/>
          <w:color w:val="000000" w:themeColor="text1"/>
          <w:sz w:val="20"/>
          <w:szCs w:val="20"/>
          <w:shd w:val="clear" w:color="auto" w:fill="FFFFFF"/>
        </w:rPr>
      </w:pPr>
      <w:r w:rsidRPr="006E59F1">
        <w:rPr>
          <w:rFonts w:ascii="Times New Roman" w:hAnsi="Times New Roman" w:cs="Times New Roman"/>
          <w:b/>
          <w:bCs/>
          <w:color w:val="000000"/>
          <w:sz w:val="20"/>
          <w:szCs w:val="20"/>
          <w:shd w:val="clear" w:color="auto" w:fill="FFFFFF"/>
        </w:rPr>
        <w:t>Fig.</w:t>
      </w:r>
      <w:r>
        <w:rPr>
          <w:rFonts w:ascii="Times New Roman" w:hAnsi="Times New Roman" w:cs="Times New Roman"/>
          <w:b/>
          <w:bCs/>
          <w:color w:val="000000"/>
          <w:sz w:val="20"/>
          <w:szCs w:val="20"/>
          <w:shd w:val="clear" w:color="auto" w:fill="FFFFFF"/>
        </w:rPr>
        <w:t xml:space="preserve"> </w:t>
      </w:r>
      <w:r w:rsidRPr="006E59F1">
        <w:rPr>
          <w:rFonts w:ascii="Times New Roman" w:hAnsi="Times New Roman" w:cs="Times New Roman"/>
          <w:b/>
          <w:bCs/>
          <w:color w:val="000000"/>
          <w:sz w:val="20"/>
          <w:szCs w:val="20"/>
          <w:shd w:val="clear" w:color="auto" w:fill="FFFFFF"/>
        </w:rPr>
        <w:t xml:space="preserve">7 </w:t>
      </w:r>
      <w:proofErr w:type="spellStart"/>
      <w:r w:rsidRPr="006E59F1">
        <w:rPr>
          <w:rFonts w:ascii="Times New Roman" w:hAnsi="Times New Roman" w:cs="Times New Roman"/>
          <w:color w:val="000000" w:themeColor="text1"/>
          <w:sz w:val="20"/>
          <w:szCs w:val="20"/>
          <w:shd w:val="clear" w:color="auto" w:fill="FFFFFF"/>
        </w:rPr>
        <w:t>Pullout</w:t>
      </w:r>
      <w:proofErr w:type="spellEnd"/>
      <w:r w:rsidRPr="006E59F1">
        <w:rPr>
          <w:rFonts w:ascii="Times New Roman" w:hAnsi="Times New Roman" w:cs="Times New Roman"/>
          <w:color w:val="000000" w:themeColor="text1"/>
          <w:sz w:val="20"/>
          <w:szCs w:val="20"/>
          <w:shd w:val="clear" w:color="auto" w:fill="FFFFFF"/>
        </w:rPr>
        <w:t xml:space="preserve"> capacity </w:t>
      </w:r>
      <w:r>
        <w:rPr>
          <w:rFonts w:ascii="Times New Roman" w:hAnsi="Times New Roman" w:cs="Times New Roman"/>
          <w:color w:val="000000" w:themeColor="text1"/>
          <w:sz w:val="20"/>
          <w:szCs w:val="20"/>
          <w:shd w:val="clear" w:color="auto" w:fill="FFFFFF"/>
        </w:rPr>
        <w:t>versus</w:t>
      </w:r>
      <w:r w:rsidRPr="006E59F1">
        <w:rPr>
          <w:rFonts w:ascii="Times New Roman" w:hAnsi="Times New Roman" w:cs="Times New Roman"/>
          <w:color w:val="000000" w:themeColor="text1"/>
          <w:sz w:val="20"/>
          <w:szCs w:val="20"/>
          <w:shd w:val="clear" w:color="auto" w:fill="FFFFFF"/>
        </w:rPr>
        <w:t xml:space="preserve"> displacement curve (a) Square plate anchor (b) H-shaped plate anchor</w:t>
      </w:r>
    </w:p>
    <w:p w14:paraId="1D3111B2" w14:textId="77777777" w:rsidR="00433093" w:rsidRDefault="00433093" w:rsidP="00433093"/>
    <w:p w14:paraId="7E80A796" w14:textId="77777777" w:rsidR="00433093" w:rsidRDefault="00433093" w:rsidP="00433093"/>
    <w:p w14:paraId="28AA221A" w14:textId="77777777" w:rsidR="00433093" w:rsidRDefault="00433093" w:rsidP="00433093"/>
    <w:p w14:paraId="21EAF59F" w14:textId="77777777" w:rsidR="00433093" w:rsidRDefault="00433093" w:rsidP="00433093"/>
    <w:p w14:paraId="4DDD94C0" w14:textId="77777777" w:rsidR="00433093" w:rsidRDefault="00433093" w:rsidP="00433093"/>
    <w:p w14:paraId="48A0683C" w14:textId="77777777" w:rsidR="00433093" w:rsidRDefault="00433093" w:rsidP="00433093"/>
    <w:p w14:paraId="4CCBA182" w14:textId="77777777" w:rsidR="00433093" w:rsidRDefault="00433093" w:rsidP="00433093"/>
    <w:p w14:paraId="3AFFDEA7" w14:textId="77777777" w:rsidR="00433093" w:rsidRDefault="00433093" w:rsidP="00433093"/>
    <w:p w14:paraId="050D9220" w14:textId="77777777" w:rsidR="00433093" w:rsidRDefault="00433093" w:rsidP="00433093"/>
    <w:p w14:paraId="74AB86DA" w14:textId="77777777" w:rsidR="00433093" w:rsidRDefault="00433093" w:rsidP="00433093"/>
    <w:p w14:paraId="73613FFE" w14:textId="77777777" w:rsidR="00433093" w:rsidRDefault="00433093" w:rsidP="00433093"/>
    <w:p w14:paraId="74E0FB91" w14:textId="77777777" w:rsidR="00433093" w:rsidRDefault="00433093" w:rsidP="00433093"/>
    <w:p w14:paraId="761FD319" w14:textId="77777777" w:rsidR="00433093" w:rsidRDefault="00433093" w:rsidP="00433093"/>
    <w:p w14:paraId="3DF255CD" w14:textId="77777777" w:rsidR="00433093" w:rsidRDefault="00433093" w:rsidP="00433093"/>
    <w:p w14:paraId="14D26CB9" w14:textId="77777777" w:rsidR="00433093" w:rsidRDefault="00433093" w:rsidP="00433093"/>
    <w:p w14:paraId="67A1A11D" w14:textId="77777777" w:rsidR="00433093" w:rsidRDefault="00433093" w:rsidP="00433093"/>
    <w:p w14:paraId="3EAEC04F" w14:textId="77777777" w:rsidR="00433093" w:rsidRDefault="00433093" w:rsidP="00433093"/>
    <w:p w14:paraId="51146A52" w14:textId="77777777" w:rsidR="00433093" w:rsidRDefault="00433093" w:rsidP="004330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48"/>
        <w:gridCol w:w="4768"/>
      </w:tblGrid>
      <w:tr w:rsidR="00433093" w:rsidRPr="006E59F1" w14:paraId="7E94AB65" w14:textId="77777777" w:rsidTr="001E626B">
        <w:tc>
          <w:tcPr>
            <w:tcW w:w="4248" w:type="dxa"/>
          </w:tcPr>
          <w:p w14:paraId="173F9A8B" w14:textId="77777777" w:rsidR="00433093" w:rsidRPr="006E59F1" w:rsidRDefault="00433093" w:rsidP="001E626B">
            <w:pPr>
              <w:keepNext/>
              <w:spacing w:line="360" w:lineRule="auto"/>
              <w:rPr>
                <w:sz w:val="20"/>
                <w:szCs w:val="20"/>
              </w:rPr>
            </w:pPr>
            <w:r w:rsidRPr="006E59F1">
              <w:rPr>
                <w:rFonts w:ascii="Times New Roman" w:hAnsi="Times New Roman" w:cs="Times New Roman"/>
                <w:noProof/>
                <w:color w:val="000000" w:themeColor="text1"/>
                <w:sz w:val="20"/>
                <w:szCs w:val="20"/>
              </w:rPr>
              <w:lastRenderedPageBreak/>
              <w:drawing>
                <wp:inline distT="0" distB="0" distL="0" distR="0" wp14:anchorId="075B5F8B" wp14:editId="576D1BAE">
                  <wp:extent cx="2644727" cy="2271932"/>
                  <wp:effectExtent l="0" t="0" r="381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E18764C" w14:textId="77777777" w:rsidR="00433093" w:rsidRPr="006E59F1" w:rsidRDefault="00433093" w:rsidP="001E626B">
            <w:pPr>
              <w:pStyle w:val="Caption"/>
              <w:spacing w:line="360" w:lineRule="auto"/>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 xml:space="preserve">                               (a)</w:t>
            </w:r>
          </w:p>
        </w:tc>
        <w:tc>
          <w:tcPr>
            <w:tcW w:w="4768" w:type="dxa"/>
          </w:tcPr>
          <w:p w14:paraId="0B7F3D78"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0FCBC74B" wp14:editId="17A93D00">
                  <wp:extent cx="2686050" cy="2239107"/>
                  <wp:effectExtent l="0" t="0" r="0" b="8890"/>
                  <wp:docPr id="19" name="Chart 19">
                    <a:extLst xmlns:a="http://schemas.openxmlformats.org/drawingml/2006/main">
                      <a:ext uri="{FF2B5EF4-FFF2-40B4-BE49-F238E27FC236}">
                        <a16:creationId xmlns:a16="http://schemas.microsoft.com/office/drawing/2014/main" id="{FDA6149D-97DD-784B-AD04-AA7EB4D18F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65E1D0" w14:textId="77777777" w:rsidR="00433093" w:rsidRPr="006E59F1" w:rsidRDefault="00433093" w:rsidP="001E626B">
            <w:pPr>
              <w:pStyle w:val="Caption"/>
              <w:spacing w:line="360" w:lineRule="auto"/>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 xml:space="preserve">                               (b)</w:t>
            </w:r>
          </w:p>
        </w:tc>
      </w:tr>
    </w:tbl>
    <w:p w14:paraId="288042CB" w14:textId="77777777" w:rsidR="00433093" w:rsidRPr="006E59F1" w:rsidRDefault="00433093" w:rsidP="00433093">
      <w:pPr>
        <w:spacing w:line="360" w:lineRule="auto"/>
        <w:jc w:val="center"/>
        <w:rPr>
          <w:rFonts w:ascii="Times New Roman" w:hAnsi="Times New Roman" w:cs="Times New Roman"/>
          <w:color w:val="000000" w:themeColor="text1"/>
          <w:sz w:val="20"/>
          <w:szCs w:val="20"/>
          <w:shd w:val="clear" w:color="auto" w:fill="FFFFFF"/>
        </w:rPr>
      </w:pPr>
      <w:r w:rsidRPr="006E59F1">
        <w:rPr>
          <w:rFonts w:ascii="Times New Roman" w:hAnsi="Times New Roman" w:cs="Times New Roman"/>
          <w:b/>
          <w:bCs/>
          <w:color w:val="000000" w:themeColor="text1"/>
          <w:sz w:val="20"/>
          <w:szCs w:val="20"/>
        </w:rPr>
        <w:t>Fig.</w:t>
      </w:r>
      <w:r>
        <w:rPr>
          <w:rFonts w:ascii="Times New Roman" w:hAnsi="Times New Roman" w:cs="Times New Roman"/>
          <w:b/>
          <w:bCs/>
          <w:color w:val="000000" w:themeColor="text1"/>
          <w:sz w:val="20"/>
          <w:szCs w:val="20"/>
        </w:rPr>
        <w:t xml:space="preserve"> </w:t>
      </w:r>
      <w:r w:rsidRPr="006E59F1">
        <w:rPr>
          <w:rFonts w:ascii="Times New Roman" w:hAnsi="Times New Roman" w:cs="Times New Roman"/>
          <w:b/>
          <w:bCs/>
          <w:color w:val="000000"/>
          <w:sz w:val="20"/>
          <w:szCs w:val="20"/>
          <w:shd w:val="clear" w:color="auto" w:fill="FFFFFF"/>
        </w:rPr>
        <w:t xml:space="preserve">8 </w:t>
      </w:r>
      <w:proofErr w:type="spellStart"/>
      <w:r w:rsidRPr="006E59F1">
        <w:rPr>
          <w:rFonts w:ascii="Times New Roman" w:hAnsi="Times New Roman" w:cs="Times New Roman"/>
          <w:color w:val="000000" w:themeColor="text1"/>
          <w:sz w:val="20"/>
          <w:szCs w:val="20"/>
          <w:shd w:val="clear" w:color="auto" w:fill="FFFFFF"/>
        </w:rPr>
        <w:t>Pullout</w:t>
      </w:r>
      <w:proofErr w:type="spellEnd"/>
      <w:r w:rsidRPr="006E59F1">
        <w:rPr>
          <w:rFonts w:ascii="Times New Roman" w:hAnsi="Times New Roman" w:cs="Times New Roman"/>
          <w:color w:val="000000" w:themeColor="text1"/>
          <w:sz w:val="20"/>
          <w:szCs w:val="20"/>
          <w:shd w:val="clear" w:color="auto" w:fill="FFFFFF"/>
        </w:rPr>
        <w:t xml:space="preserve"> capacity </w:t>
      </w:r>
      <w:r>
        <w:rPr>
          <w:rFonts w:ascii="Times New Roman" w:hAnsi="Times New Roman" w:cs="Times New Roman"/>
          <w:color w:val="000000" w:themeColor="text1"/>
          <w:sz w:val="20"/>
          <w:szCs w:val="20"/>
          <w:shd w:val="clear" w:color="auto" w:fill="FFFFFF"/>
        </w:rPr>
        <w:t>versus</w:t>
      </w:r>
      <w:r w:rsidRPr="006E59F1">
        <w:rPr>
          <w:rFonts w:ascii="Times New Roman" w:hAnsi="Times New Roman" w:cs="Times New Roman"/>
          <w:color w:val="000000" w:themeColor="text1"/>
          <w:sz w:val="20"/>
          <w:szCs w:val="20"/>
          <w:shd w:val="clear" w:color="auto" w:fill="FFFFFF"/>
        </w:rPr>
        <w:t xml:space="preserve"> displacement curve (a) Square plate anchor (b) H-shaped plate anchor</w:t>
      </w:r>
    </w:p>
    <w:p w14:paraId="5B8F3E63" w14:textId="77777777" w:rsidR="00433093" w:rsidRDefault="00433093" w:rsidP="00433093"/>
    <w:p w14:paraId="2159313C" w14:textId="77777777" w:rsidR="00433093" w:rsidRDefault="00433093" w:rsidP="00433093"/>
    <w:p w14:paraId="75C29965" w14:textId="77777777" w:rsidR="00433093" w:rsidRDefault="00433093" w:rsidP="00433093"/>
    <w:p w14:paraId="4583A649" w14:textId="77777777" w:rsidR="00433093" w:rsidRDefault="00433093" w:rsidP="00433093"/>
    <w:p w14:paraId="668F1C41" w14:textId="77777777" w:rsidR="00433093" w:rsidRDefault="00433093" w:rsidP="00433093"/>
    <w:p w14:paraId="1B3BCC5F" w14:textId="77777777" w:rsidR="00433093" w:rsidRDefault="00433093" w:rsidP="00433093"/>
    <w:p w14:paraId="601C1B6C" w14:textId="77777777" w:rsidR="00433093" w:rsidRDefault="00433093" w:rsidP="00433093"/>
    <w:p w14:paraId="3154DFF1" w14:textId="77777777" w:rsidR="00433093" w:rsidRDefault="00433093" w:rsidP="00433093"/>
    <w:p w14:paraId="201FF4FF" w14:textId="77777777" w:rsidR="00433093" w:rsidRDefault="00433093" w:rsidP="00433093"/>
    <w:p w14:paraId="0506A951" w14:textId="77777777" w:rsidR="00433093" w:rsidRDefault="00433093" w:rsidP="00433093"/>
    <w:p w14:paraId="6B9A3142" w14:textId="77777777" w:rsidR="00433093" w:rsidRDefault="00433093" w:rsidP="00433093"/>
    <w:p w14:paraId="1560B0F5" w14:textId="77777777" w:rsidR="00433093" w:rsidRDefault="00433093" w:rsidP="00433093"/>
    <w:p w14:paraId="397163C5" w14:textId="77777777" w:rsidR="00433093" w:rsidRDefault="00433093" w:rsidP="00433093"/>
    <w:p w14:paraId="4E0D6252" w14:textId="77777777" w:rsidR="00433093" w:rsidRDefault="00433093" w:rsidP="00433093"/>
    <w:p w14:paraId="7281B0E3" w14:textId="77777777" w:rsidR="00433093" w:rsidRDefault="00433093" w:rsidP="00433093"/>
    <w:p w14:paraId="746BF125" w14:textId="77777777" w:rsidR="00433093" w:rsidRDefault="00433093" w:rsidP="00433093"/>
    <w:p w14:paraId="6C0EFBDE" w14:textId="77777777" w:rsidR="00433093" w:rsidRDefault="00433093" w:rsidP="00433093"/>
    <w:p w14:paraId="15E1755A" w14:textId="77777777" w:rsidR="00433093" w:rsidRDefault="00433093" w:rsidP="004330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424"/>
      </w:tblGrid>
      <w:tr w:rsidR="00433093" w:rsidRPr="006E59F1" w14:paraId="76F25F52" w14:textId="77777777" w:rsidTr="001E626B">
        <w:tc>
          <w:tcPr>
            <w:tcW w:w="4602" w:type="dxa"/>
          </w:tcPr>
          <w:p w14:paraId="055FC15C" w14:textId="77777777" w:rsidR="00433093" w:rsidRPr="006E59F1" w:rsidRDefault="00433093" w:rsidP="001E626B">
            <w:pPr>
              <w:keepNext/>
              <w:spacing w:line="360" w:lineRule="auto"/>
              <w:rPr>
                <w:sz w:val="20"/>
                <w:szCs w:val="20"/>
              </w:rPr>
            </w:pPr>
            <w:r w:rsidRPr="006E59F1">
              <w:rPr>
                <w:noProof/>
                <w:sz w:val="20"/>
                <w:szCs w:val="20"/>
              </w:rPr>
              <w:lastRenderedPageBreak/>
              <w:drawing>
                <wp:inline distT="0" distB="0" distL="0" distR="0" wp14:anchorId="5295D7AE" wp14:editId="59800E45">
                  <wp:extent cx="2819400" cy="2468880"/>
                  <wp:effectExtent l="0" t="0" r="0" b="762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899AB9" w14:textId="77777777" w:rsidR="00433093" w:rsidRPr="006E59F1" w:rsidRDefault="00433093" w:rsidP="001E626B">
            <w:pPr>
              <w:pStyle w:val="Caption"/>
              <w:spacing w:after="0" w:line="360" w:lineRule="auto"/>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 xml:space="preserve">                                        (a)</w:t>
            </w:r>
          </w:p>
        </w:tc>
        <w:tc>
          <w:tcPr>
            <w:tcW w:w="4424" w:type="dxa"/>
          </w:tcPr>
          <w:p w14:paraId="4B017CCE"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20B041AA" wp14:editId="24D3CD02">
                  <wp:extent cx="2695771" cy="2468880"/>
                  <wp:effectExtent l="0" t="0" r="9525" b="7620"/>
                  <wp:docPr id="21" name="Chart 21">
                    <a:extLst xmlns:a="http://schemas.openxmlformats.org/drawingml/2006/main">
                      <a:ext uri="{FF2B5EF4-FFF2-40B4-BE49-F238E27FC236}">
                        <a16:creationId xmlns:a16="http://schemas.microsoft.com/office/drawing/2014/main" id="{9F49DF76-3B94-1CC7-767B-C69F4EE30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31DBD43" w14:textId="77777777" w:rsidR="00433093" w:rsidRPr="006E59F1" w:rsidRDefault="00433093" w:rsidP="001E626B">
            <w:pPr>
              <w:pStyle w:val="Caption"/>
              <w:spacing w:after="0" w:line="360" w:lineRule="auto"/>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 xml:space="preserve">                                (b)</w:t>
            </w:r>
          </w:p>
        </w:tc>
      </w:tr>
    </w:tbl>
    <w:p w14:paraId="4B3FBE88" w14:textId="77777777" w:rsidR="00433093" w:rsidRPr="006E59F1" w:rsidRDefault="00433093" w:rsidP="00433093">
      <w:pPr>
        <w:spacing w:line="360" w:lineRule="auto"/>
        <w:jc w:val="center"/>
        <w:rPr>
          <w:rFonts w:ascii="Times New Roman" w:hAnsi="Times New Roman" w:cs="Times New Roman"/>
          <w:color w:val="000000" w:themeColor="text1"/>
          <w:sz w:val="20"/>
          <w:szCs w:val="20"/>
          <w:shd w:val="clear" w:color="auto" w:fill="FFFFFF"/>
        </w:rPr>
      </w:pPr>
      <w:r w:rsidRPr="006E59F1">
        <w:rPr>
          <w:rFonts w:ascii="Times New Roman" w:hAnsi="Times New Roman" w:cs="Times New Roman"/>
          <w:b/>
          <w:bCs/>
          <w:color w:val="000000" w:themeColor="text1"/>
          <w:sz w:val="20"/>
          <w:szCs w:val="20"/>
          <w:shd w:val="clear" w:color="auto" w:fill="FFFFFF"/>
        </w:rPr>
        <w:t>Fig.</w:t>
      </w:r>
      <w:r>
        <w:rPr>
          <w:rFonts w:ascii="Times New Roman" w:hAnsi="Times New Roman" w:cs="Times New Roman"/>
          <w:b/>
          <w:bCs/>
          <w:color w:val="000000" w:themeColor="text1"/>
          <w:sz w:val="20"/>
          <w:szCs w:val="20"/>
          <w:shd w:val="clear" w:color="auto" w:fill="FFFFFF"/>
        </w:rPr>
        <w:t xml:space="preserve"> </w:t>
      </w:r>
      <w:r w:rsidRPr="006E59F1">
        <w:rPr>
          <w:rFonts w:ascii="Times New Roman" w:hAnsi="Times New Roman" w:cs="Times New Roman"/>
          <w:b/>
          <w:bCs/>
          <w:color w:val="000000"/>
          <w:sz w:val="20"/>
          <w:szCs w:val="20"/>
          <w:shd w:val="clear" w:color="auto" w:fill="FFFFFF"/>
        </w:rPr>
        <w:t xml:space="preserve">9 </w:t>
      </w:r>
      <w:proofErr w:type="spellStart"/>
      <w:r w:rsidRPr="006E59F1">
        <w:rPr>
          <w:rFonts w:ascii="Times New Roman" w:hAnsi="Times New Roman" w:cs="Times New Roman"/>
          <w:color w:val="000000" w:themeColor="text1"/>
          <w:sz w:val="20"/>
          <w:szCs w:val="20"/>
          <w:shd w:val="clear" w:color="auto" w:fill="FFFFFF"/>
        </w:rPr>
        <w:t>Pullout</w:t>
      </w:r>
      <w:proofErr w:type="spellEnd"/>
      <w:r w:rsidRPr="006E59F1">
        <w:rPr>
          <w:rFonts w:ascii="Times New Roman" w:hAnsi="Times New Roman" w:cs="Times New Roman"/>
          <w:color w:val="000000" w:themeColor="text1"/>
          <w:sz w:val="20"/>
          <w:szCs w:val="20"/>
          <w:shd w:val="clear" w:color="auto" w:fill="FFFFFF"/>
        </w:rPr>
        <w:t xml:space="preserve"> capacity </w:t>
      </w:r>
      <w:r>
        <w:rPr>
          <w:rFonts w:ascii="Times New Roman" w:hAnsi="Times New Roman" w:cs="Times New Roman"/>
          <w:color w:val="000000" w:themeColor="text1"/>
          <w:sz w:val="20"/>
          <w:szCs w:val="20"/>
          <w:shd w:val="clear" w:color="auto" w:fill="FFFFFF"/>
        </w:rPr>
        <w:t>versus</w:t>
      </w:r>
      <w:r w:rsidRPr="006E59F1">
        <w:rPr>
          <w:rFonts w:ascii="Times New Roman" w:hAnsi="Times New Roman" w:cs="Times New Roman"/>
          <w:color w:val="000000" w:themeColor="text1"/>
          <w:sz w:val="20"/>
          <w:szCs w:val="20"/>
          <w:shd w:val="clear" w:color="auto" w:fill="FFFFFF"/>
        </w:rPr>
        <w:t xml:space="preserve"> displacement curve (a) Square plate anchor (b) H-shaped plate anchor</w:t>
      </w:r>
    </w:p>
    <w:p w14:paraId="677D370E" w14:textId="77777777" w:rsidR="00433093" w:rsidRDefault="00433093" w:rsidP="00433093">
      <w:pPr>
        <w:spacing w:line="360" w:lineRule="auto"/>
        <w:jc w:val="both"/>
        <w:rPr>
          <w:rStyle w:val="Strong"/>
          <w:rFonts w:ascii="Times New Roman" w:hAnsi="Times New Roman" w:cs="Times New Roman"/>
          <w:b w:val="0"/>
          <w:bCs w:val="0"/>
          <w:color w:val="252525"/>
          <w:sz w:val="20"/>
          <w:szCs w:val="20"/>
        </w:rPr>
      </w:pPr>
    </w:p>
    <w:p w14:paraId="49B5F126" w14:textId="77777777" w:rsidR="00433093" w:rsidRDefault="00433093" w:rsidP="00433093">
      <w:pPr>
        <w:spacing w:line="360" w:lineRule="auto"/>
        <w:jc w:val="both"/>
        <w:rPr>
          <w:rStyle w:val="Strong"/>
          <w:color w:val="252525"/>
        </w:rPr>
      </w:pPr>
    </w:p>
    <w:p w14:paraId="63F10935" w14:textId="77777777" w:rsidR="00433093" w:rsidRDefault="00433093" w:rsidP="00433093">
      <w:pPr>
        <w:spacing w:line="360" w:lineRule="auto"/>
        <w:jc w:val="both"/>
        <w:rPr>
          <w:rStyle w:val="Strong"/>
          <w:color w:val="252525"/>
        </w:rPr>
      </w:pPr>
    </w:p>
    <w:p w14:paraId="30FB1E41" w14:textId="77777777" w:rsidR="00433093" w:rsidRDefault="00433093" w:rsidP="00433093">
      <w:pPr>
        <w:spacing w:line="360" w:lineRule="auto"/>
        <w:jc w:val="both"/>
        <w:rPr>
          <w:rStyle w:val="Strong"/>
          <w:color w:val="252525"/>
        </w:rPr>
      </w:pPr>
    </w:p>
    <w:p w14:paraId="2CC481F3" w14:textId="77777777" w:rsidR="00433093" w:rsidRDefault="00433093" w:rsidP="00433093">
      <w:pPr>
        <w:spacing w:line="360" w:lineRule="auto"/>
        <w:jc w:val="both"/>
        <w:rPr>
          <w:rStyle w:val="Strong"/>
          <w:color w:val="252525"/>
        </w:rPr>
      </w:pPr>
    </w:p>
    <w:p w14:paraId="09BA150E" w14:textId="77777777" w:rsidR="00433093" w:rsidRDefault="00433093" w:rsidP="00433093">
      <w:pPr>
        <w:spacing w:line="360" w:lineRule="auto"/>
        <w:jc w:val="both"/>
        <w:rPr>
          <w:rStyle w:val="Strong"/>
          <w:color w:val="252525"/>
        </w:rPr>
      </w:pPr>
    </w:p>
    <w:p w14:paraId="42C68264" w14:textId="77777777" w:rsidR="00433093" w:rsidRDefault="00433093" w:rsidP="00433093">
      <w:pPr>
        <w:spacing w:line="360" w:lineRule="auto"/>
        <w:jc w:val="both"/>
        <w:rPr>
          <w:rStyle w:val="Strong"/>
          <w:color w:val="252525"/>
        </w:rPr>
      </w:pPr>
    </w:p>
    <w:p w14:paraId="54851B08" w14:textId="77777777" w:rsidR="00433093" w:rsidRDefault="00433093" w:rsidP="00433093">
      <w:pPr>
        <w:spacing w:line="360" w:lineRule="auto"/>
        <w:jc w:val="both"/>
        <w:rPr>
          <w:rStyle w:val="Strong"/>
          <w:color w:val="252525"/>
        </w:rPr>
      </w:pPr>
    </w:p>
    <w:p w14:paraId="116AE08B" w14:textId="77777777" w:rsidR="00433093" w:rsidRDefault="00433093" w:rsidP="00433093">
      <w:pPr>
        <w:spacing w:line="360" w:lineRule="auto"/>
        <w:jc w:val="both"/>
        <w:rPr>
          <w:rStyle w:val="Strong"/>
          <w:color w:val="252525"/>
        </w:rPr>
      </w:pPr>
    </w:p>
    <w:p w14:paraId="4C34F7C8" w14:textId="77777777" w:rsidR="00433093" w:rsidRDefault="00433093" w:rsidP="00433093">
      <w:pPr>
        <w:spacing w:line="360" w:lineRule="auto"/>
        <w:jc w:val="both"/>
        <w:rPr>
          <w:rStyle w:val="Strong"/>
          <w:color w:val="252525"/>
        </w:rPr>
      </w:pPr>
    </w:p>
    <w:p w14:paraId="271291D8" w14:textId="77777777" w:rsidR="00433093" w:rsidRDefault="00433093" w:rsidP="00433093">
      <w:pPr>
        <w:spacing w:line="360" w:lineRule="auto"/>
        <w:jc w:val="both"/>
        <w:rPr>
          <w:rStyle w:val="Strong"/>
          <w:color w:val="252525"/>
        </w:rPr>
      </w:pPr>
    </w:p>
    <w:p w14:paraId="0E71CB50" w14:textId="77777777" w:rsidR="00433093" w:rsidRDefault="00433093" w:rsidP="00433093">
      <w:pPr>
        <w:spacing w:line="360" w:lineRule="auto"/>
        <w:jc w:val="both"/>
        <w:rPr>
          <w:rStyle w:val="Strong"/>
          <w:color w:val="252525"/>
        </w:rPr>
      </w:pPr>
    </w:p>
    <w:p w14:paraId="3E91663F" w14:textId="77777777" w:rsidR="00433093" w:rsidRDefault="00433093" w:rsidP="00433093">
      <w:pPr>
        <w:spacing w:line="360" w:lineRule="auto"/>
        <w:jc w:val="both"/>
        <w:rPr>
          <w:rStyle w:val="Strong"/>
          <w:color w:val="252525"/>
        </w:rPr>
      </w:pPr>
    </w:p>
    <w:p w14:paraId="6B0C62D7" w14:textId="77777777" w:rsidR="00433093" w:rsidRPr="006E59F1" w:rsidRDefault="00433093" w:rsidP="00433093">
      <w:pPr>
        <w:spacing w:line="360" w:lineRule="auto"/>
        <w:jc w:val="both"/>
        <w:rPr>
          <w:rStyle w:val="Strong"/>
          <w:rFonts w:ascii="Times New Roman" w:hAnsi="Times New Roman" w:cs="Times New Roman"/>
          <w:b w:val="0"/>
          <w:bCs w:val="0"/>
          <w:color w:val="252525"/>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6"/>
        <w:gridCol w:w="4670"/>
      </w:tblGrid>
      <w:tr w:rsidR="00433093" w:rsidRPr="006E59F1" w14:paraId="429849C6" w14:textId="77777777" w:rsidTr="001E626B">
        <w:tc>
          <w:tcPr>
            <w:tcW w:w="4356" w:type="dxa"/>
          </w:tcPr>
          <w:p w14:paraId="5538B7C8" w14:textId="77777777" w:rsidR="00433093" w:rsidRPr="006E59F1" w:rsidRDefault="00433093" w:rsidP="001E626B">
            <w:pPr>
              <w:keepNext/>
              <w:spacing w:line="360" w:lineRule="auto"/>
              <w:rPr>
                <w:sz w:val="20"/>
                <w:szCs w:val="20"/>
              </w:rPr>
            </w:pPr>
            <w:r w:rsidRPr="006E59F1">
              <w:rPr>
                <w:noProof/>
                <w:sz w:val="20"/>
                <w:szCs w:val="20"/>
              </w:rPr>
              <w:lastRenderedPageBreak/>
              <w:drawing>
                <wp:inline distT="0" distB="0" distL="0" distR="0" wp14:anchorId="6C6C8CAE" wp14:editId="1B5DEFF1">
                  <wp:extent cx="2762250" cy="2679700"/>
                  <wp:effectExtent l="0" t="0" r="0" b="63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BEF6039" w14:textId="77777777" w:rsidR="00433093" w:rsidRPr="006E59F1" w:rsidRDefault="00433093" w:rsidP="001E626B">
            <w:pPr>
              <w:pStyle w:val="Caption"/>
              <w:spacing w:after="0" w:line="360" w:lineRule="auto"/>
              <w:jc w:val="center"/>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(a)</w:t>
            </w:r>
          </w:p>
        </w:tc>
        <w:tc>
          <w:tcPr>
            <w:tcW w:w="4670" w:type="dxa"/>
          </w:tcPr>
          <w:p w14:paraId="294B727B"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7DCAA66C" wp14:editId="625F6E13">
                  <wp:extent cx="2967355" cy="2679700"/>
                  <wp:effectExtent l="0" t="0" r="4445" b="6350"/>
                  <wp:docPr id="25" name="Chart 25">
                    <a:extLst xmlns:a="http://schemas.openxmlformats.org/drawingml/2006/main">
                      <a:ext uri="{FF2B5EF4-FFF2-40B4-BE49-F238E27FC236}">
                        <a16:creationId xmlns:a16="http://schemas.microsoft.com/office/drawing/2014/main" id="{3714C1FE-A250-C408-F65B-AA3E4AB4F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E739141" w14:textId="77777777" w:rsidR="00433093" w:rsidRPr="006E59F1" w:rsidRDefault="00433093" w:rsidP="001E626B">
            <w:pPr>
              <w:pStyle w:val="Caption"/>
              <w:spacing w:after="0" w:line="360" w:lineRule="auto"/>
              <w:jc w:val="center"/>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(b)</w:t>
            </w:r>
          </w:p>
        </w:tc>
      </w:tr>
    </w:tbl>
    <w:p w14:paraId="6752FEA1" w14:textId="77777777" w:rsidR="00433093" w:rsidRDefault="00433093" w:rsidP="00433093">
      <w:pPr>
        <w:spacing w:line="360" w:lineRule="auto"/>
        <w:jc w:val="center"/>
        <w:rPr>
          <w:rFonts w:ascii="Times New Roman" w:hAnsi="Times New Roman" w:cs="Times New Roman"/>
          <w:color w:val="000000" w:themeColor="text1"/>
          <w:sz w:val="20"/>
          <w:szCs w:val="20"/>
          <w:shd w:val="clear" w:color="auto" w:fill="FFFFFF"/>
        </w:rPr>
      </w:pPr>
      <w:r w:rsidRPr="006E59F1">
        <w:rPr>
          <w:rFonts w:ascii="Times New Roman" w:hAnsi="Times New Roman" w:cs="Times New Roman"/>
          <w:b/>
          <w:bCs/>
          <w:color w:val="000000"/>
          <w:sz w:val="20"/>
          <w:szCs w:val="20"/>
          <w:shd w:val="clear" w:color="auto" w:fill="FFFFFF"/>
        </w:rPr>
        <w:t>Fig.</w:t>
      </w:r>
      <w:r>
        <w:rPr>
          <w:rFonts w:ascii="Times New Roman" w:hAnsi="Times New Roman" w:cs="Times New Roman"/>
          <w:b/>
          <w:bCs/>
          <w:color w:val="000000"/>
          <w:sz w:val="20"/>
          <w:szCs w:val="20"/>
          <w:shd w:val="clear" w:color="auto" w:fill="FFFFFF"/>
        </w:rPr>
        <w:t xml:space="preserve"> </w:t>
      </w:r>
      <w:r w:rsidRPr="006E59F1">
        <w:rPr>
          <w:rFonts w:ascii="Times New Roman" w:hAnsi="Times New Roman" w:cs="Times New Roman"/>
          <w:b/>
          <w:bCs/>
          <w:color w:val="000000"/>
          <w:sz w:val="20"/>
          <w:szCs w:val="20"/>
          <w:shd w:val="clear" w:color="auto" w:fill="FFFFFF"/>
        </w:rPr>
        <w:t xml:space="preserve">10 </w:t>
      </w:r>
      <w:proofErr w:type="spellStart"/>
      <w:r w:rsidRPr="006E59F1">
        <w:rPr>
          <w:rFonts w:ascii="Times New Roman" w:hAnsi="Times New Roman" w:cs="Times New Roman"/>
          <w:color w:val="000000" w:themeColor="text1"/>
          <w:sz w:val="20"/>
          <w:szCs w:val="20"/>
          <w:shd w:val="clear" w:color="auto" w:fill="FFFFFF"/>
        </w:rPr>
        <w:t>Pullout</w:t>
      </w:r>
      <w:proofErr w:type="spellEnd"/>
      <w:r w:rsidRPr="006E59F1">
        <w:rPr>
          <w:rFonts w:ascii="Times New Roman" w:hAnsi="Times New Roman" w:cs="Times New Roman"/>
          <w:color w:val="000000" w:themeColor="text1"/>
          <w:sz w:val="20"/>
          <w:szCs w:val="20"/>
          <w:shd w:val="clear" w:color="auto" w:fill="FFFFFF"/>
        </w:rPr>
        <w:t xml:space="preserve"> capacity </w:t>
      </w:r>
      <w:r>
        <w:rPr>
          <w:rFonts w:ascii="Times New Roman" w:hAnsi="Times New Roman" w:cs="Times New Roman"/>
          <w:color w:val="000000" w:themeColor="text1"/>
          <w:sz w:val="20"/>
          <w:szCs w:val="20"/>
          <w:shd w:val="clear" w:color="auto" w:fill="FFFFFF"/>
        </w:rPr>
        <w:t>versus</w:t>
      </w:r>
      <w:r w:rsidRPr="006E59F1">
        <w:rPr>
          <w:rFonts w:ascii="Times New Roman" w:hAnsi="Times New Roman" w:cs="Times New Roman"/>
          <w:color w:val="000000" w:themeColor="text1"/>
          <w:sz w:val="20"/>
          <w:szCs w:val="20"/>
          <w:shd w:val="clear" w:color="auto" w:fill="FFFFFF"/>
        </w:rPr>
        <w:t xml:space="preserve"> displacement curve (a) Square plate anchor (b) H-shaped plate anchor</w:t>
      </w:r>
    </w:p>
    <w:p w14:paraId="75FF4E30" w14:textId="77777777" w:rsidR="00433093" w:rsidRDefault="00433093" w:rsidP="00433093"/>
    <w:p w14:paraId="5E677043" w14:textId="77777777" w:rsidR="00433093" w:rsidRDefault="00433093" w:rsidP="00433093"/>
    <w:p w14:paraId="414A98AD" w14:textId="77777777" w:rsidR="00433093" w:rsidRDefault="00433093" w:rsidP="00433093"/>
    <w:p w14:paraId="65CFF29F" w14:textId="77777777" w:rsidR="00433093" w:rsidRDefault="00433093" w:rsidP="00433093"/>
    <w:p w14:paraId="759BAC6E" w14:textId="77777777" w:rsidR="00433093" w:rsidRDefault="00433093" w:rsidP="00433093"/>
    <w:p w14:paraId="7032DCA9" w14:textId="77777777" w:rsidR="00433093" w:rsidRDefault="00433093" w:rsidP="00433093"/>
    <w:p w14:paraId="6A484464" w14:textId="77777777" w:rsidR="00433093" w:rsidRDefault="00433093" w:rsidP="00433093"/>
    <w:p w14:paraId="71749A0D" w14:textId="77777777" w:rsidR="00433093" w:rsidRDefault="00433093" w:rsidP="00433093"/>
    <w:p w14:paraId="2146C9E1" w14:textId="77777777" w:rsidR="00433093" w:rsidRDefault="00433093" w:rsidP="00433093"/>
    <w:p w14:paraId="33BB789B" w14:textId="77777777" w:rsidR="00433093" w:rsidRDefault="00433093" w:rsidP="00433093"/>
    <w:p w14:paraId="3A0EB12B" w14:textId="77777777" w:rsidR="00433093" w:rsidRDefault="00433093" w:rsidP="00433093"/>
    <w:p w14:paraId="60AF96CF" w14:textId="77777777" w:rsidR="00433093" w:rsidRDefault="00433093" w:rsidP="00433093"/>
    <w:p w14:paraId="4B397B62" w14:textId="77777777" w:rsidR="00433093" w:rsidRDefault="00433093" w:rsidP="00433093"/>
    <w:p w14:paraId="773F45ED" w14:textId="77777777" w:rsidR="00433093" w:rsidRDefault="00433093" w:rsidP="00433093"/>
    <w:p w14:paraId="516A8171" w14:textId="77777777" w:rsidR="00433093" w:rsidRDefault="00433093" w:rsidP="00433093"/>
    <w:p w14:paraId="7DF4BF10" w14:textId="77777777" w:rsidR="00433093" w:rsidRDefault="00433093" w:rsidP="00433093"/>
    <w:p w14:paraId="3152C20C" w14:textId="77777777" w:rsidR="00433093" w:rsidRDefault="00433093" w:rsidP="004330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370"/>
      </w:tblGrid>
      <w:tr w:rsidR="00433093" w:rsidRPr="006E59F1" w14:paraId="37725E26" w14:textId="77777777" w:rsidTr="001E626B">
        <w:tc>
          <w:tcPr>
            <w:tcW w:w="4656" w:type="dxa"/>
          </w:tcPr>
          <w:p w14:paraId="4EEB1C4D" w14:textId="77777777" w:rsidR="00433093" w:rsidRPr="006E59F1" w:rsidRDefault="00433093" w:rsidP="001E626B">
            <w:pPr>
              <w:keepNext/>
              <w:spacing w:line="360" w:lineRule="auto"/>
              <w:rPr>
                <w:sz w:val="20"/>
                <w:szCs w:val="20"/>
              </w:rPr>
            </w:pPr>
            <w:r w:rsidRPr="006E59F1">
              <w:rPr>
                <w:noProof/>
                <w:sz w:val="20"/>
                <w:szCs w:val="20"/>
              </w:rPr>
              <w:lastRenderedPageBreak/>
              <w:drawing>
                <wp:inline distT="0" distB="0" distL="0" distR="0" wp14:anchorId="020EBE06" wp14:editId="0A9CADF8">
                  <wp:extent cx="2874547" cy="2454275"/>
                  <wp:effectExtent l="0" t="0" r="2540" b="3175"/>
                  <wp:docPr id="26" name="Chart 26">
                    <a:extLst xmlns:a="http://schemas.openxmlformats.org/drawingml/2006/main">
                      <a:ext uri="{FF2B5EF4-FFF2-40B4-BE49-F238E27FC236}">
                        <a16:creationId xmlns:a16="http://schemas.microsoft.com/office/drawing/2014/main" id="{846352ED-9E38-1553-E439-CA36EF603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CA99CED" w14:textId="77777777" w:rsidR="00433093" w:rsidRPr="006E59F1" w:rsidRDefault="00433093" w:rsidP="001E626B">
            <w:pPr>
              <w:pStyle w:val="Caption"/>
              <w:spacing w:after="0"/>
              <w:jc w:val="center"/>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(a)</w:t>
            </w:r>
          </w:p>
        </w:tc>
        <w:tc>
          <w:tcPr>
            <w:tcW w:w="4370" w:type="dxa"/>
          </w:tcPr>
          <w:p w14:paraId="01F5F99B"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37CAC901" wp14:editId="798E07E3">
                  <wp:extent cx="2696308" cy="2454275"/>
                  <wp:effectExtent l="0" t="0" r="8890" b="3175"/>
                  <wp:docPr id="27" name="Chart 27">
                    <a:extLst xmlns:a="http://schemas.openxmlformats.org/drawingml/2006/main">
                      <a:ext uri="{FF2B5EF4-FFF2-40B4-BE49-F238E27FC236}">
                        <a16:creationId xmlns:a16="http://schemas.microsoft.com/office/drawing/2014/main" id="{894BA4DD-396A-7B1D-DE73-ED244E418F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4756A0D" w14:textId="77777777" w:rsidR="00433093" w:rsidRPr="006E59F1" w:rsidRDefault="00433093" w:rsidP="001E626B">
            <w:pPr>
              <w:pStyle w:val="Caption"/>
              <w:spacing w:after="0" w:line="360" w:lineRule="auto"/>
              <w:jc w:val="center"/>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(b)</w:t>
            </w:r>
          </w:p>
        </w:tc>
      </w:tr>
      <w:tr w:rsidR="00433093" w:rsidRPr="006E59F1" w14:paraId="5FB91323" w14:textId="77777777" w:rsidTr="001E626B">
        <w:tc>
          <w:tcPr>
            <w:tcW w:w="4656" w:type="dxa"/>
          </w:tcPr>
          <w:p w14:paraId="3992B817"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58D18CE5" wp14:editId="7A1709BA">
                  <wp:extent cx="2952750" cy="2370406"/>
                  <wp:effectExtent l="0" t="0" r="0" b="11430"/>
                  <wp:docPr id="28" name="Chart 28">
                    <a:extLst xmlns:a="http://schemas.openxmlformats.org/drawingml/2006/main">
                      <a:ext uri="{FF2B5EF4-FFF2-40B4-BE49-F238E27FC236}">
                        <a16:creationId xmlns:a16="http://schemas.microsoft.com/office/drawing/2014/main" id="{B2F1F462-90EF-0077-CF85-6E2706D916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CAD0D7E" w14:textId="77777777" w:rsidR="00433093" w:rsidRPr="006E59F1" w:rsidRDefault="00433093" w:rsidP="001E626B">
            <w:pPr>
              <w:pStyle w:val="Caption"/>
              <w:spacing w:after="0" w:line="360" w:lineRule="auto"/>
              <w:jc w:val="center"/>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(c)</w:t>
            </w:r>
          </w:p>
        </w:tc>
        <w:tc>
          <w:tcPr>
            <w:tcW w:w="4370" w:type="dxa"/>
          </w:tcPr>
          <w:p w14:paraId="25EB6B06"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60DD0AEC" wp14:editId="1AF8DE5F">
                  <wp:extent cx="2749061" cy="2369820"/>
                  <wp:effectExtent l="0" t="0" r="13335" b="11430"/>
                  <wp:docPr id="29" name="Chart 29">
                    <a:extLst xmlns:a="http://schemas.openxmlformats.org/drawingml/2006/main">
                      <a:ext uri="{FF2B5EF4-FFF2-40B4-BE49-F238E27FC236}">
                        <a16:creationId xmlns:a16="http://schemas.microsoft.com/office/drawing/2014/main" id="{DB7CA28F-A0CB-1B85-BD73-1C73A00B66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3758D43" w14:textId="77777777" w:rsidR="00433093" w:rsidRPr="006E59F1" w:rsidRDefault="00433093" w:rsidP="001E626B">
            <w:pPr>
              <w:pStyle w:val="Caption"/>
              <w:spacing w:after="0" w:line="360" w:lineRule="auto"/>
              <w:jc w:val="center"/>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(d)</w:t>
            </w:r>
          </w:p>
        </w:tc>
      </w:tr>
    </w:tbl>
    <w:p w14:paraId="5A2010B6" w14:textId="77777777" w:rsidR="00433093" w:rsidRDefault="00433093" w:rsidP="00433093">
      <w:pPr>
        <w:rPr>
          <w:rFonts w:ascii="Times New Roman" w:hAnsi="Times New Roman" w:cs="Times New Roman"/>
          <w:color w:val="000000" w:themeColor="text1"/>
          <w:sz w:val="20"/>
          <w:szCs w:val="20"/>
          <w:shd w:val="clear" w:color="auto" w:fill="FFFFFF"/>
        </w:rPr>
      </w:pPr>
      <w:r w:rsidRPr="006E59F1">
        <w:rPr>
          <w:rFonts w:ascii="Times New Roman" w:hAnsi="Times New Roman" w:cs="Times New Roman"/>
          <w:b/>
          <w:bCs/>
          <w:color w:val="000000"/>
          <w:sz w:val="20"/>
          <w:szCs w:val="20"/>
          <w:shd w:val="clear" w:color="auto" w:fill="FFFFFF"/>
        </w:rPr>
        <w:t>Fig.</w:t>
      </w:r>
      <w:r>
        <w:rPr>
          <w:rFonts w:ascii="Times New Roman" w:hAnsi="Times New Roman" w:cs="Times New Roman"/>
          <w:b/>
          <w:bCs/>
          <w:color w:val="000000"/>
          <w:sz w:val="20"/>
          <w:szCs w:val="20"/>
          <w:shd w:val="clear" w:color="auto" w:fill="FFFFFF"/>
        </w:rPr>
        <w:t xml:space="preserve"> </w:t>
      </w:r>
      <w:r w:rsidRPr="006E59F1">
        <w:rPr>
          <w:rFonts w:ascii="Times New Roman" w:hAnsi="Times New Roman" w:cs="Times New Roman"/>
          <w:b/>
          <w:bCs/>
          <w:color w:val="000000"/>
          <w:sz w:val="20"/>
          <w:szCs w:val="20"/>
          <w:shd w:val="clear" w:color="auto" w:fill="FFFFFF"/>
        </w:rPr>
        <w:t xml:space="preserve">11 </w:t>
      </w:r>
      <w:r w:rsidRPr="00401DAE">
        <w:rPr>
          <w:rFonts w:ascii="Times New Roman" w:hAnsi="Times New Roman" w:cs="Times New Roman"/>
          <w:color w:val="000000"/>
          <w:sz w:val="20"/>
          <w:szCs w:val="20"/>
          <w:shd w:val="clear" w:color="auto" w:fill="FFFFFF"/>
        </w:rPr>
        <w:t>Curves for the</w:t>
      </w:r>
      <w:r>
        <w:rPr>
          <w:rFonts w:ascii="Times New Roman" w:hAnsi="Times New Roman" w:cs="Times New Roman"/>
          <w:b/>
          <w:bCs/>
          <w:color w:val="000000"/>
          <w:sz w:val="20"/>
          <w:szCs w:val="20"/>
          <w:shd w:val="clear" w:color="auto" w:fill="FFFFFF"/>
        </w:rPr>
        <w:t xml:space="preserve"> v</w:t>
      </w:r>
      <w:r w:rsidRPr="006E59F1">
        <w:rPr>
          <w:rFonts w:ascii="Times New Roman" w:hAnsi="Times New Roman" w:cs="Times New Roman"/>
          <w:color w:val="000000"/>
          <w:sz w:val="20"/>
          <w:szCs w:val="20"/>
          <w:shd w:val="clear" w:color="auto" w:fill="FFFFFF"/>
        </w:rPr>
        <w:t xml:space="preserve">ariation of </w:t>
      </w:r>
      <w:proofErr w:type="spellStart"/>
      <w:r w:rsidRPr="006E59F1">
        <w:rPr>
          <w:rFonts w:ascii="Times New Roman" w:hAnsi="Times New Roman" w:cs="Times New Roman"/>
          <w:color w:val="000000"/>
          <w:sz w:val="20"/>
          <w:szCs w:val="20"/>
          <w:shd w:val="clear" w:color="auto" w:fill="FFFFFF"/>
        </w:rPr>
        <w:t>pullout</w:t>
      </w:r>
      <w:proofErr w:type="spellEnd"/>
      <w:r w:rsidRPr="006E59F1">
        <w:rPr>
          <w:rFonts w:ascii="Times New Roman" w:hAnsi="Times New Roman" w:cs="Times New Roman"/>
          <w:color w:val="000000"/>
          <w:sz w:val="20"/>
          <w:szCs w:val="20"/>
          <w:shd w:val="clear" w:color="auto" w:fill="FFFFFF"/>
        </w:rPr>
        <w:t xml:space="preserve"> capacity </w:t>
      </w:r>
      <w:r>
        <w:rPr>
          <w:rFonts w:ascii="Times New Roman" w:hAnsi="Times New Roman" w:cs="Times New Roman"/>
          <w:color w:val="000000"/>
          <w:sz w:val="20"/>
          <w:szCs w:val="20"/>
          <w:shd w:val="clear" w:color="auto" w:fill="FFFFFF"/>
        </w:rPr>
        <w:t xml:space="preserve">square and H shaped plate anchors </w:t>
      </w:r>
      <w:r w:rsidRPr="006E59F1">
        <w:rPr>
          <w:rFonts w:ascii="Times New Roman" w:hAnsi="Times New Roman" w:cs="Times New Roman"/>
          <w:color w:val="000000"/>
          <w:sz w:val="20"/>
          <w:szCs w:val="20"/>
          <w:shd w:val="clear" w:color="auto" w:fill="FFFFFF"/>
        </w:rPr>
        <w:t>with (a)</w:t>
      </w:r>
      <w:r w:rsidRPr="006E59F1">
        <w:rPr>
          <w:rFonts w:ascii="Times New Roman" w:hAnsi="Times New Roman" w:cs="Times New Roman"/>
          <w:b/>
          <w:bCs/>
          <w:color w:val="000000"/>
          <w:sz w:val="20"/>
          <w:szCs w:val="20"/>
          <w:shd w:val="clear" w:color="auto" w:fill="FFFFFF"/>
        </w:rPr>
        <w:t xml:space="preserve"> </w:t>
      </w:r>
      <w:r w:rsidRPr="006E59F1">
        <w:rPr>
          <w:rFonts w:ascii="Times New Roman" w:hAnsi="Times New Roman" w:cs="Times New Roman"/>
          <w:color w:val="000000" w:themeColor="text1"/>
          <w:sz w:val="20"/>
          <w:szCs w:val="20"/>
          <w:shd w:val="clear" w:color="auto" w:fill="FFFFFF"/>
        </w:rPr>
        <w:t>relative density (b) thickness of anchor plate (c) diameter of tie rod (d) embedment depth</w:t>
      </w:r>
    </w:p>
    <w:p w14:paraId="1B2DFEA5" w14:textId="77777777" w:rsidR="00433093" w:rsidRDefault="00433093" w:rsidP="00433093"/>
    <w:p w14:paraId="4E8EC254" w14:textId="77777777" w:rsidR="00433093" w:rsidRDefault="00433093" w:rsidP="00433093"/>
    <w:p w14:paraId="55C1E7CE" w14:textId="77777777" w:rsidR="00433093" w:rsidRDefault="00433093" w:rsidP="00433093"/>
    <w:p w14:paraId="0AE6BB22" w14:textId="77777777" w:rsidR="00433093" w:rsidRDefault="00433093" w:rsidP="00433093"/>
    <w:p w14:paraId="50A5AD0A" w14:textId="77777777" w:rsidR="00433093" w:rsidRDefault="00433093" w:rsidP="00433093"/>
    <w:p w14:paraId="7EEC407B" w14:textId="77777777" w:rsidR="00433093" w:rsidRDefault="00433093" w:rsidP="00433093"/>
    <w:p w14:paraId="4872A572" w14:textId="77777777" w:rsidR="00433093" w:rsidRDefault="00433093" w:rsidP="00433093"/>
    <w:p w14:paraId="7141DC81" w14:textId="77777777" w:rsidR="00433093" w:rsidRDefault="00433093" w:rsidP="0043309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2"/>
        <w:gridCol w:w="4424"/>
      </w:tblGrid>
      <w:tr w:rsidR="00433093" w:rsidRPr="006E59F1" w14:paraId="6142FB99" w14:textId="77777777" w:rsidTr="001E626B">
        <w:tc>
          <w:tcPr>
            <w:tcW w:w="4602" w:type="dxa"/>
          </w:tcPr>
          <w:p w14:paraId="06B535C1" w14:textId="77777777" w:rsidR="00433093" w:rsidRPr="006E59F1" w:rsidRDefault="00433093" w:rsidP="001E626B">
            <w:pPr>
              <w:keepNext/>
              <w:spacing w:line="360" w:lineRule="auto"/>
              <w:rPr>
                <w:sz w:val="20"/>
                <w:szCs w:val="20"/>
              </w:rPr>
            </w:pPr>
            <w:r w:rsidRPr="006E59F1">
              <w:rPr>
                <w:noProof/>
                <w:sz w:val="20"/>
                <w:szCs w:val="20"/>
              </w:rPr>
              <w:lastRenderedPageBreak/>
              <w:drawing>
                <wp:inline distT="0" distB="0" distL="0" distR="0" wp14:anchorId="5877A5CC" wp14:editId="0120614C">
                  <wp:extent cx="2819400" cy="2468880"/>
                  <wp:effectExtent l="0" t="0" r="0" b="762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0DBEE60" w14:textId="77777777" w:rsidR="00433093" w:rsidRPr="006E59F1" w:rsidRDefault="00433093" w:rsidP="001E626B">
            <w:pPr>
              <w:pStyle w:val="Caption"/>
              <w:spacing w:after="0" w:line="360" w:lineRule="auto"/>
              <w:jc w:val="center"/>
              <w:rPr>
                <w:rFonts w:ascii="Times New Roman" w:hAnsi="Times New Roman" w:cs="Times New Roman"/>
                <w:i w:val="0"/>
                <w:iCs w:val="0"/>
                <w:sz w:val="20"/>
                <w:szCs w:val="20"/>
              </w:rPr>
            </w:pPr>
            <w:r w:rsidRPr="006E59F1">
              <w:rPr>
                <w:rFonts w:ascii="Times New Roman" w:hAnsi="Times New Roman" w:cs="Times New Roman"/>
                <w:i w:val="0"/>
                <w:iCs w:val="0"/>
                <w:color w:val="000000" w:themeColor="text1"/>
                <w:sz w:val="20"/>
                <w:szCs w:val="20"/>
              </w:rPr>
              <w:t>(a)</w:t>
            </w:r>
          </w:p>
        </w:tc>
        <w:tc>
          <w:tcPr>
            <w:tcW w:w="4424" w:type="dxa"/>
          </w:tcPr>
          <w:p w14:paraId="4054BABB" w14:textId="77777777" w:rsidR="00433093" w:rsidRPr="006E59F1" w:rsidRDefault="00433093" w:rsidP="001E626B">
            <w:pPr>
              <w:keepNext/>
              <w:spacing w:line="360" w:lineRule="auto"/>
              <w:rPr>
                <w:sz w:val="20"/>
                <w:szCs w:val="20"/>
              </w:rPr>
            </w:pPr>
            <w:r w:rsidRPr="006E59F1">
              <w:rPr>
                <w:noProof/>
                <w:sz w:val="20"/>
                <w:szCs w:val="20"/>
              </w:rPr>
              <w:drawing>
                <wp:inline distT="0" distB="0" distL="0" distR="0" wp14:anchorId="52416073" wp14:editId="311DEC54">
                  <wp:extent cx="2695771" cy="2468880"/>
                  <wp:effectExtent l="0" t="0" r="9525" b="7620"/>
                  <wp:docPr id="32" name="Chart 32">
                    <a:extLst xmlns:a="http://schemas.openxmlformats.org/drawingml/2006/main">
                      <a:ext uri="{FF2B5EF4-FFF2-40B4-BE49-F238E27FC236}">
                        <a16:creationId xmlns:a16="http://schemas.microsoft.com/office/drawing/2014/main" id="{9F49DF76-3B94-1CC7-767B-C69F4EE30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D8C7A78" w14:textId="77777777" w:rsidR="00433093" w:rsidRPr="006E59F1" w:rsidRDefault="00433093" w:rsidP="001E626B">
            <w:pPr>
              <w:pStyle w:val="Caption"/>
              <w:spacing w:after="0" w:line="360" w:lineRule="auto"/>
              <w:jc w:val="center"/>
              <w:rPr>
                <w:rFonts w:ascii="Times New Roman" w:hAnsi="Times New Roman" w:cs="Times New Roman"/>
                <w:i w:val="0"/>
                <w:iCs w:val="0"/>
                <w:color w:val="000000" w:themeColor="text1"/>
                <w:sz w:val="20"/>
                <w:szCs w:val="20"/>
              </w:rPr>
            </w:pPr>
            <w:r w:rsidRPr="006E59F1">
              <w:rPr>
                <w:rFonts w:ascii="Times New Roman" w:hAnsi="Times New Roman" w:cs="Times New Roman"/>
                <w:i w:val="0"/>
                <w:iCs w:val="0"/>
                <w:color w:val="000000" w:themeColor="text1"/>
                <w:sz w:val="20"/>
                <w:szCs w:val="20"/>
              </w:rPr>
              <w:t>(b)</w:t>
            </w:r>
          </w:p>
        </w:tc>
      </w:tr>
    </w:tbl>
    <w:p w14:paraId="61BB0AA6" w14:textId="77777777" w:rsidR="00433093" w:rsidRPr="006E59F1" w:rsidRDefault="00433093" w:rsidP="00433093">
      <w:pPr>
        <w:spacing w:line="360" w:lineRule="auto"/>
        <w:jc w:val="both"/>
        <w:rPr>
          <w:rFonts w:ascii="Times New Roman" w:hAnsi="Times New Roman" w:cs="Times New Roman"/>
          <w:color w:val="000000"/>
          <w:sz w:val="20"/>
          <w:szCs w:val="20"/>
          <w:shd w:val="clear" w:color="auto" w:fill="FFFFFF"/>
        </w:rPr>
      </w:pPr>
      <w:r w:rsidRPr="006E59F1">
        <w:rPr>
          <w:rFonts w:ascii="Times New Roman" w:hAnsi="Times New Roman" w:cs="Times New Roman"/>
          <w:b/>
          <w:bCs/>
          <w:color w:val="000000"/>
          <w:sz w:val="20"/>
          <w:szCs w:val="20"/>
          <w:shd w:val="clear" w:color="auto" w:fill="FFFFFF"/>
        </w:rPr>
        <w:t>Fig.12</w:t>
      </w:r>
      <w:r w:rsidRPr="006E59F1">
        <w:rPr>
          <w:rFonts w:ascii="Times New Roman" w:hAnsi="Times New Roman" w:cs="Times New Roman"/>
          <w:color w:val="000000"/>
          <w:sz w:val="20"/>
          <w:szCs w:val="20"/>
          <w:shd w:val="clear" w:color="auto" w:fill="FFFFFF"/>
        </w:rPr>
        <w:t xml:space="preserve"> </w:t>
      </w:r>
      <w:proofErr w:type="spellStart"/>
      <w:r w:rsidRPr="006E59F1">
        <w:rPr>
          <w:rFonts w:ascii="Times New Roman" w:hAnsi="Times New Roman" w:cs="Times New Roman"/>
          <w:color w:val="000000"/>
          <w:sz w:val="20"/>
          <w:szCs w:val="20"/>
          <w:shd w:val="clear" w:color="auto" w:fill="FFFFFF"/>
        </w:rPr>
        <w:t>Pullout</w:t>
      </w:r>
      <w:proofErr w:type="spellEnd"/>
      <w:r w:rsidRPr="006E59F1">
        <w:rPr>
          <w:rFonts w:ascii="Times New Roman" w:hAnsi="Times New Roman" w:cs="Times New Roman"/>
          <w:b/>
          <w:bCs/>
          <w:color w:val="000000"/>
          <w:sz w:val="20"/>
          <w:szCs w:val="20"/>
          <w:shd w:val="clear" w:color="auto" w:fill="FFFFFF"/>
        </w:rPr>
        <w:t xml:space="preserve"> </w:t>
      </w:r>
      <w:r w:rsidRPr="006E59F1">
        <w:rPr>
          <w:rFonts w:ascii="Times New Roman" w:hAnsi="Times New Roman" w:cs="Times New Roman"/>
          <w:color w:val="000000"/>
          <w:sz w:val="20"/>
          <w:szCs w:val="20"/>
          <w:shd w:val="clear" w:color="auto" w:fill="FFFFFF"/>
        </w:rPr>
        <w:t xml:space="preserve">capacity </w:t>
      </w:r>
      <w:r>
        <w:rPr>
          <w:rFonts w:ascii="Times New Roman" w:hAnsi="Times New Roman" w:cs="Times New Roman"/>
          <w:color w:val="000000"/>
          <w:sz w:val="20"/>
          <w:szCs w:val="20"/>
          <w:shd w:val="clear" w:color="auto" w:fill="FFFFFF"/>
        </w:rPr>
        <w:t>versus</w:t>
      </w:r>
      <w:r w:rsidRPr="006E59F1">
        <w:rPr>
          <w:rFonts w:ascii="Times New Roman" w:hAnsi="Times New Roman" w:cs="Times New Roman"/>
          <w:color w:val="000000"/>
          <w:sz w:val="20"/>
          <w:szCs w:val="20"/>
          <w:shd w:val="clear" w:color="auto" w:fill="FFFFFF"/>
        </w:rPr>
        <w:t xml:space="preserve"> displacement curve for SPA, DPA and TPA (a) Square anchor plate (b) H-shaped anchor plate</w:t>
      </w:r>
    </w:p>
    <w:p w14:paraId="5F947BFD" w14:textId="77777777" w:rsidR="00433093" w:rsidRDefault="00433093" w:rsidP="00433093"/>
    <w:p w14:paraId="5E657226" w14:textId="77777777" w:rsidR="00433093" w:rsidRDefault="00433093" w:rsidP="00433093"/>
    <w:p w14:paraId="74D90274" w14:textId="77777777" w:rsidR="00433093" w:rsidRDefault="00433093" w:rsidP="00433093"/>
    <w:p w14:paraId="44401680" w14:textId="77777777" w:rsidR="00433093" w:rsidRDefault="00433093" w:rsidP="00433093"/>
    <w:p w14:paraId="69ABF7CD" w14:textId="77777777" w:rsidR="00433093" w:rsidRDefault="00433093" w:rsidP="00433093"/>
    <w:p w14:paraId="054E625F" w14:textId="77777777" w:rsidR="00433093" w:rsidRDefault="00433093" w:rsidP="00433093"/>
    <w:p w14:paraId="2B208365" w14:textId="77777777" w:rsidR="00433093" w:rsidRDefault="00433093" w:rsidP="00433093"/>
    <w:p w14:paraId="195D8BF7" w14:textId="77777777" w:rsidR="00433093" w:rsidRDefault="00433093" w:rsidP="00433093"/>
    <w:p w14:paraId="34CF4724" w14:textId="77777777" w:rsidR="00433093" w:rsidRDefault="00433093" w:rsidP="00433093"/>
    <w:p w14:paraId="0EE903B4" w14:textId="77777777" w:rsidR="00433093" w:rsidRDefault="00433093" w:rsidP="00433093"/>
    <w:p w14:paraId="1C3FB8C8" w14:textId="77777777" w:rsidR="00433093" w:rsidRDefault="00433093" w:rsidP="00433093"/>
    <w:p w14:paraId="53A08076" w14:textId="77777777" w:rsidR="00433093" w:rsidRDefault="00433093" w:rsidP="00433093"/>
    <w:p w14:paraId="4F6D045C" w14:textId="77777777" w:rsidR="00433093" w:rsidRDefault="00433093" w:rsidP="00433093"/>
    <w:p w14:paraId="244D20EE" w14:textId="77777777" w:rsidR="00433093" w:rsidRDefault="00433093" w:rsidP="00433093"/>
    <w:p w14:paraId="3DF50654" w14:textId="77777777" w:rsidR="00433093" w:rsidRDefault="00433093" w:rsidP="00433093"/>
    <w:p w14:paraId="7C00A35F" w14:textId="77777777" w:rsidR="00433093" w:rsidRDefault="00433093" w:rsidP="00433093"/>
    <w:p w14:paraId="3F887211" w14:textId="77777777" w:rsidR="00433093" w:rsidRDefault="00433093" w:rsidP="00433093"/>
    <w:tbl>
      <w:tblPr>
        <w:tblStyle w:val="TableGrid"/>
        <w:tblW w:w="949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3118"/>
        <w:gridCol w:w="1701"/>
        <w:gridCol w:w="3261"/>
      </w:tblGrid>
      <w:tr w:rsidR="00433093" w:rsidRPr="006E59F1" w14:paraId="5E130843" w14:textId="77777777" w:rsidTr="001E626B">
        <w:trPr>
          <w:jc w:val="center"/>
        </w:trPr>
        <w:tc>
          <w:tcPr>
            <w:tcW w:w="1413" w:type="dxa"/>
          </w:tcPr>
          <w:p w14:paraId="708CC812" w14:textId="77777777" w:rsidR="00433093" w:rsidRPr="006E59F1" w:rsidRDefault="00433093" w:rsidP="001E626B">
            <w:pPr>
              <w:spacing w:line="360" w:lineRule="auto"/>
              <w:rPr>
                <w:sz w:val="20"/>
                <w:szCs w:val="20"/>
              </w:rPr>
            </w:pPr>
            <w:r w:rsidRPr="006E59F1">
              <w:rPr>
                <w:noProof/>
                <w:sz w:val="20"/>
                <w:szCs w:val="20"/>
              </w:rPr>
              <w:lastRenderedPageBreak/>
              <w:drawing>
                <wp:inline distT="0" distB="0" distL="0" distR="0" wp14:anchorId="64001B92" wp14:editId="732E8DB2">
                  <wp:extent cx="819150" cy="2603500"/>
                  <wp:effectExtent l="0" t="0" r="0" b="6350"/>
                  <wp:docPr id="40" name="Picture 4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hart, bar cha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19150" cy="2603500"/>
                          </a:xfrm>
                          <a:prstGeom prst="rect">
                            <a:avLst/>
                          </a:prstGeom>
                          <a:noFill/>
                          <a:ln>
                            <a:noFill/>
                          </a:ln>
                        </pic:spPr>
                      </pic:pic>
                    </a:graphicData>
                  </a:graphic>
                </wp:inline>
              </w:drawing>
            </w:r>
          </w:p>
        </w:tc>
        <w:tc>
          <w:tcPr>
            <w:tcW w:w="3118" w:type="dxa"/>
          </w:tcPr>
          <w:p w14:paraId="63E448D5" w14:textId="77777777" w:rsidR="00433093" w:rsidRPr="006E59F1" w:rsidRDefault="00433093" w:rsidP="001E626B">
            <w:pPr>
              <w:keepNext/>
              <w:spacing w:line="360" w:lineRule="auto"/>
              <w:rPr>
                <w:rFonts w:ascii="Times New Roman" w:hAnsi="Times New Roman" w:cs="Times New Roman"/>
                <w:sz w:val="20"/>
                <w:szCs w:val="20"/>
              </w:rPr>
            </w:pPr>
            <w:r w:rsidRPr="006E59F1">
              <w:rPr>
                <w:rFonts w:ascii="Times New Roman" w:hAnsi="Times New Roman" w:cs="Times New Roman"/>
                <w:noProof/>
                <w:sz w:val="20"/>
                <w:szCs w:val="20"/>
              </w:rPr>
              <w:drawing>
                <wp:inline distT="0" distB="0" distL="0" distR="0" wp14:anchorId="5BFEE7D0" wp14:editId="5D100408">
                  <wp:extent cx="1993900" cy="2603500"/>
                  <wp:effectExtent l="0" t="0" r="6350" b="6350"/>
                  <wp:docPr id="39" name="Picture 3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93900" cy="2603500"/>
                          </a:xfrm>
                          <a:prstGeom prst="rect">
                            <a:avLst/>
                          </a:prstGeom>
                          <a:noFill/>
                          <a:ln>
                            <a:noFill/>
                          </a:ln>
                        </pic:spPr>
                      </pic:pic>
                    </a:graphicData>
                  </a:graphic>
                </wp:inline>
              </w:drawing>
            </w:r>
          </w:p>
          <w:p w14:paraId="47CAFB9B" w14:textId="77777777" w:rsidR="00433093" w:rsidRPr="006E59F1" w:rsidRDefault="00433093" w:rsidP="001E626B">
            <w:pPr>
              <w:pStyle w:val="Caption"/>
              <w:spacing w:after="0" w:line="360" w:lineRule="auto"/>
              <w:jc w:val="center"/>
              <w:rPr>
                <w:rFonts w:ascii="Times New Roman" w:hAnsi="Times New Roman" w:cs="Times New Roman"/>
                <w:i w:val="0"/>
                <w:iCs w:val="0"/>
                <w:color w:val="auto"/>
                <w:sz w:val="20"/>
                <w:szCs w:val="20"/>
              </w:rPr>
            </w:pPr>
            <w:r w:rsidRPr="006E59F1">
              <w:rPr>
                <w:rFonts w:ascii="Times New Roman" w:hAnsi="Times New Roman" w:cs="Times New Roman"/>
                <w:i w:val="0"/>
                <w:iCs w:val="0"/>
                <w:color w:val="auto"/>
                <w:sz w:val="20"/>
                <w:szCs w:val="20"/>
              </w:rPr>
              <w:t>(a)</w:t>
            </w:r>
          </w:p>
        </w:tc>
        <w:tc>
          <w:tcPr>
            <w:tcW w:w="1701" w:type="dxa"/>
          </w:tcPr>
          <w:p w14:paraId="5123362F" w14:textId="77777777" w:rsidR="00433093" w:rsidRPr="006E59F1" w:rsidRDefault="00433093" w:rsidP="001E626B">
            <w:pPr>
              <w:spacing w:line="360" w:lineRule="auto"/>
              <w:jc w:val="center"/>
              <w:rPr>
                <w:rFonts w:ascii="Times New Roman" w:hAnsi="Times New Roman" w:cs="Times New Roman"/>
                <w:sz w:val="20"/>
                <w:szCs w:val="20"/>
              </w:rPr>
            </w:pPr>
            <w:r w:rsidRPr="006E59F1">
              <w:rPr>
                <w:rFonts w:ascii="Times New Roman" w:hAnsi="Times New Roman" w:cs="Times New Roman"/>
                <w:noProof/>
                <w:sz w:val="20"/>
                <w:szCs w:val="20"/>
              </w:rPr>
              <w:drawing>
                <wp:inline distT="0" distB="0" distL="0" distR="0" wp14:anchorId="4A778F35" wp14:editId="67BDB819">
                  <wp:extent cx="946150" cy="2603500"/>
                  <wp:effectExtent l="0" t="0" r="6350" b="6350"/>
                  <wp:docPr id="33" name="Picture 3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bar chart&#10;&#10;Description automatically generated"/>
                          <pic:cNvPicPr/>
                        </pic:nvPicPr>
                        <pic:blipFill>
                          <a:blip r:embed="rId37"/>
                          <a:stretch>
                            <a:fillRect/>
                          </a:stretch>
                        </pic:blipFill>
                        <pic:spPr>
                          <a:xfrm>
                            <a:off x="0" y="0"/>
                            <a:ext cx="946150" cy="2603500"/>
                          </a:xfrm>
                          <a:prstGeom prst="rect">
                            <a:avLst/>
                          </a:prstGeom>
                        </pic:spPr>
                      </pic:pic>
                    </a:graphicData>
                  </a:graphic>
                </wp:inline>
              </w:drawing>
            </w:r>
          </w:p>
        </w:tc>
        <w:tc>
          <w:tcPr>
            <w:tcW w:w="3261" w:type="dxa"/>
          </w:tcPr>
          <w:p w14:paraId="4EE290D9" w14:textId="77777777" w:rsidR="00433093" w:rsidRPr="006E59F1" w:rsidRDefault="00433093" w:rsidP="001E626B">
            <w:pPr>
              <w:keepNext/>
              <w:spacing w:line="360" w:lineRule="auto"/>
              <w:jc w:val="center"/>
              <w:rPr>
                <w:rFonts w:ascii="Times New Roman" w:hAnsi="Times New Roman" w:cs="Times New Roman"/>
                <w:sz w:val="20"/>
                <w:szCs w:val="20"/>
              </w:rPr>
            </w:pPr>
            <w:r w:rsidRPr="006E59F1">
              <w:rPr>
                <w:rFonts w:ascii="Times New Roman" w:hAnsi="Times New Roman" w:cs="Times New Roman"/>
                <w:noProof/>
                <w:sz w:val="20"/>
                <w:szCs w:val="20"/>
              </w:rPr>
              <w:drawing>
                <wp:inline distT="0" distB="0" distL="0" distR="0" wp14:anchorId="744C7ABC" wp14:editId="350D6E77">
                  <wp:extent cx="2089150" cy="26035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94886" cy="2610648"/>
                          </a:xfrm>
                          <a:prstGeom prst="rect">
                            <a:avLst/>
                          </a:prstGeom>
                        </pic:spPr>
                      </pic:pic>
                    </a:graphicData>
                  </a:graphic>
                </wp:inline>
              </w:drawing>
            </w:r>
          </w:p>
          <w:p w14:paraId="64DBC4A0" w14:textId="77777777" w:rsidR="00433093" w:rsidRPr="006E59F1" w:rsidRDefault="00433093" w:rsidP="001E626B">
            <w:pPr>
              <w:pStyle w:val="Caption"/>
              <w:spacing w:after="0" w:line="360" w:lineRule="auto"/>
              <w:jc w:val="center"/>
              <w:rPr>
                <w:rFonts w:ascii="Times New Roman" w:hAnsi="Times New Roman" w:cs="Times New Roman"/>
                <w:i w:val="0"/>
                <w:iCs w:val="0"/>
                <w:color w:val="auto"/>
                <w:sz w:val="20"/>
                <w:szCs w:val="20"/>
              </w:rPr>
            </w:pPr>
            <w:r w:rsidRPr="006E59F1">
              <w:rPr>
                <w:rFonts w:ascii="Times New Roman" w:hAnsi="Times New Roman" w:cs="Times New Roman"/>
                <w:i w:val="0"/>
                <w:iCs w:val="0"/>
                <w:color w:val="auto"/>
                <w:sz w:val="20"/>
                <w:szCs w:val="20"/>
              </w:rPr>
              <w:t>(b)</w:t>
            </w:r>
          </w:p>
        </w:tc>
      </w:tr>
      <w:tr w:rsidR="00433093" w:rsidRPr="006E59F1" w14:paraId="27B3C15D" w14:textId="77777777" w:rsidTr="001E626B">
        <w:trPr>
          <w:jc w:val="center"/>
        </w:trPr>
        <w:tc>
          <w:tcPr>
            <w:tcW w:w="1413" w:type="dxa"/>
          </w:tcPr>
          <w:p w14:paraId="1B30DFE3" w14:textId="77777777" w:rsidR="00433093" w:rsidRPr="006E59F1" w:rsidRDefault="00433093" w:rsidP="001E626B">
            <w:pPr>
              <w:spacing w:line="360" w:lineRule="auto"/>
              <w:rPr>
                <w:sz w:val="20"/>
                <w:szCs w:val="20"/>
              </w:rPr>
            </w:pPr>
            <w:r w:rsidRPr="006E59F1">
              <w:rPr>
                <w:noProof/>
                <w:sz w:val="20"/>
                <w:szCs w:val="20"/>
              </w:rPr>
              <w:drawing>
                <wp:inline distT="0" distB="0" distL="0" distR="0" wp14:anchorId="5F53A1EC" wp14:editId="2677BAA5">
                  <wp:extent cx="971550" cy="2635250"/>
                  <wp:effectExtent l="0" t="0" r="0" b="0"/>
                  <wp:docPr id="35" name="Picture 3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hart, bar char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71550" cy="2635250"/>
                          </a:xfrm>
                          <a:prstGeom prst="rect">
                            <a:avLst/>
                          </a:prstGeom>
                          <a:noFill/>
                          <a:ln>
                            <a:noFill/>
                          </a:ln>
                        </pic:spPr>
                      </pic:pic>
                    </a:graphicData>
                  </a:graphic>
                </wp:inline>
              </w:drawing>
            </w:r>
          </w:p>
        </w:tc>
        <w:tc>
          <w:tcPr>
            <w:tcW w:w="3118" w:type="dxa"/>
          </w:tcPr>
          <w:p w14:paraId="3D09D05F" w14:textId="77777777" w:rsidR="00433093" w:rsidRPr="006E59F1" w:rsidRDefault="00433093" w:rsidP="001E626B">
            <w:pPr>
              <w:keepNext/>
              <w:spacing w:line="360" w:lineRule="auto"/>
              <w:jc w:val="center"/>
              <w:rPr>
                <w:rFonts w:ascii="Times New Roman" w:hAnsi="Times New Roman" w:cs="Times New Roman"/>
                <w:sz w:val="20"/>
                <w:szCs w:val="20"/>
              </w:rPr>
            </w:pPr>
            <w:r w:rsidRPr="006E59F1">
              <w:rPr>
                <w:rFonts w:ascii="Times New Roman" w:hAnsi="Times New Roman" w:cs="Times New Roman"/>
                <w:noProof/>
                <w:sz w:val="20"/>
                <w:szCs w:val="20"/>
              </w:rPr>
              <w:drawing>
                <wp:inline distT="0" distB="0" distL="0" distR="0" wp14:anchorId="5A401299" wp14:editId="67165C6F">
                  <wp:extent cx="2044700" cy="2635250"/>
                  <wp:effectExtent l="0" t="0" r="0" b="0"/>
                  <wp:docPr id="36" name="Picture 36"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histogram&#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44700" cy="2635250"/>
                          </a:xfrm>
                          <a:prstGeom prst="rect">
                            <a:avLst/>
                          </a:prstGeom>
                          <a:noFill/>
                          <a:ln>
                            <a:noFill/>
                          </a:ln>
                        </pic:spPr>
                      </pic:pic>
                    </a:graphicData>
                  </a:graphic>
                </wp:inline>
              </w:drawing>
            </w:r>
          </w:p>
          <w:p w14:paraId="3C8B9C3C" w14:textId="77777777" w:rsidR="00433093" w:rsidRPr="006E59F1" w:rsidRDefault="00433093" w:rsidP="001E626B">
            <w:pPr>
              <w:spacing w:line="360" w:lineRule="auto"/>
              <w:jc w:val="center"/>
              <w:rPr>
                <w:rFonts w:ascii="Times New Roman" w:hAnsi="Times New Roman" w:cs="Times New Roman"/>
                <w:sz w:val="20"/>
                <w:szCs w:val="20"/>
              </w:rPr>
            </w:pPr>
            <w:r w:rsidRPr="006E59F1">
              <w:rPr>
                <w:rFonts w:ascii="Times New Roman" w:hAnsi="Times New Roman" w:cs="Times New Roman"/>
                <w:sz w:val="20"/>
                <w:szCs w:val="20"/>
              </w:rPr>
              <w:t>(c)</w:t>
            </w:r>
          </w:p>
        </w:tc>
        <w:tc>
          <w:tcPr>
            <w:tcW w:w="1701" w:type="dxa"/>
          </w:tcPr>
          <w:p w14:paraId="52F58DD3" w14:textId="77777777" w:rsidR="00433093" w:rsidRPr="006E59F1" w:rsidRDefault="00433093" w:rsidP="001E626B">
            <w:pPr>
              <w:spacing w:line="360" w:lineRule="auto"/>
              <w:jc w:val="center"/>
              <w:rPr>
                <w:rFonts w:ascii="Times New Roman" w:hAnsi="Times New Roman" w:cs="Times New Roman"/>
                <w:sz w:val="20"/>
                <w:szCs w:val="20"/>
              </w:rPr>
            </w:pPr>
            <w:r w:rsidRPr="006E59F1">
              <w:rPr>
                <w:rFonts w:ascii="Times New Roman" w:hAnsi="Times New Roman" w:cs="Times New Roman"/>
                <w:noProof/>
                <w:sz w:val="20"/>
                <w:szCs w:val="20"/>
              </w:rPr>
              <w:drawing>
                <wp:inline distT="0" distB="0" distL="0" distR="0" wp14:anchorId="5FE4FAE5" wp14:editId="6E7A0498">
                  <wp:extent cx="914400" cy="2635250"/>
                  <wp:effectExtent l="0" t="0" r="0" b="0"/>
                  <wp:docPr id="37" name="Picture 3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art, bar chart&#10;&#10;Description automatically generated"/>
                          <pic:cNvPicPr/>
                        </pic:nvPicPr>
                        <pic:blipFill>
                          <a:blip r:embed="rId41"/>
                          <a:stretch>
                            <a:fillRect/>
                          </a:stretch>
                        </pic:blipFill>
                        <pic:spPr>
                          <a:xfrm>
                            <a:off x="0" y="0"/>
                            <a:ext cx="914400" cy="2635250"/>
                          </a:xfrm>
                          <a:prstGeom prst="rect">
                            <a:avLst/>
                          </a:prstGeom>
                        </pic:spPr>
                      </pic:pic>
                    </a:graphicData>
                  </a:graphic>
                </wp:inline>
              </w:drawing>
            </w:r>
          </w:p>
        </w:tc>
        <w:tc>
          <w:tcPr>
            <w:tcW w:w="3261" w:type="dxa"/>
          </w:tcPr>
          <w:p w14:paraId="314EC44D" w14:textId="77777777" w:rsidR="00433093" w:rsidRPr="006E59F1" w:rsidRDefault="00433093" w:rsidP="001E626B">
            <w:pPr>
              <w:keepNext/>
              <w:spacing w:line="360" w:lineRule="auto"/>
              <w:jc w:val="center"/>
              <w:rPr>
                <w:rFonts w:ascii="Times New Roman" w:hAnsi="Times New Roman" w:cs="Times New Roman"/>
                <w:sz w:val="20"/>
                <w:szCs w:val="20"/>
              </w:rPr>
            </w:pPr>
            <w:r w:rsidRPr="006E59F1">
              <w:rPr>
                <w:rFonts w:ascii="Times New Roman" w:hAnsi="Times New Roman" w:cs="Times New Roman"/>
                <w:noProof/>
                <w:sz w:val="20"/>
                <w:szCs w:val="20"/>
              </w:rPr>
              <w:drawing>
                <wp:inline distT="0" distB="0" distL="0" distR="0" wp14:anchorId="5A0F4084" wp14:editId="162AE731">
                  <wp:extent cx="2076557" cy="263538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76557" cy="2635385"/>
                          </a:xfrm>
                          <a:prstGeom prst="rect">
                            <a:avLst/>
                          </a:prstGeom>
                        </pic:spPr>
                      </pic:pic>
                    </a:graphicData>
                  </a:graphic>
                </wp:inline>
              </w:drawing>
            </w:r>
          </w:p>
          <w:p w14:paraId="35CD7FFC" w14:textId="77777777" w:rsidR="00433093" w:rsidRPr="006E59F1" w:rsidRDefault="00433093" w:rsidP="001E626B">
            <w:pPr>
              <w:pStyle w:val="Caption"/>
              <w:spacing w:after="0" w:line="360" w:lineRule="auto"/>
              <w:jc w:val="center"/>
              <w:rPr>
                <w:rFonts w:ascii="Times New Roman" w:hAnsi="Times New Roman" w:cs="Times New Roman"/>
                <w:i w:val="0"/>
                <w:iCs w:val="0"/>
                <w:color w:val="auto"/>
                <w:sz w:val="20"/>
                <w:szCs w:val="20"/>
              </w:rPr>
            </w:pPr>
            <w:r w:rsidRPr="006E59F1">
              <w:rPr>
                <w:rFonts w:ascii="Times New Roman" w:hAnsi="Times New Roman" w:cs="Times New Roman"/>
                <w:i w:val="0"/>
                <w:iCs w:val="0"/>
                <w:color w:val="auto"/>
                <w:sz w:val="20"/>
                <w:szCs w:val="20"/>
              </w:rPr>
              <w:t>(d)</w:t>
            </w:r>
          </w:p>
        </w:tc>
      </w:tr>
    </w:tbl>
    <w:p w14:paraId="360DC5F5" w14:textId="77777777" w:rsidR="00433093" w:rsidRPr="006E59F1" w:rsidRDefault="00433093" w:rsidP="00433093">
      <w:pPr>
        <w:spacing w:line="360" w:lineRule="auto"/>
        <w:jc w:val="both"/>
        <w:rPr>
          <w:rFonts w:ascii="Times New Roman" w:hAnsi="Times New Roman" w:cs="Times New Roman"/>
          <w:b/>
          <w:bCs/>
          <w:color w:val="000000"/>
          <w:sz w:val="20"/>
          <w:szCs w:val="20"/>
          <w:shd w:val="clear" w:color="auto" w:fill="FFFFFF"/>
        </w:rPr>
      </w:pPr>
      <w:r w:rsidRPr="006E59F1">
        <w:rPr>
          <w:rFonts w:ascii="Times New Roman" w:hAnsi="Times New Roman" w:cs="Times New Roman"/>
          <w:b/>
          <w:bCs/>
          <w:color w:val="000000"/>
          <w:sz w:val="20"/>
          <w:szCs w:val="20"/>
          <w:shd w:val="clear" w:color="auto" w:fill="FFFFFF"/>
        </w:rPr>
        <w:t xml:space="preserve">Fig. 13 </w:t>
      </w:r>
      <w:r w:rsidRPr="006E59F1">
        <w:rPr>
          <w:rFonts w:ascii="Times New Roman" w:hAnsi="Times New Roman" w:cs="Times New Roman"/>
          <w:color w:val="000000"/>
          <w:sz w:val="20"/>
          <w:szCs w:val="20"/>
          <w:shd w:val="clear" w:color="auto" w:fill="FFFFFF"/>
        </w:rPr>
        <w:t>Failure pattern (a) Square single plate anchor (b) H-shaped single plate anchor (c) Triple square plate anchor (d) H-shaped triple plate anchor</w:t>
      </w:r>
    </w:p>
    <w:sectPr w:rsidR="00433093" w:rsidRPr="006E59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A39B5"/>
    <w:multiLevelType w:val="multilevel"/>
    <w:tmpl w:val="0D30350A"/>
    <w:lvl w:ilvl="0">
      <w:start w:val="1"/>
      <w:numFmt w:val="decimal"/>
      <w:lvlText w:val="%1"/>
      <w:lvlJc w:val="left"/>
      <w:pPr>
        <w:ind w:left="60" w:hanging="420"/>
      </w:pPr>
      <w:rPr>
        <w:rFonts w:hint="default"/>
      </w:rPr>
    </w:lvl>
    <w:lvl w:ilvl="1">
      <w:start w:val="1"/>
      <w:numFmt w:val="decimal"/>
      <w:lvlText w:val="%1.%2"/>
      <w:lvlJc w:val="left"/>
      <w:pPr>
        <w:ind w:left="202" w:hanging="420"/>
      </w:pPr>
      <w:rPr>
        <w:rFonts w:hint="default"/>
      </w:rPr>
    </w:lvl>
    <w:lvl w:ilvl="2">
      <w:start w:val="1"/>
      <w:numFmt w:val="decimal"/>
      <w:lvlText w:val="%1.%2.%3"/>
      <w:lvlJc w:val="left"/>
      <w:pPr>
        <w:ind w:left="360" w:hanging="720"/>
      </w:pPr>
      <w:rPr>
        <w:rFonts w:hint="default"/>
      </w:rPr>
    </w:lvl>
    <w:lvl w:ilvl="3">
      <w:start w:val="1"/>
      <w:numFmt w:val="decimal"/>
      <w:lvlText w:val="%1.%2.%3.%4"/>
      <w:lvlJc w:val="left"/>
      <w:pPr>
        <w:ind w:left="360" w:hanging="720"/>
      </w:pPr>
      <w:rPr>
        <w:rFonts w:hint="default"/>
      </w:rPr>
    </w:lvl>
    <w:lvl w:ilvl="4">
      <w:start w:val="1"/>
      <w:numFmt w:val="decimal"/>
      <w:lvlText w:val="%1.%2.%3.%4.%5"/>
      <w:lvlJc w:val="left"/>
      <w:pPr>
        <w:ind w:left="720" w:hanging="1080"/>
      </w:pPr>
      <w:rPr>
        <w:rFonts w:hint="default"/>
      </w:rPr>
    </w:lvl>
    <w:lvl w:ilvl="5">
      <w:start w:val="1"/>
      <w:numFmt w:val="decimal"/>
      <w:lvlText w:val="%1.%2.%3.%4.%5.%6"/>
      <w:lvlJc w:val="left"/>
      <w:pPr>
        <w:ind w:left="720" w:hanging="1080"/>
      </w:pPr>
      <w:rPr>
        <w:rFonts w:hint="default"/>
      </w:rPr>
    </w:lvl>
    <w:lvl w:ilvl="6">
      <w:start w:val="1"/>
      <w:numFmt w:val="decimal"/>
      <w:lvlText w:val="%1.%2.%3.%4.%5.%6.%7"/>
      <w:lvlJc w:val="left"/>
      <w:pPr>
        <w:ind w:left="1080" w:hanging="1440"/>
      </w:pPr>
      <w:rPr>
        <w:rFonts w:hint="default"/>
      </w:rPr>
    </w:lvl>
    <w:lvl w:ilvl="7">
      <w:start w:val="1"/>
      <w:numFmt w:val="decimal"/>
      <w:lvlText w:val="%1.%2.%3.%4.%5.%6.%7.%8"/>
      <w:lvlJc w:val="left"/>
      <w:pPr>
        <w:ind w:left="1080" w:hanging="1440"/>
      </w:pPr>
      <w:rPr>
        <w:rFonts w:hint="default"/>
      </w:rPr>
    </w:lvl>
    <w:lvl w:ilvl="8">
      <w:start w:val="1"/>
      <w:numFmt w:val="decimal"/>
      <w:lvlText w:val="%1.%2.%3.%4.%5.%6.%7.%8.%9"/>
      <w:lvlJc w:val="left"/>
      <w:pPr>
        <w:ind w:left="1440" w:hanging="1800"/>
      </w:pPr>
      <w:rPr>
        <w:rFonts w:hint="default"/>
      </w:rPr>
    </w:lvl>
  </w:abstractNum>
  <w:abstractNum w:abstractNumId="1" w15:restartNumberingAfterBreak="0">
    <w:nsid w:val="1B3C7207"/>
    <w:multiLevelType w:val="hybridMultilevel"/>
    <w:tmpl w:val="0152E08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2D682134"/>
    <w:multiLevelType w:val="hybridMultilevel"/>
    <w:tmpl w:val="8CE25AB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9C07F0D"/>
    <w:multiLevelType w:val="hybridMultilevel"/>
    <w:tmpl w:val="DA68725E"/>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67C182E"/>
    <w:multiLevelType w:val="multilevel"/>
    <w:tmpl w:val="054ED108"/>
    <w:lvl w:ilvl="0">
      <w:start w:val="1"/>
      <w:numFmt w:val="decimal"/>
      <w:lvlText w:val="%1."/>
      <w:lvlJc w:val="left"/>
      <w:pPr>
        <w:ind w:left="360" w:hanging="360"/>
      </w:pPr>
      <w:rPr>
        <w:rFonts w:hint="default"/>
        <w:b/>
        <w:bCs/>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 w15:restartNumberingAfterBreak="0">
    <w:nsid w:val="5ADE4BA9"/>
    <w:multiLevelType w:val="hybridMultilevel"/>
    <w:tmpl w:val="E7D45350"/>
    <w:lvl w:ilvl="0" w:tplc="40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5D217823"/>
    <w:multiLevelType w:val="hybridMultilevel"/>
    <w:tmpl w:val="5F165B0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E2F720A"/>
    <w:multiLevelType w:val="multilevel"/>
    <w:tmpl w:val="693448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F2C6CBE"/>
    <w:multiLevelType w:val="hybridMultilevel"/>
    <w:tmpl w:val="6A500D7E"/>
    <w:lvl w:ilvl="0" w:tplc="4009000F">
      <w:start w:val="1"/>
      <w:numFmt w:val="decimal"/>
      <w:lvlText w:val="%1."/>
      <w:lvlJc w:val="left"/>
      <w:pPr>
        <w:ind w:left="360" w:hanging="360"/>
      </w:pPr>
    </w:lvl>
    <w:lvl w:ilvl="1" w:tplc="EF46F5D6">
      <w:numFmt w:val="bullet"/>
      <w:lvlText w:val="•"/>
      <w:lvlJc w:val="left"/>
      <w:pPr>
        <w:ind w:left="1080" w:hanging="360"/>
      </w:pPr>
      <w:rPr>
        <w:rFonts w:ascii="Times New Roman" w:eastAsiaTheme="minorHAnsi" w:hAnsi="Times New Roman" w:cs="Times New Roman" w:hint="default"/>
      </w:r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A781F3C"/>
    <w:multiLevelType w:val="hybridMultilevel"/>
    <w:tmpl w:val="960605BE"/>
    <w:lvl w:ilvl="0" w:tplc="0CC06ACA">
      <w:start w:val="1"/>
      <w:numFmt w:val="decimal"/>
      <w:lvlText w:val="[%1]"/>
      <w:lvlJc w:val="left"/>
      <w:pPr>
        <w:tabs>
          <w:tab w:val="num" w:pos="360"/>
        </w:tabs>
        <w:ind w:left="360" w:hanging="360"/>
      </w:pPr>
      <w:rPr>
        <w:rFonts w:hint="default"/>
      </w:rPr>
    </w:lvl>
    <w:lvl w:ilvl="1" w:tplc="040E0019">
      <w:start w:val="1"/>
      <w:numFmt w:val="lowerLetter"/>
      <w:lvlText w:val="%2."/>
      <w:lvlJc w:val="left"/>
      <w:pPr>
        <w:tabs>
          <w:tab w:val="num" w:pos="360"/>
        </w:tabs>
        <w:ind w:left="360" w:hanging="360"/>
      </w:pPr>
    </w:lvl>
    <w:lvl w:ilvl="2" w:tplc="040E001B">
      <w:start w:val="1"/>
      <w:numFmt w:val="lowerRoman"/>
      <w:lvlText w:val="%3."/>
      <w:lvlJc w:val="right"/>
      <w:pPr>
        <w:tabs>
          <w:tab w:val="num" w:pos="2520"/>
        </w:tabs>
        <w:ind w:left="2520" w:hanging="180"/>
      </w:pPr>
    </w:lvl>
    <w:lvl w:ilvl="3" w:tplc="040E000F" w:tentative="1">
      <w:start w:val="1"/>
      <w:numFmt w:val="decimal"/>
      <w:lvlText w:val="%4."/>
      <w:lvlJc w:val="left"/>
      <w:pPr>
        <w:tabs>
          <w:tab w:val="num" w:pos="3240"/>
        </w:tabs>
        <w:ind w:left="3240" w:hanging="360"/>
      </w:pPr>
    </w:lvl>
    <w:lvl w:ilvl="4" w:tplc="040E0019" w:tentative="1">
      <w:start w:val="1"/>
      <w:numFmt w:val="lowerLetter"/>
      <w:lvlText w:val="%5."/>
      <w:lvlJc w:val="left"/>
      <w:pPr>
        <w:tabs>
          <w:tab w:val="num" w:pos="3960"/>
        </w:tabs>
        <w:ind w:left="3960" w:hanging="360"/>
      </w:pPr>
    </w:lvl>
    <w:lvl w:ilvl="5" w:tplc="040E001B" w:tentative="1">
      <w:start w:val="1"/>
      <w:numFmt w:val="lowerRoman"/>
      <w:lvlText w:val="%6."/>
      <w:lvlJc w:val="right"/>
      <w:pPr>
        <w:tabs>
          <w:tab w:val="num" w:pos="4680"/>
        </w:tabs>
        <w:ind w:left="4680" w:hanging="180"/>
      </w:pPr>
    </w:lvl>
    <w:lvl w:ilvl="6" w:tplc="040E000F" w:tentative="1">
      <w:start w:val="1"/>
      <w:numFmt w:val="decimal"/>
      <w:lvlText w:val="%7."/>
      <w:lvlJc w:val="left"/>
      <w:pPr>
        <w:tabs>
          <w:tab w:val="num" w:pos="5400"/>
        </w:tabs>
        <w:ind w:left="5400" w:hanging="360"/>
      </w:pPr>
    </w:lvl>
    <w:lvl w:ilvl="7" w:tplc="040E0019" w:tentative="1">
      <w:start w:val="1"/>
      <w:numFmt w:val="lowerLetter"/>
      <w:lvlText w:val="%8."/>
      <w:lvlJc w:val="left"/>
      <w:pPr>
        <w:tabs>
          <w:tab w:val="num" w:pos="6120"/>
        </w:tabs>
        <w:ind w:left="6120" w:hanging="360"/>
      </w:pPr>
    </w:lvl>
    <w:lvl w:ilvl="8" w:tplc="040E001B" w:tentative="1">
      <w:start w:val="1"/>
      <w:numFmt w:val="lowerRoman"/>
      <w:lvlText w:val="%9."/>
      <w:lvlJc w:val="right"/>
      <w:pPr>
        <w:tabs>
          <w:tab w:val="num" w:pos="6840"/>
        </w:tabs>
        <w:ind w:left="6840" w:hanging="180"/>
      </w:pPr>
    </w:lvl>
  </w:abstractNum>
  <w:num w:numId="1" w16cid:durableId="148713725">
    <w:abstractNumId w:val="4"/>
  </w:num>
  <w:num w:numId="2" w16cid:durableId="1143499628">
    <w:abstractNumId w:val="0"/>
  </w:num>
  <w:num w:numId="3" w16cid:durableId="258684738">
    <w:abstractNumId w:val="7"/>
  </w:num>
  <w:num w:numId="4" w16cid:durableId="14498537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94511026">
    <w:abstractNumId w:val="6"/>
  </w:num>
  <w:num w:numId="6" w16cid:durableId="724455783">
    <w:abstractNumId w:val="3"/>
  </w:num>
  <w:num w:numId="7" w16cid:durableId="869999103">
    <w:abstractNumId w:val="5"/>
  </w:num>
  <w:num w:numId="8" w16cid:durableId="124350143">
    <w:abstractNumId w:val="2"/>
  </w:num>
  <w:num w:numId="9" w16cid:durableId="1377662472">
    <w:abstractNumId w:val="8"/>
  </w:num>
  <w:num w:numId="10" w16cid:durableId="16531021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5E8"/>
    <w:rsid w:val="00002801"/>
    <w:rsid w:val="00003C22"/>
    <w:rsid w:val="000105EF"/>
    <w:rsid w:val="000118E1"/>
    <w:rsid w:val="00031E15"/>
    <w:rsid w:val="00034999"/>
    <w:rsid w:val="0003755B"/>
    <w:rsid w:val="000503EA"/>
    <w:rsid w:val="00054345"/>
    <w:rsid w:val="00055340"/>
    <w:rsid w:val="00055EF3"/>
    <w:rsid w:val="000575A5"/>
    <w:rsid w:val="000673B3"/>
    <w:rsid w:val="0007015F"/>
    <w:rsid w:val="00070BD1"/>
    <w:rsid w:val="00073D26"/>
    <w:rsid w:val="000745A7"/>
    <w:rsid w:val="00074631"/>
    <w:rsid w:val="00077022"/>
    <w:rsid w:val="000836E3"/>
    <w:rsid w:val="0008418F"/>
    <w:rsid w:val="00085FAD"/>
    <w:rsid w:val="00093EDB"/>
    <w:rsid w:val="00095B92"/>
    <w:rsid w:val="000A014B"/>
    <w:rsid w:val="000A1625"/>
    <w:rsid w:val="000A1DE2"/>
    <w:rsid w:val="000A3397"/>
    <w:rsid w:val="000A69A5"/>
    <w:rsid w:val="000B0373"/>
    <w:rsid w:val="000B792F"/>
    <w:rsid w:val="000C01ED"/>
    <w:rsid w:val="000C0C19"/>
    <w:rsid w:val="000C3E43"/>
    <w:rsid w:val="000C3E77"/>
    <w:rsid w:val="000C4E4B"/>
    <w:rsid w:val="000D03F9"/>
    <w:rsid w:val="000D58F8"/>
    <w:rsid w:val="000E2BB6"/>
    <w:rsid w:val="000E37EF"/>
    <w:rsid w:val="000E43F8"/>
    <w:rsid w:val="000E4ED3"/>
    <w:rsid w:val="000E76A9"/>
    <w:rsid w:val="000F2990"/>
    <w:rsid w:val="000F3555"/>
    <w:rsid w:val="000F3F57"/>
    <w:rsid w:val="000F5BED"/>
    <w:rsid w:val="0010299F"/>
    <w:rsid w:val="00102A51"/>
    <w:rsid w:val="00105E21"/>
    <w:rsid w:val="00116060"/>
    <w:rsid w:val="0012519B"/>
    <w:rsid w:val="001253CE"/>
    <w:rsid w:val="00125A12"/>
    <w:rsid w:val="00144B07"/>
    <w:rsid w:val="001460CA"/>
    <w:rsid w:val="00147A1D"/>
    <w:rsid w:val="001500B0"/>
    <w:rsid w:val="001515AE"/>
    <w:rsid w:val="001535CA"/>
    <w:rsid w:val="00162849"/>
    <w:rsid w:val="00167A99"/>
    <w:rsid w:val="00167D86"/>
    <w:rsid w:val="00186930"/>
    <w:rsid w:val="001A760F"/>
    <w:rsid w:val="001B097B"/>
    <w:rsid w:val="001B66AD"/>
    <w:rsid w:val="001B731E"/>
    <w:rsid w:val="001C16F8"/>
    <w:rsid w:val="001C2068"/>
    <w:rsid w:val="001C58C4"/>
    <w:rsid w:val="001C7580"/>
    <w:rsid w:val="001C7849"/>
    <w:rsid w:val="001D1E3E"/>
    <w:rsid w:val="001D1F61"/>
    <w:rsid w:val="001D410A"/>
    <w:rsid w:val="001D720D"/>
    <w:rsid w:val="001D7917"/>
    <w:rsid w:val="001D7953"/>
    <w:rsid w:val="001E0CEE"/>
    <w:rsid w:val="001E1C93"/>
    <w:rsid w:val="001E206A"/>
    <w:rsid w:val="001E54B1"/>
    <w:rsid w:val="001E6DB8"/>
    <w:rsid w:val="001F49BF"/>
    <w:rsid w:val="00200F5D"/>
    <w:rsid w:val="00203A20"/>
    <w:rsid w:val="002070E2"/>
    <w:rsid w:val="00207E7E"/>
    <w:rsid w:val="002102F7"/>
    <w:rsid w:val="002156E5"/>
    <w:rsid w:val="002279A2"/>
    <w:rsid w:val="002303AA"/>
    <w:rsid w:val="00240DF5"/>
    <w:rsid w:val="00241CC9"/>
    <w:rsid w:val="00243797"/>
    <w:rsid w:val="00243A1B"/>
    <w:rsid w:val="00246592"/>
    <w:rsid w:val="00247477"/>
    <w:rsid w:val="00256839"/>
    <w:rsid w:val="0026088F"/>
    <w:rsid w:val="00271242"/>
    <w:rsid w:val="00272E24"/>
    <w:rsid w:val="0027513D"/>
    <w:rsid w:val="0028492C"/>
    <w:rsid w:val="00286A74"/>
    <w:rsid w:val="002A0636"/>
    <w:rsid w:val="002A21CA"/>
    <w:rsid w:val="002A40C3"/>
    <w:rsid w:val="002A4B66"/>
    <w:rsid w:val="002B0B5D"/>
    <w:rsid w:val="002B43AC"/>
    <w:rsid w:val="002B498B"/>
    <w:rsid w:val="002B4A3F"/>
    <w:rsid w:val="002C5BB7"/>
    <w:rsid w:val="002D52F0"/>
    <w:rsid w:val="002D6362"/>
    <w:rsid w:val="002E01CA"/>
    <w:rsid w:val="002E341D"/>
    <w:rsid w:val="002E3C80"/>
    <w:rsid w:val="002F0F0D"/>
    <w:rsid w:val="002F390A"/>
    <w:rsid w:val="002F4649"/>
    <w:rsid w:val="002F771D"/>
    <w:rsid w:val="003126CD"/>
    <w:rsid w:val="0031369B"/>
    <w:rsid w:val="0032069A"/>
    <w:rsid w:val="003222A2"/>
    <w:rsid w:val="00323054"/>
    <w:rsid w:val="00323418"/>
    <w:rsid w:val="0032644A"/>
    <w:rsid w:val="00343EF7"/>
    <w:rsid w:val="00344C05"/>
    <w:rsid w:val="00347805"/>
    <w:rsid w:val="00361094"/>
    <w:rsid w:val="00362ECA"/>
    <w:rsid w:val="00362F3F"/>
    <w:rsid w:val="00364202"/>
    <w:rsid w:val="0037527C"/>
    <w:rsid w:val="00377E2C"/>
    <w:rsid w:val="00380A9C"/>
    <w:rsid w:val="003B18BA"/>
    <w:rsid w:val="003B3773"/>
    <w:rsid w:val="003C0596"/>
    <w:rsid w:val="003C097F"/>
    <w:rsid w:val="003C492F"/>
    <w:rsid w:val="003C6EE6"/>
    <w:rsid w:val="003C7321"/>
    <w:rsid w:val="003C7802"/>
    <w:rsid w:val="003E3AFA"/>
    <w:rsid w:val="003E3B3D"/>
    <w:rsid w:val="003E55B8"/>
    <w:rsid w:val="003F0B2F"/>
    <w:rsid w:val="003F1A00"/>
    <w:rsid w:val="00401DAE"/>
    <w:rsid w:val="00412DDF"/>
    <w:rsid w:val="004154A2"/>
    <w:rsid w:val="00423AD3"/>
    <w:rsid w:val="00427457"/>
    <w:rsid w:val="004320EC"/>
    <w:rsid w:val="00432764"/>
    <w:rsid w:val="00433093"/>
    <w:rsid w:val="004355FF"/>
    <w:rsid w:val="00437B70"/>
    <w:rsid w:val="004417F4"/>
    <w:rsid w:val="00441B2D"/>
    <w:rsid w:val="0044219D"/>
    <w:rsid w:val="004446B8"/>
    <w:rsid w:val="004470E1"/>
    <w:rsid w:val="004508D2"/>
    <w:rsid w:val="0045675B"/>
    <w:rsid w:val="00462072"/>
    <w:rsid w:val="00467C1F"/>
    <w:rsid w:val="00472814"/>
    <w:rsid w:val="00473EED"/>
    <w:rsid w:val="00475033"/>
    <w:rsid w:val="00476486"/>
    <w:rsid w:val="00482812"/>
    <w:rsid w:val="00485C19"/>
    <w:rsid w:val="00487128"/>
    <w:rsid w:val="004871A5"/>
    <w:rsid w:val="004A2CBF"/>
    <w:rsid w:val="004A377B"/>
    <w:rsid w:val="004A4406"/>
    <w:rsid w:val="004A7379"/>
    <w:rsid w:val="004A791F"/>
    <w:rsid w:val="004B262D"/>
    <w:rsid w:val="004B55F7"/>
    <w:rsid w:val="004B5C9D"/>
    <w:rsid w:val="004D2AFE"/>
    <w:rsid w:val="004E5E9B"/>
    <w:rsid w:val="004E6B29"/>
    <w:rsid w:val="004F79BE"/>
    <w:rsid w:val="005131AB"/>
    <w:rsid w:val="00513EF2"/>
    <w:rsid w:val="00522A95"/>
    <w:rsid w:val="005337D2"/>
    <w:rsid w:val="00533DDF"/>
    <w:rsid w:val="00540F2F"/>
    <w:rsid w:val="00550403"/>
    <w:rsid w:val="0055183C"/>
    <w:rsid w:val="00551E54"/>
    <w:rsid w:val="00551FAC"/>
    <w:rsid w:val="00557BD8"/>
    <w:rsid w:val="00561205"/>
    <w:rsid w:val="00574449"/>
    <w:rsid w:val="00591EE8"/>
    <w:rsid w:val="00595FBC"/>
    <w:rsid w:val="005960C6"/>
    <w:rsid w:val="005A3E45"/>
    <w:rsid w:val="005A4763"/>
    <w:rsid w:val="005B4D8B"/>
    <w:rsid w:val="005B5AE0"/>
    <w:rsid w:val="005C2E6F"/>
    <w:rsid w:val="005D0FD4"/>
    <w:rsid w:val="005D162C"/>
    <w:rsid w:val="005D3074"/>
    <w:rsid w:val="005D4EA1"/>
    <w:rsid w:val="005D6839"/>
    <w:rsid w:val="005E45A3"/>
    <w:rsid w:val="005E7B9C"/>
    <w:rsid w:val="005F271E"/>
    <w:rsid w:val="005F2941"/>
    <w:rsid w:val="005F7197"/>
    <w:rsid w:val="00605756"/>
    <w:rsid w:val="00607591"/>
    <w:rsid w:val="006102E1"/>
    <w:rsid w:val="006164E2"/>
    <w:rsid w:val="0061689E"/>
    <w:rsid w:val="0061723B"/>
    <w:rsid w:val="006207E5"/>
    <w:rsid w:val="00626025"/>
    <w:rsid w:val="00631E25"/>
    <w:rsid w:val="00633CEA"/>
    <w:rsid w:val="00641E44"/>
    <w:rsid w:val="0064316D"/>
    <w:rsid w:val="00646378"/>
    <w:rsid w:val="00652601"/>
    <w:rsid w:val="00661AA9"/>
    <w:rsid w:val="00661E32"/>
    <w:rsid w:val="00665AEE"/>
    <w:rsid w:val="0066604D"/>
    <w:rsid w:val="00667DB3"/>
    <w:rsid w:val="00667F4C"/>
    <w:rsid w:val="00672B15"/>
    <w:rsid w:val="00676A79"/>
    <w:rsid w:val="00681D23"/>
    <w:rsid w:val="006A2CE6"/>
    <w:rsid w:val="006A4250"/>
    <w:rsid w:val="006A51F9"/>
    <w:rsid w:val="006A742D"/>
    <w:rsid w:val="006B1C09"/>
    <w:rsid w:val="006B20A2"/>
    <w:rsid w:val="006B3C1E"/>
    <w:rsid w:val="006B78B8"/>
    <w:rsid w:val="006B7C75"/>
    <w:rsid w:val="006C5A78"/>
    <w:rsid w:val="006C6F97"/>
    <w:rsid w:val="006D3FBA"/>
    <w:rsid w:val="006D59DD"/>
    <w:rsid w:val="006E0D07"/>
    <w:rsid w:val="006E303E"/>
    <w:rsid w:val="006E59F1"/>
    <w:rsid w:val="006F0C64"/>
    <w:rsid w:val="006F46B5"/>
    <w:rsid w:val="006F50DC"/>
    <w:rsid w:val="006F6610"/>
    <w:rsid w:val="007005EE"/>
    <w:rsid w:val="00715F08"/>
    <w:rsid w:val="007162CD"/>
    <w:rsid w:val="0072576F"/>
    <w:rsid w:val="00733BD6"/>
    <w:rsid w:val="00737124"/>
    <w:rsid w:val="00740DBB"/>
    <w:rsid w:val="007462E7"/>
    <w:rsid w:val="007565E8"/>
    <w:rsid w:val="007571C9"/>
    <w:rsid w:val="00771549"/>
    <w:rsid w:val="00773B2D"/>
    <w:rsid w:val="007865CB"/>
    <w:rsid w:val="00787B41"/>
    <w:rsid w:val="00791A80"/>
    <w:rsid w:val="00793643"/>
    <w:rsid w:val="0079525F"/>
    <w:rsid w:val="007A1D10"/>
    <w:rsid w:val="007A7078"/>
    <w:rsid w:val="007B6910"/>
    <w:rsid w:val="007B6C12"/>
    <w:rsid w:val="007D3D10"/>
    <w:rsid w:val="007D59DE"/>
    <w:rsid w:val="007E43B0"/>
    <w:rsid w:val="007E518D"/>
    <w:rsid w:val="007E72FC"/>
    <w:rsid w:val="007F11ED"/>
    <w:rsid w:val="008054FD"/>
    <w:rsid w:val="00807212"/>
    <w:rsid w:val="008077D8"/>
    <w:rsid w:val="00814C2C"/>
    <w:rsid w:val="00817623"/>
    <w:rsid w:val="00831D82"/>
    <w:rsid w:val="00835883"/>
    <w:rsid w:val="0083589B"/>
    <w:rsid w:val="0084248B"/>
    <w:rsid w:val="00842E0F"/>
    <w:rsid w:val="00850462"/>
    <w:rsid w:val="0085258B"/>
    <w:rsid w:val="008545D0"/>
    <w:rsid w:val="00857577"/>
    <w:rsid w:val="0085766F"/>
    <w:rsid w:val="00861235"/>
    <w:rsid w:val="00864CB1"/>
    <w:rsid w:val="008747CA"/>
    <w:rsid w:val="00881A9B"/>
    <w:rsid w:val="008843A9"/>
    <w:rsid w:val="008867BD"/>
    <w:rsid w:val="00895FEC"/>
    <w:rsid w:val="008964A3"/>
    <w:rsid w:val="008A491E"/>
    <w:rsid w:val="008A4BB5"/>
    <w:rsid w:val="008B2F96"/>
    <w:rsid w:val="008B30D1"/>
    <w:rsid w:val="008B51DA"/>
    <w:rsid w:val="008C0358"/>
    <w:rsid w:val="008C4098"/>
    <w:rsid w:val="008C67A9"/>
    <w:rsid w:val="008D1A75"/>
    <w:rsid w:val="008D38F8"/>
    <w:rsid w:val="008E055F"/>
    <w:rsid w:val="008F6B29"/>
    <w:rsid w:val="00902E59"/>
    <w:rsid w:val="00914DF7"/>
    <w:rsid w:val="00915575"/>
    <w:rsid w:val="00916445"/>
    <w:rsid w:val="00920AEF"/>
    <w:rsid w:val="00924DCF"/>
    <w:rsid w:val="00926441"/>
    <w:rsid w:val="009440AC"/>
    <w:rsid w:val="00946C04"/>
    <w:rsid w:val="0097700E"/>
    <w:rsid w:val="009771BA"/>
    <w:rsid w:val="00977D40"/>
    <w:rsid w:val="00983F58"/>
    <w:rsid w:val="00984536"/>
    <w:rsid w:val="00985FFF"/>
    <w:rsid w:val="00990161"/>
    <w:rsid w:val="0099452B"/>
    <w:rsid w:val="00994E71"/>
    <w:rsid w:val="009975E3"/>
    <w:rsid w:val="009A158B"/>
    <w:rsid w:val="009A1E76"/>
    <w:rsid w:val="009A7AC1"/>
    <w:rsid w:val="009B4403"/>
    <w:rsid w:val="009B60AB"/>
    <w:rsid w:val="009B6161"/>
    <w:rsid w:val="009C0782"/>
    <w:rsid w:val="009C4BDB"/>
    <w:rsid w:val="009E7AB9"/>
    <w:rsid w:val="009E7C0D"/>
    <w:rsid w:val="00A00951"/>
    <w:rsid w:val="00A01CB7"/>
    <w:rsid w:val="00A02AB4"/>
    <w:rsid w:val="00A07181"/>
    <w:rsid w:val="00A12B09"/>
    <w:rsid w:val="00A12E1A"/>
    <w:rsid w:val="00A144D1"/>
    <w:rsid w:val="00A14B89"/>
    <w:rsid w:val="00A14CD8"/>
    <w:rsid w:val="00A2323A"/>
    <w:rsid w:val="00A4070A"/>
    <w:rsid w:val="00A43FC3"/>
    <w:rsid w:val="00A556A8"/>
    <w:rsid w:val="00A63FE0"/>
    <w:rsid w:val="00A646F3"/>
    <w:rsid w:val="00A7115F"/>
    <w:rsid w:val="00A71F2D"/>
    <w:rsid w:val="00A72AF5"/>
    <w:rsid w:val="00A77D84"/>
    <w:rsid w:val="00A800A9"/>
    <w:rsid w:val="00A85F24"/>
    <w:rsid w:val="00A87AE2"/>
    <w:rsid w:val="00A87DA0"/>
    <w:rsid w:val="00A96F6E"/>
    <w:rsid w:val="00A97C65"/>
    <w:rsid w:val="00AA0AF2"/>
    <w:rsid w:val="00AA48A1"/>
    <w:rsid w:val="00AB1EE3"/>
    <w:rsid w:val="00AB3CD7"/>
    <w:rsid w:val="00AB5E7D"/>
    <w:rsid w:val="00AB5F73"/>
    <w:rsid w:val="00AC21B6"/>
    <w:rsid w:val="00AC4022"/>
    <w:rsid w:val="00AC5F2B"/>
    <w:rsid w:val="00AC6ED3"/>
    <w:rsid w:val="00AC7287"/>
    <w:rsid w:val="00AD710F"/>
    <w:rsid w:val="00AE182C"/>
    <w:rsid w:val="00AE4804"/>
    <w:rsid w:val="00AE498C"/>
    <w:rsid w:val="00B012AB"/>
    <w:rsid w:val="00B127AB"/>
    <w:rsid w:val="00B20BC6"/>
    <w:rsid w:val="00B24524"/>
    <w:rsid w:val="00B24D76"/>
    <w:rsid w:val="00B251AD"/>
    <w:rsid w:val="00B319D8"/>
    <w:rsid w:val="00B37E1D"/>
    <w:rsid w:val="00B40F42"/>
    <w:rsid w:val="00B4512E"/>
    <w:rsid w:val="00B51F79"/>
    <w:rsid w:val="00B567C3"/>
    <w:rsid w:val="00B62D26"/>
    <w:rsid w:val="00B70D84"/>
    <w:rsid w:val="00B7585E"/>
    <w:rsid w:val="00B83B0F"/>
    <w:rsid w:val="00B94A5A"/>
    <w:rsid w:val="00B95730"/>
    <w:rsid w:val="00B9657A"/>
    <w:rsid w:val="00BA4D94"/>
    <w:rsid w:val="00BB406C"/>
    <w:rsid w:val="00BB5AE6"/>
    <w:rsid w:val="00BC0E06"/>
    <w:rsid w:val="00BD391B"/>
    <w:rsid w:val="00BD5CC0"/>
    <w:rsid w:val="00BF0CCD"/>
    <w:rsid w:val="00BF522F"/>
    <w:rsid w:val="00BF5A0E"/>
    <w:rsid w:val="00C03FEF"/>
    <w:rsid w:val="00C0529B"/>
    <w:rsid w:val="00C12A28"/>
    <w:rsid w:val="00C2006F"/>
    <w:rsid w:val="00C22A0B"/>
    <w:rsid w:val="00C344A7"/>
    <w:rsid w:val="00C417C7"/>
    <w:rsid w:val="00C45A3B"/>
    <w:rsid w:val="00C511A3"/>
    <w:rsid w:val="00C6084C"/>
    <w:rsid w:val="00C727B7"/>
    <w:rsid w:val="00C77AEA"/>
    <w:rsid w:val="00C828C4"/>
    <w:rsid w:val="00C857D7"/>
    <w:rsid w:val="00CA08E7"/>
    <w:rsid w:val="00CB0669"/>
    <w:rsid w:val="00CB22BF"/>
    <w:rsid w:val="00CB2DD8"/>
    <w:rsid w:val="00CB5746"/>
    <w:rsid w:val="00CC0304"/>
    <w:rsid w:val="00CC09A1"/>
    <w:rsid w:val="00CC44C8"/>
    <w:rsid w:val="00CC5AFD"/>
    <w:rsid w:val="00CC66F8"/>
    <w:rsid w:val="00CC7A90"/>
    <w:rsid w:val="00CD0DBA"/>
    <w:rsid w:val="00CE1EAD"/>
    <w:rsid w:val="00CF25D9"/>
    <w:rsid w:val="00D040CC"/>
    <w:rsid w:val="00D0423F"/>
    <w:rsid w:val="00D110D7"/>
    <w:rsid w:val="00D11C35"/>
    <w:rsid w:val="00D166FC"/>
    <w:rsid w:val="00D21500"/>
    <w:rsid w:val="00D24532"/>
    <w:rsid w:val="00D262FA"/>
    <w:rsid w:val="00D35480"/>
    <w:rsid w:val="00D45BB3"/>
    <w:rsid w:val="00D46E30"/>
    <w:rsid w:val="00D50DBC"/>
    <w:rsid w:val="00D55D10"/>
    <w:rsid w:val="00D60D17"/>
    <w:rsid w:val="00D60DDD"/>
    <w:rsid w:val="00D72E04"/>
    <w:rsid w:val="00D866BB"/>
    <w:rsid w:val="00D90D00"/>
    <w:rsid w:val="00D94D3E"/>
    <w:rsid w:val="00D97F2B"/>
    <w:rsid w:val="00DA0E2A"/>
    <w:rsid w:val="00DA4B62"/>
    <w:rsid w:val="00DA50CC"/>
    <w:rsid w:val="00DC4B70"/>
    <w:rsid w:val="00DC7C43"/>
    <w:rsid w:val="00DD42D6"/>
    <w:rsid w:val="00DE2A45"/>
    <w:rsid w:val="00DE6E44"/>
    <w:rsid w:val="00DE7360"/>
    <w:rsid w:val="00E034B4"/>
    <w:rsid w:val="00E0354D"/>
    <w:rsid w:val="00E039C6"/>
    <w:rsid w:val="00E06632"/>
    <w:rsid w:val="00E10D09"/>
    <w:rsid w:val="00E11860"/>
    <w:rsid w:val="00E139E9"/>
    <w:rsid w:val="00E16CDF"/>
    <w:rsid w:val="00E17BC3"/>
    <w:rsid w:val="00E20F04"/>
    <w:rsid w:val="00E24FE3"/>
    <w:rsid w:val="00E2510B"/>
    <w:rsid w:val="00E25494"/>
    <w:rsid w:val="00E2600A"/>
    <w:rsid w:val="00E5084D"/>
    <w:rsid w:val="00E57788"/>
    <w:rsid w:val="00E6096B"/>
    <w:rsid w:val="00E65F23"/>
    <w:rsid w:val="00E846D3"/>
    <w:rsid w:val="00E85487"/>
    <w:rsid w:val="00E875CC"/>
    <w:rsid w:val="00E95B6D"/>
    <w:rsid w:val="00E973C1"/>
    <w:rsid w:val="00EA25AE"/>
    <w:rsid w:val="00EA6C78"/>
    <w:rsid w:val="00EB1A30"/>
    <w:rsid w:val="00EB2ABF"/>
    <w:rsid w:val="00EB2AF4"/>
    <w:rsid w:val="00EB466C"/>
    <w:rsid w:val="00EC233C"/>
    <w:rsid w:val="00EC681F"/>
    <w:rsid w:val="00ED65D5"/>
    <w:rsid w:val="00EE0FA1"/>
    <w:rsid w:val="00EF0F91"/>
    <w:rsid w:val="00EF31B2"/>
    <w:rsid w:val="00EF3D4B"/>
    <w:rsid w:val="00EF4052"/>
    <w:rsid w:val="00F0224A"/>
    <w:rsid w:val="00F06E5E"/>
    <w:rsid w:val="00F12A3C"/>
    <w:rsid w:val="00F1359D"/>
    <w:rsid w:val="00F13F9A"/>
    <w:rsid w:val="00F14CA1"/>
    <w:rsid w:val="00F159D0"/>
    <w:rsid w:val="00F23DED"/>
    <w:rsid w:val="00F241A0"/>
    <w:rsid w:val="00F26E4D"/>
    <w:rsid w:val="00F3219C"/>
    <w:rsid w:val="00F35296"/>
    <w:rsid w:val="00F45A89"/>
    <w:rsid w:val="00F6423D"/>
    <w:rsid w:val="00F80EC6"/>
    <w:rsid w:val="00F83933"/>
    <w:rsid w:val="00F86A76"/>
    <w:rsid w:val="00F8729B"/>
    <w:rsid w:val="00F92A18"/>
    <w:rsid w:val="00FA491B"/>
    <w:rsid w:val="00FA594D"/>
    <w:rsid w:val="00FB66E9"/>
    <w:rsid w:val="00FB6BC0"/>
    <w:rsid w:val="00FC4039"/>
    <w:rsid w:val="00FD2AA6"/>
    <w:rsid w:val="00FE0430"/>
    <w:rsid w:val="00FE06CD"/>
    <w:rsid w:val="00FE11F8"/>
    <w:rsid w:val="00FF05B7"/>
    <w:rsid w:val="00FF2EB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8DCC9"/>
  <w15:chartTrackingRefBased/>
  <w15:docId w15:val="{462FF9E0-AFD4-4802-B45A-81C1D2B0F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5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65E8"/>
    <w:pPr>
      <w:ind w:left="720"/>
      <w:contextualSpacing/>
    </w:pPr>
  </w:style>
  <w:style w:type="table" w:styleId="TableGrid">
    <w:name w:val="Table Grid"/>
    <w:basedOn w:val="TableNormal"/>
    <w:uiPriority w:val="39"/>
    <w:rsid w:val="00756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565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7565E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7565E8"/>
    <w:rPr>
      <w:b/>
      <w:bCs/>
    </w:rPr>
  </w:style>
  <w:style w:type="paragraph" w:styleId="Caption">
    <w:name w:val="caption"/>
    <w:basedOn w:val="Normal"/>
    <w:next w:val="Normal"/>
    <w:uiPriority w:val="35"/>
    <w:unhideWhenUsed/>
    <w:qFormat/>
    <w:rsid w:val="00054345"/>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45675B"/>
    <w:pPr>
      <w:tabs>
        <w:tab w:val="left" w:pos="384"/>
      </w:tabs>
      <w:spacing w:after="0" w:line="240" w:lineRule="auto"/>
      <w:ind w:left="384" w:hanging="384"/>
    </w:pPr>
  </w:style>
  <w:style w:type="paragraph" w:styleId="NormalWeb">
    <w:name w:val="Normal (Web)"/>
    <w:basedOn w:val="Normal"/>
    <w:uiPriority w:val="99"/>
    <w:semiHidden/>
    <w:unhideWhenUsed/>
    <w:rsid w:val="00AC6ED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4417F4"/>
    <w:rPr>
      <w:color w:val="0563C1" w:themeColor="hyperlink"/>
      <w:u w:val="single"/>
    </w:rPr>
  </w:style>
  <w:style w:type="character" w:customStyle="1" w:styleId="UnresolvedMention1">
    <w:name w:val="Unresolved Mention1"/>
    <w:basedOn w:val="DefaultParagraphFont"/>
    <w:uiPriority w:val="99"/>
    <w:semiHidden/>
    <w:unhideWhenUsed/>
    <w:rsid w:val="004417F4"/>
    <w:rPr>
      <w:color w:val="605E5C"/>
      <w:shd w:val="clear" w:color="auto" w:fill="E1DFDD"/>
    </w:rPr>
  </w:style>
  <w:style w:type="character" w:styleId="UnresolvedMention">
    <w:name w:val="Unresolved Mention"/>
    <w:basedOn w:val="DefaultParagraphFont"/>
    <w:uiPriority w:val="99"/>
    <w:semiHidden/>
    <w:unhideWhenUsed/>
    <w:rsid w:val="002070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26474">
      <w:bodyDiv w:val="1"/>
      <w:marLeft w:val="0"/>
      <w:marRight w:val="0"/>
      <w:marTop w:val="0"/>
      <w:marBottom w:val="0"/>
      <w:divBdr>
        <w:top w:val="none" w:sz="0" w:space="0" w:color="auto"/>
        <w:left w:val="none" w:sz="0" w:space="0" w:color="auto"/>
        <w:bottom w:val="none" w:sz="0" w:space="0" w:color="auto"/>
        <w:right w:val="none" w:sz="0" w:space="0" w:color="auto"/>
      </w:divBdr>
    </w:div>
    <w:div w:id="92210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10.xml"/><Relationship Id="rId39" Type="http://schemas.openxmlformats.org/officeDocument/2006/relationships/image" Target="media/image13.png"/><Relationship Id="rId21" Type="http://schemas.openxmlformats.org/officeDocument/2006/relationships/chart" Target="charts/chart5.xml"/><Relationship Id="rId34" Type="http://schemas.openxmlformats.org/officeDocument/2006/relationships/chart" Target="charts/chart18.xml"/><Relationship Id="rId42" Type="http://schemas.openxmlformats.org/officeDocument/2006/relationships/image" Target="media/image16.png"/><Relationship Id="rId7" Type="http://schemas.openxmlformats.org/officeDocument/2006/relationships/hyperlink" Target="mailto:21mce016@nith.ac.in"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chart" Target="charts/chart13.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mailto:rkd@nith.ac.in" TargetMode="Externa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image" Target="media/image11.png"/><Relationship Id="rId40"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image" Target="media/image9.png"/><Relationship Id="rId43" Type="http://schemas.openxmlformats.org/officeDocument/2006/relationships/fontTable" Target="fontTable.xml"/><Relationship Id="rId8" Type="http://schemas.openxmlformats.org/officeDocument/2006/relationships/hyperlink" Target="https://doi.org/10.1061/(ASCE)GM.1943-5622.000063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chart" Target="charts/chart17.xml"/><Relationship Id="rId38"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Y%20ACER\Desktop\M.Tech%20Project\final%20graphs\Embedment%20Depth%20SPA\Square%20SPA%20with%20varying%20Embedment%20Depth.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d.docs.live.net/d31d8d85df4b65cd/Desktop/graphs/h-shaped/spa%20dpa%20tpa.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MY%20ACER\Desktop\M.Tech%20Project\final%20graphs\TPA%20with%20varying%20spacing\Square%20TPA%20with%20varying%20spacing.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https://d.docs.live.net/d31d8d85df4b65cd/Desktop/graphs/h-shaped/SPACING%20H.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https://d.docs.live.net/d31d8d85df4b65cd/Desktop/graphs/h-shaped/rd%20vs%20pullout%20capacity.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d.docs.live.net/d31d8d85df4b65cd/Desktop/graphs/h-shaped/thickness%20vs%20pullout.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d.docs.live.net/d31d8d85df4b65cd/Desktop/graphs/h-shaped/diameter%20vs%20pullout%20SPA.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d.docs.live.net/d31d8d85df4b65cd/Desktop/graphs/h-shaped/Embedment%20depth%20vs%20Pullout.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C:\Users\MY%20ACER\Desktop\M.Tech%20Project\final%20graphs\SPA%20DPA%20TPA%20comparison.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d.docs.live.net/d31d8d85df4b65cd/Desktop/graphs/h-shaped/spa%20dpa%20tpa.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d.docs.live.net/d31d8d85df4b65cd/Desktop/graphs/h-shaped/h%20plate%20ED.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Y%20ACER\Desktop\M.Tech%20Project\final%20graphs\Diameter%20SPA\Square%20SPA%20with%20varying%20dia%20and%2025mmthick.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d.docs.live.net/d31d8d85df4b65cd/Desktop/graphs/h-shaped/h-shape%20dia%20SPA.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MY%20ACER\Desktop\M.Tech%20Project\final%20graphs\Thickness%20SPA\sq%20single%20plate%20with%20varying%20thickness.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d.docs.live.net/d31d8d85df4b65cd/Desktop/graphs/h-shaped/thickness%20H%20SPA.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MY%20ACER\Desktop\M.Tech%20Project\final%20graphs\SPA%20with%20varying%20RD\Square%20SPA%20embedded%20in%20soil%20with%20different%20RD.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https://d.docs.live.net/d31d8d85df4b65cd/Desktop/graphs/h-shaped/h-shape%20with%20varying%20RD.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MY%20ACER\Desktop\M.Tech%20Project\final%20graphs\SPA%20DPA%20TPA%20comparis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16831766996868"/>
          <c:y val="0.18258530183727034"/>
          <c:w val="0.76090695114723561"/>
          <c:h val="0.65242432195975508"/>
        </c:manualLayout>
      </c:layout>
      <c:scatterChart>
        <c:scatterStyle val="smoothMarker"/>
        <c:varyColors val="0"/>
        <c:ser>
          <c:idx val="0"/>
          <c:order val="0"/>
          <c:tx>
            <c:v>15m depth</c:v>
          </c:tx>
          <c:spPr>
            <a:ln w="19050" cap="rnd">
              <a:solidFill>
                <a:schemeClr val="tx1"/>
              </a:solidFill>
              <a:prstDash val="sysDot"/>
              <a:round/>
            </a:ln>
            <a:effectLst/>
          </c:spPr>
          <c:marker>
            <c:symbol val="circle"/>
            <c:size val="5"/>
            <c:spPr>
              <a:noFill/>
              <a:ln w="9525">
                <a:noFill/>
              </a:ln>
              <a:effectLst/>
            </c:spPr>
          </c:marker>
          <c:xVal>
            <c:numRef>
              <c:f>Sheet1!$B$6:$B$15</c:f>
              <c:numCache>
                <c:formatCode>General</c:formatCode>
                <c:ptCount val="10"/>
                <c:pt idx="0">
                  <c:v>0</c:v>
                </c:pt>
                <c:pt idx="1">
                  <c:v>0.23256299999999999</c:v>
                </c:pt>
                <c:pt idx="2">
                  <c:v>1.7150699999999999</c:v>
                </c:pt>
                <c:pt idx="3">
                  <c:v>5.3245800000000001</c:v>
                </c:pt>
                <c:pt idx="4">
                  <c:v>11.5944</c:v>
                </c:pt>
                <c:pt idx="5">
                  <c:v>20.707900000000002</c:v>
                </c:pt>
                <c:pt idx="6">
                  <c:v>32.633000000000003</c:v>
                </c:pt>
                <c:pt idx="7">
                  <c:v>47.038700000000006</c:v>
                </c:pt>
                <c:pt idx="8">
                  <c:v>63.507099999999994</c:v>
                </c:pt>
                <c:pt idx="9">
                  <c:v>81.397800000000004</c:v>
                </c:pt>
              </c:numCache>
            </c:numRef>
          </c:xVal>
          <c:yVal>
            <c:numRef>
              <c:f>Sheet1!$C$6:$C$15</c:f>
              <c:numCache>
                <c:formatCode>General</c:formatCode>
                <c:ptCount val="10"/>
                <c:pt idx="0">
                  <c:v>0</c:v>
                </c:pt>
                <c:pt idx="1">
                  <c:v>4.4606300000000001</c:v>
                </c:pt>
                <c:pt idx="2">
                  <c:v>18.569500000000001</c:v>
                </c:pt>
                <c:pt idx="3">
                  <c:v>39.354700000000001</c:v>
                </c:pt>
                <c:pt idx="4">
                  <c:v>67.9452</c:v>
                </c:pt>
                <c:pt idx="5">
                  <c:v>89.427000000000007</c:v>
                </c:pt>
                <c:pt idx="6">
                  <c:v>112.59699999999999</c:v>
                </c:pt>
                <c:pt idx="7">
                  <c:v>126.761</c:v>
                </c:pt>
                <c:pt idx="8">
                  <c:v>129.64099999999999</c:v>
                </c:pt>
                <c:pt idx="9">
                  <c:v>127.91</c:v>
                </c:pt>
              </c:numCache>
            </c:numRef>
          </c:yVal>
          <c:smooth val="1"/>
          <c:extLst>
            <c:ext xmlns:c16="http://schemas.microsoft.com/office/drawing/2014/chart" uri="{C3380CC4-5D6E-409C-BE32-E72D297353CC}">
              <c16:uniqueId val="{00000000-99D1-4395-879C-CEC910C4DAFA}"/>
            </c:ext>
          </c:extLst>
        </c:ser>
        <c:ser>
          <c:idx val="1"/>
          <c:order val="1"/>
          <c:tx>
            <c:v>30m depth</c:v>
          </c:tx>
          <c:spPr>
            <a:ln w="19050" cap="rnd">
              <a:solidFill>
                <a:schemeClr val="tx1"/>
              </a:solidFill>
              <a:prstDash val="dash"/>
              <a:round/>
            </a:ln>
            <a:effectLst/>
          </c:spPr>
          <c:marker>
            <c:symbol val="circle"/>
            <c:size val="5"/>
            <c:spPr>
              <a:noFill/>
              <a:ln w="9525">
                <a:noFill/>
              </a:ln>
              <a:effectLst/>
            </c:spPr>
          </c:marker>
          <c:xVal>
            <c:numRef>
              <c:f>Sheet1!$E$6:$E$15</c:f>
              <c:numCache>
                <c:formatCode>General</c:formatCode>
                <c:ptCount val="10"/>
                <c:pt idx="0">
                  <c:v>0</c:v>
                </c:pt>
                <c:pt idx="1">
                  <c:v>0.231706</c:v>
                </c:pt>
                <c:pt idx="2">
                  <c:v>1.7127300000000001</c:v>
                </c:pt>
                <c:pt idx="3">
                  <c:v>5.3248300000000004</c:v>
                </c:pt>
                <c:pt idx="4">
                  <c:v>11.5877</c:v>
                </c:pt>
                <c:pt idx="5">
                  <c:v>20.7074</c:v>
                </c:pt>
                <c:pt idx="6">
                  <c:v>32.619299999999996</c:v>
                </c:pt>
                <c:pt idx="7">
                  <c:v>47.061799999999998</c:v>
                </c:pt>
                <c:pt idx="8">
                  <c:v>63.514699999999991</c:v>
                </c:pt>
                <c:pt idx="9">
                  <c:v>81.397800000000004</c:v>
                </c:pt>
              </c:numCache>
            </c:numRef>
          </c:xVal>
          <c:yVal>
            <c:numRef>
              <c:f>Sheet1!$F$6:$F$15</c:f>
              <c:numCache>
                <c:formatCode>General</c:formatCode>
                <c:ptCount val="10"/>
                <c:pt idx="0">
                  <c:v>0</c:v>
                </c:pt>
                <c:pt idx="1">
                  <c:v>5.16812</c:v>
                </c:pt>
                <c:pt idx="2">
                  <c:v>19.180599999999998</c:v>
                </c:pt>
                <c:pt idx="3">
                  <c:v>40.496099999999998</c:v>
                </c:pt>
                <c:pt idx="4">
                  <c:v>68.927899999999994</c:v>
                </c:pt>
                <c:pt idx="5">
                  <c:v>96.381399999999999</c:v>
                </c:pt>
                <c:pt idx="6">
                  <c:v>122.953</c:v>
                </c:pt>
                <c:pt idx="7">
                  <c:v>140.352</c:v>
                </c:pt>
                <c:pt idx="8">
                  <c:v>150.90199999999999</c:v>
                </c:pt>
                <c:pt idx="9">
                  <c:v>147.767</c:v>
                </c:pt>
              </c:numCache>
            </c:numRef>
          </c:yVal>
          <c:smooth val="1"/>
          <c:extLst>
            <c:ext xmlns:c16="http://schemas.microsoft.com/office/drawing/2014/chart" uri="{C3380CC4-5D6E-409C-BE32-E72D297353CC}">
              <c16:uniqueId val="{00000001-99D1-4395-879C-CEC910C4DAFA}"/>
            </c:ext>
          </c:extLst>
        </c:ser>
        <c:ser>
          <c:idx val="2"/>
          <c:order val="2"/>
          <c:tx>
            <c:v>45m depth</c:v>
          </c:tx>
          <c:spPr>
            <a:ln w="19050" cap="rnd">
              <a:solidFill>
                <a:schemeClr val="tx1"/>
              </a:solidFill>
              <a:prstDash val="solid"/>
              <a:round/>
            </a:ln>
            <a:effectLst/>
          </c:spPr>
          <c:marker>
            <c:symbol val="circle"/>
            <c:size val="5"/>
            <c:spPr>
              <a:noFill/>
              <a:ln w="9525">
                <a:noFill/>
              </a:ln>
              <a:effectLst/>
            </c:spPr>
          </c:marker>
          <c:xVal>
            <c:numRef>
              <c:f>Sheet1!$H$6:$H$15</c:f>
              <c:numCache>
                <c:formatCode>General</c:formatCode>
                <c:ptCount val="10"/>
                <c:pt idx="0">
                  <c:v>0</c:v>
                </c:pt>
                <c:pt idx="1">
                  <c:v>0.232431</c:v>
                </c:pt>
                <c:pt idx="2">
                  <c:v>1.71529</c:v>
                </c:pt>
                <c:pt idx="3">
                  <c:v>5.3273399999999995</c:v>
                </c:pt>
                <c:pt idx="4">
                  <c:v>11.585599999999999</c:v>
                </c:pt>
                <c:pt idx="5">
                  <c:v>20.706800000000001</c:v>
                </c:pt>
                <c:pt idx="6">
                  <c:v>32.621400000000001</c:v>
                </c:pt>
                <c:pt idx="7">
                  <c:v>47.040100000000002</c:v>
                </c:pt>
                <c:pt idx="8">
                  <c:v>63.493999999999993</c:v>
                </c:pt>
                <c:pt idx="9">
                  <c:v>81.379300000000001</c:v>
                </c:pt>
              </c:numCache>
            </c:numRef>
          </c:xVal>
          <c:yVal>
            <c:numRef>
              <c:f>Sheet1!$I$6:$I$15</c:f>
              <c:numCache>
                <c:formatCode>General</c:formatCode>
                <c:ptCount val="10"/>
                <c:pt idx="0">
                  <c:v>0</c:v>
                </c:pt>
                <c:pt idx="1">
                  <c:v>5.9897400000000003</c:v>
                </c:pt>
                <c:pt idx="2">
                  <c:v>19.8767</c:v>
                </c:pt>
                <c:pt idx="3">
                  <c:v>42.524700000000003</c:v>
                </c:pt>
                <c:pt idx="4">
                  <c:v>72.287899999999993</c:v>
                </c:pt>
                <c:pt idx="5">
                  <c:v>102.4237</c:v>
                </c:pt>
                <c:pt idx="6">
                  <c:v>129.42500000000001</c:v>
                </c:pt>
                <c:pt idx="7">
                  <c:v>150.36600000000001</c:v>
                </c:pt>
                <c:pt idx="8">
                  <c:v>164.63800000000001</c:v>
                </c:pt>
                <c:pt idx="9">
                  <c:v>161.084</c:v>
                </c:pt>
              </c:numCache>
            </c:numRef>
          </c:yVal>
          <c:smooth val="1"/>
          <c:extLst>
            <c:ext xmlns:c16="http://schemas.microsoft.com/office/drawing/2014/chart" uri="{C3380CC4-5D6E-409C-BE32-E72D297353CC}">
              <c16:uniqueId val="{00000002-99D1-4395-879C-CEC910C4DAFA}"/>
            </c:ext>
          </c:extLst>
        </c:ser>
        <c:dLbls>
          <c:showLegendKey val="0"/>
          <c:showVal val="0"/>
          <c:showCatName val="0"/>
          <c:showSerName val="0"/>
          <c:showPercent val="0"/>
          <c:showBubbleSize val="0"/>
        </c:dLbls>
        <c:axId val="739015423"/>
        <c:axId val="739015007"/>
      </c:scatterChart>
      <c:valAx>
        <c:axId val="739015423"/>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39015007"/>
        <c:crosses val="autoZero"/>
        <c:crossBetween val="midCat"/>
        <c:majorUnit val="20"/>
        <c:minorUnit val="5"/>
      </c:valAx>
      <c:valAx>
        <c:axId val="739015007"/>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Pullout capacity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739015423"/>
        <c:crosses val="autoZero"/>
        <c:crossBetween val="midCat"/>
        <c:majorUnit val="50"/>
        <c:minorUnit val="5"/>
      </c:valAx>
      <c:spPr>
        <a:noFill/>
        <a:ln>
          <a:noFill/>
        </a:ln>
        <a:effectLst/>
      </c:spPr>
    </c:plotArea>
    <c:legend>
      <c:legendPos val="t"/>
      <c:layout>
        <c:manualLayout>
          <c:xMode val="edge"/>
          <c:yMode val="edge"/>
          <c:x val="0.23494598889424537"/>
          <c:y val="2.7777777777777776E-2"/>
          <c:w val="0.32365591397849464"/>
          <c:h val="0.149251968503937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30569544531317"/>
          <c:y val="0.15046417808885001"/>
          <c:w val="0.71925025272900944"/>
          <c:h val="0.66590275752567973"/>
        </c:manualLayout>
      </c:layout>
      <c:scatterChart>
        <c:scatterStyle val="smoothMarker"/>
        <c:varyColors val="0"/>
        <c:ser>
          <c:idx val="0"/>
          <c:order val="0"/>
          <c:tx>
            <c:v>H-shaped SPA</c:v>
          </c:tx>
          <c:spPr>
            <a:ln w="19050" cap="rnd">
              <a:solidFill>
                <a:schemeClr val="tx1"/>
              </a:solidFill>
              <a:prstDash val="sysDot"/>
              <a:round/>
            </a:ln>
            <a:effectLst/>
          </c:spPr>
          <c:marker>
            <c:symbol val="circle"/>
            <c:size val="5"/>
            <c:spPr>
              <a:noFill/>
              <a:ln w="9525">
                <a:noFill/>
              </a:ln>
              <a:effectLst/>
            </c:spPr>
          </c:marker>
          <c:xVal>
            <c:numRef>
              <c:f>'[spa dpa tpa.xlsx]Sheet1'!$B$5:$B$14</c:f>
              <c:numCache>
                <c:formatCode>General</c:formatCode>
                <c:ptCount val="10"/>
                <c:pt idx="0">
                  <c:v>0</c:v>
                </c:pt>
                <c:pt idx="1">
                  <c:v>5.0082300000000002</c:v>
                </c:pt>
                <c:pt idx="2">
                  <c:v>10.0075</c:v>
                </c:pt>
                <c:pt idx="3">
                  <c:v>15.006600000000001</c:v>
                </c:pt>
                <c:pt idx="4">
                  <c:v>20.008199999999999</c:v>
                </c:pt>
                <c:pt idx="5">
                  <c:v>25.000499999999999</c:v>
                </c:pt>
                <c:pt idx="6">
                  <c:v>30.001900000000003</c:v>
                </c:pt>
                <c:pt idx="7">
                  <c:v>35.003300000000003</c:v>
                </c:pt>
                <c:pt idx="8">
                  <c:v>40.0047</c:v>
                </c:pt>
                <c:pt idx="9">
                  <c:v>45.006</c:v>
                </c:pt>
              </c:numCache>
            </c:numRef>
          </c:xVal>
          <c:yVal>
            <c:numRef>
              <c:f>'[spa dpa tpa.xlsx]Sheet1'!$C$5:$C$14</c:f>
              <c:numCache>
                <c:formatCode>General</c:formatCode>
                <c:ptCount val="10"/>
                <c:pt idx="0">
                  <c:v>0</c:v>
                </c:pt>
                <c:pt idx="1">
                  <c:v>5.1796600000000002</c:v>
                </c:pt>
                <c:pt idx="2">
                  <c:v>19.421800000000001</c:v>
                </c:pt>
                <c:pt idx="3">
                  <c:v>36.354100000000003</c:v>
                </c:pt>
                <c:pt idx="4">
                  <c:v>52.186799999999998</c:v>
                </c:pt>
                <c:pt idx="5">
                  <c:v>67.491399999999999</c:v>
                </c:pt>
                <c:pt idx="6">
                  <c:v>79.382300000000001</c:v>
                </c:pt>
                <c:pt idx="7">
                  <c:v>87.773700000000005</c:v>
                </c:pt>
                <c:pt idx="8">
                  <c:v>94.530600000000007</c:v>
                </c:pt>
                <c:pt idx="9">
                  <c:v>92.494799999999998</c:v>
                </c:pt>
              </c:numCache>
            </c:numRef>
          </c:yVal>
          <c:smooth val="1"/>
          <c:extLst>
            <c:ext xmlns:c16="http://schemas.microsoft.com/office/drawing/2014/chart" uri="{C3380CC4-5D6E-409C-BE32-E72D297353CC}">
              <c16:uniqueId val="{00000000-2100-4FBE-A8E0-969493C918DB}"/>
            </c:ext>
          </c:extLst>
        </c:ser>
        <c:ser>
          <c:idx val="1"/>
          <c:order val="1"/>
          <c:tx>
            <c:v>H-shaped DPA</c:v>
          </c:tx>
          <c:spPr>
            <a:ln w="19050" cap="rnd">
              <a:solidFill>
                <a:schemeClr val="tx1"/>
              </a:solidFill>
              <a:prstDash val="dash"/>
              <a:round/>
            </a:ln>
            <a:effectLst/>
          </c:spPr>
          <c:marker>
            <c:symbol val="circle"/>
            <c:size val="5"/>
            <c:spPr>
              <a:noFill/>
              <a:ln w="9525">
                <a:noFill/>
              </a:ln>
              <a:effectLst/>
            </c:spPr>
          </c:marker>
          <c:xVal>
            <c:numRef>
              <c:f>'[spa dpa tpa.xlsx]Sheet1'!$E$5:$E$14</c:f>
              <c:numCache>
                <c:formatCode>General</c:formatCode>
                <c:ptCount val="10"/>
                <c:pt idx="0">
                  <c:v>0</c:v>
                </c:pt>
                <c:pt idx="1">
                  <c:v>5.0023200000000001</c:v>
                </c:pt>
                <c:pt idx="2">
                  <c:v>10.0052</c:v>
                </c:pt>
                <c:pt idx="3">
                  <c:v>15.0016</c:v>
                </c:pt>
                <c:pt idx="4">
                  <c:v>20.001000000000001</c:v>
                </c:pt>
                <c:pt idx="5">
                  <c:v>25.000299999999999</c:v>
                </c:pt>
                <c:pt idx="6">
                  <c:v>30.007200000000001</c:v>
                </c:pt>
                <c:pt idx="7">
                  <c:v>35.0075</c:v>
                </c:pt>
                <c:pt idx="8">
                  <c:v>40.000399999999999</c:v>
                </c:pt>
                <c:pt idx="9">
                  <c:v>45.000900000000001</c:v>
                </c:pt>
              </c:numCache>
            </c:numRef>
          </c:xVal>
          <c:yVal>
            <c:numRef>
              <c:f>'[spa dpa tpa.xlsx]Sheet1'!$F$5:$F$14</c:f>
              <c:numCache>
                <c:formatCode>General</c:formatCode>
                <c:ptCount val="10"/>
                <c:pt idx="0">
                  <c:v>0</c:v>
                </c:pt>
                <c:pt idx="1">
                  <c:v>5.1500300000000001</c:v>
                </c:pt>
                <c:pt idx="2">
                  <c:v>19.956099999999999</c:v>
                </c:pt>
                <c:pt idx="3">
                  <c:v>39.8123</c:v>
                </c:pt>
                <c:pt idx="4">
                  <c:v>62.941099999999999</c:v>
                </c:pt>
                <c:pt idx="5">
                  <c:v>90.7363</c:v>
                </c:pt>
                <c:pt idx="6">
                  <c:v>112.884</c:v>
                </c:pt>
                <c:pt idx="7">
                  <c:v>125.738</c:v>
                </c:pt>
                <c:pt idx="8">
                  <c:v>127.715</c:v>
                </c:pt>
                <c:pt idx="9">
                  <c:v>123.51600000000001</c:v>
                </c:pt>
              </c:numCache>
            </c:numRef>
          </c:yVal>
          <c:smooth val="1"/>
          <c:extLst>
            <c:ext xmlns:c16="http://schemas.microsoft.com/office/drawing/2014/chart" uri="{C3380CC4-5D6E-409C-BE32-E72D297353CC}">
              <c16:uniqueId val="{00000001-2100-4FBE-A8E0-969493C918DB}"/>
            </c:ext>
          </c:extLst>
        </c:ser>
        <c:ser>
          <c:idx val="2"/>
          <c:order val="2"/>
          <c:tx>
            <c:v>H-shaped TPA</c:v>
          </c:tx>
          <c:spPr>
            <a:ln w="19050" cap="rnd">
              <a:solidFill>
                <a:schemeClr val="tx1"/>
              </a:solidFill>
              <a:prstDash val="solid"/>
              <a:round/>
            </a:ln>
            <a:effectLst/>
          </c:spPr>
          <c:marker>
            <c:symbol val="circle"/>
            <c:size val="5"/>
            <c:spPr>
              <a:noFill/>
              <a:ln w="9525">
                <a:noFill/>
              </a:ln>
              <a:effectLst/>
            </c:spPr>
          </c:marker>
          <c:xVal>
            <c:numRef>
              <c:f>'[spa dpa tpa.xlsx]Sheet1'!$H$5:$H$14</c:f>
              <c:numCache>
                <c:formatCode>General</c:formatCode>
                <c:ptCount val="10"/>
                <c:pt idx="0">
                  <c:v>0</c:v>
                </c:pt>
                <c:pt idx="1">
                  <c:v>5.0046099999999996</c:v>
                </c:pt>
                <c:pt idx="2">
                  <c:v>10.0045</c:v>
                </c:pt>
                <c:pt idx="3">
                  <c:v>15.004399999999999</c:v>
                </c:pt>
                <c:pt idx="4">
                  <c:v>20.003799999999998</c:v>
                </c:pt>
                <c:pt idx="5">
                  <c:v>25.002400000000002</c:v>
                </c:pt>
                <c:pt idx="6">
                  <c:v>30.000499999999999</c:v>
                </c:pt>
                <c:pt idx="7">
                  <c:v>35.005099999999999</c:v>
                </c:pt>
                <c:pt idx="8">
                  <c:v>40.000700000000002</c:v>
                </c:pt>
                <c:pt idx="9">
                  <c:v>45.004000000000005</c:v>
                </c:pt>
              </c:numCache>
            </c:numRef>
          </c:xVal>
          <c:yVal>
            <c:numRef>
              <c:f>'[spa dpa tpa.xlsx]Sheet1'!$I$5:$I$14</c:f>
              <c:numCache>
                <c:formatCode>General</c:formatCode>
                <c:ptCount val="10"/>
                <c:pt idx="0">
                  <c:v>0</c:v>
                </c:pt>
                <c:pt idx="1">
                  <c:v>5.1253599999999997</c:v>
                </c:pt>
                <c:pt idx="2">
                  <c:v>21.968900000000001</c:v>
                </c:pt>
                <c:pt idx="3">
                  <c:v>48.184699999999999</c:v>
                </c:pt>
                <c:pt idx="4">
                  <c:v>82.542500000000004</c:v>
                </c:pt>
                <c:pt idx="5">
                  <c:v>119.959</c:v>
                </c:pt>
                <c:pt idx="6">
                  <c:v>157.30600000000001</c:v>
                </c:pt>
                <c:pt idx="7">
                  <c:v>175.85499999999999</c:v>
                </c:pt>
                <c:pt idx="8">
                  <c:v>182.56399999999999</c:v>
                </c:pt>
                <c:pt idx="9">
                  <c:v>179.89500000000001</c:v>
                </c:pt>
              </c:numCache>
            </c:numRef>
          </c:yVal>
          <c:smooth val="1"/>
          <c:extLst>
            <c:ext xmlns:c16="http://schemas.microsoft.com/office/drawing/2014/chart" uri="{C3380CC4-5D6E-409C-BE32-E72D297353CC}">
              <c16:uniqueId val="{00000002-2100-4FBE-A8E0-969493C918DB}"/>
            </c:ext>
          </c:extLst>
        </c:ser>
        <c:dLbls>
          <c:showLegendKey val="0"/>
          <c:showVal val="0"/>
          <c:showCatName val="0"/>
          <c:showSerName val="0"/>
          <c:showPercent val="0"/>
          <c:showBubbleSize val="0"/>
        </c:dLbls>
        <c:axId val="1451934703"/>
        <c:axId val="1451931823"/>
      </c:scatterChart>
      <c:valAx>
        <c:axId val="145193470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Displacement</a:t>
                </a:r>
                <a:r>
                  <a:rPr lang="en-IN" baseline="0">
                    <a:solidFill>
                      <a:sysClr val="windowText" lastClr="000000"/>
                    </a:solidFill>
                    <a:latin typeface="Times New Roman" panose="02020603050405020304" pitchFamily="18" charset="0"/>
                    <a:cs typeface="Times New Roman" panose="02020603050405020304" pitchFamily="18" charset="0"/>
                  </a:rPr>
                  <a:t> (in m)</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1931823"/>
        <c:crosses val="autoZero"/>
        <c:crossBetween val="midCat"/>
      </c:valAx>
      <c:valAx>
        <c:axId val="1451931823"/>
        <c:scaling>
          <c:orientation val="minMax"/>
          <c:max val="35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1934703"/>
        <c:crosses val="autoZero"/>
        <c:crossBetween val="midCat"/>
        <c:majorUnit val="50"/>
      </c:valAx>
      <c:spPr>
        <a:noFill/>
        <a:ln>
          <a:noFill/>
        </a:ln>
        <a:effectLst/>
      </c:spPr>
    </c:plotArea>
    <c:legend>
      <c:legendPos val="t"/>
      <c:layout>
        <c:manualLayout>
          <c:xMode val="edge"/>
          <c:yMode val="edge"/>
          <c:x val="0.27004590857238253"/>
          <c:y val="1.8518518518518517E-2"/>
          <c:w val="0.43723287239271763"/>
          <c:h val="0.139018502316840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62820164720789"/>
          <c:y val="0.19475765529308836"/>
          <c:w val="0.70634880984704485"/>
          <c:h val="0.61740075823855356"/>
        </c:manualLayout>
      </c:layout>
      <c:scatterChart>
        <c:scatterStyle val="smoothMarker"/>
        <c:varyColors val="0"/>
        <c:ser>
          <c:idx val="0"/>
          <c:order val="0"/>
          <c:tx>
            <c:v>1m</c:v>
          </c:tx>
          <c:spPr>
            <a:ln w="19050" cap="rnd">
              <a:solidFill>
                <a:schemeClr val="tx1"/>
              </a:solidFill>
              <a:prstDash val="sysDot"/>
              <a:round/>
            </a:ln>
            <a:effectLst/>
          </c:spPr>
          <c:marker>
            <c:symbol val="circle"/>
            <c:size val="5"/>
            <c:spPr>
              <a:noFill/>
              <a:ln w="9525">
                <a:noFill/>
              </a:ln>
              <a:effectLst/>
            </c:spPr>
          </c:marker>
          <c:xVal>
            <c:numRef>
              <c:f>Sheet1!$B$6:$B$14</c:f>
              <c:numCache>
                <c:formatCode>General</c:formatCode>
                <c:ptCount val="9"/>
                <c:pt idx="0">
                  <c:v>0</c:v>
                </c:pt>
                <c:pt idx="1">
                  <c:v>0.23168800000000001</c:v>
                </c:pt>
                <c:pt idx="2">
                  <c:v>1.71261</c:v>
                </c:pt>
                <c:pt idx="3">
                  <c:v>5.3233000000000006</c:v>
                </c:pt>
                <c:pt idx="4">
                  <c:v>11.594900000000001</c:v>
                </c:pt>
                <c:pt idx="5">
                  <c:v>20.710900000000002</c:v>
                </c:pt>
                <c:pt idx="6">
                  <c:v>32.637999999999998</c:v>
                </c:pt>
                <c:pt idx="7">
                  <c:v>47.044999999999995</c:v>
                </c:pt>
                <c:pt idx="8">
                  <c:v>63.513399999999997</c:v>
                </c:pt>
              </c:numCache>
            </c:numRef>
          </c:xVal>
          <c:yVal>
            <c:numRef>
              <c:f>Sheet1!$C$6:$C$14</c:f>
              <c:numCache>
                <c:formatCode>General</c:formatCode>
                <c:ptCount val="9"/>
                <c:pt idx="0">
                  <c:v>0</c:v>
                </c:pt>
                <c:pt idx="1">
                  <c:v>27.465299999999999</c:v>
                </c:pt>
                <c:pt idx="2">
                  <c:v>71.358500000000006</c:v>
                </c:pt>
                <c:pt idx="3">
                  <c:v>131.005</c:v>
                </c:pt>
                <c:pt idx="4">
                  <c:v>194.10599999999999</c:v>
                </c:pt>
                <c:pt idx="5">
                  <c:v>251.822</c:v>
                </c:pt>
                <c:pt idx="6">
                  <c:v>284.45499999999998</c:v>
                </c:pt>
                <c:pt idx="7">
                  <c:v>307.286</c:v>
                </c:pt>
                <c:pt idx="8">
                  <c:v>294.53800000000001</c:v>
                </c:pt>
              </c:numCache>
            </c:numRef>
          </c:yVal>
          <c:smooth val="1"/>
          <c:extLst>
            <c:ext xmlns:c16="http://schemas.microsoft.com/office/drawing/2014/chart" uri="{C3380CC4-5D6E-409C-BE32-E72D297353CC}">
              <c16:uniqueId val="{00000000-6AAE-4E5A-A300-6B7ECF184271}"/>
            </c:ext>
          </c:extLst>
        </c:ser>
        <c:ser>
          <c:idx val="1"/>
          <c:order val="1"/>
          <c:tx>
            <c:v>2m</c:v>
          </c:tx>
          <c:spPr>
            <a:ln w="19050" cap="rnd">
              <a:solidFill>
                <a:schemeClr val="tx1"/>
              </a:solidFill>
              <a:prstDash val="sysDash"/>
              <a:round/>
            </a:ln>
            <a:effectLst/>
          </c:spPr>
          <c:marker>
            <c:symbol val="circle"/>
            <c:size val="5"/>
            <c:spPr>
              <a:noFill/>
              <a:ln w="9525">
                <a:noFill/>
              </a:ln>
              <a:effectLst/>
            </c:spPr>
          </c:marker>
          <c:xVal>
            <c:numRef>
              <c:f>Sheet1!$E$6:$E$15</c:f>
              <c:numCache>
                <c:formatCode>General</c:formatCode>
                <c:ptCount val="10"/>
                <c:pt idx="0">
                  <c:v>0</c:v>
                </c:pt>
                <c:pt idx="1">
                  <c:v>0.23266199999999998</c:v>
                </c:pt>
                <c:pt idx="2">
                  <c:v>1.7151200000000002</c:v>
                </c:pt>
                <c:pt idx="3">
                  <c:v>5.3277200000000002</c:v>
                </c:pt>
                <c:pt idx="4">
                  <c:v>11.597100000000001</c:v>
                </c:pt>
                <c:pt idx="5">
                  <c:v>20.7072</c:v>
                </c:pt>
                <c:pt idx="6">
                  <c:v>32.625099999999996</c:v>
                </c:pt>
                <c:pt idx="7">
                  <c:v>47.046900000000001</c:v>
                </c:pt>
                <c:pt idx="8">
                  <c:v>63.503500000000003</c:v>
                </c:pt>
                <c:pt idx="9">
                  <c:v>81.3917</c:v>
                </c:pt>
              </c:numCache>
            </c:numRef>
          </c:xVal>
          <c:yVal>
            <c:numRef>
              <c:f>Sheet1!$F$6:$F$15</c:f>
              <c:numCache>
                <c:formatCode>General</c:formatCode>
                <c:ptCount val="10"/>
                <c:pt idx="0">
                  <c:v>0</c:v>
                </c:pt>
                <c:pt idx="1">
                  <c:v>29.984400000000001</c:v>
                </c:pt>
                <c:pt idx="2">
                  <c:v>77.197199999999995</c:v>
                </c:pt>
                <c:pt idx="3">
                  <c:v>140.11799999999999</c:v>
                </c:pt>
                <c:pt idx="4">
                  <c:v>205.69300000000001</c:v>
                </c:pt>
                <c:pt idx="5">
                  <c:v>268.38200000000001</c:v>
                </c:pt>
                <c:pt idx="6">
                  <c:v>313.91500000000002</c:v>
                </c:pt>
                <c:pt idx="7">
                  <c:v>336.702</c:v>
                </c:pt>
                <c:pt idx="8">
                  <c:v>340.54500000000002</c:v>
                </c:pt>
                <c:pt idx="9">
                  <c:v>324.68400000000003</c:v>
                </c:pt>
              </c:numCache>
            </c:numRef>
          </c:yVal>
          <c:smooth val="1"/>
          <c:extLst>
            <c:ext xmlns:c16="http://schemas.microsoft.com/office/drawing/2014/chart" uri="{C3380CC4-5D6E-409C-BE32-E72D297353CC}">
              <c16:uniqueId val="{00000001-6AAE-4E5A-A300-6B7ECF184271}"/>
            </c:ext>
          </c:extLst>
        </c:ser>
        <c:ser>
          <c:idx val="2"/>
          <c:order val="2"/>
          <c:tx>
            <c:v>3m</c:v>
          </c:tx>
          <c:spPr>
            <a:ln w="19050" cap="rnd">
              <a:solidFill>
                <a:schemeClr val="tx1"/>
              </a:solidFill>
              <a:prstDash val="solid"/>
              <a:round/>
            </a:ln>
            <a:effectLst/>
          </c:spPr>
          <c:marker>
            <c:symbol val="circle"/>
            <c:size val="5"/>
            <c:spPr>
              <a:noFill/>
              <a:ln w="9525">
                <a:noFill/>
              </a:ln>
              <a:effectLst/>
            </c:spPr>
          </c:marker>
          <c:xVal>
            <c:numRef>
              <c:f>Sheet1!$H$6:$H$16</c:f>
              <c:numCache>
                <c:formatCode>General</c:formatCode>
                <c:ptCount val="11"/>
                <c:pt idx="0">
                  <c:v>0</c:v>
                </c:pt>
                <c:pt idx="1">
                  <c:v>0.23235</c:v>
                </c:pt>
                <c:pt idx="2">
                  <c:v>1.7141999999999999</c:v>
                </c:pt>
                <c:pt idx="3">
                  <c:v>5.3290600000000001</c:v>
                </c:pt>
                <c:pt idx="4">
                  <c:v>11.595599999999999</c:v>
                </c:pt>
                <c:pt idx="5">
                  <c:v>20.718899999999998</c:v>
                </c:pt>
                <c:pt idx="6">
                  <c:v>32.633200000000002</c:v>
                </c:pt>
                <c:pt idx="7">
                  <c:v>47.0488</c:v>
                </c:pt>
                <c:pt idx="8">
                  <c:v>63.496399999999994</c:v>
                </c:pt>
                <c:pt idx="9">
                  <c:v>81.3733</c:v>
                </c:pt>
                <c:pt idx="10">
                  <c:v>100.02</c:v>
                </c:pt>
              </c:numCache>
            </c:numRef>
          </c:xVal>
          <c:yVal>
            <c:numRef>
              <c:f>Sheet1!$I$6:$I$16</c:f>
              <c:numCache>
                <c:formatCode>General</c:formatCode>
                <c:ptCount val="11"/>
                <c:pt idx="0">
                  <c:v>0</c:v>
                </c:pt>
                <c:pt idx="1">
                  <c:v>6.1909799999999997</c:v>
                </c:pt>
                <c:pt idx="2">
                  <c:v>33.438099999999999</c:v>
                </c:pt>
                <c:pt idx="3">
                  <c:v>84.188900000000004</c:v>
                </c:pt>
                <c:pt idx="4">
                  <c:v>149.03800000000001</c:v>
                </c:pt>
                <c:pt idx="5">
                  <c:v>215.464</c:v>
                </c:pt>
                <c:pt idx="6">
                  <c:v>276.65600000000001</c:v>
                </c:pt>
                <c:pt idx="7">
                  <c:v>322.947</c:v>
                </c:pt>
                <c:pt idx="8">
                  <c:v>350.072</c:v>
                </c:pt>
                <c:pt idx="9">
                  <c:v>360.57100000000003</c:v>
                </c:pt>
                <c:pt idx="10">
                  <c:v>352.80500000000001</c:v>
                </c:pt>
              </c:numCache>
            </c:numRef>
          </c:yVal>
          <c:smooth val="1"/>
          <c:extLst>
            <c:ext xmlns:c16="http://schemas.microsoft.com/office/drawing/2014/chart" uri="{C3380CC4-5D6E-409C-BE32-E72D297353CC}">
              <c16:uniqueId val="{00000002-6AAE-4E5A-A300-6B7ECF184271}"/>
            </c:ext>
          </c:extLst>
        </c:ser>
        <c:ser>
          <c:idx val="3"/>
          <c:order val="3"/>
          <c:tx>
            <c:v>4m</c:v>
          </c:tx>
          <c:spPr>
            <a:ln w="19050" cap="rnd">
              <a:solidFill>
                <a:schemeClr val="tx1"/>
              </a:solidFill>
              <a:prstDash val="dash"/>
              <a:round/>
            </a:ln>
            <a:effectLst/>
          </c:spPr>
          <c:marker>
            <c:symbol val="circle"/>
            <c:size val="5"/>
            <c:spPr>
              <a:noFill/>
              <a:ln w="9525">
                <a:noFill/>
              </a:ln>
              <a:effectLst/>
            </c:spPr>
          </c:marker>
          <c:xVal>
            <c:numRef>
              <c:f>Sheet1!$K$6:$K$15</c:f>
              <c:numCache>
                <c:formatCode>General</c:formatCode>
                <c:ptCount val="10"/>
                <c:pt idx="0">
                  <c:v>0</c:v>
                </c:pt>
                <c:pt idx="1">
                  <c:v>0.23241399999999998</c:v>
                </c:pt>
                <c:pt idx="2">
                  <c:v>1.7139900000000001</c:v>
                </c:pt>
                <c:pt idx="3">
                  <c:v>5.32409</c:v>
                </c:pt>
                <c:pt idx="4">
                  <c:v>11.5951</c:v>
                </c:pt>
                <c:pt idx="5">
                  <c:v>20.708500000000001</c:v>
                </c:pt>
                <c:pt idx="6">
                  <c:v>32.629800000000003</c:v>
                </c:pt>
                <c:pt idx="7">
                  <c:v>47.054899999999996</c:v>
                </c:pt>
                <c:pt idx="8">
                  <c:v>63.514799999999994</c:v>
                </c:pt>
                <c:pt idx="9">
                  <c:v>81.405699999999996</c:v>
                </c:pt>
              </c:numCache>
            </c:numRef>
          </c:xVal>
          <c:yVal>
            <c:numRef>
              <c:f>Sheet1!$L$6:$L$15</c:f>
              <c:numCache>
                <c:formatCode>General</c:formatCode>
                <c:ptCount val="10"/>
                <c:pt idx="0">
                  <c:v>0</c:v>
                </c:pt>
                <c:pt idx="1">
                  <c:v>7.14229</c:v>
                </c:pt>
                <c:pt idx="2">
                  <c:v>38.054099999999998</c:v>
                </c:pt>
                <c:pt idx="3">
                  <c:v>92.796400000000006</c:v>
                </c:pt>
                <c:pt idx="4">
                  <c:v>158.363</c:v>
                </c:pt>
                <c:pt idx="5">
                  <c:v>224.154</c:v>
                </c:pt>
                <c:pt idx="6">
                  <c:v>280.26900000000001</c:v>
                </c:pt>
                <c:pt idx="7">
                  <c:v>322.238</c:v>
                </c:pt>
                <c:pt idx="8">
                  <c:v>343.44900000000001</c:v>
                </c:pt>
                <c:pt idx="9">
                  <c:v>335.65699999999998</c:v>
                </c:pt>
              </c:numCache>
            </c:numRef>
          </c:yVal>
          <c:smooth val="1"/>
          <c:extLst>
            <c:ext xmlns:c16="http://schemas.microsoft.com/office/drawing/2014/chart" uri="{C3380CC4-5D6E-409C-BE32-E72D297353CC}">
              <c16:uniqueId val="{00000003-6AAE-4E5A-A300-6B7ECF184271}"/>
            </c:ext>
          </c:extLst>
        </c:ser>
        <c:dLbls>
          <c:showLegendKey val="0"/>
          <c:showVal val="0"/>
          <c:showCatName val="0"/>
          <c:showSerName val="0"/>
          <c:showPercent val="0"/>
          <c:showBubbleSize val="0"/>
        </c:dLbls>
        <c:axId val="1799204288"/>
        <c:axId val="1799202208"/>
      </c:scatterChart>
      <c:valAx>
        <c:axId val="1799204288"/>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Displacement (in mm)</a:t>
                </a:r>
              </a:p>
            </c:rich>
          </c:tx>
          <c:layout>
            <c:manualLayout>
              <c:xMode val="edge"/>
              <c:yMode val="edge"/>
              <c:x val="0.36431966693818446"/>
              <c:y val="0.8962962962962963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99202208"/>
        <c:crosses val="autoZero"/>
        <c:crossBetween val="midCat"/>
        <c:majorUnit val="20"/>
        <c:minorUnit val="5"/>
      </c:valAx>
      <c:valAx>
        <c:axId val="1799202208"/>
        <c:scaling>
          <c:orientation val="minMax"/>
          <c:max val="40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Pullout capacity (MPa)</a:t>
                </a:r>
              </a:p>
            </c:rich>
          </c:tx>
          <c:layout>
            <c:manualLayout>
              <c:xMode val="edge"/>
              <c:yMode val="edge"/>
              <c:x val="3.2183908045977011E-2"/>
              <c:y val="0.240957569877225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99204288"/>
        <c:crosses val="autoZero"/>
        <c:crossBetween val="midCat"/>
        <c:majorUnit val="50"/>
      </c:valAx>
      <c:spPr>
        <a:noFill/>
        <a:ln>
          <a:noFill/>
        </a:ln>
        <a:effectLst/>
      </c:spPr>
    </c:plotArea>
    <c:legend>
      <c:legendPos val="t"/>
      <c:layout>
        <c:manualLayout>
          <c:xMode val="edge"/>
          <c:yMode val="edge"/>
          <c:x val="0.2431032672640058"/>
          <c:y val="1.9512195121951219E-2"/>
          <c:w val="0.56896551724137934"/>
          <c:h val="0.148717751744446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1d </c:v>
          </c:tx>
          <c:spPr>
            <a:ln w="19050" cap="rnd">
              <a:solidFill>
                <a:schemeClr val="tx1"/>
              </a:solidFill>
              <a:prstDash val="sysDot"/>
              <a:round/>
            </a:ln>
            <a:effectLst/>
          </c:spPr>
          <c:marker>
            <c:symbol val="circle"/>
            <c:size val="5"/>
            <c:spPr>
              <a:noFill/>
              <a:ln w="9525">
                <a:noFill/>
              </a:ln>
              <a:effectLst/>
            </c:spPr>
          </c:marker>
          <c:xVal>
            <c:numRef>
              <c:f>'[SPACING H.xlsx]Sheet1'!$B$4:$B$14</c:f>
              <c:numCache>
                <c:formatCode>General</c:formatCode>
                <c:ptCount val="11"/>
                <c:pt idx="0">
                  <c:v>0</c:v>
                </c:pt>
                <c:pt idx="1">
                  <c:v>5.0046099999999996</c:v>
                </c:pt>
                <c:pt idx="2">
                  <c:v>10.0045</c:v>
                </c:pt>
                <c:pt idx="3">
                  <c:v>15.004399999999999</c:v>
                </c:pt>
                <c:pt idx="4">
                  <c:v>20.003799999999998</c:v>
                </c:pt>
                <c:pt idx="5">
                  <c:v>25.002400000000002</c:v>
                </c:pt>
                <c:pt idx="6">
                  <c:v>30.000499999999999</c:v>
                </c:pt>
                <c:pt idx="7">
                  <c:v>35.005099999999999</c:v>
                </c:pt>
                <c:pt idx="8">
                  <c:v>40.000700000000002</c:v>
                </c:pt>
                <c:pt idx="9">
                  <c:v>45.004000000000005</c:v>
                </c:pt>
                <c:pt idx="10">
                  <c:v>50.005699999999997</c:v>
                </c:pt>
              </c:numCache>
            </c:numRef>
          </c:xVal>
          <c:yVal>
            <c:numRef>
              <c:f>'[SPACING H.xlsx]Sheet1'!$C$4:$C$14</c:f>
              <c:numCache>
                <c:formatCode>General</c:formatCode>
                <c:ptCount val="11"/>
                <c:pt idx="0">
                  <c:v>0</c:v>
                </c:pt>
                <c:pt idx="1">
                  <c:v>5.1253599999999997</c:v>
                </c:pt>
                <c:pt idx="2">
                  <c:v>21.968900000000001</c:v>
                </c:pt>
                <c:pt idx="3">
                  <c:v>48.184699999999999</c:v>
                </c:pt>
                <c:pt idx="4">
                  <c:v>82.542500000000004</c:v>
                </c:pt>
                <c:pt idx="5">
                  <c:v>119.959</c:v>
                </c:pt>
                <c:pt idx="6">
                  <c:v>157.30600000000001</c:v>
                </c:pt>
                <c:pt idx="7">
                  <c:v>175.85499999999999</c:v>
                </c:pt>
                <c:pt idx="8">
                  <c:v>182.56399999999999</c:v>
                </c:pt>
                <c:pt idx="9">
                  <c:v>179.89500000000001</c:v>
                </c:pt>
                <c:pt idx="10">
                  <c:v>175.56800000000001</c:v>
                </c:pt>
              </c:numCache>
            </c:numRef>
          </c:yVal>
          <c:smooth val="1"/>
          <c:extLst>
            <c:ext xmlns:c16="http://schemas.microsoft.com/office/drawing/2014/chart" uri="{C3380CC4-5D6E-409C-BE32-E72D297353CC}">
              <c16:uniqueId val="{00000000-2C20-435F-81DE-26708C715D6E}"/>
            </c:ext>
          </c:extLst>
        </c:ser>
        <c:ser>
          <c:idx val="1"/>
          <c:order val="1"/>
          <c:tx>
            <c:v>2d</c:v>
          </c:tx>
          <c:spPr>
            <a:ln w="19050" cap="rnd">
              <a:solidFill>
                <a:schemeClr val="tx1"/>
              </a:solidFill>
              <a:prstDash val="sysDash"/>
              <a:round/>
            </a:ln>
            <a:effectLst/>
          </c:spPr>
          <c:marker>
            <c:symbol val="circle"/>
            <c:size val="5"/>
            <c:spPr>
              <a:noFill/>
              <a:ln w="9525">
                <a:noFill/>
              </a:ln>
              <a:effectLst/>
            </c:spPr>
          </c:marker>
          <c:xVal>
            <c:numRef>
              <c:f>'[SPACING H.xlsx]Sheet1'!$E$4:$E$14</c:f>
              <c:numCache>
                <c:formatCode>General</c:formatCode>
                <c:ptCount val="11"/>
                <c:pt idx="0">
                  <c:v>0</c:v>
                </c:pt>
                <c:pt idx="1">
                  <c:v>5.0014500000000002</c:v>
                </c:pt>
                <c:pt idx="2">
                  <c:v>10.0006</c:v>
                </c:pt>
                <c:pt idx="3">
                  <c:v>15.001300000000001</c:v>
                </c:pt>
                <c:pt idx="4">
                  <c:v>20.006499999999999</c:v>
                </c:pt>
                <c:pt idx="5">
                  <c:v>25.0044</c:v>
                </c:pt>
                <c:pt idx="6">
                  <c:v>30.002199999999998</c:v>
                </c:pt>
                <c:pt idx="7">
                  <c:v>35.000999999999998</c:v>
                </c:pt>
                <c:pt idx="8">
                  <c:v>40.000099999999996</c:v>
                </c:pt>
                <c:pt idx="9">
                  <c:v>45.006599999999999</c:v>
                </c:pt>
                <c:pt idx="10">
                  <c:v>50.005699999999997</c:v>
                </c:pt>
              </c:numCache>
            </c:numRef>
          </c:xVal>
          <c:yVal>
            <c:numRef>
              <c:f>'[SPACING H.xlsx]Sheet1'!$F$4:$F$14</c:f>
              <c:numCache>
                <c:formatCode>General</c:formatCode>
                <c:ptCount val="11"/>
                <c:pt idx="0">
                  <c:v>0</c:v>
                </c:pt>
                <c:pt idx="1">
                  <c:v>5.3807200000000002</c:v>
                </c:pt>
                <c:pt idx="2">
                  <c:v>23.5779</c:v>
                </c:pt>
                <c:pt idx="3">
                  <c:v>51.5426</c:v>
                </c:pt>
                <c:pt idx="4">
                  <c:v>87.782600000000002</c:v>
                </c:pt>
                <c:pt idx="5">
                  <c:v>131.17500000000001</c:v>
                </c:pt>
                <c:pt idx="6">
                  <c:v>174.137</c:v>
                </c:pt>
                <c:pt idx="7">
                  <c:v>208.79400000000001</c:v>
                </c:pt>
                <c:pt idx="8">
                  <c:v>233.79900000000001</c:v>
                </c:pt>
                <c:pt idx="9">
                  <c:v>238.56200000000001</c:v>
                </c:pt>
                <c:pt idx="10">
                  <c:v>231.87700000000001</c:v>
                </c:pt>
              </c:numCache>
            </c:numRef>
          </c:yVal>
          <c:smooth val="1"/>
          <c:extLst>
            <c:ext xmlns:c16="http://schemas.microsoft.com/office/drawing/2014/chart" uri="{C3380CC4-5D6E-409C-BE32-E72D297353CC}">
              <c16:uniqueId val="{00000001-2C20-435F-81DE-26708C715D6E}"/>
            </c:ext>
          </c:extLst>
        </c:ser>
        <c:ser>
          <c:idx val="2"/>
          <c:order val="2"/>
          <c:tx>
            <c:v>3d</c:v>
          </c:tx>
          <c:spPr>
            <a:ln w="19050" cap="rnd">
              <a:solidFill>
                <a:schemeClr val="tx1"/>
              </a:solidFill>
              <a:round/>
            </a:ln>
            <a:effectLst/>
          </c:spPr>
          <c:marker>
            <c:symbol val="circle"/>
            <c:size val="5"/>
            <c:spPr>
              <a:noFill/>
              <a:ln w="9525">
                <a:noFill/>
              </a:ln>
              <a:effectLst/>
            </c:spPr>
          </c:marker>
          <c:xVal>
            <c:numRef>
              <c:f>'[SPACING H.xlsx]Sheet1'!$H$4:$H$14</c:f>
              <c:numCache>
                <c:formatCode>General</c:formatCode>
                <c:ptCount val="11"/>
                <c:pt idx="0">
                  <c:v>0</c:v>
                </c:pt>
                <c:pt idx="1">
                  <c:v>5.0031499999999998</c:v>
                </c:pt>
                <c:pt idx="2">
                  <c:v>10.005500000000001</c:v>
                </c:pt>
                <c:pt idx="3">
                  <c:v>15.000299999999999</c:v>
                </c:pt>
                <c:pt idx="4">
                  <c:v>20.000699999999998</c:v>
                </c:pt>
                <c:pt idx="5">
                  <c:v>25.001300000000001</c:v>
                </c:pt>
                <c:pt idx="6">
                  <c:v>30.001799999999999</c:v>
                </c:pt>
                <c:pt idx="7">
                  <c:v>35.002299999999998</c:v>
                </c:pt>
                <c:pt idx="8">
                  <c:v>40.002800000000001</c:v>
                </c:pt>
                <c:pt idx="9">
                  <c:v>45.003399999999999</c:v>
                </c:pt>
                <c:pt idx="10">
                  <c:v>50.003899999999994</c:v>
                </c:pt>
              </c:numCache>
            </c:numRef>
          </c:xVal>
          <c:yVal>
            <c:numRef>
              <c:f>'[SPACING H.xlsx]Sheet1'!$I$4:$I$14</c:f>
              <c:numCache>
                <c:formatCode>General</c:formatCode>
                <c:ptCount val="11"/>
                <c:pt idx="0">
                  <c:v>0</c:v>
                </c:pt>
                <c:pt idx="1">
                  <c:v>5.7924800000000003</c:v>
                </c:pt>
                <c:pt idx="2">
                  <c:v>25.601199999999999</c:v>
                </c:pt>
                <c:pt idx="3">
                  <c:v>54.889000000000003</c:v>
                </c:pt>
                <c:pt idx="4">
                  <c:v>92.630799999999994</c:v>
                </c:pt>
                <c:pt idx="5">
                  <c:v>135.80799999999999</c:v>
                </c:pt>
                <c:pt idx="6">
                  <c:v>178.363</c:v>
                </c:pt>
                <c:pt idx="7">
                  <c:v>216.721</c:v>
                </c:pt>
                <c:pt idx="8">
                  <c:v>244.68100000000001</c:v>
                </c:pt>
                <c:pt idx="9">
                  <c:v>265.02499999999998</c:v>
                </c:pt>
                <c:pt idx="10">
                  <c:v>262.245</c:v>
                </c:pt>
              </c:numCache>
            </c:numRef>
          </c:yVal>
          <c:smooth val="1"/>
          <c:extLst>
            <c:ext xmlns:c16="http://schemas.microsoft.com/office/drawing/2014/chart" uri="{C3380CC4-5D6E-409C-BE32-E72D297353CC}">
              <c16:uniqueId val="{00000002-2C20-435F-81DE-26708C715D6E}"/>
            </c:ext>
          </c:extLst>
        </c:ser>
        <c:ser>
          <c:idx val="3"/>
          <c:order val="3"/>
          <c:tx>
            <c:v>4d</c:v>
          </c:tx>
          <c:spPr>
            <a:ln w="19050" cap="rnd">
              <a:solidFill>
                <a:schemeClr val="tx1"/>
              </a:solidFill>
              <a:prstDash val="dash"/>
              <a:round/>
            </a:ln>
            <a:effectLst/>
          </c:spPr>
          <c:marker>
            <c:symbol val="circle"/>
            <c:size val="5"/>
            <c:spPr>
              <a:noFill/>
              <a:ln w="9525">
                <a:noFill/>
              </a:ln>
              <a:effectLst/>
            </c:spPr>
          </c:marker>
          <c:xVal>
            <c:numRef>
              <c:f>'[SPACING H.xlsx]Sheet1'!$K$4:$K$14</c:f>
              <c:numCache>
                <c:formatCode>General</c:formatCode>
                <c:ptCount val="11"/>
                <c:pt idx="0">
                  <c:v>0</c:v>
                </c:pt>
                <c:pt idx="1">
                  <c:v>5.00549</c:v>
                </c:pt>
                <c:pt idx="2">
                  <c:v>10.006599999999999</c:v>
                </c:pt>
                <c:pt idx="3">
                  <c:v>15.001900000000001</c:v>
                </c:pt>
                <c:pt idx="4">
                  <c:v>20.002300000000002</c:v>
                </c:pt>
                <c:pt idx="5">
                  <c:v>25.002799999999997</c:v>
                </c:pt>
                <c:pt idx="6">
                  <c:v>30.003399999999999</c:v>
                </c:pt>
                <c:pt idx="7">
                  <c:v>35.003899999999994</c:v>
                </c:pt>
                <c:pt idx="8">
                  <c:v>40.004400000000004</c:v>
                </c:pt>
                <c:pt idx="9">
                  <c:v>45.005000000000003</c:v>
                </c:pt>
                <c:pt idx="10">
                  <c:v>50.005499999999998</c:v>
                </c:pt>
              </c:numCache>
            </c:numRef>
          </c:xVal>
          <c:yVal>
            <c:numRef>
              <c:f>'[SPACING H.xlsx]Sheet1'!$L$4:$L$14</c:f>
              <c:numCache>
                <c:formatCode>General</c:formatCode>
                <c:ptCount val="11"/>
                <c:pt idx="0">
                  <c:v>0</c:v>
                </c:pt>
                <c:pt idx="1">
                  <c:v>5.4786999999999999</c:v>
                </c:pt>
                <c:pt idx="2">
                  <c:v>24.276299999999999</c:v>
                </c:pt>
                <c:pt idx="3">
                  <c:v>52.451500000000003</c:v>
                </c:pt>
                <c:pt idx="4">
                  <c:v>89.167400000000001</c:v>
                </c:pt>
                <c:pt idx="5">
                  <c:v>132.227</c:v>
                </c:pt>
                <c:pt idx="6">
                  <c:v>175.28100000000001</c:v>
                </c:pt>
                <c:pt idx="7">
                  <c:v>216.672</c:v>
                </c:pt>
                <c:pt idx="8">
                  <c:v>240.619</c:v>
                </c:pt>
                <c:pt idx="9">
                  <c:v>253.554</c:v>
                </c:pt>
                <c:pt idx="10">
                  <c:v>244.62700000000001</c:v>
                </c:pt>
              </c:numCache>
            </c:numRef>
          </c:yVal>
          <c:smooth val="1"/>
          <c:extLst>
            <c:ext xmlns:c16="http://schemas.microsoft.com/office/drawing/2014/chart" uri="{C3380CC4-5D6E-409C-BE32-E72D297353CC}">
              <c16:uniqueId val="{00000003-2C20-435F-81DE-26708C715D6E}"/>
            </c:ext>
          </c:extLst>
        </c:ser>
        <c:dLbls>
          <c:showLegendKey val="0"/>
          <c:showVal val="0"/>
          <c:showCatName val="0"/>
          <c:showSerName val="0"/>
          <c:showPercent val="0"/>
          <c:showBubbleSize val="0"/>
        </c:dLbls>
        <c:axId val="2022708831"/>
        <c:axId val="2022709311"/>
      </c:scatterChart>
      <c:valAx>
        <c:axId val="202270883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0">
                    <a:solidFill>
                      <a:sysClr val="windowText" lastClr="000000"/>
                    </a:solidFill>
                    <a:latin typeface="Times New Roman" panose="02020603050405020304" pitchFamily="18" charset="0"/>
                    <a:cs typeface="Times New Roman" panose="02020603050405020304" pitchFamily="18" charset="0"/>
                  </a:rPr>
                  <a:t>Displacement (in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22709311"/>
        <c:crosses val="autoZero"/>
        <c:crossBetween val="midCat"/>
      </c:valAx>
      <c:valAx>
        <c:axId val="2022709311"/>
        <c:scaling>
          <c:orientation val="minMax"/>
          <c:max val="4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0">
                    <a:solidFill>
                      <a:sysClr val="windowText" lastClr="000000"/>
                    </a:solidFill>
                    <a:latin typeface="Times New Roman" panose="02020603050405020304" pitchFamily="18" charset="0"/>
                    <a:cs typeface="Times New Roman" panose="02020603050405020304" pitchFamily="18" charset="0"/>
                  </a:rPr>
                  <a:t>Pullout capacity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en-US"/>
          </a:p>
        </c:txPr>
        <c:crossAx val="2022708831"/>
        <c:crosses val="autoZero"/>
        <c:crossBetween val="midCat"/>
      </c:valAx>
      <c:spPr>
        <a:noFill/>
        <a:ln>
          <a:noFill/>
        </a:ln>
        <a:effectLst/>
      </c:spPr>
    </c:plotArea>
    <c:legend>
      <c:legendPos val="t"/>
      <c:layout>
        <c:manualLayout>
          <c:xMode val="edge"/>
          <c:yMode val="edge"/>
          <c:x val="0.21517209770991338"/>
          <c:y val="2.843601895734597E-2"/>
          <c:w val="0.56965546757971319"/>
          <c:h val="0.1273239541739746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Square SPA</c:v>
          </c:tx>
          <c:spPr>
            <a:ln w="19050" cap="rnd">
              <a:solidFill>
                <a:schemeClr val="tx1">
                  <a:alpha val="99000"/>
                </a:schemeClr>
              </a:solidFill>
              <a:round/>
            </a:ln>
            <a:effectLst/>
          </c:spPr>
          <c:marker>
            <c:symbol val="circle"/>
            <c:size val="5"/>
            <c:spPr>
              <a:noFill/>
              <a:ln w="9525">
                <a:noFill/>
              </a:ln>
              <a:effectLst/>
            </c:spPr>
          </c:marker>
          <c:xVal>
            <c:numRef>
              <c:f>'[rd vs pullout capacity.xlsx]Sheet1'!$A$5:$A$7</c:f>
              <c:numCache>
                <c:formatCode>General</c:formatCode>
                <c:ptCount val="3"/>
                <c:pt idx="0">
                  <c:v>30</c:v>
                </c:pt>
                <c:pt idx="1">
                  <c:v>50</c:v>
                </c:pt>
                <c:pt idx="2">
                  <c:v>85</c:v>
                </c:pt>
              </c:numCache>
            </c:numRef>
          </c:xVal>
          <c:yVal>
            <c:numRef>
              <c:f>'[rd vs pullout capacity.xlsx]Sheet1'!$B$5:$B$7</c:f>
              <c:numCache>
                <c:formatCode>General</c:formatCode>
                <c:ptCount val="3"/>
                <c:pt idx="0">
                  <c:v>99.900400000000005</c:v>
                </c:pt>
                <c:pt idx="1">
                  <c:v>133.023</c:v>
                </c:pt>
                <c:pt idx="2">
                  <c:v>267.23599999999999</c:v>
                </c:pt>
              </c:numCache>
            </c:numRef>
          </c:yVal>
          <c:smooth val="1"/>
          <c:extLst>
            <c:ext xmlns:c16="http://schemas.microsoft.com/office/drawing/2014/chart" uri="{C3380CC4-5D6E-409C-BE32-E72D297353CC}">
              <c16:uniqueId val="{00000000-C8B8-4025-94C5-00A765B8B759}"/>
            </c:ext>
          </c:extLst>
        </c:ser>
        <c:ser>
          <c:idx val="1"/>
          <c:order val="1"/>
          <c:tx>
            <c:v>H-shaped</c:v>
          </c:tx>
          <c:spPr>
            <a:ln w="19050" cap="rnd">
              <a:solidFill>
                <a:schemeClr val="tx1"/>
              </a:solidFill>
              <a:prstDash val="sysDot"/>
              <a:round/>
            </a:ln>
            <a:effectLst/>
          </c:spPr>
          <c:marker>
            <c:symbol val="circle"/>
            <c:size val="5"/>
            <c:spPr>
              <a:noFill/>
              <a:ln w="9525">
                <a:noFill/>
              </a:ln>
              <a:effectLst/>
            </c:spPr>
          </c:marker>
          <c:xVal>
            <c:numRef>
              <c:f>'[rd vs pullout capacity.xlsx]Sheet1'!$D$5:$D$7</c:f>
              <c:numCache>
                <c:formatCode>General</c:formatCode>
                <c:ptCount val="3"/>
                <c:pt idx="0">
                  <c:v>30</c:v>
                </c:pt>
                <c:pt idx="1">
                  <c:v>50</c:v>
                </c:pt>
                <c:pt idx="2">
                  <c:v>85</c:v>
                </c:pt>
              </c:numCache>
            </c:numRef>
          </c:xVal>
          <c:yVal>
            <c:numRef>
              <c:f>'[rd vs pullout capacity.xlsx]Sheet1'!$E$5:$E$7</c:f>
              <c:numCache>
                <c:formatCode>General</c:formatCode>
                <c:ptCount val="3"/>
                <c:pt idx="0">
                  <c:v>71.433599999999998</c:v>
                </c:pt>
                <c:pt idx="1">
                  <c:v>118.56</c:v>
                </c:pt>
                <c:pt idx="2">
                  <c:v>217</c:v>
                </c:pt>
              </c:numCache>
            </c:numRef>
          </c:yVal>
          <c:smooth val="1"/>
          <c:extLst>
            <c:ext xmlns:c16="http://schemas.microsoft.com/office/drawing/2014/chart" uri="{C3380CC4-5D6E-409C-BE32-E72D297353CC}">
              <c16:uniqueId val="{00000001-C8B8-4025-94C5-00A765B8B759}"/>
            </c:ext>
          </c:extLst>
        </c:ser>
        <c:dLbls>
          <c:showLegendKey val="0"/>
          <c:showVal val="0"/>
          <c:showCatName val="0"/>
          <c:showSerName val="0"/>
          <c:showPercent val="0"/>
          <c:showBubbleSize val="0"/>
        </c:dLbls>
        <c:axId val="1758453792"/>
        <c:axId val="1758438912"/>
      </c:scatterChart>
      <c:valAx>
        <c:axId val="175845379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Relative</a:t>
                </a:r>
                <a:r>
                  <a:rPr lang="en-IN" baseline="0">
                    <a:solidFill>
                      <a:sysClr val="windowText" lastClr="000000"/>
                    </a:solidFill>
                    <a:latin typeface="Times New Roman" panose="02020603050405020304" pitchFamily="18" charset="0"/>
                    <a:cs typeface="Times New Roman" panose="02020603050405020304" pitchFamily="18" charset="0"/>
                  </a:rPr>
                  <a:t> density</a:t>
                </a:r>
                <a:r>
                  <a:rPr lang="en-IN">
                    <a:solidFill>
                      <a:sysClr val="windowText" lastClr="000000"/>
                    </a:solidFill>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8438912"/>
        <c:crosses val="autoZero"/>
        <c:crossBetween val="midCat"/>
      </c:valAx>
      <c:valAx>
        <c:axId val="17584389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58453792"/>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smoothMarker"/>
        <c:varyColors val="0"/>
        <c:ser>
          <c:idx val="0"/>
          <c:order val="0"/>
          <c:tx>
            <c:v>Sq SPA</c:v>
          </c:tx>
          <c:spPr>
            <a:ln w="19050" cap="rnd">
              <a:solidFill>
                <a:schemeClr val="tx1"/>
              </a:solidFill>
              <a:round/>
            </a:ln>
            <a:effectLst/>
          </c:spPr>
          <c:marker>
            <c:symbol val="circle"/>
            <c:size val="5"/>
            <c:spPr>
              <a:noFill/>
              <a:ln w="9525">
                <a:noFill/>
              </a:ln>
              <a:effectLst/>
            </c:spPr>
          </c:marker>
          <c:xVal>
            <c:numRef>
              <c:f>'[thickness vs pullout.xlsx]Sheet1'!$B$6:$B$8</c:f>
              <c:numCache>
                <c:formatCode>General</c:formatCode>
                <c:ptCount val="3"/>
                <c:pt idx="0">
                  <c:v>10</c:v>
                </c:pt>
                <c:pt idx="1">
                  <c:v>25</c:v>
                </c:pt>
                <c:pt idx="2">
                  <c:v>50</c:v>
                </c:pt>
              </c:numCache>
            </c:numRef>
          </c:xVal>
          <c:yVal>
            <c:numRef>
              <c:f>'[thickness vs pullout.xlsx]Sheet1'!$C$6:$C$8</c:f>
              <c:numCache>
                <c:formatCode>General</c:formatCode>
                <c:ptCount val="3"/>
                <c:pt idx="0">
                  <c:v>91.772999999999996</c:v>
                </c:pt>
                <c:pt idx="1">
                  <c:v>129.64099999999999</c:v>
                </c:pt>
                <c:pt idx="2">
                  <c:v>142.01900000000001</c:v>
                </c:pt>
              </c:numCache>
            </c:numRef>
          </c:yVal>
          <c:smooth val="1"/>
          <c:extLst>
            <c:ext xmlns:c16="http://schemas.microsoft.com/office/drawing/2014/chart" uri="{C3380CC4-5D6E-409C-BE32-E72D297353CC}">
              <c16:uniqueId val="{00000000-48D2-4063-9AE5-0BBD7A290E18}"/>
            </c:ext>
          </c:extLst>
        </c:ser>
        <c:ser>
          <c:idx val="1"/>
          <c:order val="1"/>
          <c:tx>
            <c:v>H-shaped SPA</c:v>
          </c:tx>
          <c:spPr>
            <a:ln w="19050" cap="rnd">
              <a:solidFill>
                <a:schemeClr val="tx1"/>
              </a:solidFill>
              <a:prstDash val="dash"/>
              <a:round/>
            </a:ln>
            <a:effectLst/>
          </c:spPr>
          <c:marker>
            <c:symbol val="circle"/>
            <c:size val="5"/>
            <c:spPr>
              <a:noFill/>
              <a:ln w="9525">
                <a:noFill/>
              </a:ln>
              <a:effectLst/>
            </c:spPr>
          </c:marker>
          <c:xVal>
            <c:numRef>
              <c:f>'[thickness vs pullout.xlsx]Sheet1'!$E$6:$E$8</c:f>
              <c:numCache>
                <c:formatCode>General</c:formatCode>
                <c:ptCount val="3"/>
                <c:pt idx="0">
                  <c:v>10</c:v>
                </c:pt>
                <c:pt idx="1">
                  <c:v>25</c:v>
                </c:pt>
                <c:pt idx="2">
                  <c:v>50</c:v>
                </c:pt>
              </c:numCache>
            </c:numRef>
          </c:xVal>
          <c:yVal>
            <c:numRef>
              <c:f>'[thickness vs pullout.xlsx]Sheet1'!$F$6:$F$8</c:f>
              <c:numCache>
                <c:formatCode>General</c:formatCode>
                <c:ptCount val="3"/>
                <c:pt idx="0">
                  <c:v>71.433599999999998</c:v>
                </c:pt>
                <c:pt idx="1">
                  <c:v>94.530600000000007</c:v>
                </c:pt>
                <c:pt idx="2">
                  <c:v>119.291</c:v>
                </c:pt>
              </c:numCache>
            </c:numRef>
          </c:yVal>
          <c:smooth val="1"/>
          <c:extLst>
            <c:ext xmlns:c16="http://schemas.microsoft.com/office/drawing/2014/chart" uri="{C3380CC4-5D6E-409C-BE32-E72D297353CC}">
              <c16:uniqueId val="{00000001-48D2-4063-9AE5-0BBD7A290E18}"/>
            </c:ext>
          </c:extLst>
        </c:ser>
        <c:dLbls>
          <c:showLegendKey val="0"/>
          <c:showVal val="0"/>
          <c:showCatName val="0"/>
          <c:showSerName val="0"/>
          <c:showPercent val="0"/>
          <c:showBubbleSize val="0"/>
        </c:dLbls>
        <c:axId val="609963344"/>
        <c:axId val="609971504"/>
      </c:scatterChart>
      <c:valAx>
        <c:axId val="60996334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Thickness of anchor (mm</a:t>
                </a:r>
                <a:r>
                  <a:rPr lang="en-IN" baseline="0">
                    <a:solidFill>
                      <a:sysClr val="windowText" lastClr="000000"/>
                    </a:solidFill>
                    <a:latin typeface="Times New Roman" panose="02020603050405020304" pitchFamily="18" charset="0"/>
                    <a:cs typeface="Times New Roman" panose="02020603050405020304" pitchFamily="18" charset="0"/>
                  </a:rPr>
                  <a:t>)</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971504"/>
        <c:crosses val="autoZero"/>
        <c:crossBetween val="midCat"/>
      </c:valAx>
      <c:valAx>
        <c:axId val="609971504"/>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0996334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8507154347642032"/>
          <c:y val="0.16144880128731462"/>
          <c:w val="0.74800372534078385"/>
          <c:h val="0.66131738425064768"/>
        </c:manualLayout>
      </c:layout>
      <c:scatterChart>
        <c:scatterStyle val="smoothMarker"/>
        <c:varyColors val="0"/>
        <c:ser>
          <c:idx val="0"/>
          <c:order val="0"/>
          <c:tx>
            <c:v>Sq SPA</c:v>
          </c:tx>
          <c:spPr>
            <a:ln w="19050" cap="rnd">
              <a:solidFill>
                <a:schemeClr val="tx1"/>
              </a:solidFill>
              <a:round/>
            </a:ln>
            <a:effectLst/>
          </c:spPr>
          <c:marker>
            <c:symbol val="circle"/>
            <c:size val="5"/>
            <c:spPr>
              <a:noFill/>
              <a:ln w="9525">
                <a:noFill/>
              </a:ln>
              <a:effectLst/>
            </c:spPr>
          </c:marker>
          <c:xVal>
            <c:numRef>
              <c:f>'[diameter vs pullout SPA.xlsx]Sheet1'!$B$6:$B$8</c:f>
              <c:numCache>
                <c:formatCode>General</c:formatCode>
                <c:ptCount val="3"/>
                <c:pt idx="0">
                  <c:v>25</c:v>
                </c:pt>
                <c:pt idx="1">
                  <c:v>32</c:v>
                </c:pt>
                <c:pt idx="2">
                  <c:v>40</c:v>
                </c:pt>
              </c:numCache>
            </c:numRef>
          </c:xVal>
          <c:yVal>
            <c:numRef>
              <c:f>'[diameter vs pullout SPA.xlsx]Sheet1'!$C$6:$C$8</c:f>
              <c:numCache>
                <c:formatCode>General</c:formatCode>
                <c:ptCount val="3"/>
                <c:pt idx="0">
                  <c:v>129.64099999999999</c:v>
                </c:pt>
                <c:pt idx="1">
                  <c:v>84.058000000000007</c:v>
                </c:pt>
                <c:pt idx="2">
                  <c:v>56.83</c:v>
                </c:pt>
              </c:numCache>
            </c:numRef>
          </c:yVal>
          <c:smooth val="1"/>
          <c:extLst>
            <c:ext xmlns:c16="http://schemas.microsoft.com/office/drawing/2014/chart" uri="{C3380CC4-5D6E-409C-BE32-E72D297353CC}">
              <c16:uniqueId val="{00000000-91A1-43CF-AE2E-F4929964681F}"/>
            </c:ext>
          </c:extLst>
        </c:ser>
        <c:ser>
          <c:idx val="1"/>
          <c:order val="1"/>
          <c:tx>
            <c:v>H-shaped anchor</c:v>
          </c:tx>
          <c:spPr>
            <a:ln w="19050" cap="rnd">
              <a:solidFill>
                <a:schemeClr val="tx1"/>
              </a:solidFill>
              <a:prstDash val="dash"/>
              <a:round/>
            </a:ln>
            <a:effectLst/>
          </c:spPr>
          <c:marker>
            <c:symbol val="circle"/>
            <c:size val="5"/>
            <c:spPr>
              <a:noFill/>
              <a:ln w="9525">
                <a:noFill/>
              </a:ln>
              <a:effectLst/>
            </c:spPr>
          </c:marker>
          <c:xVal>
            <c:numRef>
              <c:f>'[diameter vs pullout SPA.xlsx]Sheet1'!$E$6:$E$8</c:f>
              <c:numCache>
                <c:formatCode>General</c:formatCode>
                <c:ptCount val="3"/>
                <c:pt idx="0">
                  <c:v>25</c:v>
                </c:pt>
                <c:pt idx="1">
                  <c:v>32</c:v>
                </c:pt>
                <c:pt idx="2">
                  <c:v>40</c:v>
                </c:pt>
              </c:numCache>
            </c:numRef>
          </c:xVal>
          <c:yVal>
            <c:numRef>
              <c:f>'[diameter vs pullout SPA.xlsx]Sheet1'!$F$6:$F$8</c:f>
              <c:numCache>
                <c:formatCode>General</c:formatCode>
                <c:ptCount val="3"/>
                <c:pt idx="0">
                  <c:v>94.530600000000007</c:v>
                </c:pt>
                <c:pt idx="1">
                  <c:v>56.770800000000001</c:v>
                </c:pt>
                <c:pt idx="2">
                  <c:v>41.6738</c:v>
                </c:pt>
              </c:numCache>
            </c:numRef>
          </c:yVal>
          <c:smooth val="1"/>
          <c:extLst>
            <c:ext xmlns:c16="http://schemas.microsoft.com/office/drawing/2014/chart" uri="{C3380CC4-5D6E-409C-BE32-E72D297353CC}">
              <c16:uniqueId val="{00000001-91A1-43CF-AE2E-F4929964681F}"/>
            </c:ext>
          </c:extLst>
        </c:ser>
        <c:dLbls>
          <c:showLegendKey val="0"/>
          <c:showVal val="0"/>
          <c:showCatName val="0"/>
          <c:showSerName val="0"/>
          <c:showPercent val="0"/>
          <c:showBubbleSize val="0"/>
        </c:dLbls>
        <c:axId val="1489352624"/>
        <c:axId val="1489354064"/>
      </c:scatterChart>
      <c:valAx>
        <c:axId val="14893526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Diameter (</a:t>
                </a:r>
                <a:r>
                  <a:rPr lang="en-IN" baseline="0">
                    <a:solidFill>
                      <a:sysClr val="windowText" lastClr="000000"/>
                    </a:solidFill>
                    <a:latin typeface="Times New Roman" panose="02020603050405020304" pitchFamily="18" charset="0"/>
                    <a:cs typeface="Times New Roman" panose="02020603050405020304" pitchFamily="18" charset="0"/>
                  </a:rPr>
                  <a:t>mm)</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9354064"/>
        <c:crosses val="autoZero"/>
        <c:crossBetween val="midCat"/>
        <c:majorUnit val="20"/>
      </c:valAx>
      <c:valAx>
        <c:axId val="1489354064"/>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89352624"/>
        <c:crosses val="autoZero"/>
        <c:crossBetween val="midCat"/>
        <c:majorUnit val="5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42546720286573"/>
          <c:y val="0.17612730080765629"/>
          <c:w val="0.69704234395593245"/>
          <c:h val="0.62720459781755578"/>
        </c:manualLayout>
      </c:layout>
      <c:scatterChart>
        <c:scatterStyle val="smoothMarker"/>
        <c:varyColors val="0"/>
        <c:ser>
          <c:idx val="0"/>
          <c:order val="0"/>
          <c:tx>
            <c:v>Sq SPA</c:v>
          </c:tx>
          <c:spPr>
            <a:ln w="19050" cap="rnd">
              <a:solidFill>
                <a:schemeClr val="tx1"/>
              </a:solidFill>
              <a:round/>
            </a:ln>
            <a:effectLst/>
          </c:spPr>
          <c:marker>
            <c:symbol val="circle"/>
            <c:size val="5"/>
            <c:spPr>
              <a:noFill/>
              <a:ln w="9525">
                <a:noFill/>
              </a:ln>
              <a:effectLst/>
            </c:spPr>
          </c:marker>
          <c:xVal>
            <c:numRef>
              <c:f>'[Embedment depth vs Pullout.xlsx]Sheet1'!$B$6:$B$8</c:f>
              <c:numCache>
                <c:formatCode>General</c:formatCode>
                <c:ptCount val="3"/>
                <c:pt idx="0">
                  <c:v>15</c:v>
                </c:pt>
                <c:pt idx="1">
                  <c:v>30</c:v>
                </c:pt>
                <c:pt idx="2">
                  <c:v>45</c:v>
                </c:pt>
              </c:numCache>
            </c:numRef>
          </c:xVal>
          <c:yVal>
            <c:numRef>
              <c:f>'[Embedment depth vs Pullout.xlsx]Sheet1'!$C$6:$C$8</c:f>
              <c:numCache>
                <c:formatCode>General</c:formatCode>
                <c:ptCount val="3"/>
                <c:pt idx="0">
                  <c:v>129.63999999999999</c:v>
                </c:pt>
                <c:pt idx="1">
                  <c:v>150.9</c:v>
                </c:pt>
                <c:pt idx="2">
                  <c:v>164.63</c:v>
                </c:pt>
              </c:numCache>
            </c:numRef>
          </c:yVal>
          <c:smooth val="1"/>
          <c:extLst>
            <c:ext xmlns:c16="http://schemas.microsoft.com/office/drawing/2014/chart" uri="{C3380CC4-5D6E-409C-BE32-E72D297353CC}">
              <c16:uniqueId val="{00000000-55CE-4DA1-9605-AD28F47D71CB}"/>
            </c:ext>
          </c:extLst>
        </c:ser>
        <c:ser>
          <c:idx val="1"/>
          <c:order val="1"/>
          <c:tx>
            <c:v>H-shaped anchor</c:v>
          </c:tx>
          <c:spPr>
            <a:ln w="19050" cap="rnd">
              <a:solidFill>
                <a:schemeClr val="tx1"/>
              </a:solidFill>
              <a:prstDash val="dash"/>
              <a:round/>
            </a:ln>
            <a:effectLst/>
          </c:spPr>
          <c:marker>
            <c:symbol val="circle"/>
            <c:size val="5"/>
            <c:spPr>
              <a:noFill/>
              <a:ln w="9525">
                <a:noFill/>
              </a:ln>
              <a:effectLst/>
            </c:spPr>
          </c:marker>
          <c:xVal>
            <c:numRef>
              <c:f>'[Embedment depth vs Pullout.xlsx]Sheet1'!$E$6:$E$8</c:f>
              <c:numCache>
                <c:formatCode>General</c:formatCode>
                <c:ptCount val="3"/>
                <c:pt idx="0">
                  <c:v>15</c:v>
                </c:pt>
                <c:pt idx="1">
                  <c:v>30</c:v>
                </c:pt>
                <c:pt idx="2">
                  <c:v>45</c:v>
                </c:pt>
              </c:numCache>
            </c:numRef>
          </c:xVal>
          <c:yVal>
            <c:numRef>
              <c:f>'[Embedment depth vs Pullout.xlsx]Sheet1'!$F$6:$F$8</c:f>
              <c:numCache>
                <c:formatCode>General</c:formatCode>
                <c:ptCount val="3"/>
                <c:pt idx="0">
                  <c:v>94.530600000000007</c:v>
                </c:pt>
                <c:pt idx="1">
                  <c:v>100.021</c:v>
                </c:pt>
                <c:pt idx="2">
                  <c:v>117.62</c:v>
                </c:pt>
              </c:numCache>
            </c:numRef>
          </c:yVal>
          <c:smooth val="1"/>
          <c:extLst>
            <c:ext xmlns:c16="http://schemas.microsoft.com/office/drawing/2014/chart" uri="{C3380CC4-5D6E-409C-BE32-E72D297353CC}">
              <c16:uniqueId val="{00000001-55CE-4DA1-9605-AD28F47D71CB}"/>
            </c:ext>
          </c:extLst>
        </c:ser>
        <c:dLbls>
          <c:showLegendKey val="0"/>
          <c:showVal val="0"/>
          <c:showCatName val="0"/>
          <c:showSerName val="0"/>
          <c:showPercent val="0"/>
          <c:showBubbleSize val="0"/>
        </c:dLbls>
        <c:axId val="769252111"/>
        <c:axId val="769253071"/>
      </c:scatterChart>
      <c:valAx>
        <c:axId val="769252111"/>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Embedment</a:t>
                </a:r>
                <a:r>
                  <a:rPr lang="en-IN" baseline="0">
                    <a:solidFill>
                      <a:sysClr val="windowText" lastClr="000000"/>
                    </a:solidFill>
                    <a:latin typeface="Times New Roman" panose="02020603050405020304" pitchFamily="18" charset="0"/>
                    <a:cs typeface="Times New Roman" panose="02020603050405020304" pitchFamily="18" charset="0"/>
                  </a:rPr>
                  <a:t> depth (m)</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9253071"/>
        <c:crosses val="autoZero"/>
        <c:crossBetween val="midCat"/>
      </c:valAx>
      <c:valAx>
        <c:axId val="769253071"/>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769252111"/>
        <c:crosses val="autoZero"/>
        <c:crossBetween val="midCat"/>
        <c:majorUnit val="50"/>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31682083428891"/>
          <c:y val="0.15991282339707535"/>
          <c:w val="0.74354186309235615"/>
          <c:h val="0.64637701537307835"/>
        </c:manualLayout>
      </c:layout>
      <c:scatterChart>
        <c:scatterStyle val="smoothMarker"/>
        <c:varyColors val="0"/>
        <c:ser>
          <c:idx val="0"/>
          <c:order val="0"/>
          <c:tx>
            <c:v>SPA</c:v>
          </c:tx>
          <c:spPr>
            <a:ln w="19050" cap="rnd">
              <a:solidFill>
                <a:schemeClr val="tx1"/>
              </a:solidFill>
              <a:prstDash val="sysDot"/>
              <a:round/>
            </a:ln>
            <a:effectLst/>
          </c:spPr>
          <c:marker>
            <c:symbol val="circle"/>
            <c:size val="5"/>
            <c:spPr>
              <a:noFill/>
              <a:ln w="9525">
                <a:noFill/>
              </a:ln>
              <a:effectLst/>
            </c:spPr>
          </c:marker>
          <c:xVal>
            <c:numRef>
              <c:f>Sheet1!$A$7:$A$15</c:f>
              <c:numCache>
                <c:formatCode>General</c:formatCode>
                <c:ptCount val="9"/>
                <c:pt idx="0">
                  <c:v>0</c:v>
                </c:pt>
                <c:pt idx="1">
                  <c:v>0.23256299999999999</c:v>
                </c:pt>
                <c:pt idx="2">
                  <c:v>1.7150699999999999</c:v>
                </c:pt>
                <c:pt idx="3">
                  <c:v>5.3245800000000001</c:v>
                </c:pt>
                <c:pt idx="4">
                  <c:v>11.5944</c:v>
                </c:pt>
                <c:pt idx="5">
                  <c:v>20.707900000000002</c:v>
                </c:pt>
                <c:pt idx="6">
                  <c:v>32.633000000000003</c:v>
                </c:pt>
                <c:pt idx="7">
                  <c:v>47.038700000000006</c:v>
                </c:pt>
                <c:pt idx="8">
                  <c:v>63.507099999999994</c:v>
                </c:pt>
              </c:numCache>
            </c:numRef>
          </c:xVal>
          <c:yVal>
            <c:numRef>
              <c:f>Sheet1!$B$7:$B$15</c:f>
              <c:numCache>
                <c:formatCode>General</c:formatCode>
                <c:ptCount val="9"/>
                <c:pt idx="0">
                  <c:v>0</c:v>
                </c:pt>
                <c:pt idx="1">
                  <c:v>4.4606300000000001</c:v>
                </c:pt>
                <c:pt idx="2">
                  <c:v>18.569500000000001</c:v>
                </c:pt>
                <c:pt idx="3">
                  <c:v>39.354700000000001</c:v>
                </c:pt>
                <c:pt idx="4">
                  <c:v>67.9452</c:v>
                </c:pt>
                <c:pt idx="5">
                  <c:v>89.427000000000007</c:v>
                </c:pt>
                <c:pt idx="6">
                  <c:v>112.59699999999999</c:v>
                </c:pt>
                <c:pt idx="7">
                  <c:v>129.64099999999999</c:v>
                </c:pt>
                <c:pt idx="8">
                  <c:v>126.761</c:v>
                </c:pt>
              </c:numCache>
            </c:numRef>
          </c:yVal>
          <c:smooth val="1"/>
          <c:extLst>
            <c:ext xmlns:c16="http://schemas.microsoft.com/office/drawing/2014/chart" uri="{C3380CC4-5D6E-409C-BE32-E72D297353CC}">
              <c16:uniqueId val="{00000000-FEE8-462F-B8E2-4AF40B40008E}"/>
            </c:ext>
          </c:extLst>
        </c:ser>
        <c:ser>
          <c:idx val="1"/>
          <c:order val="1"/>
          <c:tx>
            <c:v>DPA</c:v>
          </c:tx>
          <c:spPr>
            <a:ln w="19050" cap="rnd">
              <a:solidFill>
                <a:schemeClr val="tx1"/>
              </a:solidFill>
              <a:prstDash val="dash"/>
              <a:round/>
            </a:ln>
            <a:effectLst/>
          </c:spPr>
          <c:marker>
            <c:symbol val="circle"/>
            <c:size val="5"/>
            <c:spPr>
              <a:noFill/>
              <a:ln w="9525">
                <a:noFill/>
              </a:ln>
              <a:effectLst/>
            </c:spPr>
          </c:marker>
          <c:xVal>
            <c:numRef>
              <c:f>Sheet1!$D$7:$D$15</c:f>
              <c:numCache>
                <c:formatCode>General</c:formatCode>
                <c:ptCount val="9"/>
                <c:pt idx="0">
                  <c:v>0</c:v>
                </c:pt>
                <c:pt idx="1">
                  <c:v>0.231957</c:v>
                </c:pt>
                <c:pt idx="2">
                  <c:v>1.71577</c:v>
                </c:pt>
                <c:pt idx="3">
                  <c:v>5.3276599999999998</c:v>
                </c:pt>
                <c:pt idx="4">
                  <c:v>11.587899999999999</c:v>
                </c:pt>
                <c:pt idx="5">
                  <c:v>20.7197</c:v>
                </c:pt>
                <c:pt idx="6">
                  <c:v>32.6265</c:v>
                </c:pt>
                <c:pt idx="7">
                  <c:v>47.060299999999998</c:v>
                </c:pt>
                <c:pt idx="8">
                  <c:v>63.502400000000002</c:v>
                </c:pt>
              </c:numCache>
            </c:numRef>
          </c:xVal>
          <c:yVal>
            <c:numRef>
              <c:f>Sheet1!$E$7:$E$15</c:f>
              <c:numCache>
                <c:formatCode>General</c:formatCode>
                <c:ptCount val="9"/>
                <c:pt idx="0">
                  <c:v>0</c:v>
                </c:pt>
                <c:pt idx="1">
                  <c:v>5.27773</c:v>
                </c:pt>
                <c:pt idx="2">
                  <c:v>25.292200000000001</c:v>
                </c:pt>
                <c:pt idx="3">
                  <c:v>62.043799999999997</c:v>
                </c:pt>
                <c:pt idx="4">
                  <c:v>106.471</c:v>
                </c:pt>
                <c:pt idx="5">
                  <c:v>151.44800000000001</c:v>
                </c:pt>
                <c:pt idx="6">
                  <c:v>188.065</c:v>
                </c:pt>
                <c:pt idx="7">
                  <c:v>203.59700000000001</c:v>
                </c:pt>
                <c:pt idx="8">
                  <c:v>199.822</c:v>
                </c:pt>
              </c:numCache>
            </c:numRef>
          </c:yVal>
          <c:smooth val="1"/>
          <c:extLst>
            <c:ext xmlns:c16="http://schemas.microsoft.com/office/drawing/2014/chart" uri="{C3380CC4-5D6E-409C-BE32-E72D297353CC}">
              <c16:uniqueId val="{00000001-FEE8-462F-B8E2-4AF40B40008E}"/>
            </c:ext>
          </c:extLst>
        </c:ser>
        <c:ser>
          <c:idx val="2"/>
          <c:order val="2"/>
          <c:tx>
            <c:v>TPA</c:v>
          </c:tx>
          <c:spPr>
            <a:ln w="19050" cap="rnd">
              <a:solidFill>
                <a:schemeClr val="tx1"/>
              </a:solidFill>
              <a:prstDash val="solid"/>
              <a:round/>
            </a:ln>
            <a:effectLst/>
          </c:spPr>
          <c:marker>
            <c:symbol val="circle"/>
            <c:size val="5"/>
            <c:spPr>
              <a:noFill/>
              <a:ln w="9525">
                <a:noFill/>
              </a:ln>
              <a:effectLst/>
            </c:spPr>
          </c:marker>
          <c:xVal>
            <c:numRef>
              <c:f>Sheet1!$G$7:$G$15</c:f>
              <c:numCache>
                <c:formatCode>General</c:formatCode>
                <c:ptCount val="9"/>
                <c:pt idx="0">
                  <c:v>0</c:v>
                </c:pt>
                <c:pt idx="1">
                  <c:v>0.23168800000000001</c:v>
                </c:pt>
                <c:pt idx="2">
                  <c:v>1.71261</c:v>
                </c:pt>
                <c:pt idx="3">
                  <c:v>5.3233000000000006</c:v>
                </c:pt>
                <c:pt idx="4">
                  <c:v>11.594900000000001</c:v>
                </c:pt>
                <c:pt idx="5">
                  <c:v>20.710900000000002</c:v>
                </c:pt>
                <c:pt idx="6">
                  <c:v>32.637999999999998</c:v>
                </c:pt>
                <c:pt idx="7">
                  <c:v>47.044999999999995</c:v>
                </c:pt>
                <c:pt idx="8">
                  <c:v>63.513399999999997</c:v>
                </c:pt>
              </c:numCache>
            </c:numRef>
          </c:xVal>
          <c:yVal>
            <c:numRef>
              <c:f>Sheet1!$H$7:$H$15</c:f>
              <c:numCache>
                <c:formatCode>General</c:formatCode>
                <c:ptCount val="9"/>
                <c:pt idx="0">
                  <c:v>0</c:v>
                </c:pt>
                <c:pt idx="1">
                  <c:v>27.465299999999999</c:v>
                </c:pt>
                <c:pt idx="2">
                  <c:v>71.358500000000006</c:v>
                </c:pt>
                <c:pt idx="3">
                  <c:v>131.005</c:v>
                </c:pt>
                <c:pt idx="4">
                  <c:v>194.10599999999999</c:v>
                </c:pt>
                <c:pt idx="5">
                  <c:v>251.822</c:v>
                </c:pt>
                <c:pt idx="6">
                  <c:v>294.45499999999998</c:v>
                </c:pt>
                <c:pt idx="7">
                  <c:v>307.286</c:v>
                </c:pt>
                <c:pt idx="8">
                  <c:v>294.53800000000001</c:v>
                </c:pt>
              </c:numCache>
            </c:numRef>
          </c:yVal>
          <c:smooth val="1"/>
          <c:extLst>
            <c:ext xmlns:c16="http://schemas.microsoft.com/office/drawing/2014/chart" uri="{C3380CC4-5D6E-409C-BE32-E72D297353CC}">
              <c16:uniqueId val="{00000002-FEE8-462F-B8E2-4AF40B40008E}"/>
            </c:ext>
          </c:extLst>
        </c:ser>
        <c:dLbls>
          <c:showLegendKey val="0"/>
          <c:showVal val="0"/>
          <c:showCatName val="0"/>
          <c:showSerName val="0"/>
          <c:showPercent val="0"/>
          <c:showBubbleSize val="0"/>
        </c:dLbls>
        <c:axId val="1948589471"/>
        <c:axId val="1948586559"/>
      </c:scatterChart>
      <c:valAx>
        <c:axId val="1948589471"/>
        <c:scaling>
          <c:orientation val="minMax"/>
          <c:max val="8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Displacement (mm)</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8586559"/>
        <c:crosses val="autoZero"/>
        <c:crossBetween val="midCat"/>
        <c:majorUnit val="20"/>
        <c:minorUnit val="5"/>
      </c:valAx>
      <c:valAx>
        <c:axId val="1948586559"/>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solidFill>
                      <a:schemeClr val="tx1"/>
                    </a:solidFill>
                    <a:latin typeface="Times New Roman" panose="02020603050405020304" pitchFamily="18" charset="0"/>
                    <a:cs typeface="Times New Roman" panose="02020603050405020304" pitchFamily="18" charset="0"/>
                  </a:rPr>
                  <a:t>Pullout capacity (MPa)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8589471"/>
        <c:crosses val="autoZero"/>
        <c:crossBetween val="midCat"/>
      </c:valAx>
      <c:spPr>
        <a:noFill/>
        <a:ln>
          <a:noFill/>
        </a:ln>
        <a:effectLst/>
      </c:spPr>
    </c:plotArea>
    <c:legend>
      <c:legendPos val="t"/>
      <c:layout>
        <c:manualLayout>
          <c:xMode val="edge"/>
          <c:yMode val="edge"/>
          <c:x val="0.23138894800312126"/>
          <c:y val="3.571416998801076E-2"/>
          <c:w val="0.40924452011066187"/>
          <c:h val="0.14587707786526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330569544531317"/>
          <c:y val="0.23791273775963184"/>
          <c:w val="0.71925025272900944"/>
          <c:h val="0.57845419785489782"/>
        </c:manualLayout>
      </c:layout>
      <c:scatterChart>
        <c:scatterStyle val="smoothMarker"/>
        <c:varyColors val="0"/>
        <c:ser>
          <c:idx val="0"/>
          <c:order val="0"/>
          <c:tx>
            <c:v>H-shaped SPA</c:v>
          </c:tx>
          <c:spPr>
            <a:ln w="19050" cap="rnd">
              <a:solidFill>
                <a:schemeClr val="tx1"/>
              </a:solidFill>
              <a:prstDash val="sysDot"/>
              <a:round/>
            </a:ln>
            <a:effectLst/>
          </c:spPr>
          <c:marker>
            <c:symbol val="circle"/>
            <c:size val="5"/>
            <c:spPr>
              <a:noFill/>
              <a:ln w="9525">
                <a:noFill/>
              </a:ln>
              <a:effectLst/>
            </c:spPr>
          </c:marker>
          <c:xVal>
            <c:numRef>
              <c:f>'[spa dpa tpa.xlsx]Sheet1'!$B$5:$B$14</c:f>
              <c:numCache>
                <c:formatCode>General</c:formatCode>
                <c:ptCount val="10"/>
                <c:pt idx="0">
                  <c:v>0</c:v>
                </c:pt>
                <c:pt idx="1">
                  <c:v>5.0082300000000002</c:v>
                </c:pt>
                <c:pt idx="2">
                  <c:v>10.0075</c:v>
                </c:pt>
                <c:pt idx="3">
                  <c:v>15.006600000000001</c:v>
                </c:pt>
                <c:pt idx="4">
                  <c:v>20.008199999999999</c:v>
                </c:pt>
                <c:pt idx="5">
                  <c:v>25.000499999999999</c:v>
                </c:pt>
                <c:pt idx="6">
                  <c:v>30.001900000000003</c:v>
                </c:pt>
                <c:pt idx="7">
                  <c:v>35.003300000000003</c:v>
                </c:pt>
                <c:pt idx="8">
                  <c:v>40.0047</c:v>
                </c:pt>
                <c:pt idx="9">
                  <c:v>45.006</c:v>
                </c:pt>
              </c:numCache>
            </c:numRef>
          </c:xVal>
          <c:yVal>
            <c:numRef>
              <c:f>'[spa dpa tpa.xlsx]Sheet1'!$C$5:$C$14</c:f>
              <c:numCache>
                <c:formatCode>General</c:formatCode>
                <c:ptCount val="10"/>
                <c:pt idx="0">
                  <c:v>0</c:v>
                </c:pt>
                <c:pt idx="1">
                  <c:v>5.1796600000000002</c:v>
                </c:pt>
                <c:pt idx="2">
                  <c:v>19.421800000000001</c:v>
                </c:pt>
                <c:pt idx="3">
                  <c:v>36.354100000000003</c:v>
                </c:pt>
                <c:pt idx="4">
                  <c:v>52.186799999999998</c:v>
                </c:pt>
                <c:pt idx="5">
                  <c:v>67.491399999999999</c:v>
                </c:pt>
                <c:pt idx="6">
                  <c:v>79.382300000000001</c:v>
                </c:pt>
                <c:pt idx="7">
                  <c:v>87.773700000000005</c:v>
                </c:pt>
                <c:pt idx="8">
                  <c:v>94.530600000000007</c:v>
                </c:pt>
                <c:pt idx="9">
                  <c:v>92.494799999999998</c:v>
                </c:pt>
              </c:numCache>
            </c:numRef>
          </c:yVal>
          <c:smooth val="1"/>
          <c:extLst>
            <c:ext xmlns:c16="http://schemas.microsoft.com/office/drawing/2014/chart" uri="{C3380CC4-5D6E-409C-BE32-E72D297353CC}">
              <c16:uniqueId val="{00000000-BDC8-4412-A298-F08E36058E93}"/>
            </c:ext>
          </c:extLst>
        </c:ser>
        <c:ser>
          <c:idx val="1"/>
          <c:order val="1"/>
          <c:tx>
            <c:v>H-shaped DPA</c:v>
          </c:tx>
          <c:spPr>
            <a:ln w="19050" cap="rnd">
              <a:solidFill>
                <a:schemeClr val="tx1"/>
              </a:solidFill>
              <a:prstDash val="dash"/>
              <a:round/>
            </a:ln>
            <a:effectLst/>
          </c:spPr>
          <c:marker>
            <c:symbol val="circle"/>
            <c:size val="5"/>
            <c:spPr>
              <a:noFill/>
              <a:ln w="9525">
                <a:noFill/>
              </a:ln>
              <a:effectLst/>
            </c:spPr>
          </c:marker>
          <c:xVal>
            <c:numRef>
              <c:f>'[spa dpa tpa.xlsx]Sheet1'!$E$5:$E$14</c:f>
              <c:numCache>
                <c:formatCode>General</c:formatCode>
                <c:ptCount val="10"/>
                <c:pt idx="0">
                  <c:v>0</c:v>
                </c:pt>
                <c:pt idx="1">
                  <c:v>5.0023200000000001</c:v>
                </c:pt>
                <c:pt idx="2">
                  <c:v>10.0052</c:v>
                </c:pt>
                <c:pt idx="3">
                  <c:v>15.0016</c:v>
                </c:pt>
                <c:pt idx="4">
                  <c:v>20.001000000000001</c:v>
                </c:pt>
                <c:pt idx="5">
                  <c:v>25.000299999999999</c:v>
                </c:pt>
                <c:pt idx="6">
                  <c:v>30.007200000000001</c:v>
                </c:pt>
                <c:pt idx="7">
                  <c:v>35.0075</c:v>
                </c:pt>
                <c:pt idx="8">
                  <c:v>40.000399999999999</c:v>
                </c:pt>
                <c:pt idx="9">
                  <c:v>45.000900000000001</c:v>
                </c:pt>
              </c:numCache>
            </c:numRef>
          </c:xVal>
          <c:yVal>
            <c:numRef>
              <c:f>'[spa dpa tpa.xlsx]Sheet1'!$F$5:$F$14</c:f>
              <c:numCache>
                <c:formatCode>General</c:formatCode>
                <c:ptCount val="10"/>
                <c:pt idx="0">
                  <c:v>0</c:v>
                </c:pt>
                <c:pt idx="1">
                  <c:v>5.1500300000000001</c:v>
                </c:pt>
                <c:pt idx="2">
                  <c:v>19.956099999999999</c:v>
                </c:pt>
                <c:pt idx="3">
                  <c:v>39.8123</c:v>
                </c:pt>
                <c:pt idx="4">
                  <c:v>62.941099999999999</c:v>
                </c:pt>
                <c:pt idx="5">
                  <c:v>90.7363</c:v>
                </c:pt>
                <c:pt idx="6">
                  <c:v>112.884</c:v>
                </c:pt>
                <c:pt idx="7">
                  <c:v>125.738</c:v>
                </c:pt>
                <c:pt idx="8">
                  <c:v>127.715</c:v>
                </c:pt>
                <c:pt idx="9">
                  <c:v>123.51600000000001</c:v>
                </c:pt>
              </c:numCache>
            </c:numRef>
          </c:yVal>
          <c:smooth val="1"/>
          <c:extLst>
            <c:ext xmlns:c16="http://schemas.microsoft.com/office/drawing/2014/chart" uri="{C3380CC4-5D6E-409C-BE32-E72D297353CC}">
              <c16:uniqueId val="{00000001-BDC8-4412-A298-F08E36058E93}"/>
            </c:ext>
          </c:extLst>
        </c:ser>
        <c:ser>
          <c:idx val="2"/>
          <c:order val="2"/>
          <c:tx>
            <c:v>H-shaped TPA</c:v>
          </c:tx>
          <c:spPr>
            <a:ln w="19050" cap="rnd">
              <a:solidFill>
                <a:schemeClr val="tx1"/>
              </a:solidFill>
              <a:prstDash val="solid"/>
              <a:round/>
            </a:ln>
            <a:effectLst/>
          </c:spPr>
          <c:marker>
            <c:symbol val="circle"/>
            <c:size val="5"/>
            <c:spPr>
              <a:noFill/>
              <a:ln w="9525">
                <a:noFill/>
              </a:ln>
              <a:effectLst/>
            </c:spPr>
          </c:marker>
          <c:xVal>
            <c:numRef>
              <c:f>'[spa dpa tpa.xlsx]Sheet1'!$H$5:$H$14</c:f>
              <c:numCache>
                <c:formatCode>General</c:formatCode>
                <c:ptCount val="10"/>
                <c:pt idx="0">
                  <c:v>0</c:v>
                </c:pt>
                <c:pt idx="1">
                  <c:v>5.0046099999999996</c:v>
                </c:pt>
                <c:pt idx="2">
                  <c:v>10.0045</c:v>
                </c:pt>
                <c:pt idx="3">
                  <c:v>15.004399999999999</c:v>
                </c:pt>
                <c:pt idx="4">
                  <c:v>20.003799999999998</c:v>
                </c:pt>
                <c:pt idx="5">
                  <c:v>25.002400000000002</c:v>
                </c:pt>
                <c:pt idx="6">
                  <c:v>30.000499999999999</c:v>
                </c:pt>
                <c:pt idx="7">
                  <c:v>35.005099999999999</c:v>
                </c:pt>
                <c:pt idx="8">
                  <c:v>40.000700000000002</c:v>
                </c:pt>
                <c:pt idx="9">
                  <c:v>45.004000000000005</c:v>
                </c:pt>
              </c:numCache>
            </c:numRef>
          </c:xVal>
          <c:yVal>
            <c:numRef>
              <c:f>'[spa dpa tpa.xlsx]Sheet1'!$I$5:$I$14</c:f>
              <c:numCache>
                <c:formatCode>General</c:formatCode>
                <c:ptCount val="10"/>
                <c:pt idx="0">
                  <c:v>0</c:v>
                </c:pt>
                <c:pt idx="1">
                  <c:v>5.1253599999999997</c:v>
                </c:pt>
                <c:pt idx="2">
                  <c:v>21.968900000000001</c:v>
                </c:pt>
                <c:pt idx="3">
                  <c:v>48.184699999999999</c:v>
                </c:pt>
                <c:pt idx="4">
                  <c:v>82.542500000000004</c:v>
                </c:pt>
                <c:pt idx="5">
                  <c:v>119.959</c:v>
                </c:pt>
                <c:pt idx="6">
                  <c:v>157.30600000000001</c:v>
                </c:pt>
                <c:pt idx="7">
                  <c:v>175.85499999999999</c:v>
                </c:pt>
                <c:pt idx="8">
                  <c:v>182.56399999999999</c:v>
                </c:pt>
                <c:pt idx="9">
                  <c:v>179.89500000000001</c:v>
                </c:pt>
              </c:numCache>
            </c:numRef>
          </c:yVal>
          <c:smooth val="1"/>
          <c:extLst>
            <c:ext xmlns:c16="http://schemas.microsoft.com/office/drawing/2014/chart" uri="{C3380CC4-5D6E-409C-BE32-E72D297353CC}">
              <c16:uniqueId val="{00000002-BDC8-4412-A298-F08E36058E93}"/>
            </c:ext>
          </c:extLst>
        </c:ser>
        <c:dLbls>
          <c:showLegendKey val="0"/>
          <c:showVal val="0"/>
          <c:showCatName val="0"/>
          <c:showSerName val="0"/>
          <c:showPercent val="0"/>
          <c:showBubbleSize val="0"/>
        </c:dLbls>
        <c:axId val="1451934703"/>
        <c:axId val="1451931823"/>
      </c:scatterChart>
      <c:valAx>
        <c:axId val="1451934703"/>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t>Displacement (m)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1931823"/>
        <c:crosses val="autoZero"/>
        <c:crossBetween val="midCat"/>
      </c:valAx>
      <c:valAx>
        <c:axId val="1451931823"/>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IN"/>
                  <a:t>Pullout capacity (in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51934703"/>
        <c:crosses val="autoZero"/>
        <c:crossBetween val="midCat"/>
        <c:majorUnit val="100"/>
      </c:valAx>
      <c:spPr>
        <a:noFill/>
        <a:ln>
          <a:noFill/>
        </a:ln>
        <a:effectLst/>
      </c:spPr>
    </c:plotArea>
    <c:legend>
      <c:legendPos val="t"/>
      <c:layout>
        <c:manualLayout>
          <c:xMode val="edge"/>
          <c:yMode val="edge"/>
          <c:x val="0.21350873491721056"/>
          <c:y val="1.8518518518518517E-2"/>
          <c:w val="0.49376997486621593"/>
          <c:h val="0.1853147986131363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07540305795849"/>
          <c:y val="0.17746330598672669"/>
          <c:w val="0.75879976353466705"/>
          <c:h val="0.64474342178916333"/>
        </c:manualLayout>
      </c:layout>
      <c:scatterChart>
        <c:scatterStyle val="smoothMarker"/>
        <c:varyColors val="0"/>
        <c:ser>
          <c:idx val="0"/>
          <c:order val="0"/>
          <c:tx>
            <c:v>15m ed</c:v>
          </c:tx>
          <c:spPr>
            <a:ln w="19050" cap="rnd">
              <a:solidFill>
                <a:schemeClr val="tx1"/>
              </a:solidFill>
              <a:prstDash val="sysDot"/>
              <a:round/>
            </a:ln>
            <a:effectLst/>
          </c:spPr>
          <c:marker>
            <c:symbol val="circle"/>
            <c:size val="5"/>
            <c:spPr>
              <a:noFill/>
              <a:ln w="9525">
                <a:noFill/>
              </a:ln>
              <a:effectLst/>
            </c:spPr>
          </c:marker>
          <c:xVal>
            <c:numRef>
              <c:f>'[h plate ED.xlsx]Sheet1'!$B$4:$B$13</c:f>
              <c:numCache>
                <c:formatCode>General</c:formatCode>
                <c:ptCount val="10"/>
                <c:pt idx="0">
                  <c:v>0</c:v>
                </c:pt>
                <c:pt idx="1">
                  <c:v>5.0082300000000002</c:v>
                </c:pt>
                <c:pt idx="2">
                  <c:v>10.0075</c:v>
                </c:pt>
                <c:pt idx="3">
                  <c:v>15.006600000000001</c:v>
                </c:pt>
                <c:pt idx="4">
                  <c:v>20.008199999999999</c:v>
                </c:pt>
                <c:pt idx="5">
                  <c:v>25.000499999999999</c:v>
                </c:pt>
                <c:pt idx="6">
                  <c:v>30.001900000000003</c:v>
                </c:pt>
                <c:pt idx="7">
                  <c:v>35.003300000000003</c:v>
                </c:pt>
                <c:pt idx="8">
                  <c:v>40.0047</c:v>
                </c:pt>
                <c:pt idx="9">
                  <c:v>45.006</c:v>
                </c:pt>
              </c:numCache>
            </c:numRef>
          </c:xVal>
          <c:yVal>
            <c:numRef>
              <c:f>'[h plate ED.xlsx]Sheet1'!$C$4:$C$13</c:f>
              <c:numCache>
                <c:formatCode>General</c:formatCode>
                <c:ptCount val="10"/>
                <c:pt idx="0">
                  <c:v>0</c:v>
                </c:pt>
                <c:pt idx="1">
                  <c:v>5.1796600000000002</c:v>
                </c:pt>
                <c:pt idx="2">
                  <c:v>19.421800000000001</c:v>
                </c:pt>
                <c:pt idx="3">
                  <c:v>36.354100000000003</c:v>
                </c:pt>
                <c:pt idx="4">
                  <c:v>52.186799999999998</c:v>
                </c:pt>
                <c:pt idx="5">
                  <c:v>67.491399999999999</c:v>
                </c:pt>
                <c:pt idx="6">
                  <c:v>79.382300000000001</c:v>
                </c:pt>
                <c:pt idx="7">
                  <c:v>87.773700000000005</c:v>
                </c:pt>
                <c:pt idx="8">
                  <c:v>94.530600000000007</c:v>
                </c:pt>
                <c:pt idx="9">
                  <c:v>92.494799999999998</c:v>
                </c:pt>
              </c:numCache>
            </c:numRef>
          </c:yVal>
          <c:smooth val="1"/>
          <c:extLst>
            <c:ext xmlns:c16="http://schemas.microsoft.com/office/drawing/2014/chart" uri="{C3380CC4-5D6E-409C-BE32-E72D297353CC}">
              <c16:uniqueId val="{00000000-781B-4AFD-9502-C932FC96464B}"/>
            </c:ext>
          </c:extLst>
        </c:ser>
        <c:ser>
          <c:idx val="1"/>
          <c:order val="1"/>
          <c:tx>
            <c:v>30m ed</c:v>
          </c:tx>
          <c:spPr>
            <a:ln w="19050" cap="rnd">
              <a:solidFill>
                <a:schemeClr val="tx1"/>
              </a:solidFill>
              <a:prstDash val="dash"/>
              <a:round/>
            </a:ln>
            <a:effectLst/>
          </c:spPr>
          <c:marker>
            <c:symbol val="circle"/>
            <c:size val="5"/>
            <c:spPr>
              <a:noFill/>
              <a:ln w="9525">
                <a:noFill/>
              </a:ln>
              <a:effectLst/>
            </c:spPr>
          </c:marker>
          <c:xVal>
            <c:numRef>
              <c:f>'[h plate ED.xlsx]Sheet1'!$E$4:$E$13</c:f>
              <c:numCache>
                <c:formatCode>General</c:formatCode>
                <c:ptCount val="10"/>
                <c:pt idx="0">
                  <c:v>0</c:v>
                </c:pt>
                <c:pt idx="1">
                  <c:v>5.0075799999999999</c:v>
                </c:pt>
                <c:pt idx="2">
                  <c:v>10.0036</c:v>
                </c:pt>
                <c:pt idx="3">
                  <c:v>15.008600000000001</c:v>
                </c:pt>
                <c:pt idx="4">
                  <c:v>20.004000000000001</c:v>
                </c:pt>
                <c:pt idx="5">
                  <c:v>25.008499999999998</c:v>
                </c:pt>
                <c:pt idx="6">
                  <c:v>30.003800000000002</c:v>
                </c:pt>
                <c:pt idx="7">
                  <c:v>35.0075</c:v>
                </c:pt>
                <c:pt idx="8">
                  <c:v>40.001899999999999</c:v>
                </c:pt>
                <c:pt idx="9">
                  <c:v>45.005299999999998</c:v>
                </c:pt>
              </c:numCache>
            </c:numRef>
          </c:xVal>
          <c:yVal>
            <c:numRef>
              <c:f>'[h plate ED.xlsx]Sheet1'!$F$4:$F$13</c:f>
              <c:numCache>
                <c:formatCode>General</c:formatCode>
                <c:ptCount val="10"/>
                <c:pt idx="0">
                  <c:v>0</c:v>
                </c:pt>
                <c:pt idx="1">
                  <c:v>5.11944</c:v>
                </c:pt>
                <c:pt idx="2">
                  <c:v>18.824200000000001</c:v>
                </c:pt>
                <c:pt idx="3">
                  <c:v>38.790199999999999</c:v>
                </c:pt>
                <c:pt idx="4">
                  <c:v>60.067900000000002</c:v>
                </c:pt>
                <c:pt idx="5">
                  <c:v>78.244900000000001</c:v>
                </c:pt>
                <c:pt idx="6">
                  <c:v>92.740899999999996</c:v>
                </c:pt>
                <c:pt idx="7">
                  <c:v>99.325299999999999</c:v>
                </c:pt>
                <c:pt idx="8">
                  <c:v>100.021</c:v>
                </c:pt>
                <c:pt idx="9">
                  <c:v>98.751199999999997</c:v>
                </c:pt>
              </c:numCache>
            </c:numRef>
          </c:yVal>
          <c:smooth val="1"/>
          <c:extLst>
            <c:ext xmlns:c16="http://schemas.microsoft.com/office/drawing/2014/chart" uri="{C3380CC4-5D6E-409C-BE32-E72D297353CC}">
              <c16:uniqueId val="{00000001-781B-4AFD-9502-C932FC96464B}"/>
            </c:ext>
          </c:extLst>
        </c:ser>
        <c:ser>
          <c:idx val="2"/>
          <c:order val="2"/>
          <c:tx>
            <c:v>45m ed</c:v>
          </c:tx>
          <c:spPr>
            <a:ln w="19050" cap="rnd">
              <a:solidFill>
                <a:schemeClr val="tx1"/>
              </a:solidFill>
              <a:round/>
            </a:ln>
            <a:effectLst/>
          </c:spPr>
          <c:marker>
            <c:symbol val="circle"/>
            <c:size val="5"/>
            <c:spPr>
              <a:noFill/>
              <a:ln w="9525">
                <a:noFill/>
              </a:ln>
              <a:effectLst/>
            </c:spPr>
          </c:marker>
          <c:xVal>
            <c:numRef>
              <c:f>'[h plate ED.xlsx]Sheet1'!$H$4:$H$13</c:f>
              <c:numCache>
                <c:formatCode>General</c:formatCode>
                <c:ptCount val="10"/>
                <c:pt idx="0">
                  <c:v>0</c:v>
                </c:pt>
                <c:pt idx="1">
                  <c:v>5.0048399999999997</c:v>
                </c:pt>
                <c:pt idx="2">
                  <c:v>10.0031</c:v>
                </c:pt>
                <c:pt idx="3">
                  <c:v>15.007199999999999</c:v>
                </c:pt>
                <c:pt idx="4">
                  <c:v>20.003599999999999</c:v>
                </c:pt>
                <c:pt idx="5">
                  <c:v>25.0016</c:v>
                </c:pt>
                <c:pt idx="6">
                  <c:v>30.0078</c:v>
                </c:pt>
                <c:pt idx="7">
                  <c:v>35.005000000000003</c:v>
                </c:pt>
                <c:pt idx="8">
                  <c:v>40.002299999999998</c:v>
                </c:pt>
                <c:pt idx="9">
                  <c:v>45.008499999999998</c:v>
                </c:pt>
              </c:numCache>
            </c:numRef>
          </c:xVal>
          <c:yVal>
            <c:numRef>
              <c:f>'[h plate ED.xlsx]Sheet1'!$I$4:$I$13</c:f>
              <c:numCache>
                <c:formatCode>General</c:formatCode>
                <c:ptCount val="10"/>
                <c:pt idx="0">
                  <c:v>0</c:v>
                </c:pt>
                <c:pt idx="1">
                  <c:v>5.1103399999999999</c:v>
                </c:pt>
                <c:pt idx="2">
                  <c:v>18.829699999999999</c:v>
                </c:pt>
                <c:pt idx="3">
                  <c:v>38.145699999999998</c:v>
                </c:pt>
                <c:pt idx="4">
                  <c:v>60.753300000000003</c:v>
                </c:pt>
                <c:pt idx="5">
                  <c:v>83.293999999999997</c:v>
                </c:pt>
                <c:pt idx="6">
                  <c:v>100.821</c:v>
                </c:pt>
                <c:pt idx="7">
                  <c:v>113.622</c:v>
                </c:pt>
                <c:pt idx="8">
                  <c:v>117.62</c:v>
                </c:pt>
                <c:pt idx="9">
                  <c:v>114.577</c:v>
                </c:pt>
              </c:numCache>
            </c:numRef>
          </c:yVal>
          <c:smooth val="1"/>
          <c:extLst>
            <c:ext xmlns:c16="http://schemas.microsoft.com/office/drawing/2014/chart" uri="{C3380CC4-5D6E-409C-BE32-E72D297353CC}">
              <c16:uniqueId val="{00000002-781B-4AFD-9502-C932FC96464B}"/>
            </c:ext>
          </c:extLst>
        </c:ser>
        <c:dLbls>
          <c:showLegendKey val="0"/>
          <c:showVal val="0"/>
          <c:showCatName val="0"/>
          <c:showSerName val="0"/>
          <c:showPercent val="0"/>
          <c:showBubbleSize val="0"/>
        </c:dLbls>
        <c:axId val="1934265567"/>
        <c:axId val="1934263167"/>
      </c:scatterChart>
      <c:valAx>
        <c:axId val="1934265567"/>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4263167"/>
        <c:crosses val="autoZero"/>
        <c:crossBetween val="midCat"/>
      </c:valAx>
      <c:valAx>
        <c:axId val="1934263167"/>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34265567"/>
        <c:crosses val="autoZero"/>
        <c:crossBetween val="midCat"/>
        <c:majorUnit val="50"/>
      </c:valAx>
      <c:spPr>
        <a:noFill/>
        <a:ln>
          <a:noFill/>
        </a:ln>
        <a:effectLst/>
      </c:spPr>
    </c:plotArea>
    <c:legend>
      <c:legendPos val="t"/>
      <c:layout>
        <c:manualLayout>
          <c:xMode val="edge"/>
          <c:yMode val="edge"/>
          <c:x val="0.21031457584905397"/>
          <c:y val="2.7777777777777776E-2"/>
          <c:w val="0.36471559446894991"/>
          <c:h val="0.1614588801399824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946460180849487"/>
          <c:y val="0.23561669415828951"/>
          <c:w val="0.73160959531221392"/>
          <c:h val="0.61094519311568263"/>
        </c:manualLayout>
      </c:layout>
      <c:scatterChart>
        <c:scatterStyle val="smoothMarker"/>
        <c:varyColors val="0"/>
        <c:ser>
          <c:idx val="0"/>
          <c:order val="0"/>
          <c:tx>
            <c:v>25mm dia</c:v>
          </c:tx>
          <c:spPr>
            <a:ln w="19050" cap="rnd">
              <a:solidFill>
                <a:schemeClr val="tx1"/>
              </a:solidFill>
              <a:prstDash val="solid"/>
              <a:round/>
            </a:ln>
            <a:effectLst/>
          </c:spPr>
          <c:marker>
            <c:symbol val="circle"/>
            <c:size val="5"/>
            <c:spPr>
              <a:noFill/>
              <a:ln w="9525">
                <a:noFill/>
              </a:ln>
              <a:effectLst/>
            </c:spPr>
          </c:marker>
          <c:xVal>
            <c:numRef>
              <c:f>Sheet1!$B$5:$B$13</c:f>
              <c:numCache>
                <c:formatCode>General</c:formatCode>
                <c:ptCount val="9"/>
                <c:pt idx="0">
                  <c:v>0</c:v>
                </c:pt>
                <c:pt idx="1">
                  <c:v>0.23256299999999999</c:v>
                </c:pt>
                <c:pt idx="2">
                  <c:v>1.7150699999999999</c:v>
                </c:pt>
                <c:pt idx="3">
                  <c:v>5.3245800000000001</c:v>
                </c:pt>
                <c:pt idx="4">
                  <c:v>11.5944</c:v>
                </c:pt>
                <c:pt idx="5">
                  <c:v>20.707900000000002</c:v>
                </c:pt>
                <c:pt idx="6">
                  <c:v>32.633000000000003</c:v>
                </c:pt>
                <c:pt idx="7">
                  <c:v>47.038700000000006</c:v>
                </c:pt>
                <c:pt idx="8">
                  <c:v>63.507099999999994</c:v>
                </c:pt>
              </c:numCache>
            </c:numRef>
          </c:xVal>
          <c:yVal>
            <c:numRef>
              <c:f>Sheet1!$C$5:$C$13</c:f>
              <c:numCache>
                <c:formatCode>General</c:formatCode>
                <c:ptCount val="9"/>
                <c:pt idx="0">
                  <c:v>0</c:v>
                </c:pt>
                <c:pt idx="1">
                  <c:v>5.4606300000000001</c:v>
                </c:pt>
                <c:pt idx="2">
                  <c:v>28.569500000000001</c:v>
                </c:pt>
                <c:pt idx="3">
                  <c:v>59.354700000000001</c:v>
                </c:pt>
                <c:pt idx="4">
                  <c:v>87.9452</c:v>
                </c:pt>
                <c:pt idx="5">
                  <c:v>109.42700000000001</c:v>
                </c:pt>
                <c:pt idx="6">
                  <c:v>125.59699999999999</c:v>
                </c:pt>
                <c:pt idx="7">
                  <c:v>129.64099999999999</c:v>
                </c:pt>
                <c:pt idx="8">
                  <c:v>126.761</c:v>
                </c:pt>
              </c:numCache>
            </c:numRef>
          </c:yVal>
          <c:smooth val="1"/>
          <c:extLst>
            <c:ext xmlns:c16="http://schemas.microsoft.com/office/drawing/2014/chart" uri="{C3380CC4-5D6E-409C-BE32-E72D297353CC}">
              <c16:uniqueId val="{00000000-3318-4EFF-B48B-1D5B69D906CD}"/>
            </c:ext>
          </c:extLst>
        </c:ser>
        <c:ser>
          <c:idx val="1"/>
          <c:order val="1"/>
          <c:tx>
            <c:v>32mm dia</c:v>
          </c:tx>
          <c:spPr>
            <a:ln w="19050" cap="rnd">
              <a:solidFill>
                <a:schemeClr val="tx1"/>
              </a:solidFill>
              <a:prstDash val="dash"/>
              <a:round/>
            </a:ln>
            <a:effectLst/>
          </c:spPr>
          <c:marker>
            <c:symbol val="circle"/>
            <c:size val="5"/>
            <c:spPr>
              <a:noFill/>
              <a:ln w="9525">
                <a:noFill/>
              </a:ln>
              <a:effectLst/>
            </c:spPr>
          </c:marker>
          <c:xVal>
            <c:numRef>
              <c:f>Sheet1!$E$5:$E$13</c:f>
              <c:numCache>
                <c:formatCode>General</c:formatCode>
                <c:ptCount val="9"/>
                <c:pt idx="0">
                  <c:v>0</c:v>
                </c:pt>
                <c:pt idx="1">
                  <c:v>0.232872</c:v>
                </c:pt>
                <c:pt idx="2">
                  <c:v>1.7123600000000001</c:v>
                </c:pt>
                <c:pt idx="3">
                  <c:v>5.3251599999999994</c:v>
                </c:pt>
                <c:pt idx="4">
                  <c:v>11.5913</c:v>
                </c:pt>
                <c:pt idx="5">
                  <c:v>20.716699999999999</c:v>
                </c:pt>
                <c:pt idx="6">
                  <c:v>32.6374</c:v>
                </c:pt>
                <c:pt idx="7">
                  <c:v>47.063699999999997</c:v>
                </c:pt>
                <c:pt idx="8">
                  <c:v>63.487299999999998</c:v>
                </c:pt>
              </c:numCache>
            </c:numRef>
          </c:xVal>
          <c:yVal>
            <c:numRef>
              <c:f>Sheet1!$F$5:$F$13</c:f>
              <c:numCache>
                <c:formatCode>General</c:formatCode>
                <c:ptCount val="9"/>
                <c:pt idx="0">
                  <c:v>0</c:v>
                </c:pt>
                <c:pt idx="1">
                  <c:v>5.3532200000000003</c:v>
                </c:pt>
                <c:pt idx="2">
                  <c:v>19.641200000000001</c:v>
                </c:pt>
                <c:pt idx="3">
                  <c:v>36.9694</c:v>
                </c:pt>
                <c:pt idx="4">
                  <c:v>52.123199999999997</c:v>
                </c:pt>
                <c:pt idx="5">
                  <c:v>65.937100000000001</c:v>
                </c:pt>
                <c:pt idx="6">
                  <c:v>76.478300000000004</c:v>
                </c:pt>
                <c:pt idx="7">
                  <c:v>84.058400000000006</c:v>
                </c:pt>
                <c:pt idx="8">
                  <c:v>82.450400000000002</c:v>
                </c:pt>
              </c:numCache>
            </c:numRef>
          </c:yVal>
          <c:smooth val="1"/>
          <c:extLst>
            <c:ext xmlns:c16="http://schemas.microsoft.com/office/drawing/2014/chart" uri="{C3380CC4-5D6E-409C-BE32-E72D297353CC}">
              <c16:uniqueId val="{00000001-3318-4EFF-B48B-1D5B69D906CD}"/>
            </c:ext>
          </c:extLst>
        </c:ser>
        <c:ser>
          <c:idx val="2"/>
          <c:order val="2"/>
          <c:tx>
            <c:v>40mm dia</c:v>
          </c:tx>
          <c:spPr>
            <a:ln w="19050" cap="rnd">
              <a:solidFill>
                <a:schemeClr val="tx1"/>
              </a:solidFill>
              <a:prstDash val="sysDot"/>
              <a:round/>
            </a:ln>
            <a:effectLst/>
          </c:spPr>
          <c:marker>
            <c:symbol val="circle"/>
            <c:size val="5"/>
            <c:spPr>
              <a:noFill/>
              <a:ln w="9525">
                <a:noFill/>
              </a:ln>
              <a:effectLst/>
            </c:spPr>
          </c:marker>
          <c:xVal>
            <c:numRef>
              <c:f>Sheet1!$H$5:$H$13</c:f>
              <c:numCache>
                <c:formatCode>General</c:formatCode>
                <c:ptCount val="9"/>
                <c:pt idx="0">
                  <c:v>0</c:v>
                </c:pt>
                <c:pt idx="1">
                  <c:v>0.23178700000000002</c:v>
                </c:pt>
                <c:pt idx="2">
                  <c:v>1.71323</c:v>
                </c:pt>
                <c:pt idx="3">
                  <c:v>5.3280399999999997</c:v>
                </c:pt>
                <c:pt idx="4">
                  <c:v>11.597799999999999</c:v>
                </c:pt>
                <c:pt idx="5">
                  <c:v>20.7287</c:v>
                </c:pt>
                <c:pt idx="6">
                  <c:v>32.618600000000001</c:v>
                </c:pt>
                <c:pt idx="7">
                  <c:v>47.046100000000003</c:v>
                </c:pt>
                <c:pt idx="8">
                  <c:v>63.511700000000005</c:v>
                </c:pt>
              </c:numCache>
            </c:numRef>
          </c:xVal>
          <c:yVal>
            <c:numRef>
              <c:f>Sheet1!$I$5:$I$13</c:f>
              <c:numCache>
                <c:formatCode>General</c:formatCode>
                <c:ptCount val="9"/>
                <c:pt idx="0">
                  <c:v>0</c:v>
                </c:pt>
                <c:pt idx="1">
                  <c:v>5.3234300000000001</c:v>
                </c:pt>
                <c:pt idx="2">
                  <c:v>18.303699999999999</c:v>
                </c:pt>
                <c:pt idx="3">
                  <c:v>30.2532</c:v>
                </c:pt>
                <c:pt idx="4">
                  <c:v>38.500100000000003</c:v>
                </c:pt>
                <c:pt idx="5">
                  <c:v>45.868099999999998</c:v>
                </c:pt>
                <c:pt idx="6">
                  <c:v>53.099899999999998</c:v>
                </c:pt>
                <c:pt idx="7">
                  <c:v>56.8322</c:v>
                </c:pt>
                <c:pt idx="8">
                  <c:v>56.445300000000003</c:v>
                </c:pt>
              </c:numCache>
            </c:numRef>
          </c:yVal>
          <c:smooth val="1"/>
          <c:extLst>
            <c:ext xmlns:c16="http://schemas.microsoft.com/office/drawing/2014/chart" uri="{C3380CC4-5D6E-409C-BE32-E72D297353CC}">
              <c16:uniqueId val="{00000002-3318-4EFF-B48B-1D5B69D906CD}"/>
            </c:ext>
          </c:extLst>
        </c:ser>
        <c:dLbls>
          <c:showLegendKey val="0"/>
          <c:showVal val="0"/>
          <c:showCatName val="0"/>
          <c:showSerName val="0"/>
          <c:showPercent val="0"/>
          <c:showBubbleSize val="0"/>
        </c:dLbls>
        <c:axId val="1182743648"/>
        <c:axId val="1182739904"/>
      </c:scatterChart>
      <c:valAx>
        <c:axId val="1182743648"/>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Displacement</a:t>
                </a:r>
                <a:r>
                  <a:rPr lang="en-US" b="0" baseline="0">
                    <a:solidFill>
                      <a:schemeClr val="tx1"/>
                    </a:solidFill>
                    <a:latin typeface="Times New Roman" panose="02020603050405020304" pitchFamily="18" charset="0"/>
                    <a:cs typeface="Times New Roman" panose="02020603050405020304" pitchFamily="18" charset="0"/>
                  </a:rPr>
                  <a:t> (mm)</a:t>
                </a:r>
                <a:endParaRPr lang="en-US" b="0">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82739904"/>
        <c:crosses val="autoZero"/>
        <c:crossBetween val="midCat"/>
        <c:majorUnit val="20"/>
        <c:minorUnit val="5"/>
      </c:valAx>
      <c:valAx>
        <c:axId val="1182739904"/>
        <c:scaling>
          <c:orientation val="minMax"/>
          <c:max val="2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Pullout capacity (MPa)</a:t>
                </a:r>
              </a:p>
            </c:rich>
          </c:tx>
          <c:layout>
            <c:manualLayout>
              <c:xMode val="edge"/>
              <c:yMode val="edge"/>
              <c:x val="1.3298841297704736E-2"/>
              <c:y val="0.235860456714165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82743648"/>
        <c:crosses val="autoZero"/>
        <c:crossBetween val="midCat"/>
        <c:majorUnit val="50"/>
        <c:minorUnit val="5"/>
      </c:valAx>
      <c:spPr>
        <a:noFill/>
        <a:ln>
          <a:noFill/>
        </a:ln>
        <a:effectLst/>
      </c:spPr>
    </c:plotArea>
    <c:legend>
      <c:legendPos val="t"/>
      <c:layout>
        <c:manualLayout>
          <c:xMode val="edge"/>
          <c:yMode val="edge"/>
          <c:x val="0.26460634281179968"/>
          <c:y val="3.5913811168860818E-2"/>
          <c:w val="0.35242114196803243"/>
          <c:h val="0.185346185175128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956435189925704"/>
          <c:y val="0.21467726370269288"/>
          <c:w val="0.71217027450585646"/>
          <c:h val="0.59587018835760286"/>
        </c:manualLayout>
      </c:layout>
      <c:scatterChart>
        <c:scatterStyle val="smoothMarker"/>
        <c:varyColors val="0"/>
        <c:ser>
          <c:idx val="0"/>
          <c:order val="0"/>
          <c:tx>
            <c:v>25mm dia</c:v>
          </c:tx>
          <c:spPr>
            <a:ln w="19050" cap="rnd">
              <a:solidFill>
                <a:schemeClr val="tx1"/>
              </a:solidFill>
              <a:round/>
            </a:ln>
            <a:effectLst/>
          </c:spPr>
          <c:marker>
            <c:symbol val="circle"/>
            <c:size val="5"/>
            <c:spPr>
              <a:noFill/>
              <a:ln w="9525">
                <a:noFill/>
              </a:ln>
              <a:effectLst/>
            </c:spPr>
          </c:marker>
          <c:xVal>
            <c:numRef>
              <c:f>'[h-shape dia SPA.xlsx]Sheet1'!$B$4:$B$13</c:f>
              <c:numCache>
                <c:formatCode>General</c:formatCode>
                <c:ptCount val="10"/>
                <c:pt idx="0">
                  <c:v>0</c:v>
                </c:pt>
                <c:pt idx="1">
                  <c:v>5.0082300000000002</c:v>
                </c:pt>
                <c:pt idx="2">
                  <c:v>10.0075</c:v>
                </c:pt>
                <c:pt idx="3">
                  <c:v>15.006600000000001</c:v>
                </c:pt>
                <c:pt idx="4">
                  <c:v>20.008199999999999</c:v>
                </c:pt>
                <c:pt idx="5">
                  <c:v>25.000499999999999</c:v>
                </c:pt>
                <c:pt idx="6">
                  <c:v>30.001900000000003</c:v>
                </c:pt>
                <c:pt idx="7">
                  <c:v>35.003300000000003</c:v>
                </c:pt>
                <c:pt idx="8">
                  <c:v>40.0047</c:v>
                </c:pt>
                <c:pt idx="9">
                  <c:v>45.006</c:v>
                </c:pt>
              </c:numCache>
            </c:numRef>
          </c:xVal>
          <c:yVal>
            <c:numRef>
              <c:f>'[h-shape dia SPA.xlsx]Sheet1'!$C$4:$C$13</c:f>
              <c:numCache>
                <c:formatCode>General</c:formatCode>
                <c:ptCount val="10"/>
                <c:pt idx="0">
                  <c:v>0</c:v>
                </c:pt>
                <c:pt idx="1">
                  <c:v>5.1796600000000002</c:v>
                </c:pt>
                <c:pt idx="2">
                  <c:v>19.421800000000001</c:v>
                </c:pt>
                <c:pt idx="3">
                  <c:v>36.354100000000003</c:v>
                </c:pt>
                <c:pt idx="4">
                  <c:v>52.186799999999998</c:v>
                </c:pt>
                <c:pt idx="5">
                  <c:v>67.491399999999999</c:v>
                </c:pt>
                <c:pt idx="6">
                  <c:v>79.382300000000001</c:v>
                </c:pt>
                <c:pt idx="7">
                  <c:v>87.773700000000005</c:v>
                </c:pt>
                <c:pt idx="8">
                  <c:v>94.530600000000007</c:v>
                </c:pt>
                <c:pt idx="9">
                  <c:v>92.494799999999998</c:v>
                </c:pt>
              </c:numCache>
            </c:numRef>
          </c:yVal>
          <c:smooth val="1"/>
          <c:extLst>
            <c:ext xmlns:c16="http://schemas.microsoft.com/office/drawing/2014/chart" uri="{C3380CC4-5D6E-409C-BE32-E72D297353CC}">
              <c16:uniqueId val="{00000000-EDEF-4B20-B1C2-9E0AA9A27C10}"/>
            </c:ext>
          </c:extLst>
        </c:ser>
        <c:ser>
          <c:idx val="1"/>
          <c:order val="1"/>
          <c:tx>
            <c:v>32mm dia</c:v>
          </c:tx>
          <c:spPr>
            <a:ln w="19050" cap="rnd">
              <a:solidFill>
                <a:schemeClr val="tx1"/>
              </a:solidFill>
              <a:prstDash val="dash"/>
              <a:round/>
            </a:ln>
            <a:effectLst/>
          </c:spPr>
          <c:marker>
            <c:symbol val="circle"/>
            <c:size val="5"/>
            <c:spPr>
              <a:noFill/>
              <a:ln w="9525">
                <a:noFill/>
              </a:ln>
              <a:effectLst/>
            </c:spPr>
          </c:marker>
          <c:xVal>
            <c:numRef>
              <c:f>'[h-shape dia SPA.xlsx]Sheet1'!$E$4:$E$13</c:f>
              <c:numCache>
                <c:formatCode>General</c:formatCode>
                <c:ptCount val="10"/>
                <c:pt idx="0">
                  <c:v>0</c:v>
                </c:pt>
                <c:pt idx="1">
                  <c:v>5.0086699999999995</c:v>
                </c:pt>
                <c:pt idx="2">
                  <c:v>10.0039</c:v>
                </c:pt>
                <c:pt idx="3">
                  <c:v>15.0106</c:v>
                </c:pt>
                <c:pt idx="4">
                  <c:v>20.005499999999998</c:v>
                </c:pt>
                <c:pt idx="5">
                  <c:v>25.000299999999999</c:v>
                </c:pt>
                <c:pt idx="6">
                  <c:v>30.006700000000002</c:v>
                </c:pt>
                <c:pt idx="7">
                  <c:v>35.000900000000001</c:v>
                </c:pt>
                <c:pt idx="8">
                  <c:v>40.006399999999999</c:v>
                </c:pt>
                <c:pt idx="9">
                  <c:v>45.000400000000006</c:v>
                </c:pt>
              </c:numCache>
            </c:numRef>
          </c:xVal>
          <c:yVal>
            <c:numRef>
              <c:f>'[h-shape dia SPA.xlsx]Sheet1'!$F$4:$F$13</c:f>
              <c:numCache>
                <c:formatCode>General</c:formatCode>
                <c:ptCount val="10"/>
                <c:pt idx="0">
                  <c:v>0</c:v>
                </c:pt>
                <c:pt idx="1">
                  <c:v>5.1679300000000001</c:v>
                </c:pt>
                <c:pt idx="2">
                  <c:v>17.8748</c:v>
                </c:pt>
                <c:pt idx="3">
                  <c:v>29.908999999999999</c:v>
                </c:pt>
                <c:pt idx="4">
                  <c:v>40.629300000000001</c:v>
                </c:pt>
                <c:pt idx="5">
                  <c:v>50.0017</c:v>
                </c:pt>
                <c:pt idx="6">
                  <c:v>53.5747</c:v>
                </c:pt>
                <c:pt idx="7">
                  <c:v>56.526499999999999</c:v>
                </c:pt>
                <c:pt idx="8">
                  <c:v>56.770800000000001</c:v>
                </c:pt>
                <c:pt idx="9">
                  <c:v>53.485399999999998</c:v>
                </c:pt>
              </c:numCache>
            </c:numRef>
          </c:yVal>
          <c:smooth val="1"/>
          <c:extLst>
            <c:ext xmlns:c16="http://schemas.microsoft.com/office/drawing/2014/chart" uri="{C3380CC4-5D6E-409C-BE32-E72D297353CC}">
              <c16:uniqueId val="{00000001-EDEF-4B20-B1C2-9E0AA9A27C10}"/>
            </c:ext>
          </c:extLst>
        </c:ser>
        <c:ser>
          <c:idx val="2"/>
          <c:order val="2"/>
          <c:tx>
            <c:v>40mm dia</c:v>
          </c:tx>
          <c:spPr>
            <a:ln w="19050" cap="rnd">
              <a:solidFill>
                <a:schemeClr val="tx1"/>
              </a:solidFill>
              <a:prstDash val="sysDot"/>
              <a:round/>
            </a:ln>
            <a:effectLst/>
          </c:spPr>
          <c:marker>
            <c:symbol val="circle"/>
            <c:size val="5"/>
            <c:spPr>
              <a:noFill/>
              <a:ln w="9525">
                <a:noFill/>
              </a:ln>
              <a:effectLst/>
            </c:spPr>
          </c:marker>
          <c:xVal>
            <c:numRef>
              <c:f>'[h-shape dia SPA.xlsx]Sheet1'!$H$4:$H$13</c:f>
              <c:numCache>
                <c:formatCode>General</c:formatCode>
                <c:ptCount val="10"/>
                <c:pt idx="0">
                  <c:v>0</c:v>
                </c:pt>
                <c:pt idx="1">
                  <c:v>5.00868</c:v>
                </c:pt>
                <c:pt idx="2">
                  <c:v>10.011000000000001</c:v>
                </c:pt>
                <c:pt idx="3">
                  <c:v>15.013</c:v>
                </c:pt>
                <c:pt idx="4">
                  <c:v>20.000599999999999</c:v>
                </c:pt>
                <c:pt idx="5">
                  <c:v>25.002600000000001</c:v>
                </c:pt>
                <c:pt idx="6">
                  <c:v>30.0046</c:v>
                </c:pt>
                <c:pt idx="7">
                  <c:v>35.0062</c:v>
                </c:pt>
                <c:pt idx="8">
                  <c:v>40.0075</c:v>
                </c:pt>
                <c:pt idx="9">
                  <c:v>45.000400000000006</c:v>
                </c:pt>
              </c:numCache>
            </c:numRef>
          </c:xVal>
          <c:yVal>
            <c:numRef>
              <c:f>'[h-shape dia SPA.xlsx]Sheet1'!$I$4:$I$13</c:f>
              <c:numCache>
                <c:formatCode>General</c:formatCode>
                <c:ptCount val="10"/>
                <c:pt idx="0">
                  <c:v>0</c:v>
                </c:pt>
                <c:pt idx="1">
                  <c:v>5.1691000000000003</c:v>
                </c:pt>
                <c:pt idx="2">
                  <c:v>16.523399999999999</c:v>
                </c:pt>
                <c:pt idx="3">
                  <c:v>24.666799999999999</c:v>
                </c:pt>
                <c:pt idx="4">
                  <c:v>31.9954</c:v>
                </c:pt>
                <c:pt idx="5">
                  <c:v>36.3568</c:v>
                </c:pt>
                <c:pt idx="6">
                  <c:v>39.229500000000002</c:v>
                </c:pt>
                <c:pt idx="7">
                  <c:v>41.6738</c:v>
                </c:pt>
                <c:pt idx="8">
                  <c:v>40.467199999999998</c:v>
                </c:pt>
                <c:pt idx="9">
                  <c:v>38.456000000000003</c:v>
                </c:pt>
              </c:numCache>
            </c:numRef>
          </c:yVal>
          <c:smooth val="1"/>
          <c:extLst>
            <c:ext xmlns:c16="http://schemas.microsoft.com/office/drawing/2014/chart" uri="{C3380CC4-5D6E-409C-BE32-E72D297353CC}">
              <c16:uniqueId val="{00000002-EDEF-4B20-B1C2-9E0AA9A27C10}"/>
            </c:ext>
          </c:extLst>
        </c:ser>
        <c:dLbls>
          <c:showLegendKey val="0"/>
          <c:showVal val="0"/>
          <c:showCatName val="0"/>
          <c:showSerName val="0"/>
          <c:showPercent val="0"/>
          <c:showBubbleSize val="0"/>
        </c:dLbls>
        <c:axId val="617331855"/>
        <c:axId val="617337615"/>
      </c:scatterChart>
      <c:valAx>
        <c:axId val="61733185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337615"/>
        <c:crosses val="autoZero"/>
        <c:crossBetween val="midCat"/>
      </c:valAx>
      <c:valAx>
        <c:axId val="617337615"/>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a:t>
                </a:r>
                <a:r>
                  <a:rPr lang="en-IN" baseline="0">
                    <a:solidFill>
                      <a:sysClr val="windowText" lastClr="000000"/>
                    </a:solidFill>
                    <a:latin typeface="Times New Roman" panose="02020603050405020304" pitchFamily="18" charset="0"/>
                    <a:cs typeface="Times New Roman" panose="02020603050405020304" pitchFamily="18" charset="0"/>
                  </a:rPr>
                  <a:t> (in MPa)</a:t>
                </a:r>
                <a:endParaRPr lang="en-IN">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617331855"/>
        <c:crosses val="autoZero"/>
        <c:crossBetween val="midCat"/>
        <c:majorUnit val="50"/>
      </c:valAx>
      <c:spPr>
        <a:noFill/>
        <a:ln>
          <a:noFill/>
        </a:ln>
        <a:effectLst/>
      </c:spPr>
    </c:plotArea>
    <c:legend>
      <c:legendPos val="t"/>
      <c:layout>
        <c:manualLayout>
          <c:xMode val="edge"/>
          <c:yMode val="edge"/>
          <c:x val="0.18441369763505411"/>
          <c:y val="1.3245033112582781E-2"/>
          <c:w val="0.37703830102177172"/>
          <c:h val="0.1716340755418817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34712368874687"/>
          <c:y val="0.23853893263342082"/>
          <c:w val="0.74218202922654475"/>
          <c:h val="0.60641931122246084"/>
        </c:manualLayout>
      </c:layout>
      <c:scatterChart>
        <c:scatterStyle val="smoothMarker"/>
        <c:varyColors val="0"/>
        <c:ser>
          <c:idx val="0"/>
          <c:order val="0"/>
          <c:tx>
            <c:v>10mm thick</c:v>
          </c:tx>
          <c:spPr>
            <a:ln w="19050" cap="sq">
              <a:solidFill>
                <a:schemeClr val="tx1"/>
              </a:solidFill>
              <a:prstDash val="sysDot"/>
              <a:round/>
            </a:ln>
            <a:effectLst/>
          </c:spPr>
          <c:marker>
            <c:symbol val="none"/>
          </c:marker>
          <c:xVal>
            <c:numRef>
              <c:f>Sheet1!$A$4:$A$12</c:f>
              <c:numCache>
                <c:formatCode>General</c:formatCode>
                <c:ptCount val="9"/>
                <c:pt idx="0">
                  <c:v>0</c:v>
                </c:pt>
                <c:pt idx="1">
                  <c:v>0.232014</c:v>
                </c:pt>
                <c:pt idx="2">
                  <c:v>1.7132700000000001</c:v>
                </c:pt>
                <c:pt idx="3">
                  <c:v>5.3232699999999999</c:v>
                </c:pt>
                <c:pt idx="4">
                  <c:v>11.5891</c:v>
                </c:pt>
                <c:pt idx="5">
                  <c:v>20.714500000000001</c:v>
                </c:pt>
                <c:pt idx="6">
                  <c:v>32.622199999999999</c:v>
                </c:pt>
                <c:pt idx="7">
                  <c:v>47.046900000000001</c:v>
                </c:pt>
                <c:pt idx="8">
                  <c:v>63.492400000000004</c:v>
                </c:pt>
              </c:numCache>
            </c:numRef>
          </c:xVal>
          <c:yVal>
            <c:numRef>
              <c:f>Sheet1!$B$4:$B$12</c:f>
              <c:numCache>
                <c:formatCode>General</c:formatCode>
                <c:ptCount val="9"/>
                <c:pt idx="0">
                  <c:v>0</c:v>
                </c:pt>
                <c:pt idx="1">
                  <c:v>5.2912699999999999</c:v>
                </c:pt>
                <c:pt idx="2">
                  <c:v>18.597200000000001</c:v>
                </c:pt>
                <c:pt idx="3">
                  <c:v>35.575400000000002</c:v>
                </c:pt>
                <c:pt idx="4">
                  <c:v>55.674100000000003</c:v>
                </c:pt>
                <c:pt idx="5">
                  <c:v>74.673400000000001</c:v>
                </c:pt>
                <c:pt idx="6">
                  <c:v>85.281300000000002</c:v>
                </c:pt>
                <c:pt idx="7">
                  <c:v>91.773799999999994</c:v>
                </c:pt>
                <c:pt idx="8">
                  <c:v>91.672499999999999</c:v>
                </c:pt>
              </c:numCache>
            </c:numRef>
          </c:yVal>
          <c:smooth val="1"/>
          <c:extLst>
            <c:ext xmlns:c16="http://schemas.microsoft.com/office/drawing/2014/chart" uri="{C3380CC4-5D6E-409C-BE32-E72D297353CC}">
              <c16:uniqueId val="{00000000-CFC3-4244-8AC4-D666FECF80E7}"/>
            </c:ext>
          </c:extLst>
        </c:ser>
        <c:ser>
          <c:idx val="1"/>
          <c:order val="1"/>
          <c:tx>
            <c:v>25mm thick</c:v>
          </c:tx>
          <c:spPr>
            <a:ln w="19050" cap="rnd">
              <a:solidFill>
                <a:schemeClr val="tx1"/>
              </a:solidFill>
              <a:prstDash val="dash"/>
              <a:round/>
            </a:ln>
            <a:effectLst/>
          </c:spPr>
          <c:marker>
            <c:symbol val="none"/>
          </c:marker>
          <c:xVal>
            <c:numRef>
              <c:f>Sheet1!$D$4:$D$12</c:f>
              <c:numCache>
                <c:formatCode>General</c:formatCode>
                <c:ptCount val="9"/>
                <c:pt idx="0">
                  <c:v>0</c:v>
                </c:pt>
                <c:pt idx="1">
                  <c:v>0.23256299999999999</c:v>
                </c:pt>
                <c:pt idx="2">
                  <c:v>1.7150699999999999</c:v>
                </c:pt>
                <c:pt idx="3">
                  <c:v>5.3245800000000001</c:v>
                </c:pt>
                <c:pt idx="4">
                  <c:v>11.5944</c:v>
                </c:pt>
                <c:pt idx="5">
                  <c:v>20.707900000000002</c:v>
                </c:pt>
                <c:pt idx="6">
                  <c:v>32.633000000000003</c:v>
                </c:pt>
                <c:pt idx="7">
                  <c:v>47.038700000000006</c:v>
                </c:pt>
                <c:pt idx="8">
                  <c:v>63.507099999999994</c:v>
                </c:pt>
              </c:numCache>
            </c:numRef>
          </c:xVal>
          <c:yVal>
            <c:numRef>
              <c:f>Sheet1!$E$4:$E$12</c:f>
              <c:numCache>
                <c:formatCode>General</c:formatCode>
                <c:ptCount val="9"/>
                <c:pt idx="0">
                  <c:v>0</c:v>
                </c:pt>
                <c:pt idx="1">
                  <c:v>5.4606300000000001</c:v>
                </c:pt>
                <c:pt idx="2">
                  <c:v>28.569500000000001</c:v>
                </c:pt>
                <c:pt idx="3">
                  <c:v>59.354700000000001</c:v>
                </c:pt>
                <c:pt idx="4">
                  <c:v>87.9452</c:v>
                </c:pt>
                <c:pt idx="5">
                  <c:v>109.42700000000001</c:v>
                </c:pt>
                <c:pt idx="6">
                  <c:v>125.59699999999999</c:v>
                </c:pt>
                <c:pt idx="7">
                  <c:v>129.64099999999999</c:v>
                </c:pt>
                <c:pt idx="8">
                  <c:v>126.761</c:v>
                </c:pt>
              </c:numCache>
            </c:numRef>
          </c:yVal>
          <c:smooth val="1"/>
          <c:extLst>
            <c:ext xmlns:c16="http://schemas.microsoft.com/office/drawing/2014/chart" uri="{C3380CC4-5D6E-409C-BE32-E72D297353CC}">
              <c16:uniqueId val="{00000001-CFC3-4244-8AC4-D666FECF80E7}"/>
            </c:ext>
          </c:extLst>
        </c:ser>
        <c:ser>
          <c:idx val="2"/>
          <c:order val="2"/>
          <c:tx>
            <c:v>50mm thick</c:v>
          </c:tx>
          <c:spPr>
            <a:ln w="15875" cap="rnd">
              <a:solidFill>
                <a:schemeClr val="tx1"/>
              </a:solidFill>
              <a:prstDash val="solid"/>
              <a:round/>
            </a:ln>
            <a:effectLst/>
          </c:spPr>
          <c:marker>
            <c:symbol val="none"/>
          </c:marker>
          <c:xVal>
            <c:numRef>
              <c:f>Sheet1!$G$4:$G$12</c:f>
              <c:numCache>
                <c:formatCode>General</c:formatCode>
                <c:ptCount val="9"/>
                <c:pt idx="0">
                  <c:v>0</c:v>
                </c:pt>
                <c:pt idx="1">
                  <c:v>0.23194200000000001</c:v>
                </c:pt>
                <c:pt idx="2">
                  <c:v>1.7123699999999999</c:v>
                </c:pt>
                <c:pt idx="3">
                  <c:v>5.3226200000000006</c:v>
                </c:pt>
                <c:pt idx="4">
                  <c:v>11.5906</c:v>
                </c:pt>
                <c:pt idx="5">
                  <c:v>20.709399999999999</c:v>
                </c:pt>
                <c:pt idx="6">
                  <c:v>32.619799999999998</c:v>
                </c:pt>
                <c:pt idx="7">
                  <c:v>47.033299999999997</c:v>
                </c:pt>
                <c:pt idx="8">
                  <c:v>63.498700000000007</c:v>
                </c:pt>
              </c:numCache>
            </c:numRef>
          </c:xVal>
          <c:yVal>
            <c:numRef>
              <c:f>Sheet1!$H$4:$H$12</c:f>
              <c:numCache>
                <c:formatCode>General</c:formatCode>
                <c:ptCount val="9"/>
                <c:pt idx="0">
                  <c:v>0</c:v>
                </c:pt>
                <c:pt idx="1">
                  <c:v>5.3164499999999997</c:v>
                </c:pt>
                <c:pt idx="2">
                  <c:v>24.31</c:v>
                </c:pt>
                <c:pt idx="3">
                  <c:v>56.743099999999998</c:v>
                </c:pt>
                <c:pt idx="4">
                  <c:v>92.13</c:v>
                </c:pt>
                <c:pt idx="5">
                  <c:v>119.919</c:v>
                </c:pt>
                <c:pt idx="6">
                  <c:v>135.84299999999999</c:v>
                </c:pt>
                <c:pt idx="7">
                  <c:v>142.01900000000001</c:v>
                </c:pt>
                <c:pt idx="8">
                  <c:v>134.82599999999999</c:v>
                </c:pt>
              </c:numCache>
            </c:numRef>
          </c:yVal>
          <c:smooth val="1"/>
          <c:extLst>
            <c:ext xmlns:c16="http://schemas.microsoft.com/office/drawing/2014/chart" uri="{C3380CC4-5D6E-409C-BE32-E72D297353CC}">
              <c16:uniqueId val="{00000002-CFC3-4244-8AC4-D666FECF80E7}"/>
            </c:ext>
          </c:extLst>
        </c:ser>
        <c:dLbls>
          <c:showLegendKey val="0"/>
          <c:showVal val="0"/>
          <c:showCatName val="0"/>
          <c:showSerName val="0"/>
          <c:showPercent val="0"/>
          <c:showBubbleSize val="0"/>
        </c:dLbls>
        <c:axId val="22806768"/>
        <c:axId val="22806352"/>
      </c:scatterChart>
      <c:valAx>
        <c:axId val="22806768"/>
        <c:scaling>
          <c:orientation val="minMax"/>
          <c:max val="100"/>
          <c:min val="0"/>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806352"/>
        <c:crosses val="autoZero"/>
        <c:crossBetween val="midCat"/>
        <c:majorUnit val="20"/>
        <c:minorUnit val="5"/>
      </c:valAx>
      <c:valAx>
        <c:axId val="22806352"/>
        <c:scaling>
          <c:orientation val="minMax"/>
          <c:max val="200"/>
          <c:min val="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Pullout</a:t>
                </a:r>
                <a:r>
                  <a:rPr lang="en-US" b="0" baseline="0">
                    <a:solidFill>
                      <a:schemeClr val="tx1"/>
                    </a:solidFill>
                    <a:latin typeface="Times New Roman" panose="02020603050405020304" pitchFamily="18" charset="0"/>
                    <a:cs typeface="Times New Roman" panose="02020603050405020304" pitchFamily="18" charset="0"/>
                  </a:rPr>
                  <a:t> capacity (MPa)</a:t>
                </a:r>
                <a:endParaRPr lang="en-US"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6.184773778277715E-3"/>
              <c:y val="0.304095871433691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2806768"/>
        <c:crosses val="autoZero"/>
        <c:crossBetween val="midCat"/>
        <c:majorUnit val="50"/>
      </c:valAx>
      <c:spPr>
        <a:noFill/>
        <a:ln>
          <a:noFill/>
        </a:ln>
        <a:effectLst/>
      </c:spPr>
    </c:plotArea>
    <c:legend>
      <c:legendPos val="t"/>
      <c:layout>
        <c:manualLayout>
          <c:xMode val="edge"/>
          <c:yMode val="edge"/>
          <c:x val="0.18973175228096489"/>
          <c:y val="5.0505050505050504E-2"/>
          <c:w val="0.50020192788401452"/>
          <c:h val="0.1526803467748349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455343082114735"/>
          <c:y val="0.19238969785112781"/>
          <c:w val="0.74588622604730448"/>
          <c:h val="0.63297025371828508"/>
        </c:manualLayout>
      </c:layout>
      <c:scatterChart>
        <c:scatterStyle val="smoothMarker"/>
        <c:varyColors val="0"/>
        <c:ser>
          <c:idx val="0"/>
          <c:order val="0"/>
          <c:tx>
            <c:v>10mm thick</c:v>
          </c:tx>
          <c:spPr>
            <a:ln w="19050" cap="rnd">
              <a:solidFill>
                <a:schemeClr val="tx1"/>
              </a:solidFill>
              <a:prstDash val="sysDot"/>
              <a:round/>
            </a:ln>
            <a:effectLst/>
          </c:spPr>
          <c:marker>
            <c:symbol val="circle"/>
            <c:size val="5"/>
            <c:spPr>
              <a:noFill/>
              <a:ln w="9525">
                <a:noFill/>
              </a:ln>
              <a:effectLst/>
            </c:spPr>
          </c:marker>
          <c:xVal>
            <c:numRef>
              <c:f>'[thickness H SPA.xlsx]Sheet1'!$A$5:$A$14</c:f>
              <c:numCache>
                <c:formatCode>General</c:formatCode>
                <c:ptCount val="10"/>
                <c:pt idx="0">
                  <c:v>0</c:v>
                </c:pt>
                <c:pt idx="1">
                  <c:v>5.0029599999999999</c:v>
                </c:pt>
                <c:pt idx="2">
                  <c:v>10.002199999999998</c:v>
                </c:pt>
                <c:pt idx="3">
                  <c:v>15.001099999999999</c:v>
                </c:pt>
                <c:pt idx="4">
                  <c:v>20.008900000000001</c:v>
                </c:pt>
                <c:pt idx="5">
                  <c:v>25.007200000000001</c:v>
                </c:pt>
                <c:pt idx="6">
                  <c:v>30.005400000000002</c:v>
                </c:pt>
                <c:pt idx="7">
                  <c:v>35.002900000000004</c:v>
                </c:pt>
                <c:pt idx="8">
                  <c:v>40.0002</c:v>
                </c:pt>
                <c:pt idx="9">
                  <c:v>45.006399999999999</c:v>
                </c:pt>
              </c:numCache>
            </c:numRef>
          </c:xVal>
          <c:yVal>
            <c:numRef>
              <c:f>'[thickness H SPA.xlsx]Sheet1'!$B$5:$B$14</c:f>
              <c:numCache>
                <c:formatCode>General</c:formatCode>
                <c:ptCount val="10"/>
                <c:pt idx="0">
                  <c:v>0</c:v>
                </c:pt>
                <c:pt idx="1">
                  <c:v>5.2888200000000003</c:v>
                </c:pt>
                <c:pt idx="2">
                  <c:v>17.4344</c:v>
                </c:pt>
                <c:pt idx="3">
                  <c:v>28.200399999999998</c:v>
                </c:pt>
                <c:pt idx="4">
                  <c:v>40.279000000000003</c:v>
                </c:pt>
                <c:pt idx="5">
                  <c:v>53.185000000000002</c:v>
                </c:pt>
                <c:pt idx="6">
                  <c:v>64.1267</c:v>
                </c:pt>
                <c:pt idx="7">
                  <c:v>69.370400000000004</c:v>
                </c:pt>
                <c:pt idx="8">
                  <c:v>71.433599999999998</c:v>
                </c:pt>
                <c:pt idx="9">
                  <c:v>70.12</c:v>
                </c:pt>
              </c:numCache>
            </c:numRef>
          </c:yVal>
          <c:smooth val="1"/>
          <c:extLst>
            <c:ext xmlns:c16="http://schemas.microsoft.com/office/drawing/2014/chart" uri="{C3380CC4-5D6E-409C-BE32-E72D297353CC}">
              <c16:uniqueId val="{00000000-C674-4830-82F4-90343C80C560}"/>
            </c:ext>
          </c:extLst>
        </c:ser>
        <c:ser>
          <c:idx val="1"/>
          <c:order val="1"/>
          <c:tx>
            <c:v>25mm thick</c:v>
          </c:tx>
          <c:spPr>
            <a:ln w="19050" cap="rnd">
              <a:solidFill>
                <a:schemeClr val="tx1"/>
              </a:solidFill>
              <a:prstDash val="dash"/>
              <a:round/>
            </a:ln>
            <a:effectLst/>
          </c:spPr>
          <c:marker>
            <c:symbol val="circle"/>
            <c:size val="5"/>
            <c:spPr>
              <a:noFill/>
              <a:ln w="9525">
                <a:noFill/>
              </a:ln>
              <a:effectLst/>
            </c:spPr>
          </c:marker>
          <c:xVal>
            <c:numRef>
              <c:f>'[thickness H SPA.xlsx]Sheet1'!$D$5:$D$14</c:f>
              <c:numCache>
                <c:formatCode>General</c:formatCode>
                <c:ptCount val="10"/>
                <c:pt idx="0">
                  <c:v>0</c:v>
                </c:pt>
                <c:pt idx="1">
                  <c:v>5.0082300000000002</c:v>
                </c:pt>
                <c:pt idx="2">
                  <c:v>10.0075</c:v>
                </c:pt>
                <c:pt idx="3">
                  <c:v>15.006600000000001</c:v>
                </c:pt>
                <c:pt idx="4">
                  <c:v>20.008199999999999</c:v>
                </c:pt>
                <c:pt idx="5">
                  <c:v>25.000499999999999</c:v>
                </c:pt>
                <c:pt idx="6">
                  <c:v>30.001900000000003</c:v>
                </c:pt>
                <c:pt idx="7">
                  <c:v>35.003300000000003</c:v>
                </c:pt>
                <c:pt idx="8">
                  <c:v>40.0047</c:v>
                </c:pt>
                <c:pt idx="9">
                  <c:v>45.006</c:v>
                </c:pt>
              </c:numCache>
            </c:numRef>
          </c:xVal>
          <c:yVal>
            <c:numRef>
              <c:f>'[thickness H SPA.xlsx]Sheet1'!$E$5:$E$14</c:f>
              <c:numCache>
                <c:formatCode>General</c:formatCode>
                <c:ptCount val="10"/>
                <c:pt idx="0">
                  <c:v>0</c:v>
                </c:pt>
                <c:pt idx="1">
                  <c:v>5.1796600000000002</c:v>
                </c:pt>
                <c:pt idx="2">
                  <c:v>19.421800000000001</c:v>
                </c:pt>
                <c:pt idx="3">
                  <c:v>36.354100000000003</c:v>
                </c:pt>
                <c:pt idx="4">
                  <c:v>52.186799999999998</c:v>
                </c:pt>
                <c:pt idx="5">
                  <c:v>67.491399999999999</c:v>
                </c:pt>
                <c:pt idx="6">
                  <c:v>79.382300000000001</c:v>
                </c:pt>
                <c:pt idx="7">
                  <c:v>87.773700000000005</c:v>
                </c:pt>
                <c:pt idx="8">
                  <c:v>94.530600000000007</c:v>
                </c:pt>
                <c:pt idx="9">
                  <c:v>92.494799999999998</c:v>
                </c:pt>
              </c:numCache>
            </c:numRef>
          </c:yVal>
          <c:smooth val="1"/>
          <c:extLst>
            <c:ext xmlns:c16="http://schemas.microsoft.com/office/drawing/2014/chart" uri="{C3380CC4-5D6E-409C-BE32-E72D297353CC}">
              <c16:uniqueId val="{00000001-C674-4830-82F4-90343C80C560}"/>
            </c:ext>
          </c:extLst>
        </c:ser>
        <c:ser>
          <c:idx val="2"/>
          <c:order val="2"/>
          <c:tx>
            <c:v>50mm thick</c:v>
          </c:tx>
          <c:spPr>
            <a:ln w="19050" cap="rnd">
              <a:solidFill>
                <a:schemeClr val="tx1"/>
              </a:solidFill>
              <a:round/>
            </a:ln>
            <a:effectLst/>
          </c:spPr>
          <c:marker>
            <c:symbol val="circle"/>
            <c:size val="5"/>
            <c:spPr>
              <a:noFill/>
              <a:ln w="9525">
                <a:noFill/>
              </a:ln>
              <a:effectLst/>
            </c:spPr>
          </c:marker>
          <c:xVal>
            <c:numRef>
              <c:f>'[thickness H SPA.xlsx]Sheet1'!$G$5:$G$14</c:f>
              <c:numCache>
                <c:formatCode>General</c:formatCode>
                <c:ptCount val="10"/>
                <c:pt idx="0">
                  <c:v>0</c:v>
                </c:pt>
                <c:pt idx="1">
                  <c:v>5.0082300000000002</c:v>
                </c:pt>
                <c:pt idx="2">
                  <c:v>10.0075</c:v>
                </c:pt>
                <c:pt idx="3">
                  <c:v>15.006600000000001</c:v>
                </c:pt>
                <c:pt idx="4">
                  <c:v>20.008199999999999</c:v>
                </c:pt>
                <c:pt idx="5">
                  <c:v>25.000499999999999</c:v>
                </c:pt>
                <c:pt idx="6">
                  <c:v>30.001900000000003</c:v>
                </c:pt>
                <c:pt idx="7">
                  <c:v>35.003300000000003</c:v>
                </c:pt>
                <c:pt idx="8">
                  <c:v>40.0047</c:v>
                </c:pt>
                <c:pt idx="9">
                  <c:v>45.006</c:v>
                </c:pt>
              </c:numCache>
            </c:numRef>
          </c:xVal>
          <c:yVal>
            <c:numRef>
              <c:f>'[thickness H SPA.xlsx]Sheet1'!$H$5:$H$14</c:f>
              <c:numCache>
                <c:formatCode>General</c:formatCode>
                <c:ptCount val="10"/>
                <c:pt idx="0">
                  <c:v>0</c:v>
                </c:pt>
                <c:pt idx="1">
                  <c:v>5.1577700000000002</c:v>
                </c:pt>
                <c:pt idx="2">
                  <c:v>22.650400000000001</c:v>
                </c:pt>
                <c:pt idx="3">
                  <c:v>51.815800000000003</c:v>
                </c:pt>
                <c:pt idx="4">
                  <c:v>82.567499999999995</c:v>
                </c:pt>
                <c:pt idx="5">
                  <c:v>105.663</c:v>
                </c:pt>
                <c:pt idx="6">
                  <c:v>118.092</c:v>
                </c:pt>
                <c:pt idx="7">
                  <c:v>119.291</c:v>
                </c:pt>
                <c:pt idx="8">
                  <c:v>118.35299999999999</c:v>
                </c:pt>
                <c:pt idx="9">
                  <c:v>117.5</c:v>
                </c:pt>
              </c:numCache>
            </c:numRef>
          </c:yVal>
          <c:smooth val="1"/>
          <c:extLst>
            <c:ext xmlns:c16="http://schemas.microsoft.com/office/drawing/2014/chart" uri="{C3380CC4-5D6E-409C-BE32-E72D297353CC}">
              <c16:uniqueId val="{00000002-C674-4830-82F4-90343C80C560}"/>
            </c:ext>
          </c:extLst>
        </c:ser>
        <c:dLbls>
          <c:showLegendKey val="0"/>
          <c:showVal val="0"/>
          <c:showCatName val="0"/>
          <c:showSerName val="0"/>
          <c:showPercent val="0"/>
          <c:showBubbleSize val="0"/>
        </c:dLbls>
        <c:axId val="1007739087"/>
        <c:axId val="1007741007"/>
      </c:scatterChart>
      <c:valAx>
        <c:axId val="1007739087"/>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Dispacement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07741007"/>
        <c:crosses val="autoZero"/>
        <c:crossBetween val="midCat"/>
        <c:majorUnit val="20"/>
      </c:valAx>
      <c:valAx>
        <c:axId val="1007741007"/>
        <c:scaling>
          <c:orientation val="minMax"/>
          <c:max val="2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(MPa)</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07739087"/>
        <c:crosses val="autoZero"/>
        <c:crossBetween val="midCat"/>
        <c:majorUnit val="50"/>
      </c:valAx>
      <c:spPr>
        <a:noFill/>
        <a:ln>
          <a:noFill/>
        </a:ln>
        <a:effectLst/>
      </c:spPr>
    </c:plotArea>
    <c:legend>
      <c:legendPos val="t"/>
      <c:layout>
        <c:manualLayout>
          <c:xMode val="edge"/>
          <c:yMode val="edge"/>
          <c:x val="0.2267649998582969"/>
          <c:y val="4.1666666666666664E-2"/>
          <c:w val="0.37656808302792294"/>
          <c:h val="0.156829250510352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71561638391414"/>
          <c:y val="0.19884718690319353"/>
          <c:w val="0.74263092941196907"/>
          <c:h val="0.63516284199883577"/>
        </c:manualLayout>
      </c:layout>
      <c:scatterChart>
        <c:scatterStyle val="smoothMarker"/>
        <c:varyColors val="0"/>
        <c:ser>
          <c:idx val="0"/>
          <c:order val="0"/>
          <c:tx>
            <c:v>Loose sand</c:v>
          </c:tx>
          <c:spPr>
            <a:ln w="19050" cap="rnd">
              <a:solidFill>
                <a:schemeClr val="tx1"/>
              </a:solidFill>
              <a:prstDash val="sysDot"/>
              <a:round/>
            </a:ln>
            <a:effectLst/>
          </c:spPr>
          <c:marker>
            <c:symbol val="circle"/>
            <c:size val="5"/>
            <c:spPr>
              <a:noFill/>
              <a:ln w="9525">
                <a:noFill/>
              </a:ln>
              <a:effectLst/>
            </c:spPr>
          </c:marker>
          <c:xVal>
            <c:numRef>
              <c:f>Sheet1!$B$5:$B$12</c:f>
              <c:numCache>
                <c:formatCode>General</c:formatCode>
                <c:ptCount val="8"/>
                <c:pt idx="0">
                  <c:v>0.23219000000000001</c:v>
                </c:pt>
                <c:pt idx="1">
                  <c:v>1.71343</c:v>
                </c:pt>
                <c:pt idx="2">
                  <c:v>5.3237500000000004</c:v>
                </c:pt>
                <c:pt idx="3">
                  <c:v>11.5837</c:v>
                </c:pt>
                <c:pt idx="4">
                  <c:v>20.708299999999998</c:v>
                </c:pt>
                <c:pt idx="5">
                  <c:v>32.628499999999995</c:v>
                </c:pt>
                <c:pt idx="6">
                  <c:v>47.0411</c:v>
                </c:pt>
                <c:pt idx="7">
                  <c:v>63.502800000000001</c:v>
                </c:pt>
              </c:numCache>
            </c:numRef>
          </c:xVal>
          <c:yVal>
            <c:numRef>
              <c:f>Sheet1!$C$5:$C$12</c:f>
              <c:numCache>
                <c:formatCode>General</c:formatCode>
                <c:ptCount val="8"/>
                <c:pt idx="0">
                  <c:v>5.4606300000000001</c:v>
                </c:pt>
                <c:pt idx="1">
                  <c:v>28.569500000000001</c:v>
                </c:pt>
                <c:pt idx="2">
                  <c:v>59.354700000000001</c:v>
                </c:pt>
                <c:pt idx="3">
                  <c:v>87.9452</c:v>
                </c:pt>
                <c:pt idx="4">
                  <c:v>109.42700000000001</c:v>
                </c:pt>
                <c:pt idx="5">
                  <c:v>125.59699999999999</c:v>
                </c:pt>
                <c:pt idx="6">
                  <c:v>129.64099999999999</c:v>
                </c:pt>
                <c:pt idx="7">
                  <c:v>126.761</c:v>
                </c:pt>
              </c:numCache>
            </c:numRef>
          </c:yVal>
          <c:smooth val="1"/>
          <c:extLst>
            <c:ext xmlns:c16="http://schemas.microsoft.com/office/drawing/2014/chart" uri="{C3380CC4-5D6E-409C-BE32-E72D297353CC}">
              <c16:uniqueId val="{00000000-7F7B-42AC-952E-4BCC98B10161}"/>
            </c:ext>
          </c:extLst>
        </c:ser>
        <c:ser>
          <c:idx val="1"/>
          <c:order val="1"/>
          <c:tx>
            <c:v>Medium sand</c:v>
          </c:tx>
          <c:spPr>
            <a:ln w="19050" cap="rnd">
              <a:solidFill>
                <a:schemeClr val="tx1"/>
              </a:solidFill>
              <a:prstDash val="dash"/>
              <a:round/>
            </a:ln>
            <a:effectLst/>
          </c:spPr>
          <c:marker>
            <c:symbol val="circle"/>
            <c:size val="5"/>
            <c:spPr>
              <a:noFill/>
              <a:ln w="9525">
                <a:noFill/>
              </a:ln>
              <a:effectLst/>
            </c:spPr>
          </c:marker>
          <c:xVal>
            <c:numRef>
              <c:f>Sheet1!$E$5:$E$16</c:f>
              <c:numCache>
                <c:formatCode>General</c:formatCode>
                <c:ptCount val="12"/>
                <c:pt idx="0">
                  <c:v>0</c:v>
                </c:pt>
                <c:pt idx="1">
                  <c:v>0.23219000000000001</c:v>
                </c:pt>
                <c:pt idx="2">
                  <c:v>1.71343</c:v>
                </c:pt>
                <c:pt idx="3">
                  <c:v>5.3237400000000008</c:v>
                </c:pt>
                <c:pt idx="4">
                  <c:v>11.583599999999999</c:v>
                </c:pt>
                <c:pt idx="5">
                  <c:v>20.707900000000002</c:v>
                </c:pt>
                <c:pt idx="6">
                  <c:v>32.627700000000004</c:v>
                </c:pt>
                <c:pt idx="7">
                  <c:v>47.0396</c:v>
                </c:pt>
                <c:pt idx="8">
                  <c:v>63.500399999999999</c:v>
                </c:pt>
                <c:pt idx="9">
                  <c:v>81.393799999999999</c:v>
                </c:pt>
                <c:pt idx="10">
                  <c:v>100.009</c:v>
                </c:pt>
                <c:pt idx="11">
                  <c:v>118.64</c:v>
                </c:pt>
              </c:numCache>
            </c:numRef>
          </c:xVal>
          <c:yVal>
            <c:numRef>
              <c:f>Sheet1!$F$5:$F$16</c:f>
              <c:numCache>
                <c:formatCode>General</c:formatCode>
                <c:ptCount val="12"/>
                <c:pt idx="0">
                  <c:v>0</c:v>
                </c:pt>
                <c:pt idx="1">
                  <c:v>5.4848100000000004</c:v>
                </c:pt>
                <c:pt idx="2">
                  <c:v>21.587399999999999</c:v>
                </c:pt>
                <c:pt idx="3">
                  <c:v>44.955399999999997</c:v>
                </c:pt>
                <c:pt idx="4">
                  <c:v>70.376400000000004</c:v>
                </c:pt>
                <c:pt idx="5">
                  <c:v>115.2884</c:v>
                </c:pt>
                <c:pt idx="6">
                  <c:v>129.87799999999999</c:v>
                </c:pt>
                <c:pt idx="7">
                  <c:v>142.66399999999999</c:v>
                </c:pt>
                <c:pt idx="8">
                  <c:v>154.494</c:v>
                </c:pt>
                <c:pt idx="9">
                  <c:v>163.59800000000001</c:v>
                </c:pt>
                <c:pt idx="10">
                  <c:v>169.70500000000001</c:v>
                </c:pt>
                <c:pt idx="11">
                  <c:v>168.126</c:v>
                </c:pt>
              </c:numCache>
            </c:numRef>
          </c:yVal>
          <c:smooth val="1"/>
          <c:extLst>
            <c:ext xmlns:c16="http://schemas.microsoft.com/office/drawing/2014/chart" uri="{C3380CC4-5D6E-409C-BE32-E72D297353CC}">
              <c16:uniqueId val="{00000001-7F7B-42AC-952E-4BCC98B10161}"/>
            </c:ext>
          </c:extLst>
        </c:ser>
        <c:ser>
          <c:idx val="2"/>
          <c:order val="2"/>
          <c:tx>
            <c:v>Dense sand</c:v>
          </c:tx>
          <c:spPr>
            <a:ln w="19050" cap="rnd">
              <a:solidFill>
                <a:schemeClr val="tx1"/>
              </a:solidFill>
              <a:prstDash val="solid"/>
              <a:round/>
            </a:ln>
            <a:effectLst/>
          </c:spPr>
          <c:marker>
            <c:symbol val="none"/>
          </c:marker>
          <c:xVal>
            <c:numRef>
              <c:f>Sheet1!$H$5:$H$19</c:f>
              <c:numCache>
                <c:formatCode>General</c:formatCode>
                <c:ptCount val="15"/>
                <c:pt idx="0">
                  <c:v>0</c:v>
                </c:pt>
                <c:pt idx="1">
                  <c:v>0.23217699999999999</c:v>
                </c:pt>
                <c:pt idx="2">
                  <c:v>1.7156100000000001</c:v>
                </c:pt>
                <c:pt idx="3">
                  <c:v>5.3242500000000001</c:v>
                </c:pt>
                <c:pt idx="4">
                  <c:v>11.591000000000001</c:v>
                </c:pt>
                <c:pt idx="5">
                  <c:v>20.717400000000001</c:v>
                </c:pt>
                <c:pt idx="6">
                  <c:v>32.638500000000001</c:v>
                </c:pt>
                <c:pt idx="7">
                  <c:v>47.037500000000001</c:v>
                </c:pt>
                <c:pt idx="8">
                  <c:v>63.494199999999999</c:v>
                </c:pt>
                <c:pt idx="9">
                  <c:v>81.381599999999992</c:v>
                </c:pt>
                <c:pt idx="10">
                  <c:v>100.006</c:v>
                </c:pt>
                <c:pt idx="11">
                  <c:v>118.628</c:v>
                </c:pt>
                <c:pt idx="12">
                  <c:v>136.54</c:v>
                </c:pt>
                <c:pt idx="13">
                  <c:v>152.98700000000002</c:v>
                </c:pt>
                <c:pt idx="14">
                  <c:v>167.398</c:v>
                </c:pt>
              </c:numCache>
            </c:numRef>
          </c:xVal>
          <c:yVal>
            <c:numRef>
              <c:f>Sheet1!$I$5:$I$19</c:f>
              <c:numCache>
                <c:formatCode>General</c:formatCode>
                <c:ptCount val="15"/>
                <c:pt idx="0">
                  <c:v>0</c:v>
                </c:pt>
                <c:pt idx="1">
                  <c:v>5.3695300000000001</c:v>
                </c:pt>
                <c:pt idx="2">
                  <c:v>22.052600000000002</c:v>
                </c:pt>
                <c:pt idx="3">
                  <c:v>48.294600000000003</c:v>
                </c:pt>
                <c:pt idx="4">
                  <c:v>81.438400000000001</c:v>
                </c:pt>
                <c:pt idx="5">
                  <c:v>117.929</c:v>
                </c:pt>
                <c:pt idx="6">
                  <c:v>157.614</c:v>
                </c:pt>
                <c:pt idx="7">
                  <c:v>196.93</c:v>
                </c:pt>
                <c:pt idx="8">
                  <c:v>234.78299999999999</c:v>
                </c:pt>
                <c:pt idx="9">
                  <c:v>269.34899999999999</c:v>
                </c:pt>
                <c:pt idx="10">
                  <c:v>298.84500000000003</c:v>
                </c:pt>
                <c:pt idx="11">
                  <c:v>321.43200000000002</c:v>
                </c:pt>
                <c:pt idx="12">
                  <c:v>336.37400000000002</c:v>
                </c:pt>
                <c:pt idx="13">
                  <c:v>343.19400000000002</c:v>
                </c:pt>
                <c:pt idx="14">
                  <c:v>337.92399999999998</c:v>
                </c:pt>
              </c:numCache>
            </c:numRef>
          </c:yVal>
          <c:smooth val="1"/>
          <c:extLst>
            <c:ext xmlns:c16="http://schemas.microsoft.com/office/drawing/2014/chart" uri="{C3380CC4-5D6E-409C-BE32-E72D297353CC}">
              <c16:uniqueId val="{00000002-7F7B-42AC-952E-4BCC98B10161}"/>
            </c:ext>
          </c:extLst>
        </c:ser>
        <c:dLbls>
          <c:showLegendKey val="0"/>
          <c:showVal val="0"/>
          <c:showCatName val="0"/>
          <c:showSerName val="0"/>
          <c:showPercent val="0"/>
          <c:showBubbleSize val="0"/>
        </c:dLbls>
        <c:axId val="1007919040"/>
        <c:axId val="1007919456"/>
      </c:scatterChart>
      <c:valAx>
        <c:axId val="1007919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0">
                    <a:solidFill>
                      <a:schemeClr val="tx1"/>
                    </a:solidFill>
                    <a:latin typeface="Times New Roman" panose="02020603050405020304" pitchFamily="18" charset="0"/>
                    <a:cs typeface="Times New Roman" panose="02020603050405020304" pitchFamily="18" charset="0"/>
                  </a:rPr>
                  <a:t>Displacement</a:t>
                </a:r>
                <a:r>
                  <a:rPr lang="en-US" sz="1000" b="0" baseline="0">
                    <a:solidFill>
                      <a:schemeClr val="tx1"/>
                    </a:solidFill>
                    <a:latin typeface="Times New Roman" panose="02020603050405020304" pitchFamily="18" charset="0"/>
                    <a:cs typeface="Times New Roman" panose="02020603050405020304" pitchFamily="18" charset="0"/>
                  </a:rPr>
                  <a:t> (mm)</a:t>
                </a:r>
                <a:endParaRPr lang="en-US" sz="1000"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4533429378110064"/>
              <c:y val="0.9128596668607085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07919456"/>
        <c:crosses val="autoZero"/>
        <c:crossBetween val="midCat"/>
        <c:majorUnit val="20"/>
        <c:minorUnit val="5"/>
      </c:valAx>
      <c:valAx>
        <c:axId val="1007919456"/>
        <c:scaling>
          <c:orientation val="minMax"/>
          <c:max val="350"/>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latin typeface="Times New Roman" panose="02020603050405020304" pitchFamily="18" charset="0"/>
                    <a:cs typeface="Times New Roman" panose="02020603050405020304" pitchFamily="18" charset="0"/>
                  </a:rPr>
                  <a:t>Pullout</a:t>
                </a:r>
                <a:r>
                  <a:rPr lang="en-US" b="0" baseline="0">
                    <a:solidFill>
                      <a:schemeClr val="tx1"/>
                    </a:solidFill>
                    <a:latin typeface="Times New Roman" panose="02020603050405020304" pitchFamily="18" charset="0"/>
                    <a:cs typeface="Times New Roman" panose="02020603050405020304" pitchFamily="18" charset="0"/>
                  </a:rPr>
                  <a:t> capacity (MPa)</a:t>
                </a:r>
                <a:endParaRPr lang="en-US" b="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8.2454520771110505E-3"/>
              <c:y val="0.2044755859262085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007919040"/>
        <c:crosses val="autoZero"/>
        <c:crossBetween val="midCat"/>
      </c:valAx>
      <c:spPr>
        <a:noFill/>
        <a:ln>
          <a:noFill/>
        </a:ln>
        <a:effectLst/>
      </c:spPr>
    </c:plotArea>
    <c:legend>
      <c:legendPos val="l"/>
      <c:layout>
        <c:manualLayout>
          <c:xMode val="edge"/>
          <c:yMode val="edge"/>
          <c:x val="0.1663209340211784"/>
          <c:y val="2.2054872898673136E-2"/>
          <c:w val="0.42165999741835547"/>
          <c:h val="0.1632435634261670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294988788653071"/>
          <c:y val="0.20391601645370053"/>
          <c:w val="0.69006819263871089"/>
          <c:h val="0.63008963783100569"/>
        </c:manualLayout>
      </c:layout>
      <c:scatterChart>
        <c:scatterStyle val="smoothMarker"/>
        <c:varyColors val="0"/>
        <c:ser>
          <c:idx val="0"/>
          <c:order val="0"/>
          <c:tx>
            <c:v>loose sand</c:v>
          </c:tx>
          <c:spPr>
            <a:ln w="19050" cap="rnd">
              <a:solidFill>
                <a:schemeClr val="tx1"/>
              </a:solidFill>
              <a:prstDash val="sysDot"/>
              <a:round/>
            </a:ln>
            <a:effectLst/>
          </c:spPr>
          <c:marker>
            <c:symbol val="circle"/>
            <c:size val="5"/>
            <c:spPr>
              <a:noFill/>
              <a:ln w="9525">
                <a:noFill/>
              </a:ln>
              <a:effectLst/>
            </c:spPr>
          </c:marker>
          <c:xVal>
            <c:numRef>
              <c:f>'[h-shape with varying RD.xlsx]Sheet1'!$B$4:$B$14</c:f>
              <c:numCache>
                <c:formatCode>General</c:formatCode>
                <c:ptCount val="11"/>
                <c:pt idx="0">
                  <c:v>0</c:v>
                </c:pt>
                <c:pt idx="1">
                  <c:v>5.0029599999999999</c:v>
                </c:pt>
                <c:pt idx="2">
                  <c:v>10.002199999999998</c:v>
                </c:pt>
                <c:pt idx="3">
                  <c:v>15.001099999999999</c:v>
                </c:pt>
                <c:pt idx="4">
                  <c:v>20.008900000000001</c:v>
                </c:pt>
                <c:pt idx="5">
                  <c:v>25.007200000000001</c:v>
                </c:pt>
                <c:pt idx="6">
                  <c:v>30.005400000000002</c:v>
                </c:pt>
                <c:pt idx="7">
                  <c:v>35.002900000000004</c:v>
                </c:pt>
                <c:pt idx="8">
                  <c:v>40.0002</c:v>
                </c:pt>
                <c:pt idx="9">
                  <c:v>45.006399999999999</c:v>
                </c:pt>
                <c:pt idx="10">
                  <c:v>50.003599999999999</c:v>
                </c:pt>
              </c:numCache>
            </c:numRef>
          </c:xVal>
          <c:yVal>
            <c:numRef>
              <c:f>'[h-shape with varying RD.xlsx]Sheet1'!$C$4:$C$14</c:f>
              <c:numCache>
                <c:formatCode>General</c:formatCode>
                <c:ptCount val="11"/>
                <c:pt idx="0">
                  <c:v>0</c:v>
                </c:pt>
                <c:pt idx="1">
                  <c:v>5.2888200000000003</c:v>
                </c:pt>
                <c:pt idx="2">
                  <c:v>17.4344</c:v>
                </c:pt>
                <c:pt idx="3">
                  <c:v>28.200399999999998</c:v>
                </c:pt>
                <c:pt idx="4">
                  <c:v>40.279000000000003</c:v>
                </c:pt>
                <c:pt idx="5">
                  <c:v>53.185000000000002</c:v>
                </c:pt>
                <c:pt idx="6">
                  <c:v>64.1267</c:v>
                </c:pt>
                <c:pt idx="7">
                  <c:v>69.370400000000004</c:v>
                </c:pt>
                <c:pt idx="8">
                  <c:v>71.433599999999998</c:v>
                </c:pt>
                <c:pt idx="9">
                  <c:v>70.12</c:v>
                </c:pt>
                <c:pt idx="10">
                  <c:v>67.12</c:v>
                </c:pt>
              </c:numCache>
            </c:numRef>
          </c:yVal>
          <c:smooth val="1"/>
          <c:extLst>
            <c:ext xmlns:c16="http://schemas.microsoft.com/office/drawing/2014/chart" uri="{C3380CC4-5D6E-409C-BE32-E72D297353CC}">
              <c16:uniqueId val="{00000000-400D-4D39-9A8C-B345772B9F8C}"/>
            </c:ext>
          </c:extLst>
        </c:ser>
        <c:ser>
          <c:idx val="1"/>
          <c:order val="1"/>
          <c:tx>
            <c:v>dense sand</c:v>
          </c:tx>
          <c:spPr>
            <a:ln w="19050" cap="rnd">
              <a:solidFill>
                <a:schemeClr val="tx1"/>
              </a:solidFill>
              <a:prstDash val="solid"/>
              <a:round/>
            </a:ln>
            <a:effectLst/>
          </c:spPr>
          <c:marker>
            <c:symbol val="circle"/>
            <c:size val="5"/>
            <c:spPr>
              <a:noFill/>
              <a:ln w="9525">
                <a:noFill/>
              </a:ln>
              <a:effectLst/>
            </c:spPr>
          </c:marker>
          <c:xVal>
            <c:numRef>
              <c:f>'[h-shape with varying RD.xlsx]Sheet1'!$H$4:$H$18</c:f>
              <c:numCache>
                <c:formatCode>General</c:formatCode>
                <c:ptCount val="15"/>
                <c:pt idx="0">
                  <c:v>0</c:v>
                </c:pt>
                <c:pt idx="1">
                  <c:v>5.0029599999999999</c:v>
                </c:pt>
                <c:pt idx="2">
                  <c:v>10.002199999999998</c:v>
                </c:pt>
                <c:pt idx="3">
                  <c:v>15.001099999999999</c:v>
                </c:pt>
                <c:pt idx="4">
                  <c:v>20.008900000000001</c:v>
                </c:pt>
                <c:pt idx="5">
                  <c:v>25.007200000000001</c:v>
                </c:pt>
                <c:pt idx="6">
                  <c:v>30.005400000000002</c:v>
                </c:pt>
                <c:pt idx="7">
                  <c:v>35.002900000000004</c:v>
                </c:pt>
                <c:pt idx="8">
                  <c:v>40.0002</c:v>
                </c:pt>
                <c:pt idx="9">
                  <c:v>45.006399999999999</c:v>
                </c:pt>
                <c:pt idx="10">
                  <c:v>50.003599999999999</c:v>
                </c:pt>
                <c:pt idx="11">
                  <c:v>55.000900000000001</c:v>
                </c:pt>
                <c:pt idx="12">
                  <c:v>60.007100000000001</c:v>
                </c:pt>
                <c:pt idx="13">
                  <c:v>65.003299999999996</c:v>
                </c:pt>
                <c:pt idx="14">
                  <c:v>70.007499999999993</c:v>
                </c:pt>
              </c:numCache>
            </c:numRef>
          </c:xVal>
          <c:yVal>
            <c:numRef>
              <c:f>'[h-shape with varying RD.xlsx]Sheet1'!$I$4:$I$18</c:f>
              <c:numCache>
                <c:formatCode>General</c:formatCode>
                <c:ptCount val="15"/>
                <c:pt idx="0">
                  <c:v>0</c:v>
                </c:pt>
                <c:pt idx="1">
                  <c:v>6.2328000000000001</c:v>
                </c:pt>
                <c:pt idx="2">
                  <c:v>18.776599999999998</c:v>
                </c:pt>
                <c:pt idx="3">
                  <c:v>31.959299999999999</c:v>
                </c:pt>
                <c:pt idx="4">
                  <c:v>51.159500000000001</c:v>
                </c:pt>
                <c:pt idx="5">
                  <c:v>73.117199999999997</c:v>
                </c:pt>
                <c:pt idx="6">
                  <c:v>96.426299999999998</c:v>
                </c:pt>
                <c:pt idx="7">
                  <c:v>121.592</c:v>
                </c:pt>
                <c:pt idx="8">
                  <c:v>145.137</c:v>
                </c:pt>
                <c:pt idx="9">
                  <c:v>166.446</c:v>
                </c:pt>
                <c:pt idx="10">
                  <c:v>185.874</c:v>
                </c:pt>
                <c:pt idx="11">
                  <c:v>201.298</c:v>
                </c:pt>
                <c:pt idx="12">
                  <c:v>212.16900000000001</c:v>
                </c:pt>
                <c:pt idx="13">
                  <c:v>217</c:v>
                </c:pt>
                <c:pt idx="14">
                  <c:v>215.27199999999999</c:v>
                </c:pt>
              </c:numCache>
            </c:numRef>
          </c:yVal>
          <c:smooth val="1"/>
          <c:extLst>
            <c:ext xmlns:c16="http://schemas.microsoft.com/office/drawing/2014/chart" uri="{C3380CC4-5D6E-409C-BE32-E72D297353CC}">
              <c16:uniqueId val="{00000001-400D-4D39-9A8C-B345772B9F8C}"/>
            </c:ext>
          </c:extLst>
        </c:ser>
        <c:ser>
          <c:idx val="2"/>
          <c:order val="2"/>
          <c:tx>
            <c:v>medium sand</c:v>
          </c:tx>
          <c:spPr>
            <a:ln w="19050" cap="rnd">
              <a:solidFill>
                <a:schemeClr val="tx1"/>
              </a:solidFill>
              <a:prstDash val="dash"/>
              <a:round/>
            </a:ln>
            <a:effectLst/>
          </c:spPr>
          <c:marker>
            <c:symbol val="circle"/>
            <c:size val="5"/>
            <c:spPr>
              <a:noFill/>
              <a:ln w="9525">
                <a:noFill/>
              </a:ln>
              <a:effectLst/>
            </c:spPr>
          </c:marker>
          <c:xVal>
            <c:numRef>
              <c:f>'[h-shape with varying RD.xlsx]Sheet1'!$E$4:$E$16</c:f>
              <c:numCache>
                <c:formatCode>General</c:formatCode>
                <c:ptCount val="13"/>
                <c:pt idx="0">
                  <c:v>0</c:v>
                </c:pt>
                <c:pt idx="1">
                  <c:v>5.0029599999999999</c:v>
                </c:pt>
                <c:pt idx="2">
                  <c:v>10.002199999999998</c:v>
                </c:pt>
                <c:pt idx="3">
                  <c:v>15.001099999999999</c:v>
                </c:pt>
                <c:pt idx="4">
                  <c:v>20.008900000000001</c:v>
                </c:pt>
                <c:pt idx="5">
                  <c:v>25.007200000000001</c:v>
                </c:pt>
                <c:pt idx="6">
                  <c:v>30.005400000000002</c:v>
                </c:pt>
                <c:pt idx="7">
                  <c:v>35.002900000000004</c:v>
                </c:pt>
                <c:pt idx="8">
                  <c:v>40.0002</c:v>
                </c:pt>
                <c:pt idx="9">
                  <c:v>45.006399999999999</c:v>
                </c:pt>
                <c:pt idx="10">
                  <c:v>50.003599999999999</c:v>
                </c:pt>
                <c:pt idx="11">
                  <c:v>55.000900000000001</c:v>
                </c:pt>
                <c:pt idx="12">
                  <c:v>60.007100000000001</c:v>
                </c:pt>
              </c:numCache>
            </c:numRef>
          </c:xVal>
          <c:yVal>
            <c:numRef>
              <c:f>'[h-shape with varying RD.xlsx]Sheet1'!$F$4:$F$16</c:f>
              <c:numCache>
                <c:formatCode>General</c:formatCode>
                <c:ptCount val="13"/>
                <c:pt idx="0">
                  <c:v>0</c:v>
                </c:pt>
                <c:pt idx="1">
                  <c:v>6.2888200000000003</c:v>
                </c:pt>
                <c:pt idx="2">
                  <c:v>18.4344</c:v>
                </c:pt>
                <c:pt idx="3">
                  <c:v>30.200399999999998</c:v>
                </c:pt>
                <c:pt idx="4">
                  <c:v>47.279000000000003</c:v>
                </c:pt>
                <c:pt idx="5">
                  <c:v>63.185000000000002</c:v>
                </c:pt>
                <c:pt idx="6">
                  <c:v>78.1267</c:v>
                </c:pt>
                <c:pt idx="7">
                  <c:v>90.370400000000004</c:v>
                </c:pt>
                <c:pt idx="8">
                  <c:v>101.4336</c:v>
                </c:pt>
                <c:pt idx="9">
                  <c:v>112.12</c:v>
                </c:pt>
                <c:pt idx="10">
                  <c:v>115.92</c:v>
                </c:pt>
                <c:pt idx="11">
                  <c:v>118.56</c:v>
                </c:pt>
                <c:pt idx="12">
                  <c:v>116.67</c:v>
                </c:pt>
              </c:numCache>
            </c:numRef>
          </c:yVal>
          <c:smooth val="1"/>
          <c:extLst>
            <c:ext xmlns:c16="http://schemas.microsoft.com/office/drawing/2014/chart" uri="{C3380CC4-5D6E-409C-BE32-E72D297353CC}">
              <c16:uniqueId val="{00000002-400D-4D39-9A8C-B345772B9F8C}"/>
            </c:ext>
          </c:extLst>
        </c:ser>
        <c:dLbls>
          <c:showLegendKey val="0"/>
          <c:showVal val="0"/>
          <c:showCatName val="0"/>
          <c:showSerName val="0"/>
          <c:showPercent val="0"/>
          <c:showBubbleSize val="0"/>
        </c:dLbls>
        <c:axId val="1592156256"/>
        <c:axId val="1592159616"/>
      </c:scatterChart>
      <c:valAx>
        <c:axId val="1592156256"/>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Displacement (mm)</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2159616"/>
        <c:crosses val="autoZero"/>
        <c:crossBetween val="midCat"/>
        <c:majorUnit val="20"/>
      </c:valAx>
      <c:valAx>
        <c:axId val="1592159616"/>
        <c:scaling>
          <c:orientation val="minMax"/>
          <c:max val="35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latin typeface="Times New Roman" panose="02020603050405020304" pitchFamily="18" charset="0"/>
                    <a:cs typeface="Times New Roman" panose="02020603050405020304" pitchFamily="18" charset="0"/>
                  </a:rPr>
                  <a:t>Pullout capacity (MPa)</a:t>
                </a:r>
              </a:p>
            </c:rich>
          </c:tx>
          <c:layout>
            <c:manualLayout>
              <c:xMode val="edge"/>
              <c:yMode val="edge"/>
              <c:x val="1.388086422971963E-2"/>
              <c:y val="0.2709238163411391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592156256"/>
        <c:crosses val="autoZero"/>
        <c:crossBetween val="midCat"/>
      </c:valAx>
      <c:spPr>
        <a:noFill/>
        <a:ln>
          <a:noFill/>
        </a:ln>
        <a:effectLst/>
      </c:spPr>
    </c:plotArea>
    <c:legend>
      <c:legendPos val="t"/>
      <c:layout>
        <c:manualLayout>
          <c:xMode val="edge"/>
          <c:yMode val="edge"/>
          <c:x val="0.19002172741652326"/>
          <c:y val="3.6363636363636362E-2"/>
          <c:w val="0.52724131337887403"/>
          <c:h val="0.17272849984661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31682083428891"/>
          <c:y val="0.15991282339707535"/>
          <c:w val="0.74354186309235615"/>
          <c:h val="0.64637701537307835"/>
        </c:manualLayout>
      </c:layout>
      <c:scatterChart>
        <c:scatterStyle val="smoothMarker"/>
        <c:varyColors val="0"/>
        <c:ser>
          <c:idx val="0"/>
          <c:order val="0"/>
          <c:tx>
            <c:v>SPA</c:v>
          </c:tx>
          <c:spPr>
            <a:ln w="19050" cap="rnd">
              <a:solidFill>
                <a:schemeClr val="tx1"/>
              </a:solidFill>
              <a:prstDash val="sysDot"/>
              <a:round/>
            </a:ln>
            <a:effectLst/>
          </c:spPr>
          <c:marker>
            <c:symbol val="circle"/>
            <c:size val="5"/>
            <c:spPr>
              <a:noFill/>
              <a:ln w="9525">
                <a:noFill/>
              </a:ln>
              <a:effectLst/>
            </c:spPr>
          </c:marker>
          <c:xVal>
            <c:numRef>
              <c:f>Sheet1!$A$7:$A$15</c:f>
              <c:numCache>
                <c:formatCode>General</c:formatCode>
                <c:ptCount val="9"/>
                <c:pt idx="0">
                  <c:v>0</c:v>
                </c:pt>
                <c:pt idx="1">
                  <c:v>0.23256299999999999</c:v>
                </c:pt>
                <c:pt idx="2">
                  <c:v>1.7150699999999999</c:v>
                </c:pt>
                <c:pt idx="3">
                  <c:v>5.3245800000000001</c:v>
                </c:pt>
                <c:pt idx="4">
                  <c:v>11.5944</c:v>
                </c:pt>
                <c:pt idx="5">
                  <c:v>20.707900000000002</c:v>
                </c:pt>
                <c:pt idx="6">
                  <c:v>32.633000000000003</c:v>
                </c:pt>
                <c:pt idx="7">
                  <c:v>47.038700000000006</c:v>
                </c:pt>
                <c:pt idx="8">
                  <c:v>63.507099999999994</c:v>
                </c:pt>
              </c:numCache>
            </c:numRef>
          </c:xVal>
          <c:yVal>
            <c:numRef>
              <c:f>Sheet1!$B$7:$B$15</c:f>
              <c:numCache>
                <c:formatCode>General</c:formatCode>
                <c:ptCount val="9"/>
                <c:pt idx="0">
                  <c:v>0</c:v>
                </c:pt>
                <c:pt idx="1">
                  <c:v>4.4606300000000001</c:v>
                </c:pt>
                <c:pt idx="2">
                  <c:v>18.569500000000001</c:v>
                </c:pt>
                <c:pt idx="3">
                  <c:v>39.354700000000001</c:v>
                </c:pt>
                <c:pt idx="4">
                  <c:v>67.9452</c:v>
                </c:pt>
                <c:pt idx="5">
                  <c:v>89.427000000000007</c:v>
                </c:pt>
                <c:pt idx="6">
                  <c:v>112.59699999999999</c:v>
                </c:pt>
                <c:pt idx="7">
                  <c:v>129.64099999999999</c:v>
                </c:pt>
                <c:pt idx="8">
                  <c:v>126.761</c:v>
                </c:pt>
              </c:numCache>
            </c:numRef>
          </c:yVal>
          <c:smooth val="1"/>
          <c:extLst>
            <c:ext xmlns:c16="http://schemas.microsoft.com/office/drawing/2014/chart" uri="{C3380CC4-5D6E-409C-BE32-E72D297353CC}">
              <c16:uniqueId val="{00000000-7430-4A4E-B269-FE2FDB25F1E4}"/>
            </c:ext>
          </c:extLst>
        </c:ser>
        <c:ser>
          <c:idx val="1"/>
          <c:order val="1"/>
          <c:tx>
            <c:v>DPA</c:v>
          </c:tx>
          <c:spPr>
            <a:ln w="19050" cap="rnd">
              <a:solidFill>
                <a:schemeClr val="tx1"/>
              </a:solidFill>
              <a:prstDash val="dash"/>
              <a:round/>
            </a:ln>
            <a:effectLst/>
          </c:spPr>
          <c:marker>
            <c:symbol val="circle"/>
            <c:size val="5"/>
            <c:spPr>
              <a:noFill/>
              <a:ln w="9525">
                <a:noFill/>
              </a:ln>
              <a:effectLst/>
            </c:spPr>
          </c:marker>
          <c:xVal>
            <c:numRef>
              <c:f>Sheet1!$D$7:$D$15</c:f>
              <c:numCache>
                <c:formatCode>General</c:formatCode>
                <c:ptCount val="9"/>
                <c:pt idx="0">
                  <c:v>0</c:v>
                </c:pt>
                <c:pt idx="1">
                  <c:v>0.231957</c:v>
                </c:pt>
                <c:pt idx="2">
                  <c:v>1.71577</c:v>
                </c:pt>
                <c:pt idx="3">
                  <c:v>5.3276599999999998</c:v>
                </c:pt>
                <c:pt idx="4">
                  <c:v>11.587899999999999</c:v>
                </c:pt>
                <c:pt idx="5">
                  <c:v>20.7197</c:v>
                </c:pt>
                <c:pt idx="6">
                  <c:v>32.6265</c:v>
                </c:pt>
                <c:pt idx="7">
                  <c:v>47.060299999999998</c:v>
                </c:pt>
                <c:pt idx="8">
                  <c:v>63.502400000000002</c:v>
                </c:pt>
              </c:numCache>
            </c:numRef>
          </c:xVal>
          <c:yVal>
            <c:numRef>
              <c:f>Sheet1!$E$7:$E$15</c:f>
              <c:numCache>
                <c:formatCode>General</c:formatCode>
                <c:ptCount val="9"/>
                <c:pt idx="0">
                  <c:v>0</c:v>
                </c:pt>
                <c:pt idx="1">
                  <c:v>5.27773</c:v>
                </c:pt>
                <c:pt idx="2">
                  <c:v>25.292200000000001</c:v>
                </c:pt>
                <c:pt idx="3">
                  <c:v>62.043799999999997</c:v>
                </c:pt>
                <c:pt idx="4">
                  <c:v>106.471</c:v>
                </c:pt>
                <c:pt idx="5">
                  <c:v>151.44800000000001</c:v>
                </c:pt>
                <c:pt idx="6">
                  <c:v>188.065</c:v>
                </c:pt>
                <c:pt idx="7">
                  <c:v>203.59700000000001</c:v>
                </c:pt>
                <c:pt idx="8">
                  <c:v>199.822</c:v>
                </c:pt>
              </c:numCache>
            </c:numRef>
          </c:yVal>
          <c:smooth val="1"/>
          <c:extLst>
            <c:ext xmlns:c16="http://schemas.microsoft.com/office/drawing/2014/chart" uri="{C3380CC4-5D6E-409C-BE32-E72D297353CC}">
              <c16:uniqueId val="{00000001-7430-4A4E-B269-FE2FDB25F1E4}"/>
            </c:ext>
          </c:extLst>
        </c:ser>
        <c:ser>
          <c:idx val="2"/>
          <c:order val="2"/>
          <c:tx>
            <c:v>TPA</c:v>
          </c:tx>
          <c:spPr>
            <a:ln w="19050" cap="rnd">
              <a:solidFill>
                <a:schemeClr val="tx1"/>
              </a:solidFill>
              <a:prstDash val="solid"/>
              <a:round/>
            </a:ln>
            <a:effectLst/>
          </c:spPr>
          <c:marker>
            <c:symbol val="circle"/>
            <c:size val="5"/>
            <c:spPr>
              <a:noFill/>
              <a:ln w="9525">
                <a:noFill/>
              </a:ln>
              <a:effectLst/>
            </c:spPr>
          </c:marker>
          <c:xVal>
            <c:numRef>
              <c:f>Sheet1!$G$7:$G$15</c:f>
              <c:numCache>
                <c:formatCode>General</c:formatCode>
                <c:ptCount val="9"/>
                <c:pt idx="0">
                  <c:v>0</c:v>
                </c:pt>
                <c:pt idx="1">
                  <c:v>0.23168800000000001</c:v>
                </c:pt>
                <c:pt idx="2">
                  <c:v>1.71261</c:v>
                </c:pt>
                <c:pt idx="3">
                  <c:v>5.3233000000000006</c:v>
                </c:pt>
                <c:pt idx="4">
                  <c:v>11.594900000000001</c:v>
                </c:pt>
                <c:pt idx="5">
                  <c:v>20.710900000000002</c:v>
                </c:pt>
                <c:pt idx="6">
                  <c:v>32.637999999999998</c:v>
                </c:pt>
                <c:pt idx="7">
                  <c:v>47.044999999999995</c:v>
                </c:pt>
                <c:pt idx="8">
                  <c:v>63.513399999999997</c:v>
                </c:pt>
              </c:numCache>
            </c:numRef>
          </c:xVal>
          <c:yVal>
            <c:numRef>
              <c:f>Sheet1!$H$7:$H$15</c:f>
              <c:numCache>
                <c:formatCode>General</c:formatCode>
                <c:ptCount val="9"/>
                <c:pt idx="0">
                  <c:v>0</c:v>
                </c:pt>
                <c:pt idx="1">
                  <c:v>27.465299999999999</c:v>
                </c:pt>
                <c:pt idx="2">
                  <c:v>71.358500000000006</c:v>
                </c:pt>
                <c:pt idx="3">
                  <c:v>131.005</c:v>
                </c:pt>
                <c:pt idx="4">
                  <c:v>194.10599999999999</c:v>
                </c:pt>
                <c:pt idx="5">
                  <c:v>251.822</c:v>
                </c:pt>
                <c:pt idx="6">
                  <c:v>294.45499999999998</c:v>
                </c:pt>
                <c:pt idx="7">
                  <c:v>307.286</c:v>
                </c:pt>
                <c:pt idx="8">
                  <c:v>294.53800000000001</c:v>
                </c:pt>
              </c:numCache>
            </c:numRef>
          </c:yVal>
          <c:smooth val="1"/>
          <c:extLst>
            <c:ext xmlns:c16="http://schemas.microsoft.com/office/drawing/2014/chart" uri="{C3380CC4-5D6E-409C-BE32-E72D297353CC}">
              <c16:uniqueId val="{00000002-7430-4A4E-B269-FE2FDB25F1E4}"/>
            </c:ext>
          </c:extLst>
        </c:ser>
        <c:dLbls>
          <c:showLegendKey val="0"/>
          <c:showVal val="0"/>
          <c:showCatName val="0"/>
          <c:showSerName val="0"/>
          <c:showPercent val="0"/>
          <c:showBubbleSize val="0"/>
        </c:dLbls>
        <c:axId val="1948589471"/>
        <c:axId val="1948586559"/>
      </c:scatterChart>
      <c:valAx>
        <c:axId val="1948589471"/>
        <c:scaling>
          <c:orientation val="minMax"/>
          <c:max val="8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a:solidFill>
                      <a:sysClr val="windowText" lastClr="000000"/>
                    </a:solidFill>
                    <a:latin typeface="Times New Roman" panose="02020603050405020304" pitchFamily="18" charset="0"/>
                    <a:cs typeface="Times New Roman" panose="02020603050405020304" pitchFamily="18" charset="0"/>
                  </a:rPr>
                  <a:t>Displacement (mm)</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8586559"/>
        <c:crosses val="autoZero"/>
        <c:crossBetween val="midCat"/>
        <c:majorUnit val="20"/>
        <c:minorUnit val="5"/>
      </c:valAx>
      <c:valAx>
        <c:axId val="1948586559"/>
        <c:scaling>
          <c:orientation val="minMax"/>
          <c:max val="350"/>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900">
                    <a:solidFill>
                      <a:schemeClr val="tx1"/>
                    </a:solidFill>
                    <a:latin typeface="Times New Roman" panose="02020603050405020304" pitchFamily="18" charset="0"/>
                    <a:cs typeface="Times New Roman" panose="02020603050405020304" pitchFamily="18" charset="0"/>
                  </a:rPr>
                  <a:t>Pullout capacity (MPa)</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948589471"/>
        <c:crosses val="autoZero"/>
        <c:crossBetween val="midCat"/>
        <c:majorUnit val="50"/>
      </c:valAx>
      <c:spPr>
        <a:noFill/>
        <a:ln>
          <a:noFill/>
        </a:ln>
        <a:effectLst/>
      </c:spPr>
    </c:plotArea>
    <c:legend>
      <c:legendPos val="t"/>
      <c:layout>
        <c:manualLayout>
          <c:xMode val="edge"/>
          <c:yMode val="edge"/>
          <c:x val="0.31247002908420229"/>
          <c:y val="3.571416998801076E-2"/>
          <c:w val="0.3011364120025537"/>
          <c:h val="0.1458770778652668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02BE8-A30A-45DE-BD09-0982F3E2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24</Pages>
  <Words>6682</Words>
  <Characters>38090</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Vikas Rawat</dc:creator>
  <cp:keywords/>
  <dc:description/>
  <cp:lastModifiedBy>Rakesh Kumar Dutta</cp:lastModifiedBy>
  <cp:revision>53</cp:revision>
  <dcterms:created xsi:type="dcterms:W3CDTF">2023-04-16T01:17:00Z</dcterms:created>
  <dcterms:modified xsi:type="dcterms:W3CDTF">2023-04-17T05:09:00Z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id="j3KILIAn"/&gt;&lt;style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