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BFD" w:rsidRPr="003F0A46" w:rsidRDefault="00D762C5" w:rsidP="00B65294">
      <w:pPr>
        <w:pStyle w:val="Heading1"/>
        <w:spacing w:before="0"/>
        <w:jc w:val="center"/>
        <w:rPr>
          <w:rFonts w:asciiTheme="majorBidi" w:hAnsiTheme="majorBidi"/>
          <w:color w:val="000000" w:themeColor="text1"/>
          <w:sz w:val="20"/>
          <w:szCs w:val="20"/>
          <w:lang w:val="en-US"/>
        </w:rPr>
      </w:pPr>
      <w:r w:rsidRPr="003F0A46">
        <w:rPr>
          <w:rFonts w:asciiTheme="majorBidi" w:hAnsiTheme="majorBidi"/>
          <w:color w:val="000000" w:themeColor="text1"/>
          <w:sz w:val="20"/>
          <w:szCs w:val="20"/>
          <w:lang w:val="en-US"/>
        </w:rPr>
        <w:t xml:space="preserve">TESTING SHORT-TERM </w:t>
      </w:r>
      <w:r w:rsidR="0087107B" w:rsidRPr="003F0A46">
        <w:rPr>
          <w:rFonts w:asciiTheme="majorBidi" w:hAnsiTheme="majorBidi"/>
          <w:color w:val="000000" w:themeColor="text1"/>
          <w:sz w:val="20"/>
          <w:szCs w:val="20"/>
          <w:lang w:val="en-US"/>
        </w:rPr>
        <w:t>OVER/ UNDERREACTION HYPOTHESI</w:t>
      </w:r>
      <w:r w:rsidR="008B2E16" w:rsidRPr="003F0A46">
        <w:rPr>
          <w:rFonts w:asciiTheme="majorBidi" w:hAnsiTheme="majorBidi"/>
          <w:color w:val="000000" w:themeColor="text1"/>
          <w:sz w:val="20"/>
          <w:szCs w:val="20"/>
          <w:lang w:val="en-US"/>
        </w:rPr>
        <w:t>S:</w:t>
      </w:r>
    </w:p>
    <w:p w:rsidR="00DA0BFD" w:rsidRPr="003F0A46" w:rsidRDefault="00DA0BFD" w:rsidP="001D2037">
      <w:pPr>
        <w:pStyle w:val="Heading1"/>
        <w:spacing w:before="0"/>
        <w:jc w:val="center"/>
        <w:rPr>
          <w:rFonts w:asciiTheme="majorBidi" w:hAnsiTheme="majorBidi"/>
          <w:noProof/>
          <w:color w:val="000000" w:themeColor="text1"/>
          <w:sz w:val="20"/>
          <w:szCs w:val="20"/>
          <w:lang w:val="en-US" w:eastAsia="en-CA"/>
        </w:rPr>
      </w:pPr>
      <w:r w:rsidRPr="003F0A46">
        <w:rPr>
          <w:rFonts w:asciiTheme="majorBidi" w:hAnsiTheme="majorBidi"/>
          <w:noProof/>
          <w:color w:val="000000" w:themeColor="text1"/>
          <w:sz w:val="20"/>
          <w:szCs w:val="20"/>
          <w:lang w:val="en-US" w:eastAsia="en-CA"/>
        </w:rPr>
        <w:t>EMPIR</w:t>
      </w:r>
      <w:r w:rsidR="008C3421" w:rsidRPr="003F0A46">
        <w:rPr>
          <w:rFonts w:asciiTheme="majorBidi" w:hAnsiTheme="majorBidi"/>
          <w:noProof/>
          <w:color w:val="000000" w:themeColor="text1"/>
          <w:sz w:val="20"/>
          <w:szCs w:val="20"/>
          <w:lang w:val="en-US" w:eastAsia="en-CA"/>
        </w:rPr>
        <w:t xml:space="preserve">ICAL EVIDENCE FROM THE EGYPTIAN </w:t>
      </w:r>
      <w:r w:rsidRPr="003F0A46">
        <w:rPr>
          <w:rFonts w:asciiTheme="majorBidi" w:hAnsiTheme="majorBidi"/>
          <w:noProof/>
          <w:color w:val="000000" w:themeColor="text1"/>
          <w:sz w:val="20"/>
          <w:szCs w:val="20"/>
          <w:lang w:val="en-US" w:eastAsia="en-CA"/>
        </w:rPr>
        <w:t>EXCHANGE</w:t>
      </w:r>
    </w:p>
    <w:p w:rsidR="00B56942" w:rsidRPr="003F0A46" w:rsidRDefault="00B56942" w:rsidP="00B65294">
      <w:pPr>
        <w:pStyle w:val="Title"/>
        <w:jc w:val="both"/>
        <w:rPr>
          <w:rFonts w:asciiTheme="majorBidi" w:hAnsiTheme="majorBidi" w:cstheme="majorBidi"/>
          <w:sz w:val="20"/>
          <w:szCs w:val="20"/>
        </w:rPr>
      </w:pPr>
      <w:r w:rsidRPr="003F0A46">
        <w:rPr>
          <w:rFonts w:asciiTheme="majorBidi" w:hAnsiTheme="majorBidi" w:cstheme="majorBidi"/>
          <w:sz w:val="20"/>
          <w:szCs w:val="20"/>
        </w:rPr>
        <w:t xml:space="preserve"> </w:t>
      </w:r>
    </w:p>
    <w:p w:rsidR="00B56942" w:rsidRPr="003F0A46" w:rsidRDefault="0014471F" w:rsidP="00B65294">
      <w:pPr>
        <w:pStyle w:val="Title"/>
        <w:rPr>
          <w:rFonts w:asciiTheme="majorBidi" w:hAnsiTheme="majorBidi" w:cstheme="majorBidi"/>
          <w:sz w:val="20"/>
          <w:szCs w:val="20"/>
        </w:rPr>
      </w:pPr>
      <w:r w:rsidRPr="003F0A46">
        <w:rPr>
          <w:rFonts w:asciiTheme="majorBidi" w:hAnsiTheme="majorBidi" w:cstheme="majorBidi"/>
          <w:sz w:val="20"/>
          <w:szCs w:val="20"/>
        </w:rPr>
        <w:t>Aliaa Bassiouny</w:t>
      </w:r>
      <w:r w:rsidRPr="003F0A46">
        <w:rPr>
          <w:rStyle w:val="FootnoteReference"/>
          <w:rFonts w:asciiTheme="majorBidi" w:hAnsiTheme="majorBidi" w:cstheme="majorBidi"/>
          <w:sz w:val="20"/>
          <w:szCs w:val="20"/>
        </w:rPr>
        <w:footnoteReference w:id="2"/>
      </w:r>
      <w:r w:rsidRPr="003F0A46">
        <w:rPr>
          <w:rFonts w:asciiTheme="majorBidi" w:hAnsiTheme="majorBidi" w:cstheme="majorBidi"/>
          <w:sz w:val="20"/>
          <w:szCs w:val="20"/>
        </w:rPr>
        <w:t xml:space="preserve"> and Amira Ragab</w:t>
      </w:r>
      <w:r w:rsidRPr="003F0A46">
        <w:rPr>
          <w:rStyle w:val="FootnoteReference"/>
          <w:rFonts w:asciiTheme="majorBidi" w:hAnsiTheme="majorBidi" w:cstheme="majorBidi"/>
          <w:sz w:val="20"/>
          <w:szCs w:val="20"/>
        </w:rPr>
        <w:footnoteReference w:id="3"/>
      </w:r>
    </w:p>
    <w:p w:rsidR="005B1125" w:rsidRPr="003F0A46" w:rsidRDefault="005B1125" w:rsidP="00B65294">
      <w:pPr>
        <w:pStyle w:val="Heading1"/>
        <w:spacing w:before="0"/>
        <w:jc w:val="center"/>
        <w:rPr>
          <w:rFonts w:asciiTheme="majorBidi" w:hAnsiTheme="majorBidi"/>
          <w:color w:val="000000" w:themeColor="text1"/>
          <w:sz w:val="20"/>
          <w:szCs w:val="20"/>
          <w:lang w:val="en-US"/>
        </w:rPr>
      </w:pPr>
    </w:p>
    <w:p w:rsidR="00C73CDF" w:rsidRPr="003F0A46" w:rsidRDefault="00DA0BFD" w:rsidP="00B65294">
      <w:pPr>
        <w:pStyle w:val="Heading1"/>
        <w:spacing w:before="0"/>
        <w:jc w:val="center"/>
        <w:rPr>
          <w:rFonts w:asciiTheme="majorBidi" w:hAnsiTheme="majorBidi"/>
          <w:color w:val="000000" w:themeColor="text1"/>
          <w:sz w:val="20"/>
          <w:szCs w:val="20"/>
          <w:lang w:val="en-US"/>
        </w:rPr>
      </w:pPr>
      <w:r w:rsidRPr="003F0A46">
        <w:rPr>
          <w:rFonts w:asciiTheme="majorBidi" w:hAnsiTheme="majorBidi"/>
          <w:color w:val="000000" w:themeColor="text1"/>
          <w:sz w:val="20"/>
          <w:szCs w:val="20"/>
          <w:lang w:val="en-US"/>
        </w:rPr>
        <w:t>ABSTRACT</w:t>
      </w:r>
    </w:p>
    <w:p w:rsidR="00C16986" w:rsidRPr="003F0A46" w:rsidRDefault="00A94540" w:rsidP="00554592">
      <w:pPr>
        <w:pStyle w:val="Default"/>
        <w:jc w:val="both"/>
        <w:rPr>
          <w:rFonts w:asciiTheme="majorBidi" w:hAnsiTheme="majorBidi" w:cstheme="majorBidi"/>
          <w:sz w:val="20"/>
          <w:szCs w:val="20"/>
          <w:lang w:val="en-US"/>
        </w:rPr>
      </w:pPr>
      <w:r w:rsidRPr="003F0A46">
        <w:rPr>
          <w:rFonts w:asciiTheme="majorBidi" w:hAnsiTheme="majorBidi" w:cstheme="majorBidi"/>
          <w:sz w:val="20"/>
          <w:szCs w:val="20"/>
          <w:lang w:val="en-US"/>
        </w:rPr>
        <w:t>This</w:t>
      </w:r>
      <w:r w:rsidR="00C16986" w:rsidRPr="003F0A46">
        <w:rPr>
          <w:rFonts w:asciiTheme="majorBidi" w:hAnsiTheme="majorBidi" w:cstheme="majorBidi"/>
          <w:sz w:val="20"/>
          <w:szCs w:val="20"/>
          <w:lang w:val="en-US"/>
        </w:rPr>
        <w:t xml:space="preserve"> </w:t>
      </w:r>
      <w:r w:rsidRPr="003F0A46">
        <w:rPr>
          <w:rFonts w:asciiTheme="majorBidi" w:hAnsiTheme="majorBidi" w:cstheme="majorBidi"/>
          <w:sz w:val="20"/>
          <w:szCs w:val="20"/>
          <w:lang w:val="en-US"/>
        </w:rPr>
        <w:t>paper</w:t>
      </w:r>
      <w:r w:rsidR="00C16986" w:rsidRPr="003F0A46">
        <w:rPr>
          <w:rFonts w:asciiTheme="majorBidi" w:hAnsiTheme="majorBidi" w:cstheme="majorBidi"/>
          <w:sz w:val="20"/>
          <w:szCs w:val="20"/>
          <w:lang w:val="en-US"/>
        </w:rPr>
        <w:t xml:space="preserve"> investigate</w:t>
      </w:r>
      <w:r w:rsidR="00FB7E68">
        <w:rPr>
          <w:rFonts w:asciiTheme="majorBidi" w:hAnsiTheme="majorBidi" w:cstheme="majorBidi"/>
          <w:sz w:val="20"/>
          <w:szCs w:val="20"/>
          <w:lang w:val="en-US"/>
        </w:rPr>
        <w:t>s</w:t>
      </w:r>
      <w:r w:rsidR="00C16986" w:rsidRPr="003F0A46">
        <w:rPr>
          <w:rFonts w:asciiTheme="majorBidi" w:hAnsiTheme="majorBidi" w:cstheme="majorBidi"/>
          <w:sz w:val="20"/>
          <w:szCs w:val="20"/>
          <w:lang w:val="en-US"/>
        </w:rPr>
        <w:t xml:space="preserve"> wh</w:t>
      </w:r>
      <w:r w:rsidR="00AE3A0D" w:rsidRPr="003F0A46">
        <w:rPr>
          <w:rFonts w:asciiTheme="majorBidi" w:hAnsiTheme="majorBidi" w:cstheme="majorBidi"/>
          <w:sz w:val="20"/>
          <w:szCs w:val="20"/>
          <w:lang w:val="en-US"/>
        </w:rPr>
        <w:t>ether short-term over/</w:t>
      </w:r>
      <w:r w:rsidR="00BB5302">
        <w:rPr>
          <w:rFonts w:asciiTheme="majorBidi" w:hAnsiTheme="majorBidi" w:cstheme="majorBidi"/>
          <w:sz w:val="20"/>
          <w:szCs w:val="20"/>
          <w:lang w:val="en-US"/>
        </w:rPr>
        <w:t>under</w:t>
      </w:r>
      <w:r w:rsidR="00C16986" w:rsidRPr="003F0A46">
        <w:rPr>
          <w:rFonts w:asciiTheme="majorBidi" w:hAnsiTheme="majorBidi" w:cstheme="majorBidi"/>
          <w:sz w:val="20"/>
          <w:szCs w:val="20"/>
          <w:lang w:val="en-US"/>
        </w:rPr>
        <w:t>reaction a</w:t>
      </w:r>
      <w:r w:rsidR="00554592">
        <w:rPr>
          <w:rFonts w:asciiTheme="majorBidi" w:hAnsiTheme="majorBidi" w:cstheme="majorBidi"/>
          <w:sz w:val="20"/>
          <w:szCs w:val="20"/>
          <w:lang w:val="en-US"/>
        </w:rPr>
        <w:t xml:space="preserve">ppears in the Egyptian Exchange, </w:t>
      </w:r>
      <w:r w:rsidR="00C16986" w:rsidRPr="003F0A46">
        <w:rPr>
          <w:rFonts w:asciiTheme="majorBidi" w:hAnsiTheme="majorBidi" w:cstheme="majorBidi"/>
          <w:sz w:val="20"/>
          <w:szCs w:val="20"/>
          <w:lang w:val="en-US"/>
        </w:rPr>
        <w:t xml:space="preserve">over the period of January 1998 to December 2013, making this the first attempt to test </w:t>
      </w:r>
      <w:r w:rsidR="00BB5302">
        <w:rPr>
          <w:rFonts w:asciiTheme="majorBidi" w:hAnsiTheme="majorBidi" w:cstheme="majorBidi"/>
          <w:sz w:val="20"/>
          <w:szCs w:val="20"/>
          <w:lang w:val="en-US"/>
        </w:rPr>
        <w:t>this market anomaly</w:t>
      </w:r>
      <w:r w:rsidR="00C16986" w:rsidRPr="003F0A46">
        <w:rPr>
          <w:rFonts w:asciiTheme="majorBidi" w:hAnsiTheme="majorBidi" w:cstheme="majorBidi"/>
          <w:sz w:val="20"/>
          <w:szCs w:val="20"/>
          <w:lang w:val="en-US"/>
        </w:rPr>
        <w:t xml:space="preserve"> in an Arab stock market. The analysis reveals that while short-term overreaction doesn’t exist in the Egyptian Exchange, there is statistically significant evidence of underreaction for the holding periods of one to four weeks. </w:t>
      </w:r>
      <w:r w:rsidRPr="003F0A46">
        <w:rPr>
          <w:rFonts w:asciiTheme="majorBidi" w:hAnsiTheme="majorBidi" w:cstheme="majorBidi"/>
          <w:sz w:val="20"/>
          <w:szCs w:val="20"/>
          <w:lang w:val="en-US"/>
        </w:rPr>
        <w:t>This under-reaction is found to be concentrated in large firms. Tests to</w:t>
      </w:r>
      <w:r w:rsidR="00C16986" w:rsidRPr="003F0A46">
        <w:rPr>
          <w:rFonts w:asciiTheme="majorBidi" w:hAnsiTheme="majorBidi" w:cstheme="majorBidi"/>
          <w:sz w:val="20"/>
          <w:szCs w:val="20"/>
          <w:lang w:val="en-US"/>
        </w:rPr>
        <w:t xml:space="preserve"> establish </w:t>
      </w:r>
      <w:r w:rsidR="00BB5302">
        <w:rPr>
          <w:rFonts w:asciiTheme="majorBidi" w:hAnsiTheme="majorBidi" w:cstheme="majorBidi"/>
          <w:sz w:val="20"/>
          <w:szCs w:val="20"/>
          <w:lang w:val="en-US"/>
        </w:rPr>
        <w:t xml:space="preserve">whether this evidence of underreaction can be </w:t>
      </w:r>
      <w:r w:rsidRPr="003F0A46">
        <w:rPr>
          <w:rFonts w:asciiTheme="majorBidi" w:hAnsiTheme="majorBidi" w:cstheme="majorBidi"/>
          <w:sz w:val="20"/>
          <w:szCs w:val="20"/>
          <w:lang w:val="en-US"/>
        </w:rPr>
        <w:t>profitable</w:t>
      </w:r>
      <w:r w:rsidR="00BB5302">
        <w:rPr>
          <w:rFonts w:asciiTheme="majorBidi" w:hAnsiTheme="majorBidi" w:cstheme="majorBidi"/>
          <w:sz w:val="20"/>
          <w:szCs w:val="20"/>
          <w:lang w:val="en-US"/>
        </w:rPr>
        <w:t>,</w:t>
      </w:r>
      <w:r w:rsidRPr="003F0A46">
        <w:rPr>
          <w:rFonts w:asciiTheme="majorBidi" w:hAnsiTheme="majorBidi" w:cstheme="majorBidi"/>
          <w:sz w:val="20"/>
          <w:szCs w:val="20"/>
          <w:lang w:val="en-US"/>
        </w:rPr>
        <w:t xml:space="preserve"> </w:t>
      </w:r>
      <w:r w:rsidR="00C16986" w:rsidRPr="003F0A46">
        <w:rPr>
          <w:rFonts w:asciiTheme="majorBidi" w:hAnsiTheme="majorBidi" w:cstheme="majorBidi"/>
          <w:sz w:val="20"/>
          <w:szCs w:val="20"/>
          <w:lang w:val="en-US"/>
        </w:rPr>
        <w:t>show that while a momentum strategy can provide significant abnormal returns of up to 0.885% over a holding period of four weeks, when trading costs are taken into account, the profitability of the momentum strategy becomes insignificant.  </w:t>
      </w:r>
    </w:p>
    <w:p w:rsidR="00703B4C" w:rsidRPr="003F0A46" w:rsidRDefault="00703B4C" w:rsidP="00B65294">
      <w:pPr>
        <w:spacing w:after="0"/>
        <w:rPr>
          <w:sz w:val="20"/>
          <w:szCs w:val="20"/>
          <w:lang w:val="en-US"/>
        </w:rPr>
      </w:pPr>
    </w:p>
    <w:p w:rsidR="00CC2B9C" w:rsidRPr="003F0A46" w:rsidRDefault="00CC2B9C" w:rsidP="00B65294">
      <w:pPr>
        <w:spacing w:after="0"/>
        <w:rPr>
          <w:b/>
          <w:bCs/>
          <w:sz w:val="20"/>
          <w:szCs w:val="20"/>
          <w:lang w:val="en-US"/>
        </w:rPr>
      </w:pPr>
      <w:r w:rsidRPr="003F0A46">
        <w:rPr>
          <w:rFonts w:ascii="Times New Roman" w:hAnsi="Times New Roman" w:cs="Times New Roman"/>
          <w:b/>
          <w:bCs/>
          <w:sz w:val="20"/>
          <w:szCs w:val="20"/>
          <w:lang w:val="en-US"/>
        </w:rPr>
        <w:t xml:space="preserve">JEL classification numbers: </w:t>
      </w:r>
      <w:r w:rsidRPr="003F0A46">
        <w:rPr>
          <w:rFonts w:ascii="Times New Roman" w:hAnsi="Times New Roman" w:cs="Times New Roman"/>
          <w:sz w:val="20"/>
          <w:szCs w:val="20"/>
          <w:lang w:val="en-US"/>
        </w:rPr>
        <w:t>G11</w:t>
      </w:r>
    </w:p>
    <w:p w:rsidR="001134F8" w:rsidRPr="003F0A46" w:rsidRDefault="00703B4C" w:rsidP="00B65294">
      <w:pPr>
        <w:spacing w:after="0"/>
        <w:rPr>
          <w:sz w:val="20"/>
          <w:szCs w:val="20"/>
          <w:lang w:val="en-US"/>
        </w:rPr>
      </w:pPr>
      <w:r w:rsidRPr="003F0A46">
        <w:rPr>
          <w:b/>
          <w:bCs/>
          <w:sz w:val="20"/>
          <w:szCs w:val="20"/>
          <w:lang w:val="en-US"/>
        </w:rPr>
        <w:t>Keywords:</w:t>
      </w:r>
      <w:r w:rsidRPr="003F0A46">
        <w:rPr>
          <w:sz w:val="20"/>
          <w:szCs w:val="20"/>
          <w:lang w:val="en-US"/>
        </w:rPr>
        <w:t xml:space="preserve"> Overreaction</w:t>
      </w:r>
      <w:r w:rsidR="001134F8" w:rsidRPr="003F0A46">
        <w:rPr>
          <w:sz w:val="20"/>
          <w:szCs w:val="20"/>
          <w:lang w:val="en-US"/>
        </w:rPr>
        <w:t>;</w:t>
      </w:r>
      <w:r w:rsidRPr="003F0A46">
        <w:rPr>
          <w:sz w:val="20"/>
          <w:szCs w:val="20"/>
          <w:lang w:val="en-US"/>
        </w:rPr>
        <w:t xml:space="preserve"> </w:t>
      </w:r>
      <w:r w:rsidR="001604C6" w:rsidRPr="003F0A46">
        <w:rPr>
          <w:sz w:val="20"/>
          <w:szCs w:val="20"/>
          <w:lang w:val="en-US"/>
        </w:rPr>
        <w:t xml:space="preserve">Under-reaction; </w:t>
      </w:r>
      <w:r w:rsidR="000556E5" w:rsidRPr="003F0A46">
        <w:rPr>
          <w:sz w:val="20"/>
          <w:szCs w:val="20"/>
          <w:lang w:val="en-US"/>
        </w:rPr>
        <w:t>M</w:t>
      </w:r>
      <w:r w:rsidR="00D762C5" w:rsidRPr="003F0A46">
        <w:rPr>
          <w:sz w:val="20"/>
          <w:szCs w:val="20"/>
          <w:lang w:val="en-US"/>
        </w:rPr>
        <w:t>omentum</w:t>
      </w:r>
      <w:r w:rsidR="001134F8" w:rsidRPr="003F0A46">
        <w:rPr>
          <w:sz w:val="20"/>
          <w:szCs w:val="20"/>
          <w:lang w:val="en-US"/>
        </w:rPr>
        <w:t xml:space="preserve"> strategy; Market Efficiency; </w:t>
      </w:r>
      <w:r w:rsidRPr="003F0A46">
        <w:rPr>
          <w:sz w:val="20"/>
          <w:szCs w:val="20"/>
          <w:lang w:val="en-US"/>
        </w:rPr>
        <w:t>Return reversals</w:t>
      </w:r>
      <w:r w:rsidR="001604C6" w:rsidRPr="003F0A46">
        <w:rPr>
          <w:sz w:val="20"/>
          <w:szCs w:val="20"/>
          <w:lang w:val="en-US"/>
        </w:rPr>
        <w:t>;</w:t>
      </w:r>
      <w:r w:rsidR="008E5E65" w:rsidRPr="003F0A46">
        <w:rPr>
          <w:sz w:val="20"/>
          <w:szCs w:val="20"/>
          <w:lang w:val="en-US"/>
        </w:rPr>
        <w:t xml:space="preserve"> Market anomalies</w:t>
      </w:r>
      <w:r w:rsidR="001604C6" w:rsidRPr="003F0A46">
        <w:rPr>
          <w:sz w:val="20"/>
          <w:szCs w:val="20"/>
          <w:lang w:val="en-US"/>
        </w:rPr>
        <w:t>; Market capitalization</w:t>
      </w:r>
    </w:p>
    <w:p w:rsidR="00541873" w:rsidRPr="003F0A46" w:rsidRDefault="00541873" w:rsidP="00B65294">
      <w:pPr>
        <w:pStyle w:val="Heading1"/>
        <w:spacing w:before="0"/>
        <w:rPr>
          <w:rFonts w:asciiTheme="majorBidi" w:hAnsiTheme="majorBidi"/>
          <w:color w:val="000000" w:themeColor="text1"/>
          <w:sz w:val="20"/>
          <w:szCs w:val="20"/>
          <w:lang w:val="en-US"/>
        </w:rPr>
        <w:sectPr w:rsidR="00541873" w:rsidRPr="003F0A46" w:rsidSect="001E28D8">
          <w:footerReference w:type="default" r:id="rId8"/>
          <w:pgSz w:w="12240" w:h="15840" w:code="1"/>
          <w:pgMar w:top="1440" w:right="1608" w:bottom="1440" w:left="1440" w:header="709" w:footer="709" w:gutter="0"/>
          <w:pgNumType w:fmt="upperRoman" w:start="1"/>
          <w:cols w:space="708"/>
          <w:titlePg/>
          <w:docGrid w:linePitch="360"/>
        </w:sectPr>
      </w:pPr>
    </w:p>
    <w:p w:rsidR="000556E5" w:rsidRPr="003F0A46" w:rsidRDefault="000556E5" w:rsidP="00B65294">
      <w:pPr>
        <w:pStyle w:val="ListParagraph"/>
        <w:numPr>
          <w:ilvl w:val="0"/>
          <w:numId w:val="15"/>
        </w:numPr>
        <w:rPr>
          <w:rFonts w:asciiTheme="majorBidi" w:hAnsiTheme="majorBidi" w:cstheme="majorBidi"/>
          <w:b/>
          <w:bCs/>
          <w:caps/>
          <w:sz w:val="20"/>
          <w:szCs w:val="20"/>
          <w:lang w:val="en-US"/>
        </w:rPr>
      </w:pPr>
      <w:r w:rsidRPr="003F0A46">
        <w:rPr>
          <w:rFonts w:asciiTheme="majorBidi" w:hAnsiTheme="majorBidi" w:cstheme="majorBidi"/>
          <w:b/>
          <w:bCs/>
          <w:caps/>
          <w:sz w:val="20"/>
          <w:szCs w:val="20"/>
          <w:lang w:val="en-US"/>
        </w:rPr>
        <w:lastRenderedPageBreak/>
        <w:t>Introduction</w:t>
      </w:r>
    </w:p>
    <w:p w:rsidR="0035527C" w:rsidRPr="003F0A46" w:rsidRDefault="0035527C" w:rsidP="003F41C3">
      <w:pPr>
        <w:spacing w:after="0"/>
        <w:ind w:firstLine="360"/>
        <w:rPr>
          <w:sz w:val="20"/>
          <w:szCs w:val="20"/>
          <w:lang w:val="en-US"/>
        </w:rPr>
      </w:pPr>
      <w:r w:rsidRPr="003F0A46">
        <w:rPr>
          <w:sz w:val="20"/>
          <w:szCs w:val="20"/>
          <w:lang w:val="en-US"/>
        </w:rPr>
        <w:t>Since the 1980s a large strand of academic literature has emerged to criticize the notion of capital market efficiency by citing evidence of various market anomalies. Supporters of the eff</w:t>
      </w:r>
      <w:r w:rsidR="003F0A46">
        <w:rPr>
          <w:sz w:val="20"/>
          <w:szCs w:val="20"/>
          <w:lang w:val="en-US"/>
        </w:rPr>
        <w:t xml:space="preserve">icient market hypothesis (EMH) like Nobel laureate Eugene </w:t>
      </w:r>
      <w:r w:rsidRPr="003F0A46">
        <w:rPr>
          <w:sz w:val="20"/>
          <w:szCs w:val="20"/>
          <w:lang w:val="en-US"/>
        </w:rPr>
        <w:t xml:space="preserve">Fama [1] consider these anomalies as chance occurrences which vanish when the methodology of study is changed. On the other hand, </w:t>
      </w:r>
      <w:r w:rsidR="003F0A46" w:rsidRPr="003F0A46">
        <w:rPr>
          <w:sz w:val="20"/>
          <w:szCs w:val="20"/>
          <w:lang w:val="en-US"/>
        </w:rPr>
        <w:t>behavioral</w:t>
      </w:r>
      <w:r w:rsidRPr="003F0A46">
        <w:rPr>
          <w:sz w:val="20"/>
          <w:szCs w:val="20"/>
          <w:lang w:val="en-US"/>
        </w:rPr>
        <w:t xml:space="preserve"> economists consider </w:t>
      </w:r>
      <w:r w:rsidR="003F41C3">
        <w:rPr>
          <w:sz w:val="20"/>
          <w:szCs w:val="20"/>
          <w:lang w:val="en-US"/>
        </w:rPr>
        <w:t xml:space="preserve">these </w:t>
      </w:r>
      <w:r w:rsidRPr="003F0A46">
        <w:rPr>
          <w:sz w:val="20"/>
          <w:szCs w:val="20"/>
          <w:lang w:val="en-US"/>
        </w:rPr>
        <w:t>anomalies as natural occurrence</w:t>
      </w:r>
      <w:r w:rsidR="003F0A46">
        <w:rPr>
          <w:sz w:val="20"/>
          <w:szCs w:val="20"/>
          <w:lang w:val="en-US"/>
        </w:rPr>
        <w:t xml:space="preserve">s arising </w:t>
      </w:r>
      <w:r w:rsidRPr="003F0A46">
        <w:rPr>
          <w:sz w:val="20"/>
          <w:szCs w:val="20"/>
          <w:lang w:val="en-US"/>
        </w:rPr>
        <w:t>from investor response</w:t>
      </w:r>
      <w:r w:rsidR="00BB5302">
        <w:rPr>
          <w:sz w:val="20"/>
          <w:szCs w:val="20"/>
          <w:lang w:val="en-US"/>
        </w:rPr>
        <w:t>s to market dynamics</w:t>
      </w:r>
      <w:r w:rsidR="003F41C3">
        <w:rPr>
          <w:sz w:val="20"/>
          <w:szCs w:val="20"/>
          <w:lang w:val="en-US"/>
        </w:rPr>
        <w:t xml:space="preserve"> [2] [3]</w:t>
      </w:r>
      <w:r w:rsidRPr="003F0A46">
        <w:rPr>
          <w:sz w:val="20"/>
          <w:szCs w:val="20"/>
          <w:lang w:val="en-US"/>
        </w:rPr>
        <w:t>. They claim that human mind falls prey to many biases while making a decision</w:t>
      </w:r>
      <w:r w:rsidR="003F0A46" w:rsidRPr="003F0A46">
        <w:rPr>
          <w:sz w:val="20"/>
          <w:szCs w:val="20"/>
          <w:lang w:val="en-US"/>
        </w:rPr>
        <w:t xml:space="preserve"> </w:t>
      </w:r>
      <w:r w:rsidR="003F0A46">
        <w:rPr>
          <w:sz w:val="20"/>
          <w:szCs w:val="20"/>
          <w:lang w:val="en-US"/>
        </w:rPr>
        <w:t xml:space="preserve">which can </w:t>
      </w:r>
      <w:r w:rsidRPr="003F0A46">
        <w:rPr>
          <w:sz w:val="20"/>
          <w:szCs w:val="20"/>
          <w:lang w:val="en-US"/>
        </w:rPr>
        <w:t>cause markets to show a behavior that may not be in complete harmony with what the s</w:t>
      </w:r>
      <w:r w:rsidR="003F41C3">
        <w:rPr>
          <w:sz w:val="20"/>
          <w:szCs w:val="20"/>
          <w:lang w:val="en-US"/>
        </w:rPr>
        <w:t xml:space="preserve">tandard finance theories expect. </w:t>
      </w:r>
    </w:p>
    <w:p w:rsidR="005D5103" w:rsidRPr="003F0A46" w:rsidRDefault="00AE3A0D" w:rsidP="00BB5302">
      <w:pPr>
        <w:spacing w:after="0"/>
        <w:ind w:firstLine="360"/>
        <w:rPr>
          <w:sz w:val="20"/>
          <w:szCs w:val="20"/>
          <w:lang w:val="en-US"/>
        </w:rPr>
      </w:pPr>
      <w:r w:rsidRPr="003F0A46">
        <w:rPr>
          <w:sz w:val="20"/>
          <w:szCs w:val="20"/>
          <w:lang w:val="en-US"/>
        </w:rPr>
        <w:t xml:space="preserve">One such anomaly </w:t>
      </w:r>
      <w:r w:rsidR="00BE6696" w:rsidRPr="003F0A46">
        <w:rPr>
          <w:sz w:val="20"/>
          <w:szCs w:val="20"/>
          <w:lang w:val="en-US"/>
        </w:rPr>
        <w:t xml:space="preserve">of interest to academic scholars </w:t>
      </w:r>
      <w:r w:rsidR="00F54778" w:rsidRPr="003F0A46">
        <w:rPr>
          <w:sz w:val="20"/>
          <w:szCs w:val="20"/>
          <w:lang w:val="en-US"/>
        </w:rPr>
        <w:t xml:space="preserve">involves </w:t>
      </w:r>
      <w:r w:rsidR="00CC72FB" w:rsidRPr="003F0A46">
        <w:rPr>
          <w:sz w:val="20"/>
          <w:szCs w:val="20"/>
          <w:lang w:val="en-US"/>
        </w:rPr>
        <w:t xml:space="preserve">the </w:t>
      </w:r>
      <w:r w:rsidR="00BE6696" w:rsidRPr="003F0A46">
        <w:rPr>
          <w:sz w:val="20"/>
          <w:szCs w:val="20"/>
          <w:lang w:val="en-US"/>
        </w:rPr>
        <w:t xml:space="preserve">stock </w:t>
      </w:r>
      <w:r w:rsidRPr="003F0A46">
        <w:rPr>
          <w:sz w:val="20"/>
          <w:szCs w:val="20"/>
          <w:lang w:val="en-US"/>
        </w:rPr>
        <w:t>market o</w:t>
      </w:r>
      <w:r w:rsidR="00BB5302">
        <w:rPr>
          <w:sz w:val="20"/>
          <w:szCs w:val="20"/>
          <w:lang w:val="en-US"/>
        </w:rPr>
        <w:t>ver/under</w:t>
      </w:r>
      <w:r w:rsidR="008A2177" w:rsidRPr="003F0A46">
        <w:rPr>
          <w:sz w:val="20"/>
          <w:szCs w:val="20"/>
          <w:lang w:val="en-US"/>
        </w:rPr>
        <w:t xml:space="preserve">reaction </w:t>
      </w:r>
      <w:r w:rsidR="00AC5CA2" w:rsidRPr="003F0A46">
        <w:rPr>
          <w:sz w:val="20"/>
          <w:szCs w:val="20"/>
          <w:lang w:val="en-US"/>
        </w:rPr>
        <w:t>hypothesis</w:t>
      </w:r>
      <w:r w:rsidR="00692ECB" w:rsidRPr="003F0A46">
        <w:rPr>
          <w:sz w:val="20"/>
          <w:szCs w:val="20"/>
          <w:lang w:val="en-US"/>
        </w:rPr>
        <w:t xml:space="preserve">. </w:t>
      </w:r>
      <w:r w:rsidRPr="003F0A46">
        <w:rPr>
          <w:sz w:val="20"/>
          <w:szCs w:val="20"/>
          <w:lang w:val="en-US"/>
        </w:rPr>
        <w:t xml:space="preserve">Stock market overreaction </w:t>
      </w:r>
      <w:r w:rsidR="00A41DE5" w:rsidRPr="003F0A46">
        <w:rPr>
          <w:sz w:val="20"/>
          <w:szCs w:val="20"/>
          <w:lang w:val="en-US"/>
        </w:rPr>
        <w:t xml:space="preserve">(underreaction) </w:t>
      </w:r>
      <w:r w:rsidRPr="003F0A46">
        <w:rPr>
          <w:sz w:val="20"/>
          <w:szCs w:val="20"/>
          <w:lang w:val="en-US"/>
        </w:rPr>
        <w:t xml:space="preserve">implies </w:t>
      </w:r>
      <w:r w:rsidR="00692ECB" w:rsidRPr="003F0A46">
        <w:rPr>
          <w:sz w:val="20"/>
          <w:szCs w:val="20"/>
          <w:lang w:val="en-US"/>
        </w:rPr>
        <w:t>that stocks that have underperformed</w:t>
      </w:r>
      <w:r w:rsidR="00A41DE5" w:rsidRPr="003F0A46">
        <w:rPr>
          <w:sz w:val="20"/>
          <w:szCs w:val="20"/>
          <w:lang w:val="en-US"/>
        </w:rPr>
        <w:t xml:space="preserve"> (</w:t>
      </w:r>
      <w:r w:rsidR="005D5103" w:rsidRPr="003F0A46">
        <w:rPr>
          <w:sz w:val="20"/>
          <w:szCs w:val="20"/>
          <w:lang w:val="en-US"/>
        </w:rPr>
        <w:t>out</w:t>
      </w:r>
      <w:r w:rsidR="00A41DE5" w:rsidRPr="003F0A46">
        <w:rPr>
          <w:sz w:val="20"/>
          <w:szCs w:val="20"/>
          <w:lang w:val="en-US"/>
        </w:rPr>
        <w:t xml:space="preserve">performed) </w:t>
      </w:r>
      <w:r w:rsidR="00692ECB" w:rsidRPr="003F0A46">
        <w:rPr>
          <w:sz w:val="20"/>
          <w:szCs w:val="20"/>
          <w:lang w:val="en-US"/>
        </w:rPr>
        <w:t>the market over a period of time will outperform the market over a subsequent and similar time period.</w:t>
      </w:r>
      <w:r w:rsidR="00E26398" w:rsidRPr="003F0A46">
        <w:rPr>
          <w:sz w:val="20"/>
          <w:szCs w:val="20"/>
          <w:lang w:val="en-US"/>
        </w:rPr>
        <w:t xml:space="preserve"> </w:t>
      </w:r>
      <w:r w:rsidR="00CC72FB" w:rsidRPr="003F0A46">
        <w:rPr>
          <w:sz w:val="20"/>
          <w:szCs w:val="20"/>
          <w:lang w:val="en-US"/>
        </w:rPr>
        <w:t>In the case of evidence of market overreaction (underreaction), a contrarian (momentum) trading strategy that buys losers</w:t>
      </w:r>
      <w:r w:rsidR="00BB5302">
        <w:rPr>
          <w:sz w:val="20"/>
          <w:szCs w:val="20"/>
          <w:lang w:val="en-US"/>
        </w:rPr>
        <w:t xml:space="preserve"> </w:t>
      </w:r>
      <w:r w:rsidR="00CC72FB" w:rsidRPr="003F0A46">
        <w:rPr>
          <w:sz w:val="20"/>
          <w:szCs w:val="20"/>
          <w:lang w:val="en-US"/>
        </w:rPr>
        <w:t xml:space="preserve">(winners) and sells winners(losers) is profitable. </w:t>
      </w:r>
      <w:r w:rsidR="00A41DE5" w:rsidRPr="003F0A46">
        <w:rPr>
          <w:sz w:val="20"/>
          <w:szCs w:val="20"/>
          <w:lang w:val="en-US"/>
        </w:rPr>
        <w:t xml:space="preserve">DeBondt and Thaler </w:t>
      </w:r>
      <w:r w:rsidR="00CC72FB" w:rsidRPr="003F0A46">
        <w:rPr>
          <w:sz w:val="20"/>
          <w:szCs w:val="20"/>
          <w:lang w:val="en-US"/>
        </w:rPr>
        <w:t>[2] first note</w:t>
      </w:r>
      <w:r w:rsidR="00A41DE5" w:rsidRPr="003F0A46">
        <w:rPr>
          <w:sz w:val="20"/>
          <w:szCs w:val="20"/>
          <w:lang w:val="en-US"/>
        </w:rPr>
        <w:t xml:space="preserve"> evidence of overreaction in their 1985 study of the US stock market.</w:t>
      </w:r>
      <w:r w:rsidR="0035527C" w:rsidRPr="003F0A46">
        <w:rPr>
          <w:sz w:val="20"/>
          <w:szCs w:val="20"/>
          <w:lang w:val="en-US"/>
        </w:rPr>
        <w:t xml:space="preserve"> Overreaction can be explained by the tendency of investors to exaggerate and therefore stock prices rise (fall) too much in response to good (bad) news. </w:t>
      </w:r>
      <w:r w:rsidRPr="003F0A46">
        <w:rPr>
          <w:sz w:val="20"/>
          <w:szCs w:val="20"/>
          <w:lang w:val="en-US"/>
        </w:rPr>
        <w:t xml:space="preserve">On the other hand, </w:t>
      </w:r>
      <w:r w:rsidR="00BC4BC6">
        <w:rPr>
          <w:sz w:val="20"/>
          <w:szCs w:val="20"/>
          <w:lang w:val="en-US"/>
        </w:rPr>
        <w:t>Jegadeesh and Titman [4</w:t>
      </w:r>
      <w:r w:rsidR="00A41DE5" w:rsidRPr="003F0A46">
        <w:rPr>
          <w:sz w:val="20"/>
          <w:szCs w:val="20"/>
          <w:lang w:val="en-US"/>
        </w:rPr>
        <w:t>]</w:t>
      </w:r>
      <w:r w:rsidR="00752118" w:rsidRPr="003F0A46">
        <w:rPr>
          <w:sz w:val="20"/>
          <w:szCs w:val="20"/>
          <w:lang w:val="en-US"/>
        </w:rPr>
        <w:t xml:space="preserve"> </w:t>
      </w:r>
      <w:r w:rsidR="00A41DE5" w:rsidRPr="003F0A46">
        <w:rPr>
          <w:sz w:val="20"/>
          <w:szCs w:val="20"/>
          <w:lang w:val="en-US"/>
        </w:rPr>
        <w:t>were the first to show contrary evidence by revealing</w:t>
      </w:r>
      <w:r w:rsidR="00E26398" w:rsidRPr="003F0A46">
        <w:rPr>
          <w:sz w:val="20"/>
          <w:szCs w:val="20"/>
          <w:lang w:val="en-US"/>
        </w:rPr>
        <w:t xml:space="preserve"> </w:t>
      </w:r>
      <w:r w:rsidR="00A41DE5" w:rsidRPr="003F0A46">
        <w:rPr>
          <w:sz w:val="20"/>
          <w:szCs w:val="20"/>
          <w:lang w:val="en-US"/>
        </w:rPr>
        <w:t xml:space="preserve">empirical evidence of </w:t>
      </w:r>
      <w:r w:rsidR="00BB5302">
        <w:rPr>
          <w:sz w:val="20"/>
          <w:szCs w:val="20"/>
          <w:lang w:val="en-US"/>
        </w:rPr>
        <w:t>under</w:t>
      </w:r>
      <w:r w:rsidR="00E26398" w:rsidRPr="003F0A46">
        <w:rPr>
          <w:sz w:val="20"/>
          <w:szCs w:val="20"/>
          <w:lang w:val="en-US"/>
        </w:rPr>
        <w:t xml:space="preserve">reaction </w:t>
      </w:r>
      <w:r w:rsidR="00E814E4" w:rsidRPr="003F0A46">
        <w:rPr>
          <w:sz w:val="20"/>
          <w:szCs w:val="20"/>
          <w:lang w:val="en-US"/>
        </w:rPr>
        <w:t>patterns</w:t>
      </w:r>
      <w:r w:rsidR="00A41DE5" w:rsidRPr="003F0A46">
        <w:rPr>
          <w:sz w:val="20"/>
          <w:szCs w:val="20"/>
          <w:lang w:val="en-US"/>
        </w:rPr>
        <w:t xml:space="preserve"> in </w:t>
      </w:r>
      <w:r w:rsidR="00E26398" w:rsidRPr="003F0A46">
        <w:rPr>
          <w:sz w:val="20"/>
          <w:szCs w:val="20"/>
          <w:lang w:val="en-US"/>
        </w:rPr>
        <w:t>a sample of stocks listed on the NYSE and AMEX, for the period between 1965 and 1989.</w:t>
      </w:r>
      <w:r w:rsidR="0035527C" w:rsidRPr="003F0A46">
        <w:rPr>
          <w:sz w:val="20"/>
          <w:szCs w:val="20"/>
          <w:lang w:val="en-US"/>
        </w:rPr>
        <w:t xml:space="preserve"> Underreaction can be explained by investors being conservative and gradually adapting to the recent news flowing into the market to incorporate their expectations into prices.</w:t>
      </w:r>
      <w:r w:rsidR="00BB5302">
        <w:rPr>
          <w:sz w:val="20"/>
          <w:szCs w:val="20"/>
          <w:lang w:val="en-US"/>
        </w:rPr>
        <w:t xml:space="preserve"> Both over and under</w:t>
      </w:r>
      <w:r w:rsidR="00BE6696" w:rsidRPr="003F0A46">
        <w:rPr>
          <w:sz w:val="20"/>
          <w:szCs w:val="20"/>
          <w:lang w:val="en-US"/>
        </w:rPr>
        <w:t>reaction are important indicators of market inefficiency as they can lead to</w:t>
      </w:r>
      <w:r w:rsidR="00CC72FB" w:rsidRPr="003F0A46">
        <w:rPr>
          <w:sz w:val="20"/>
          <w:szCs w:val="20"/>
          <w:lang w:val="en-US"/>
        </w:rPr>
        <w:t xml:space="preserve"> achieving abnormal profits. </w:t>
      </w:r>
    </w:p>
    <w:p w:rsidR="00CF34F1" w:rsidRPr="003F0A46" w:rsidRDefault="008A2177" w:rsidP="00BB5302">
      <w:pPr>
        <w:spacing w:after="0"/>
        <w:ind w:firstLine="360"/>
        <w:rPr>
          <w:sz w:val="20"/>
          <w:szCs w:val="20"/>
          <w:lang w:val="en-US"/>
        </w:rPr>
      </w:pPr>
      <w:r w:rsidRPr="003F0A46">
        <w:rPr>
          <w:sz w:val="20"/>
          <w:szCs w:val="20"/>
          <w:lang w:val="en-US"/>
        </w:rPr>
        <w:t>Th</w:t>
      </w:r>
      <w:r w:rsidR="00A41DE5" w:rsidRPr="003F0A46">
        <w:rPr>
          <w:sz w:val="20"/>
          <w:szCs w:val="20"/>
          <w:lang w:val="en-US"/>
        </w:rPr>
        <w:t>e aim of this</w:t>
      </w:r>
      <w:r w:rsidR="00CF34F1" w:rsidRPr="003F0A46">
        <w:rPr>
          <w:sz w:val="20"/>
          <w:szCs w:val="20"/>
          <w:lang w:val="en-US"/>
        </w:rPr>
        <w:t xml:space="preserve"> </w:t>
      </w:r>
      <w:r w:rsidR="002A6FBB" w:rsidRPr="003F0A46">
        <w:rPr>
          <w:sz w:val="20"/>
          <w:szCs w:val="20"/>
          <w:lang w:val="en-US"/>
        </w:rPr>
        <w:t xml:space="preserve">study </w:t>
      </w:r>
      <w:r w:rsidR="00A41DE5" w:rsidRPr="003F0A46">
        <w:rPr>
          <w:sz w:val="20"/>
          <w:szCs w:val="20"/>
          <w:lang w:val="en-US"/>
        </w:rPr>
        <w:t>is to examine whether patte</w:t>
      </w:r>
      <w:r w:rsidR="00BB5302">
        <w:rPr>
          <w:sz w:val="20"/>
          <w:szCs w:val="20"/>
          <w:lang w:val="en-US"/>
        </w:rPr>
        <w:t>rns of short term over or under</w:t>
      </w:r>
      <w:r w:rsidR="00A41DE5" w:rsidRPr="003F0A46">
        <w:rPr>
          <w:sz w:val="20"/>
          <w:szCs w:val="20"/>
          <w:lang w:val="en-US"/>
        </w:rPr>
        <w:t>reaction appear</w:t>
      </w:r>
      <w:r w:rsidR="009C5D88" w:rsidRPr="003F0A46">
        <w:rPr>
          <w:sz w:val="20"/>
          <w:szCs w:val="20"/>
          <w:lang w:val="en-US"/>
        </w:rPr>
        <w:t xml:space="preserve"> </w:t>
      </w:r>
      <w:r w:rsidR="00C03497" w:rsidRPr="003F0A46">
        <w:rPr>
          <w:sz w:val="20"/>
          <w:szCs w:val="20"/>
          <w:lang w:val="en-US"/>
        </w:rPr>
        <w:t xml:space="preserve">in </w:t>
      </w:r>
      <w:r w:rsidR="00A41DE5" w:rsidRPr="003F0A46">
        <w:rPr>
          <w:sz w:val="20"/>
          <w:szCs w:val="20"/>
          <w:lang w:val="en-US"/>
        </w:rPr>
        <w:t>the Egyptian Stock Exchange</w:t>
      </w:r>
      <w:r w:rsidR="00CC72FB" w:rsidRPr="003F0A46">
        <w:rPr>
          <w:sz w:val="20"/>
          <w:szCs w:val="20"/>
          <w:lang w:val="en-US"/>
        </w:rPr>
        <w:t xml:space="preserve"> </w:t>
      </w:r>
      <w:r w:rsidR="00A41DE5" w:rsidRPr="003F0A46">
        <w:rPr>
          <w:sz w:val="20"/>
          <w:szCs w:val="20"/>
          <w:lang w:val="en-US"/>
        </w:rPr>
        <w:t>(EGX)</w:t>
      </w:r>
      <w:r w:rsidR="00C03497" w:rsidRPr="003F0A46">
        <w:rPr>
          <w:sz w:val="20"/>
          <w:szCs w:val="20"/>
          <w:lang w:val="en-US"/>
        </w:rPr>
        <w:t xml:space="preserve"> using weekly data of all stocks listed </w:t>
      </w:r>
      <w:r w:rsidR="00CC72FB" w:rsidRPr="003F0A46">
        <w:rPr>
          <w:sz w:val="20"/>
          <w:szCs w:val="20"/>
          <w:lang w:val="en-US"/>
        </w:rPr>
        <w:t>on</w:t>
      </w:r>
      <w:r w:rsidR="00C03497" w:rsidRPr="003F0A46">
        <w:rPr>
          <w:sz w:val="20"/>
          <w:szCs w:val="20"/>
          <w:lang w:val="en-US"/>
        </w:rPr>
        <w:t xml:space="preserve"> the exchange</w:t>
      </w:r>
      <w:r w:rsidR="009C5D88" w:rsidRPr="003F0A46">
        <w:rPr>
          <w:sz w:val="20"/>
          <w:szCs w:val="20"/>
          <w:lang w:val="en-US"/>
        </w:rPr>
        <w:t>.</w:t>
      </w:r>
      <w:r w:rsidR="006E0CFE" w:rsidRPr="003F0A46">
        <w:rPr>
          <w:sz w:val="20"/>
          <w:szCs w:val="20"/>
          <w:lang w:val="en-US"/>
        </w:rPr>
        <w:t xml:space="preserve"> </w:t>
      </w:r>
      <w:r w:rsidR="00C03497" w:rsidRPr="003F0A46">
        <w:rPr>
          <w:sz w:val="20"/>
          <w:szCs w:val="20"/>
          <w:lang w:val="en-US"/>
        </w:rPr>
        <w:t>The test period is from January 1998 to December 2013</w:t>
      </w:r>
      <w:r w:rsidR="002A6FBB" w:rsidRPr="003F0A46">
        <w:rPr>
          <w:sz w:val="20"/>
          <w:szCs w:val="20"/>
          <w:lang w:val="en-US"/>
        </w:rPr>
        <w:t>, which is chosen to reflect</w:t>
      </w:r>
      <w:r w:rsidR="00C03497" w:rsidRPr="003F0A46">
        <w:rPr>
          <w:sz w:val="20"/>
          <w:szCs w:val="20"/>
          <w:lang w:val="en-US"/>
        </w:rPr>
        <w:t xml:space="preserve"> most of the significant economic and political events Egypt </w:t>
      </w:r>
      <w:r w:rsidR="00BB5302">
        <w:rPr>
          <w:sz w:val="20"/>
          <w:szCs w:val="20"/>
          <w:lang w:val="en-US"/>
        </w:rPr>
        <w:t>experienced</w:t>
      </w:r>
      <w:r w:rsidR="00C03497" w:rsidRPr="003F0A46">
        <w:rPr>
          <w:sz w:val="20"/>
          <w:szCs w:val="20"/>
          <w:lang w:val="en-US"/>
        </w:rPr>
        <w:t xml:space="preserve"> since the </w:t>
      </w:r>
      <w:r w:rsidRPr="003F0A46">
        <w:rPr>
          <w:sz w:val="20"/>
          <w:szCs w:val="20"/>
          <w:lang w:val="en-US"/>
        </w:rPr>
        <w:t xml:space="preserve">re-opening </w:t>
      </w:r>
      <w:r w:rsidR="00C03497" w:rsidRPr="003F0A46">
        <w:rPr>
          <w:sz w:val="20"/>
          <w:szCs w:val="20"/>
          <w:lang w:val="en-US"/>
        </w:rPr>
        <w:t>of the Egyptian Exchange</w:t>
      </w:r>
      <w:r w:rsidRPr="003F0A46">
        <w:rPr>
          <w:sz w:val="20"/>
          <w:szCs w:val="20"/>
          <w:lang w:val="en-US"/>
        </w:rPr>
        <w:t xml:space="preserve"> in early 1990s</w:t>
      </w:r>
      <w:r w:rsidR="00C03497" w:rsidRPr="003F0A46">
        <w:rPr>
          <w:sz w:val="20"/>
          <w:szCs w:val="20"/>
          <w:lang w:val="en-US"/>
        </w:rPr>
        <w:t>.</w:t>
      </w:r>
      <w:r w:rsidR="00CF34F1" w:rsidRPr="003F0A46">
        <w:rPr>
          <w:sz w:val="20"/>
          <w:szCs w:val="20"/>
          <w:lang w:val="en-US"/>
        </w:rPr>
        <w:t xml:space="preserve"> </w:t>
      </w:r>
      <w:r w:rsidR="002A6FBB" w:rsidRPr="003F0A46">
        <w:rPr>
          <w:sz w:val="20"/>
          <w:szCs w:val="20"/>
          <w:lang w:val="en-US"/>
        </w:rPr>
        <w:t xml:space="preserve">This study relies on </w:t>
      </w:r>
      <w:r w:rsidR="00CC72FB" w:rsidRPr="003F0A46">
        <w:rPr>
          <w:sz w:val="20"/>
          <w:szCs w:val="20"/>
          <w:lang w:val="en-US"/>
        </w:rPr>
        <w:t xml:space="preserve">a </w:t>
      </w:r>
      <w:r w:rsidR="00CF34F1" w:rsidRPr="003F0A46">
        <w:rPr>
          <w:sz w:val="20"/>
          <w:szCs w:val="20"/>
          <w:lang w:val="en-US"/>
        </w:rPr>
        <w:t xml:space="preserve">combination of </w:t>
      </w:r>
      <w:r w:rsidR="00A41DE5" w:rsidRPr="003F0A46">
        <w:rPr>
          <w:sz w:val="20"/>
          <w:szCs w:val="20"/>
          <w:lang w:val="en-US"/>
        </w:rPr>
        <w:t xml:space="preserve">standard </w:t>
      </w:r>
      <w:r w:rsidR="00CF34F1" w:rsidRPr="003F0A46">
        <w:rPr>
          <w:sz w:val="20"/>
          <w:szCs w:val="20"/>
          <w:lang w:val="en-US"/>
        </w:rPr>
        <w:t>methodologies</w:t>
      </w:r>
      <w:r w:rsidR="00CC72FB" w:rsidRPr="003F0A46">
        <w:rPr>
          <w:sz w:val="20"/>
          <w:szCs w:val="20"/>
          <w:lang w:val="en-US"/>
        </w:rPr>
        <w:t xml:space="preserve"> in the literature and</w:t>
      </w:r>
      <w:r w:rsidR="00A41DE5" w:rsidRPr="003F0A46">
        <w:rPr>
          <w:sz w:val="20"/>
          <w:szCs w:val="20"/>
          <w:lang w:val="en-US"/>
        </w:rPr>
        <w:t xml:space="preserve"> reveal</w:t>
      </w:r>
      <w:r w:rsidR="00CC72FB" w:rsidRPr="003F0A46">
        <w:rPr>
          <w:sz w:val="20"/>
          <w:szCs w:val="20"/>
          <w:lang w:val="en-US"/>
        </w:rPr>
        <w:t>s</w:t>
      </w:r>
      <w:r w:rsidR="00A41DE5" w:rsidRPr="003F0A46">
        <w:rPr>
          <w:sz w:val="20"/>
          <w:szCs w:val="20"/>
          <w:lang w:val="en-US"/>
        </w:rPr>
        <w:t xml:space="preserve"> consistent</w:t>
      </w:r>
      <w:r w:rsidR="00BB5302">
        <w:rPr>
          <w:sz w:val="20"/>
          <w:szCs w:val="20"/>
          <w:lang w:val="en-US"/>
        </w:rPr>
        <w:t xml:space="preserve"> evidence of short-term under</w:t>
      </w:r>
      <w:r w:rsidR="00CF34F1" w:rsidRPr="003F0A46">
        <w:rPr>
          <w:sz w:val="20"/>
          <w:szCs w:val="20"/>
          <w:lang w:val="en-US"/>
        </w:rPr>
        <w:t>rea</w:t>
      </w:r>
      <w:r w:rsidR="00A41DE5" w:rsidRPr="003F0A46">
        <w:rPr>
          <w:sz w:val="20"/>
          <w:szCs w:val="20"/>
          <w:lang w:val="en-US"/>
        </w:rPr>
        <w:t>ction in the Egyptian Exchange</w:t>
      </w:r>
      <w:r w:rsidR="005D5103" w:rsidRPr="003F0A46">
        <w:rPr>
          <w:sz w:val="20"/>
          <w:szCs w:val="20"/>
          <w:lang w:val="en-US"/>
        </w:rPr>
        <w:t xml:space="preserve"> specifically in large </w:t>
      </w:r>
      <w:r w:rsidR="00BB5302">
        <w:rPr>
          <w:sz w:val="20"/>
          <w:szCs w:val="20"/>
          <w:lang w:val="en-US"/>
        </w:rPr>
        <w:t xml:space="preserve">size </w:t>
      </w:r>
      <w:r w:rsidR="005D5103" w:rsidRPr="003F0A46">
        <w:rPr>
          <w:sz w:val="20"/>
          <w:szCs w:val="20"/>
          <w:lang w:val="en-US"/>
        </w:rPr>
        <w:t>firms</w:t>
      </w:r>
      <w:r w:rsidR="00A41DE5" w:rsidRPr="003F0A46">
        <w:rPr>
          <w:sz w:val="20"/>
          <w:szCs w:val="20"/>
          <w:lang w:val="en-US"/>
        </w:rPr>
        <w:t>.</w:t>
      </w:r>
      <w:r w:rsidR="00BB5302">
        <w:rPr>
          <w:sz w:val="20"/>
          <w:szCs w:val="20"/>
          <w:lang w:val="en-US"/>
        </w:rPr>
        <w:t xml:space="preserve"> </w:t>
      </w:r>
      <w:r w:rsidR="00CC72FB" w:rsidRPr="003F0A46">
        <w:rPr>
          <w:sz w:val="20"/>
          <w:szCs w:val="20"/>
          <w:lang w:val="en-US"/>
        </w:rPr>
        <w:t xml:space="preserve">Tests to establish whether </w:t>
      </w:r>
      <w:r w:rsidR="005D5103" w:rsidRPr="003F0A46">
        <w:rPr>
          <w:sz w:val="20"/>
          <w:szCs w:val="20"/>
          <w:lang w:val="en-US"/>
        </w:rPr>
        <w:t>this ev</w:t>
      </w:r>
      <w:r w:rsidR="003F41C3">
        <w:rPr>
          <w:sz w:val="20"/>
          <w:szCs w:val="20"/>
          <w:lang w:val="en-US"/>
        </w:rPr>
        <w:t>idence of under-reaction can be</w:t>
      </w:r>
      <w:r w:rsidR="005D5103" w:rsidRPr="003F0A46">
        <w:rPr>
          <w:sz w:val="20"/>
          <w:szCs w:val="20"/>
          <w:lang w:val="en-US"/>
        </w:rPr>
        <w:t xml:space="preserve"> profitable show that while a momentum strategy can provide significant abnormal returns of up to 0.885% over </w:t>
      </w:r>
      <w:r w:rsidR="00BB5302">
        <w:rPr>
          <w:sz w:val="20"/>
          <w:szCs w:val="20"/>
          <w:lang w:val="en-US"/>
        </w:rPr>
        <w:t xml:space="preserve">a holding period of four weeks. Yet </w:t>
      </w:r>
      <w:r w:rsidR="005D5103" w:rsidRPr="003F0A46">
        <w:rPr>
          <w:sz w:val="20"/>
          <w:szCs w:val="20"/>
          <w:lang w:val="en-US"/>
        </w:rPr>
        <w:t xml:space="preserve">when trading costs are taken into account, the profitability of the momentum strategy becomes insignificant. </w:t>
      </w:r>
      <w:r w:rsidR="00A41DE5" w:rsidRPr="003F0A46">
        <w:rPr>
          <w:sz w:val="20"/>
          <w:szCs w:val="20"/>
          <w:lang w:val="en-US"/>
        </w:rPr>
        <w:t xml:space="preserve">To the best of the authors’ knowledge </w:t>
      </w:r>
      <w:r w:rsidR="005D5103" w:rsidRPr="003F0A46">
        <w:rPr>
          <w:sz w:val="20"/>
          <w:szCs w:val="20"/>
          <w:lang w:val="en-US"/>
        </w:rPr>
        <w:t>this is the first study to examine</w:t>
      </w:r>
      <w:r w:rsidR="00A41DE5" w:rsidRPr="003F0A46">
        <w:rPr>
          <w:sz w:val="20"/>
          <w:szCs w:val="20"/>
          <w:lang w:val="en-US"/>
        </w:rPr>
        <w:t xml:space="preserve"> short-term over/under-reaction on the cross-section of any of the Arab stocks markets</w:t>
      </w:r>
      <w:r w:rsidR="005D5103" w:rsidRPr="003F0A46">
        <w:rPr>
          <w:sz w:val="20"/>
          <w:szCs w:val="20"/>
          <w:lang w:val="en-US"/>
        </w:rPr>
        <w:t xml:space="preserve"> so far</w:t>
      </w:r>
      <w:r w:rsidR="00A41DE5" w:rsidRPr="003F0A46">
        <w:rPr>
          <w:sz w:val="20"/>
          <w:szCs w:val="20"/>
          <w:lang w:val="en-US"/>
        </w:rPr>
        <w:t>.</w:t>
      </w:r>
    </w:p>
    <w:p w:rsidR="006158E0" w:rsidRDefault="00CF34F1" w:rsidP="00BB5302">
      <w:pPr>
        <w:spacing w:after="0"/>
        <w:ind w:firstLine="360"/>
        <w:rPr>
          <w:sz w:val="20"/>
          <w:szCs w:val="20"/>
          <w:lang w:val="en-US"/>
        </w:rPr>
      </w:pPr>
      <w:r w:rsidRPr="003F0A46">
        <w:rPr>
          <w:sz w:val="20"/>
          <w:szCs w:val="20"/>
          <w:lang w:val="en-US"/>
        </w:rPr>
        <w:t xml:space="preserve">The rest of the </w:t>
      </w:r>
      <w:r w:rsidR="00A41DE5" w:rsidRPr="003F0A46">
        <w:rPr>
          <w:sz w:val="20"/>
          <w:szCs w:val="20"/>
          <w:lang w:val="en-US"/>
        </w:rPr>
        <w:t>paper</w:t>
      </w:r>
      <w:r w:rsidRPr="003F0A46">
        <w:rPr>
          <w:sz w:val="20"/>
          <w:szCs w:val="20"/>
          <w:lang w:val="en-US"/>
        </w:rPr>
        <w:t xml:space="preserve"> is </w:t>
      </w:r>
      <w:r w:rsidR="004D6CA0" w:rsidRPr="003F0A46">
        <w:rPr>
          <w:sz w:val="20"/>
          <w:szCs w:val="20"/>
          <w:lang w:val="en-US"/>
        </w:rPr>
        <w:t>organized</w:t>
      </w:r>
      <w:r w:rsidRPr="003F0A46">
        <w:rPr>
          <w:sz w:val="20"/>
          <w:szCs w:val="20"/>
          <w:lang w:val="en-US"/>
        </w:rPr>
        <w:t xml:space="preserve"> as follows. Section </w:t>
      </w:r>
      <w:r w:rsidR="00A41DE5" w:rsidRPr="003F0A46">
        <w:rPr>
          <w:sz w:val="20"/>
          <w:szCs w:val="20"/>
          <w:lang w:val="en-US"/>
        </w:rPr>
        <w:t>2</w:t>
      </w:r>
      <w:r w:rsidRPr="003F0A46">
        <w:rPr>
          <w:sz w:val="20"/>
          <w:szCs w:val="20"/>
          <w:lang w:val="en-US"/>
        </w:rPr>
        <w:t xml:space="preserve"> will present </w:t>
      </w:r>
      <w:r w:rsidR="00BB5302">
        <w:rPr>
          <w:sz w:val="20"/>
          <w:szCs w:val="20"/>
          <w:lang w:val="en-US"/>
        </w:rPr>
        <w:t xml:space="preserve">a survey of the main studies on </w:t>
      </w:r>
      <w:r w:rsidRPr="003F0A46">
        <w:rPr>
          <w:sz w:val="20"/>
          <w:szCs w:val="20"/>
          <w:lang w:val="en-US"/>
        </w:rPr>
        <w:t>the over</w:t>
      </w:r>
      <w:r w:rsidR="00BB5302">
        <w:rPr>
          <w:sz w:val="20"/>
          <w:szCs w:val="20"/>
          <w:lang w:val="en-US"/>
        </w:rPr>
        <w:t>/under</w:t>
      </w:r>
      <w:r w:rsidRPr="003F0A46">
        <w:rPr>
          <w:sz w:val="20"/>
          <w:szCs w:val="20"/>
          <w:lang w:val="en-US"/>
        </w:rPr>
        <w:t xml:space="preserve">reaction hypothesis. Section </w:t>
      </w:r>
      <w:r w:rsidR="00A41DE5" w:rsidRPr="003F0A46">
        <w:rPr>
          <w:sz w:val="20"/>
          <w:szCs w:val="20"/>
          <w:lang w:val="en-US"/>
        </w:rPr>
        <w:t>3</w:t>
      </w:r>
      <w:r w:rsidR="00BB5302">
        <w:rPr>
          <w:sz w:val="20"/>
          <w:szCs w:val="20"/>
          <w:lang w:val="en-US"/>
        </w:rPr>
        <w:t xml:space="preserve"> will present the data </w:t>
      </w:r>
      <w:r w:rsidRPr="003F0A46">
        <w:rPr>
          <w:sz w:val="20"/>
          <w:szCs w:val="20"/>
          <w:lang w:val="en-US"/>
        </w:rPr>
        <w:t xml:space="preserve">and methodology used in this </w:t>
      </w:r>
      <w:r w:rsidR="00BB5302">
        <w:rPr>
          <w:sz w:val="20"/>
          <w:szCs w:val="20"/>
          <w:lang w:val="en-US"/>
        </w:rPr>
        <w:t>paper</w:t>
      </w:r>
      <w:r w:rsidRPr="003F0A46">
        <w:rPr>
          <w:sz w:val="20"/>
          <w:szCs w:val="20"/>
          <w:lang w:val="en-US"/>
        </w:rPr>
        <w:t xml:space="preserve">. Section </w:t>
      </w:r>
      <w:r w:rsidR="00A41DE5" w:rsidRPr="003F0A46">
        <w:rPr>
          <w:sz w:val="20"/>
          <w:szCs w:val="20"/>
          <w:lang w:val="en-US"/>
        </w:rPr>
        <w:t>4</w:t>
      </w:r>
      <w:r w:rsidRPr="003F0A46">
        <w:rPr>
          <w:sz w:val="20"/>
          <w:szCs w:val="20"/>
          <w:lang w:val="en-US"/>
        </w:rPr>
        <w:t xml:space="preserve"> will provide the results of </w:t>
      </w:r>
      <w:r w:rsidR="00BB5302">
        <w:rPr>
          <w:sz w:val="20"/>
          <w:szCs w:val="20"/>
          <w:lang w:val="en-US"/>
        </w:rPr>
        <w:t>our</w:t>
      </w:r>
      <w:r w:rsidRPr="003F0A46">
        <w:rPr>
          <w:sz w:val="20"/>
          <w:szCs w:val="20"/>
          <w:lang w:val="en-US"/>
        </w:rPr>
        <w:t xml:space="preserve"> empirical </w:t>
      </w:r>
      <w:r w:rsidR="00BB5302">
        <w:rPr>
          <w:sz w:val="20"/>
          <w:szCs w:val="20"/>
          <w:lang w:val="en-US"/>
        </w:rPr>
        <w:t>analysis</w:t>
      </w:r>
      <w:r w:rsidRPr="003F0A46">
        <w:rPr>
          <w:sz w:val="20"/>
          <w:szCs w:val="20"/>
          <w:lang w:val="en-US"/>
        </w:rPr>
        <w:t xml:space="preserve"> and section </w:t>
      </w:r>
      <w:r w:rsidR="00A41DE5" w:rsidRPr="003F0A46">
        <w:rPr>
          <w:sz w:val="20"/>
          <w:szCs w:val="20"/>
          <w:lang w:val="en-US"/>
        </w:rPr>
        <w:t>5</w:t>
      </w:r>
      <w:r w:rsidRPr="003F0A46">
        <w:rPr>
          <w:sz w:val="20"/>
          <w:szCs w:val="20"/>
          <w:lang w:val="en-US"/>
        </w:rPr>
        <w:t xml:space="preserve"> concludes.</w:t>
      </w:r>
    </w:p>
    <w:p w:rsidR="00BB5302" w:rsidRPr="003F0A46" w:rsidRDefault="00BB5302" w:rsidP="00BB5302">
      <w:pPr>
        <w:spacing w:after="0"/>
        <w:ind w:firstLine="360"/>
        <w:rPr>
          <w:sz w:val="20"/>
          <w:szCs w:val="20"/>
          <w:lang w:val="en-US"/>
        </w:rPr>
      </w:pPr>
    </w:p>
    <w:p w:rsidR="000556E5" w:rsidRPr="003F0A46" w:rsidRDefault="000556E5" w:rsidP="0035527C">
      <w:pPr>
        <w:pStyle w:val="ListParagraph"/>
        <w:numPr>
          <w:ilvl w:val="0"/>
          <w:numId w:val="15"/>
        </w:numPr>
        <w:rPr>
          <w:rFonts w:asciiTheme="majorBidi" w:hAnsiTheme="majorBidi" w:cstheme="majorBidi"/>
          <w:b/>
          <w:bCs/>
          <w:caps/>
          <w:sz w:val="20"/>
          <w:szCs w:val="20"/>
          <w:lang w:val="en-US"/>
        </w:rPr>
      </w:pPr>
      <w:r w:rsidRPr="003F0A46">
        <w:rPr>
          <w:rFonts w:asciiTheme="majorBidi" w:hAnsiTheme="majorBidi" w:cstheme="majorBidi"/>
          <w:b/>
          <w:bCs/>
          <w:caps/>
          <w:sz w:val="20"/>
          <w:szCs w:val="20"/>
          <w:lang w:val="en-US"/>
        </w:rPr>
        <w:t>Related Literature</w:t>
      </w:r>
    </w:p>
    <w:p w:rsidR="004E73D8" w:rsidRDefault="00BB5302" w:rsidP="00BB5302">
      <w:pPr>
        <w:spacing w:after="0"/>
        <w:ind w:firstLine="720"/>
        <w:rPr>
          <w:sz w:val="20"/>
          <w:szCs w:val="20"/>
          <w:lang w:val="en-US"/>
        </w:rPr>
      </w:pPr>
      <w:r>
        <w:rPr>
          <w:sz w:val="20"/>
          <w:szCs w:val="20"/>
          <w:lang w:val="en-US"/>
        </w:rPr>
        <w:t>Despite the</w:t>
      </w:r>
      <w:r w:rsidR="004E73D8" w:rsidRPr="003F0A46">
        <w:rPr>
          <w:sz w:val="20"/>
          <w:szCs w:val="20"/>
          <w:lang w:val="en-US"/>
        </w:rPr>
        <w:t xml:space="preserve"> large strand of literature that studies </w:t>
      </w:r>
      <w:r w:rsidR="004D6CA0">
        <w:rPr>
          <w:sz w:val="20"/>
          <w:szCs w:val="20"/>
          <w:lang w:val="en-US"/>
        </w:rPr>
        <w:t xml:space="preserve">the </w:t>
      </w:r>
      <w:r>
        <w:rPr>
          <w:sz w:val="20"/>
          <w:szCs w:val="20"/>
          <w:lang w:val="en-US"/>
        </w:rPr>
        <w:t>over/under</w:t>
      </w:r>
      <w:r w:rsidR="004E73D8" w:rsidRPr="003F0A46">
        <w:rPr>
          <w:sz w:val="20"/>
          <w:szCs w:val="20"/>
          <w:lang w:val="en-US"/>
        </w:rPr>
        <w:t xml:space="preserve">reaction in various markets around the world, </w:t>
      </w:r>
      <w:r w:rsidR="003F0A46">
        <w:rPr>
          <w:sz w:val="20"/>
          <w:szCs w:val="20"/>
          <w:lang w:val="en-US"/>
        </w:rPr>
        <w:t>the results remain inconclusive</w:t>
      </w:r>
      <w:r w:rsidR="004E73D8" w:rsidRPr="003F0A46">
        <w:rPr>
          <w:sz w:val="20"/>
          <w:szCs w:val="20"/>
          <w:lang w:val="en-US"/>
        </w:rPr>
        <w:t xml:space="preserve">. </w:t>
      </w:r>
      <w:r w:rsidR="00445C11">
        <w:rPr>
          <w:sz w:val="20"/>
          <w:szCs w:val="20"/>
          <w:lang w:val="en-US"/>
        </w:rPr>
        <w:t>Most</w:t>
      </w:r>
      <w:r w:rsidR="009327EF">
        <w:rPr>
          <w:sz w:val="20"/>
          <w:szCs w:val="20"/>
          <w:lang w:val="en-US"/>
        </w:rPr>
        <w:t xml:space="preserve"> studies on the topic relied on monthly data to examine the over/underreaction hypothesis over long run horizons. </w:t>
      </w:r>
      <w:r w:rsidR="00445C11">
        <w:rPr>
          <w:sz w:val="20"/>
          <w:szCs w:val="20"/>
          <w:lang w:val="en-US"/>
        </w:rPr>
        <w:t>More</w:t>
      </w:r>
      <w:r w:rsidR="009327EF" w:rsidRPr="003F0A46">
        <w:rPr>
          <w:sz w:val="20"/>
          <w:szCs w:val="20"/>
          <w:lang w:val="en-US"/>
        </w:rPr>
        <w:t xml:space="preserve"> recent research </w:t>
      </w:r>
      <w:r>
        <w:rPr>
          <w:sz w:val="20"/>
          <w:szCs w:val="20"/>
          <w:lang w:val="en-US"/>
        </w:rPr>
        <w:t xml:space="preserve">make use of data availability to </w:t>
      </w:r>
      <w:r w:rsidR="009327EF" w:rsidRPr="003F0A46">
        <w:rPr>
          <w:sz w:val="20"/>
          <w:szCs w:val="20"/>
          <w:lang w:val="en-US"/>
        </w:rPr>
        <w:t xml:space="preserve">examine </w:t>
      </w:r>
      <w:r w:rsidR="009327EF" w:rsidRPr="003F0A46">
        <w:rPr>
          <w:sz w:val="20"/>
          <w:szCs w:val="20"/>
          <w:lang w:val="en-US"/>
        </w:rPr>
        <w:lastRenderedPageBreak/>
        <w:t xml:space="preserve">the question in </w:t>
      </w:r>
      <w:r w:rsidR="009327EF">
        <w:rPr>
          <w:sz w:val="20"/>
          <w:szCs w:val="20"/>
          <w:lang w:val="en-US"/>
        </w:rPr>
        <w:t xml:space="preserve">the </w:t>
      </w:r>
      <w:r>
        <w:rPr>
          <w:sz w:val="20"/>
          <w:szCs w:val="20"/>
          <w:lang w:val="en-US"/>
        </w:rPr>
        <w:t xml:space="preserve">short </w:t>
      </w:r>
      <w:r w:rsidR="009327EF" w:rsidRPr="003F0A46">
        <w:rPr>
          <w:sz w:val="20"/>
          <w:szCs w:val="20"/>
          <w:lang w:val="en-US"/>
        </w:rPr>
        <w:t>term</w:t>
      </w:r>
      <w:r w:rsidR="009327EF">
        <w:rPr>
          <w:sz w:val="20"/>
          <w:szCs w:val="20"/>
          <w:lang w:val="en-US"/>
        </w:rPr>
        <w:t xml:space="preserve"> using weekly or daily data to explore whether patterns of over/under reaction appear in short term horizons. </w:t>
      </w:r>
      <w:r w:rsidR="00445C11">
        <w:rPr>
          <w:sz w:val="20"/>
          <w:szCs w:val="20"/>
          <w:lang w:val="en-US"/>
        </w:rPr>
        <w:t>While the bulk of research is concentrated on US stock exchanges, there is a considerable and growing literature from around the world. In this section, w</w:t>
      </w:r>
      <w:r w:rsidR="00445C11" w:rsidRPr="003F0A46">
        <w:rPr>
          <w:sz w:val="20"/>
          <w:szCs w:val="20"/>
          <w:lang w:val="en-US"/>
        </w:rPr>
        <w:t xml:space="preserve">e </w:t>
      </w:r>
      <w:r w:rsidR="00445C11">
        <w:rPr>
          <w:sz w:val="20"/>
          <w:szCs w:val="20"/>
          <w:lang w:val="en-US"/>
        </w:rPr>
        <w:t xml:space="preserve">will </w:t>
      </w:r>
      <w:r w:rsidR="00445C11" w:rsidRPr="003F0A46">
        <w:rPr>
          <w:sz w:val="20"/>
          <w:szCs w:val="20"/>
          <w:lang w:val="en-US"/>
        </w:rPr>
        <w:t xml:space="preserve">summarize the main </w:t>
      </w:r>
      <w:r w:rsidR="00445C11">
        <w:rPr>
          <w:sz w:val="20"/>
          <w:szCs w:val="20"/>
          <w:lang w:val="en-US"/>
        </w:rPr>
        <w:t>evidence on the question from the various markets</w:t>
      </w:r>
      <w:r w:rsidR="00445C11" w:rsidRPr="003F0A46">
        <w:rPr>
          <w:sz w:val="20"/>
          <w:szCs w:val="20"/>
          <w:lang w:val="en-US"/>
        </w:rPr>
        <w:t>.</w:t>
      </w:r>
    </w:p>
    <w:p w:rsidR="00054E11" w:rsidRDefault="00962480" w:rsidP="009327EF">
      <w:pPr>
        <w:spacing w:after="0"/>
        <w:ind w:firstLine="720"/>
        <w:rPr>
          <w:sz w:val="20"/>
          <w:szCs w:val="20"/>
          <w:lang w:val="en-US"/>
        </w:rPr>
      </w:pPr>
      <w:r>
        <w:rPr>
          <w:sz w:val="20"/>
          <w:szCs w:val="20"/>
          <w:lang w:val="en-US"/>
        </w:rPr>
        <w:t xml:space="preserve">The US markets have had the largest share of studies examining the over/underreaction hypothesis over various samples and time periods. Despite the extensive amount of studies, results on whether </w:t>
      </w:r>
      <w:r w:rsidR="00F53021">
        <w:rPr>
          <w:sz w:val="20"/>
          <w:szCs w:val="20"/>
          <w:lang w:val="en-US"/>
        </w:rPr>
        <w:t>US markets exhibit overreaction,</w:t>
      </w:r>
      <w:r>
        <w:rPr>
          <w:sz w:val="20"/>
          <w:szCs w:val="20"/>
          <w:lang w:val="en-US"/>
        </w:rPr>
        <w:t xml:space="preserve"> underreaction or neither is inconclusive. </w:t>
      </w:r>
      <w:r w:rsidR="00FD6E61" w:rsidRPr="003F0A46">
        <w:rPr>
          <w:sz w:val="20"/>
          <w:szCs w:val="20"/>
          <w:lang w:val="en-US"/>
        </w:rPr>
        <w:t xml:space="preserve">DeBondt and Thaler </w:t>
      </w:r>
      <w:r w:rsidR="004E73D8" w:rsidRPr="003F0A46">
        <w:rPr>
          <w:sz w:val="20"/>
          <w:szCs w:val="20"/>
          <w:lang w:val="en-US"/>
        </w:rPr>
        <w:t>[2]</w:t>
      </w:r>
      <w:r w:rsidR="00FD6E61" w:rsidRPr="003F0A46">
        <w:rPr>
          <w:sz w:val="20"/>
          <w:szCs w:val="20"/>
          <w:lang w:val="en-US"/>
        </w:rPr>
        <w:t xml:space="preserve"> inspired most </w:t>
      </w:r>
      <w:r w:rsidR="003F0A46">
        <w:rPr>
          <w:sz w:val="20"/>
          <w:szCs w:val="20"/>
          <w:lang w:val="en-US"/>
        </w:rPr>
        <w:t>research on overreaction</w:t>
      </w:r>
      <w:r w:rsidR="00FD6E61" w:rsidRPr="003F0A46">
        <w:rPr>
          <w:sz w:val="20"/>
          <w:szCs w:val="20"/>
          <w:lang w:val="en-US"/>
        </w:rPr>
        <w:t xml:space="preserve"> after being able to document return reversals over long horizons ranging from 3 to 5 years. </w:t>
      </w:r>
      <w:r w:rsidR="00B4533F" w:rsidRPr="003F0A46">
        <w:rPr>
          <w:sz w:val="20"/>
          <w:szCs w:val="20"/>
          <w:lang w:val="en-US"/>
        </w:rPr>
        <w:t xml:space="preserve">The authors found using US data </w:t>
      </w:r>
      <w:r w:rsidR="00FD6E61" w:rsidRPr="003F0A46">
        <w:rPr>
          <w:sz w:val="20"/>
          <w:szCs w:val="20"/>
          <w:lang w:val="en-US"/>
        </w:rPr>
        <w:t>that stocks</w:t>
      </w:r>
      <w:r w:rsidR="00B4533F" w:rsidRPr="003F0A46">
        <w:rPr>
          <w:sz w:val="20"/>
          <w:szCs w:val="20"/>
          <w:lang w:val="en-US"/>
        </w:rPr>
        <w:t xml:space="preserve"> </w:t>
      </w:r>
      <w:r w:rsidR="00FD6E61" w:rsidRPr="003F0A46">
        <w:rPr>
          <w:sz w:val="20"/>
          <w:szCs w:val="20"/>
          <w:lang w:val="en-US"/>
        </w:rPr>
        <w:t>which experienced poor performance over the past three to five year period</w:t>
      </w:r>
      <w:r w:rsidR="00B4533F" w:rsidRPr="003F0A46">
        <w:rPr>
          <w:sz w:val="20"/>
          <w:szCs w:val="20"/>
          <w:lang w:val="en-US"/>
        </w:rPr>
        <w:t xml:space="preserve"> </w:t>
      </w:r>
      <w:r w:rsidR="00FD6E61" w:rsidRPr="003F0A46">
        <w:rPr>
          <w:sz w:val="20"/>
          <w:szCs w:val="20"/>
          <w:lang w:val="en-US"/>
        </w:rPr>
        <w:t>(losers) tend to outperform prior period winners over the following three to</w:t>
      </w:r>
      <w:r w:rsidR="00B4533F" w:rsidRPr="003F0A46">
        <w:rPr>
          <w:sz w:val="20"/>
          <w:szCs w:val="20"/>
          <w:lang w:val="en-US"/>
        </w:rPr>
        <w:t xml:space="preserve"> </w:t>
      </w:r>
      <w:r w:rsidR="00FD6E61" w:rsidRPr="003F0A46">
        <w:rPr>
          <w:sz w:val="20"/>
          <w:szCs w:val="20"/>
          <w:lang w:val="en-US"/>
        </w:rPr>
        <w:t>five years.</w:t>
      </w:r>
      <w:r w:rsidR="00B4533F" w:rsidRPr="003F0A46">
        <w:rPr>
          <w:sz w:val="20"/>
          <w:szCs w:val="20"/>
          <w:lang w:val="en-US"/>
        </w:rPr>
        <w:t xml:space="preserve"> This implies that investors using a contrarian investment strategy could earn a highly significant abnormal profit. </w:t>
      </w:r>
      <w:r w:rsidR="009327EF">
        <w:rPr>
          <w:sz w:val="20"/>
          <w:szCs w:val="20"/>
          <w:lang w:val="en-US"/>
        </w:rPr>
        <w:t xml:space="preserve">In subsequent studies by </w:t>
      </w:r>
      <w:r w:rsidR="009327EF" w:rsidRPr="003F0A46">
        <w:rPr>
          <w:sz w:val="20"/>
          <w:szCs w:val="20"/>
          <w:lang w:val="en-US"/>
        </w:rPr>
        <w:t xml:space="preserve">DeBondt and Thaler </w:t>
      </w:r>
      <w:r w:rsidR="00530280">
        <w:rPr>
          <w:sz w:val="20"/>
          <w:szCs w:val="20"/>
          <w:lang w:val="en-US"/>
        </w:rPr>
        <w:t>[6</w:t>
      </w:r>
      <w:r w:rsidR="004D6CA0">
        <w:rPr>
          <w:sz w:val="20"/>
          <w:szCs w:val="20"/>
          <w:lang w:val="en-US"/>
        </w:rPr>
        <w:t>] and Chopra et al [</w:t>
      </w:r>
      <w:r w:rsidR="00530280">
        <w:rPr>
          <w:sz w:val="20"/>
          <w:szCs w:val="20"/>
          <w:lang w:val="en-US"/>
        </w:rPr>
        <w:t>7</w:t>
      </w:r>
      <w:r w:rsidR="009327EF">
        <w:rPr>
          <w:sz w:val="20"/>
          <w:szCs w:val="20"/>
          <w:lang w:val="en-US"/>
        </w:rPr>
        <w:t xml:space="preserve">] various factors such as firm size, seasonality and risk are controlled for and still results continue to support the prior evidence on overreaction. </w:t>
      </w:r>
      <w:r w:rsidR="00B4533F" w:rsidRPr="003F0A46">
        <w:rPr>
          <w:sz w:val="20"/>
          <w:szCs w:val="20"/>
          <w:lang w:val="en-US"/>
        </w:rPr>
        <w:t xml:space="preserve">Zarowin </w:t>
      </w:r>
      <w:r w:rsidR="00530280">
        <w:rPr>
          <w:sz w:val="20"/>
          <w:szCs w:val="20"/>
          <w:lang w:val="en-US"/>
        </w:rPr>
        <w:t>[8</w:t>
      </w:r>
      <w:r w:rsidR="004E73D8" w:rsidRPr="003F0A46">
        <w:rPr>
          <w:sz w:val="20"/>
          <w:szCs w:val="20"/>
          <w:lang w:val="en-US"/>
        </w:rPr>
        <w:t>]</w:t>
      </w:r>
      <w:r w:rsidR="00B4533F" w:rsidRPr="003F0A46">
        <w:rPr>
          <w:sz w:val="20"/>
          <w:szCs w:val="20"/>
          <w:lang w:val="en-US"/>
        </w:rPr>
        <w:t xml:space="preserve"> </w:t>
      </w:r>
      <w:r w:rsidR="009327EF">
        <w:rPr>
          <w:sz w:val="20"/>
          <w:szCs w:val="20"/>
          <w:lang w:val="en-US"/>
        </w:rPr>
        <w:t>on the other hand f</w:t>
      </w:r>
      <w:r w:rsidR="00A43AC2" w:rsidRPr="003F0A46">
        <w:rPr>
          <w:sz w:val="20"/>
          <w:szCs w:val="20"/>
          <w:lang w:val="en-US"/>
        </w:rPr>
        <w:t>ound</w:t>
      </w:r>
      <w:r w:rsidR="00F411DE" w:rsidRPr="003F0A46">
        <w:rPr>
          <w:sz w:val="20"/>
          <w:szCs w:val="20"/>
          <w:lang w:val="en-US"/>
        </w:rPr>
        <w:t xml:space="preserve"> that</w:t>
      </w:r>
      <w:r w:rsidR="009327EF">
        <w:rPr>
          <w:sz w:val="20"/>
          <w:szCs w:val="20"/>
          <w:lang w:val="en-US"/>
        </w:rPr>
        <w:t xml:space="preserve"> while</w:t>
      </w:r>
      <w:r w:rsidR="00F411DE" w:rsidRPr="003F0A46">
        <w:rPr>
          <w:sz w:val="20"/>
          <w:szCs w:val="20"/>
          <w:lang w:val="en-US"/>
        </w:rPr>
        <w:t xml:space="preserve"> </w:t>
      </w:r>
      <w:r w:rsidR="00B4533F" w:rsidRPr="003F0A46">
        <w:rPr>
          <w:sz w:val="20"/>
          <w:szCs w:val="20"/>
          <w:lang w:val="en-US"/>
        </w:rPr>
        <w:t xml:space="preserve">the </w:t>
      </w:r>
      <w:r w:rsidR="009327EF">
        <w:rPr>
          <w:sz w:val="20"/>
          <w:szCs w:val="20"/>
          <w:lang w:val="en-US"/>
        </w:rPr>
        <w:t xml:space="preserve">losers </w:t>
      </w:r>
      <w:r w:rsidR="00A43AC2" w:rsidRPr="003F0A46">
        <w:rPr>
          <w:sz w:val="20"/>
          <w:szCs w:val="20"/>
          <w:lang w:val="en-US"/>
        </w:rPr>
        <w:t xml:space="preserve">outperform the </w:t>
      </w:r>
      <w:r w:rsidR="009327EF">
        <w:rPr>
          <w:sz w:val="20"/>
          <w:szCs w:val="20"/>
          <w:lang w:val="en-US"/>
        </w:rPr>
        <w:t>winners</w:t>
      </w:r>
      <w:r w:rsidR="00A43AC2" w:rsidRPr="003F0A46">
        <w:rPr>
          <w:sz w:val="20"/>
          <w:szCs w:val="20"/>
          <w:lang w:val="en-US"/>
        </w:rPr>
        <w:t xml:space="preserve"> </w:t>
      </w:r>
      <w:r w:rsidR="009327EF">
        <w:rPr>
          <w:sz w:val="20"/>
          <w:szCs w:val="20"/>
          <w:lang w:val="en-US"/>
        </w:rPr>
        <w:t>for periods up to</w:t>
      </w:r>
      <w:r w:rsidR="00B4533F" w:rsidRPr="003F0A46">
        <w:rPr>
          <w:sz w:val="20"/>
          <w:szCs w:val="20"/>
          <w:lang w:val="en-US"/>
        </w:rPr>
        <w:t xml:space="preserve"> </w:t>
      </w:r>
      <w:r w:rsidR="009327EF">
        <w:rPr>
          <w:sz w:val="20"/>
          <w:szCs w:val="20"/>
          <w:lang w:val="en-US"/>
        </w:rPr>
        <w:t xml:space="preserve">36 months, </w:t>
      </w:r>
      <w:r w:rsidR="00F411DE" w:rsidRPr="003F0A46">
        <w:rPr>
          <w:sz w:val="20"/>
          <w:szCs w:val="20"/>
          <w:lang w:val="en-US"/>
        </w:rPr>
        <w:t xml:space="preserve">he </w:t>
      </w:r>
      <w:r w:rsidR="00A43AC2" w:rsidRPr="003F0A46">
        <w:rPr>
          <w:sz w:val="20"/>
          <w:szCs w:val="20"/>
          <w:lang w:val="en-US"/>
        </w:rPr>
        <w:t>pointed out that w</w:t>
      </w:r>
      <w:r w:rsidR="00B4533F" w:rsidRPr="003F0A46">
        <w:rPr>
          <w:sz w:val="20"/>
          <w:szCs w:val="20"/>
          <w:lang w:val="en-US"/>
        </w:rPr>
        <w:t xml:space="preserve">hen </w:t>
      </w:r>
      <w:r w:rsidR="00A43AC2" w:rsidRPr="003F0A46">
        <w:rPr>
          <w:sz w:val="20"/>
          <w:szCs w:val="20"/>
          <w:lang w:val="en-US"/>
        </w:rPr>
        <w:t>losers were</w:t>
      </w:r>
      <w:r w:rsidR="00B4533F" w:rsidRPr="003F0A46">
        <w:rPr>
          <w:sz w:val="20"/>
          <w:szCs w:val="20"/>
          <w:lang w:val="en-US"/>
        </w:rPr>
        <w:t xml:space="preserve"> matched with the </w:t>
      </w:r>
      <w:r w:rsidR="00A43AC2" w:rsidRPr="003F0A46">
        <w:rPr>
          <w:sz w:val="20"/>
          <w:szCs w:val="20"/>
          <w:lang w:val="en-US"/>
        </w:rPr>
        <w:t>winners of equal size, there was</w:t>
      </w:r>
      <w:r w:rsidR="00B4533F" w:rsidRPr="003F0A46">
        <w:rPr>
          <w:sz w:val="20"/>
          <w:szCs w:val="20"/>
          <w:lang w:val="en-US"/>
        </w:rPr>
        <w:t xml:space="preserve"> virtually no evidence of differ</w:t>
      </w:r>
      <w:r w:rsidR="009327EF">
        <w:rPr>
          <w:sz w:val="20"/>
          <w:szCs w:val="20"/>
          <w:lang w:val="en-US"/>
        </w:rPr>
        <w:t>ential stock return performance</w:t>
      </w:r>
      <w:r w:rsidR="006A4F59" w:rsidRPr="003F0A46">
        <w:rPr>
          <w:sz w:val="20"/>
          <w:szCs w:val="20"/>
          <w:lang w:val="en-US"/>
        </w:rPr>
        <w:t xml:space="preserve">. </w:t>
      </w:r>
      <w:r w:rsidR="009327EF">
        <w:rPr>
          <w:sz w:val="20"/>
          <w:szCs w:val="20"/>
          <w:lang w:val="en-US"/>
        </w:rPr>
        <w:t xml:space="preserve">He therefore </w:t>
      </w:r>
      <w:r w:rsidR="00F411DE" w:rsidRPr="003F0A46">
        <w:rPr>
          <w:sz w:val="20"/>
          <w:szCs w:val="20"/>
          <w:lang w:val="en-US"/>
        </w:rPr>
        <w:t>dismiss</w:t>
      </w:r>
      <w:r w:rsidR="004E73D8" w:rsidRPr="003F0A46">
        <w:rPr>
          <w:sz w:val="20"/>
          <w:szCs w:val="20"/>
          <w:lang w:val="en-US"/>
        </w:rPr>
        <w:t>es</w:t>
      </w:r>
      <w:r w:rsidR="00CF10A8" w:rsidRPr="003F0A46">
        <w:rPr>
          <w:sz w:val="20"/>
          <w:szCs w:val="20"/>
          <w:lang w:val="en-US"/>
        </w:rPr>
        <w:t xml:space="preserve"> the overreaction </w:t>
      </w:r>
      <w:r w:rsidR="006A4F59" w:rsidRPr="003F0A46">
        <w:rPr>
          <w:sz w:val="20"/>
          <w:szCs w:val="20"/>
          <w:lang w:val="en-US"/>
        </w:rPr>
        <w:t>phenomenon as a manifestation of the size effect.</w:t>
      </w:r>
      <w:r w:rsidR="00CC666B" w:rsidRPr="003F0A46">
        <w:rPr>
          <w:sz w:val="20"/>
          <w:szCs w:val="20"/>
          <w:lang w:val="en-US"/>
        </w:rPr>
        <w:t xml:space="preserve"> </w:t>
      </w:r>
    </w:p>
    <w:p w:rsidR="009327EF" w:rsidRPr="003F0A46" w:rsidRDefault="00DB00DE" w:rsidP="004D6CA0">
      <w:pPr>
        <w:spacing w:after="0"/>
        <w:ind w:firstLine="720"/>
        <w:rPr>
          <w:sz w:val="20"/>
          <w:szCs w:val="20"/>
          <w:lang w:val="en-US"/>
        </w:rPr>
      </w:pPr>
      <w:r w:rsidRPr="003F0A46">
        <w:rPr>
          <w:sz w:val="20"/>
          <w:szCs w:val="20"/>
          <w:lang w:val="en-US"/>
        </w:rPr>
        <w:t xml:space="preserve">Lehmann </w:t>
      </w:r>
      <w:r w:rsidR="00530280">
        <w:rPr>
          <w:sz w:val="20"/>
          <w:szCs w:val="20"/>
          <w:lang w:val="en-US"/>
        </w:rPr>
        <w:t>[9</w:t>
      </w:r>
      <w:r w:rsidR="004D6CA0">
        <w:rPr>
          <w:sz w:val="20"/>
          <w:szCs w:val="20"/>
          <w:lang w:val="en-US"/>
        </w:rPr>
        <w:t xml:space="preserve">] </w:t>
      </w:r>
      <w:r w:rsidRPr="003F0A46">
        <w:rPr>
          <w:sz w:val="20"/>
          <w:szCs w:val="20"/>
          <w:lang w:val="en-US"/>
        </w:rPr>
        <w:t xml:space="preserve">and Lo and MacKinlay </w:t>
      </w:r>
      <w:r w:rsidR="00530280">
        <w:rPr>
          <w:sz w:val="20"/>
          <w:szCs w:val="20"/>
          <w:lang w:val="en-US"/>
        </w:rPr>
        <w:t>[10</w:t>
      </w:r>
      <w:r w:rsidR="004D6CA0">
        <w:rPr>
          <w:sz w:val="20"/>
          <w:szCs w:val="20"/>
          <w:lang w:val="en-US"/>
        </w:rPr>
        <w:t xml:space="preserve">] </w:t>
      </w:r>
      <w:r w:rsidR="00445C11">
        <w:rPr>
          <w:sz w:val="20"/>
          <w:szCs w:val="20"/>
          <w:lang w:val="en-US"/>
        </w:rPr>
        <w:t>find</w:t>
      </w:r>
      <w:r w:rsidR="00962480">
        <w:rPr>
          <w:sz w:val="20"/>
          <w:szCs w:val="20"/>
          <w:lang w:val="en-US"/>
        </w:rPr>
        <w:t xml:space="preserve"> </w:t>
      </w:r>
      <w:r w:rsidR="00445C11">
        <w:rPr>
          <w:sz w:val="20"/>
          <w:szCs w:val="20"/>
          <w:lang w:val="en-US"/>
        </w:rPr>
        <w:t xml:space="preserve">evidence of overreaction in the US exchanges in the short term using weekly returns and finds that </w:t>
      </w:r>
      <w:r w:rsidR="00445C11" w:rsidRPr="003F0A46">
        <w:rPr>
          <w:sz w:val="20"/>
          <w:szCs w:val="20"/>
          <w:lang w:val="en-US"/>
        </w:rPr>
        <w:t>shor</w:t>
      </w:r>
      <w:r w:rsidR="00445C11">
        <w:rPr>
          <w:sz w:val="20"/>
          <w:szCs w:val="20"/>
          <w:lang w:val="en-US"/>
        </w:rPr>
        <w:t xml:space="preserve">t-term contrarian strategies </w:t>
      </w:r>
      <w:r w:rsidR="00445C11" w:rsidRPr="003F0A46">
        <w:rPr>
          <w:sz w:val="20"/>
          <w:szCs w:val="20"/>
          <w:lang w:val="en-US"/>
        </w:rPr>
        <w:t>yield st</w:t>
      </w:r>
      <w:r w:rsidR="006201D0">
        <w:rPr>
          <w:sz w:val="20"/>
          <w:szCs w:val="20"/>
          <w:lang w:val="en-US"/>
        </w:rPr>
        <w:t xml:space="preserve">atistically significant profits </w:t>
      </w:r>
      <w:r w:rsidR="00445C11" w:rsidRPr="003F0A46">
        <w:rPr>
          <w:sz w:val="20"/>
          <w:szCs w:val="20"/>
          <w:lang w:val="en-US"/>
        </w:rPr>
        <w:t>even after corrections for bid-ask spreads and plausible transactions costs.</w:t>
      </w:r>
      <w:r w:rsidR="00445C11">
        <w:rPr>
          <w:sz w:val="20"/>
          <w:szCs w:val="20"/>
          <w:lang w:val="en-US"/>
        </w:rPr>
        <w:t xml:space="preserve"> </w:t>
      </w:r>
      <w:r w:rsidRPr="003F0A46">
        <w:rPr>
          <w:sz w:val="20"/>
          <w:szCs w:val="20"/>
          <w:lang w:val="en-US"/>
        </w:rPr>
        <w:t>In another attempt to examine the short term overreaction in New York Stock Excha</w:t>
      </w:r>
      <w:r w:rsidR="006201D0">
        <w:rPr>
          <w:sz w:val="20"/>
          <w:szCs w:val="20"/>
          <w:lang w:val="en-US"/>
        </w:rPr>
        <w:t>nge using</w:t>
      </w:r>
      <w:r w:rsidR="006201D0" w:rsidRPr="003F0A46">
        <w:rPr>
          <w:sz w:val="20"/>
          <w:szCs w:val="20"/>
          <w:lang w:val="en-US"/>
        </w:rPr>
        <w:t xml:space="preserve"> daily data</w:t>
      </w:r>
      <w:r w:rsidR="006201D0">
        <w:rPr>
          <w:sz w:val="20"/>
          <w:szCs w:val="20"/>
          <w:lang w:val="en-US"/>
        </w:rPr>
        <w:t>, Atkins and Dyl [1</w:t>
      </w:r>
      <w:r w:rsidR="00530280">
        <w:rPr>
          <w:sz w:val="20"/>
          <w:szCs w:val="20"/>
          <w:lang w:val="en-US"/>
        </w:rPr>
        <w:t>1</w:t>
      </w:r>
      <w:r w:rsidR="006201D0">
        <w:rPr>
          <w:sz w:val="20"/>
          <w:szCs w:val="20"/>
          <w:lang w:val="en-US"/>
        </w:rPr>
        <w:t>]</w:t>
      </w:r>
      <w:r w:rsidRPr="003F0A46">
        <w:rPr>
          <w:sz w:val="20"/>
          <w:szCs w:val="20"/>
          <w:lang w:val="en-US"/>
        </w:rPr>
        <w:t xml:space="preserve"> showed that stock prices overreact in the short run, especially to negative information, however the magnitude of this statistica</w:t>
      </w:r>
      <w:r w:rsidR="0020458F">
        <w:rPr>
          <w:sz w:val="20"/>
          <w:szCs w:val="20"/>
          <w:lang w:val="en-US"/>
        </w:rPr>
        <w:t>lly significant overreaction</w:t>
      </w:r>
      <w:r w:rsidRPr="003F0A46">
        <w:rPr>
          <w:sz w:val="20"/>
          <w:szCs w:val="20"/>
          <w:lang w:val="en-US"/>
        </w:rPr>
        <w:t xml:space="preserve"> is small compared to the bid-ask spreads observed for these stocks. Thus, this overreaction was no violation of the EMH as it could not be exploited because of bid-ask spreads. Cox &amp; Peterson </w:t>
      </w:r>
      <w:r w:rsidR="00530280">
        <w:rPr>
          <w:sz w:val="20"/>
          <w:szCs w:val="20"/>
          <w:lang w:val="en-US"/>
        </w:rPr>
        <w:t>[12</w:t>
      </w:r>
      <w:r w:rsidR="004D6CA0">
        <w:rPr>
          <w:sz w:val="20"/>
          <w:szCs w:val="20"/>
          <w:lang w:val="en-US"/>
        </w:rPr>
        <w:t>]</w:t>
      </w:r>
      <w:r w:rsidRPr="003F0A46">
        <w:rPr>
          <w:sz w:val="20"/>
          <w:szCs w:val="20"/>
          <w:lang w:val="en-US"/>
        </w:rPr>
        <w:t xml:space="preserve"> also examined the US market trying to explore the role of the bi</w:t>
      </w:r>
      <w:r w:rsidR="004D6CA0">
        <w:rPr>
          <w:sz w:val="20"/>
          <w:szCs w:val="20"/>
          <w:lang w:val="en-US"/>
        </w:rPr>
        <w:t xml:space="preserve">d-ask bounce, market liquidity </w:t>
      </w:r>
      <w:r w:rsidRPr="003F0A46">
        <w:rPr>
          <w:sz w:val="20"/>
          <w:szCs w:val="20"/>
          <w:lang w:val="en-US"/>
        </w:rPr>
        <w:t xml:space="preserve">in explaining price reversals in the three-day period immediately following </w:t>
      </w:r>
      <w:r w:rsidR="004D6CA0">
        <w:rPr>
          <w:sz w:val="20"/>
          <w:szCs w:val="20"/>
          <w:lang w:val="en-US"/>
        </w:rPr>
        <w:t xml:space="preserve">a </w:t>
      </w:r>
      <w:r w:rsidRPr="003F0A46">
        <w:rPr>
          <w:sz w:val="20"/>
          <w:szCs w:val="20"/>
          <w:lang w:val="en-US"/>
        </w:rPr>
        <w:t>large one-day decline. They concluded that price reversals in short term can be explained by “bid-ask bounce” and “degree of market liquidity”, and that overreaction vanishes with rising market liquidity</w:t>
      </w:r>
      <w:r w:rsidR="006B2A4A">
        <w:rPr>
          <w:sz w:val="20"/>
          <w:szCs w:val="20"/>
          <w:lang w:val="en-US"/>
        </w:rPr>
        <w:t xml:space="preserve">. </w:t>
      </w:r>
      <w:r w:rsidR="006201D0">
        <w:rPr>
          <w:sz w:val="20"/>
          <w:szCs w:val="20"/>
          <w:lang w:val="en-US"/>
        </w:rPr>
        <w:t xml:space="preserve">These results show that over-reaction cannot be utilized in a trading strategy to make significant profits. </w:t>
      </w:r>
    </w:p>
    <w:p w:rsidR="009327EF" w:rsidRPr="00445C11" w:rsidRDefault="006B2A4A" w:rsidP="00530280">
      <w:pPr>
        <w:spacing w:after="0"/>
        <w:ind w:firstLine="720"/>
        <w:rPr>
          <w:sz w:val="20"/>
          <w:szCs w:val="20"/>
          <w:lang w:val="en-US"/>
        </w:rPr>
      </w:pPr>
      <w:r>
        <w:rPr>
          <w:sz w:val="20"/>
          <w:szCs w:val="20"/>
          <w:lang w:val="en-US"/>
        </w:rPr>
        <w:t xml:space="preserve">Despite the large evidence on overreaction in the US markets, several studies show contrary results. </w:t>
      </w:r>
      <w:r w:rsidR="00962480" w:rsidRPr="003F0A46">
        <w:rPr>
          <w:sz w:val="20"/>
          <w:szCs w:val="20"/>
          <w:lang w:val="en-US"/>
        </w:rPr>
        <w:t xml:space="preserve">Jegadeesh and Titman </w:t>
      </w:r>
      <w:r w:rsidR="00530280">
        <w:rPr>
          <w:sz w:val="20"/>
          <w:szCs w:val="20"/>
          <w:lang w:val="en-US"/>
        </w:rPr>
        <w:t>[4</w:t>
      </w:r>
      <w:r w:rsidR="004D6CA0">
        <w:rPr>
          <w:sz w:val="20"/>
          <w:szCs w:val="20"/>
          <w:lang w:val="en-US"/>
        </w:rPr>
        <w:t xml:space="preserve">] </w:t>
      </w:r>
      <w:r>
        <w:rPr>
          <w:sz w:val="20"/>
          <w:szCs w:val="20"/>
          <w:lang w:val="en-US"/>
        </w:rPr>
        <w:t xml:space="preserve">study the period of </w:t>
      </w:r>
      <w:r w:rsidRPr="003F0A46">
        <w:rPr>
          <w:sz w:val="20"/>
          <w:szCs w:val="20"/>
          <w:lang w:val="en-US"/>
        </w:rPr>
        <w:t xml:space="preserve">1965 to 1989 </w:t>
      </w:r>
      <w:r>
        <w:rPr>
          <w:sz w:val="20"/>
          <w:szCs w:val="20"/>
          <w:lang w:val="en-US"/>
        </w:rPr>
        <w:t>and show</w:t>
      </w:r>
      <w:r w:rsidR="00962480" w:rsidRPr="003F0A46">
        <w:rPr>
          <w:sz w:val="20"/>
          <w:szCs w:val="20"/>
          <w:lang w:val="en-US"/>
        </w:rPr>
        <w:t xml:space="preserve"> that a momentum strategy, that buys the winner stocks and sells the losers stocks in the U.S stock market will realize significant abnormal returns if held for a holding period of 3- to 12-month. </w:t>
      </w:r>
      <w:r w:rsidR="00962480">
        <w:rPr>
          <w:sz w:val="20"/>
          <w:szCs w:val="20"/>
          <w:lang w:val="en-US"/>
        </w:rPr>
        <w:t xml:space="preserve"> In a follow up study </w:t>
      </w:r>
      <w:r w:rsidR="00DB00DE">
        <w:rPr>
          <w:sz w:val="20"/>
          <w:szCs w:val="20"/>
          <w:lang w:val="en-US"/>
        </w:rPr>
        <w:t xml:space="preserve">Jegadeesh and Titman </w:t>
      </w:r>
      <w:r w:rsidR="004D6CA0">
        <w:rPr>
          <w:sz w:val="20"/>
          <w:szCs w:val="20"/>
          <w:lang w:val="en-US"/>
        </w:rPr>
        <w:t>[1</w:t>
      </w:r>
      <w:r w:rsidR="00530280">
        <w:rPr>
          <w:sz w:val="20"/>
          <w:szCs w:val="20"/>
          <w:lang w:val="en-US"/>
        </w:rPr>
        <w:t>3</w:t>
      </w:r>
      <w:r w:rsidR="004D6CA0">
        <w:rPr>
          <w:sz w:val="20"/>
          <w:szCs w:val="20"/>
          <w:lang w:val="en-US"/>
        </w:rPr>
        <w:t>]</w:t>
      </w:r>
      <w:r w:rsidR="00DB00DE">
        <w:rPr>
          <w:sz w:val="20"/>
          <w:szCs w:val="20"/>
          <w:lang w:val="en-US"/>
        </w:rPr>
        <w:t xml:space="preserve"> </w:t>
      </w:r>
      <w:r w:rsidR="009327EF" w:rsidRPr="003F0A46">
        <w:rPr>
          <w:sz w:val="20"/>
          <w:szCs w:val="20"/>
          <w:lang w:val="en-US"/>
        </w:rPr>
        <w:t>examined the New York and American stock exchanges for the presence and possible sources of sho</w:t>
      </w:r>
      <w:r>
        <w:rPr>
          <w:sz w:val="20"/>
          <w:szCs w:val="20"/>
          <w:lang w:val="en-US"/>
        </w:rPr>
        <w:t xml:space="preserve">rt-term contrarian profits and find that they are </w:t>
      </w:r>
      <w:r w:rsidR="009327EF" w:rsidRPr="003F0A46">
        <w:rPr>
          <w:sz w:val="20"/>
          <w:szCs w:val="20"/>
          <w:lang w:val="en-US"/>
        </w:rPr>
        <w:t>predominantly the result of an overreaction to firm specific information and not the result of lead/lag effects as suggested by Lo and MacKinlay</w:t>
      </w:r>
      <w:r w:rsidR="00530280">
        <w:rPr>
          <w:sz w:val="20"/>
          <w:szCs w:val="20"/>
          <w:lang w:val="en-US"/>
        </w:rPr>
        <w:t>[10</w:t>
      </w:r>
      <w:r w:rsidR="004D6CA0">
        <w:rPr>
          <w:sz w:val="20"/>
          <w:szCs w:val="20"/>
          <w:lang w:val="en-US"/>
        </w:rPr>
        <w:t>]</w:t>
      </w:r>
      <w:r w:rsidR="009327EF" w:rsidRPr="003F0A46">
        <w:rPr>
          <w:sz w:val="20"/>
          <w:szCs w:val="20"/>
          <w:lang w:val="en-US"/>
        </w:rPr>
        <w:t xml:space="preserve">. </w:t>
      </w:r>
      <w:r w:rsidR="00445C11" w:rsidRPr="003F0A46">
        <w:rPr>
          <w:sz w:val="20"/>
          <w:szCs w:val="20"/>
          <w:lang w:val="en-US"/>
        </w:rPr>
        <w:t xml:space="preserve">Chan, Jegadeesh, and Lakonishok </w:t>
      </w:r>
      <w:r w:rsidR="00530280">
        <w:rPr>
          <w:sz w:val="20"/>
          <w:szCs w:val="20"/>
          <w:lang w:val="en-US"/>
        </w:rPr>
        <w:t>[14</w:t>
      </w:r>
      <w:r w:rsidR="004D6CA0">
        <w:rPr>
          <w:sz w:val="20"/>
          <w:szCs w:val="20"/>
          <w:lang w:val="en-US"/>
        </w:rPr>
        <w:t>]</w:t>
      </w:r>
      <w:r w:rsidR="004D6CA0" w:rsidRPr="003F0A46">
        <w:rPr>
          <w:sz w:val="20"/>
          <w:szCs w:val="20"/>
          <w:lang w:val="en-US"/>
        </w:rPr>
        <w:t xml:space="preserve"> </w:t>
      </w:r>
      <w:r>
        <w:rPr>
          <w:sz w:val="20"/>
          <w:szCs w:val="20"/>
          <w:lang w:val="en-US"/>
        </w:rPr>
        <w:t>further</w:t>
      </w:r>
      <w:r w:rsidR="00445C11" w:rsidRPr="003F0A46">
        <w:rPr>
          <w:sz w:val="20"/>
          <w:szCs w:val="20"/>
          <w:lang w:val="en-US"/>
        </w:rPr>
        <w:t xml:space="preserve"> </w:t>
      </w:r>
      <w:r>
        <w:rPr>
          <w:sz w:val="20"/>
          <w:szCs w:val="20"/>
          <w:lang w:val="en-US"/>
        </w:rPr>
        <w:t>show</w:t>
      </w:r>
      <w:r w:rsidR="00BB5302">
        <w:rPr>
          <w:sz w:val="20"/>
          <w:szCs w:val="20"/>
          <w:lang w:val="en-US"/>
        </w:rPr>
        <w:t xml:space="preserve"> that investors routinely under</w:t>
      </w:r>
      <w:r w:rsidR="00445C11" w:rsidRPr="003F0A46">
        <w:rPr>
          <w:sz w:val="20"/>
          <w:szCs w:val="20"/>
          <w:lang w:val="en-US"/>
        </w:rPr>
        <w:t>react and, consequently, investors can exploit a momentum strategy at intermediate terms of 3 to 6 months by buying recent winners and selling recent losers to make abnormal profits.</w:t>
      </w:r>
      <w:r>
        <w:rPr>
          <w:sz w:val="20"/>
          <w:szCs w:val="20"/>
          <w:lang w:val="en-US"/>
        </w:rPr>
        <w:t xml:space="preserve"> </w:t>
      </w:r>
    </w:p>
    <w:p w:rsidR="00445C11" w:rsidRPr="006B2A4A" w:rsidRDefault="006B2A4A" w:rsidP="00BB5302">
      <w:pPr>
        <w:pStyle w:val="Title"/>
        <w:spacing w:line="360" w:lineRule="auto"/>
        <w:ind w:firstLine="720"/>
        <w:jc w:val="both"/>
        <w:rPr>
          <w:rFonts w:asciiTheme="majorBidi" w:eastAsiaTheme="minorHAnsi" w:hAnsiTheme="majorBidi" w:cstheme="majorBidi"/>
          <w:kern w:val="0"/>
          <w:sz w:val="20"/>
          <w:szCs w:val="20"/>
        </w:rPr>
      </w:pPr>
      <w:r>
        <w:rPr>
          <w:rFonts w:asciiTheme="majorBidi" w:eastAsiaTheme="minorHAnsi" w:hAnsiTheme="majorBidi" w:cstheme="majorBidi"/>
          <w:kern w:val="0"/>
          <w:sz w:val="20"/>
          <w:szCs w:val="20"/>
        </w:rPr>
        <w:lastRenderedPageBreak/>
        <w:t xml:space="preserve">More recently, </w:t>
      </w:r>
      <w:r w:rsidR="00445C11" w:rsidRPr="003F0A46">
        <w:rPr>
          <w:rFonts w:asciiTheme="majorBidi" w:eastAsiaTheme="minorHAnsi" w:hAnsiTheme="majorBidi" w:cstheme="majorBidi"/>
          <w:kern w:val="0"/>
          <w:sz w:val="20"/>
          <w:szCs w:val="20"/>
        </w:rPr>
        <w:t xml:space="preserve">Schnusenberg &amp; Madura </w:t>
      </w:r>
      <w:r w:rsidR="00530280">
        <w:rPr>
          <w:rFonts w:asciiTheme="majorBidi" w:eastAsiaTheme="minorHAnsi" w:hAnsiTheme="majorBidi" w:cstheme="majorBidi"/>
          <w:kern w:val="0"/>
          <w:sz w:val="20"/>
          <w:szCs w:val="20"/>
        </w:rPr>
        <w:t>[15</w:t>
      </w:r>
      <w:r w:rsidR="00E53EA4">
        <w:rPr>
          <w:rFonts w:asciiTheme="majorBidi" w:eastAsiaTheme="minorHAnsi" w:hAnsiTheme="majorBidi" w:cstheme="majorBidi"/>
          <w:kern w:val="0"/>
          <w:sz w:val="20"/>
          <w:szCs w:val="20"/>
        </w:rPr>
        <w:t>]</w:t>
      </w:r>
      <w:r w:rsidR="00445C11" w:rsidRPr="003F0A46">
        <w:rPr>
          <w:rFonts w:asciiTheme="majorBidi" w:eastAsiaTheme="minorHAnsi" w:hAnsiTheme="majorBidi" w:cstheme="majorBidi"/>
          <w:kern w:val="0"/>
          <w:sz w:val="20"/>
          <w:szCs w:val="20"/>
        </w:rPr>
        <w:t xml:space="preserve"> investigated investor </w:t>
      </w:r>
      <w:r w:rsidR="00BB5302">
        <w:rPr>
          <w:rFonts w:asciiTheme="majorBidi" w:eastAsiaTheme="minorHAnsi" w:hAnsiTheme="majorBidi" w:cstheme="majorBidi"/>
          <w:kern w:val="0"/>
          <w:sz w:val="20"/>
          <w:szCs w:val="20"/>
        </w:rPr>
        <w:t>short term over/under</w:t>
      </w:r>
      <w:r w:rsidR="00445C11" w:rsidRPr="003F0A46">
        <w:rPr>
          <w:rFonts w:asciiTheme="majorBidi" w:eastAsiaTheme="minorHAnsi" w:hAnsiTheme="majorBidi" w:cstheme="majorBidi"/>
          <w:kern w:val="0"/>
          <w:sz w:val="20"/>
          <w:szCs w:val="20"/>
        </w:rPr>
        <w:t>reaction to market shocks for six US indexes</w:t>
      </w:r>
      <w:r w:rsidR="00BB5302">
        <w:rPr>
          <w:rFonts w:asciiTheme="majorBidi" w:eastAsiaTheme="minorHAnsi" w:hAnsiTheme="majorBidi" w:cstheme="majorBidi"/>
          <w:kern w:val="0"/>
          <w:sz w:val="20"/>
          <w:szCs w:val="20"/>
        </w:rPr>
        <w:t xml:space="preserve"> and reported evidence of under</w:t>
      </w:r>
      <w:r w:rsidR="00445C11" w:rsidRPr="003F0A46">
        <w:rPr>
          <w:rFonts w:asciiTheme="majorBidi" w:eastAsiaTheme="minorHAnsi" w:hAnsiTheme="majorBidi" w:cstheme="majorBidi"/>
          <w:kern w:val="0"/>
          <w:sz w:val="20"/>
          <w:szCs w:val="20"/>
        </w:rPr>
        <w:t xml:space="preserve">reaction. They argue that their results imply a model of investor psychology in which investors interpret extremely positive news releases pessimistically and extremely negative news releases optimistically. </w:t>
      </w:r>
      <w:r>
        <w:rPr>
          <w:rFonts w:asciiTheme="majorBidi" w:eastAsiaTheme="minorHAnsi" w:hAnsiTheme="majorBidi" w:cstheme="majorBidi"/>
          <w:kern w:val="0"/>
          <w:sz w:val="20"/>
          <w:szCs w:val="20"/>
        </w:rPr>
        <w:t xml:space="preserve">Similar evidence was found in Canadian equity markets by </w:t>
      </w:r>
      <w:r w:rsidR="00530280">
        <w:rPr>
          <w:sz w:val="20"/>
          <w:szCs w:val="20"/>
        </w:rPr>
        <w:t>Kryzanowski and Zhang [16</w:t>
      </w:r>
      <w:r w:rsidR="00DB00DE" w:rsidRPr="003F0A46">
        <w:rPr>
          <w:sz w:val="20"/>
          <w:szCs w:val="20"/>
        </w:rPr>
        <w:t xml:space="preserve">] </w:t>
      </w:r>
      <w:r>
        <w:rPr>
          <w:sz w:val="20"/>
          <w:szCs w:val="20"/>
        </w:rPr>
        <w:t>who</w:t>
      </w:r>
      <w:r w:rsidR="00DB00DE" w:rsidRPr="003F0A46">
        <w:rPr>
          <w:sz w:val="20"/>
          <w:szCs w:val="20"/>
        </w:rPr>
        <w:t xml:space="preserve"> found that Canadian stocks have tended to show evidence</w:t>
      </w:r>
      <w:r w:rsidR="00BB5302">
        <w:rPr>
          <w:sz w:val="20"/>
          <w:szCs w:val="20"/>
        </w:rPr>
        <w:t xml:space="preserve"> of momentum as investors under</w:t>
      </w:r>
      <w:r w:rsidR="00DB00DE" w:rsidRPr="003F0A46">
        <w:rPr>
          <w:sz w:val="20"/>
          <w:szCs w:val="20"/>
        </w:rPr>
        <w:t>react to new information by failing to incorporate news in their transaction prices</w:t>
      </w:r>
      <w:r w:rsidR="00BB5302">
        <w:rPr>
          <w:sz w:val="20"/>
          <w:szCs w:val="20"/>
        </w:rPr>
        <w:t xml:space="preserve">. </w:t>
      </w:r>
    </w:p>
    <w:p w:rsidR="00445C11" w:rsidRDefault="005F3703" w:rsidP="00BB5302">
      <w:pPr>
        <w:autoSpaceDE w:val="0"/>
        <w:autoSpaceDN w:val="0"/>
        <w:adjustRightInd w:val="0"/>
        <w:spacing w:after="0"/>
        <w:ind w:firstLine="720"/>
        <w:outlineLvl w:val="9"/>
        <w:rPr>
          <w:sz w:val="20"/>
          <w:szCs w:val="20"/>
          <w:lang w:val="en-US"/>
        </w:rPr>
      </w:pPr>
      <w:r>
        <w:rPr>
          <w:sz w:val="20"/>
          <w:szCs w:val="20"/>
          <w:lang w:val="en-US"/>
        </w:rPr>
        <w:t>In the UK</w:t>
      </w:r>
      <w:r w:rsidR="003F41C3">
        <w:rPr>
          <w:sz w:val="20"/>
          <w:szCs w:val="20"/>
          <w:lang w:val="en-US"/>
        </w:rPr>
        <w:t xml:space="preserve"> </w:t>
      </w:r>
      <w:r w:rsidR="00054E11" w:rsidRPr="003F0A46">
        <w:rPr>
          <w:sz w:val="20"/>
          <w:szCs w:val="20"/>
          <w:lang w:val="en-US"/>
        </w:rPr>
        <w:t xml:space="preserve">Clare and Thomas’s </w:t>
      </w:r>
      <w:r w:rsidR="00530280">
        <w:rPr>
          <w:sz w:val="20"/>
          <w:szCs w:val="20"/>
          <w:lang w:val="en-US"/>
        </w:rPr>
        <w:t>[17</w:t>
      </w:r>
      <w:r w:rsidR="004E73D8" w:rsidRPr="003F0A46">
        <w:rPr>
          <w:sz w:val="20"/>
          <w:szCs w:val="20"/>
          <w:lang w:val="en-US"/>
        </w:rPr>
        <w:t xml:space="preserve">] </w:t>
      </w:r>
      <w:r w:rsidR="00054E11" w:rsidRPr="003F0A46">
        <w:rPr>
          <w:sz w:val="20"/>
          <w:szCs w:val="20"/>
          <w:lang w:val="en-US"/>
        </w:rPr>
        <w:t>investigate the long-run overr</w:t>
      </w:r>
      <w:r w:rsidR="00DB00DE">
        <w:rPr>
          <w:sz w:val="20"/>
          <w:szCs w:val="20"/>
          <w:lang w:val="en-US"/>
        </w:rPr>
        <w:t>eaction and fine</w:t>
      </w:r>
      <w:r w:rsidR="004E73D8" w:rsidRPr="003F0A46">
        <w:rPr>
          <w:sz w:val="20"/>
          <w:szCs w:val="20"/>
          <w:lang w:val="en-US"/>
        </w:rPr>
        <w:t xml:space="preserve"> </w:t>
      </w:r>
      <w:r w:rsidR="00054E11" w:rsidRPr="003F0A46">
        <w:rPr>
          <w:sz w:val="20"/>
          <w:szCs w:val="20"/>
          <w:lang w:val="en-US"/>
        </w:rPr>
        <w:t>evidence of limited</w:t>
      </w:r>
      <w:r w:rsidR="00ED117E" w:rsidRPr="003F0A46">
        <w:rPr>
          <w:sz w:val="20"/>
          <w:szCs w:val="20"/>
          <w:lang w:val="en-US"/>
        </w:rPr>
        <w:t xml:space="preserve"> economically</w:t>
      </w:r>
      <w:r w:rsidR="00054E11" w:rsidRPr="003F0A46">
        <w:rPr>
          <w:sz w:val="20"/>
          <w:szCs w:val="20"/>
          <w:lang w:val="en-US"/>
        </w:rPr>
        <w:t xml:space="preserve"> insignific</w:t>
      </w:r>
      <w:r w:rsidR="00ED117E" w:rsidRPr="003F0A46">
        <w:rPr>
          <w:sz w:val="20"/>
          <w:szCs w:val="20"/>
          <w:lang w:val="en-US"/>
        </w:rPr>
        <w:t xml:space="preserve">ant </w:t>
      </w:r>
      <w:r w:rsidR="00054E11" w:rsidRPr="003F0A46">
        <w:rPr>
          <w:sz w:val="20"/>
          <w:szCs w:val="20"/>
          <w:lang w:val="en-US"/>
        </w:rPr>
        <w:t>difference in the performance of previous losers and previous winne</w:t>
      </w:r>
      <w:r w:rsidR="00DB00DE">
        <w:rPr>
          <w:sz w:val="20"/>
          <w:szCs w:val="20"/>
          <w:lang w:val="en-US"/>
        </w:rPr>
        <w:t>rs over the period 1955 to 1990</w:t>
      </w:r>
      <w:r w:rsidR="00054E11" w:rsidRPr="003F0A46">
        <w:rPr>
          <w:sz w:val="20"/>
          <w:szCs w:val="20"/>
          <w:lang w:val="en-US"/>
        </w:rPr>
        <w:t xml:space="preserve"> </w:t>
      </w:r>
      <w:r w:rsidR="00DB00DE">
        <w:rPr>
          <w:sz w:val="20"/>
          <w:szCs w:val="20"/>
          <w:lang w:val="en-US"/>
        </w:rPr>
        <w:t>but explain it as a result of</w:t>
      </w:r>
      <w:r w:rsidR="004E73D8" w:rsidRPr="003F0A46">
        <w:rPr>
          <w:sz w:val="20"/>
          <w:szCs w:val="20"/>
          <w:lang w:val="en-US"/>
        </w:rPr>
        <w:t xml:space="preserve"> the size effect</w:t>
      </w:r>
      <w:r w:rsidR="00054E11" w:rsidRPr="003F0A46">
        <w:rPr>
          <w:sz w:val="20"/>
          <w:szCs w:val="20"/>
          <w:lang w:val="en-US"/>
        </w:rPr>
        <w:t>.</w:t>
      </w:r>
      <w:r w:rsidR="00201B4F" w:rsidRPr="003F0A46">
        <w:rPr>
          <w:sz w:val="20"/>
          <w:szCs w:val="20"/>
          <w:lang w:val="en-US"/>
        </w:rPr>
        <w:t xml:space="preserve"> </w:t>
      </w:r>
      <w:r>
        <w:rPr>
          <w:sz w:val="20"/>
          <w:szCs w:val="20"/>
          <w:lang w:val="en-US"/>
        </w:rPr>
        <w:t xml:space="preserve">In a subsequent study, </w:t>
      </w:r>
      <w:r w:rsidR="00445C11" w:rsidRPr="003F0A46">
        <w:rPr>
          <w:sz w:val="20"/>
          <w:szCs w:val="20"/>
        </w:rPr>
        <w:t>Spyrou, Kassimatis, and Galariotis</w:t>
      </w:r>
      <w:r w:rsidR="00DB00DE">
        <w:rPr>
          <w:sz w:val="20"/>
          <w:szCs w:val="20"/>
        </w:rPr>
        <w:t xml:space="preserve"> </w:t>
      </w:r>
      <w:r w:rsidR="00530280">
        <w:rPr>
          <w:sz w:val="20"/>
          <w:szCs w:val="20"/>
        </w:rPr>
        <w:t>[18</w:t>
      </w:r>
      <w:r w:rsidR="009462B2">
        <w:rPr>
          <w:sz w:val="20"/>
          <w:szCs w:val="20"/>
        </w:rPr>
        <w:t>]</w:t>
      </w:r>
      <w:r w:rsidR="00445C11" w:rsidRPr="003F0A46">
        <w:rPr>
          <w:sz w:val="20"/>
          <w:szCs w:val="20"/>
        </w:rPr>
        <w:t xml:space="preserve"> examine short-term investor reaction to extreme events in the UK equity market for the period 1989 to 2004 using daily closing p</w:t>
      </w:r>
      <w:r w:rsidR="009462B2">
        <w:rPr>
          <w:sz w:val="20"/>
          <w:szCs w:val="20"/>
        </w:rPr>
        <w:t xml:space="preserve">rices and </w:t>
      </w:r>
      <w:r w:rsidR="00445C11" w:rsidRPr="003F0A46">
        <w:rPr>
          <w:sz w:val="20"/>
          <w:szCs w:val="20"/>
        </w:rPr>
        <w:t xml:space="preserve">reported that the market reaction to shocks for large capitalization stock portfolios is consistent with the </w:t>
      </w:r>
      <w:r w:rsidR="00BB5302">
        <w:rPr>
          <w:sz w:val="20"/>
          <w:szCs w:val="20"/>
        </w:rPr>
        <w:t>EMH</w:t>
      </w:r>
      <w:r w:rsidR="00445C11" w:rsidRPr="003F0A46">
        <w:rPr>
          <w:sz w:val="20"/>
          <w:szCs w:val="20"/>
        </w:rPr>
        <w:t>. However, for medium and small capitalization stock portfolios their res</w:t>
      </w:r>
      <w:r w:rsidR="00BB5302">
        <w:rPr>
          <w:sz w:val="20"/>
          <w:szCs w:val="20"/>
        </w:rPr>
        <w:t>ults indicate significant under</w:t>
      </w:r>
      <w:r w:rsidR="00445C11" w:rsidRPr="003F0A46">
        <w:rPr>
          <w:sz w:val="20"/>
          <w:szCs w:val="20"/>
        </w:rPr>
        <w:t>reaction to both positive and negative shocks for many days subsequent to a shock</w:t>
      </w:r>
      <w:r>
        <w:rPr>
          <w:sz w:val="20"/>
          <w:szCs w:val="20"/>
        </w:rPr>
        <w:t xml:space="preserve">. </w:t>
      </w:r>
    </w:p>
    <w:p w:rsidR="00F53021" w:rsidRPr="00D05959" w:rsidRDefault="005F3703" w:rsidP="00370F26">
      <w:pPr>
        <w:spacing w:after="0"/>
        <w:ind w:firstLine="720"/>
        <w:rPr>
          <w:sz w:val="20"/>
          <w:szCs w:val="20"/>
        </w:rPr>
      </w:pPr>
      <w:r>
        <w:rPr>
          <w:sz w:val="20"/>
          <w:szCs w:val="20"/>
          <w:lang w:val="en-US"/>
        </w:rPr>
        <w:t>Outside the US and UK</w:t>
      </w:r>
      <w:r w:rsidR="00370F26">
        <w:rPr>
          <w:sz w:val="20"/>
          <w:szCs w:val="20"/>
          <w:lang w:val="en-US"/>
        </w:rPr>
        <w:t xml:space="preserve"> markets, </w:t>
      </w:r>
      <w:r>
        <w:rPr>
          <w:sz w:val="20"/>
          <w:szCs w:val="20"/>
          <w:lang w:val="en-US"/>
        </w:rPr>
        <w:t xml:space="preserve">various studies document evidence of overreaction in both developed and emerging markets. </w:t>
      </w:r>
      <w:r w:rsidR="00F53021">
        <w:rPr>
          <w:sz w:val="20"/>
          <w:szCs w:val="20"/>
          <w:lang w:val="en-US"/>
        </w:rPr>
        <w:t>In developed markets, o</w:t>
      </w:r>
      <w:r w:rsidR="00D05959">
        <w:rPr>
          <w:sz w:val="20"/>
          <w:szCs w:val="20"/>
          <w:lang w:val="en-US"/>
        </w:rPr>
        <w:t>verreaction is found on the</w:t>
      </w:r>
      <w:r>
        <w:rPr>
          <w:sz w:val="20"/>
          <w:szCs w:val="20"/>
          <w:lang w:val="en-US"/>
        </w:rPr>
        <w:t xml:space="preserve"> </w:t>
      </w:r>
      <w:r w:rsidR="00530280">
        <w:rPr>
          <w:sz w:val="20"/>
          <w:szCs w:val="20"/>
          <w:lang w:val="en-US"/>
        </w:rPr>
        <w:t>Spanish</w:t>
      </w:r>
      <w:r w:rsidR="00D05959">
        <w:rPr>
          <w:sz w:val="20"/>
          <w:szCs w:val="20"/>
          <w:lang w:val="en-US"/>
        </w:rPr>
        <w:t xml:space="preserve"> Stock Exchange</w:t>
      </w:r>
      <w:r>
        <w:rPr>
          <w:sz w:val="20"/>
          <w:szCs w:val="20"/>
          <w:lang w:val="en-US"/>
        </w:rPr>
        <w:t xml:space="preserve"> </w:t>
      </w:r>
      <w:r w:rsidR="00530280">
        <w:rPr>
          <w:sz w:val="20"/>
          <w:szCs w:val="20"/>
          <w:lang w:val="en-US"/>
        </w:rPr>
        <w:t>[19] [20</w:t>
      </w:r>
      <w:r w:rsidR="00E53EA4">
        <w:rPr>
          <w:sz w:val="20"/>
          <w:szCs w:val="20"/>
          <w:lang w:val="en-US"/>
        </w:rPr>
        <w:t xml:space="preserve">]; </w:t>
      </w:r>
      <w:r w:rsidR="00D05959">
        <w:rPr>
          <w:sz w:val="20"/>
          <w:szCs w:val="20"/>
          <w:lang w:val="en-US"/>
        </w:rPr>
        <w:t>German Stock Exchange</w:t>
      </w:r>
      <w:r>
        <w:rPr>
          <w:sz w:val="20"/>
          <w:szCs w:val="20"/>
          <w:lang w:val="en-US"/>
        </w:rPr>
        <w:t xml:space="preserve"> </w:t>
      </w:r>
      <w:r w:rsidR="00530280">
        <w:rPr>
          <w:sz w:val="20"/>
          <w:szCs w:val="20"/>
          <w:lang w:val="en-US"/>
        </w:rPr>
        <w:t>[21</w:t>
      </w:r>
      <w:r w:rsidR="00E53EA4">
        <w:rPr>
          <w:sz w:val="20"/>
          <w:szCs w:val="20"/>
          <w:lang w:val="en-US"/>
        </w:rPr>
        <w:t xml:space="preserve">]; </w:t>
      </w:r>
      <w:r>
        <w:rPr>
          <w:sz w:val="20"/>
          <w:szCs w:val="20"/>
          <w:lang w:val="en-US"/>
        </w:rPr>
        <w:t>Japan</w:t>
      </w:r>
      <w:r w:rsidR="00D05959">
        <w:rPr>
          <w:sz w:val="20"/>
          <w:szCs w:val="20"/>
          <w:lang w:val="en-US"/>
        </w:rPr>
        <w:t>ese Stock Exchange</w:t>
      </w:r>
      <w:r>
        <w:rPr>
          <w:sz w:val="20"/>
          <w:szCs w:val="20"/>
          <w:lang w:val="en-US"/>
        </w:rPr>
        <w:t xml:space="preserve"> </w:t>
      </w:r>
      <w:r w:rsidR="00530280">
        <w:rPr>
          <w:sz w:val="20"/>
          <w:szCs w:val="20"/>
          <w:lang w:val="en-US"/>
        </w:rPr>
        <w:t>[22</w:t>
      </w:r>
      <w:r w:rsidR="00D05959">
        <w:rPr>
          <w:sz w:val="20"/>
          <w:szCs w:val="20"/>
          <w:lang w:val="en-US"/>
        </w:rPr>
        <w:t>] and Australian Stock Exchange</w:t>
      </w:r>
      <w:r>
        <w:rPr>
          <w:sz w:val="20"/>
          <w:szCs w:val="20"/>
          <w:lang w:val="en-US"/>
        </w:rPr>
        <w:t xml:space="preserve"> </w:t>
      </w:r>
      <w:r w:rsidR="00530280">
        <w:rPr>
          <w:sz w:val="20"/>
          <w:szCs w:val="20"/>
          <w:lang w:val="en-US"/>
        </w:rPr>
        <w:t>[23</w:t>
      </w:r>
      <w:r w:rsidR="00D05959">
        <w:rPr>
          <w:sz w:val="20"/>
          <w:szCs w:val="20"/>
          <w:lang w:val="en-US"/>
        </w:rPr>
        <w:t xml:space="preserve">]. </w:t>
      </w:r>
      <w:r>
        <w:rPr>
          <w:sz w:val="20"/>
          <w:szCs w:val="20"/>
        </w:rPr>
        <w:t xml:space="preserve">In emerging markets, evidence of overreaction was found in </w:t>
      </w:r>
      <w:r w:rsidR="00D05959">
        <w:rPr>
          <w:sz w:val="20"/>
          <w:szCs w:val="20"/>
        </w:rPr>
        <w:t xml:space="preserve">Bursa </w:t>
      </w:r>
      <w:r>
        <w:rPr>
          <w:sz w:val="20"/>
          <w:szCs w:val="20"/>
        </w:rPr>
        <w:t xml:space="preserve">Malayisa </w:t>
      </w:r>
      <w:r w:rsidR="00530280">
        <w:rPr>
          <w:sz w:val="20"/>
          <w:szCs w:val="20"/>
        </w:rPr>
        <w:t>[24</w:t>
      </w:r>
      <w:r w:rsidR="00D05959">
        <w:rPr>
          <w:sz w:val="20"/>
          <w:szCs w:val="20"/>
        </w:rPr>
        <w:t xml:space="preserve">] especially in low volume stocks, </w:t>
      </w:r>
      <w:r w:rsidR="00530280">
        <w:rPr>
          <w:sz w:val="20"/>
          <w:szCs w:val="20"/>
        </w:rPr>
        <w:t>the Brazilian stock exchange [25</w:t>
      </w:r>
      <w:r w:rsidR="00370F26">
        <w:rPr>
          <w:sz w:val="20"/>
          <w:szCs w:val="20"/>
        </w:rPr>
        <w:t xml:space="preserve">] and </w:t>
      </w:r>
      <w:r w:rsidR="00D05959">
        <w:rPr>
          <w:sz w:val="20"/>
          <w:szCs w:val="20"/>
        </w:rPr>
        <w:t>the Johannesburg St</w:t>
      </w:r>
      <w:r w:rsidR="00530280">
        <w:rPr>
          <w:sz w:val="20"/>
          <w:szCs w:val="20"/>
        </w:rPr>
        <w:t>ock Exchange in South Africa [26</w:t>
      </w:r>
      <w:r w:rsidR="00D05959">
        <w:rPr>
          <w:sz w:val="20"/>
          <w:szCs w:val="20"/>
        </w:rPr>
        <w:t xml:space="preserve">]. </w:t>
      </w:r>
    </w:p>
    <w:p w:rsidR="0020458F" w:rsidRDefault="003F41C3" w:rsidP="00BC4BC6">
      <w:pPr>
        <w:spacing w:after="0"/>
        <w:ind w:firstLine="360"/>
        <w:rPr>
          <w:sz w:val="20"/>
          <w:szCs w:val="20"/>
          <w:lang w:val="en-US"/>
        </w:rPr>
      </w:pPr>
      <w:r>
        <w:rPr>
          <w:sz w:val="20"/>
          <w:szCs w:val="20"/>
          <w:lang w:val="en-US"/>
        </w:rPr>
        <w:t xml:space="preserve">On the other hand, </w:t>
      </w:r>
      <w:r w:rsidR="00D05959">
        <w:rPr>
          <w:sz w:val="20"/>
          <w:szCs w:val="20"/>
          <w:lang w:val="en-US"/>
        </w:rPr>
        <w:t xml:space="preserve">evidence of stock market </w:t>
      </w:r>
      <w:r>
        <w:rPr>
          <w:sz w:val="20"/>
          <w:szCs w:val="20"/>
          <w:lang w:val="en-US"/>
        </w:rPr>
        <w:t>u</w:t>
      </w:r>
      <w:r w:rsidR="00F53021">
        <w:rPr>
          <w:sz w:val="20"/>
          <w:szCs w:val="20"/>
          <w:lang w:val="en-US"/>
        </w:rPr>
        <w:t xml:space="preserve">nderreaction </w:t>
      </w:r>
      <w:r w:rsidR="00D05959">
        <w:rPr>
          <w:sz w:val="20"/>
          <w:szCs w:val="20"/>
          <w:lang w:val="en-US"/>
        </w:rPr>
        <w:t xml:space="preserve">was found on the Indian stock market </w:t>
      </w:r>
      <w:r>
        <w:rPr>
          <w:sz w:val="20"/>
          <w:szCs w:val="20"/>
          <w:lang w:val="en-US"/>
        </w:rPr>
        <w:t>specifically</w:t>
      </w:r>
      <w:r w:rsidRPr="003F41C3">
        <w:rPr>
          <w:sz w:val="20"/>
          <w:szCs w:val="20"/>
          <w:lang w:val="en-US"/>
        </w:rPr>
        <w:t xml:space="preserve"> in the medium and smaller capitalization stocks</w:t>
      </w:r>
      <w:r w:rsidR="00D05959">
        <w:rPr>
          <w:sz w:val="20"/>
          <w:szCs w:val="20"/>
          <w:lang w:val="en-US"/>
        </w:rPr>
        <w:t xml:space="preserve"> [2</w:t>
      </w:r>
      <w:r w:rsidR="00530280">
        <w:rPr>
          <w:sz w:val="20"/>
          <w:szCs w:val="20"/>
          <w:lang w:val="en-US"/>
        </w:rPr>
        <w:t>7</w:t>
      </w:r>
      <w:r w:rsidR="00D05959">
        <w:rPr>
          <w:sz w:val="20"/>
          <w:szCs w:val="20"/>
          <w:lang w:val="en-US"/>
        </w:rPr>
        <w:t>]</w:t>
      </w:r>
      <w:r w:rsidR="00BC4BC6">
        <w:rPr>
          <w:sz w:val="20"/>
          <w:szCs w:val="20"/>
          <w:lang w:val="en-US"/>
        </w:rPr>
        <w:t>; in</w:t>
      </w:r>
      <w:r>
        <w:rPr>
          <w:sz w:val="20"/>
          <w:szCs w:val="20"/>
          <w:lang w:val="en-US"/>
        </w:rPr>
        <w:t xml:space="preserve"> </w:t>
      </w:r>
      <w:r w:rsidR="00AF7736" w:rsidRPr="003F0A46">
        <w:rPr>
          <w:sz w:val="20"/>
          <w:szCs w:val="20"/>
          <w:lang w:val="en-US"/>
        </w:rPr>
        <w:t>eight Pacific Basin countries</w:t>
      </w:r>
      <w:r>
        <w:rPr>
          <w:sz w:val="20"/>
          <w:szCs w:val="20"/>
          <w:lang w:val="en-US"/>
        </w:rPr>
        <w:t xml:space="preserve"> over the period 1975 to 2000</w:t>
      </w:r>
      <w:r w:rsidR="00530280">
        <w:rPr>
          <w:sz w:val="20"/>
          <w:szCs w:val="20"/>
          <w:lang w:val="en-US"/>
        </w:rPr>
        <w:t xml:space="preserve"> [28]</w:t>
      </w:r>
      <w:r w:rsidR="00AF7736">
        <w:rPr>
          <w:sz w:val="20"/>
          <w:szCs w:val="20"/>
          <w:lang w:val="en-US"/>
        </w:rPr>
        <w:t xml:space="preserve"> </w:t>
      </w:r>
      <w:r w:rsidR="00BC4BC6">
        <w:rPr>
          <w:sz w:val="20"/>
          <w:szCs w:val="20"/>
          <w:lang w:val="en-US"/>
        </w:rPr>
        <w:t>as well as for</w:t>
      </w:r>
      <w:r>
        <w:rPr>
          <w:sz w:val="20"/>
          <w:szCs w:val="20"/>
          <w:lang w:val="en-US"/>
        </w:rPr>
        <w:t xml:space="preserve"> 23 international equity markets from January 1980 to June 1995 that </w:t>
      </w:r>
      <w:r w:rsidR="00BC4BC6">
        <w:rPr>
          <w:sz w:val="20"/>
          <w:szCs w:val="20"/>
          <w:lang w:val="en-US"/>
        </w:rPr>
        <w:t xml:space="preserve">show the profitability of momentum investing in achieving </w:t>
      </w:r>
      <w:r>
        <w:rPr>
          <w:sz w:val="20"/>
          <w:szCs w:val="20"/>
          <w:lang w:val="en-US"/>
        </w:rPr>
        <w:t>short term profits for period up to 4 weeks</w:t>
      </w:r>
      <w:r w:rsidR="00BC4BC6">
        <w:rPr>
          <w:sz w:val="20"/>
          <w:szCs w:val="20"/>
          <w:lang w:val="en-US"/>
        </w:rPr>
        <w:t xml:space="preserve"> [</w:t>
      </w:r>
      <w:r w:rsidR="00530280">
        <w:rPr>
          <w:sz w:val="20"/>
          <w:szCs w:val="20"/>
          <w:lang w:val="en-US"/>
        </w:rPr>
        <w:t>5</w:t>
      </w:r>
      <w:r w:rsidR="00BC4BC6">
        <w:rPr>
          <w:sz w:val="20"/>
          <w:szCs w:val="20"/>
          <w:lang w:val="en-US"/>
        </w:rPr>
        <w:t xml:space="preserve">]. </w:t>
      </w:r>
    </w:p>
    <w:p w:rsidR="004D2470" w:rsidRDefault="00AF7736" w:rsidP="009462B2">
      <w:pPr>
        <w:autoSpaceDE w:val="0"/>
        <w:autoSpaceDN w:val="0"/>
        <w:adjustRightInd w:val="0"/>
        <w:spacing w:after="0"/>
        <w:ind w:firstLine="360"/>
        <w:outlineLvl w:val="9"/>
        <w:rPr>
          <w:sz w:val="20"/>
          <w:szCs w:val="20"/>
          <w:lang w:val="en-US"/>
        </w:rPr>
      </w:pPr>
      <w:r>
        <w:rPr>
          <w:sz w:val="20"/>
          <w:szCs w:val="20"/>
          <w:lang w:val="en-US"/>
        </w:rPr>
        <w:t xml:space="preserve">This survey of the literature shows that only few studies focus on emerging markets, and that no </w:t>
      </w:r>
      <w:r w:rsidR="00F53021">
        <w:rPr>
          <w:sz w:val="20"/>
          <w:szCs w:val="20"/>
          <w:lang w:val="en-US"/>
        </w:rPr>
        <w:t xml:space="preserve">study tackles the question on Arab stock exchanges like the </w:t>
      </w:r>
      <w:r w:rsidR="009462B2">
        <w:rPr>
          <w:sz w:val="20"/>
          <w:szCs w:val="20"/>
          <w:lang w:val="en-US"/>
        </w:rPr>
        <w:t>EGX</w:t>
      </w:r>
      <w:r w:rsidR="00F53021">
        <w:rPr>
          <w:sz w:val="20"/>
          <w:szCs w:val="20"/>
          <w:lang w:val="en-US"/>
        </w:rPr>
        <w:t xml:space="preserve">. In this paper we will test whether over/under reaction exist on the EGX and subsequently examine whether a trading strategy can be applied to make profits.   </w:t>
      </w:r>
    </w:p>
    <w:p w:rsidR="009462B2" w:rsidRPr="009462B2" w:rsidRDefault="009462B2" w:rsidP="009462B2">
      <w:pPr>
        <w:autoSpaceDE w:val="0"/>
        <w:autoSpaceDN w:val="0"/>
        <w:adjustRightInd w:val="0"/>
        <w:spacing w:after="0"/>
        <w:ind w:firstLine="360"/>
        <w:outlineLvl w:val="9"/>
        <w:rPr>
          <w:sz w:val="20"/>
          <w:szCs w:val="20"/>
          <w:lang w:val="en-US"/>
        </w:rPr>
      </w:pPr>
    </w:p>
    <w:p w:rsidR="00CA4F45" w:rsidRPr="003F0A46" w:rsidRDefault="00CA4F45" w:rsidP="00CC2B9C">
      <w:pPr>
        <w:pStyle w:val="ListParagraph"/>
        <w:numPr>
          <w:ilvl w:val="0"/>
          <w:numId w:val="15"/>
        </w:numPr>
        <w:spacing w:line="276" w:lineRule="auto"/>
        <w:jc w:val="left"/>
        <w:outlineLvl w:val="9"/>
        <w:rPr>
          <w:rFonts w:asciiTheme="majorBidi" w:eastAsiaTheme="majorEastAsia" w:hAnsiTheme="majorBidi" w:cstheme="majorBidi"/>
          <w:b/>
          <w:bCs/>
          <w:caps/>
          <w:color w:val="000000" w:themeColor="text1"/>
          <w:sz w:val="20"/>
          <w:szCs w:val="20"/>
          <w:lang w:val="en-US"/>
        </w:rPr>
      </w:pPr>
      <w:r w:rsidRPr="003F0A46">
        <w:rPr>
          <w:rFonts w:asciiTheme="majorBidi" w:hAnsiTheme="majorBidi" w:cstheme="majorBidi"/>
          <w:color w:val="000000" w:themeColor="text1"/>
          <w:sz w:val="20"/>
          <w:szCs w:val="20"/>
          <w:lang w:val="en-US"/>
        </w:rPr>
        <w:t xml:space="preserve"> </w:t>
      </w:r>
      <w:r w:rsidR="00CC2B9C" w:rsidRPr="003F0A46">
        <w:rPr>
          <w:rFonts w:asciiTheme="majorBidi" w:hAnsiTheme="majorBidi" w:cstheme="majorBidi"/>
          <w:b/>
          <w:bCs/>
          <w:caps/>
          <w:color w:val="000000" w:themeColor="text1"/>
          <w:sz w:val="20"/>
          <w:szCs w:val="20"/>
          <w:lang w:val="en-US"/>
        </w:rPr>
        <w:t>RESEARCH METHODOLOGY</w:t>
      </w:r>
    </w:p>
    <w:p w:rsidR="00CC2B9C" w:rsidRPr="003F0A46" w:rsidRDefault="00CC2B9C" w:rsidP="00CC2B9C">
      <w:pPr>
        <w:pStyle w:val="ListParagraph"/>
        <w:numPr>
          <w:ilvl w:val="1"/>
          <w:numId w:val="15"/>
        </w:numPr>
        <w:spacing w:line="276" w:lineRule="auto"/>
        <w:jc w:val="left"/>
        <w:outlineLvl w:val="9"/>
        <w:rPr>
          <w:rFonts w:asciiTheme="majorBidi" w:eastAsiaTheme="majorEastAsia" w:hAnsiTheme="majorBidi" w:cstheme="majorBidi"/>
          <w:b/>
          <w:bCs/>
          <w:caps/>
          <w:color w:val="000000" w:themeColor="text1"/>
          <w:sz w:val="20"/>
          <w:szCs w:val="20"/>
          <w:lang w:val="en-US"/>
        </w:rPr>
      </w:pPr>
      <w:r w:rsidRPr="003F0A46">
        <w:rPr>
          <w:rFonts w:asciiTheme="majorBidi" w:eastAsiaTheme="majorEastAsia" w:hAnsiTheme="majorBidi" w:cstheme="majorBidi"/>
          <w:b/>
          <w:bCs/>
          <w:caps/>
          <w:color w:val="000000" w:themeColor="text1"/>
          <w:sz w:val="20"/>
          <w:szCs w:val="20"/>
          <w:lang w:val="en-US"/>
        </w:rPr>
        <w:t>sample data</w:t>
      </w:r>
    </w:p>
    <w:p w:rsidR="000556E5" w:rsidRPr="003F0A46" w:rsidRDefault="00CA4F45" w:rsidP="00370F26">
      <w:pPr>
        <w:spacing w:after="0"/>
        <w:ind w:firstLine="360"/>
        <w:rPr>
          <w:sz w:val="20"/>
          <w:szCs w:val="20"/>
          <w:lang w:val="en-US"/>
        </w:rPr>
      </w:pPr>
      <w:r w:rsidRPr="003F0A46">
        <w:rPr>
          <w:sz w:val="20"/>
          <w:szCs w:val="20"/>
          <w:lang w:val="en-US"/>
        </w:rPr>
        <w:t xml:space="preserve">The Egyptian Exchange is one of the oldest stock markets </w:t>
      </w:r>
      <w:r w:rsidR="0036734E" w:rsidRPr="003F0A46">
        <w:rPr>
          <w:sz w:val="20"/>
          <w:szCs w:val="20"/>
          <w:lang w:val="en-US"/>
        </w:rPr>
        <w:t>and</w:t>
      </w:r>
      <w:r w:rsidRPr="003F0A46">
        <w:rPr>
          <w:sz w:val="20"/>
          <w:szCs w:val="20"/>
          <w:lang w:val="en-US"/>
        </w:rPr>
        <w:t xml:space="preserve"> traces its origins to 1883</w:t>
      </w:r>
      <w:r w:rsidR="0036734E" w:rsidRPr="003F0A46">
        <w:rPr>
          <w:sz w:val="20"/>
          <w:szCs w:val="20"/>
          <w:lang w:val="en-US"/>
        </w:rPr>
        <w:t xml:space="preserve">. </w:t>
      </w:r>
      <w:r w:rsidRPr="003F0A46">
        <w:rPr>
          <w:sz w:val="20"/>
          <w:szCs w:val="20"/>
          <w:lang w:val="en-US"/>
        </w:rPr>
        <w:t xml:space="preserve">The </w:t>
      </w:r>
      <w:r w:rsidR="005A56C7">
        <w:rPr>
          <w:sz w:val="20"/>
          <w:szCs w:val="20"/>
          <w:lang w:val="en-US"/>
        </w:rPr>
        <w:t>EGX</w:t>
      </w:r>
      <w:r w:rsidRPr="003F0A46">
        <w:rPr>
          <w:sz w:val="20"/>
          <w:szCs w:val="20"/>
          <w:lang w:val="en-US"/>
        </w:rPr>
        <w:t xml:space="preserve"> has received increased attention in the last decade, especially since it was considered one of the world’s best perfo</w:t>
      </w:r>
      <w:r w:rsidR="0036734E" w:rsidRPr="003F0A46">
        <w:rPr>
          <w:sz w:val="20"/>
          <w:szCs w:val="20"/>
          <w:lang w:val="en-US"/>
        </w:rPr>
        <w:t>rming stock exchanges in 2005</w:t>
      </w:r>
      <w:r w:rsidRPr="003F0A46">
        <w:rPr>
          <w:sz w:val="20"/>
          <w:szCs w:val="20"/>
          <w:lang w:val="en-US"/>
        </w:rPr>
        <w:t xml:space="preserve">. By the end of June 2013, the total market capitalization of the listed stocks </w:t>
      </w:r>
      <w:r w:rsidR="0036734E" w:rsidRPr="003F0A46">
        <w:rPr>
          <w:sz w:val="20"/>
          <w:szCs w:val="20"/>
          <w:lang w:val="en-US"/>
        </w:rPr>
        <w:t>was around</w:t>
      </w:r>
      <w:r w:rsidRPr="003F0A46">
        <w:rPr>
          <w:sz w:val="20"/>
          <w:szCs w:val="20"/>
          <w:lang w:val="en-US"/>
        </w:rPr>
        <w:t xml:space="preserve"> </w:t>
      </w:r>
      <w:r w:rsidR="0036734E" w:rsidRPr="003F0A46">
        <w:rPr>
          <w:sz w:val="20"/>
          <w:szCs w:val="20"/>
          <w:lang w:val="en-US"/>
        </w:rPr>
        <w:t>USD 50</w:t>
      </w:r>
      <w:r w:rsidRPr="003F0A46">
        <w:rPr>
          <w:sz w:val="20"/>
          <w:szCs w:val="20"/>
          <w:lang w:val="en-US"/>
        </w:rPr>
        <w:t xml:space="preserve"> billion</w:t>
      </w:r>
      <w:r w:rsidR="0036734E" w:rsidRPr="003F0A46">
        <w:rPr>
          <w:sz w:val="20"/>
          <w:szCs w:val="20"/>
          <w:lang w:val="en-US"/>
        </w:rPr>
        <w:t xml:space="preserve">. </w:t>
      </w:r>
    </w:p>
    <w:p w:rsidR="007863AC" w:rsidRPr="003F0A46" w:rsidRDefault="00E05479" w:rsidP="00EE638D">
      <w:pPr>
        <w:spacing w:after="0"/>
        <w:ind w:firstLine="360"/>
        <w:rPr>
          <w:sz w:val="20"/>
          <w:szCs w:val="20"/>
          <w:lang w:val="en-US"/>
        </w:rPr>
      </w:pPr>
      <w:r w:rsidRPr="003F0A46">
        <w:rPr>
          <w:sz w:val="20"/>
          <w:szCs w:val="20"/>
          <w:lang w:val="en-US"/>
        </w:rPr>
        <w:t>In this study</w:t>
      </w:r>
      <w:r w:rsidR="00F04A42" w:rsidRPr="003F0A46">
        <w:rPr>
          <w:sz w:val="20"/>
          <w:szCs w:val="20"/>
          <w:lang w:val="en-US"/>
        </w:rPr>
        <w:t>,</w:t>
      </w:r>
      <w:r w:rsidRPr="003F0A46">
        <w:rPr>
          <w:sz w:val="20"/>
          <w:szCs w:val="20"/>
          <w:lang w:val="en-US"/>
        </w:rPr>
        <w:t xml:space="preserve"> our sample involves all stocks listed on Egyptian Exchange as of 31</w:t>
      </w:r>
      <w:r w:rsidRPr="003F0A46">
        <w:rPr>
          <w:sz w:val="20"/>
          <w:szCs w:val="20"/>
          <w:vertAlign w:val="superscript"/>
          <w:lang w:val="en-US"/>
        </w:rPr>
        <w:t xml:space="preserve">st </w:t>
      </w:r>
      <w:r w:rsidRPr="003F0A46">
        <w:rPr>
          <w:sz w:val="20"/>
          <w:szCs w:val="20"/>
          <w:lang w:val="en-US"/>
        </w:rPr>
        <w:t xml:space="preserve">of March 2014. We focus on weekly prices, as well as </w:t>
      </w:r>
      <w:r w:rsidR="00F04A42" w:rsidRPr="003F0A46">
        <w:rPr>
          <w:sz w:val="20"/>
          <w:szCs w:val="20"/>
          <w:lang w:val="en-US"/>
        </w:rPr>
        <w:t>volume</w:t>
      </w:r>
      <w:r w:rsidR="009B6217" w:rsidRPr="003F0A46">
        <w:rPr>
          <w:sz w:val="20"/>
          <w:szCs w:val="20"/>
          <w:lang w:val="en-US"/>
        </w:rPr>
        <w:t>, market capitalization</w:t>
      </w:r>
      <w:r w:rsidR="00F04A42" w:rsidRPr="003F0A46">
        <w:rPr>
          <w:sz w:val="20"/>
          <w:szCs w:val="20"/>
          <w:lang w:val="en-US"/>
        </w:rPr>
        <w:t xml:space="preserve"> and number of outstanding shares</w:t>
      </w:r>
      <w:r w:rsidR="00E03535" w:rsidRPr="003F0A46">
        <w:rPr>
          <w:sz w:val="20"/>
          <w:szCs w:val="20"/>
          <w:lang w:val="en-US"/>
        </w:rPr>
        <w:t xml:space="preserve">. </w:t>
      </w:r>
      <w:r w:rsidRPr="003F0A46">
        <w:rPr>
          <w:sz w:val="20"/>
          <w:szCs w:val="20"/>
          <w:lang w:val="en-US"/>
        </w:rPr>
        <w:t>Data of 16 years from January 1998 to December 2013 is used in this study and was compiled from Reuters Eikon 2013 database</w:t>
      </w:r>
      <w:r w:rsidR="00E03535" w:rsidRPr="003F0A46">
        <w:rPr>
          <w:sz w:val="20"/>
          <w:szCs w:val="20"/>
          <w:lang w:val="en-US"/>
        </w:rPr>
        <w:t xml:space="preserve">. </w:t>
      </w:r>
      <w:r w:rsidR="00A34EC2" w:rsidRPr="003F0A46">
        <w:rPr>
          <w:sz w:val="20"/>
          <w:szCs w:val="20"/>
          <w:lang w:val="en-US"/>
        </w:rPr>
        <w:t>Unlike previous studies that focus on sample cross-section of stocks listed on an exchange that are only part of an index, this study takes into consideration all stocks listed in the Egyptian Exchange</w:t>
      </w:r>
      <w:r w:rsidR="00420829" w:rsidRPr="003F0A46">
        <w:rPr>
          <w:sz w:val="20"/>
          <w:szCs w:val="20"/>
          <w:lang w:val="en-US"/>
        </w:rPr>
        <w:t>.</w:t>
      </w:r>
      <w:r w:rsidR="00E03535" w:rsidRPr="003F0A46">
        <w:rPr>
          <w:sz w:val="20"/>
          <w:szCs w:val="20"/>
          <w:lang w:val="en-US"/>
        </w:rPr>
        <w:t xml:space="preserve"> </w:t>
      </w:r>
      <w:r w:rsidR="007863AC" w:rsidRPr="003F0A46">
        <w:rPr>
          <w:sz w:val="20"/>
          <w:szCs w:val="20"/>
          <w:lang w:val="en-US"/>
        </w:rPr>
        <w:t xml:space="preserve">To ensure that we have the most active stocks out of the sample, a second filtering criterion is used which is the turnover ratio of the stocks. Turnover ratio </w:t>
      </w:r>
      <w:r w:rsidR="007863AC" w:rsidRPr="003F0A46">
        <w:rPr>
          <w:sz w:val="20"/>
          <w:szCs w:val="20"/>
          <w:lang w:val="en-US"/>
        </w:rPr>
        <w:lastRenderedPageBreak/>
        <w:t>is the trading volume divided by the number of shares outstanding.  Stocks with average annual turnover ratio less than 80 % (lowest decile) are excluded.</w:t>
      </w:r>
    </w:p>
    <w:p w:rsidR="005A56C7" w:rsidRDefault="007863AC" w:rsidP="00154342">
      <w:pPr>
        <w:spacing w:after="0"/>
        <w:ind w:firstLine="360"/>
        <w:rPr>
          <w:sz w:val="20"/>
          <w:szCs w:val="20"/>
          <w:lang w:val="en-US"/>
        </w:rPr>
      </w:pPr>
      <w:r w:rsidRPr="003F0A46">
        <w:rPr>
          <w:sz w:val="20"/>
          <w:szCs w:val="20"/>
          <w:lang w:val="en-US"/>
        </w:rPr>
        <w:t xml:space="preserve">We further exclude observations around political events (the post-revolution closure of EGX for two months in 2011). This gives us 827 weekly observations of 184 stocks representing 84.40 percent of the entire universe of listed securities. </w:t>
      </w:r>
      <w:r w:rsidR="00E05479" w:rsidRPr="003F0A46">
        <w:rPr>
          <w:sz w:val="20"/>
          <w:szCs w:val="20"/>
          <w:lang w:val="en-US"/>
        </w:rPr>
        <w:t>For market benchmarking, t</w:t>
      </w:r>
      <w:r w:rsidR="008C727D" w:rsidRPr="003F0A46">
        <w:rPr>
          <w:sz w:val="20"/>
          <w:szCs w:val="20"/>
          <w:lang w:val="en-US"/>
        </w:rPr>
        <w:t>he index employed in this study is the EGX 30. The start date of the index was January 2</w:t>
      </w:r>
      <w:r w:rsidR="008C727D" w:rsidRPr="003F0A46">
        <w:rPr>
          <w:sz w:val="20"/>
          <w:szCs w:val="20"/>
          <w:vertAlign w:val="superscript"/>
          <w:lang w:val="en-US"/>
        </w:rPr>
        <w:t>nd</w:t>
      </w:r>
      <w:r w:rsidR="008C727D" w:rsidRPr="003F0A46">
        <w:rPr>
          <w:sz w:val="20"/>
          <w:szCs w:val="20"/>
          <w:lang w:val="en-US"/>
        </w:rPr>
        <w:t xml:space="preserve"> 1998, with a base value of 1000 points.  </w:t>
      </w:r>
      <w:r w:rsidR="00154342">
        <w:rPr>
          <w:sz w:val="20"/>
          <w:szCs w:val="20"/>
          <w:lang w:val="en-US"/>
        </w:rPr>
        <w:t>The</w:t>
      </w:r>
      <w:r w:rsidR="008C727D" w:rsidRPr="003F0A46">
        <w:rPr>
          <w:sz w:val="20"/>
          <w:szCs w:val="20"/>
          <w:lang w:val="en-US"/>
        </w:rPr>
        <w:t xml:space="preserve"> EGX 30 Index is weighted by market capitalization and adjusted by the free float. </w:t>
      </w:r>
    </w:p>
    <w:p w:rsidR="007863AC" w:rsidRPr="003F0A46" w:rsidRDefault="00F04A42" w:rsidP="00DD334E">
      <w:pPr>
        <w:spacing w:after="0"/>
        <w:ind w:firstLine="720"/>
        <w:rPr>
          <w:sz w:val="20"/>
          <w:szCs w:val="20"/>
          <w:lang w:val="en-US"/>
        </w:rPr>
      </w:pPr>
      <w:r w:rsidRPr="003F0A46">
        <w:rPr>
          <w:sz w:val="20"/>
          <w:szCs w:val="20"/>
          <w:lang w:val="en-US"/>
        </w:rPr>
        <w:t xml:space="preserve"> </w:t>
      </w:r>
    </w:p>
    <w:p w:rsidR="00CC2B9C" w:rsidRPr="003F0A46" w:rsidRDefault="00CC2B9C" w:rsidP="007863AC">
      <w:pPr>
        <w:pStyle w:val="ListParagraph"/>
        <w:numPr>
          <w:ilvl w:val="1"/>
          <w:numId w:val="15"/>
        </w:numPr>
        <w:rPr>
          <w:b/>
          <w:bCs/>
          <w:caps/>
          <w:sz w:val="20"/>
          <w:szCs w:val="20"/>
          <w:lang w:val="en-US"/>
        </w:rPr>
      </w:pPr>
      <w:r w:rsidRPr="003F0A46">
        <w:rPr>
          <w:b/>
          <w:bCs/>
          <w:caps/>
          <w:sz w:val="20"/>
          <w:szCs w:val="20"/>
          <w:lang w:val="en-US"/>
        </w:rPr>
        <w:t>Methodology</w:t>
      </w:r>
      <w:r w:rsidRPr="003F0A46">
        <w:rPr>
          <w:b/>
          <w:bCs/>
          <w:caps/>
          <w:sz w:val="20"/>
          <w:szCs w:val="20"/>
          <w:lang w:val="en-US"/>
        </w:rPr>
        <w:tab/>
      </w:r>
      <w:r w:rsidRPr="003F0A46">
        <w:rPr>
          <w:b/>
          <w:bCs/>
          <w:caps/>
          <w:sz w:val="20"/>
          <w:szCs w:val="20"/>
          <w:lang w:val="en-US"/>
        </w:rPr>
        <w:tab/>
      </w:r>
    </w:p>
    <w:p w:rsidR="00F727D9" w:rsidRPr="003F0A46" w:rsidRDefault="00F54778" w:rsidP="00F727D9">
      <w:pPr>
        <w:spacing w:after="0"/>
        <w:ind w:firstLine="360"/>
        <w:rPr>
          <w:sz w:val="20"/>
          <w:szCs w:val="20"/>
          <w:lang w:val="en-US"/>
        </w:rPr>
      </w:pPr>
      <w:r w:rsidRPr="003F0A46">
        <w:rPr>
          <w:sz w:val="20"/>
          <w:szCs w:val="20"/>
          <w:lang w:val="en-US"/>
        </w:rPr>
        <w:t xml:space="preserve">In order to test over/under reaction, </w:t>
      </w:r>
      <w:r w:rsidR="00F727D9" w:rsidRPr="003F0A46">
        <w:rPr>
          <w:sz w:val="20"/>
          <w:szCs w:val="20"/>
          <w:lang w:val="en-US"/>
        </w:rPr>
        <w:t xml:space="preserve">we first measure </w:t>
      </w:r>
      <w:r w:rsidRPr="003F0A46">
        <w:rPr>
          <w:sz w:val="20"/>
          <w:szCs w:val="20"/>
          <w:lang w:val="en-US"/>
        </w:rPr>
        <w:t>each stock</w:t>
      </w:r>
      <w:r w:rsidR="009462B2">
        <w:rPr>
          <w:sz w:val="20"/>
          <w:szCs w:val="20"/>
          <w:lang w:val="en-US"/>
        </w:rPr>
        <w:t>’s</w:t>
      </w:r>
      <w:r w:rsidRPr="003F0A46">
        <w:rPr>
          <w:sz w:val="20"/>
          <w:szCs w:val="20"/>
          <w:lang w:val="en-US"/>
        </w:rPr>
        <w:t xml:space="preserve"> </w:t>
      </w:r>
      <w:r w:rsidR="00F727D9" w:rsidRPr="003F0A46">
        <w:rPr>
          <w:sz w:val="20"/>
          <w:szCs w:val="20"/>
          <w:lang w:val="en-US"/>
        </w:rPr>
        <w:t xml:space="preserve">weekly </w:t>
      </w:r>
      <w:r w:rsidRPr="003F0A46">
        <w:rPr>
          <w:sz w:val="20"/>
          <w:szCs w:val="20"/>
          <w:lang w:val="en-US"/>
        </w:rPr>
        <w:t xml:space="preserve">abnormal returns </w:t>
      </w:r>
      <w:r w:rsidR="00F727D9" w:rsidRPr="003F0A46">
        <w:rPr>
          <w:sz w:val="20"/>
          <w:szCs w:val="20"/>
          <w:lang w:val="en-US"/>
        </w:rPr>
        <w:t xml:space="preserve">as follows: </w:t>
      </w:r>
    </w:p>
    <w:p w:rsidR="00A96949" w:rsidRPr="00A96949" w:rsidRDefault="00F727D9" w:rsidP="00A96949">
      <w:pPr>
        <w:spacing w:after="0"/>
        <w:jc w:val="center"/>
        <w:rPr>
          <w:rFonts w:eastAsiaTheme="minorEastAsia"/>
          <w:sz w:val="20"/>
          <w:szCs w:val="20"/>
          <w:lang w:val="en-US"/>
        </w:rPr>
      </w:pPr>
      <m:oMath>
        <m:r>
          <w:rPr>
            <w:rFonts w:ascii="Cambria Math" w:hAnsi="Cambria Math"/>
            <w:sz w:val="20"/>
            <w:szCs w:val="20"/>
            <w:lang w:val="en-US"/>
          </w:rPr>
          <m:t>A</m:t>
        </m:r>
        <m:sSub>
          <m:sSubPr>
            <m:ctrlPr>
              <w:rPr>
                <w:rFonts w:ascii="Cambria Math" w:hAnsi="Cambria Math"/>
                <w:sz w:val="20"/>
                <w:szCs w:val="20"/>
                <w:lang w:val="en-US"/>
              </w:rPr>
            </m:ctrlPr>
          </m:sSubPr>
          <m:e>
            <m:r>
              <w:rPr>
                <w:rFonts w:ascii="Cambria Math" w:hAnsi="Cambria Math"/>
                <w:sz w:val="20"/>
                <w:szCs w:val="20"/>
                <w:lang w:val="en-US"/>
              </w:rPr>
              <m:t>R</m:t>
            </m:r>
          </m:e>
          <m:sub>
            <m:sSub>
              <m:sSubPr>
                <m:ctrlPr>
                  <w:rPr>
                    <w:rFonts w:ascii="Cambria Math" w:hAnsi="Cambria Math"/>
                    <w:sz w:val="20"/>
                    <w:szCs w:val="20"/>
                    <w:lang w:val="en-US"/>
                  </w:rPr>
                </m:ctrlPr>
              </m:sSubPr>
              <m:e>
                <m:r>
                  <w:rPr>
                    <w:rFonts w:ascii="Cambria Math" w:hAnsi="Cambria Math"/>
                    <w:sz w:val="20"/>
                    <w:szCs w:val="20"/>
                    <w:lang w:val="en-US"/>
                  </w:rPr>
                  <m:t>i</m:t>
                </m:r>
              </m:e>
              <m:sub>
                <m:sSup>
                  <m:sSupPr>
                    <m:ctrlPr>
                      <w:rPr>
                        <w:rFonts w:ascii="Cambria Math" w:hAnsi="Cambria Math"/>
                        <w:sz w:val="20"/>
                        <w:szCs w:val="20"/>
                        <w:lang w:val="en-US"/>
                      </w:rPr>
                    </m:ctrlPr>
                  </m:sSupPr>
                  <m:e>
                    <m:r>
                      <m:rPr>
                        <m:sty m:val="p"/>
                      </m:rPr>
                      <w:rPr>
                        <w:rFonts w:ascii="Cambria Math"/>
                        <w:sz w:val="20"/>
                        <w:szCs w:val="20"/>
                        <w:lang w:val="en-US"/>
                      </w:rPr>
                      <m:t>,</m:t>
                    </m:r>
                  </m:e>
                  <m:sup>
                    <m:r>
                      <w:rPr>
                        <w:rFonts w:ascii="Cambria Math" w:hAnsi="Cambria Math"/>
                        <w:sz w:val="20"/>
                        <w:szCs w:val="20"/>
                        <w:lang w:val="en-US"/>
                      </w:rPr>
                      <m:t>t</m:t>
                    </m:r>
                    <m:r>
                      <m:rPr>
                        <m:sty m:val="p"/>
                      </m:rPr>
                      <w:rPr>
                        <w:rFonts w:ascii="Cambria Math" w:hAnsi="Cambria Math"/>
                        <w:sz w:val="20"/>
                        <w:szCs w:val="20"/>
                        <w:lang w:val="en-US"/>
                      </w:rPr>
                      <m:t>-</m:t>
                    </m:r>
                    <m:r>
                      <m:rPr>
                        <m:sty m:val="p"/>
                      </m:rPr>
                      <w:rPr>
                        <w:rFonts w:ascii="Cambria Math"/>
                        <w:sz w:val="20"/>
                        <w:szCs w:val="20"/>
                        <w:lang w:val="en-US"/>
                      </w:rPr>
                      <m:t>1</m:t>
                    </m:r>
                  </m:sup>
                </m:sSup>
              </m:sub>
            </m:sSub>
          </m:sub>
        </m:sSub>
        <m:r>
          <m:rPr>
            <m:sty m:val="p"/>
          </m:rPr>
          <w:rPr>
            <w:rFonts w:ascii="Cambria Math" w:eastAsiaTheme="minorEastAsia"/>
            <w:sz w:val="20"/>
            <w:szCs w:val="20"/>
            <w:lang w:val="en-US"/>
          </w:rPr>
          <m:t xml:space="preserve">= </m:t>
        </m:r>
        <m:sSub>
          <m:sSubPr>
            <m:ctrlPr>
              <w:rPr>
                <w:rFonts w:ascii="Cambria Math" w:hAnsi="Cambria Math"/>
                <w:sz w:val="20"/>
                <w:szCs w:val="20"/>
                <w:lang w:val="en-US"/>
              </w:rPr>
            </m:ctrlPr>
          </m:sSubPr>
          <m:e>
            <m:r>
              <w:rPr>
                <w:rFonts w:ascii="Cambria Math" w:hAnsi="Cambria Math"/>
                <w:sz w:val="20"/>
                <w:szCs w:val="20"/>
                <w:lang w:val="en-US"/>
              </w:rPr>
              <m:t>R</m:t>
            </m:r>
          </m:e>
          <m:sub>
            <m:sSub>
              <m:sSubPr>
                <m:ctrlPr>
                  <w:rPr>
                    <w:rFonts w:ascii="Cambria Math" w:hAnsi="Cambria Math"/>
                    <w:sz w:val="20"/>
                    <w:szCs w:val="20"/>
                    <w:lang w:val="en-US"/>
                  </w:rPr>
                </m:ctrlPr>
              </m:sSubPr>
              <m:e>
                <m:r>
                  <w:rPr>
                    <w:rFonts w:ascii="Cambria Math" w:hAnsi="Cambria Math"/>
                    <w:sz w:val="20"/>
                    <w:szCs w:val="20"/>
                    <w:lang w:val="en-US"/>
                  </w:rPr>
                  <m:t>i</m:t>
                </m:r>
              </m:e>
              <m:sub>
                <m:sSup>
                  <m:sSupPr>
                    <m:ctrlPr>
                      <w:rPr>
                        <w:rFonts w:ascii="Cambria Math" w:hAnsi="Cambria Math"/>
                        <w:sz w:val="20"/>
                        <w:szCs w:val="20"/>
                        <w:lang w:val="en-US"/>
                      </w:rPr>
                    </m:ctrlPr>
                  </m:sSupPr>
                  <m:e>
                    <m:r>
                      <m:rPr>
                        <m:sty m:val="p"/>
                      </m:rPr>
                      <w:rPr>
                        <w:rFonts w:ascii="Cambria Math"/>
                        <w:sz w:val="20"/>
                        <w:szCs w:val="20"/>
                        <w:lang w:val="en-US"/>
                      </w:rPr>
                      <m:t>,</m:t>
                    </m:r>
                  </m:e>
                  <m:sup>
                    <m:r>
                      <w:rPr>
                        <w:rFonts w:ascii="Cambria Math" w:hAnsi="Cambria Math"/>
                        <w:sz w:val="20"/>
                        <w:szCs w:val="20"/>
                        <w:lang w:val="en-US"/>
                      </w:rPr>
                      <m:t>t</m:t>
                    </m:r>
                    <m:r>
                      <m:rPr>
                        <m:sty m:val="p"/>
                      </m:rPr>
                      <w:rPr>
                        <w:rFonts w:ascii="Cambria Math" w:hAnsi="Cambria Math"/>
                        <w:sz w:val="20"/>
                        <w:szCs w:val="20"/>
                        <w:lang w:val="en-US"/>
                      </w:rPr>
                      <m:t>-</m:t>
                    </m:r>
                    <m:r>
                      <m:rPr>
                        <m:sty m:val="p"/>
                      </m:rPr>
                      <w:rPr>
                        <w:rFonts w:ascii="Cambria Math"/>
                        <w:sz w:val="20"/>
                        <w:szCs w:val="20"/>
                        <w:lang w:val="en-US"/>
                      </w:rPr>
                      <m:t>1</m:t>
                    </m:r>
                  </m:sup>
                </m:sSup>
              </m:sub>
            </m:sSub>
          </m:sub>
        </m:sSub>
        <m:r>
          <m:rPr>
            <m:sty m:val="p"/>
          </m:rPr>
          <w:rPr>
            <w:rFonts w:ascii="Cambria Math" w:eastAsiaTheme="minorEastAsia" w:hAnsi="Cambria Math"/>
            <w:sz w:val="20"/>
            <w:szCs w:val="20"/>
            <w:lang w:val="en-US"/>
          </w:rPr>
          <m:t>-</m:t>
        </m:r>
        <m:r>
          <m:rPr>
            <m:sty m:val="p"/>
          </m:rPr>
          <w:rPr>
            <w:rFonts w:ascii="Cambria Math" w:eastAsiaTheme="minorEastAsia"/>
            <w:sz w:val="20"/>
            <w:szCs w:val="20"/>
            <w:lang w:val="en-US"/>
          </w:rPr>
          <m:t xml:space="preserve"> </m:t>
        </m:r>
        <m:sSub>
          <m:sSubPr>
            <m:ctrlPr>
              <w:rPr>
                <w:rFonts w:ascii="Cambria Math" w:hAnsi="Cambria Math"/>
                <w:sz w:val="20"/>
                <w:szCs w:val="20"/>
                <w:lang w:val="en-US"/>
              </w:rPr>
            </m:ctrlPr>
          </m:sSubPr>
          <m:e>
            <m:r>
              <w:rPr>
                <w:rFonts w:ascii="Cambria Math" w:hAnsi="Cambria Math"/>
                <w:sz w:val="20"/>
                <w:szCs w:val="20"/>
                <w:lang w:val="en-US"/>
              </w:rPr>
              <m:t>R</m:t>
            </m:r>
          </m:e>
          <m:sub>
            <m:sSub>
              <m:sSubPr>
                <m:ctrlPr>
                  <w:rPr>
                    <w:rFonts w:ascii="Cambria Math" w:hAnsi="Cambria Math"/>
                    <w:sz w:val="20"/>
                    <w:szCs w:val="20"/>
                    <w:lang w:val="en-US"/>
                  </w:rPr>
                </m:ctrlPr>
              </m:sSubPr>
              <m:e>
                <m:r>
                  <w:rPr>
                    <w:rFonts w:ascii="Cambria Math" w:hAnsi="Cambria Math"/>
                    <w:sz w:val="20"/>
                    <w:szCs w:val="20"/>
                    <w:lang w:val="en-US"/>
                  </w:rPr>
                  <m:t>m</m:t>
                </m:r>
              </m:e>
              <m:sub>
                <m:sSup>
                  <m:sSupPr>
                    <m:ctrlPr>
                      <w:rPr>
                        <w:rFonts w:ascii="Cambria Math" w:hAnsi="Cambria Math"/>
                        <w:sz w:val="20"/>
                        <w:szCs w:val="20"/>
                        <w:lang w:val="en-US"/>
                      </w:rPr>
                    </m:ctrlPr>
                  </m:sSupPr>
                  <m:e>
                    <m:r>
                      <m:rPr>
                        <m:sty m:val="p"/>
                      </m:rPr>
                      <w:rPr>
                        <w:rFonts w:ascii="Cambria Math"/>
                        <w:sz w:val="20"/>
                        <w:szCs w:val="20"/>
                        <w:lang w:val="en-US"/>
                      </w:rPr>
                      <m:t>,</m:t>
                    </m:r>
                  </m:e>
                  <m:sup>
                    <m:r>
                      <w:rPr>
                        <w:rFonts w:ascii="Cambria Math" w:hAnsi="Cambria Math"/>
                        <w:sz w:val="20"/>
                        <w:szCs w:val="20"/>
                        <w:lang w:val="en-US"/>
                      </w:rPr>
                      <m:t>t</m:t>
                    </m:r>
                    <m:r>
                      <m:rPr>
                        <m:sty m:val="p"/>
                      </m:rPr>
                      <w:rPr>
                        <w:rFonts w:ascii="Cambria Math" w:hAnsi="Cambria Math"/>
                        <w:sz w:val="20"/>
                        <w:szCs w:val="20"/>
                        <w:lang w:val="en-US"/>
                      </w:rPr>
                      <m:t>-</m:t>
                    </m:r>
                    <m:r>
                      <m:rPr>
                        <m:sty m:val="p"/>
                      </m:rPr>
                      <w:rPr>
                        <w:rFonts w:ascii="Cambria Math"/>
                        <w:sz w:val="20"/>
                        <w:szCs w:val="20"/>
                        <w:lang w:val="en-US"/>
                      </w:rPr>
                      <m:t>1</m:t>
                    </m:r>
                  </m:sup>
                </m:sSup>
              </m:sub>
            </m:sSub>
            <m:r>
              <m:rPr>
                <m:sty m:val="p"/>
              </m:rPr>
              <w:rPr>
                <w:rFonts w:ascii="Cambria Math"/>
                <w:sz w:val="20"/>
                <w:szCs w:val="20"/>
                <w:lang w:val="en-US"/>
              </w:rPr>
              <m:t xml:space="preserve">        </m:t>
            </m:r>
          </m:sub>
        </m:sSub>
      </m:oMath>
      <w:r w:rsidR="00A96949">
        <w:rPr>
          <w:rFonts w:eastAsiaTheme="minorEastAsia"/>
          <w:sz w:val="20"/>
          <w:szCs w:val="20"/>
          <w:lang w:val="en-US"/>
        </w:rPr>
        <w:tab/>
      </w:r>
      <w:r w:rsidR="00A96949">
        <w:rPr>
          <w:rFonts w:eastAsiaTheme="minorEastAsia"/>
          <w:sz w:val="20"/>
          <w:szCs w:val="20"/>
          <w:lang w:val="en-US"/>
        </w:rPr>
        <w:tab/>
        <w:t>(1)</w:t>
      </w:r>
    </w:p>
    <w:p w:rsidR="00F727D9" w:rsidRPr="003F0A46" w:rsidRDefault="00F727D9" w:rsidP="00C0570B">
      <w:pPr>
        <w:spacing w:after="0"/>
        <w:rPr>
          <w:sz w:val="20"/>
          <w:szCs w:val="20"/>
          <w:lang w:val="en-US"/>
        </w:rPr>
      </w:pPr>
      <w:r w:rsidRPr="003F0A46">
        <w:rPr>
          <w:sz w:val="20"/>
          <w:szCs w:val="20"/>
          <w:lang w:val="en-US"/>
        </w:rPr>
        <w:t xml:space="preserve">where </w:t>
      </w:r>
      <w:r w:rsidRPr="009462B2">
        <w:rPr>
          <w:i/>
          <w:iCs/>
          <w:sz w:val="20"/>
          <w:szCs w:val="20"/>
          <w:lang w:val="en-US"/>
        </w:rPr>
        <w:t>R</w:t>
      </w:r>
      <w:r w:rsidRPr="009462B2">
        <w:rPr>
          <w:i/>
          <w:iCs/>
          <w:sz w:val="20"/>
          <w:szCs w:val="20"/>
          <w:vertAlign w:val="subscript"/>
          <w:lang w:val="en-US"/>
        </w:rPr>
        <w:t>i,t-1</w:t>
      </w:r>
      <w:r w:rsidRPr="003F0A46">
        <w:rPr>
          <w:sz w:val="20"/>
          <w:szCs w:val="20"/>
          <w:vertAlign w:val="subscript"/>
          <w:lang w:val="en-US"/>
        </w:rPr>
        <w:t xml:space="preserve"> </w:t>
      </w:r>
      <w:r w:rsidRPr="003F0A46">
        <w:rPr>
          <w:sz w:val="20"/>
          <w:szCs w:val="20"/>
          <w:lang w:val="en-US"/>
        </w:rPr>
        <w:t xml:space="preserve">is the return for stock </w:t>
      </w:r>
      <w:r w:rsidRPr="009462B2">
        <w:rPr>
          <w:i/>
          <w:iCs/>
          <w:sz w:val="20"/>
          <w:szCs w:val="20"/>
          <w:lang w:val="en-US"/>
        </w:rPr>
        <w:t>i</w:t>
      </w:r>
      <w:r w:rsidRPr="003F0A46">
        <w:rPr>
          <w:sz w:val="20"/>
          <w:szCs w:val="20"/>
          <w:lang w:val="en-US"/>
        </w:rPr>
        <w:t xml:space="preserve"> at week </w:t>
      </w:r>
      <w:r w:rsidRPr="009462B2">
        <w:rPr>
          <w:i/>
          <w:iCs/>
          <w:sz w:val="20"/>
          <w:szCs w:val="20"/>
          <w:lang w:val="en-US"/>
        </w:rPr>
        <w:t>t-1</w:t>
      </w:r>
      <w:r w:rsidRPr="003F0A46">
        <w:rPr>
          <w:sz w:val="20"/>
          <w:szCs w:val="20"/>
          <w:lang w:val="en-US"/>
        </w:rPr>
        <w:t xml:space="preserve">, and </w:t>
      </w:r>
      <w:r w:rsidRPr="009462B2">
        <w:rPr>
          <w:i/>
          <w:iCs/>
          <w:sz w:val="20"/>
          <w:szCs w:val="20"/>
          <w:lang w:val="en-US"/>
        </w:rPr>
        <w:t>R</w:t>
      </w:r>
      <w:r w:rsidRPr="009462B2">
        <w:rPr>
          <w:i/>
          <w:iCs/>
          <w:sz w:val="20"/>
          <w:szCs w:val="20"/>
          <w:vertAlign w:val="subscript"/>
          <w:lang w:val="en-US"/>
        </w:rPr>
        <w:t>m,t-1</w:t>
      </w:r>
      <w:r w:rsidRPr="003F0A46">
        <w:rPr>
          <w:sz w:val="20"/>
          <w:szCs w:val="20"/>
          <w:vertAlign w:val="subscript"/>
          <w:lang w:val="en-US"/>
        </w:rPr>
        <w:t xml:space="preserve"> </w:t>
      </w:r>
      <w:r w:rsidRPr="003F0A46">
        <w:rPr>
          <w:sz w:val="20"/>
          <w:szCs w:val="20"/>
          <w:lang w:val="en-US"/>
        </w:rPr>
        <w:t xml:space="preserve">is the return for </w:t>
      </w:r>
      <w:r w:rsidR="00C0570B" w:rsidRPr="003F0A46">
        <w:rPr>
          <w:sz w:val="20"/>
          <w:szCs w:val="20"/>
          <w:lang w:val="en-US"/>
        </w:rPr>
        <w:t xml:space="preserve">the EGX30 market index at week </w:t>
      </w:r>
      <w:r w:rsidR="00C0570B" w:rsidRPr="009462B2">
        <w:rPr>
          <w:i/>
          <w:iCs/>
          <w:sz w:val="20"/>
          <w:szCs w:val="20"/>
          <w:lang w:val="en-US"/>
        </w:rPr>
        <w:t>t-1</w:t>
      </w:r>
      <w:r w:rsidR="00C0570B" w:rsidRPr="003F0A46">
        <w:rPr>
          <w:sz w:val="20"/>
          <w:szCs w:val="20"/>
          <w:lang w:val="en-US"/>
        </w:rPr>
        <w:t xml:space="preserve">. </w:t>
      </w:r>
    </w:p>
    <w:p w:rsidR="00D81F6C" w:rsidRDefault="00C0570B" w:rsidP="00D81F6C">
      <w:pPr>
        <w:spacing w:after="0"/>
        <w:ind w:firstLine="720"/>
        <w:rPr>
          <w:sz w:val="20"/>
          <w:szCs w:val="20"/>
          <w:lang w:val="en-US"/>
        </w:rPr>
      </w:pPr>
      <w:r w:rsidRPr="003F0A46">
        <w:rPr>
          <w:sz w:val="20"/>
          <w:szCs w:val="20"/>
          <w:lang w:val="en-US"/>
        </w:rPr>
        <w:t xml:space="preserve">Stocks are then ranked in each week based on past week’s abnormal returns. In case of finding stocks with the same abnormal return, a second ranking criterion is considered. It ranks stocks based on their past week’s trading volume. Stocks are assigned accordingly to one of two portfolios, either </w:t>
      </w:r>
      <w:r w:rsidR="00D81F6C">
        <w:rPr>
          <w:sz w:val="20"/>
          <w:szCs w:val="20"/>
          <w:lang w:val="en-US"/>
        </w:rPr>
        <w:t>a</w:t>
      </w:r>
      <w:r w:rsidRPr="003F0A46">
        <w:rPr>
          <w:sz w:val="20"/>
          <w:szCs w:val="20"/>
          <w:lang w:val="en-US"/>
        </w:rPr>
        <w:t xml:space="preserve"> winner portfolio or </w:t>
      </w:r>
      <w:r w:rsidR="00D81F6C">
        <w:rPr>
          <w:sz w:val="20"/>
          <w:szCs w:val="20"/>
          <w:lang w:val="en-US"/>
        </w:rPr>
        <w:t>a</w:t>
      </w:r>
      <w:r w:rsidRPr="003F0A46">
        <w:rPr>
          <w:sz w:val="20"/>
          <w:szCs w:val="20"/>
          <w:lang w:val="en-US"/>
        </w:rPr>
        <w:t xml:space="preserve"> loser portfolio. </w:t>
      </w:r>
      <w:r w:rsidR="00D81F6C">
        <w:rPr>
          <w:sz w:val="20"/>
          <w:szCs w:val="20"/>
          <w:lang w:val="en-US"/>
        </w:rPr>
        <w:t xml:space="preserve">The winner portfolio is made up of </w:t>
      </w:r>
      <w:r w:rsidRPr="003F0A46">
        <w:rPr>
          <w:sz w:val="20"/>
          <w:szCs w:val="20"/>
          <w:lang w:val="en-US"/>
        </w:rPr>
        <w:t xml:space="preserve">the top one third of stocks </w:t>
      </w:r>
      <w:r w:rsidR="00D81F6C">
        <w:rPr>
          <w:sz w:val="20"/>
          <w:szCs w:val="20"/>
          <w:lang w:val="en-US"/>
        </w:rPr>
        <w:t>while the loser portfolio is made up of</w:t>
      </w:r>
      <w:r w:rsidRPr="003F0A46">
        <w:rPr>
          <w:sz w:val="20"/>
          <w:szCs w:val="20"/>
          <w:lang w:val="en-US"/>
        </w:rPr>
        <w:t xml:space="preserve"> the bottom one third </w:t>
      </w:r>
      <w:r w:rsidR="00D81F6C">
        <w:rPr>
          <w:sz w:val="20"/>
          <w:szCs w:val="20"/>
          <w:lang w:val="en-US"/>
        </w:rPr>
        <w:t>of stocks. W</w:t>
      </w:r>
      <w:r w:rsidR="00154342">
        <w:rPr>
          <w:sz w:val="20"/>
          <w:szCs w:val="20"/>
          <w:lang w:val="en-US"/>
        </w:rPr>
        <w:t>e</w:t>
      </w:r>
      <w:r w:rsidRPr="003F0A46">
        <w:rPr>
          <w:sz w:val="20"/>
          <w:szCs w:val="20"/>
          <w:lang w:val="en-US"/>
        </w:rPr>
        <w:t xml:space="preserve"> took the top and bottom one third of stocks to construct the portfolios instead of deciles and quintiles due to the smaller number of stocks compared to studies in other markets [</w:t>
      </w:r>
      <w:r w:rsidR="00154342">
        <w:rPr>
          <w:sz w:val="20"/>
          <w:szCs w:val="20"/>
          <w:lang w:val="en-US"/>
        </w:rPr>
        <w:t>2</w:t>
      </w:r>
      <w:r w:rsidRPr="003F0A46">
        <w:rPr>
          <w:sz w:val="20"/>
          <w:szCs w:val="20"/>
          <w:lang w:val="en-US"/>
        </w:rPr>
        <w:t xml:space="preserve">4]. </w:t>
      </w:r>
    </w:p>
    <w:p w:rsidR="00C0570B" w:rsidRPr="003F0A46" w:rsidRDefault="00D81F6C" w:rsidP="00D81F6C">
      <w:pPr>
        <w:spacing w:after="0"/>
        <w:ind w:firstLine="720"/>
        <w:rPr>
          <w:sz w:val="20"/>
          <w:szCs w:val="20"/>
          <w:lang w:val="en-US"/>
        </w:rPr>
      </w:pPr>
      <w:r>
        <w:rPr>
          <w:sz w:val="20"/>
          <w:szCs w:val="20"/>
          <w:lang w:val="en-US"/>
        </w:rPr>
        <w:t>We construct</w:t>
      </w:r>
      <w:r w:rsidR="00C0570B" w:rsidRPr="003F0A46">
        <w:rPr>
          <w:sz w:val="20"/>
          <w:szCs w:val="20"/>
          <w:lang w:val="en-US"/>
        </w:rPr>
        <w:t xml:space="preserve"> weekly equally weighted winner </w:t>
      </w:r>
      <w:r w:rsidR="00154342">
        <w:rPr>
          <w:sz w:val="20"/>
          <w:szCs w:val="20"/>
          <w:lang w:val="en-US"/>
        </w:rPr>
        <w:t xml:space="preserve">and loser portfolios </w:t>
      </w:r>
      <w:r>
        <w:rPr>
          <w:sz w:val="20"/>
          <w:szCs w:val="20"/>
          <w:lang w:val="en-US"/>
        </w:rPr>
        <w:t>based on the above ranking</w:t>
      </w:r>
      <w:r w:rsidR="00154342">
        <w:rPr>
          <w:sz w:val="20"/>
          <w:szCs w:val="20"/>
          <w:lang w:val="en-US"/>
        </w:rPr>
        <w:t xml:space="preserve">. </w:t>
      </w:r>
      <w:r w:rsidR="00C0570B" w:rsidRPr="003F0A46">
        <w:rPr>
          <w:sz w:val="20"/>
          <w:szCs w:val="20"/>
          <w:lang w:val="en-US"/>
        </w:rPr>
        <w:t>The portfolios are then held for H weeks, where H takes the value of 1,2,3,4,12,24,36, or 52</w:t>
      </w:r>
      <w:r w:rsidR="00A96949">
        <w:rPr>
          <w:sz w:val="20"/>
          <w:szCs w:val="20"/>
          <w:lang w:val="en-US"/>
        </w:rPr>
        <w:t xml:space="preserve"> weeks</w:t>
      </w:r>
      <w:r w:rsidR="00C0570B" w:rsidRPr="003F0A46">
        <w:rPr>
          <w:sz w:val="20"/>
          <w:szCs w:val="20"/>
          <w:lang w:val="en-US"/>
        </w:rPr>
        <w:t xml:space="preserve">. </w:t>
      </w:r>
      <w:r w:rsidR="00E33D7E" w:rsidRPr="003F0A46">
        <w:rPr>
          <w:sz w:val="20"/>
          <w:szCs w:val="20"/>
          <w:lang w:val="en-US"/>
        </w:rPr>
        <w:t xml:space="preserve"> These specific </w:t>
      </w:r>
      <w:r>
        <w:rPr>
          <w:sz w:val="20"/>
          <w:szCs w:val="20"/>
          <w:lang w:val="en-US"/>
        </w:rPr>
        <w:t xml:space="preserve">horizon </w:t>
      </w:r>
      <w:r w:rsidR="00E33D7E" w:rsidRPr="003F0A46">
        <w:rPr>
          <w:sz w:val="20"/>
          <w:szCs w:val="20"/>
          <w:lang w:val="en-US"/>
        </w:rPr>
        <w:t>b</w:t>
      </w:r>
      <w:r w:rsidR="00C0570B" w:rsidRPr="003F0A46">
        <w:rPr>
          <w:sz w:val="20"/>
          <w:szCs w:val="20"/>
          <w:lang w:val="en-US"/>
        </w:rPr>
        <w:t>ins are meant to account for investors with different time horizons</w:t>
      </w:r>
      <w:r w:rsidR="00154342">
        <w:rPr>
          <w:sz w:val="20"/>
          <w:szCs w:val="20"/>
          <w:lang w:val="en-US"/>
        </w:rPr>
        <w:t xml:space="preserve"> and are in line with holding periods used in prior studies</w:t>
      </w:r>
      <w:r w:rsidR="00C0570B" w:rsidRPr="003F0A46">
        <w:rPr>
          <w:sz w:val="20"/>
          <w:szCs w:val="20"/>
          <w:lang w:val="en-US"/>
        </w:rPr>
        <w:t>. Holding periods’ returns are calculated using the cumulative average returns (CARs), which is the sum o</w:t>
      </w:r>
      <w:r w:rsidR="00A96949">
        <w:rPr>
          <w:sz w:val="20"/>
          <w:szCs w:val="20"/>
          <w:lang w:val="en-US"/>
        </w:rPr>
        <w:t xml:space="preserve">f abnormal returns over H weeks: </w:t>
      </w:r>
    </w:p>
    <w:p w:rsidR="00A96949" w:rsidRDefault="00DD04B4" w:rsidP="00A96949">
      <w:pPr>
        <w:spacing w:after="0"/>
        <w:jc w:val="center"/>
        <w:rPr>
          <w:rFonts w:eastAsiaTheme="minorEastAsia"/>
          <w:sz w:val="20"/>
          <w:szCs w:val="20"/>
          <w:lang w:val="en-US"/>
        </w:rPr>
      </w:pPr>
      <m:oMath>
        <m:sSub>
          <m:sSubPr>
            <m:ctrlPr>
              <w:rPr>
                <w:rFonts w:ascii="Cambria Math" w:hAnsi="Cambria Math"/>
                <w:i/>
                <w:sz w:val="20"/>
                <w:szCs w:val="20"/>
                <w:lang w:val="en-US"/>
              </w:rPr>
            </m:ctrlPr>
          </m:sSubPr>
          <m:e>
            <m:r>
              <w:rPr>
                <w:rFonts w:ascii="Cambria Math" w:hAnsi="Cambria Math"/>
                <w:sz w:val="20"/>
                <w:szCs w:val="20"/>
                <w:lang w:val="en-US"/>
              </w:rPr>
              <m:t>CAR</m:t>
            </m:r>
          </m:e>
          <m:sub>
            <m:r>
              <w:rPr>
                <w:rFonts w:ascii="Cambria Math" w:hAnsi="Cambria Math"/>
                <w:sz w:val="20"/>
                <w:szCs w:val="20"/>
                <w:lang w:val="en-US"/>
              </w:rPr>
              <m:t>pt</m:t>
            </m:r>
          </m:sub>
        </m:sSub>
        <m:r>
          <w:rPr>
            <w:rFonts w:ascii="Cambria Math"/>
            <w:sz w:val="20"/>
            <w:szCs w:val="20"/>
            <w:lang w:val="en-US"/>
          </w:rPr>
          <m:t>=</m:t>
        </m:r>
        <m:nary>
          <m:naryPr>
            <m:chr m:val="∑"/>
            <m:limLoc m:val="undOvr"/>
            <m:ctrlPr>
              <w:rPr>
                <w:rFonts w:ascii="Cambria Math" w:hAnsi="Cambria Math"/>
                <w:i/>
                <w:sz w:val="20"/>
                <w:szCs w:val="20"/>
                <w:lang w:val="en-US"/>
              </w:rPr>
            </m:ctrlPr>
          </m:naryPr>
          <m:sub>
            <m:r>
              <w:rPr>
                <w:rFonts w:ascii="Cambria Math" w:hAnsi="Cambria Math"/>
                <w:sz w:val="20"/>
                <w:szCs w:val="20"/>
                <w:lang w:val="en-US"/>
              </w:rPr>
              <m:t>i</m:t>
            </m:r>
            <m:r>
              <w:rPr>
                <w:rFonts w:ascii="Cambria Math"/>
                <w:sz w:val="20"/>
                <w:szCs w:val="20"/>
                <w:lang w:val="en-US"/>
              </w:rPr>
              <m:t>=1</m:t>
            </m:r>
          </m:sub>
          <m:sup>
            <m:r>
              <w:rPr>
                <w:rFonts w:ascii="Cambria Math" w:hAnsi="Cambria Math"/>
                <w:sz w:val="20"/>
                <w:szCs w:val="20"/>
                <w:lang w:val="en-US"/>
              </w:rPr>
              <m:t>H</m:t>
            </m:r>
          </m:sup>
          <m:e>
            <m:sSub>
              <m:sSubPr>
                <m:ctrlPr>
                  <w:rPr>
                    <w:rFonts w:ascii="Cambria Math" w:hAnsi="Cambria Math"/>
                    <w:i/>
                    <w:sz w:val="20"/>
                    <w:szCs w:val="20"/>
                    <w:lang w:val="en-US"/>
                  </w:rPr>
                </m:ctrlPr>
              </m:sSubPr>
              <m:e>
                <m:r>
                  <w:rPr>
                    <w:rFonts w:ascii="Cambria Math" w:hAnsi="Cambria Math"/>
                    <w:sz w:val="20"/>
                    <w:szCs w:val="20"/>
                    <w:lang w:val="en-US"/>
                  </w:rPr>
                  <m:t>E</m:t>
                </m:r>
                <m:r>
                  <w:rPr>
                    <w:rFonts w:ascii="Cambria Math"/>
                    <w:sz w:val="20"/>
                    <w:szCs w:val="20"/>
                    <w:lang w:val="en-US"/>
                  </w:rPr>
                  <m:t>(</m:t>
                </m:r>
                <m:r>
                  <w:rPr>
                    <w:rFonts w:ascii="Cambria Math" w:hAnsi="Cambria Math"/>
                    <w:sz w:val="20"/>
                    <w:szCs w:val="20"/>
                    <w:lang w:val="en-US"/>
                  </w:rPr>
                  <m:t>R</m:t>
                </m:r>
              </m:e>
              <m:sub>
                <m:r>
                  <w:rPr>
                    <w:rFonts w:ascii="Cambria Math" w:hAnsi="Cambria Math"/>
                    <w:sz w:val="20"/>
                    <w:szCs w:val="20"/>
                    <w:lang w:val="en-US"/>
                  </w:rPr>
                  <m:t>i</m:t>
                </m:r>
                <m:r>
                  <w:rPr>
                    <w:rFonts w:ascii="Cambria Math"/>
                    <w:sz w:val="20"/>
                    <w:szCs w:val="20"/>
                    <w:lang w:val="en-US"/>
                  </w:rPr>
                  <m:t xml:space="preserve"> </m:t>
                </m:r>
              </m:sub>
            </m:sSub>
          </m:e>
        </m:nary>
        <m:sSub>
          <m:sSubPr>
            <m:ctrlPr>
              <w:rPr>
                <w:rFonts w:ascii="Cambria Math" w:hAnsi="Cambria Math"/>
                <w:i/>
                <w:sz w:val="20"/>
                <w:szCs w:val="20"/>
                <w:lang w:val="en-US"/>
              </w:rPr>
            </m:ctrlPr>
          </m:sSubPr>
          <m:e>
            <m:r>
              <w:rPr>
                <w:rFonts w:ascii="Cambria Math"/>
                <w:sz w:val="20"/>
                <w:szCs w:val="20"/>
                <w:lang w:val="en-US"/>
              </w:rPr>
              <m:t>)</m:t>
            </m:r>
          </m:e>
          <m:sub>
            <m:r>
              <w:rPr>
                <w:rFonts w:ascii="Cambria Math" w:hAnsi="Cambria Math"/>
                <w:sz w:val="20"/>
                <w:szCs w:val="20"/>
                <w:lang w:val="en-US"/>
              </w:rPr>
              <m:t>p</m:t>
            </m:r>
          </m:sub>
        </m:sSub>
      </m:oMath>
      <w:r w:rsidR="00A96949">
        <w:rPr>
          <w:rFonts w:eastAsiaTheme="minorEastAsia"/>
          <w:sz w:val="20"/>
          <w:szCs w:val="20"/>
          <w:lang w:val="en-US"/>
        </w:rPr>
        <w:tab/>
      </w:r>
      <w:r w:rsidR="00A96949">
        <w:rPr>
          <w:rFonts w:eastAsiaTheme="minorEastAsia"/>
          <w:sz w:val="20"/>
          <w:szCs w:val="20"/>
          <w:lang w:val="en-US"/>
        </w:rPr>
        <w:tab/>
      </w:r>
      <w:r w:rsidR="00A96949">
        <w:rPr>
          <w:rFonts w:eastAsiaTheme="minorEastAsia"/>
          <w:sz w:val="20"/>
          <w:szCs w:val="20"/>
          <w:lang w:val="en-US"/>
        </w:rPr>
        <w:tab/>
        <w:t>(2)</w:t>
      </w:r>
    </w:p>
    <w:p w:rsidR="00E33D7E" w:rsidRPr="003F0A46" w:rsidRDefault="00E33D7E" w:rsidP="00A96949">
      <w:pPr>
        <w:spacing w:after="0"/>
        <w:rPr>
          <w:sz w:val="20"/>
          <w:szCs w:val="20"/>
          <w:lang w:val="en-US"/>
        </w:rPr>
      </w:pPr>
      <w:r w:rsidRPr="003F0A46">
        <w:rPr>
          <w:sz w:val="20"/>
          <w:szCs w:val="20"/>
          <w:lang w:val="en-US"/>
        </w:rPr>
        <w:t>Finally, the average cumulative abnormal return (ACAR) is computed for the winner and loser portfolios as follows:</w:t>
      </w:r>
    </w:p>
    <w:p w:rsidR="00A96949" w:rsidRPr="00A96949" w:rsidRDefault="00DD04B4" w:rsidP="00A96949">
      <w:pPr>
        <w:spacing w:after="0"/>
        <w:jc w:val="center"/>
        <w:rPr>
          <w:rFonts w:eastAsiaTheme="minorEastAsia"/>
          <w:sz w:val="20"/>
          <w:szCs w:val="20"/>
          <w:lang w:val="en-US"/>
        </w:rPr>
      </w:pPr>
      <m:oMath>
        <m:sSub>
          <m:sSubPr>
            <m:ctrlPr>
              <w:rPr>
                <w:rFonts w:ascii="Cambria Math" w:hAnsi="Cambria Math"/>
                <w:sz w:val="20"/>
                <w:szCs w:val="20"/>
                <w:lang w:val="en-US"/>
              </w:rPr>
            </m:ctrlPr>
          </m:sSubPr>
          <m:e>
            <m:r>
              <w:rPr>
                <w:rFonts w:ascii="Cambria Math" w:hAnsi="Cambria Math"/>
                <w:sz w:val="20"/>
                <w:szCs w:val="20"/>
                <w:lang w:val="en-US"/>
              </w:rPr>
              <m:t>ACAR</m:t>
            </m:r>
          </m:e>
          <m:sub>
            <m:r>
              <w:rPr>
                <w:rFonts w:ascii="Cambria Math" w:hAnsi="Cambria Math"/>
                <w:sz w:val="20"/>
                <w:szCs w:val="20"/>
                <w:lang w:val="en-US"/>
              </w:rPr>
              <m:t>pt</m:t>
            </m:r>
          </m:sub>
        </m:sSub>
        <m:r>
          <m:rPr>
            <m:sty m:val="p"/>
          </m:rPr>
          <w:rPr>
            <w:rFonts w:ascii="Cambria Math"/>
            <w:sz w:val="20"/>
            <w:szCs w:val="20"/>
            <w:lang w:val="en-US"/>
          </w:rPr>
          <m:t>=</m:t>
        </m:r>
        <m:d>
          <m:dPr>
            <m:ctrlPr>
              <w:rPr>
                <w:rFonts w:ascii="Cambria Math" w:hAnsi="Cambria Math"/>
                <w:sz w:val="20"/>
                <w:szCs w:val="20"/>
                <w:lang w:val="en-US"/>
              </w:rPr>
            </m:ctrlPr>
          </m:dPr>
          <m:e>
            <m:f>
              <m:fPr>
                <m:ctrlPr>
                  <w:rPr>
                    <w:rFonts w:ascii="Cambria Math" w:hAnsi="Cambria Math"/>
                    <w:sz w:val="20"/>
                    <w:szCs w:val="20"/>
                    <w:lang w:val="en-US"/>
                  </w:rPr>
                </m:ctrlPr>
              </m:fPr>
              <m:num>
                <m:r>
                  <m:rPr>
                    <m:sty m:val="p"/>
                  </m:rPr>
                  <w:rPr>
                    <w:rFonts w:ascii="Cambria Math"/>
                    <w:sz w:val="20"/>
                    <w:szCs w:val="20"/>
                    <w:lang w:val="en-US"/>
                  </w:rPr>
                  <m:t>1</m:t>
                </m:r>
              </m:num>
              <m:den>
                <m:r>
                  <w:rPr>
                    <w:rFonts w:ascii="Cambria Math" w:hAnsi="Cambria Math"/>
                    <w:sz w:val="20"/>
                    <w:szCs w:val="20"/>
                    <w:lang w:val="en-US"/>
                  </w:rPr>
                  <m:t>N</m:t>
                </m:r>
              </m:den>
            </m:f>
          </m:e>
        </m:d>
        <m:nary>
          <m:naryPr>
            <m:chr m:val="∑"/>
            <m:limLoc m:val="undOvr"/>
            <m:ctrlPr>
              <w:rPr>
                <w:rFonts w:ascii="Cambria Math" w:hAnsi="Cambria Math"/>
                <w:sz w:val="20"/>
                <w:szCs w:val="20"/>
                <w:lang w:val="en-US"/>
              </w:rPr>
            </m:ctrlPr>
          </m:naryPr>
          <m:sub>
            <m:r>
              <w:rPr>
                <w:rFonts w:ascii="Cambria Math" w:hAnsi="Cambria Math"/>
                <w:sz w:val="20"/>
                <w:szCs w:val="20"/>
                <w:lang w:val="en-US"/>
              </w:rPr>
              <m:t>N</m:t>
            </m:r>
            <m:r>
              <m:rPr>
                <m:sty m:val="p"/>
              </m:rPr>
              <w:rPr>
                <w:rFonts w:ascii="Cambria Math"/>
                <w:sz w:val="20"/>
                <w:szCs w:val="20"/>
                <w:lang w:val="en-US"/>
              </w:rPr>
              <m:t>=1</m:t>
            </m:r>
          </m:sub>
          <m:sup>
            <m:r>
              <w:rPr>
                <w:rFonts w:ascii="Cambria Math" w:hAnsi="Cambria Math"/>
                <w:sz w:val="20"/>
                <w:szCs w:val="20"/>
                <w:lang w:val="en-US"/>
              </w:rPr>
              <m:t>N</m:t>
            </m:r>
          </m:sup>
          <m:e>
            <m:sSub>
              <m:sSubPr>
                <m:ctrlPr>
                  <w:rPr>
                    <w:rFonts w:ascii="Cambria Math" w:hAnsi="Cambria Math"/>
                    <w:sz w:val="20"/>
                    <w:szCs w:val="20"/>
                    <w:lang w:val="en-US"/>
                  </w:rPr>
                </m:ctrlPr>
              </m:sSubPr>
              <m:e>
                <m:r>
                  <w:rPr>
                    <w:rFonts w:ascii="Cambria Math" w:hAnsi="Cambria Math"/>
                    <w:sz w:val="20"/>
                    <w:szCs w:val="20"/>
                    <w:lang w:val="en-US"/>
                  </w:rPr>
                  <m:t>CAR</m:t>
                </m:r>
              </m:e>
              <m:sub>
                <m:r>
                  <w:rPr>
                    <w:rFonts w:ascii="Cambria Math" w:hAnsi="Cambria Math"/>
                    <w:sz w:val="20"/>
                    <w:szCs w:val="20"/>
                    <w:lang w:val="en-US"/>
                  </w:rPr>
                  <m:t>pt</m:t>
                </m:r>
              </m:sub>
            </m:sSub>
            <m:r>
              <m:rPr>
                <m:sty m:val="p"/>
              </m:rPr>
              <w:rPr>
                <w:rFonts w:ascii="Cambria Math"/>
                <w:sz w:val="20"/>
                <w:szCs w:val="20"/>
                <w:lang w:val="en-US"/>
              </w:rPr>
              <m:t xml:space="preserve">  </m:t>
            </m:r>
          </m:e>
        </m:nary>
      </m:oMath>
      <w:r w:rsidR="00A96949">
        <w:rPr>
          <w:rFonts w:eastAsiaTheme="minorEastAsia"/>
          <w:sz w:val="20"/>
          <w:szCs w:val="20"/>
          <w:lang w:val="en-US"/>
        </w:rPr>
        <w:tab/>
      </w:r>
      <w:r w:rsidR="00A96949">
        <w:rPr>
          <w:rFonts w:eastAsiaTheme="minorEastAsia"/>
          <w:sz w:val="20"/>
          <w:szCs w:val="20"/>
          <w:lang w:val="en-US"/>
        </w:rPr>
        <w:tab/>
        <w:t>(3)</w:t>
      </w:r>
    </w:p>
    <w:p w:rsidR="00E33D7E" w:rsidRPr="003F0A46" w:rsidRDefault="00A96949" w:rsidP="00EE638D">
      <w:pPr>
        <w:spacing w:after="0"/>
        <w:rPr>
          <w:sz w:val="20"/>
          <w:szCs w:val="20"/>
          <w:lang w:val="en-US"/>
        </w:rPr>
      </w:pPr>
      <w:r>
        <w:rPr>
          <w:sz w:val="20"/>
          <w:szCs w:val="20"/>
          <w:lang w:val="en-US"/>
        </w:rPr>
        <w:t>w</w:t>
      </w:r>
      <w:r w:rsidR="00E33D7E" w:rsidRPr="003F0A46">
        <w:rPr>
          <w:sz w:val="20"/>
          <w:szCs w:val="20"/>
          <w:lang w:val="en-US"/>
        </w:rPr>
        <w:t>here ACAR</w:t>
      </w:r>
      <w:r w:rsidR="00E33D7E" w:rsidRPr="003F0A46">
        <w:rPr>
          <w:sz w:val="20"/>
          <w:szCs w:val="20"/>
          <w:vertAlign w:val="subscript"/>
          <w:lang w:val="en-US"/>
        </w:rPr>
        <w:t xml:space="preserve">p </w:t>
      </w:r>
      <w:r w:rsidR="00E33D7E" w:rsidRPr="003F0A46">
        <w:rPr>
          <w:sz w:val="20"/>
          <w:szCs w:val="20"/>
          <w:lang w:val="en-US"/>
        </w:rPr>
        <w:t>is</w:t>
      </w:r>
      <w:r>
        <w:rPr>
          <w:sz w:val="20"/>
          <w:szCs w:val="20"/>
          <w:lang w:val="en-US"/>
        </w:rPr>
        <w:t xml:space="preserve"> the average CAR for portfolio </w:t>
      </w:r>
      <w:r>
        <w:rPr>
          <w:i/>
          <w:iCs/>
          <w:sz w:val="20"/>
          <w:szCs w:val="20"/>
          <w:lang w:val="en-US"/>
        </w:rPr>
        <w:t>p</w:t>
      </w:r>
      <w:r>
        <w:rPr>
          <w:sz w:val="20"/>
          <w:szCs w:val="20"/>
          <w:lang w:val="en-US"/>
        </w:rPr>
        <w:t xml:space="preserve">, and </w:t>
      </w:r>
      <w:r>
        <w:rPr>
          <w:i/>
          <w:iCs/>
          <w:sz w:val="20"/>
          <w:szCs w:val="20"/>
          <w:lang w:val="en-US"/>
        </w:rPr>
        <w:t xml:space="preserve">N </w:t>
      </w:r>
      <w:r w:rsidR="00E33D7E" w:rsidRPr="003F0A46">
        <w:rPr>
          <w:sz w:val="20"/>
          <w:szCs w:val="20"/>
          <w:lang w:val="en-US"/>
        </w:rPr>
        <w:t xml:space="preserve"> represents the test periods.</w:t>
      </w:r>
    </w:p>
    <w:p w:rsidR="00E33D7E" w:rsidRPr="003F0A46" w:rsidRDefault="003B209F" w:rsidP="00D81F6C">
      <w:pPr>
        <w:spacing w:after="0"/>
        <w:ind w:firstLine="720"/>
        <w:rPr>
          <w:sz w:val="20"/>
          <w:szCs w:val="20"/>
          <w:lang w:val="en-US"/>
        </w:rPr>
      </w:pPr>
      <w:r w:rsidRPr="003F0A46">
        <w:rPr>
          <w:sz w:val="20"/>
          <w:szCs w:val="20"/>
          <w:lang w:val="en-US"/>
        </w:rPr>
        <w:t>We use these ACAR</w:t>
      </w:r>
      <w:r w:rsidR="00A96949">
        <w:rPr>
          <w:sz w:val="20"/>
          <w:szCs w:val="20"/>
          <w:lang w:val="en-US"/>
        </w:rPr>
        <w:t>s</w:t>
      </w:r>
      <w:r w:rsidRPr="003F0A46">
        <w:rPr>
          <w:sz w:val="20"/>
          <w:szCs w:val="20"/>
          <w:lang w:val="en-US"/>
        </w:rPr>
        <w:t xml:space="preserve"> of the various portfolios to test for the</w:t>
      </w:r>
      <w:r w:rsidR="006F44CA" w:rsidRPr="003F0A46">
        <w:rPr>
          <w:sz w:val="20"/>
          <w:szCs w:val="20"/>
          <w:lang w:val="en-US"/>
        </w:rPr>
        <w:t xml:space="preserve"> over/under-reaction hypothesis</w:t>
      </w:r>
      <w:r w:rsidRPr="003F0A46">
        <w:rPr>
          <w:sz w:val="20"/>
          <w:szCs w:val="20"/>
          <w:lang w:val="en-US"/>
        </w:rPr>
        <w:t xml:space="preserve"> on the EGX using two standard methodologies. </w:t>
      </w:r>
      <w:r w:rsidR="006F44CA" w:rsidRPr="003F0A46">
        <w:rPr>
          <w:sz w:val="20"/>
          <w:szCs w:val="20"/>
          <w:lang w:val="en-US"/>
        </w:rPr>
        <w:t xml:space="preserve"> </w:t>
      </w:r>
      <w:r w:rsidR="00AD7296" w:rsidRPr="003F0A46">
        <w:rPr>
          <w:sz w:val="20"/>
          <w:szCs w:val="20"/>
          <w:lang w:val="en-US"/>
        </w:rPr>
        <w:t xml:space="preserve">In </w:t>
      </w:r>
      <w:r w:rsidRPr="003F0A46">
        <w:rPr>
          <w:sz w:val="20"/>
          <w:szCs w:val="20"/>
          <w:lang w:val="en-US"/>
        </w:rPr>
        <w:t>the first methodology</w:t>
      </w:r>
      <w:r w:rsidR="00AD7296" w:rsidRPr="003F0A46">
        <w:rPr>
          <w:sz w:val="20"/>
          <w:szCs w:val="20"/>
          <w:lang w:val="en-US"/>
        </w:rPr>
        <w:t>, w</w:t>
      </w:r>
      <w:r w:rsidR="007676F1" w:rsidRPr="003F0A46">
        <w:rPr>
          <w:sz w:val="20"/>
          <w:szCs w:val="20"/>
          <w:lang w:val="en-US"/>
        </w:rPr>
        <w:t xml:space="preserve">e </w:t>
      </w:r>
      <w:r w:rsidR="00A96949">
        <w:rPr>
          <w:sz w:val="20"/>
          <w:szCs w:val="20"/>
          <w:lang w:val="en-US"/>
        </w:rPr>
        <w:t xml:space="preserve">calculate the </w:t>
      </w:r>
      <w:r w:rsidR="00A96949" w:rsidRPr="003F0A46">
        <w:rPr>
          <w:sz w:val="20"/>
          <w:szCs w:val="20"/>
          <w:lang w:val="en-US"/>
        </w:rPr>
        <w:t xml:space="preserve">ACAR for </w:t>
      </w:r>
      <w:r w:rsidR="00A96949">
        <w:rPr>
          <w:sz w:val="20"/>
          <w:szCs w:val="20"/>
          <w:lang w:val="en-US"/>
        </w:rPr>
        <w:t>an</w:t>
      </w:r>
      <w:r w:rsidR="00A96949" w:rsidRPr="003F0A46">
        <w:rPr>
          <w:sz w:val="20"/>
          <w:szCs w:val="20"/>
          <w:lang w:val="en-US"/>
        </w:rPr>
        <w:t xml:space="preserve"> arbitrage portfolio</w:t>
      </w:r>
      <w:r w:rsidR="00A96949">
        <w:rPr>
          <w:sz w:val="20"/>
          <w:szCs w:val="20"/>
          <w:lang w:val="en-US"/>
        </w:rPr>
        <w:t xml:space="preserve"> as </w:t>
      </w:r>
      <w:r w:rsidR="00A96949" w:rsidRPr="003F0A46">
        <w:rPr>
          <w:sz w:val="20"/>
          <w:szCs w:val="20"/>
          <w:lang w:val="en-US"/>
        </w:rPr>
        <w:t xml:space="preserve">the difference between the ACAR for the loser and that of the winner (i.e. </w:t>
      </w:r>
      <w:r w:rsidR="00D81F6C">
        <w:rPr>
          <w:sz w:val="20"/>
          <w:szCs w:val="20"/>
          <w:lang w:val="en-US"/>
        </w:rPr>
        <w:t>ACAR</w:t>
      </w:r>
      <w:r w:rsidR="00D81F6C">
        <w:rPr>
          <w:sz w:val="20"/>
          <w:szCs w:val="20"/>
          <w:vertAlign w:val="subscript"/>
          <w:lang w:val="en-US"/>
        </w:rPr>
        <w:t>L-W</w:t>
      </w:r>
      <w:r w:rsidR="00D81F6C">
        <w:rPr>
          <w:sz w:val="20"/>
          <w:szCs w:val="20"/>
          <w:lang w:val="en-US"/>
        </w:rPr>
        <w:t>=</w:t>
      </w:r>
      <w:r w:rsidR="00A96949" w:rsidRPr="003F0A46">
        <w:rPr>
          <w:sz w:val="20"/>
          <w:szCs w:val="20"/>
          <w:lang w:val="en-US"/>
        </w:rPr>
        <w:t>ACAR</w:t>
      </w:r>
      <w:r w:rsidR="00A96949" w:rsidRPr="003F0A46">
        <w:rPr>
          <w:sz w:val="20"/>
          <w:szCs w:val="20"/>
          <w:vertAlign w:val="subscript"/>
          <w:lang w:val="en-US"/>
        </w:rPr>
        <w:t xml:space="preserve">Loser </w:t>
      </w:r>
      <w:r w:rsidR="00A96949" w:rsidRPr="003F0A46">
        <w:rPr>
          <w:sz w:val="20"/>
          <w:szCs w:val="20"/>
          <w:lang w:val="en-US"/>
        </w:rPr>
        <w:t>– ACAR</w:t>
      </w:r>
      <w:r w:rsidR="00A96949" w:rsidRPr="003F0A46">
        <w:rPr>
          <w:sz w:val="20"/>
          <w:szCs w:val="20"/>
          <w:vertAlign w:val="subscript"/>
          <w:lang w:val="en-US"/>
        </w:rPr>
        <w:t>winner</w:t>
      </w:r>
      <w:r w:rsidR="00A96949">
        <w:rPr>
          <w:sz w:val="20"/>
          <w:szCs w:val="20"/>
          <w:lang w:val="en-US"/>
        </w:rPr>
        <w:t xml:space="preserve">) and check the </w:t>
      </w:r>
      <w:r w:rsidR="007676F1" w:rsidRPr="003F0A46">
        <w:rPr>
          <w:sz w:val="20"/>
          <w:szCs w:val="20"/>
          <w:lang w:val="en-US"/>
        </w:rPr>
        <w:t>ACAR for the arbitrage port</w:t>
      </w:r>
      <w:r w:rsidR="00A96949">
        <w:rPr>
          <w:sz w:val="20"/>
          <w:szCs w:val="20"/>
          <w:lang w:val="en-US"/>
        </w:rPr>
        <w:t>folio over the holding periods, where a statistically significant positive difference indicates overreaction, and a statistically significant negative difference indicates underreaction</w:t>
      </w:r>
      <w:r w:rsidR="007676F1" w:rsidRPr="003F0A46">
        <w:rPr>
          <w:sz w:val="20"/>
          <w:szCs w:val="20"/>
          <w:lang w:val="en-US"/>
        </w:rPr>
        <w:t xml:space="preserve"> </w:t>
      </w:r>
      <w:r w:rsidRPr="003F0A46">
        <w:rPr>
          <w:sz w:val="20"/>
          <w:szCs w:val="20"/>
          <w:lang w:val="en-US"/>
        </w:rPr>
        <w:t>[</w:t>
      </w:r>
      <w:r w:rsidR="00A96949">
        <w:rPr>
          <w:sz w:val="20"/>
          <w:szCs w:val="20"/>
          <w:lang w:val="en-US"/>
        </w:rPr>
        <w:t>2</w:t>
      </w:r>
      <w:r w:rsidRPr="003F0A46">
        <w:rPr>
          <w:sz w:val="20"/>
          <w:szCs w:val="20"/>
          <w:lang w:val="en-US"/>
        </w:rPr>
        <w:t>4]</w:t>
      </w:r>
      <w:r w:rsidR="00A96949">
        <w:rPr>
          <w:sz w:val="20"/>
          <w:szCs w:val="20"/>
          <w:lang w:val="en-US"/>
        </w:rPr>
        <w:t xml:space="preserve">. </w:t>
      </w:r>
      <w:r w:rsidR="00554161">
        <w:rPr>
          <w:sz w:val="20"/>
          <w:szCs w:val="20"/>
          <w:lang w:val="en-US"/>
        </w:rPr>
        <w:t xml:space="preserve">In the case of results of overreaction (underreaction) we use our results to test the profitability of a contrarian (momentum) strategy in achieving significant profits for investors. </w:t>
      </w:r>
    </w:p>
    <w:p w:rsidR="00E33D7E" w:rsidRPr="003F0A46" w:rsidRDefault="007676F1" w:rsidP="00E33D7E">
      <w:pPr>
        <w:spacing w:after="0"/>
        <w:ind w:firstLine="720"/>
        <w:rPr>
          <w:sz w:val="20"/>
          <w:szCs w:val="20"/>
          <w:lang w:val="en-US"/>
        </w:rPr>
      </w:pPr>
      <w:r w:rsidRPr="003F0A46">
        <w:rPr>
          <w:sz w:val="20"/>
          <w:szCs w:val="20"/>
          <w:lang w:val="en-US"/>
        </w:rPr>
        <w:t xml:space="preserve">In </w:t>
      </w:r>
      <w:r w:rsidR="003B209F" w:rsidRPr="003F0A46">
        <w:rPr>
          <w:sz w:val="20"/>
          <w:szCs w:val="20"/>
          <w:lang w:val="en-US"/>
        </w:rPr>
        <w:t>the second methodology</w:t>
      </w:r>
      <w:r w:rsidRPr="003F0A46">
        <w:rPr>
          <w:sz w:val="20"/>
          <w:szCs w:val="20"/>
          <w:lang w:val="en-US"/>
        </w:rPr>
        <w:t xml:space="preserve">, we </w:t>
      </w:r>
      <w:r w:rsidR="00E33D7E" w:rsidRPr="003F0A46">
        <w:rPr>
          <w:sz w:val="20"/>
          <w:szCs w:val="20"/>
          <w:lang w:val="en-US"/>
        </w:rPr>
        <w:t>fo</w:t>
      </w:r>
      <w:r w:rsidR="00A96949">
        <w:rPr>
          <w:sz w:val="20"/>
          <w:szCs w:val="20"/>
          <w:lang w:val="en-US"/>
        </w:rPr>
        <w:t>llow Clare and Thomas [17</w:t>
      </w:r>
      <w:r w:rsidR="00E33D7E" w:rsidRPr="003F0A46">
        <w:rPr>
          <w:sz w:val="20"/>
          <w:szCs w:val="20"/>
          <w:lang w:val="en-US"/>
        </w:rPr>
        <w:t xml:space="preserve">] and </w:t>
      </w:r>
      <w:r w:rsidRPr="003F0A46">
        <w:rPr>
          <w:sz w:val="20"/>
          <w:szCs w:val="20"/>
          <w:lang w:val="en-US"/>
        </w:rPr>
        <w:t>compare the means of the winner and loser portfolio returns by regressing the return of the difference portfolio a</w:t>
      </w:r>
      <w:r w:rsidR="00E33D7E" w:rsidRPr="003F0A46">
        <w:rPr>
          <w:sz w:val="20"/>
          <w:szCs w:val="20"/>
          <w:lang w:val="en-US"/>
        </w:rPr>
        <w:t>gainst a constant once (Test 1):</w:t>
      </w:r>
    </w:p>
    <w:p w:rsidR="00A96949" w:rsidRDefault="00DD04B4" w:rsidP="00A96949">
      <w:pPr>
        <w:spacing w:after="0"/>
        <w:jc w:val="center"/>
        <w:rPr>
          <w:rFonts w:eastAsiaTheme="minorEastAsia"/>
          <w:sz w:val="20"/>
          <w:szCs w:val="20"/>
          <w:lang w:val="en-US"/>
        </w:rPr>
      </w:pPr>
      <m:oMath>
        <m:sSub>
          <m:sSubPr>
            <m:ctrlPr>
              <w:rPr>
                <w:rFonts w:ascii="Cambria Math" w:hAnsi="Cambria Math"/>
                <w:i/>
                <w:sz w:val="20"/>
                <w:szCs w:val="20"/>
                <w:lang w:val="en-US"/>
              </w:rPr>
            </m:ctrlPr>
          </m:sSubPr>
          <m:e>
            <m:r>
              <w:rPr>
                <w:rFonts w:ascii="Cambria Math" w:hAnsi="Cambria Math"/>
                <w:sz w:val="20"/>
                <w:szCs w:val="20"/>
                <w:lang w:val="en-US"/>
              </w:rPr>
              <m:t>ACAR</m:t>
            </m:r>
          </m:e>
          <m:sub>
            <m:r>
              <w:rPr>
                <w:rFonts w:ascii="Cambria Math" w:hAnsi="Cambria Math"/>
                <w:sz w:val="20"/>
                <w:szCs w:val="20"/>
                <w:lang w:val="en-US"/>
              </w:rPr>
              <m:t>l-w</m:t>
            </m:r>
          </m:sub>
        </m:sSub>
        <m:r>
          <w:rPr>
            <w:rFonts w:ascii="Cambria Math"/>
            <w:sz w:val="20"/>
            <w:szCs w:val="20"/>
            <w:lang w:val="en-US"/>
          </w:rPr>
          <m:t>=</m:t>
        </m:r>
        <m:sSubSup>
          <m:sSubSupPr>
            <m:ctrlPr>
              <w:rPr>
                <w:rFonts w:ascii="Cambria Math" w:hAnsi="Cambria Math"/>
                <w:i/>
                <w:sz w:val="20"/>
                <w:szCs w:val="20"/>
                <w:lang w:val="en-US"/>
              </w:rPr>
            </m:ctrlPr>
          </m:sSubSupPr>
          <m:e>
            <m:r>
              <w:rPr>
                <w:rFonts w:ascii="Cambria Math" w:hAnsi="Cambria Math"/>
                <w:sz w:val="20"/>
                <w:szCs w:val="20"/>
                <w:lang w:val="en-US"/>
              </w:rPr>
              <m:t>ACAR</m:t>
            </m:r>
          </m:e>
          <m:sub>
            <m:r>
              <w:rPr>
                <w:rFonts w:ascii="Cambria Math" w:hAnsi="Cambria Math"/>
                <w:sz w:val="20"/>
                <w:szCs w:val="20"/>
                <w:lang w:val="en-US"/>
              </w:rPr>
              <m:t>P</m:t>
            </m:r>
          </m:sub>
          <m:sup>
            <m:r>
              <w:rPr>
                <w:rFonts w:ascii="Cambria Math" w:hAnsi="Cambria Math"/>
                <w:sz w:val="20"/>
                <w:szCs w:val="20"/>
                <w:lang w:val="en-US"/>
              </w:rPr>
              <m:t>L</m:t>
            </m:r>
          </m:sup>
        </m:sSubSup>
        <m:r>
          <w:rPr>
            <w:rFonts w:ascii="Cambria Math" w:hAnsi="Cambria Math"/>
            <w:sz w:val="20"/>
            <w:szCs w:val="20"/>
            <w:lang w:val="en-US"/>
          </w:rPr>
          <m:t>-</m:t>
        </m:r>
        <m:sSubSup>
          <m:sSubSupPr>
            <m:ctrlPr>
              <w:rPr>
                <w:rFonts w:ascii="Cambria Math" w:hAnsi="Cambria Math"/>
                <w:i/>
                <w:sz w:val="20"/>
                <w:szCs w:val="20"/>
                <w:lang w:val="en-US"/>
              </w:rPr>
            </m:ctrlPr>
          </m:sSubSupPr>
          <m:e>
            <m:r>
              <w:rPr>
                <w:rFonts w:ascii="Cambria Math" w:hAnsi="Cambria Math"/>
                <w:sz w:val="20"/>
                <w:szCs w:val="20"/>
                <w:lang w:val="en-US"/>
              </w:rPr>
              <m:t>ACAR</m:t>
            </m:r>
          </m:e>
          <m:sub>
            <m:r>
              <w:rPr>
                <w:rFonts w:ascii="Cambria Math" w:hAnsi="Cambria Math"/>
                <w:sz w:val="20"/>
                <w:szCs w:val="20"/>
                <w:lang w:val="en-US"/>
              </w:rPr>
              <m:t>P</m:t>
            </m:r>
            <m:r>
              <w:rPr>
                <w:rFonts w:ascii="Cambria Math"/>
                <w:sz w:val="20"/>
                <w:szCs w:val="20"/>
                <w:lang w:val="en-US"/>
              </w:rPr>
              <m:t xml:space="preserve">   </m:t>
            </m:r>
          </m:sub>
          <m:sup>
            <m:r>
              <w:rPr>
                <w:rFonts w:ascii="Cambria Math" w:hAnsi="Cambria Math"/>
                <w:sz w:val="20"/>
                <w:szCs w:val="20"/>
                <w:lang w:val="en-US"/>
              </w:rPr>
              <m:t>W</m:t>
            </m:r>
          </m:sup>
        </m:sSubSup>
        <m:r>
          <w:rPr>
            <w:rFonts w:asci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α</m:t>
            </m:r>
          </m:e>
          <m:sub>
            <m:r>
              <w:rPr>
                <w:rFonts w:ascii="Cambria Math"/>
                <w:sz w:val="20"/>
                <w:szCs w:val="20"/>
                <w:lang w:val="en-US"/>
              </w:rPr>
              <m:t xml:space="preserve">1  </m:t>
            </m:r>
          </m:sub>
        </m:sSub>
        <m:r>
          <w:rPr>
            <w:rFonts w:asci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n</m:t>
            </m:r>
          </m:e>
          <m:sub>
            <m:r>
              <w:rPr>
                <w:rFonts w:ascii="Cambria Math" w:hAnsi="Cambria Math"/>
                <w:sz w:val="20"/>
                <w:szCs w:val="20"/>
                <w:lang w:val="en-US"/>
              </w:rPr>
              <m:t>t</m:t>
            </m:r>
          </m:sub>
        </m:sSub>
        <m:r>
          <w:rPr>
            <w:rFonts w:ascii="Cambria Math"/>
            <w:sz w:val="20"/>
            <w:szCs w:val="20"/>
            <w:lang w:val="en-US"/>
          </w:rPr>
          <m:t xml:space="preserve"> </m:t>
        </m:r>
      </m:oMath>
      <w:r w:rsidR="00A96949">
        <w:rPr>
          <w:rFonts w:eastAsiaTheme="minorEastAsia"/>
          <w:sz w:val="20"/>
          <w:szCs w:val="20"/>
          <w:lang w:val="en-US"/>
        </w:rPr>
        <w:tab/>
      </w:r>
      <w:r w:rsidR="00A96949">
        <w:rPr>
          <w:rFonts w:eastAsiaTheme="minorEastAsia"/>
          <w:sz w:val="20"/>
          <w:szCs w:val="20"/>
          <w:lang w:val="en-US"/>
        </w:rPr>
        <w:tab/>
        <w:t>(4)</w:t>
      </w:r>
    </w:p>
    <w:p w:rsidR="00E33D7E" w:rsidRPr="003F0A46" w:rsidRDefault="00E33D7E" w:rsidP="00A96949">
      <w:pPr>
        <w:spacing w:after="0"/>
        <w:rPr>
          <w:rFonts w:eastAsiaTheme="minorEastAsia"/>
          <w:sz w:val="20"/>
          <w:szCs w:val="20"/>
          <w:lang w:val="en-US"/>
        </w:rPr>
      </w:pPr>
      <w:r w:rsidRPr="003F0A46">
        <w:rPr>
          <w:rFonts w:eastAsiaTheme="minorEastAsia"/>
          <w:sz w:val="20"/>
          <w:szCs w:val="20"/>
          <w:lang w:val="en-US"/>
        </w:rPr>
        <w:lastRenderedPageBreak/>
        <w:t xml:space="preserve">where </w:t>
      </w:r>
      <m:oMath>
        <m:sSub>
          <m:sSubPr>
            <m:ctrlPr>
              <w:rPr>
                <w:rFonts w:ascii="Cambria Math" w:hAnsi="Cambria Math"/>
                <w:i/>
                <w:sz w:val="20"/>
                <w:szCs w:val="20"/>
                <w:lang w:val="en-US"/>
              </w:rPr>
            </m:ctrlPr>
          </m:sSubPr>
          <m:e>
            <m:r>
              <w:rPr>
                <w:rFonts w:ascii="Cambria Math" w:hAnsi="Cambria Math"/>
                <w:sz w:val="20"/>
                <w:szCs w:val="20"/>
                <w:lang w:val="en-US"/>
              </w:rPr>
              <m:t>α</m:t>
            </m:r>
          </m:e>
          <m:sub>
            <m:r>
              <w:rPr>
                <w:rFonts w:ascii="Cambria Math"/>
                <w:sz w:val="20"/>
                <w:szCs w:val="20"/>
                <w:lang w:val="en-US"/>
              </w:rPr>
              <m:t xml:space="preserve">1  </m:t>
            </m:r>
          </m:sub>
        </m:sSub>
      </m:oMath>
      <w:r w:rsidRPr="003F0A46">
        <w:rPr>
          <w:rFonts w:eastAsiaTheme="minorEastAsia"/>
          <w:sz w:val="20"/>
          <w:szCs w:val="20"/>
          <w:lang w:val="en-US"/>
        </w:rPr>
        <w:t xml:space="preserve">is a constant and </w:t>
      </w:r>
      <m:oMath>
        <m:sSub>
          <m:sSubPr>
            <m:ctrlPr>
              <w:rPr>
                <w:rFonts w:ascii="Cambria Math" w:hAnsi="Cambria Math"/>
                <w:i/>
                <w:sz w:val="20"/>
                <w:szCs w:val="20"/>
                <w:lang w:val="en-US"/>
              </w:rPr>
            </m:ctrlPr>
          </m:sSubPr>
          <m:e>
            <m:r>
              <w:rPr>
                <w:rFonts w:ascii="Cambria Math" w:hAnsi="Cambria Math"/>
                <w:sz w:val="20"/>
                <w:szCs w:val="20"/>
                <w:lang w:val="en-US"/>
              </w:rPr>
              <m:t>n</m:t>
            </m:r>
          </m:e>
          <m:sub>
            <m:r>
              <w:rPr>
                <w:rFonts w:ascii="Cambria Math" w:hAnsi="Cambria Math"/>
                <w:sz w:val="20"/>
                <w:szCs w:val="20"/>
                <w:lang w:val="en-US"/>
              </w:rPr>
              <m:t>t</m:t>
            </m:r>
          </m:sub>
        </m:sSub>
      </m:oMath>
      <w:r w:rsidRPr="003F0A46">
        <w:rPr>
          <w:rFonts w:eastAsiaTheme="minorEastAsia"/>
          <w:sz w:val="20"/>
          <w:szCs w:val="20"/>
          <w:lang w:val="en-US"/>
        </w:rPr>
        <w:t xml:space="preserve"> is a white noise error term.</w:t>
      </w:r>
    </w:p>
    <w:p w:rsidR="00E33D7E" w:rsidRPr="003F0A46" w:rsidRDefault="00E33D7E" w:rsidP="00A96949">
      <w:pPr>
        <w:spacing w:after="0"/>
        <w:ind w:firstLine="720"/>
        <w:rPr>
          <w:rFonts w:eastAsiaTheme="minorEastAsia"/>
          <w:sz w:val="20"/>
          <w:szCs w:val="20"/>
          <w:lang w:val="en-US"/>
        </w:rPr>
      </w:pPr>
      <w:r w:rsidRPr="003F0A46">
        <w:rPr>
          <w:rFonts w:eastAsiaTheme="minorEastAsia"/>
          <w:sz w:val="20"/>
          <w:szCs w:val="20"/>
          <w:lang w:val="en-US"/>
        </w:rPr>
        <w:t>This regression is done for</w:t>
      </w:r>
      <w:r w:rsidR="00D81F6C">
        <w:rPr>
          <w:rFonts w:eastAsiaTheme="minorEastAsia"/>
          <w:sz w:val="20"/>
          <w:szCs w:val="20"/>
          <w:lang w:val="en-US"/>
        </w:rPr>
        <w:t xml:space="preserve"> </w:t>
      </w:r>
      <w:r w:rsidRPr="003F0A46">
        <w:rPr>
          <w:rFonts w:eastAsiaTheme="minorEastAsia"/>
          <w:sz w:val="20"/>
          <w:szCs w:val="20"/>
          <w:lang w:val="en-US"/>
        </w:rPr>
        <w:t xml:space="preserve"> t=1,2,3,4,12,24,36, or 52</w:t>
      </w:r>
      <w:r w:rsidR="00111C47">
        <w:rPr>
          <w:rFonts w:eastAsiaTheme="minorEastAsia"/>
          <w:sz w:val="20"/>
          <w:szCs w:val="20"/>
          <w:lang w:val="en-US"/>
        </w:rPr>
        <w:t xml:space="preserve"> weeks </w:t>
      </w:r>
      <w:r w:rsidRPr="003F0A46">
        <w:rPr>
          <w:rFonts w:eastAsiaTheme="minorEastAsia"/>
          <w:sz w:val="20"/>
          <w:szCs w:val="20"/>
          <w:lang w:val="en-US"/>
        </w:rPr>
        <w:t>, which represents all the holding periods we have in this study. A significant and positive</w:t>
      </w:r>
      <w:r w:rsidR="00A96949">
        <w:rPr>
          <w:rFonts w:eastAsiaTheme="minorEastAsia"/>
          <w:sz w:val="20"/>
          <w:szCs w:val="20"/>
          <w:lang w:val="en-US"/>
        </w:rPr>
        <w:t xml:space="preserve"> (negative)</w:t>
      </w:r>
      <w:r w:rsidRPr="003F0A46">
        <w:rPr>
          <w:rFonts w:eastAsiaTheme="minorEastAsia"/>
          <w:sz w:val="20"/>
          <w:szCs w:val="20"/>
          <w:lang w:val="en-US"/>
        </w:rPr>
        <w:t xml:space="preserve"> value for </w:t>
      </w:r>
      <m:oMath>
        <m:sSub>
          <m:sSubPr>
            <m:ctrlPr>
              <w:rPr>
                <w:rFonts w:ascii="Cambria Math" w:eastAsiaTheme="minorEastAsia" w:hAnsi="Cambria Math"/>
                <w:b/>
                <w:bCs/>
                <w:sz w:val="20"/>
                <w:szCs w:val="20"/>
                <w:lang w:val="en-US"/>
              </w:rPr>
            </m:ctrlPr>
          </m:sSubPr>
          <m:e>
            <m:r>
              <m:rPr>
                <m:sty m:val="p"/>
              </m:rPr>
              <w:rPr>
                <w:rFonts w:ascii="Cambria Math" w:eastAsiaTheme="minorEastAsia" w:hAnsi="Cambria Math"/>
                <w:sz w:val="20"/>
                <w:szCs w:val="20"/>
                <w:lang w:val="en-US"/>
              </w:rPr>
              <m:t>α</m:t>
            </m:r>
          </m:e>
          <m:sub>
            <m:r>
              <m:rPr>
                <m:sty m:val="p"/>
              </m:rPr>
              <w:rPr>
                <w:rFonts w:ascii="Cambria Math" w:eastAsiaTheme="minorEastAsia"/>
                <w:sz w:val="20"/>
                <w:szCs w:val="20"/>
                <w:lang w:val="en-US"/>
              </w:rPr>
              <m:t>1</m:t>
            </m:r>
            <m:r>
              <m:rPr>
                <m:sty m:val="b"/>
              </m:rPr>
              <w:rPr>
                <w:rFonts w:ascii="Cambria Math" w:eastAsiaTheme="minorEastAsia"/>
                <w:sz w:val="20"/>
                <w:szCs w:val="20"/>
                <w:lang w:val="en-US"/>
              </w:rPr>
              <m:t xml:space="preserve">  </m:t>
            </m:r>
          </m:sub>
        </m:sSub>
      </m:oMath>
      <w:r w:rsidRPr="003F0A46">
        <w:rPr>
          <w:rFonts w:eastAsiaTheme="minorEastAsia"/>
          <w:sz w:val="20"/>
          <w:szCs w:val="20"/>
          <w:lang w:val="en-US"/>
        </w:rPr>
        <w:t xml:space="preserve">can be seen as confirmation of the overreaction </w:t>
      </w:r>
      <w:r w:rsidR="00A96949">
        <w:rPr>
          <w:rFonts w:eastAsiaTheme="minorEastAsia"/>
          <w:sz w:val="20"/>
          <w:szCs w:val="20"/>
          <w:lang w:val="en-US"/>
        </w:rPr>
        <w:t xml:space="preserve">(underreaction) </w:t>
      </w:r>
      <w:r w:rsidRPr="003F0A46">
        <w:rPr>
          <w:rFonts w:eastAsiaTheme="minorEastAsia"/>
          <w:sz w:val="20"/>
          <w:szCs w:val="20"/>
          <w:lang w:val="en-US"/>
        </w:rPr>
        <w:t>hypothesis.</w:t>
      </w:r>
    </w:p>
    <w:p w:rsidR="00D428F9" w:rsidRPr="003F0A46" w:rsidRDefault="001543CF" w:rsidP="00D81F6C">
      <w:pPr>
        <w:autoSpaceDE w:val="0"/>
        <w:autoSpaceDN w:val="0"/>
        <w:adjustRightInd w:val="0"/>
        <w:spacing w:after="0"/>
        <w:ind w:firstLine="720"/>
        <w:rPr>
          <w:sz w:val="20"/>
          <w:szCs w:val="20"/>
          <w:lang w:val="en-US"/>
        </w:rPr>
      </w:pPr>
      <w:r w:rsidRPr="003F0A46">
        <w:rPr>
          <w:sz w:val="20"/>
          <w:szCs w:val="20"/>
          <w:lang w:val="en-US"/>
        </w:rPr>
        <w:t>The second test</w:t>
      </w:r>
      <w:r w:rsidR="00D81F6C">
        <w:rPr>
          <w:sz w:val="20"/>
          <w:szCs w:val="20"/>
          <w:lang w:val="en-US"/>
        </w:rPr>
        <w:t xml:space="preserve"> (Test 2) </w:t>
      </w:r>
      <w:r w:rsidRPr="003F0A46">
        <w:rPr>
          <w:sz w:val="20"/>
          <w:szCs w:val="20"/>
          <w:lang w:val="en-US"/>
        </w:rPr>
        <w:t>is done by regressing</w:t>
      </w:r>
      <w:r w:rsidR="00986221" w:rsidRPr="003F0A46">
        <w:rPr>
          <w:sz w:val="20"/>
          <w:szCs w:val="20"/>
          <w:lang w:val="en-US"/>
        </w:rPr>
        <w:t xml:space="preserve"> </w:t>
      </w:r>
      <w:r w:rsidR="00A96949">
        <w:rPr>
          <w:sz w:val="20"/>
          <w:szCs w:val="20"/>
          <w:lang w:val="en-US"/>
        </w:rPr>
        <w:t xml:space="preserve">the </w:t>
      </w:r>
      <w:r w:rsidR="00D81F6C">
        <w:rPr>
          <w:sz w:val="20"/>
          <w:szCs w:val="20"/>
          <w:lang w:val="en-US"/>
        </w:rPr>
        <w:t>arbitrage</w:t>
      </w:r>
      <w:r w:rsidR="00A96949">
        <w:rPr>
          <w:sz w:val="20"/>
          <w:szCs w:val="20"/>
          <w:lang w:val="en-US"/>
        </w:rPr>
        <w:t xml:space="preserve"> portfolios</w:t>
      </w:r>
      <w:r w:rsidRPr="003F0A46">
        <w:rPr>
          <w:sz w:val="20"/>
          <w:szCs w:val="20"/>
          <w:lang w:val="en-US"/>
        </w:rPr>
        <w:t xml:space="preserve"> against the market</w:t>
      </w:r>
      <w:r w:rsidR="00986221" w:rsidRPr="003F0A46">
        <w:rPr>
          <w:sz w:val="20"/>
          <w:szCs w:val="20"/>
          <w:lang w:val="en-US"/>
        </w:rPr>
        <w:t xml:space="preserve"> </w:t>
      </w:r>
      <w:r w:rsidR="00A96949">
        <w:rPr>
          <w:sz w:val="20"/>
          <w:szCs w:val="20"/>
          <w:lang w:val="en-US"/>
        </w:rPr>
        <w:t>return</w:t>
      </w:r>
      <w:r w:rsidR="00986221" w:rsidRPr="003F0A46">
        <w:rPr>
          <w:sz w:val="20"/>
          <w:szCs w:val="20"/>
          <w:lang w:val="en-US"/>
        </w:rPr>
        <w:t>.</w:t>
      </w:r>
      <w:r w:rsidR="00F52494">
        <w:rPr>
          <w:sz w:val="20"/>
          <w:szCs w:val="20"/>
          <w:lang w:val="en-US"/>
        </w:rPr>
        <w:t xml:space="preserve"> </w:t>
      </w:r>
      <w:r w:rsidR="00986221" w:rsidRPr="003F0A46">
        <w:rPr>
          <w:sz w:val="20"/>
          <w:szCs w:val="20"/>
          <w:lang w:val="en-US"/>
        </w:rPr>
        <w:t xml:space="preserve">This test, </w:t>
      </w:r>
      <w:r w:rsidRPr="003F0A46">
        <w:rPr>
          <w:sz w:val="20"/>
          <w:szCs w:val="20"/>
          <w:lang w:val="en-US"/>
        </w:rPr>
        <w:t>allows us to control for possible different exposures to systematic risk which may explain the differential returns between the winner and loser portfolios</w:t>
      </w:r>
      <w:r w:rsidR="00986221" w:rsidRPr="003F0A46">
        <w:rPr>
          <w:sz w:val="20"/>
          <w:szCs w:val="20"/>
          <w:lang w:val="en-US"/>
        </w:rPr>
        <w:t>.</w:t>
      </w:r>
    </w:p>
    <w:p w:rsidR="00D428F9" w:rsidRDefault="00DD04B4" w:rsidP="00A96949">
      <w:pPr>
        <w:autoSpaceDE w:val="0"/>
        <w:autoSpaceDN w:val="0"/>
        <w:adjustRightInd w:val="0"/>
        <w:spacing w:after="0" w:line="240" w:lineRule="auto"/>
        <w:jc w:val="center"/>
        <w:rPr>
          <w:rFonts w:eastAsiaTheme="minorEastAsia"/>
          <w:sz w:val="20"/>
          <w:szCs w:val="20"/>
          <w:lang w:val="en-US"/>
        </w:rPr>
      </w:pPr>
      <m:oMath>
        <m:sSub>
          <m:sSubPr>
            <m:ctrlPr>
              <w:rPr>
                <w:rFonts w:ascii="Cambria Math" w:eastAsiaTheme="minorEastAsia" w:hAnsi="Cambria Math"/>
                <w:i/>
                <w:sz w:val="20"/>
                <w:szCs w:val="20"/>
                <w:lang w:val="en-US"/>
              </w:rPr>
            </m:ctrlPr>
          </m:sSubPr>
          <m:e>
            <m:r>
              <w:rPr>
                <w:rFonts w:ascii="Cambria Math" w:eastAsiaTheme="minorEastAsia" w:hAnsi="Cambria Math"/>
                <w:sz w:val="20"/>
                <w:szCs w:val="20"/>
                <w:lang w:val="en-US"/>
              </w:rPr>
              <m:t>ACAR</m:t>
            </m:r>
          </m:e>
          <m:sub>
            <m:r>
              <w:rPr>
                <w:rFonts w:ascii="Cambria Math" w:eastAsiaTheme="minorEastAsia" w:hAnsi="Cambria Math"/>
                <w:sz w:val="20"/>
                <w:szCs w:val="20"/>
                <w:lang w:val="en-US"/>
              </w:rPr>
              <m:t>L</m:t>
            </m:r>
            <m:r>
              <w:rPr>
                <w:rFonts w:eastAsiaTheme="minorEastAsia"/>
                <w:sz w:val="20"/>
                <w:szCs w:val="20"/>
                <w:lang w:val="en-US"/>
              </w:rPr>
              <m:t>-</m:t>
            </m:r>
            <m:r>
              <w:rPr>
                <w:rFonts w:ascii="Cambria Math" w:eastAsiaTheme="minorEastAsia" w:hAnsi="Cambria Math"/>
                <w:sz w:val="20"/>
                <w:szCs w:val="20"/>
                <w:lang w:val="en-US"/>
              </w:rPr>
              <m:t>W</m:t>
            </m:r>
          </m:sub>
        </m:sSub>
        <m:r>
          <w:rPr>
            <w:rFonts w:ascii="Cambria Math" w:eastAsiaTheme="minorEastAsia"/>
            <w:sz w:val="20"/>
            <w:szCs w:val="20"/>
            <w:lang w:val="en-US"/>
          </w:rPr>
          <m:t>=</m:t>
        </m:r>
        <m:sSub>
          <m:sSubPr>
            <m:ctrlPr>
              <w:rPr>
                <w:rFonts w:ascii="Cambria Math" w:eastAsiaTheme="minorEastAsia" w:hAnsi="Cambria Math"/>
                <w:i/>
                <w:sz w:val="20"/>
                <w:szCs w:val="20"/>
                <w:lang w:val="en-US"/>
              </w:rPr>
            </m:ctrlPr>
          </m:sSubPr>
          <m:e>
            <m:r>
              <w:rPr>
                <w:rFonts w:ascii="Cambria Math" w:eastAsiaTheme="minorEastAsia" w:hAnsi="Cambria Math"/>
                <w:sz w:val="20"/>
                <w:szCs w:val="20"/>
                <w:lang w:val="en-US"/>
              </w:rPr>
              <m:t>α</m:t>
            </m:r>
          </m:e>
          <m:sub>
            <m:r>
              <w:rPr>
                <w:rFonts w:ascii="Cambria Math" w:eastAsiaTheme="minorEastAsia"/>
                <w:sz w:val="20"/>
                <w:szCs w:val="20"/>
                <w:lang w:val="en-US"/>
              </w:rPr>
              <m:t>2</m:t>
            </m:r>
          </m:sub>
        </m:sSub>
        <m:r>
          <w:rPr>
            <w:rFonts w:ascii="Cambria Math" w:eastAsiaTheme="minorEastAsia"/>
            <w:sz w:val="20"/>
            <w:szCs w:val="20"/>
            <w:lang w:val="en-US"/>
          </w:rPr>
          <m:t xml:space="preserve"> +</m:t>
        </m:r>
        <m:r>
          <w:rPr>
            <w:rFonts w:ascii="Cambria Math" w:eastAsiaTheme="minorEastAsia" w:hAnsi="Cambria Math"/>
            <w:sz w:val="20"/>
            <w:szCs w:val="20"/>
            <w:lang w:val="en-US"/>
          </w:rPr>
          <m:t>β</m:t>
        </m:r>
        <m:d>
          <m:dPr>
            <m:ctrlPr>
              <w:rPr>
                <w:rFonts w:ascii="Cambria Math" w:eastAsiaTheme="minorEastAsia" w:hAnsi="Cambria Math"/>
                <w:i/>
                <w:sz w:val="20"/>
                <w:szCs w:val="20"/>
                <w:lang w:val="en-US"/>
              </w:rPr>
            </m:ctrlPr>
          </m:dPr>
          <m:e>
            <m:sSub>
              <m:sSubPr>
                <m:ctrlPr>
                  <w:rPr>
                    <w:rFonts w:ascii="Cambria Math" w:eastAsiaTheme="minorEastAsia" w:hAnsi="Cambria Math"/>
                    <w:i/>
                    <w:sz w:val="20"/>
                    <w:szCs w:val="20"/>
                    <w:lang w:val="en-US"/>
                  </w:rPr>
                </m:ctrlPr>
              </m:sSubPr>
              <m:e>
                <m:r>
                  <w:rPr>
                    <w:rFonts w:ascii="Cambria Math" w:eastAsiaTheme="minorEastAsia" w:hAnsi="Cambria Math"/>
                    <w:sz w:val="20"/>
                    <w:szCs w:val="20"/>
                    <w:lang w:val="en-US"/>
                  </w:rPr>
                  <m:t>RM</m:t>
                </m:r>
              </m:e>
              <m:sub>
                <m:r>
                  <w:rPr>
                    <w:rFonts w:ascii="Cambria Math" w:eastAsiaTheme="minorEastAsia" w:hAnsi="Cambria Math"/>
                    <w:sz w:val="20"/>
                    <w:szCs w:val="20"/>
                    <w:lang w:val="en-US"/>
                  </w:rPr>
                  <m:t>t</m:t>
                </m:r>
              </m:sub>
            </m:sSub>
          </m:e>
        </m:d>
        <m:r>
          <w:rPr>
            <w:rFonts w:ascii="Cambria Math" w:eastAsiaTheme="minorEastAsia"/>
            <w:sz w:val="20"/>
            <w:szCs w:val="20"/>
            <w:lang w:val="en-US"/>
          </w:rPr>
          <m:t>+</m:t>
        </m:r>
        <m:sSub>
          <m:sSubPr>
            <m:ctrlPr>
              <w:rPr>
                <w:rFonts w:ascii="Cambria Math" w:eastAsiaTheme="minorEastAsia" w:hAnsi="Cambria Math"/>
                <w:i/>
                <w:sz w:val="20"/>
                <w:szCs w:val="20"/>
                <w:lang w:val="en-US"/>
              </w:rPr>
            </m:ctrlPr>
          </m:sSubPr>
          <m:e>
            <m:r>
              <w:rPr>
                <w:rFonts w:ascii="Cambria Math" w:eastAsiaTheme="minorEastAsia" w:hAnsi="Cambria Math"/>
                <w:sz w:val="20"/>
                <w:szCs w:val="20"/>
                <w:lang w:val="en-US"/>
              </w:rPr>
              <m:t>∈</m:t>
            </m:r>
          </m:e>
          <m:sub>
            <m:r>
              <w:rPr>
                <w:rFonts w:ascii="Cambria Math" w:eastAsiaTheme="minorEastAsia" w:hAnsi="Cambria Math"/>
                <w:sz w:val="20"/>
                <w:szCs w:val="20"/>
                <w:lang w:val="en-US"/>
              </w:rPr>
              <m:t>t</m:t>
            </m:r>
          </m:sub>
        </m:sSub>
      </m:oMath>
      <w:r w:rsidR="00A96949">
        <w:rPr>
          <w:rFonts w:eastAsiaTheme="minorEastAsia"/>
          <w:sz w:val="20"/>
          <w:szCs w:val="20"/>
          <w:lang w:val="en-US"/>
        </w:rPr>
        <w:tab/>
      </w:r>
      <w:r w:rsidR="00A96949">
        <w:rPr>
          <w:rFonts w:eastAsiaTheme="minorEastAsia"/>
          <w:sz w:val="20"/>
          <w:szCs w:val="20"/>
          <w:lang w:val="en-US"/>
        </w:rPr>
        <w:tab/>
      </w:r>
      <w:r w:rsidR="00F52494">
        <w:rPr>
          <w:rFonts w:eastAsiaTheme="minorEastAsia"/>
          <w:sz w:val="20"/>
          <w:szCs w:val="20"/>
          <w:lang w:val="en-US"/>
        </w:rPr>
        <w:tab/>
      </w:r>
      <w:r w:rsidR="00A96949">
        <w:rPr>
          <w:rFonts w:eastAsiaTheme="minorEastAsia"/>
          <w:sz w:val="20"/>
          <w:szCs w:val="20"/>
          <w:lang w:val="en-US"/>
        </w:rPr>
        <w:t>(5)</w:t>
      </w:r>
    </w:p>
    <w:p w:rsidR="00A96949" w:rsidRPr="003F0A46" w:rsidRDefault="00A96949" w:rsidP="00A96949">
      <w:pPr>
        <w:autoSpaceDE w:val="0"/>
        <w:autoSpaceDN w:val="0"/>
        <w:adjustRightInd w:val="0"/>
        <w:spacing w:after="0" w:line="240" w:lineRule="auto"/>
        <w:rPr>
          <w:rFonts w:eastAsiaTheme="minorEastAsia"/>
          <w:sz w:val="20"/>
          <w:szCs w:val="20"/>
          <w:lang w:val="en-US"/>
        </w:rPr>
      </w:pPr>
    </w:p>
    <w:p w:rsidR="00554161" w:rsidRDefault="00E33D7E" w:rsidP="00554161">
      <w:pPr>
        <w:autoSpaceDE w:val="0"/>
        <w:autoSpaceDN w:val="0"/>
        <w:adjustRightInd w:val="0"/>
        <w:spacing w:after="0"/>
        <w:rPr>
          <w:sz w:val="20"/>
          <w:szCs w:val="20"/>
          <w:lang w:val="en-US"/>
        </w:rPr>
      </w:pPr>
      <w:r w:rsidRPr="003F0A46">
        <w:rPr>
          <w:rFonts w:eastAsiaTheme="minorEastAsia"/>
          <w:sz w:val="20"/>
          <w:szCs w:val="20"/>
          <w:lang w:val="en-US"/>
        </w:rPr>
        <w:t>w</w:t>
      </w:r>
      <w:r w:rsidR="00986221" w:rsidRPr="003F0A46">
        <w:rPr>
          <w:rFonts w:eastAsiaTheme="minorEastAsia"/>
          <w:sz w:val="20"/>
          <w:szCs w:val="20"/>
          <w:lang w:val="en-US"/>
        </w:rPr>
        <w:t xml:space="preserve">here </w:t>
      </w:r>
      <m:oMath>
        <m:sSub>
          <m:sSubPr>
            <m:ctrlPr>
              <w:rPr>
                <w:rFonts w:ascii="Cambria Math" w:hAnsi="Cambria Math"/>
                <w:sz w:val="20"/>
                <w:szCs w:val="20"/>
                <w:lang w:val="en-US"/>
              </w:rPr>
            </m:ctrlPr>
          </m:sSubPr>
          <m:e>
            <m:r>
              <m:rPr>
                <m:sty m:val="p"/>
              </m:rPr>
              <w:rPr>
                <w:sz w:val="20"/>
                <w:szCs w:val="20"/>
                <w:lang w:val="en-US"/>
              </w:rPr>
              <m:t>α</m:t>
            </m:r>
          </m:e>
          <m:sub>
            <m:r>
              <m:rPr>
                <m:sty m:val="p"/>
              </m:rPr>
              <w:rPr>
                <w:rFonts w:ascii="Cambria Math"/>
                <w:sz w:val="20"/>
                <w:szCs w:val="20"/>
                <w:lang w:val="en-US"/>
              </w:rPr>
              <m:t>2</m:t>
            </m:r>
          </m:sub>
        </m:sSub>
      </m:oMath>
      <w:r w:rsidR="00BD0BAE" w:rsidRPr="003F0A46">
        <w:rPr>
          <w:sz w:val="20"/>
          <w:szCs w:val="20"/>
          <w:lang w:val="en-US"/>
        </w:rPr>
        <w:t xml:space="preserve"> </w:t>
      </w:r>
      <w:r w:rsidR="00A96949">
        <w:rPr>
          <w:sz w:val="20"/>
          <w:szCs w:val="20"/>
          <w:lang w:val="en-US"/>
        </w:rPr>
        <w:t xml:space="preserve">is the Jensen performance index, </w:t>
      </w:r>
      <w:r w:rsidR="00BD0BAE" w:rsidRPr="003F0A46">
        <w:rPr>
          <w:sz w:val="20"/>
          <w:szCs w:val="20"/>
          <w:lang w:val="en-US"/>
        </w:rPr>
        <w:t xml:space="preserve"> </w:t>
      </w:r>
      <m:oMath>
        <m:r>
          <m:rPr>
            <m:sty m:val="p"/>
          </m:rPr>
          <w:rPr>
            <w:sz w:val="20"/>
            <w:szCs w:val="20"/>
            <w:lang w:val="en-US"/>
          </w:rPr>
          <m:t>β</m:t>
        </m:r>
      </m:oMath>
      <w:r w:rsidR="00BD0BAE" w:rsidRPr="003F0A46">
        <w:rPr>
          <w:sz w:val="20"/>
          <w:szCs w:val="20"/>
          <w:lang w:val="en-US"/>
        </w:rPr>
        <w:t xml:space="preserve"> represents the difference between the market beta of </w:t>
      </w:r>
      <m:oMath>
        <m:sSubSup>
          <m:sSubSupPr>
            <m:ctrlPr>
              <w:rPr>
                <w:rFonts w:ascii="Cambria Math" w:hAnsi="Cambria Math"/>
                <w:sz w:val="20"/>
                <w:szCs w:val="20"/>
                <w:lang w:val="en-US"/>
              </w:rPr>
            </m:ctrlPr>
          </m:sSubSupPr>
          <m:e>
            <m:r>
              <m:rPr>
                <m:sty m:val="p"/>
              </m:rPr>
              <w:rPr>
                <w:rFonts w:ascii="Cambria Math"/>
                <w:sz w:val="20"/>
                <w:szCs w:val="20"/>
                <w:lang w:val="en-US"/>
              </w:rPr>
              <m:t>ACAR</m:t>
            </m:r>
          </m:e>
          <m:sub>
            <m:r>
              <m:rPr>
                <m:sty m:val="p"/>
              </m:rPr>
              <w:rPr>
                <w:rFonts w:ascii="Cambria Math"/>
                <w:sz w:val="20"/>
                <w:szCs w:val="20"/>
                <w:lang w:val="en-US"/>
              </w:rPr>
              <m:t>P</m:t>
            </m:r>
          </m:sub>
          <m:sup>
            <m:r>
              <m:rPr>
                <m:sty m:val="p"/>
              </m:rPr>
              <w:rPr>
                <w:rFonts w:ascii="Cambria Math"/>
                <w:sz w:val="20"/>
                <w:szCs w:val="20"/>
                <w:lang w:val="en-US"/>
              </w:rPr>
              <m:t>L</m:t>
            </m:r>
          </m:sup>
        </m:sSubSup>
        <m:sSubSup>
          <m:sSubSupPr>
            <m:ctrlPr>
              <w:rPr>
                <w:rFonts w:ascii="Cambria Math" w:hAnsi="Cambria Math"/>
                <w:sz w:val="20"/>
                <w:szCs w:val="20"/>
                <w:lang w:val="en-US"/>
              </w:rPr>
            </m:ctrlPr>
          </m:sSubSupPr>
          <m:e>
            <m:r>
              <m:rPr>
                <m:sty m:val="p"/>
              </m:rPr>
              <w:rPr>
                <w:rFonts w:ascii="Cambria Math"/>
                <w:sz w:val="20"/>
                <w:szCs w:val="20"/>
                <w:lang w:val="en-US"/>
              </w:rPr>
              <m:t xml:space="preserve">  and ACAR</m:t>
            </m:r>
          </m:e>
          <m:sub>
            <m:r>
              <m:rPr>
                <m:sty m:val="p"/>
              </m:rPr>
              <w:rPr>
                <w:rFonts w:ascii="Cambria Math"/>
                <w:sz w:val="20"/>
                <w:szCs w:val="20"/>
                <w:lang w:val="en-US"/>
              </w:rPr>
              <m:t xml:space="preserve">P   </m:t>
            </m:r>
          </m:sub>
          <m:sup>
            <m:r>
              <m:rPr>
                <m:sty m:val="p"/>
              </m:rPr>
              <w:rPr>
                <w:rFonts w:ascii="Cambria Math"/>
                <w:sz w:val="20"/>
                <w:szCs w:val="20"/>
                <w:lang w:val="en-US"/>
              </w:rPr>
              <m:t>W</m:t>
            </m:r>
          </m:sup>
        </m:sSubSup>
      </m:oMath>
      <w:r w:rsidR="00A96949">
        <w:rPr>
          <w:sz w:val="20"/>
          <w:szCs w:val="20"/>
          <w:lang w:val="en-US"/>
        </w:rPr>
        <w:t xml:space="preserve">, </w:t>
      </w:r>
      <w:r w:rsidR="00986221" w:rsidRPr="003F0A46">
        <w:rPr>
          <w:rFonts w:eastAsiaTheme="minorEastAsia"/>
          <w:sz w:val="20"/>
          <w:szCs w:val="20"/>
          <w:lang w:val="en-US"/>
        </w:rPr>
        <w:t>R</w:t>
      </w:r>
      <w:r w:rsidR="00986221" w:rsidRPr="00D81F6C">
        <w:rPr>
          <w:rFonts w:eastAsiaTheme="minorEastAsia"/>
          <w:sz w:val="20"/>
          <w:szCs w:val="20"/>
          <w:vertAlign w:val="subscript"/>
          <w:lang w:val="en-US"/>
        </w:rPr>
        <w:t>M</w:t>
      </w:r>
      <w:r w:rsidR="00986221" w:rsidRPr="003F0A46">
        <w:rPr>
          <w:rFonts w:eastAsiaTheme="minorEastAsia"/>
          <w:sz w:val="20"/>
          <w:szCs w:val="20"/>
          <w:lang w:val="en-US"/>
        </w:rPr>
        <w:t>, is cumulative return on the EGX30 index t=1,2,3,4,12,24,36, or 52 holding periods.</w:t>
      </w:r>
    </w:p>
    <w:p w:rsidR="001543CF" w:rsidRPr="00554161" w:rsidRDefault="00BD0BAE" w:rsidP="00554161">
      <w:pPr>
        <w:autoSpaceDE w:val="0"/>
        <w:autoSpaceDN w:val="0"/>
        <w:adjustRightInd w:val="0"/>
        <w:spacing w:after="0"/>
        <w:ind w:firstLine="720"/>
        <w:rPr>
          <w:sz w:val="20"/>
          <w:szCs w:val="20"/>
          <w:lang w:val="en-US"/>
        </w:rPr>
      </w:pPr>
      <w:r w:rsidRPr="003F0A46">
        <w:rPr>
          <w:rFonts w:eastAsiaTheme="minorEastAsia"/>
          <w:sz w:val="20"/>
          <w:szCs w:val="20"/>
          <w:lang w:val="en-US"/>
        </w:rPr>
        <w:t>As</w:t>
      </w:r>
      <w:r w:rsidR="00052908" w:rsidRPr="003F0A46">
        <w:rPr>
          <w:rFonts w:eastAsiaTheme="minorEastAsia"/>
          <w:sz w:val="20"/>
          <w:szCs w:val="20"/>
          <w:lang w:val="en-US"/>
        </w:rPr>
        <w:t xml:space="preserve"> postulated by Clare and Thomas, a</w:t>
      </w:r>
      <w:r w:rsidRPr="003F0A46">
        <w:rPr>
          <w:rFonts w:eastAsiaTheme="minorEastAsia"/>
          <w:sz w:val="20"/>
          <w:szCs w:val="20"/>
          <w:lang w:val="en-US"/>
        </w:rPr>
        <w:t xml:space="preserve"> significantly positive value for </w:t>
      </w:r>
      <m:oMath>
        <m:sSub>
          <m:sSubPr>
            <m:ctrlPr>
              <w:rPr>
                <w:rFonts w:ascii="Cambria Math" w:eastAsiaTheme="minorEastAsia" w:hAnsi="Cambria Math"/>
                <w:i/>
                <w:sz w:val="20"/>
                <w:szCs w:val="20"/>
                <w:lang w:val="en-US"/>
              </w:rPr>
            </m:ctrlPr>
          </m:sSubPr>
          <m:e>
            <m:r>
              <w:rPr>
                <w:rFonts w:ascii="Cambria Math" w:eastAsiaTheme="minorEastAsia" w:hAnsi="Cambria Math"/>
                <w:sz w:val="20"/>
                <w:szCs w:val="20"/>
                <w:lang w:val="en-US"/>
              </w:rPr>
              <m:t>α</m:t>
            </m:r>
          </m:e>
          <m:sub>
            <m:r>
              <w:rPr>
                <w:rFonts w:ascii="Cambria Math" w:eastAsiaTheme="minorEastAsia"/>
                <w:sz w:val="20"/>
                <w:szCs w:val="20"/>
                <w:lang w:val="en-US"/>
              </w:rPr>
              <m:t>2</m:t>
            </m:r>
          </m:sub>
        </m:sSub>
      </m:oMath>
      <w:r w:rsidRPr="003F0A46">
        <w:rPr>
          <w:rFonts w:eastAsiaTheme="minorEastAsia"/>
          <w:sz w:val="20"/>
          <w:szCs w:val="20"/>
          <w:lang w:val="en-US"/>
        </w:rPr>
        <w:t xml:space="preserve"> can be seen as confirmation of the Overreaction Hypothesis. If </w:t>
      </w:r>
      <m:oMath>
        <m:r>
          <w:rPr>
            <w:rFonts w:ascii="Cambria Math" w:eastAsiaTheme="minorEastAsia" w:hAnsi="Cambria Math"/>
            <w:sz w:val="20"/>
            <w:szCs w:val="20"/>
            <w:lang w:val="en-US"/>
          </w:rPr>
          <m:t>β</m:t>
        </m:r>
      </m:oMath>
      <w:r w:rsidRPr="003F0A46">
        <w:rPr>
          <w:rFonts w:eastAsiaTheme="minorEastAsia"/>
          <w:sz w:val="20"/>
          <w:szCs w:val="20"/>
          <w:lang w:val="en-US"/>
        </w:rPr>
        <w:t xml:space="preserve">  is significantly different from zero then differences in systematic risk explain some of the difference in returns. A significantly positive value for </w:t>
      </w:r>
      <m:oMath>
        <m:r>
          <w:rPr>
            <w:rFonts w:ascii="Cambria Math" w:eastAsiaTheme="minorEastAsia" w:hAnsi="Cambria Math"/>
            <w:sz w:val="20"/>
            <w:szCs w:val="20"/>
            <w:lang w:val="en-US"/>
          </w:rPr>
          <m:t>β</m:t>
        </m:r>
      </m:oMath>
      <w:r w:rsidRPr="003F0A46">
        <w:rPr>
          <w:rFonts w:eastAsiaTheme="minorEastAsia"/>
          <w:sz w:val="20"/>
          <w:szCs w:val="20"/>
          <w:lang w:val="en-US"/>
        </w:rPr>
        <w:t xml:space="preserve"> means that losers </w:t>
      </w:r>
      <w:r w:rsidR="00B73DE7" w:rsidRPr="003F0A46">
        <w:rPr>
          <w:rFonts w:eastAsiaTheme="minorEastAsia"/>
          <w:sz w:val="20"/>
          <w:szCs w:val="20"/>
          <w:lang w:val="en-US"/>
        </w:rPr>
        <w:t xml:space="preserve">bear </w:t>
      </w:r>
      <w:r w:rsidRPr="003F0A46">
        <w:rPr>
          <w:rFonts w:eastAsiaTheme="minorEastAsia"/>
          <w:sz w:val="20"/>
          <w:szCs w:val="20"/>
          <w:lang w:val="en-US"/>
        </w:rPr>
        <w:t>more systematic risk than winners.</w:t>
      </w:r>
    </w:p>
    <w:p w:rsidR="007E4457" w:rsidRPr="003F0A46" w:rsidRDefault="00554161" w:rsidP="00554161">
      <w:pPr>
        <w:spacing w:after="0"/>
        <w:ind w:firstLine="720"/>
        <w:rPr>
          <w:sz w:val="20"/>
          <w:szCs w:val="20"/>
          <w:lang w:val="en-US"/>
        </w:rPr>
      </w:pPr>
      <w:r>
        <w:rPr>
          <w:sz w:val="20"/>
          <w:szCs w:val="20"/>
          <w:lang w:val="en-US"/>
        </w:rPr>
        <w:t>We finally also examine whether our results hold across different size categories by investigating</w:t>
      </w:r>
      <w:r w:rsidR="00D81F6C">
        <w:rPr>
          <w:sz w:val="20"/>
          <w:szCs w:val="20"/>
          <w:lang w:val="en-US"/>
        </w:rPr>
        <w:t xml:space="preserve"> the over/under</w:t>
      </w:r>
      <w:r w:rsidR="00FF1416" w:rsidRPr="003F0A46">
        <w:rPr>
          <w:sz w:val="20"/>
          <w:szCs w:val="20"/>
          <w:lang w:val="en-US"/>
        </w:rPr>
        <w:t>reaction hypothesis within each</w:t>
      </w:r>
      <w:r>
        <w:rPr>
          <w:sz w:val="20"/>
          <w:szCs w:val="20"/>
          <w:lang w:val="en-US"/>
        </w:rPr>
        <w:t xml:space="preserve"> market-capitalization category</w:t>
      </w:r>
      <w:r w:rsidR="00F4118E" w:rsidRPr="003F0A46">
        <w:rPr>
          <w:sz w:val="20"/>
          <w:szCs w:val="20"/>
          <w:lang w:val="en-US"/>
        </w:rPr>
        <w:t xml:space="preserve">. The market capitalization at the end of </w:t>
      </w:r>
      <w:r>
        <w:rPr>
          <w:sz w:val="20"/>
          <w:szCs w:val="20"/>
          <w:lang w:val="en-US"/>
        </w:rPr>
        <w:t>each</w:t>
      </w:r>
      <w:r w:rsidR="00F4118E" w:rsidRPr="003F0A46">
        <w:rPr>
          <w:sz w:val="20"/>
          <w:szCs w:val="20"/>
          <w:lang w:val="en-US"/>
        </w:rPr>
        <w:t xml:space="preserve"> previous week is used to sort </w:t>
      </w:r>
      <w:r>
        <w:rPr>
          <w:sz w:val="20"/>
          <w:szCs w:val="20"/>
          <w:lang w:val="en-US"/>
        </w:rPr>
        <w:t>stocks into l</w:t>
      </w:r>
      <w:r w:rsidR="00F4118E" w:rsidRPr="003F0A46">
        <w:rPr>
          <w:sz w:val="20"/>
          <w:szCs w:val="20"/>
          <w:lang w:val="en-US"/>
        </w:rPr>
        <w:t>arge-ma</w:t>
      </w:r>
      <w:r>
        <w:rPr>
          <w:sz w:val="20"/>
          <w:szCs w:val="20"/>
          <w:lang w:val="en-US"/>
        </w:rPr>
        <w:t>rket capitalization stocks and s</w:t>
      </w:r>
      <w:r w:rsidR="00F4118E" w:rsidRPr="003F0A46">
        <w:rPr>
          <w:sz w:val="20"/>
          <w:szCs w:val="20"/>
          <w:lang w:val="en-US"/>
        </w:rPr>
        <w:t>mall-market capitalization stocks</w:t>
      </w:r>
      <w:r w:rsidR="005F4EEF" w:rsidRPr="003F0A46">
        <w:rPr>
          <w:sz w:val="20"/>
          <w:szCs w:val="20"/>
          <w:lang w:val="en-US"/>
        </w:rPr>
        <w:t>. Following this, stocks within each market-capitalization category are sorted again based on past week excess returns to form winner and loser portfolios.</w:t>
      </w:r>
    </w:p>
    <w:p w:rsidR="00B65294" w:rsidRPr="003F0A46" w:rsidRDefault="00B65294" w:rsidP="00B65294">
      <w:pPr>
        <w:spacing w:after="0"/>
        <w:rPr>
          <w:sz w:val="20"/>
          <w:szCs w:val="20"/>
          <w:lang w:val="en-US"/>
        </w:rPr>
      </w:pPr>
    </w:p>
    <w:p w:rsidR="000556E5" w:rsidRPr="003F0A46" w:rsidRDefault="00CC2B9C" w:rsidP="00B65294">
      <w:pPr>
        <w:pStyle w:val="Heading2"/>
        <w:spacing w:before="0"/>
        <w:rPr>
          <w:rFonts w:asciiTheme="majorBidi" w:hAnsiTheme="majorBidi"/>
          <w:caps/>
          <w:color w:val="000000" w:themeColor="text1"/>
          <w:sz w:val="20"/>
          <w:szCs w:val="20"/>
          <w:lang w:val="en-US"/>
        </w:rPr>
      </w:pPr>
      <w:r w:rsidRPr="003F0A46">
        <w:rPr>
          <w:rFonts w:asciiTheme="majorBidi" w:hAnsiTheme="majorBidi"/>
          <w:caps/>
          <w:color w:val="000000" w:themeColor="text1"/>
          <w:sz w:val="20"/>
          <w:szCs w:val="20"/>
          <w:lang w:val="en-US"/>
        </w:rPr>
        <w:t xml:space="preserve">4. </w:t>
      </w:r>
      <w:r w:rsidR="000556E5" w:rsidRPr="003F0A46">
        <w:rPr>
          <w:rFonts w:asciiTheme="majorBidi" w:hAnsiTheme="majorBidi"/>
          <w:caps/>
          <w:color w:val="000000" w:themeColor="text1"/>
          <w:sz w:val="20"/>
          <w:szCs w:val="20"/>
          <w:lang w:val="en-US"/>
        </w:rPr>
        <w:t>Results</w:t>
      </w:r>
    </w:p>
    <w:p w:rsidR="00C066AB" w:rsidRPr="003F0A46" w:rsidRDefault="00554161" w:rsidP="00554161">
      <w:pPr>
        <w:spacing w:after="0"/>
        <w:ind w:firstLine="720"/>
        <w:rPr>
          <w:sz w:val="20"/>
          <w:szCs w:val="20"/>
          <w:lang w:val="en-US"/>
        </w:rPr>
      </w:pPr>
      <w:r>
        <w:rPr>
          <w:sz w:val="20"/>
          <w:szCs w:val="20"/>
          <w:lang w:val="en-US"/>
        </w:rPr>
        <w:t>Our final sample</w:t>
      </w:r>
      <w:r w:rsidR="005829EA" w:rsidRPr="003F0A46">
        <w:rPr>
          <w:sz w:val="20"/>
          <w:szCs w:val="20"/>
          <w:lang w:val="en-US"/>
        </w:rPr>
        <w:t xml:space="preserve"> consists of 184 stocks listed in the Egyptian exchange</w:t>
      </w:r>
      <w:r>
        <w:rPr>
          <w:sz w:val="20"/>
          <w:szCs w:val="20"/>
          <w:lang w:val="en-US"/>
        </w:rPr>
        <w:t xml:space="preserve"> over the period of </w:t>
      </w:r>
      <w:r w:rsidRPr="003F0A46">
        <w:rPr>
          <w:sz w:val="20"/>
          <w:szCs w:val="20"/>
          <w:lang w:val="en-US"/>
        </w:rPr>
        <w:t>Ja</w:t>
      </w:r>
      <w:r>
        <w:rPr>
          <w:sz w:val="20"/>
          <w:szCs w:val="20"/>
          <w:lang w:val="en-US"/>
        </w:rPr>
        <w:t>nuary 1998 to December 2013</w:t>
      </w:r>
      <w:r w:rsidR="005829EA" w:rsidRPr="003F0A46">
        <w:rPr>
          <w:sz w:val="20"/>
          <w:szCs w:val="20"/>
          <w:lang w:val="en-US"/>
        </w:rPr>
        <w:t xml:space="preserve">. The study </w:t>
      </w:r>
      <w:r>
        <w:rPr>
          <w:sz w:val="20"/>
          <w:szCs w:val="20"/>
          <w:lang w:val="en-US"/>
        </w:rPr>
        <w:t>therefore covers 827 weeks and 152,168 observations. The</w:t>
      </w:r>
      <w:r w:rsidR="005829EA" w:rsidRPr="003F0A46">
        <w:rPr>
          <w:sz w:val="20"/>
          <w:szCs w:val="20"/>
          <w:lang w:val="en-US"/>
        </w:rPr>
        <w:t xml:space="preserve"> average weekly </w:t>
      </w:r>
      <w:r w:rsidR="009C7BEB" w:rsidRPr="003F0A46">
        <w:rPr>
          <w:sz w:val="20"/>
          <w:szCs w:val="20"/>
          <w:lang w:val="en-US"/>
        </w:rPr>
        <w:t xml:space="preserve">return for </w:t>
      </w:r>
      <w:r>
        <w:rPr>
          <w:sz w:val="20"/>
          <w:szCs w:val="20"/>
          <w:lang w:val="en-US"/>
        </w:rPr>
        <w:t xml:space="preserve">an equally weighted portfolio of </w:t>
      </w:r>
      <w:r w:rsidR="009C7BEB" w:rsidRPr="003F0A46">
        <w:rPr>
          <w:sz w:val="20"/>
          <w:szCs w:val="20"/>
          <w:lang w:val="en-US"/>
        </w:rPr>
        <w:t xml:space="preserve">all </w:t>
      </w:r>
      <w:r>
        <w:rPr>
          <w:sz w:val="20"/>
          <w:szCs w:val="20"/>
          <w:lang w:val="en-US"/>
        </w:rPr>
        <w:t>stocks in the sample</w:t>
      </w:r>
      <w:r w:rsidR="009C7BEB" w:rsidRPr="003F0A46">
        <w:rPr>
          <w:sz w:val="20"/>
          <w:szCs w:val="20"/>
          <w:lang w:val="en-US"/>
        </w:rPr>
        <w:t xml:space="preserve"> is 0.124%</w:t>
      </w:r>
      <w:r w:rsidR="00D428F9" w:rsidRPr="003F0A46">
        <w:rPr>
          <w:sz w:val="20"/>
          <w:szCs w:val="20"/>
          <w:lang w:val="en-US"/>
        </w:rPr>
        <w:t>, which translates to 6.67% annualized</w:t>
      </w:r>
      <w:r w:rsidR="009C7BEB" w:rsidRPr="003F0A46">
        <w:rPr>
          <w:sz w:val="20"/>
          <w:szCs w:val="20"/>
          <w:lang w:val="en-US"/>
        </w:rPr>
        <w:t xml:space="preserve">. </w:t>
      </w:r>
    </w:p>
    <w:p w:rsidR="00554161" w:rsidRPr="003F0A46" w:rsidRDefault="00554161" w:rsidP="00D81F6C">
      <w:pPr>
        <w:spacing w:after="0"/>
        <w:ind w:firstLine="720"/>
        <w:rPr>
          <w:sz w:val="20"/>
          <w:szCs w:val="20"/>
          <w:lang w:val="en-US"/>
        </w:rPr>
      </w:pPr>
      <w:r>
        <w:rPr>
          <w:sz w:val="20"/>
          <w:szCs w:val="20"/>
          <w:lang w:val="en-US"/>
        </w:rPr>
        <w:t>Table 1</w:t>
      </w:r>
      <w:r w:rsidR="003D1047" w:rsidRPr="003F0A46">
        <w:rPr>
          <w:sz w:val="20"/>
          <w:szCs w:val="20"/>
          <w:lang w:val="en-US"/>
        </w:rPr>
        <w:t xml:space="preserve"> presents the result of testing the overreaction hypothesis for the whole sample. The table shows the one week average abnormal return during the formation period for the winner, loser and arbitrage (loser-winner) portfolios and the average cumulative abnormal returns (ACAR) for the three portfolios for 8 holding periods (1,2,3,4,12,24,36,or 52).</w:t>
      </w:r>
      <w:r>
        <w:rPr>
          <w:sz w:val="20"/>
          <w:szCs w:val="20"/>
          <w:lang w:val="en-US"/>
        </w:rPr>
        <w:t xml:space="preserve"> </w:t>
      </w:r>
      <w:r w:rsidRPr="003F0A46">
        <w:rPr>
          <w:sz w:val="20"/>
          <w:szCs w:val="20"/>
          <w:lang w:val="en-US"/>
        </w:rPr>
        <w:t xml:space="preserve">For the winner portfolio, it is obvious that weekly winners exhibit price momentum. There is a strong positive return in week </w:t>
      </w:r>
      <w:r w:rsidRPr="00D81F6C">
        <w:rPr>
          <w:i/>
          <w:iCs/>
          <w:sz w:val="20"/>
          <w:szCs w:val="20"/>
          <w:lang w:val="en-US"/>
        </w:rPr>
        <w:t>t-1</w:t>
      </w:r>
      <w:r w:rsidRPr="003F0A46">
        <w:rPr>
          <w:sz w:val="20"/>
          <w:szCs w:val="20"/>
          <w:lang w:val="en-US"/>
        </w:rPr>
        <w:t>, followed by statistically significant positive returns for the holding periods from 1 to 52 weeks, except for the holding period of 24 weeks, where t</w:t>
      </w:r>
      <w:r w:rsidR="00C37AF8">
        <w:rPr>
          <w:sz w:val="20"/>
          <w:szCs w:val="20"/>
          <w:lang w:val="en-US"/>
        </w:rPr>
        <w:t xml:space="preserve">he return is significant. </w:t>
      </w:r>
      <w:r w:rsidRPr="003F0A46">
        <w:rPr>
          <w:sz w:val="20"/>
          <w:szCs w:val="20"/>
          <w:lang w:val="en-US"/>
        </w:rPr>
        <w:t xml:space="preserve">The returns for the winner portfolios are gradually increasing along the holding periods, until a maximum return of 3.44% is reached at the holding period of 52 weeks. Hence, a return momentum appears to gradually increase for the winner stocks along the 8 holding periods. </w:t>
      </w:r>
    </w:p>
    <w:p w:rsidR="00554161" w:rsidRPr="003F0A46" w:rsidRDefault="00554161" w:rsidP="00D81F6C">
      <w:pPr>
        <w:spacing w:after="0"/>
        <w:ind w:firstLine="720"/>
        <w:rPr>
          <w:sz w:val="20"/>
          <w:szCs w:val="20"/>
          <w:lang w:val="en-US"/>
        </w:rPr>
      </w:pPr>
      <w:r w:rsidRPr="003F0A46">
        <w:rPr>
          <w:sz w:val="20"/>
          <w:szCs w:val="20"/>
          <w:lang w:val="en-US"/>
        </w:rPr>
        <w:t xml:space="preserve">In contrast to the winner portfolios, the loser ones exhibit price reversals. They showed a strong negative return in the portfolio formation period that slightly increases at the holding period of 1 week, and continued in this increasing trend till the holding period of 24 weeks then starts to decline for the holding periods of 36 and 52 weeks. </w:t>
      </w:r>
      <w:r w:rsidRPr="003F0A46">
        <w:rPr>
          <w:sz w:val="20"/>
          <w:szCs w:val="20"/>
          <w:lang w:val="en-US"/>
        </w:rPr>
        <w:lastRenderedPageBreak/>
        <w:t>However, the return for the loser portfolios is positive for all the holding periods except for the holding period of 1 week, though the returns are not statistically significant.</w:t>
      </w:r>
    </w:p>
    <w:p w:rsidR="00C47ACE" w:rsidRPr="003F0A46" w:rsidRDefault="00C47ACE" w:rsidP="00554161">
      <w:pPr>
        <w:spacing w:after="0"/>
        <w:ind w:firstLine="720"/>
        <w:rPr>
          <w:sz w:val="20"/>
          <w:szCs w:val="20"/>
          <w:lang w:val="en-US"/>
        </w:rPr>
      </w:pPr>
    </w:p>
    <w:p w:rsidR="00F52494" w:rsidRPr="00F52494" w:rsidRDefault="00F52494" w:rsidP="00F52494">
      <w:pPr>
        <w:pStyle w:val="Caption"/>
        <w:keepNext/>
        <w:spacing w:after="0"/>
        <w:rPr>
          <w:color w:val="auto"/>
          <w:sz w:val="20"/>
          <w:szCs w:val="20"/>
        </w:rPr>
      </w:pPr>
      <w:r w:rsidRPr="00F52494">
        <w:rPr>
          <w:color w:val="auto"/>
          <w:sz w:val="20"/>
          <w:szCs w:val="20"/>
        </w:rPr>
        <w:t xml:space="preserve">Table </w:t>
      </w:r>
      <w:r w:rsidR="00DD04B4" w:rsidRPr="00F52494">
        <w:rPr>
          <w:color w:val="auto"/>
          <w:sz w:val="20"/>
          <w:szCs w:val="20"/>
        </w:rPr>
        <w:fldChar w:fldCharType="begin"/>
      </w:r>
      <w:r w:rsidRPr="00F52494">
        <w:rPr>
          <w:color w:val="auto"/>
          <w:sz w:val="20"/>
          <w:szCs w:val="20"/>
        </w:rPr>
        <w:instrText xml:space="preserve"> SEQ Table \* ARABIC </w:instrText>
      </w:r>
      <w:r w:rsidR="00DD04B4" w:rsidRPr="00F52494">
        <w:rPr>
          <w:color w:val="auto"/>
          <w:sz w:val="20"/>
          <w:szCs w:val="20"/>
        </w:rPr>
        <w:fldChar w:fldCharType="separate"/>
      </w:r>
      <w:r w:rsidR="0026407B">
        <w:rPr>
          <w:noProof/>
          <w:color w:val="auto"/>
          <w:sz w:val="20"/>
          <w:szCs w:val="20"/>
        </w:rPr>
        <w:t>1</w:t>
      </w:r>
      <w:r w:rsidR="00DD04B4" w:rsidRPr="00F52494">
        <w:rPr>
          <w:color w:val="auto"/>
          <w:sz w:val="20"/>
          <w:szCs w:val="20"/>
        </w:rPr>
        <w:fldChar w:fldCharType="end"/>
      </w:r>
      <w:r w:rsidRPr="00F52494">
        <w:rPr>
          <w:color w:val="auto"/>
          <w:sz w:val="20"/>
          <w:szCs w:val="20"/>
          <w:lang w:val="en-US"/>
        </w:rPr>
        <w:t xml:space="preserve"> Average cumulative abnormal return (ACAR) for the whole period for the winner (W), loser (L) and loser-winner portfolio (L-W)</w:t>
      </w:r>
    </w:p>
    <w:tbl>
      <w:tblPr>
        <w:tblStyle w:val="TableGrid"/>
        <w:tblW w:w="542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
        <w:gridCol w:w="1122"/>
        <w:gridCol w:w="1743"/>
        <w:gridCol w:w="933"/>
        <w:gridCol w:w="933"/>
        <w:gridCol w:w="933"/>
        <w:gridCol w:w="933"/>
        <w:gridCol w:w="866"/>
        <w:gridCol w:w="733"/>
        <w:gridCol w:w="866"/>
        <w:gridCol w:w="866"/>
      </w:tblGrid>
      <w:tr w:rsidR="00C066AB" w:rsidRPr="00F52494" w:rsidTr="00F52494">
        <w:trPr>
          <w:trHeight w:val="366"/>
          <w:jc w:val="center"/>
        </w:trPr>
        <w:tc>
          <w:tcPr>
            <w:tcW w:w="221" w:type="pct"/>
            <w:vMerge w:val="restart"/>
            <w:textDirection w:val="btLr"/>
            <w:vAlign w:val="center"/>
          </w:tcPr>
          <w:p w:rsidR="00C066AB" w:rsidRPr="00F52494" w:rsidRDefault="00C066AB" w:rsidP="00F52494">
            <w:pPr>
              <w:spacing w:line="240" w:lineRule="auto"/>
              <w:ind w:left="113" w:right="113"/>
              <w:jc w:val="center"/>
              <w:outlineLvl w:val="9"/>
              <w:rPr>
                <w:rFonts w:eastAsia="Times New Roman"/>
                <w:b/>
                <w:bCs/>
                <w:color w:val="000000"/>
                <w:sz w:val="20"/>
                <w:szCs w:val="20"/>
                <w:lang w:val="en-US"/>
              </w:rPr>
            </w:pPr>
            <w:r w:rsidRPr="00F52494">
              <w:rPr>
                <w:rFonts w:eastAsia="Times New Roman"/>
                <w:b/>
                <w:bCs/>
                <w:color w:val="000000"/>
                <w:sz w:val="20"/>
                <w:szCs w:val="20"/>
                <w:lang w:val="en-US"/>
              </w:rPr>
              <w:t>Portfolio</w:t>
            </w:r>
          </w:p>
        </w:tc>
        <w:tc>
          <w:tcPr>
            <w:tcW w:w="540" w:type="pct"/>
            <w:vMerge w:val="restart"/>
            <w:tcBorders>
              <w:top w:val="single" w:sz="4" w:space="0" w:color="auto"/>
            </w:tcBorders>
            <w:noWrap/>
            <w:vAlign w:val="center"/>
            <w:hideMark/>
          </w:tcPr>
          <w:p w:rsidR="00C066AB" w:rsidRPr="00F52494" w:rsidRDefault="00C066AB" w:rsidP="00B65294">
            <w:pPr>
              <w:spacing w:line="240" w:lineRule="auto"/>
              <w:jc w:val="center"/>
              <w:outlineLvl w:val="9"/>
              <w:rPr>
                <w:rFonts w:eastAsia="Times New Roman"/>
                <w:color w:val="000000"/>
                <w:sz w:val="20"/>
                <w:szCs w:val="20"/>
                <w:lang w:val="en-US"/>
              </w:rPr>
            </w:pPr>
          </w:p>
        </w:tc>
        <w:tc>
          <w:tcPr>
            <w:tcW w:w="839" w:type="pct"/>
            <w:vMerge w:val="restart"/>
            <w:tcBorders>
              <w:top w:val="single" w:sz="4" w:space="0" w:color="auto"/>
            </w:tcBorders>
            <w:noWrap/>
            <w:vAlign w:val="center"/>
            <w:hideMark/>
          </w:tcPr>
          <w:p w:rsidR="00241DAB" w:rsidRDefault="00C066AB" w:rsidP="00B65294">
            <w:pPr>
              <w:spacing w:line="240" w:lineRule="auto"/>
              <w:jc w:val="center"/>
              <w:outlineLvl w:val="9"/>
              <w:rPr>
                <w:rFonts w:eastAsia="Times New Roman"/>
                <w:b/>
                <w:bCs/>
                <w:color w:val="000000"/>
                <w:sz w:val="20"/>
                <w:szCs w:val="20"/>
                <w:lang w:val="en-US"/>
              </w:rPr>
            </w:pPr>
            <w:r w:rsidRPr="00F52494">
              <w:rPr>
                <w:rFonts w:eastAsia="Times New Roman"/>
                <w:b/>
                <w:bCs/>
                <w:color w:val="000000"/>
                <w:sz w:val="20"/>
                <w:szCs w:val="20"/>
                <w:lang w:val="en-US"/>
              </w:rPr>
              <w:t xml:space="preserve">Formation </w:t>
            </w:r>
          </w:p>
          <w:p w:rsidR="00C066AB" w:rsidRPr="00F52494" w:rsidRDefault="00C066AB" w:rsidP="00B65294">
            <w:pPr>
              <w:spacing w:line="240" w:lineRule="auto"/>
              <w:jc w:val="center"/>
              <w:outlineLvl w:val="9"/>
              <w:rPr>
                <w:rFonts w:eastAsia="Times New Roman"/>
                <w:b/>
                <w:bCs/>
                <w:color w:val="000000"/>
                <w:sz w:val="20"/>
                <w:szCs w:val="20"/>
                <w:lang w:val="en-US"/>
              </w:rPr>
            </w:pPr>
            <w:r w:rsidRPr="00F52494">
              <w:rPr>
                <w:rFonts w:eastAsia="Times New Roman"/>
                <w:b/>
                <w:bCs/>
                <w:color w:val="000000"/>
                <w:sz w:val="20"/>
                <w:szCs w:val="20"/>
                <w:lang w:val="en-US"/>
              </w:rPr>
              <w:t>Period</w:t>
            </w:r>
          </w:p>
        </w:tc>
        <w:tc>
          <w:tcPr>
            <w:tcW w:w="3400" w:type="pct"/>
            <w:gridSpan w:val="8"/>
            <w:tcBorders>
              <w:top w:val="single" w:sz="4" w:space="0" w:color="auto"/>
            </w:tcBorders>
            <w:noWrap/>
            <w:vAlign w:val="center"/>
            <w:hideMark/>
          </w:tcPr>
          <w:p w:rsidR="00C066AB" w:rsidRPr="00F52494" w:rsidRDefault="00C066AB" w:rsidP="00B65294">
            <w:pPr>
              <w:spacing w:line="240" w:lineRule="auto"/>
              <w:jc w:val="center"/>
              <w:outlineLvl w:val="9"/>
              <w:rPr>
                <w:rFonts w:eastAsia="Times New Roman"/>
                <w:b/>
                <w:bCs/>
                <w:color w:val="000000"/>
                <w:sz w:val="20"/>
                <w:szCs w:val="20"/>
                <w:lang w:val="en-US"/>
              </w:rPr>
            </w:pPr>
            <w:r w:rsidRPr="00F52494">
              <w:rPr>
                <w:rFonts w:eastAsia="Times New Roman"/>
                <w:b/>
                <w:bCs/>
                <w:color w:val="000000"/>
                <w:sz w:val="20"/>
                <w:szCs w:val="20"/>
                <w:lang w:val="en-US"/>
              </w:rPr>
              <w:t>Holding Period (weeks)</w:t>
            </w:r>
          </w:p>
        </w:tc>
      </w:tr>
      <w:tr w:rsidR="00C066AB" w:rsidRPr="00F52494" w:rsidTr="00F52494">
        <w:trPr>
          <w:trHeight w:val="348"/>
          <w:jc w:val="center"/>
        </w:trPr>
        <w:tc>
          <w:tcPr>
            <w:tcW w:w="221" w:type="pct"/>
            <w:vMerge/>
            <w:vAlign w:val="center"/>
          </w:tcPr>
          <w:p w:rsidR="00C066AB" w:rsidRPr="00F52494" w:rsidRDefault="00C066AB" w:rsidP="00B65294">
            <w:pPr>
              <w:spacing w:line="240" w:lineRule="auto"/>
              <w:jc w:val="center"/>
              <w:outlineLvl w:val="9"/>
              <w:rPr>
                <w:rFonts w:eastAsia="Times New Roman"/>
                <w:color w:val="000000"/>
                <w:sz w:val="20"/>
                <w:szCs w:val="20"/>
                <w:lang w:val="en-US"/>
              </w:rPr>
            </w:pPr>
          </w:p>
        </w:tc>
        <w:tc>
          <w:tcPr>
            <w:tcW w:w="540" w:type="pct"/>
            <w:vMerge/>
            <w:tcBorders>
              <w:bottom w:val="single" w:sz="4" w:space="0" w:color="auto"/>
            </w:tcBorders>
            <w:noWrap/>
            <w:vAlign w:val="center"/>
            <w:hideMark/>
          </w:tcPr>
          <w:p w:rsidR="00C066AB" w:rsidRPr="00F52494" w:rsidRDefault="00C066AB" w:rsidP="00B65294">
            <w:pPr>
              <w:spacing w:line="240" w:lineRule="auto"/>
              <w:jc w:val="center"/>
              <w:outlineLvl w:val="9"/>
              <w:rPr>
                <w:rFonts w:eastAsia="Times New Roman"/>
                <w:color w:val="000000"/>
                <w:sz w:val="20"/>
                <w:szCs w:val="20"/>
                <w:lang w:val="en-US"/>
              </w:rPr>
            </w:pPr>
          </w:p>
        </w:tc>
        <w:tc>
          <w:tcPr>
            <w:tcW w:w="839" w:type="pct"/>
            <w:vMerge/>
            <w:tcBorders>
              <w:bottom w:val="single" w:sz="4" w:space="0" w:color="auto"/>
            </w:tcBorders>
            <w:noWrap/>
            <w:vAlign w:val="center"/>
            <w:hideMark/>
          </w:tcPr>
          <w:p w:rsidR="00C066AB" w:rsidRPr="00F52494" w:rsidRDefault="00C066AB" w:rsidP="00B65294">
            <w:pPr>
              <w:spacing w:line="240" w:lineRule="auto"/>
              <w:jc w:val="center"/>
              <w:outlineLvl w:val="9"/>
              <w:rPr>
                <w:rFonts w:eastAsia="Times New Roman"/>
                <w:color w:val="000000"/>
                <w:sz w:val="20"/>
                <w:szCs w:val="20"/>
                <w:lang w:val="en-US"/>
              </w:rPr>
            </w:pPr>
          </w:p>
        </w:tc>
        <w:tc>
          <w:tcPr>
            <w:tcW w:w="449" w:type="pct"/>
            <w:tcBorders>
              <w:bottom w:val="single" w:sz="4" w:space="0" w:color="auto"/>
            </w:tcBorders>
            <w:noWrap/>
            <w:vAlign w:val="center"/>
            <w:hideMark/>
          </w:tcPr>
          <w:p w:rsidR="00C066AB" w:rsidRPr="00F52494" w:rsidRDefault="00C066AB" w:rsidP="00B65294">
            <w:pPr>
              <w:spacing w:line="240" w:lineRule="auto"/>
              <w:jc w:val="center"/>
              <w:outlineLvl w:val="9"/>
              <w:rPr>
                <w:rFonts w:eastAsia="Times New Roman"/>
                <w:color w:val="000000"/>
                <w:sz w:val="20"/>
                <w:szCs w:val="20"/>
                <w:lang w:val="en-US"/>
              </w:rPr>
            </w:pPr>
            <w:r w:rsidRPr="00F52494">
              <w:rPr>
                <w:rFonts w:eastAsia="Times New Roman"/>
                <w:color w:val="000000"/>
                <w:sz w:val="20"/>
                <w:szCs w:val="20"/>
                <w:lang w:val="en-US"/>
              </w:rPr>
              <w:t>1</w:t>
            </w:r>
          </w:p>
        </w:tc>
        <w:tc>
          <w:tcPr>
            <w:tcW w:w="449" w:type="pct"/>
            <w:tcBorders>
              <w:bottom w:val="single" w:sz="4" w:space="0" w:color="auto"/>
            </w:tcBorders>
            <w:noWrap/>
            <w:vAlign w:val="center"/>
            <w:hideMark/>
          </w:tcPr>
          <w:p w:rsidR="00C066AB" w:rsidRPr="00F52494" w:rsidRDefault="00C066AB" w:rsidP="00B65294">
            <w:pPr>
              <w:spacing w:line="240" w:lineRule="auto"/>
              <w:jc w:val="center"/>
              <w:outlineLvl w:val="9"/>
              <w:rPr>
                <w:rFonts w:eastAsia="Times New Roman"/>
                <w:color w:val="000000"/>
                <w:sz w:val="20"/>
                <w:szCs w:val="20"/>
                <w:lang w:val="en-US"/>
              </w:rPr>
            </w:pPr>
            <w:r w:rsidRPr="00F52494">
              <w:rPr>
                <w:rFonts w:eastAsia="Times New Roman"/>
                <w:color w:val="000000"/>
                <w:sz w:val="20"/>
                <w:szCs w:val="20"/>
                <w:lang w:val="en-US"/>
              </w:rPr>
              <w:t>2</w:t>
            </w:r>
          </w:p>
        </w:tc>
        <w:tc>
          <w:tcPr>
            <w:tcW w:w="449" w:type="pct"/>
            <w:tcBorders>
              <w:bottom w:val="single" w:sz="4" w:space="0" w:color="auto"/>
            </w:tcBorders>
            <w:noWrap/>
            <w:vAlign w:val="center"/>
            <w:hideMark/>
          </w:tcPr>
          <w:p w:rsidR="00C066AB" w:rsidRPr="00F52494" w:rsidRDefault="00C066AB" w:rsidP="00B65294">
            <w:pPr>
              <w:spacing w:line="240" w:lineRule="auto"/>
              <w:jc w:val="center"/>
              <w:outlineLvl w:val="9"/>
              <w:rPr>
                <w:rFonts w:eastAsia="Times New Roman"/>
                <w:color w:val="000000"/>
                <w:sz w:val="20"/>
                <w:szCs w:val="20"/>
                <w:lang w:val="en-US"/>
              </w:rPr>
            </w:pPr>
            <w:r w:rsidRPr="00F52494">
              <w:rPr>
                <w:rFonts w:eastAsia="Times New Roman"/>
                <w:color w:val="000000"/>
                <w:sz w:val="20"/>
                <w:szCs w:val="20"/>
                <w:lang w:val="en-US"/>
              </w:rPr>
              <w:t>3</w:t>
            </w:r>
          </w:p>
        </w:tc>
        <w:tc>
          <w:tcPr>
            <w:tcW w:w="449" w:type="pct"/>
            <w:tcBorders>
              <w:bottom w:val="single" w:sz="4" w:space="0" w:color="auto"/>
            </w:tcBorders>
            <w:noWrap/>
            <w:vAlign w:val="center"/>
            <w:hideMark/>
          </w:tcPr>
          <w:p w:rsidR="00C066AB" w:rsidRPr="00F52494" w:rsidRDefault="00C066AB" w:rsidP="00B65294">
            <w:pPr>
              <w:spacing w:line="240" w:lineRule="auto"/>
              <w:jc w:val="center"/>
              <w:outlineLvl w:val="9"/>
              <w:rPr>
                <w:rFonts w:eastAsia="Times New Roman"/>
                <w:color w:val="000000"/>
                <w:sz w:val="20"/>
                <w:szCs w:val="20"/>
                <w:lang w:val="en-US"/>
              </w:rPr>
            </w:pPr>
            <w:r w:rsidRPr="00F52494">
              <w:rPr>
                <w:rFonts w:eastAsia="Times New Roman"/>
                <w:color w:val="000000"/>
                <w:sz w:val="20"/>
                <w:szCs w:val="20"/>
                <w:lang w:val="en-US"/>
              </w:rPr>
              <w:t>4</w:t>
            </w:r>
          </w:p>
        </w:tc>
        <w:tc>
          <w:tcPr>
            <w:tcW w:w="417" w:type="pct"/>
            <w:tcBorders>
              <w:bottom w:val="single" w:sz="4" w:space="0" w:color="auto"/>
            </w:tcBorders>
            <w:noWrap/>
            <w:vAlign w:val="center"/>
            <w:hideMark/>
          </w:tcPr>
          <w:p w:rsidR="00C066AB" w:rsidRPr="00F52494" w:rsidRDefault="00C066AB" w:rsidP="00B65294">
            <w:pPr>
              <w:spacing w:line="240" w:lineRule="auto"/>
              <w:jc w:val="center"/>
              <w:outlineLvl w:val="9"/>
              <w:rPr>
                <w:rFonts w:eastAsia="Times New Roman"/>
                <w:color w:val="000000"/>
                <w:sz w:val="20"/>
                <w:szCs w:val="20"/>
                <w:lang w:val="en-US"/>
              </w:rPr>
            </w:pPr>
            <w:r w:rsidRPr="00F52494">
              <w:rPr>
                <w:rFonts w:eastAsia="Times New Roman"/>
                <w:color w:val="000000"/>
                <w:sz w:val="20"/>
                <w:szCs w:val="20"/>
                <w:lang w:val="en-US"/>
              </w:rPr>
              <w:t>12</w:t>
            </w:r>
          </w:p>
        </w:tc>
        <w:tc>
          <w:tcPr>
            <w:tcW w:w="353" w:type="pct"/>
            <w:tcBorders>
              <w:bottom w:val="single" w:sz="4" w:space="0" w:color="auto"/>
            </w:tcBorders>
            <w:noWrap/>
            <w:vAlign w:val="center"/>
            <w:hideMark/>
          </w:tcPr>
          <w:p w:rsidR="00C066AB" w:rsidRPr="00F52494" w:rsidRDefault="00C066AB" w:rsidP="00B65294">
            <w:pPr>
              <w:spacing w:line="240" w:lineRule="auto"/>
              <w:jc w:val="center"/>
              <w:outlineLvl w:val="9"/>
              <w:rPr>
                <w:rFonts w:eastAsia="Times New Roman"/>
                <w:color w:val="000000"/>
                <w:sz w:val="20"/>
                <w:szCs w:val="20"/>
                <w:lang w:val="en-US"/>
              </w:rPr>
            </w:pPr>
            <w:r w:rsidRPr="00F52494">
              <w:rPr>
                <w:rFonts w:eastAsia="Times New Roman"/>
                <w:color w:val="000000"/>
                <w:sz w:val="20"/>
                <w:szCs w:val="20"/>
                <w:lang w:val="en-US"/>
              </w:rPr>
              <w:t>24</w:t>
            </w:r>
          </w:p>
        </w:tc>
        <w:tc>
          <w:tcPr>
            <w:tcW w:w="417" w:type="pct"/>
            <w:tcBorders>
              <w:bottom w:val="single" w:sz="4" w:space="0" w:color="auto"/>
            </w:tcBorders>
            <w:noWrap/>
            <w:vAlign w:val="center"/>
            <w:hideMark/>
          </w:tcPr>
          <w:p w:rsidR="00C066AB" w:rsidRPr="00F52494" w:rsidRDefault="00C066AB" w:rsidP="00B65294">
            <w:pPr>
              <w:spacing w:line="240" w:lineRule="auto"/>
              <w:jc w:val="center"/>
              <w:outlineLvl w:val="9"/>
              <w:rPr>
                <w:rFonts w:eastAsia="Times New Roman"/>
                <w:color w:val="000000"/>
                <w:sz w:val="20"/>
                <w:szCs w:val="20"/>
                <w:lang w:val="en-US"/>
              </w:rPr>
            </w:pPr>
            <w:r w:rsidRPr="00F52494">
              <w:rPr>
                <w:rFonts w:eastAsia="Times New Roman"/>
                <w:color w:val="000000"/>
                <w:sz w:val="20"/>
                <w:szCs w:val="20"/>
                <w:lang w:val="en-US"/>
              </w:rPr>
              <w:t>36</w:t>
            </w:r>
          </w:p>
        </w:tc>
        <w:tc>
          <w:tcPr>
            <w:tcW w:w="417" w:type="pct"/>
            <w:tcBorders>
              <w:bottom w:val="single" w:sz="4" w:space="0" w:color="auto"/>
            </w:tcBorders>
            <w:noWrap/>
            <w:vAlign w:val="center"/>
            <w:hideMark/>
          </w:tcPr>
          <w:p w:rsidR="00C066AB" w:rsidRPr="00F52494" w:rsidRDefault="00C066AB" w:rsidP="00B65294">
            <w:pPr>
              <w:spacing w:line="240" w:lineRule="auto"/>
              <w:jc w:val="center"/>
              <w:outlineLvl w:val="9"/>
              <w:rPr>
                <w:rFonts w:eastAsia="Times New Roman"/>
                <w:color w:val="000000"/>
                <w:sz w:val="20"/>
                <w:szCs w:val="20"/>
                <w:lang w:val="en-US"/>
              </w:rPr>
            </w:pPr>
            <w:r w:rsidRPr="00F52494">
              <w:rPr>
                <w:rFonts w:eastAsia="Times New Roman"/>
                <w:color w:val="000000"/>
                <w:sz w:val="20"/>
                <w:szCs w:val="20"/>
                <w:lang w:val="en-US"/>
              </w:rPr>
              <w:t>52</w:t>
            </w:r>
          </w:p>
        </w:tc>
      </w:tr>
      <w:tr w:rsidR="00C066AB" w:rsidRPr="00F52494" w:rsidTr="00F52494">
        <w:trPr>
          <w:trHeight w:val="348"/>
          <w:jc w:val="center"/>
        </w:trPr>
        <w:tc>
          <w:tcPr>
            <w:tcW w:w="221" w:type="pct"/>
            <w:vMerge/>
            <w:vAlign w:val="center"/>
          </w:tcPr>
          <w:p w:rsidR="00C066AB" w:rsidRPr="00F52494" w:rsidRDefault="00C066AB" w:rsidP="00B65294">
            <w:pPr>
              <w:spacing w:line="240" w:lineRule="auto"/>
              <w:jc w:val="center"/>
              <w:outlineLvl w:val="9"/>
              <w:rPr>
                <w:rFonts w:eastAsia="Times New Roman"/>
                <w:b/>
                <w:bCs/>
                <w:color w:val="000000"/>
                <w:sz w:val="20"/>
                <w:szCs w:val="20"/>
                <w:lang w:val="en-US"/>
              </w:rPr>
            </w:pPr>
          </w:p>
        </w:tc>
        <w:tc>
          <w:tcPr>
            <w:tcW w:w="4779" w:type="pct"/>
            <w:gridSpan w:val="10"/>
            <w:tcBorders>
              <w:top w:val="single" w:sz="4" w:space="0" w:color="auto"/>
            </w:tcBorders>
            <w:noWrap/>
            <w:vAlign w:val="center"/>
            <w:hideMark/>
          </w:tcPr>
          <w:p w:rsidR="00C066AB" w:rsidRPr="00F52494" w:rsidRDefault="00E03535" w:rsidP="00B65294">
            <w:pPr>
              <w:spacing w:line="240" w:lineRule="auto"/>
              <w:jc w:val="center"/>
              <w:outlineLvl w:val="9"/>
              <w:rPr>
                <w:rFonts w:eastAsia="Times New Roman"/>
                <w:b/>
                <w:bCs/>
                <w:color w:val="000000"/>
                <w:sz w:val="20"/>
                <w:szCs w:val="20"/>
                <w:lang w:val="en-US"/>
              </w:rPr>
            </w:pPr>
            <w:r w:rsidRPr="00F52494">
              <w:rPr>
                <w:rFonts w:eastAsia="Times New Roman"/>
                <w:b/>
                <w:bCs/>
                <w:color w:val="000000"/>
                <w:sz w:val="20"/>
                <w:szCs w:val="20"/>
                <w:lang w:val="en-US"/>
              </w:rPr>
              <w:t>W</w:t>
            </w:r>
            <w:r w:rsidR="00C066AB" w:rsidRPr="00F52494">
              <w:rPr>
                <w:rFonts w:eastAsia="Times New Roman"/>
                <w:b/>
                <w:bCs/>
                <w:color w:val="000000"/>
                <w:sz w:val="20"/>
                <w:szCs w:val="20"/>
                <w:lang w:val="en-US"/>
              </w:rPr>
              <w:t>inners</w:t>
            </w:r>
          </w:p>
        </w:tc>
      </w:tr>
      <w:tr w:rsidR="00C066AB" w:rsidRPr="00F52494" w:rsidTr="00F52494">
        <w:trPr>
          <w:trHeight w:val="348"/>
          <w:jc w:val="center"/>
        </w:trPr>
        <w:tc>
          <w:tcPr>
            <w:tcW w:w="221" w:type="pct"/>
            <w:vMerge/>
            <w:vAlign w:val="center"/>
          </w:tcPr>
          <w:p w:rsidR="00C066AB" w:rsidRPr="00F52494" w:rsidRDefault="00C066AB" w:rsidP="00B65294">
            <w:pPr>
              <w:spacing w:line="240" w:lineRule="auto"/>
              <w:jc w:val="center"/>
              <w:outlineLvl w:val="9"/>
              <w:rPr>
                <w:rFonts w:eastAsia="Times New Roman"/>
                <w:color w:val="000000"/>
                <w:sz w:val="20"/>
                <w:szCs w:val="20"/>
                <w:lang w:val="en-US"/>
              </w:rPr>
            </w:pPr>
          </w:p>
        </w:tc>
        <w:tc>
          <w:tcPr>
            <w:tcW w:w="540" w:type="pct"/>
            <w:noWrap/>
            <w:vAlign w:val="center"/>
            <w:hideMark/>
          </w:tcPr>
          <w:p w:rsidR="00C066AB" w:rsidRPr="00F52494" w:rsidRDefault="00F52494" w:rsidP="00B65294">
            <w:pPr>
              <w:spacing w:line="240" w:lineRule="auto"/>
              <w:jc w:val="center"/>
              <w:outlineLvl w:val="9"/>
              <w:rPr>
                <w:rFonts w:eastAsia="Times New Roman"/>
                <w:color w:val="000000"/>
                <w:sz w:val="20"/>
                <w:szCs w:val="20"/>
                <w:lang w:val="en-US"/>
              </w:rPr>
            </w:pPr>
            <w:r>
              <w:rPr>
                <w:rFonts w:eastAsia="Times New Roman"/>
                <w:color w:val="000000"/>
                <w:sz w:val="20"/>
                <w:szCs w:val="20"/>
                <w:lang w:val="en-US"/>
              </w:rPr>
              <w:t xml:space="preserve">ACAR </w:t>
            </w:r>
            <w:r w:rsidRPr="00F52494">
              <w:rPr>
                <w:rFonts w:eastAsia="Times New Roman"/>
                <w:color w:val="000000"/>
                <w:sz w:val="20"/>
                <w:szCs w:val="20"/>
                <w:lang w:val="en-US" w:eastAsia="en-CA"/>
              </w:rPr>
              <w:t>(%)</w:t>
            </w:r>
            <w:r w:rsidR="00554161" w:rsidRPr="00F52494">
              <w:rPr>
                <w:rFonts w:eastAsia="Times New Roman"/>
                <w:color w:val="000000"/>
                <w:sz w:val="20"/>
                <w:szCs w:val="20"/>
                <w:lang w:val="en-US"/>
              </w:rPr>
              <w:t xml:space="preserve"> </w:t>
            </w:r>
          </w:p>
        </w:tc>
        <w:tc>
          <w:tcPr>
            <w:tcW w:w="839" w:type="pct"/>
            <w:noWrap/>
            <w:vAlign w:val="center"/>
            <w:hideMark/>
          </w:tcPr>
          <w:p w:rsidR="00C066AB" w:rsidRPr="00F52494" w:rsidRDefault="00C066AB" w:rsidP="00241DAB">
            <w:pPr>
              <w:spacing w:line="240" w:lineRule="auto"/>
              <w:jc w:val="left"/>
              <w:outlineLvl w:val="9"/>
              <w:rPr>
                <w:rFonts w:eastAsia="Times New Roman"/>
                <w:color w:val="000000"/>
                <w:sz w:val="20"/>
                <w:szCs w:val="20"/>
                <w:lang w:val="en-US"/>
              </w:rPr>
            </w:pPr>
            <w:r w:rsidRPr="00F52494">
              <w:rPr>
                <w:rFonts w:eastAsia="Times New Roman"/>
                <w:color w:val="000000"/>
                <w:sz w:val="20"/>
                <w:szCs w:val="20"/>
                <w:lang w:val="en-US"/>
              </w:rPr>
              <w:t>6.459</w:t>
            </w:r>
            <w:r w:rsidR="00554161" w:rsidRPr="00F52494">
              <w:rPr>
                <w:rFonts w:eastAsia="Times New Roman"/>
                <w:color w:val="000000"/>
                <w:sz w:val="20"/>
                <w:szCs w:val="20"/>
                <w:lang w:val="en-US"/>
              </w:rPr>
              <w:t>**</w:t>
            </w:r>
          </w:p>
        </w:tc>
        <w:tc>
          <w:tcPr>
            <w:tcW w:w="449" w:type="pct"/>
            <w:noWrap/>
            <w:vAlign w:val="center"/>
            <w:hideMark/>
          </w:tcPr>
          <w:p w:rsidR="00C066AB" w:rsidRPr="00F52494" w:rsidRDefault="00C066AB" w:rsidP="00241DAB">
            <w:pPr>
              <w:spacing w:line="240" w:lineRule="auto"/>
              <w:jc w:val="left"/>
              <w:outlineLvl w:val="9"/>
              <w:rPr>
                <w:rFonts w:eastAsia="Times New Roman"/>
                <w:color w:val="000000"/>
                <w:sz w:val="20"/>
                <w:szCs w:val="20"/>
                <w:lang w:val="en-US"/>
              </w:rPr>
            </w:pPr>
            <w:r w:rsidRPr="00F52494">
              <w:rPr>
                <w:rFonts w:eastAsia="Times New Roman"/>
                <w:color w:val="000000"/>
                <w:sz w:val="20"/>
                <w:szCs w:val="20"/>
                <w:lang w:val="en-US"/>
              </w:rPr>
              <w:t>0.404</w:t>
            </w:r>
            <w:r w:rsidR="00554161" w:rsidRPr="00F52494">
              <w:rPr>
                <w:rFonts w:eastAsia="Times New Roman"/>
                <w:color w:val="000000"/>
                <w:sz w:val="20"/>
                <w:szCs w:val="20"/>
                <w:lang w:val="en-US"/>
              </w:rPr>
              <w:t>**</w:t>
            </w:r>
          </w:p>
        </w:tc>
        <w:tc>
          <w:tcPr>
            <w:tcW w:w="449" w:type="pct"/>
            <w:noWrap/>
            <w:vAlign w:val="center"/>
            <w:hideMark/>
          </w:tcPr>
          <w:p w:rsidR="00C066AB" w:rsidRPr="00F52494" w:rsidRDefault="00C066AB" w:rsidP="00241DAB">
            <w:pPr>
              <w:spacing w:line="240" w:lineRule="auto"/>
              <w:jc w:val="left"/>
              <w:outlineLvl w:val="9"/>
              <w:rPr>
                <w:rFonts w:eastAsia="Times New Roman"/>
                <w:color w:val="000000"/>
                <w:sz w:val="20"/>
                <w:szCs w:val="20"/>
                <w:lang w:val="en-US"/>
              </w:rPr>
            </w:pPr>
            <w:r w:rsidRPr="00F52494">
              <w:rPr>
                <w:rFonts w:eastAsia="Times New Roman"/>
                <w:color w:val="000000"/>
                <w:sz w:val="20"/>
                <w:szCs w:val="20"/>
                <w:lang w:val="en-US"/>
              </w:rPr>
              <w:t>0.616</w:t>
            </w:r>
            <w:r w:rsidR="00554161" w:rsidRPr="00F52494">
              <w:rPr>
                <w:rFonts w:eastAsia="Times New Roman"/>
                <w:color w:val="000000"/>
                <w:sz w:val="20"/>
                <w:szCs w:val="20"/>
                <w:lang w:val="en-US"/>
              </w:rPr>
              <w:t>**</w:t>
            </w:r>
          </w:p>
        </w:tc>
        <w:tc>
          <w:tcPr>
            <w:tcW w:w="449" w:type="pct"/>
            <w:noWrap/>
            <w:vAlign w:val="center"/>
            <w:hideMark/>
          </w:tcPr>
          <w:p w:rsidR="00C066AB" w:rsidRPr="00F52494" w:rsidRDefault="00C066AB" w:rsidP="00241DAB">
            <w:pPr>
              <w:spacing w:line="240" w:lineRule="auto"/>
              <w:jc w:val="left"/>
              <w:outlineLvl w:val="9"/>
              <w:rPr>
                <w:rFonts w:eastAsia="Times New Roman"/>
                <w:color w:val="000000"/>
                <w:sz w:val="20"/>
                <w:szCs w:val="20"/>
                <w:lang w:val="en-US"/>
              </w:rPr>
            </w:pPr>
            <w:r w:rsidRPr="00F52494">
              <w:rPr>
                <w:rFonts w:eastAsia="Times New Roman"/>
                <w:color w:val="000000"/>
                <w:sz w:val="20"/>
                <w:szCs w:val="20"/>
                <w:lang w:val="en-US"/>
              </w:rPr>
              <w:t>0.858</w:t>
            </w:r>
            <w:r w:rsidR="00554161" w:rsidRPr="00F52494">
              <w:rPr>
                <w:rFonts w:eastAsia="Times New Roman"/>
                <w:color w:val="000000"/>
                <w:sz w:val="20"/>
                <w:szCs w:val="20"/>
                <w:lang w:val="en-US"/>
              </w:rPr>
              <w:t xml:space="preserve"> **</w:t>
            </w:r>
          </w:p>
        </w:tc>
        <w:tc>
          <w:tcPr>
            <w:tcW w:w="449" w:type="pct"/>
            <w:noWrap/>
            <w:vAlign w:val="center"/>
            <w:hideMark/>
          </w:tcPr>
          <w:p w:rsidR="00C066AB" w:rsidRPr="00F52494" w:rsidRDefault="00C066AB" w:rsidP="00241DAB">
            <w:pPr>
              <w:spacing w:line="240" w:lineRule="auto"/>
              <w:jc w:val="left"/>
              <w:outlineLvl w:val="9"/>
              <w:rPr>
                <w:rFonts w:eastAsia="Times New Roman"/>
                <w:color w:val="000000"/>
                <w:sz w:val="20"/>
                <w:szCs w:val="20"/>
                <w:lang w:val="en-US"/>
              </w:rPr>
            </w:pPr>
            <w:r w:rsidRPr="00F52494">
              <w:rPr>
                <w:rFonts w:eastAsia="Times New Roman"/>
                <w:color w:val="000000"/>
                <w:sz w:val="20"/>
                <w:szCs w:val="20"/>
                <w:lang w:val="en-US"/>
              </w:rPr>
              <w:t>0.884</w:t>
            </w:r>
            <w:r w:rsidR="00554161" w:rsidRPr="00F52494">
              <w:rPr>
                <w:rFonts w:eastAsia="Times New Roman"/>
                <w:color w:val="000000"/>
                <w:sz w:val="20"/>
                <w:szCs w:val="20"/>
                <w:lang w:val="en-US"/>
              </w:rPr>
              <w:t>**</w:t>
            </w:r>
          </w:p>
        </w:tc>
        <w:tc>
          <w:tcPr>
            <w:tcW w:w="417" w:type="pct"/>
            <w:noWrap/>
            <w:vAlign w:val="center"/>
            <w:hideMark/>
          </w:tcPr>
          <w:p w:rsidR="00C066AB" w:rsidRPr="00F52494" w:rsidRDefault="00C066AB" w:rsidP="00241DAB">
            <w:pPr>
              <w:spacing w:line="240" w:lineRule="auto"/>
              <w:jc w:val="left"/>
              <w:outlineLvl w:val="9"/>
              <w:rPr>
                <w:rFonts w:eastAsia="Times New Roman"/>
                <w:color w:val="000000"/>
                <w:sz w:val="20"/>
                <w:szCs w:val="20"/>
                <w:lang w:val="en-US"/>
              </w:rPr>
            </w:pPr>
            <w:r w:rsidRPr="00F52494">
              <w:rPr>
                <w:rFonts w:eastAsia="Times New Roman"/>
                <w:color w:val="000000"/>
                <w:sz w:val="20"/>
                <w:szCs w:val="20"/>
                <w:lang w:val="en-US"/>
              </w:rPr>
              <w:t>1.367</w:t>
            </w:r>
            <w:r w:rsidR="00554161" w:rsidRPr="00F52494">
              <w:rPr>
                <w:rFonts w:eastAsia="Times New Roman"/>
                <w:color w:val="000000"/>
                <w:sz w:val="20"/>
                <w:szCs w:val="20"/>
                <w:lang w:val="en-US"/>
              </w:rPr>
              <w:t>**</w:t>
            </w:r>
          </w:p>
        </w:tc>
        <w:tc>
          <w:tcPr>
            <w:tcW w:w="353" w:type="pct"/>
            <w:noWrap/>
            <w:vAlign w:val="center"/>
            <w:hideMark/>
          </w:tcPr>
          <w:p w:rsidR="00C066AB" w:rsidRPr="00F52494" w:rsidRDefault="00C066AB" w:rsidP="00241DAB">
            <w:pPr>
              <w:spacing w:line="240" w:lineRule="auto"/>
              <w:jc w:val="left"/>
              <w:outlineLvl w:val="9"/>
              <w:rPr>
                <w:rFonts w:eastAsia="Times New Roman"/>
                <w:color w:val="000000"/>
                <w:sz w:val="20"/>
                <w:szCs w:val="20"/>
                <w:lang w:val="en-US"/>
              </w:rPr>
            </w:pPr>
            <w:r w:rsidRPr="00F52494">
              <w:rPr>
                <w:rFonts w:eastAsia="Times New Roman"/>
                <w:color w:val="000000"/>
                <w:sz w:val="20"/>
                <w:szCs w:val="20"/>
                <w:lang w:val="en-US"/>
              </w:rPr>
              <w:t>1.441</w:t>
            </w:r>
          </w:p>
        </w:tc>
        <w:tc>
          <w:tcPr>
            <w:tcW w:w="417" w:type="pct"/>
            <w:noWrap/>
            <w:vAlign w:val="center"/>
            <w:hideMark/>
          </w:tcPr>
          <w:p w:rsidR="00C066AB" w:rsidRPr="00F52494" w:rsidRDefault="00C066AB" w:rsidP="00241DAB">
            <w:pPr>
              <w:spacing w:line="240" w:lineRule="auto"/>
              <w:jc w:val="left"/>
              <w:outlineLvl w:val="9"/>
              <w:rPr>
                <w:rFonts w:eastAsia="Times New Roman"/>
                <w:color w:val="000000"/>
                <w:sz w:val="20"/>
                <w:szCs w:val="20"/>
                <w:lang w:val="en-US"/>
              </w:rPr>
            </w:pPr>
            <w:r w:rsidRPr="00F52494">
              <w:rPr>
                <w:rFonts w:eastAsia="Times New Roman"/>
                <w:color w:val="000000"/>
                <w:sz w:val="20"/>
                <w:szCs w:val="20"/>
                <w:lang w:val="en-US"/>
              </w:rPr>
              <w:t>2.322</w:t>
            </w:r>
            <w:r w:rsidR="00554161" w:rsidRPr="00F52494">
              <w:rPr>
                <w:rFonts w:eastAsia="Times New Roman"/>
                <w:color w:val="000000"/>
                <w:sz w:val="20"/>
                <w:szCs w:val="20"/>
                <w:lang w:val="en-US"/>
              </w:rPr>
              <w:t>**</w:t>
            </w:r>
          </w:p>
        </w:tc>
        <w:tc>
          <w:tcPr>
            <w:tcW w:w="417" w:type="pct"/>
            <w:noWrap/>
            <w:vAlign w:val="center"/>
            <w:hideMark/>
          </w:tcPr>
          <w:p w:rsidR="00C066AB" w:rsidRPr="00F52494" w:rsidRDefault="00C066AB" w:rsidP="00241DAB">
            <w:pPr>
              <w:spacing w:line="240" w:lineRule="auto"/>
              <w:jc w:val="left"/>
              <w:outlineLvl w:val="9"/>
              <w:rPr>
                <w:rFonts w:eastAsia="Times New Roman"/>
                <w:color w:val="000000"/>
                <w:sz w:val="20"/>
                <w:szCs w:val="20"/>
                <w:lang w:val="en-US"/>
              </w:rPr>
            </w:pPr>
            <w:r w:rsidRPr="00F52494">
              <w:rPr>
                <w:rFonts w:eastAsia="Times New Roman"/>
                <w:color w:val="000000"/>
                <w:sz w:val="20"/>
                <w:szCs w:val="20"/>
                <w:lang w:val="en-US"/>
              </w:rPr>
              <w:t>3.443</w:t>
            </w:r>
            <w:r w:rsidR="00554161" w:rsidRPr="00F52494">
              <w:rPr>
                <w:rFonts w:eastAsia="Times New Roman"/>
                <w:color w:val="000000"/>
                <w:sz w:val="20"/>
                <w:szCs w:val="20"/>
                <w:lang w:val="en-US"/>
              </w:rPr>
              <w:t>**</w:t>
            </w:r>
          </w:p>
        </w:tc>
      </w:tr>
      <w:tr w:rsidR="00C066AB" w:rsidRPr="00F52494" w:rsidTr="00F52494">
        <w:trPr>
          <w:trHeight w:val="348"/>
          <w:jc w:val="center"/>
        </w:trPr>
        <w:tc>
          <w:tcPr>
            <w:tcW w:w="221" w:type="pct"/>
            <w:vMerge/>
            <w:vAlign w:val="center"/>
          </w:tcPr>
          <w:p w:rsidR="00C066AB" w:rsidRPr="00F52494" w:rsidRDefault="00C066AB" w:rsidP="00B65294">
            <w:pPr>
              <w:spacing w:line="240" w:lineRule="auto"/>
              <w:jc w:val="center"/>
              <w:outlineLvl w:val="9"/>
              <w:rPr>
                <w:rFonts w:eastAsia="Times New Roman"/>
                <w:b/>
                <w:bCs/>
                <w:color w:val="000000"/>
                <w:sz w:val="20"/>
                <w:szCs w:val="20"/>
                <w:lang w:val="en-US"/>
              </w:rPr>
            </w:pPr>
          </w:p>
        </w:tc>
        <w:tc>
          <w:tcPr>
            <w:tcW w:w="540" w:type="pct"/>
            <w:noWrap/>
            <w:vAlign w:val="center"/>
            <w:hideMark/>
          </w:tcPr>
          <w:p w:rsidR="00C066AB" w:rsidRPr="00241DAB" w:rsidRDefault="00C066AB" w:rsidP="00B65294">
            <w:pPr>
              <w:spacing w:line="240" w:lineRule="auto"/>
              <w:jc w:val="center"/>
              <w:outlineLvl w:val="9"/>
              <w:rPr>
                <w:rFonts w:eastAsia="Times New Roman"/>
                <w:color w:val="000000"/>
                <w:sz w:val="20"/>
                <w:szCs w:val="20"/>
                <w:lang w:val="en-US"/>
              </w:rPr>
            </w:pPr>
            <w:r w:rsidRPr="00241DAB">
              <w:rPr>
                <w:rFonts w:eastAsia="Times New Roman"/>
                <w:color w:val="000000"/>
                <w:sz w:val="20"/>
                <w:szCs w:val="20"/>
                <w:lang w:val="en-US"/>
              </w:rPr>
              <w:t>t-stat</w:t>
            </w:r>
          </w:p>
        </w:tc>
        <w:tc>
          <w:tcPr>
            <w:tcW w:w="839" w:type="pct"/>
            <w:noWrap/>
            <w:vAlign w:val="center"/>
            <w:hideMark/>
          </w:tcPr>
          <w:p w:rsidR="00C066AB" w:rsidRPr="00F52494" w:rsidRDefault="00C066AB" w:rsidP="00241DAB">
            <w:pPr>
              <w:spacing w:line="240" w:lineRule="auto"/>
              <w:jc w:val="left"/>
              <w:outlineLvl w:val="9"/>
              <w:rPr>
                <w:rFonts w:eastAsia="Times New Roman"/>
                <w:color w:val="000000"/>
                <w:sz w:val="20"/>
                <w:szCs w:val="20"/>
                <w:lang w:val="en-US"/>
              </w:rPr>
            </w:pPr>
            <w:r w:rsidRPr="00F52494">
              <w:rPr>
                <w:rFonts w:eastAsia="Times New Roman"/>
                <w:color w:val="000000"/>
                <w:sz w:val="20"/>
                <w:szCs w:val="20"/>
                <w:lang w:val="en-US"/>
              </w:rPr>
              <w:t>24.917</w:t>
            </w:r>
          </w:p>
        </w:tc>
        <w:tc>
          <w:tcPr>
            <w:tcW w:w="449" w:type="pct"/>
            <w:noWrap/>
            <w:vAlign w:val="center"/>
            <w:hideMark/>
          </w:tcPr>
          <w:p w:rsidR="00C066AB" w:rsidRPr="00F52494" w:rsidRDefault="00C066AB" w:rsidP="00241DAB">
            <w:pPr>
              <w:spacing w:line="240" w:lineRule="auto"/>
              <w:jc w:val="left"/>
              <w:outlineLvl w:val="9"/>
              <w:rPr>
                <w:rFonts w:eastAsia="Times New Roman"/>
                <w:color w:val="000000"/>
                <w:sz w:val="20"/>
                <w:szCs w:val="20"/>
                <w:lang w:val="en-US"/>
              </w:rPr>
            </w:pPr>
            <w:r w:rsidRPr="00F52494">
              <w:rPr>
                <w:rFonts w:eastAsia="Times New Roman"/>
                <w:color w:val="000000"/>
                <w:sz w:val="20"/>
                <w:szCs w:val="20"/>
                <w:lang w:val="en-US"/>
              </w:rPr>
              <w:t>3.330</w:t>
            </w:r>
          </w:p>
        </w:tc>
        <w:tc>
          <w:tcPr>
            <w:tcW w:w="449" w:type="pct"/>
            <w:noWrap/>
            <w:vAlign w:val="center"/>
            <w:hideMark/>
          </w:tcPr>
          <w:p w:rsidR="00C066AB" w:rsidRPr="00F52494" w:rsidRDefault="00C066AB" w:rsidP="00241DAB">
            <w:pPr>
              <w:spacing w:line="240" w:lineRule="auto"/>
              <w:jc w:val="left"/>
              <w:outlineLvl w:val="9"/>
              <w:rPr>
                <w:rFonts w:eastAsia="Times New Roman"/>
                <w:color w:val="000000"/>
                <w:sz w:val="20"/>
                <w:szCs w:val="20"/>
                <w:lang w:val="en-US"/>
              </w:rPr>
            </w:pPr>
            <w:r w:rsidRPr="00F52494">
              <w:rPr>
                <w:rFonts w:eastAsia="Times New Roman"/>
                <w:color w:val="000000"/>
                <w:sz w:val="20"/>
                <w:szCs w:val="20"/>
                <w:lang w:val="en-US"/>
              </w:rPr>
              <w:t>3.442</w:t>
            </w:r>
          </w:p>
        </w:tc>
        <w:tc>
          <w:tcPr>
            <w:tcW w:w="449" w:type="pct"/>
            <w:noWrap/>
            <w:vAlign w:val="center"/>
            <w:hideMark/>
          </w:tcPr>
          <w:p w:rsidR="00C066AB" w:rsidRPr="00F52494" w:rsidRDefault="00C066AB" w:rsidP="00241DAB">
            <w:pPr>
              <w:spacing w:line="240" w:lineRule="auto"/>
              <w:jc w:val="left"/>
              <w:outlineLvl w:val="9"/>
              <w:rPr>
                <w:rFonts w:eastAsia="Times New Roman"/>
                <w:color w:val="000000"/>
                <w:sz w:val="20"/>
                <w:szCs w:val="20"/>
                <w:lang w:val="en-US"/>
              </w:rPr>
            </w:pPr>
            <w:r w:rsidRPr="00F52494">
              <w:rPr>
                <w:rFonts w:eastAsia="Times New Roman"/>
                <w:color w:val="000000"/>
                <w:sz w:val="20"/>
                <w:szCs w:val="20"/>
                <w:lang w:val="en-US"/>
              </w:rPr>
              <w:t>3.407</w:t>
            </w:r>
          </w:p>
        </w:tc>
        <w:tc>
          <w:tcPr>
            <w:tcW w:w="449" w:type="pct"/>
            <w:noWrap/>
            <w:vAlign w:val="center"/>
            <w:hideMark/>
          </w:tcPr>
          <w:p w:rsidR="00C066AB" w:rsidRPr="00F52494" w:rsidRDefault="00C066AB" w:rsidP="00241DAB">
            <w:pPr>
              <w:spacing w:line="240" w:lineRule="auto"/>
              <w:jc w:val="left"/>
              <w:outlineLvl w:val="9"/>
              <w:rPr>
                <w:rFonts w:eastAsia="Times New Roman"/>
                <w:color w:val="000000"/>
                <w:sz w:val="20"/>
                <w:szCs w:val="20"/>
                <w:lang w:val="en-US"/>
              </w:rPr>
            </w:pPr>
            <w:r w:rsidRPr="00F52494">
              <w:rPr>
                <w:rFonts w:eastAsia="Times New Roman"/>
                <w:color w:val="000000"/>
                <w:sz w:val="20"/>
                <w:szCs w:val="20"/>
                <w:lang w:val="en-US"/>
              </w:rPr>
              <w:t>3.114</w:t>
            </w:r>
          </w:p>
        </w:tc>
        <w:tc>
          <w:tcPr>
            <w:tcW w:w="417" w:type="pct"/>
            <w:noWrap/>
            <w:vAlign w:val="center"/>
            <w:hideMark/>
          </w:tcPr>
          <w:p w:rsidR="00C066AB" w:rsidRPr="00F52494" w:rsidRDefault="00C066AB" w:rsidP="00241DAB">
            <w:pPr>
              <w:spacing w:line="240" w:lineRule="auto"/>
              <w:jc w:val="left"/>
              <w:outlineLvl w:val="9"/>
              <w:rPr>
                <w:rFonts w:eastAsia="Times New Roman"/>
                <w:color w:val="000000"/>
                <w:sz w:val="20"/>
                <w:szCs w:val="20"/>
                <w:lang w:val="en-US"/>
              </w:rPr>
            </w:pPr>
            <w:r w:rsidRPr="00F52494">
              <w:rPr>
                <w:rFonts w:eastAsia="Times New Roman"/>
                <w:color w:val="000000"/>
                <w:sz w:val="20"/>
                <w:szCs w:val="20"/>
                <w:lang w:val="en-US"/>
              </w:rPr>
              <w:t>2.590</w:t>
            </w:r>
          </w:p>
        </w:tc>
        <w:tc>
          <w:tcPr>
            <w:tcW w:w="353" w:type="pct"/>
            <w:noWrap/>
            <w:vAlign w:val="center"/>
            <w:hideMark/>
          </w:tcPr>
          <w:p w:rsidR="00C066AB" w:rsidRPr="00F52494" w:rsidRDefault="00C066AB" w:rsidP="00241DAB">
            <w:pPr>
              <w:spacing w:line="240" w:lineRule="auto"/>
              <w:jc w:val="left"/>
              <w:outlineLvl w:val="9"/>
              <w:rPr>
                <w:rFonts w:eastAsia="Times New Roman"/>
                <w:color w:val="000000"/>
                <w:sz w:val="20"/>
                <w:szCs w:val="20"/>
                <w:lang w:val="en-US"/>
              </w:rPr>
            </w:pPr>
            <w:r w:rsidRPr="00F52494">
              <w:rPr>
                <w:rFonts w:eastAsia="Times New Roman"/>
                <w:color w:val="000000"/>
                <w:sz w:val="20"/>
                <w:szCs w:val="20"/>
                <w:lang w:val="en-US"/>
              </w:rPr>
              <w:t>1.965</w:t>
            </w:r>
          </w:p>
        </w:tc>
        <w:tc>
          <w:tcPr>
            <w:tcW w:w="417" w:type="pct"/>
            <w:noWrap/>
            <w:vAlign w:val="center"/>
            <w:hideMark/>
          </w:tcPr>
          <w:p w:rsidR="00C066AB" w:rsidRPr="00F52494" w:rsidRDefault="00C066AB" w:rsidP="00241DAB">
            <w:pPr>
              <w:spacing w:line="240" w:lineRule="auto"/>
              <w:jc w:val="left"/>
              <w:outlineLvl w:val="9"/>
              <w:rPr>
                <w:rFonts w:eastAsia="Times New Roman"/>
                <w:color w:val="000000"/>
                <w:sz w:val="20"/>
                <w:szCs w:val="20"/>
                <w:lang w:val="en-US"/>
              </w:rPr>
            </w:pPr>
            <w:r w:rsidRPr="00F52494">
              <w:rPr>
                <w:rFonts w:eastAsia="Times New Roman"/>
                <w:color w:val="000000"/>
                <w:sz w:val="20"/>
                <w:szCs w:val="20"/>
                <w:lang w:val="en-US"/>
              </w:rPr>
              <w:t>2.591</w:t>
            </w:r>
          </w:p>
        </w:tc>
        <w:tc>
          <w:tcPr>
            <w:tcW w:w="417" w:type="pct"/>
            <w:noWrap/>
            <w:vAlign w:val="center"/>
            <w:hideMark/>
          </w:tcPr>
          <w:p w:rsidR="00C066AB" w:rsidRPr="00F52494" w:rsidRDefault="00C066AB" w:rsidP="00241DAB">
            <w:pPr>
              <w:spacing w:line="240" w:lineRule="auto"/>
              <w:jc w:val="left"/>
              <w:outlineLvl w:val="9"/>
              <w:rPr>
                <w:rFonts w:eastAsia="Times New Roman"/>
                <w:color w:val="000000"/>
                <w:sz w:val="20"/>
                <w:szCs w:val="20"/>
                <w:lang w:val="en-US"/>
              </w:rPr>
            </w:pPr>
            <w:r w:rsidRPr="00F52494">
              <w:rPr>
                <w:rFonts w:eastAsia="Times New Roman"/>
                <w:color w:val="000000"/>
                <w:sz w:val="20"/>
                <w:szCs w:val="20"/>
                <w:lang w:val="en-US"/>
              </w:rPr>
              <w:t>3.008</w:t>
            </w:r>
          </w:p>
        </w:tc>
      </w:tr>
      <w:tr w:rsidR="00C066AB" w:rsidRPr="00F52494" w:rsidTr="00F52494">
        <w:trPr>
          <w:trHeight w:val="348"/>
          <w:jc w:val="center"/>
        </w:trPr>
        <w:tc>
          <w:tcPr>
            <w:tcW w:w="221" w:type="pct"/>
            <w:vMerge/>
            <w:vAlign w:val="center"/>
          </w:tcPr>
          <w:p w:rsidR="00C066AB" w:rsidRPr="00F52494" w:rsidRDefault="00C066AB" w:rsidP="00B65294">
            <w:pPr>
              <w:spacing w:line="240" w:lineRule="auto"/>
              <w:jc w:val="center"/>
              <w:outlineLvl w:val="9"/>
              <w:rPr>
                <w:rFonts w:eastAsia="Times New Roman"/>
                <w:b/>
                <w:bCs/>
                <w:color w:val="000000"/>
                <w:sz w:val="20"/>
                <w:szCs w:val="20"/>
                <w:lang w:val="en-US"/>
              </w:rPr>
            </w:pPr>
          </w:p>
        </w:tc>
        <w:tc>
          <w:tcPr>
            <w:tcW w:w="4779" w:type="pct"/>
            <w:gridSpan w:val="10"/>
            <w:noWrap/>
            <w:vAlign w:val="center"/>
            <w:hideMark/>
          </w:tcPr>
          <w:p w:rsidR="00C066AB" w:rsidRPr="00F52494" w:rsidRDefault="00C066AB" w:rsidP="00B65294">
            <w:pPr>
              <w:spacing w:line="240" w:lineRule="auto"/>
              <w:jc w:val="center"/>
              <w:outlineLvl w:val="9"/>
              <w:rPr>
                <w:rFonts w:eastAsia="Times New Roman"/>
                <w:b/>
                <w:bCs/>
                <w:color w:val="000000"/>
                <w:sz w:val="20"/>
                <w:szCs w:val="20"/>
                <w:lang w:val="en-US"/>
              </w:rPr>
            </w:pPr>
            <w:r w:rsidRPr="00F52494">
              <w:rPr>
                <w:rFonts w:eastAsia="Times New Roman"/>
                <w:b/>
                <w:bCs/>
                <w:color w:val="000000"/>
                <w:sz w:val="20"/>
                <w:szCs w:val="20"/>
                <w:lang w:val="en-US"/>
              </w:rPr>
              <w:t>Losers</w:t>
            </w:r>
          </w:p>
        </w:tc>
      </w:tr>
      <w:tr w:rsidR="00C066AB" w:rsidRPr="00F52494" w:rsidTr="00F52494">
        <w:trPr>
          <w:trHeight w:val="348"/>
          <w:jc w:val="center"/>
        </w:trPr>
        <w:tc>
          <w:tcPr>
            <w:tcW w:w="221" w:type="pct"/>
            <w:vMerge/>
            <w:vAlign w:val="center"/>
          </w:tcPr>
          <w:p w:rsidR="00C066AB" w:rsidRPr="00F52494" w:rsidRDefault="00C066AB" w:rsidP="00B65294">
            <w:pPr>
              <w:spacing w:line="240" w:lineRule="auto"/>
              <w:jc w:val="center"/>
              <w:outlineLvl w:val="9"/>
              <w:rPr>
                <w:rFonts w:eastAsia="Times New Roman"/>
                <w:color w:val="000000"/>
                <w:sz w:val="20"/>
                <w:szCs w:val="20"/>
                <w:lang w:val="en-US"/>
              </w:rPr>
            </w:pPr>
          </w:p>
        </w:tc>
        <w:tc>
          <w:tcPr>
            <w:tcW w:w="540" w:type="pct"/>
            <w:noWrap/>
            <w:vAlign w:val="center"/>
            <w:hideMark/>
          </w:tcPr>
          <w:p w:rsidR="00C066AB" w:rsidRPr="00F52494" w:rsidRDefault="00F52494" w:rsidP="00B65294">
            <w:pPr>
              <w:spacing w:line="240" w:lineRule="auto"/>
              <w:jc w:val="center"/>
              <w:outlineLvl w:val="9"/>
              <w:rPr>
                <w:rFonts w:eastAsia="Times New Roman"/>
                <w:color w:val="000000"/>
                <w:sz w:val="20"/>
                <w:szCs w:val="20"/>
                <w:lang w:val="en-US"/>
              </w:rPr>
            </w:pPr>
            <w:r>
              <w:rPr>
                <w:rFonts w:eastAsia="Times New Roman"/>
                <w:color w:val="000000"/>
                <w:sz w:val="20"/>
                <w:szCs w:val="20"/>
                <w:lang w:val="en-US"/>
              </w:rPr>
              <w:t xml:space="preserve">ACAR </w:t>
            </w:r>
            <w:r w:rsidRPr="00F52494">
              <w:rPr>
                <w:rFonts w:eastAsia="Times New Roman"/>
                <w:color w:val="000000"/>
                <w:sz w:val="20"/>
                <w:szCs w:val="20"/>
                <w:lang w:val="en-US" w:eastAsia="en-CA"/>
              </w:rPr>
              <w:t>(%)</w:t>
            </w:r>
          </w:p>
        </w:tc>
        <w:tc>
          <w:tcPr>
            <w:tcW w:w="839" w:type="pct"/>
            <w:noWrap/>
            <w:vAlign w:val="center"/>
            <w:hideMark/>
          </w:tcPr>
          <w:p w:rsidR="00C066AB" w:rsidRPr="00F52494" w:rsidRDefault="00C066AB" w:rsidP="00241DAB">
            <w:pPr>
              <w:spacing w:line="240" w:lineRule="auto"/>
              <w:jc w:val="left"/>
              <w:outlineLvl w:val="9"/>
              <w:rPr>
                <w:rFonts w:eastAsia="Times New Roman"/>
                <w:color w:val="000000"/>
                <w:sz w:val="20"/>
                <w:szCs w:val="20"/>
                <w:lang w:val="en-US"/>
              </w:rPr>
            </w:pPr>
            <w:r w:rsidRPr="00F52494">
              <w:rPr>
                <w:rFonts w:eastAsia="Times New Roman"/>
                <w:color w:val="000000"/>
                <w:sz w:val="20"/>
                <w:szCs w:val="20"/>
                <w:lang w:val="en-US"/>
              </w:rPr>
              <w:t>-5.541</w:t>
            </w:r>
            <w:r w:rsidR="00F52494" w:rsidRPr="00F52494">
              <w:rPr>
                <w:rFonts w:eastAsia="Times New Roman"/>
                <w:color w:val="000000"/>
                <w:sz w:val="20"/>
                <w:szCs w:val="20"/>
                <w:lang w:val="en-US"/>
              </w:rPr>
              <w:t>**</w:t>
            </w:r>
          </w:p>
        </w:tc>
        <w:tc>
          <w:tcPr>
            <w:tcW w:w="449" w:type="pct"/>
            <w:noWrap/>
            <w:vAlign w:val="center"/>
            <w:hideMark/>
          </w:tcPr>
          <w:p w:rsidR="00C066AB" w:rsidRPr="00F52494" w:rsidRDefault="00C066AB" w:rsidP="00241DAB">
            <w:pPr>
              <w:spacing w:line="240" w:lineRule="auto"/>
              <w:jc w:val="left"/>
              <w:outlineLvl w:val="9"/>
              <w:rPr>
                <w:rFonts w:eastAsia="Times New Roman"/>
                <w:color w:val="000000"/>
                <w:sz w:val="20"/>
                <w:szCs w:val="20"/>
                <w:lang w:val="en-US"/>
              </w:rPr>
            </w:pPr>
            <w:r w:rsidRPr="00F52494">
              <w:rPr>
                <w:rFonts w:eastAsia="Times New Roman"/>
                <w:color w:val="000000"/>
                <w:sz w:val="20"/>
                <w:szCs w:val="20"/>
                <w:lang w:val="en-US"/>
              </w:rPr>
              <w:t>-0.016</w:t>
            </w:r>
          </w:p>
        </w:tc>
        <w:tc>
          <w:tcPr>
            <w:tcW w:w="449" w:type="pct"/>
            <w:noWrap/>
            <w:vAlign w:val="center"/>
            <w:hideMark/>
          </w:tcPr>
          <w:p w:rsidR="00C066AB" w:rsidRPr="00F52494" w:rsidRDefault="00C066AB" w:rsidP="00241DAB">
            <w:pPr>
              <w:spacing w:line="240" w:lineRule="auto"/>
              <w:jc w:val="left"/>
              <w:outlineLvl w:val="9"/>
              <w:rPr>
                <w:rFonts w:eastAsia="Times New Roman"/>
                <w:color w:val="000000"/>
                <w:sz w:val="20"/>
                <w:szCs w:val="20"/>
                <w:lang w:val="en-US"/>
              </w:rPr>
            </w:pPr>
            <w:r w:rsidRPr="00F52494">
              <w:rPr>
                <w:rFonts w:eastAsia="Times New Roman"/>
                <w:color w:val="000000"/>
                <w:sz w:val="20"/>
                <w:szCs w:val="20"/>
                <w:lang w:val="en-US"/>
              </w:rPr>
              <w:t>0.044</w:t>
            </w:r>
          </w:p>
        </w:tc>
        <w:tc>
          <w:tcPr>
            <w:tcW w:w="449" w:type="pct"/>
            <w:noWrap/>
            <w:vAlign w:val="center"/>
            <w:hideMark/>
          </w:tcPr>
          <w:p w:rsidR="00C066AB" w:rsidRPr="00F52494" w:rsidRDefault="00C066AB" w:rsidP="00241DAB">
            <w:pPr>
              <w:spacing w:line="240" w:lineRule="auto"/>
              <w:jc w:val="left"/>
              <w:outlineLvl w:val="9"/>
              <w:rPr>
                <w:rFonts w:eastAsia="Times New Roman"/>
                <w:color w:val="000000"/>
                <w:sz w:val="20"/>
                <w:szCs w:val="20"/>
                <w:lang w:val="en-US"/>
              </w:rPr>
            </w:pPr>
            <w:r w:rsidRPr="00F52494">
              <w:rPr>
                <w:rFonts w:eastAsia="Times New Roman"/>
                <w:color w:val="000000"/>
                <w:sz w:val="20"/>
                <w:szCs w:val="20"/>
                <w:lang w:val="en-US"/>
              </w:rPr>
              <w:t>0.007</w:t>
            </w:r>
          </w:p>
        </w:tc>
        <w:tc>
          <w:tcPr>
            <w:tcW w:w="449" w:type="pct"/>
            <w:noWrap/>
            <w:vAlign w:val="center"/>
            <w:hideMark/>
          </w:tcPr>
          <w:p w:rsidR="00C066AB" w:rsidRPr="00F52494" w:rsidRDefault="00C066AB" w:rsidP="00241DAB">
            <w:pPr>
              <w:spacing w:line="240" w:lineRule="auto"/>
              <w:jc w:val="left"/>
              <w:outlineLvl w:val="9"/>
              <w:rPr>
                <w:rFonts w:eastAsia="Times New Roman"/>
                <w:color w:val="000000"/>
                <w:sz w:val="20"/>
                <w:szCs w:val="20"/>
                <w:lang w:val="en-US"/>
              </w:rPr>
            </w:pPr>
            <w:r w:rsidRPr="00F52494">
              <w:rPr>
                <w:rFonts w:eastAsia="Times New Roman"/>
                <w:color w:val="000000"/>
                <w:sz w:val="20"/>
                <w:szCs w:val="20"/>
                <w:lang w:val="en-US"/>
              </w:rPr>
              <w:t>0.053</w:t>
            </w:r>
          </w:p>
        </w:tc>
        <w:tc>
          <w:tcPr>
            <w:tcW w:w="417" w:type="pct"/>
            <w:noWrap/>
            <w:vAlign w:val="center"/>
            <w:hideMark/>
          </w:tcPr>
          <w:p w:rsidR="00C066AB" w:rsidRPr="00F52494" w:rsidRDefault="00C066AB" w:rsidP="00241DAB">
            <w:pPr>
              <w:spacing w:line="240" w:lineRule="auto"/>
              <w:jc w:val="left"/>
              <w:outlineLvl w:val="9"/>
              <w:rPr>
                <w:rFonts w:eastAsia="Times New Roman"/>
                <w:color w:val="000000"/>
                <w:sz w:val="20"/>
                <w:szCs w:val="20"/>
                <w:lang w:val="en-US"/>
              </w:rPr>
            </w:pPr>
            <w:r w:rsidRPr="00F52494">
              <w:rPr>
                <w:rFonts w:eastAsia="Times New Roman"/>
                <w:color w:val="000000"/>
                <w:sz w:val="20"/>
                <w:szCs w:val="20"/>
                <w:lang w:val="en-US"/>
              </w:rPr>
              <w:t>0.522</w:t>
            </w:r>
          </w:p>
        </w:tc>
        <w:tc>
          <w:tcPr>
            <w:tcW w:w="353" w:type="pct"/>
            <w:noWrap/>
            <w:vAlign w:val="center"/>
            <w:hideMark/>
          </w:tcPr>
          <w:p w:rsidR="00C066AB" w:rsidRPr="00F52494" w:rsidRDefault="00C066AB" w:rsidP="00241DAB">
            <w:pPr>
              <w:spacing w:line="240" w:lineRule="auto"/>
              <w:jc w:val="left"/>
              <w:outlineLvl w:val="9"/>
              <w:rPr>
                <w:rFonts w:eastAsia="Times New Roman"/>
                <w:color w:val="000000"/>
                <w:sz w:val="20"/>
                <w:szCs w:val="20"/>
                <w:lang w:val="en-US"/>
              </w:rPr>
            </w:pPr>
            <w:r w:rsidRPr="00F52494">
              <w:rPr>
                <w:rFonts w:eastAsia="Times New Roman"/>
                <w:color w:val="000000"/>
                <w:sz w:val="20"/>
                <w:szCs w:val="20"/>
                <w:lang w:val="en-US"/>
              </w:rPr>
              <w:t>1.185</w:t>
            </w:r>
          </w:p>
        </w:tc>
        <w:tc>
          <w:tcPr>
            <w:tcW w:w="417" w:type="pct"/>
            <w:noWrap/>
            <w:vAlign w:val="center"/>
            <w:hideMark/>
          </w:tcPr>
          <w:p w:rsidR="00C066AB" w:rsidRPr="00F52494" w:rsidRDefault="00C066AB" w:rsidP="00241DAB">
            <w:pPr>
              <w:spacing w:line="240" w:lineRule="auto"/>
              <w:jc w:val="left"/>
              <w:outlineLvl w:val="9"/>
              <w:rPr>
                <w:rFonts w:eastAsia="Times New Roman"/>
                <w:color w:val="000000"/>
                <w:sz w:val="20"/>
                <w:szCs w:val="20"/>
                <w:lang w:val="en-US"/>
              </w:rPr>
            </w:pPr>
            <w:r w:rsidRPr="00F52494">
              <w:rPr>
                <w:rFonts w:eastAsia="Times New Roman"/>
                <w:color w:val="000000"/>
                <w:sz w:val="20"/>
                <w:szCs w:val="20"/>
                <w:lang w:val="en-US"/>
              </w:rPr>
              <w:t>1.088</w:t>
            </w:r>
          </w:p>
        </w:tc>
        <w:tc>
          <w:tcPr>
            <w:tcW w:w="417" w:type="pct"/>
            <w:noWrap/>
            <w:vAlign w:val="center"/>
            <w:hideMark/>
          </w:tcPr>
          <w:p w:rsidR="00C066AB" w:rsidRPr="00F52494" w:rsidRDefault="00C066AB" w:rsidP="00241DAB">
            <w:pPr>
              <w:spacing w:line="240" w:lineRule="auto"/>
              <w:jc w:val="left"/>
              <w:outlineLvl w:val="9"/>
              <w:rPr>
                <w:rFonts w:eastAsia="Times New Roman"/>
                <w:color w:val="000000"/>
                <w:sz w:val="20"/>
                <w:szCs w:val="20"/>
                <w:lang w:val="en-US"/>
              </w:rPr>
            </w:pPr>
            <w:r w:rsidRPr="00F52494">
              <w:rPr>
                <w:rFonts w:eastAsia="Times New Roman"/>
                <w:color w:val="000000"/>
                <w:sz w:val="20"/>
                <w:szCs w:val="20"/>
                <w:lang w:val="en-US"/>
              </w:rPr>
              <w:t>0.908</w:t>
            </w:r>
          </w:p>
        </w:tc>
      </w:tr>
      <w:tr w:rsidR="00C066AB" w:rsidRPr="00F52494" w:rsidTr="00F52494">
        <w:trPr>
          <w:trHeight w:val="348"/>
          <w:jc w:val="center"/>
        </w:trPr>
        <w:tc>
          <w:tcPr>
            <w:tcW w:w="221" w:type="pct"/>
            <w:vMerge/>
            <w:vAlign w:val="center"/>
          </w:tcPr>
          <w:p w:rsidR="00C066AB" w:rsidRPr="00F52494" w:rsidRDefault="00C066AB" w:rsidP="00B65294">
            <w:pPr>
              <w:spacing w:line="240" w:lineRule="auto"/>
              <w:jc w:val="center"/>
              <w:outlineLvl w:val="9"/>
              <w:rPr>
                <w:rFonts w:eastAsia="Times New Roman"/>
                <w:color w:val="000000"/>
                <w:sz w:val="20"/>
                <w:szCs w:val="20"/>
                <w:lang w:val="en-US"/>
              </w:rPr>
            </w:pPr>
          </w:p>
        </w:tc>
        <w:tc>
          <w:tcPr>
            <w:tcW w:w="540" w:type="pct"/>
            <w:noWrap/>
            <w:vAlign w:val="center"/>
            <w:hideMark/>
          </w:tcPr>
          <w:p w:rsidR="00C066AB" w:rsidRPr="00F52494" w:rsidRDefault="00C066AB" w:rsidP="00B65294">
            <w:pPr>
              <w:spacing w:line="240" w:lineRule="auto"/>
              <w:jc w:val="center"/>
              <w:outlineLvl w:val="9"/>
              <w:rPr>
                <w:rFonts w:eastAsia="Times New Roman"/>
                <w:color w:val="000000"/>
                <w:sz w:val="20"/>
                <w:szCs w:val="20"/>
                <w:lang w:val="en-US"/>
              </w:rPr>
            </w:pPr>
            <w:r w:rsidRPr="00F52494">
              <w:rPr>
                <w:rFonts w:eastAsia="Times New Roman"/>
                <w:color w:val="000000"/>
                <w:sz w:val="20"/>
                <w:szCs w:val="20"/>
                <w:lang w:val="en-US"/>
              </w:rPr>
              <w:t>t-stat</w:t>
            </w:r>
          </w:p>
        </w:tc>
        <w:tc>
          <w:tcPr>
            <w:tcW w:w="839" w:type="pct"/>
            <w:noWrap/>
            <w:vAlign w:val="center"/>
            <w:hideMark/>
          </w:tcPr>
          <w:p w:rsidR="00C066AB" w:rsidRPr="00F52494" w:rsidRDefault="00C066AB" w:rsidP="00241DAB">
            <w:pPr>
              <w:spacing w:line="240" w:lineRule="auto"/>
              <w:jc w:val="left"/>
              <w:outlineLvl w:val="9"/>
              <w:rPr>
                <w:rFonts w:eastAsia="Times New Roman"/>
                <w:color w:val="000000"/>
                <w:sz w:val="20"/>
                <w:szCs w:val="20"/>
                <w:lang w:val="en-US"/>
              </w:rPr>
            </w:pPr>
            <w:r w:rsidRPr="00F52494">
              <w:rPr>
                <w:rFonts w:eastAsia="Times New Roman"/>
                <w:color w:val="000000"/>
                <w:sz w:val="20"/>
                <w:szCs w:val="20"/>
                <w:lang w:val="en-US"/>
              </w:rPr>
              <w:t>-50.575</w:t>
            </w:r>
          </w:p>
        </w:tc>
        <w:tc>
          <w:tcPr>
            <w:tcW w:w="449" w:type="pct"/>
            <w:noWrap/>
            <w:vAlign w:val="center"/>
            <w:hideMark/>
          </w:tcPr>
          <w:p w:rsidR="00C066AB" w:rsidRPr="00F52494" w:rsidRDefault="00C066AB" w:rsidP="00241DAB">
            <w:pPr>
              <w:spacing w:line="240" w:lineRule="auto"/>
              <w:jc w:val="left"/>
              <w:outlineLvl w:val="9"/>
              <w:rPr>
                <w:rFonts w:eastAsia="Times New Roman"/>
                <w:color w:val="000000"/>
                <w:sz w:val="20"/>
                <w:szCs w:val="20"/>
                <w:lang w:val="en-US"/>
              </w:rPr>
            </w:pPr>
            <w:r w:rsidRPr="00F52494">
              <w:rPr>
                <w:rFonts w:eastAsia="Times New Roman"/>
                <w:color w:val="000000"/>
                <w:sz w:val="20"/>
                <w:szCs w:val="20"/>
                <w:lang w:val="en-US"/>
              </w:rPr>
              <w:t>-0.102</w:t>
            </w:r>
          </w:p>
        </w:tc>
        <w:tc>
          <w:tcPr>
            <w:tcW w:w="449" w:type="pct"/>
            <w:noWrap/>
            <w:vAlign w:val="center"/>
            <w:hideMark/>
          </w:tcPr>
          <w:p w:rsidR="00C066AB" w:rsidRPr="00F52494" w:rsidRDefault="00C066AB" w:rsidP="00241DAB">
            <w:pPr>
              <w:spacing w:line="240" w:lineRule="auto"/>
              <w:jc w:val="left"/>
              <w:outlineLvl w:val="9"/>
              <w:rPr>
                <w:rFonts w:eastAsia="Times New Roman"/>
                <w:color w:val="000000"/>
                <w:sz w:val="20"/>
                <w:szCs w:val="20"/>
                <w:lang w:val="en-US"/>
              </w:rPr>
            </w:pPr>
            <w:r w:rsidRPr="00F52494">
              <w:rPr>
                <w:rFonts w:eastAsia="Times New Roman"/>
                <w:color w:val="000000"/>
                <w:sz w:val="20"/>
                <w:szCs w:val="20"/>
                <w:lang w:val="en-US"/>
              </w:rPr>
              <w:t>0.188</w:t>
            </w:r>
          </w:p>
        </w:tc>
        <w:tc>
          <w:tcPr>
            <w:tcW w:w="449" w:type="pct"/>
            <w:noWrap/>
            <w:vAlign w:val="center"/>
            <w:hideMark/>
          </w:tcPr>
          <w:p w:rsidR="00C066AB" w:rsidRPr="00F52494" w:rsidRDefault="00C066AB" w:rsidP="00241DAB">
            <w:pPr>
              <w:spacing w:line="240" w:lineRule="auto"/>
              <w:jc w:val="left"/>
              <w:outlineLvl w:val="9"/>
              <w:rPr>
                <w:rFonts w:eastAsia="Times New Roman"/>
                <w:color w:val="000000"/>
                <w:sz w:val="20"/>
                <w:szCs w:val="20"/>
                <w:lang w:val="en-US"/>
              </w:rPr>
            </w:pPr>
            <w:r w:rsidRPr="00F52494">
              <w:rPr>
                <w:rFonts w:eastAsia="Times New Roman"/>
                <w:color w:val="000000"/>
                <w:sz w:val="20"/>
                <w:szCs w:val="20"/>
                <w:lang w:val="en-US"/>
              </w:rPr>
              <w:t>0.027</w:t>
            </w:r>
          </w:p>
        </w:tc>
        <w:tc>
          <w:tcPr>
            <w:tcW w:w="449" w:type="pct"/>
            <w:noWrap/>
            <w:vAlign w:val="center"/>
            <w:hideMark/>
          </w:tcPr>
          <w:p w:rsidR="00C066AB" w:rsidRPr="00F52494" w:rsidRDefault="00C066AB" w:rsidP="00241DAB">
            <w:pPr>
              <w:spacing w:line="240" w:lineRule="auto"/>
              <w:jc w:val="left"/>
              <w:outlineLvl w:val="9"/>
              <w:rPr>
                <w:rFonts w:eastAsia="Times New Roman"/>
                <w:color w:val="000000"/>
                <w:sz w:val="20"/>
                <w:szCs w:val="20"/>
                <w:lang w:val="en-US"/>
              </w:rPr>
            </w:pPr>
            <w:r w:rsidRPr="00F52494">
              <w:rPr>
                <w:rFonts w:eastAsia="Times New Roman"/>
                <w:color w:val="000000"/>
                <w:sz w:val="20"/>
                <w:szCs w:val="20"/>
                <w:lang w:val="en-US"/>
              </w:rPr>
              <w:t>0.176</w:t>
            </w:r>
          </w:p>
        </w:tc>
        <w:tc>
          <w:tcPr>
            <w:tcW w:w="417" w:type="pct"/>
            <w:noWrap/>
            <w:vAlign w:val="center"/>
            <w:hideMark/>
          </w:tcPr>
          <w:p w:rsidR="00C066AB" w:rsidRPr="00F52494" w:rsidRDefault="00C066AB" w:rsidP="00241DAB">
            <w:pPr>
              <w:spacing w:line="240" w:lineRule="auto"/>
              <w:jc w:val="left"/>
              <w:outlineLvl w:val="9"/>
              <w:rPr>
                <w:rFonts w:eastAsia="Times New Roman"/>
                <w:color w:val="000000"/>
                <w:sz w:val="20"/>
                <w:szCs w:val="20"/>
                <w:lang w:val="en-US"/>
              </w:rPr>
            </w:pPr>
            <w:r w:rsidRPr="00F52494">
              <w:rPr>
                <w:rFonts w:eastAsia="Times New Roman"/>
                <w:color w:val="000000"/>
                <w:sz w:val="20"/>
                <w:szCs w:val="20"/>
                <w:lang w:val="en-US"/>
              </w:rPr>
              <w:t>1.025</w:t>
            </w:r>
          </w:p>
        </w:tc>
        <w:tc>
          <w:tcPr>
            <w:tcW w:w="353" w:type="pct"/>
            <w:noWrap/>
            <w:vAlign w:val="center"/>
            <w:hideMark/>
          </w:tcPr>
          <w:p w:rsidR="00C066AB" w:rsidRPr="00F52494" w:rsidRDefault="00C066AB" w:rsidP="00241DAB">
            <w:pPr>
              <w:spacing w:line="240" w:lineRule="auto"/>
              <w:jc w:val="left"/>
              <w:outlineLvl w:val="9"/>
              <w:rPr>
                <w:rFonts w:eastAsia="Times New Roman"/>
                <w:color w:val="000000"/>
                <w:sz w:val="20"/>
                <w:szCs w:val="20"/>
                <w:lang w:val="en-US"/>
              </w:rPr>
            </w:pPr>
            <w:r w:rsidRPr="00F52494">
              <w:rPr>
                <w:rFonts w:eastAsia="Times New Roman"/>
                <w:color w:val="000000"/>
                <w:sz w:val="20"/>
                <w:szCs w:val="20"/>
                <w:lang w:val="en-US"/>
              </w:rPr>
              <w:t>1.631</w:t>
            </w:r>
          </w:p>
        </w:tc>
        <w:tc>
          <w:tcPr>
            <w:tcW w:w="417" w:type="pct"/>
            <w:noWrap/>
            <w:vAlign w:val="center"/>
            <w:hideMark/>
          </w:tcPr>
          <w:p w:rsidR="00C066AB" w:rsidRPr="00F52494" w:rsidRDefault="00C066AB" w:rsidP="00241DAB">
            <w:pPr>
              <w:spacing w:line="240" w:lineRule="auto"/>
              <w:jc w:val="left"/>
              <w:outlineLvl w:val="9"/>
              <w:rPr>
                <w:rFonts w:eastAsia="Times New Roman"/>
                <w:color w:val="000000"/>
                <w:sz w:val="20"/>
                <w:szCs w:val="20"/>
                <w:lang w:val="en-US"/>
              </w:rPr>
            </w:pPr>
            <w:r w:rsidRPr="00F52494">
              <w:rPr>
                <w:rFonts w:eastAsia="Times New Roman"/>
                <w:color w:val="000000"/>
                <w:sz w:val="20"/>
                <w:szCs w:val="20"/>
                <w:lang w:val="en-US"/>
              </w:rPr>
              <w:t>1.200</w:t>
            </w:r>
          </w:p>
        </w:tc>
        <w:tc>
          <w:tcPr>
            <w:tcW w:w="417" w:type="pct"/>
            <w:noWrap/>
            <w:vAlign w:val="center"/>
            <w:hideMark/>
          </w:tcPr>
          <w:p w:rsidR="00C066AB" w:rsidRPr="00F52494" w:rsidRDefault="00C066AB" w:rsidP="00241DAB">
            <w:pPr>
              <w:spacing w:line="240" w:lineRule="auto"/>
              <w:jc w:val="left"/>
              <w:outlineLvl w:val="9"/>
              <w:rPr>
                <w:rFonts w:eastAsia="Times New Roman"/>
                <w:color w:val="000000"/>
                <w:sz w:val="20"/>
                <w:szCs w:val="20"/>
                <w:lang w:val="en-US"/>
              </w:rPr>
            </w:pPr>
            <w:r w:rsidRPr="00F52494">
              <w:rPr>
                <w:rFonts w:eastAsia="Times New Roman"/>
                <w:color w:val="000000"/>
                <w:sz w:val="20"/>
                <w:szCs w:val="20"/>
                <w:lang w:val="en-US"/>
              </w:rPr>
              <w:t>0.787</w:t>
            </w:r>
          </w:p>
        </w:tc>
      </w:tr>
      <w:tr w:rsidR="00C066AB" w:rsidRPr="00F52494" w:rsidTr="00F52494">
        <w:trPr>
          <w:trHeight w:val="348"/>
          <w:jc w:val="center"/>
        </w:trPr>
        <w:tc>
          <w:tcPr>
            <w:tcW w:w="221" w:type="pct"/>
            <w:vMerge/>
            <w:vAlign w:val="center"/>
          </w:tcPr>
          <w:p w:rsidR="00C066AB" w:rsidRPr="00F52494" w:rsidRDefault="00C066AB" w:rsidP="00B65294">
            <w:pPr>
              <w:spacing w:line="240" w:lineRule="auto"/>
              <w:jc w:val="center"/>
              <w:outlineLvl w:val="9"/>
              <w:rPr>
                <w:rFonts w:eastAsia="Times New Roman"/>
                <w:b/>
                <w:bCs/>
                <w:color w:val="000000"/>
                <w:sz w:val="20"/>
                <w:szCs w:val="20"/>
                <w:lang w:val="en-US"/>
              </w:rPr>
            </w:pPr>
          </w:p>
        </w:tc>
        <w:tc>
          <w:tcPr>
            <w:tcW w:w="4779" w:type="pct"/>
            <w:gridSpan w:val="10"/>
            <w:noWrap/>
            <w:vAlign w:val="center"/>
            <w:hideMark/>
          </w:tcPr>
          <w:p w:rsidR="00C066AB" w:rsidRPr="00F52494" w:rsidRDefault="00C066AB" w:rsidP="00B65294">
            <w:pPr>
              <w:spacing w:line="240" w:lineRule="auto"/>
              <w:jc w:val="center"/>
              <w:outlineLvl w:val="9"/>
              <w:rPr>
                <w:rFonts w:eastAsia="Times New Roman"/>
                <w:b/>
                <w:bCs/>
                <w:color w:val="000000"/>
                <w:sz w:val="20"/>
                <w:szCs w:val="20"/>
                <w:lang w:val="en-US"/>
              </w:rPr>
            </w:pPr>
            <w:r w:rsidRPr="00F52494">
              <w:rPr>
                <w:rFonts w:eastAsia="Times New Roman"/>
                <w:b/>
                <w:bCs/>
                <w:color w:val="000000"/>
                <w:sz w:val="20"/>
                <w:szCs w:val="20"/>
                <w:lang w:val="en-US"/>
              </w:rPr>
              <w:t>Arbitrage Portfolio</w:t>
            </w:r>
          </w:p>
        </w:tc>
      </w:tr>
      <w:tr w:rsidR="00C066AB" w:rsidRPr="00F52494" w:rsidTr="00F52494">
        <w:trPr>
          <w:trHeight w:val="348"/>
          <w:jc w:val="center"/>
        </w:trPr>
        <w:tc>
          <w:tcPr>
            <w:tcW w:w="221" w:type="pct"/>
            <w:vMerge/>
            <w:vAlign w:val="center"/>
          </w:tcPr>
          <w:p w:rsidR="00C066AB" w:rsidRPr="00F52494" w:rsidRDefault="00C066AB" w:rsidP="00B65294">
            <w:pPr>
              <w:spacing w:line="240" w:lineRule="auto"/>
              <w:jc w:val="center"/>
              <w:outlineLvl w:val="9"/>
              <w:rPr>
                <w:rFonts w:eastAsia="Times New Roman"/>
                <w:color w:val="000000"/>
                <w:sz w:val="20"/>
                <w:szCs w:val="20"/>
                <w:lang w:val="en-US"/>
              </w:rPr>
            </w:pPr>
          </w:p>
        </w:tc>
        <w:tc>
          <w:tcPr>
            <w:tcW w:w="540" w:type="pct"/>
            <w:noWrap/>
            <w:vAlign w:val="center"/>
            <w:hideMark/>
          </w:tcPr>
          <w:p w:rsidR="00C066AB" w:rsidRPr="00F52494" w:rsidRDefault="00F52494" w:rsidP="00B65294">
            <w:pPr>
              <w:spacing w:line="240" w:lineRule="auto"/>
              <w:jc w:val="center"/>
              <w:outlineLvl w:val="9"/>
              <w:rPr>
                <w:rFonts w:eastAsia="Times New Roman"/>
                <w:color w:val="000000"/>
                <w:sz w:val="20"/>
                <w:szCs w:val="20"/>
                <w:lang w:val="en-US"/>
              </w:rPr>
            </w:pPr>
            <w:r>
              <w:rPr>
                <w:rFonts w:eastAsia="Times New Roman"/>
                <w:color w:val="000000"/>
                <w:sz w:val="20"/>
                <w:szCs w:val="20"/>
                <w:lang w:val="en-US"/>
              </w:rPr>
              <w:t xml:space="preserve">ACAR </w:t>
            </w:r>
            <w:r w:rsidRPr="00F52494">
              <w:rPr>
                <w:rFonts w:eastAsia="Times New Roman"/>
                <w:color w:val="000000"/>
                <w:sz w:val="20"/>
                <w:szCs w:val="20"/>
                <w:lang w:val="en-US" w:eastAsia="en-CA"/>
              </w:rPr>
              <w:t>(%)</w:t>
            </w:r>
          </w:p>
        </w:tc>
        <w:tc>
          <w:tcPr>
            <w:tcW w:w="839" w:type="pct"/>
            <w:noWrap/>
            <w:vAlign w:val="center"/>
            <w:hideMark/>
          </w:tcPr>
          <w:p w:rsidR="00C066AB" w:rsidRPr="00F52494" w:rsidRDefault="00C066AB" w:rsidP="00241DAB">
            <w:pPr>
              <w:spacing w:line="240" w:lineRule="auto"/>
              <w:jc w:val="left"/>
              <w:outlineLvl w:val="9"/>
              <w:rPr>
                <w:rFonts w:eastAsia="Times New Roman"/>
                <w:color w:val="000000"/>
                <w:sz w:val="20"/>
                <w:szCs w:val="20"/>
                <w:lang w:val="en-US"/>
              </w:rPr>
            </w:pPr>
            <w:r w:rsidRPr="00F52494">
              <w:rPr>
                <w:rFonts w:eastAsia="Times New Roman"/>
                <w:color w:val="000000"/>
                <w:sz w:val="20"/>
                <w:szCs w:val="20"/>
                <w:lang w:val="en-US"/>
              </w:rPr>
              <w:t>-11.999</w:t>
            </w:r>
            <w:r w:rsidR="00F52494" w:rsidRPr="00F52494">
              <w:rPr>
                <w:rFonts w:eastAsia="Times New Roman"/>
                <w:color w:val="000000"/>
                <w:sz w:val="20"/>
                <w:szCs w:val="20"/>
                <w:lang w:val="en-US"/>
              </w:rPr>
              <w:t>**</w:t>
            </w:r>
          </w:p>
        </w:tc>
        <w:tc>
          <w:tcPr>
            <w:tcW w:w="449" w:type="pct"/>
            <w:noWrap/>
            <w:vAlign w:val="center"/>
            <w:hideMark/>
          </w:tcPr>
          <w:p w:rsidR="00C066AB" w:rsidRPr="00F52494" w:rsidRDefault="00C066AB" w:rsidP="00241DAB">
            <w:pPr>
              <w:spacing w:line="240" w:lineRule="auto"/>
              <w:jc w:val="left"/>
              <w:outlineLvl w:val="9"/>
              <w:rPr>
                <w:rFonts w:eastAsia="Times New Roman"/>
                <w:color w:val="000000"/>
                <w:sz w:val="20"/>
                <w:szCs w:val="20"/>
                <w:lang w:val="en-US"/>
              </w:rPr>
            </w:pPr>
            <w:r w:rsidRPr="00F52494">
              <w:rPr>
                <w:rFonts w:eastAsia="Times New Roman"/>
                <w:color w:val="000000"/>
                <w:sz w:val="20"/>
                <w:szCs w:val="20"/>
                <w:lang w:val="en-US"/>
              </w:rPr>
              <w:t>-0.420</w:t>
            </w:r>
            <w:r w:rsidR="00F52494" w:rsidRPr="00F52494">
              <w:rPr>
                <w:rFonts w:eastAsia="Times New Roman"/>
                <w:color w:val="000000"/>
                <w:sz w:val="20"/>
                <w:szCs w:val="20"/>
                <w:lang w:val="en-US"/>
              </w:rPr>
              <w:t>**</w:t>
            </w:r>
          </w:p>
        </w:tc>
        <w:tc>
          <w:tcPr>
            <w:tcW w:w="449" w:type="pct"/>
            <w:noWrap/>
            <w:vAlign w:val="center"/>
            <w:hideMark/>
          </w:tcPr>
          <w:p w:rsidR="00C066AB" w:rsidRPr="00F52494" w:rsidRDefault="00C066AB" w:rsidP="00241DAB">
            <w:pPr>
              <w:spacing w:line="240" w:lineRule="auto"/>
              <w:jc w:val="left"/>
              <w:outlineLvl w:val="9"/>
              <w:rPr>
                <w:rFonts w:eastAsia="Times New Roman"/>
                <w:color w:val="000000"/>
                <w:sz w:val="20"/>
                <w:szCs w:val="20"/>
                <w:lang w:val="en-US"/>
              </w:rPr>
            </w:pPr>
            <w:r w:rsidRPr="00F52494">
              <w:rPr>
                <w:rFonts w:eastAsia="Times New Roman"/>
                <w:color w:val="000000"/>
                <w:sz w:val="20"/>
                <w:szCs w:val="20"/>
                <w:lang w:val="en-US"/>
              </w:rPr>
              <w:t>-0.572</w:t>
            </w:r>
            <w:r w:rsidR="00F52494" w:rsidRPr="00F52494">
              <w:rPr>
                <w:rFonts w:eastAsia="Times New Roman"/>
                <w:color w:val="000000"/>
                <w:sz w:val="20"/>
                <w:szCs w:val="20"/>
                <w:lang w:val="en-US"/>
              </w:rPr>
              <w:t>**</w:t>
            </w:r>
          </w:p>
        </w:tc>
        <w:tc>
          <w:tcPr>
            <w:tcW w:w="449" w:type="pct"/>
            <w:noWrap/>
            <w:vAlign w:val="center"/>
            <w:hideMark/>
          </w:tcPr>
          <w:p w:rsidR="00C066AB" w:rsidRPr="00F52494" w:rsidRDefault="00C066AB" w:rsidP="00241DAB">
            <w:pPr>
              <w:spacing w:line="240" w:lineRule="auto"/>
              <w:jc w:val="left"/>
              <w:outlineLvl w:val="9"/>
              <w:rPr>
                <w:rFonts w:eastAsia="Times New Roman"/>
                <w:color w:val="000000"/>
                <w:sz w:val="20"/>
                <w:szCs w:val="20"/>
                <w:lang w:val="en-US"/>
              </w:rPr>
            </w:pPr>
            <w:r w:rsidRPr="00F52494">
              <w:rPr>
                <w:rFonts w:eastAsia="Times New Roman"/>
                <w:color w:val="000000"/>
                <w:sz w:val="20"/>
                <w:szCs w:val="20"/>
                <w:lang w:val="en-US"/>
              </w:rPr>
              <w:t>-0.850</w:t>
            </w:r>
            <w:r w:rsidR="00F52494" w:rsidRPr="00F52494">
              <w:rPr>
                <w:rFonts w:eastAsia="Times New Roman"/>
                <w:color w:val="000000"/>
                <w:sz w:val="20"/>
                <w:szCs w:val="20"/>
                <w:lang w:val="en-US"/>
              </w:rPr>
              <w:t>**</w:t>
            </w:r>
          </w:p>
        </w:tc>
        <w:tc>
          <w:tcPr>
            <w:tcW w:w="449" w:type="pct"/>
            <w:noWrap/>
            <w:vAlign w:val="center"/>
            <w:hideMark/>
          </w:tcPr>
          <w:p w:rsidR="00C066AB" w:rsidRPr="00F52494" w:rsidRDefault="00C066AB" w:rsidP="00241DAB">
            <w:pPr>
              <w:spacing w:line="240" w:lineRule="auto"/>
              <w:jc w:val="left"/>
              <w:outlineLvl w:val="9"/>
              <w:rPr>
                <w:rFonts w:eastAsia="Times New Roman"/>
                <w:color w:val="000000"/>
                <w:sz w:val="20"/>
                <w:szCs w:val="20"/>
                <w:lang w:val="en-US"/>
              </w:rPr>
            </w:pPr>
            <w:r w:rsidRPr="00F52494">
              <w:rPr>
                <w:rFonts w:eastAsia="Times New Roman"/>
                <w:color w:val="000000"/>
                <w:sz w:val="20"/>
                <w:szCs w:val="20"/>
                <w:lang w:val="en-US"/>
              </w:rPr>
              <w:t>-0.831</w:t>
            </w:r>
            <w:r w:rsidR="00F52494" w:rsidRPr="00F52494">
              <w:rPr>
                <w:rFonts w:eastAsia="Times New Roman"/>
                <w:color w:val="000000"/>
                <w:sz w:val="20"/>
                <w:szCs w:val="20"/>
                <w:lang w:val="en-US"/>
              </w:rPr>
              <w:t>**</w:t>
            </w:r>
          </w:p>
        </w:tc>
        <w:tc>
          <w:tcPr>
            <w:tcW w:w="417" w:type="pct"/>
            <w:noWrap/>
            <w:vAlign w:val="center"/>
            <w:hideMark/>
          </w:tcPr>
          <w:p w:rsidR="00C066AB" w:rsidRPr="00F52494" w:rsidRDefault="00C066AB" w:rsidP="00241DAB">
            <w:pPr>
              <w:spacing w:line="240" w:lineRule="auto"/>
              <w:jc w:val="left"/>
              <w:outlineLvl w:val="9"/>
              <w:rPr>
                <w:rFonts w:eastAsia="Times New Roman"/>
                <w:color w:val="000000"/>
                <w:sz w:val="20"/>
                <w:szCs w:val="20"/>
                <w:lang w:val="en-US"/>
              </w:rPr>
            </w:pPr>
            <w:r w:rsidRPr="00F52494">
              <w:rPr>
                <w:rFonts w:eastAsia="Times New Roman"/>
                <w:color w:val="000000"/>
                <w:sz w:val="20"/>
                <w:szCs w:val="20"/>
                <w:lang w:val="en-US"/>
              </w:rPr>
              <w:t>-0.845</w:t>
            </w:r>
          </w:p>
        </w:tc>
        <w:tc>
          <w:tcPr>
            <w:tcW w:w="353" w:type="pct"/>
            <w:noWrap/>
            <w:vAlign w:val="center"/>
            <w:hideMark/>
          </w:tcPr>
          <w:p w:rsidR="00C066AB" w:rsidRPr="00F52494" w:rsidRDefault="00C066AB" w:rsidP="00241DAB">
            <w:pPr>
              <w:spacing w:line="240" w:lineRule="auto"/>
              <w:jc w:val="left"/>
              <w:outlineLvl w:val="9"/>
              <w:rPr>
                <w:rFonts w:eastAsia="Times New Roman"/>
                <w:color w:val="000000"/>
                <w:sz w:val="20"/>
                <w:szCs w:val="20"/>
                <w:lang w:val="en-US"/>
              </w:rPr>
            </w:pPr>
            <w:r w:rsidRPr="00F52494">
              <w:rPr>
                <w:rFonts w:eastAsia="Times New Roman"/>
                <w:color w:val="000000"/>
                <w:sz w:val="20"/>
                <w:szCs w:val="20"/>
                <w:lang w:val="en-US"/>
              </w:rPr>
              <w:t>-0.256</w:t>
            </w:r>
          </w:p>
        </w:tc>
        <w:tc>
          <w:tcPr>
            <w:tcW w:w="417" w:type="pct"/>
            <w:noWrap/>
            <w:vAlign w:val="center"/>
            <w:hideMark/>
          </w:tcPr>
          <w:p w:rsidR="00C066AB" w:rsidRPr="00F52494" w:rsidRDefault="00C066AB" w:rsidP="00241DAB">
            <w:pPr>
              <w:spacing w:line="240" w:lineRule="auto"/>
              <w:jc w:val="left"/>
              <w:outlineLvl w:val="9"/>
              <w:rPr>
                <w:rFonts w:eastAsia="Times New Roman"/>
                <w:color w:val="000000"/>
                <w:sz w:val="20"/>
                <w:szCs w:val="20"/>
                <w:lang w:val="en-US"/>
              </w:rPr>
            </w:pPr>
            <w:r w:rsidRPr="00F52494">
              <w:rPr>
                <w:rFonts w:eastAsia="Times New Roman"/>
                <w:color w:val="000000"/>
                <w:sz w:val="20"/>
                <w:szCs w:val="20"/>
                <w:lang w:val="en-US"/>
              </w:rPr>
              <w:t>-1.233</w:t>
            </w:r>
          </w:p>
        </w:tc>
        <w:tc>
          <w:tcPr>
            <w:tcW w:w="417" w:type="pct"/>
            <w:noWrap/>
            <w:vAlign w:val="center"/>
            <w:hideMark/>
          </w:tcPr>
          <w:p w:rsidR="00C066AB" w:rsidRPr="00F52494" w:rsidRDefault="00C066AB" w:rsidP="00241DAB">
            <w:pPr>
              <w:spacing w:line="240" w:lineRule="auto"/>
              <w:jc w:val="left"/>
              <w:outlineLvl w:val="9"/>
              <w:rPr>
                <w:rFonts w:eastAsia="Times New Roman"/>
                <w:color w:val="000000"/>
                <w:sz w:val="20"/>
                <w:szCs w:val="20"/>
                <w:lang w:val="en-US"/>
              </w:rPr>
            </w:pPr>
            <w:r w:rsidRPr="00F52494">
              <w:rPr>
                <w:rFonts w:eastAsia="Times New Roman"/>
                <w:color w:val="000000"/>
                <w:sz w:val="20"/>
                <w:szCs w:val="20"/>
                <w:lang w:val="en-US"/>
              </w:rPr>
              <w:t>-2.534</w:t>
            </w:r>
            <w:r w:rsidR="00F52494" w:rsidRPr="00F52494">
              <w:rPr>
                <w:rFonts w:eastAsia="Times New Roman"/>
                <w:color w:val="000000"/>
                <w:sz w:val="20"/>
                <w:szCs w:val="20"/>
                <w:lang w:val="en-US"/>
              </w:rPr>
              <w:t>*</w:t>
            </w:r>
          </w:p>
        </w:tc>
      </w:tr>
      <w:tr w:rsidR="00C066AB" w:rsidRPr="00F52494" w:rsidTr="00F52494">
        <w:trPr>
          <w:trHeight w:val="348"/>
          <w:jc w:val="center"/>
        </w:trPr>
        <w:tc>
          <w:tcPr>
            <w:tcW w:w="221" w:type="pct"/>
            <w:vMerge/>
            <w:vAlign w:val="center"/>
          </w:tcPr>
          <w:p w:rsidR="00C066AB" w:rsidRPr="00F52494" w:rsidRDefault="00C066AB" w:rsidP="00B65294">
            <w:pPr>
              <w:spacing w:line="240" w:lineRule="auto"/>
              <w:jc w:val="center"/>
              <w:outlineLvl w:val="9"/>
              <w:rPr>
                <w:rFonts w:eastAsia="Times New Roman"/>
                <w:color w:val="000000"/>
                <w:sz w:val="20"/>
                <w:szCs w:val="20"/>
                <w:lang w:val="en-US"/>
              </w:rPr>
            </w:pPr>
          </w:p>
        </w:tc>
        <w:tc>
          <w:tcPr>
            <w:tcW w:w="540" w:type="pct"/>
            <w:tcBorders>
              <w:bottom w:val="single" w:sz="4" w:space="0" w:color="auto"/>
            </w:tcBorders>
            <w:noWrap/>
            <w:vAlign w:val="center"/>
            <w:hideMark/>
          </w:tcPr>
          <w:p w:rsidR="00C066AB" w:rsidRPr="00F52494" w:rsidRDefault="00C066AB" w:rsidP="00B65294">
            <w:pPr>
              <w:spacing w:line="240" w:lineRule="auto"/>
              <w:jc w:val="center"/>
              <w:outlineLvl w:val="9"/>
              <w:rPr>
                <w:rFonts w:eastAsia="Times New Roman"/>
                <w:color w:val="000000"/>
                <w:sz w:val="20"/>
                <w:szCs w:val="20"/>
                <w:lang w:val="en-US"/>
              </w:rPr>
            </w:pPr>
            <w:r w:rsidRPr="00F52494">
              <w:rPr>
                <w:rFonts w:eastAsia="Times New Roman"/>
                <w:color w:val="000000"/>
                <w:sz w:val="20"/>
                <w:szCs w:val="20"/>
                <w:lang w:val="en-US"/>
              </w:rPr>
              <w:t>t-stat</w:t>
            </w:r>
          </w:p>
        </w:tc>
        <w:tc>
          <w:tcPr>
            <w:tcW w:w="839" w:type="pct"/>
            <w:tcBorders>
              <w:bottom w:val="single" w:sz="4" w:space="0" w:color="auto"/>
            </w:tcBorders>
            <w:noWrap/>
            <w:vAlign w:val="center"/>
            <w:hideMark/>
          </w:tcPr>
          <w:p w:rsidR="00C066AB" w:rsidRPr="00F52494" w:rsidRDefault="00C066AB" w:rsidP="00241DAB">
            <w:pPr>
              <w:spacing w:line="240" w:lineRule="auto"/>
              <w:jc w:val="left"/>
              <w:outlineLvl w:val="9"/>
              <w:rPr>
                <w:rFonts w:eastAsia="Times New Roman"/>
                <w:color w:val="000000"/>
                <w:sz w:val="20"/>
                <w:szCs w:val="20"/>
                <w:lang w:val="en-US"/>
              </w:rPr>
            </w:pPr>
            <w:r w:rsidRPr="00F52494">
              <w:rPr>
                <w:rFonts w:eastAsia="Times New Roman"/>
                <w:color w:val="000000"/>
                <w:sz w:val="20"/>
                <w:szCs w:val="20"/>
                <w:lang w:val="en-US"/>
              </w:rPr>
              <w:t>-46.74</w:t>
            </w:r>
          </w:p>
        </w:tc>
        <w:tc>
          <w:tcPr>
            <w:tcW w:w="449" w:type="pct"/>
            <w:tcBorders>
              <w:bottom w:val="single" w:sz="4" w:space="0" w:color="auto"/>
            </w:tcBorders>
            <w:noWrap/>
            <w:vAlign w:val="center"/>
            <w:hideMark/>
          </w:tcPr>
          <w:p w:rsidR="00C066AB" w:rsidRPr="00F52494" w:rsidRDefault="00C066AB" w:rsidP="00241DAB">
            <w:pPr>
              <w:spacing w:line="240" w:lineRule="auto"/>
              <w:jc w:val="left"/>
              <w:outlineLvl w:val="9"/>
              <w:rPr>
                <w:rFonts w:eastAsia="Times New Roman"/>
                <w:color w:val="000000"/>
                <w:sz w:val="20"/>
                <w:szCs w:val="20"/>
                <w:lang w:val="en-US"/>
              </w:rPr>
            </w:pPr>
            <w:r w:rsidRPr="00F52494">
              <w:rPr>
                <w:rFonts w:eastAsia="Times New Roman"/>
                <w:color w:val="000000"/>
                <w:sz w:val="20"/>
                <w:szCs w:val="20"/>
                <w:lang w:val="en-US"/>
              </w:rPr>
              <w:t>-2.727</w:t>
            </w:r>
          </w:p>
        </w:tc>
        <w:tc>
          <w:tcPr>
            <w:tcW w:w="449" w:type="pct"/>
            <w:tcBorders>
              <w:bottom w:val="single" w:sz="4" w:space="0" w:color="auto"/>
            </w:tcBorders>
            <w:noWrap/>
            <w:vAlign w:val="center"/>
            <w:hideMark/>
          </w:tcPr>
          <w:p w:rsidR="00C066AB" w:rsidRPr="00F52494" w:rsidRDefault="00C066AB" w:rsidP="00241DAB">
            <w:pPr>
              <w:spacing w:line="240" w:lineRule="auto"/>
              <w:jc w:val="left"/>
              <w:outlineLvl w:val="9"/>
              <w:rPr>
                <w:rFonts w:eastAsia="Times New Roman"/>
                <w:color w:val="000000"/>
                <w:sz w:val="20"/>
                <w:szCs w:val="20"/>
                <w:lang w:val="en-US"/>
              </w:rPr>
            </w:pPr>
            <w:r w:rsidRPr="00F52494">
              <w:rPr>
                <w:rFonts w:eastAsia="Times New Roman"/>
                <w:color w:val="000000"/>
                <w:sz w:val="20"/>
                <w:szCs w:val="20"/>
                <w:lang w:val="en-US"/>
              </w:rPr>
              <w:t>-2.557</w:t>
            </w:r>
          </w:p>
        </w:tc>
        <w:tc>
          <w:tcPr>
            <w:tcW w:w="449" w:type="pct"/>
            <w:tcBorders>
              <w:bottom w:val="single" w:sz="4" w:space="0" w:color="auto"/>
            </w:tcBorders>
            <w:noWrap/>
            <w:vAlign w:val="center"/>
            <w:hideMark/>
          </w:tcPr>
          <w:p w:rsidR="00C066AB" w:rsidRPr="00F52494" w:rsidRDefault="00C066AB" w:rsidP="00241DAB">
            <w:pPr>
              <w:spacing w:line="240" w:lineRule="auto"/>
              <w:jc w:val="left"/>
              <w:outlineLvl w:val="9"/>
              <w:rPr>
                <w:rFonts w:eastAsia="Times New Roman"/>
                <w:color w:val="000000"/>
                <w:sz w:val="20"/>
                <w:szCs w:val="20"/>
                <w:lang w:val="en-US"/>
              </w:rPr>
            </w:pPr>
            <w:r w:rsidRPr="00F52494">
              <w:rPr>
                <w:rFonts w:eastAsia="Times New Roman"/>
                <w:color w:val="000000"/>
                <w:sz w:val="20"/>
                <w:szCs w:val="20"/>
                <w:lang w:val="en-US"/>
              </w:rPr>
              <w:t>-3.073</w:t>
            </w:r>
          </w:p>
        </w:tc>
        <w:tc>
          <w:tcPr>
            <w:tcW w:w="449" w:type="pct"/>
            <w:tcBorders>
              <w:bottom w:val="single" w:sz="4" w:space="0" w:color="auto"/>
            </w:tcBorders>
            <w:noWrap/>
            <w:vAlign w:val="center"/>
            <w:hideMark/>
          </w:tcPr>
          <w:p w:rsidR="00C066AB" w:rsidRPr="00F52494" w:rsidRDefault="00C066AB" w:rsidP="00241DAB">
            <w:pPr>
              <w:spacing w:line="240" w:lineRule="auto"/>
              <w:jc w:val="left"/>
              <w:outlineLvl w:val="9"/>
              <w:rPr>
                <w:rFonts w:eastAsia="Times New Roman"/>
                <w:color w:val="000000"/>
                <w:sz w:val="20"/>
                <w:szCs w:val="20"/>
                <w:lang w:val="en-US"/>
              </w:rPr>
            </w:pPr>
            <w:r w:rsidRPr="00F52494">
              <w:rPr>
                <w:rFonts w:eastAsia="Times New Roman"/>
                <w:color w:val="000000"/>
                <w:sz w:val="20"/>
                <w:szCs w:val="20"/>
                <w:lang w:val="en-US"/>
              </w:rPr>
              <w:t>-2.845</w:t>
            </w:r>
          </w:p>
        </w:tc>
        <w:tc>
          <w:tcPr>
            <w:tcW w:w="417" w:type="pct"/>
            <w:tcBorders>
              <w:bottom w:val="single" w:sz="4" w:space="0" w:color="auto"/>
            </w:tcBorders>
            <w:noWrap/>
            <w:vAlign w:val="center"/>
            <w:hideMark/>
          </w:tcPr>
          <w:p w:rsidR="00C066AB" w:rsidRPr="00F52494" w:rsidRDefault="00C066AB" w:rsidP="00241DAB">
            <w:pPr>
              <w:spacing w:line="240" w:lineRule="auto"/>
              <w:jc w:val="left"/>
              <w:outlineLvl w:val="9"/>
              <w:rPr>
                <w:rFonts w:eastAsia="Times New Roman"/>
                <w:color w:val="000000"/>
                <w:sz w:val="20"/>
                <w:szCs w:val="20"/>
                <w:lang w:val="en-US"/>
              </w:rPr>
            </w:pPr>
            <w:r w:rsidRPr="00F52494">
              <w:rPr>
                <w:rFonts w:eastAsia="Times New Roman"/>
                <w:color w:val="000000"/>
                <w:sz w:val="20"/>
                <w:szCs w:val="20"/>
                <w:lang w:val="en-US"/>
              </w:rPr>
              <w:t>-1.759</w:t>
            </w:r>
          </w:p>
        </w:tc>
        <w:tc>
          <w:tcPr>
            <w:tcW w:w="353" w:type="pct"/>
            <w:tcBorders>
              <w:bottom w:val="single" w:sz="4" w:space="0" w:color="auto"/>
            </w:tcBorders>
            <w:noWrap/>
            <w:vAlign w:val="center"/>
            <w:hideMark/>
          </w:tcPr>
          <w:p w:rsidR="00C066AB" w:rsidRPr="00F52494" w:rsidRDefault="00C066AB" w:rsidP="00241DAB">
            <w:pPr>
              <w:spacing w:line="240" w:lineRule="auto"/>
              <w:jc w:val="left"/>
              <w:outlineLvl w:val="9"/>
              <w:rPr>
                <w:rFonts w:eastAsia="Times New Roman"/>
                <w:color w:val="000000"/>
                <w:sz w:val="20"/>
                <w:szCs w:val="20"/>
                <w:lang w:val="en-US"/>
              </w:rPr>
            </w:pPr>
            <w:r w:rsidRPr="00F52494">
              <w:rPr>
                <w:rFonts w:eastAsia="Times New Roman"/>
                <w:color w:val="000000"/>
                <w:sz w:val="20"/>
                <w:szCs w:val="20"/>
                <w:lang w:val="en-US"/>
              </w:rPr>
              <w:t>-0.389</w:t>
            </w:r>
          </w:p>
        </w:tc>
        <w:tc>
          <w:tcPr>
            <w:tcW w:w="417" w:type="pct"/>
            <w:tcBorders>
              <w:bottom w:val="single" w:sz="4" w:space="0" w:color="auto"/>
            </w:tcBorders>
            <w:noWrap/>
            <w:vAlign w:val="center"/>
            <w:hideMark/>
          </w:tcPr>
          <w:p w:rsidR="00C066AB" w:rsidRPr="00F52494" w:rsidRDefault="00C066AB" w:rsidP="00241DAB">
            <w:pPr>
              <w:spacing w:line="240" w:lineRule="auto"/>
              <w:jc w:val="left"/>
              <w:outlineLvl w:val="9"/>
              <w:rPr>
                <w:rFonts w:eastAsia="Times New Roman"/>
                <w:color w:val="000000"/>
                <w:sz w:val="20"/>
                <w:szCs w:val="20"/>
                <w:lang w:val="en-US"/>
              </w:rPr>
            </w:pPr>
            <w:r w:rsidRPr="00F52494">
              <w:rPr>
                <w:rFonts w:eastAsia="Times New Roman"/>
                <w:color w:val="000000"/>
                <w:sz w:val="20"/>
                <w:szCs w:val="20"/>
                <w:lang w:val="en-US"/>
              </w:rPr>
              <w:t>-1.500</w:t>
            </w:r>
          </w:p>
        </w:tc>
        <w:tc>
          <w:tcPr>
            <w:tcW w:w="417" w:type="pct"/>
            <w:tcBorders>
              <w:bottom w:val="single" w:sz="4" w:space="0" w:color="auto"/>
            </w:tcBorders>
            <w:noWrap/>
            <w:vAlign w:val="center"/>
            <w:hideMark/>
          </w:tcPr>
          <w:p w:rsidR="00C066AB" w:rsidRPr="00F52494" w:rsidRDefault="00C066AB" w:rsidP="00241DAB">
            <w:pPr>
              <w:spacing w:line="240" w:lineRule="auto"/>
              <w:jc w:val="left"/>
              <w:outlineLvl w:val="9"/>
              <w:rPr>
                <w:rFonts w:eastAsia="Times New Roman"/>
                <w:color w:val="000000"/>
                <w:sz w:val="20"/>
                <w:szCs w:val="20"/>
                <w:lang w:val="en-US"/>
              </w:rPr>
            </w:pPr>
            <w:r w:rsidRPr="00F52494">
              <w:rPr>
                <w:rFonts w:eastAsia="Times New Roman"/>
                <w:color w:val="000000"/>
                <w:sz w:val="20"/>
                <w:szCs w:val="20"/>
                <w:lang w:val="en-US"/>
              </w:rPr>
              <w:t>-2.495</w:t>
            </w:r>
          </w:p>
        </w:tc>
      </w:tr>
    </w:tbl>
    <w:p w:rsidR="00C066AB" w:rsidRPr="00F52494" w:rsidRDefault="00554161" w:rsidP="00F52494">
      <w:pPr>
        <w:pStyle w:val="ListParagraph"/>
        <w:ind w:left="0"/>
        <w:rPr>
          <w:sz w:val="16"/>
          <w:szCs w:val="16"/>
          <w:lang w:val="en-US"/>
        </w:rPr>
      </w:pPr>
      <w:r w:rsidRPr="00F52494">
        <w:rPr>
          <w:sz w:val="16"/>
          <w:szCs w:val="16"/>
          <w:lang w:val="en-US"/>
        </w:rPr>
        <w:t>** and * indicate s</w:t>
      </w:r>
      <w:r w:rsidR="00C066AB" w:rsidRPr="00F52494">
        <w:rPr>
          <w:sz w:val="16"/>
          <w:szCs w:val="16"/>
          <w:lang w:val="en-US"/>
        </w:rPr>
        <w:t xml:space="preserve">ignificance at </w:t>
      </w:r>
      <w:r w:rsidRPr="00F52494">
        <w:rPr>
          <w:sz w:val="16"/>
          <w:szCs w:val="16"/>
          <w:lang w:val="en-US"/>
        </w:rPr>
        <w:t>the 1% and 5% levels respectively</w:t>
      </w:r>
    </w:p>
    <w:p w:rsidR="00A36EC6" w:rsidRPr="003F0A46" w:rsidRDefault="00A36EC6" w:rsidP="00B65294">
      <w:pPr>
        <w:spacing w:after="0"/>
        <w:rPr>
          <w:sz w:val="20"/>
          <w:szCs w:val="20"/>
          <w:lang w:val="en-US"/>
        </w:rPr>
      </w:pPr>
    </w:p>
    <w:p w:rsidR="009D5FE6" w:rsidRPr="003F0A46" w:rsidRDefault="00F52494" w:rsidP="00D81F6C">
      <w:pPr>
        <w:spacing w:after="0"/>
        <w:ind w:firstLine="720"/>
        <w:rPr>
          <w:sz w:val="20"/>
          <w:szCs w:val="20"/>
          <w:lang w:val="en-US"/>
        </w:rPr>
      </w:pPr>
      <w:r>
        <w:rPr>
          <w:sz w:val="20"/>
          <w:szCs w:val="20"/>
          <w:lang w:val="en-US"/>
        </w:rPr>
        <w:t xml:space="preserve">The last row in Table 1 </w:t>
      </w:r>
      <w:r w:rsidR="00790B3D" w:rsidRPr="003F0A46">
        <w:rPr>
          <w:sz w:val="20"/>
          <w:szCs w:val="20"/>
          <w:lang w:val="en-US"/>
        </w:rPr>
        <w:t>provides the ACAR for the arbitrage portfolio for each of the 8 holding periods, which is defined as the difference in the ACAR between the loser and winner portfolios. Although, we have positive returns for the loser portfolios for the holding periods from 2 to 52 weeks, the ACAR for the arbitrage portfolio is negat</w:t>
      </w:r>
      <w:r w:rsidR="00D81F6C">
        <w:rPr>
          <w:sz w:val="20"/>
          <w:szCs w:val="20"/>
          <w:lang w:val="en-US"/>
        </w:rPr>
        <w:t>ive which gives a sign of under</w:t>
      </w:r>
      <w:r w:rsidR="00790B3D" w:rsidRPr="003F0A46">
        <w:rPr>
          <w:sz w:val="20"/>
          <w:szCs w:val="20"/>
          <w:lang w:val="en-US"/>
        </w:rPr>
        <w:t xml:space="preserve">reaction. </w:t>
      </w:r>
      <w:r w:rsidR="000F6056" w:rsidRPr="003F0A46">
        <w:rPr>
          <w:sz w:val="20"/>
          <w:szCs w:val="20"/>
          <w:lang w:val="en-US"/>
        </w:rPr>
        <w:t>These negative returns</w:t>
      </w:r>
      <w:r w:rsidR="00790B3D" w:rsidRPr="003F0A46">
        <w:rPr>
          <w:sz w:val="20"/>
          <w:szCs w:val="20"/>
          <w:lang w:val="en-US"/>
        </w:rPr>
        <w:t xml:space="preserve"> for the arbitrage portfolio for all the holding periods</w:t>
      </w:r>
      <w:r w:rsidR="000F6056" w:rsidRPr="003F0A46">
        <w:rPr>
          <w:sz w:val="20"/>
          <w:szCs w:val="20"/>
          <w:lang w:val="en-US"/>
        </w:rPr>
        <w:t xml:space="preserve"> can be attributed to the price continuation </w:t>
      </w:r>
      <w:r w:rsidR="00E32D92" w:rsidRPr="003F0A46">
        <w:rPr>
          <w:sz w:val="20"/>
          <w:szCs w:val="20"/>
          <w:lang w:val="en-US"/>
        </w:rPr>
        <w:t xml:space="preserve">(momentum) </w:t>
      </w:r>
      <w:r w:rsidR="000F6056" w:rsidRPr="003F0A46">
        <w:rPr>
          <w:sz w:val="20"/>
          <w:szCs w:val="20"/>
          <w:lang w:val="en-US"/>
        </w:rPr>
        <w:t>of the winner portfolio. The result for the arbitrage portfolio is</w:t>
      </w:r>
      <w:r w:rsidR="006D6DA8" w:rsidRPr="003F0A46">
        <w:rPr>
          <w:sz w:val="20"/>
          <w:szCs w:val="20"/>
          <w:lang w:val="en-US"/>
        </w:rPr>
        <w:t xml:space="preserve"> </w:t>
      </w:r>
      <w:r w:rsidR="000F6056" w:rsidRPr="003F0A46">
        <w:rPr>
          <w:sz w:val="20"/>
          <w:szCs w:val="20"/>
          <w:lang w:val="en-US"/>
        </w:rPr>
        <w:t xml:space="preserve">significant at the </w:t>
      </w:r>
      <w:r w:rsidR="00D81F6C">
        <w:rPr>
          <w:sz w:val="20"/>
          <w:szCs w:val="20"/>
          <w:lang w:val="en-US"/>
        </w:rPr>
        <w:t>1% level</w:t>
      </w:r>
      <w:r w:rsidR="000F6056" w:rsidRPr="003F0A46">
        <w:rPr>
          <w:sz w:val="20"/>
          <w:szCs w:val="20"/>
          <w:lang w:val="en-US"/>
        </w:rPr>
        <w:t xml:space="preserve"> for the holding periods from 1 to 4 weeks</w:t>
      </w:r>
      <w:r w:rsidR="006D6DA8" w:rsidRPr="003F0A46">
        <w:rPr>
          <w:sz w:val="20"/>
          <w:szCs w:val="20"/>
          <w:lang w:val="en-US"/>
        </w:rPr>
        <w:t xml:space="preserve"> and for the holding period of 52 weeks</w:t>
      </w:r>
      <w:r w:rsidR="00BC6ECC" w:rsidRPr="003F0A46">
        <w:rPr>
          <w:sz w:val="20"/>
          <w:szCs w:val="20"/>
          <w:lang w:val="en-US"/>
        </w:rPr>
        <w:t xml:space="preserve"> it is significant at the</w:t>
      </w:r>
      <w:r w:rsidR="00D81F6C">
        <w:rPr>
          <w:sz w:val="20"/>
          <w:szCs w:val="20"/>
          <w:lang w:val="en-US"/>
        </w:rPr>
        <w:t xml:space="preserve"> 5%</w:t>
      </w:r>
      <w:r w:rsidR="006D6DA8" w:rsidRPr="003F0A46">
        <w:rPr>
          <w:sz w:val="20"/>
          <w:szCs w:val="20"/>
          <w:lang w:val="en-US"/>
        </w:rPr>
        <w:t>.</w:t>
      </w:r>
      <w:r w:rsidR="000F6056" w:rsidRPr="003F0A46">
        <w:rPr>
          <w:sz w:val="20"/>
          <w:szCs w:val="20"/>
          <w:lang w:val="en-US"/>
        </w:rPr>
        <w:t xml:space="preserve"> </w:t>
      </w:r>
      <w:r w:rsidR="006D6DA8" w:rsidRPr="003F0A46">
        <w:rPr>
          <w:sz w:val="20"/>
          <w:szCs w:val="20"/>
          <w:lang w:val="en-US"/>
        </w:rPr>
        <w:t xml:space="preserve">The </w:t>
      </w:r>
      <w:r w:rsidR="00D81F6C">
        <w:rPr>
          <w:sz w:val="20"/>
          <w:szCs w:val="20"/>
          <w:lang w:val="en-US"/>
        </w:rPr>
        <w:t xml:space="preserve">results for </w:t>
      </w:r>
      <w:r w:rsidR="006D6DA8" w:rsidRPr="003F0A46">
        <w:rPr>
          <w:sz w:val="20"/>
          <w:szCs w:val="20"/>
          <w:lang w:val="en-US"/>
        </w:rPr>
        <w:t xml:space="preserve">remaining </w:t>
      </w:r>
      <w:r w:rsidR="00522F26" w:rsidRPr="003F0A46">
        <w:rPr>
          <w:sz w:val="20"/>
          <w:szCs w:val="20"/>
          <w:lang w:val="en-US"/>
        </w:rPr>
        <w:t>holding period</w:t>
      </w:r>
      <w:r w:rsidR="006D6DA8" w:rsidRPr="003F0A46">
        <w:rPr>
          <w:sz w:val="20"/>
          <w:szCs w:val="20"/>
          <w:lang w:val="en-US"/>
        </w:rPr>
        <w:t xml:space="preserve">s of 12, 24 and </w:t>
      </w:r>
      <w:r w:rsidR="00522F26" w:rsidRPr="003F0A46">
        <w:rPr>
          <w:sz w:val="20"/>
          <w:szCs w:val="20"/>
          <w:lang w:val="en-US"/>
        </w:rPr>
        <w:t>36</w:t>
      </w:r>
      <w:r w:rsidR="000F6056" w:rsidRPr="003F0A46">
        <w:rPr>
          <w:sz w:val="20"/>
          <w:szCs w:val="20"/>
          <w:lang w:val="en-US"/>
        </w:rPr>
        <w:t xml:space="preserve"> weeks </w:t>
      </w:r>
      <w:r w:rsidR="00D81F6C">
        <w:rPr>
          <w:sz w:val="20"/>
          <w:szCs w:val="20"/>
          <w:lang w:val="en-US"/>
        </w:rPr>
        <w:t>are</w:t>
      </w:r>
      <w:r w:rsidR="006D6DA8" w:rsidRPr="003F0A46">
        <w:rPr>
          <w:sz w:val="20"/>
          <w:szCs w:val="20"/>
          <w:lang w:val="en-US"/>
        </w:rPr>
        <w:t xml:space="preserve"> not significant.</w:t>
      </w:r>
    </w:p>
    <w:p w:rsidR="008A70FC" w:rsidRPr="008A70FC" w:rsidRDefault="00F52494" w:rsidP="00241DAB">
      <w:pPr>
        <w:autoSpaceDE w:val="0"/>
        <w:autoSpaceDN w:val="0"/>
        <w:adjustRightInd w:val="0"/>
        <w:spacing w:after="0"/>
        <w:ind w:firstLine="720"/>
        <w:outlineLvl w:val="9"/>
        <w:rPr>
          <w:sz w:val="20"/>
          <w:szCs w:val="20"/>
          <w:lang w:val="en-US"/>
        </w:rPr>
      </w:pPr>
      <w:r>
        <w:rPr>
          <w:sz w:val="20"/>
          <w:szCs w:val="20"/>
          <w:lang w:val="en-US"/>
        </w:rPr>
        <w:t xml:space="preserve">To corroborate our results, </w:t>
      </w:r>
      <w:r w:rsidR="00887359" w:rsidRPr="003F0A46">
        <w:rPr>
          <w:sz w:val="20"/>
          <w:szCs w:val="20"/>
          <w:lang w:val="en-US"/>
        </w:rPr>
        <w:t>we apply Clare and Thoma</w:t>
      </w:r>
      <w:r w:rsidR="00AE2B65" w:rsidRPr="003F0A46">
        <w:rPr>
          <w:sz w:val="20"/>
          <w:szCs w:val="20"/>
          <w:lang w:val="en-US"/>
        </w:rPr>
        <w:t>s</w:t>
      </w:r>
      <w:r w:rsidR="00887359" w:rsidRPr="003F0A46">
        <w:rPr>
          <w:sz w:val="20"/>
          <w:szCs w:val="20"/>
          <w:lang w:val="en-US"/>
        </w:rPr>
        <w:t xml:space="preserve">’s </w:t>
      </w:r>
      <w:r>
        <w:rPr>
          <w:sz w:val="20"/>
          <w:szCs w:val="20"/>
          <w:lang w:val="en-US"/>
        </w:rPr>
        <w:t>[17]</w:t>
      </w:r>
      <w:r w:rsidR="00B40266" w:rsidRPr="003F0A46">
        <w:rPr>
          <w:sz w:val="20"/>
          <w:szCs w:val="20"/>
          <w:lang w:val="en-US"/>
        </w:rPr>
        <w:t xml:space="preserve"> methodology of testing the </w:t>
      </w:r>
      <w:r w:rsidR="00887359" w:rsidRPr="003F0A46">
        <w:rPr>
          <w:sz w:val="20"/>
          <w:szCs w:val="20"/>
          <w:lang w:val="en-US"/>
        </w:rPr>
        <w:t>ov</w:t>
      </w:r>
      <w:r w:rsidR="00492CF5" w:rsidRPr="003F0A46">
        <w:rPr>
          <w:sz w:val="20"/>
          <w:szCs w:val="20"/>
          <w:lang w:val="en-US"/>
        </w:rPr>
        <w:t>er</w:t>
      </w:r>
      <w:r w:rsidR="00B40266" w:rsidRPr="003F0A46">
        <w:rPr>
          <w:sz w:val="20"/>
          <w:szCs w:val="20"/>
          <w:lang w:val="en-US"/>
        </w:rPr>
        <w:t>/under-reaction</w:t>
      </w:r>
      <w:r w:rsidR="00492CF5" w:rsidRPr="003F0A46">
        <w:rPr>
          <w:sz w:val="20"/>
          <w:szCs w:val="20"/>
          <w:lang w:val="en-US"/>
        </w:rPr>
        <w:t xml:space="preserve"> </w:t>
      </w:r>
      <w:r>
        <w:rPr>
          <w:sz w:val="20"/>
          <w:szCs w:val="20"/>
          <w:lang w:val="en-US"/>
        </w:rPr>
        <w:t>presented in Equations (4) and (5)</w:t>
      </w:r>
      <w:r w:rsidR="00492CF5" w:rsidRPr="003F0A46">
        <w:rPr>
          <w:sz w:val="20"/>
          <w:szCs w:val="20"/>
          <w:lang w:val="en-US"/>
        </w:rPr>
        <w:t xml:space="preserve">. </w:t>
      </w:r>
      <w:r>
        <w:rPr>
          <w:sz w:val="20"/>
          <w:szCs w:val="20"/>
          <w:lang w:val="en-US"/>
        </w:rPr>
        <w:t xml:space="preserve">Results of the regression of the ACAR against a constant (Test1) and against the market (Test 2) are presented in Table 2. </w:t>
      </w:r>
      <w:r w:rsidR="008A70FC">
        <w:rPr>
          <w:sz w:val="20"/>
          <w:szCs w:val="20"/>
          <w:lang w:val="en-US"/>
        </w:rPr>
        <w:t xml:space="preserve">The </w:t>
      </w:r>
      <w:r w:rsidR="008A70FC" w:rsidRPr="003F0A46">
        <w:rPr>
          <w:sz w:val="20"/>
          <w:szCs w:val="20"/>
          <w:lang w:val="en-US"/>
        </w:rPr>
        <w:t xml:space="preserve">results confirm our original findings </w:t>
      </w:r>
      <w:r w:rsidR="008A70FC">
        <w:rPr>
          <w:sz w:val="20"/>
          <w:szCs w:val="20"/>
          <w:lang w:val="en-US"/>
        </w:rPr>
        <w:t>of</w:t>
      </w:r>
      <w:r w:rsidR="008A70FC" w:rsidRPr="003F0A46">
        <w:rPr>
          <w:sz w:val="20"/>
          <w:szCs w:val="20"/>
          <w:lang w:val="en-US"/>
        </w:rPr>
        <w:t xml:space="preserve"> evidence of significant under-reaction in the Egyptian Exchange for the holding periods of 1 to 4 weeks as being clear from the significant negative value for </w:t>
      </w:r>
      <m:oMath>
        <m:sSub>
          <m:sSubPr>
            <m:ctrlPr>
              <w:rPr>
                <w:rFonts w:ascii="Cambria Math" w:hAnsi="Cambria Math"/>
                <w:i/>
                <w:sz w:val="20"/>
                <w:szCs w:val="20"/>
                <w:lang w:val="en-US"/>
              </w:rPr>
            </m:ctrlPr>
          </m:sSubPr>
          <m:e>
            <m:r>
              <w:rPr>
                <w:rFonts w:ascii="Cambria Math" w:hAnsi="Cambria Math"/>
                <w:sz w:val="20"/>
                <w:szCs w:val="20"/>
                <w:lang w:val="en-US"/>
              </w:rPr>
              <m:t>α</m:t>
            </m:r>
          </m:e>
          <m:sub>
            <m:r>
              <w:rPr>
                <w:rFonts w:ascii="Cambria Math"/>
                <w:sz w:val="20"/>
                <w:szCs w:val="20"/>
                <w:lang w:val="en-US"/>
              </w:rPr>
              <m:t>1</m:t>
            </m:r>
          </m:sub>
        </m:sSub>
      </m:oMath>
      <w:r w:rsidR="008A70FC" w:rsidRPr="003F0A46">
        <w:rPr>
          <w:rFonts w:eastAsiaTheme="minorEastAsia"/>
          <w:sz w:val="20"/>
          <w:szCs w:val="20"/>
          <w:lang w:val="en-US"/>
        </w:rPr>
        <w:t>.</w:t>
      </w:r>
      <w:r w:rsidR="008A70FC">
        <w:rPr>
          <w:sz w:val="20"/>
          <w:szCs w:val="20"/>
          <w:lang w:val="en-US"/>
        </w:rPr>
        <w:t xml:space="preserve"> </w:t>
      </w:r>
      <w:r w:rsidR="008A70FC" w:rsidRPr="003F0A46">
        <w:rPr>
          <w:sz w:val="20"/>
          <w:szCs w:val="20"/>
          <w:lang w:val="en-US"/>
        </w:rPr>
        <w:t xml:space="preserve">Controlling for risk, using Test 2, the </w:t>
      </w:r>
      <w:r w:rsidR="008A70FC" w:rsidRPr="003F0A46">
        <w:rPr>
          <w:rFonts w:eastAsiaTheme="minorEastAsia"/>
          <w:sz w:val="20"/>
          <w:szCs w:val="20"/>
          <w:lang w:val="en-US"/>
        </w:rPr>
        <w:t xml:space="preserve">significantly negative value for </w:t>
      </w:r>
      <m:oMath>
        <m:sSub>
          <m:sSubPr>
            <m:ctrlPr>
              <w:rPr>
                <w:rFonts w:ascii="Cambria Math" w:eastAsiaTheme="minorEastAsia" w:hAnsi="Cambria Math"/>
                <w:i/>
                <w:sz w:val="20"/>
                <w:szCs w:val="20"/>
                <w:lang w:val="en-US"/>
              </w:rPr>
            </m:ctrlPr>
          </m:sSubPr>
          <m:e>
            <m:r>
              <w:rPr>
                <w:rFonts w:ascii="Cambria Math" w:eastAsiaTheme="minorEastAsia" w:hAnsi="Cambria Math"/>
                <w:sz w:val="20"/>
                <w:szCs w:val="20"/>
                <w:lang w:val="en-US"/>
              </w:rPr>
              <m:t>α</m:t>
            </m:r>
          </m:e>
          <m:sub>
            <m:r>
              <w:rPr>
                <w:rFonts w:ascii="Cambria Math" w:eastAsiaTheme="minorEastAsia"/>
                <w:sz w:val="20"/>
                <w:szCs w:val="20"/>
                <w:lang w:val="en-US"/>
              </w:rPr>
              <m:t>2</m:t>
            </m:r>
          </m:sub>
        </m:sSub>
      </m:oMath>
      <w:r w:rsidR="008A70FC" w:rsidRPr="003F0A46">
        <w:rPr>
          <w:rFonts w:eastAsiaTheme="minorEastAsia"/>
          <w:sz w:val="20"/>
          <w:szCs w:val="20"/>
          <w:lang w:val="en-US"/>
        </w:rPr>
        <w:t xml:space="preserve"> can be seen as confirmation of the under-reaction hypothesis. The significantly positive value for </w:t>
      </w:r>
      <m:oMath>
        <m:r>
          <w:rPr>
            <w:rFonts w:ascii="Cambria Math" w:eastAsiaTheme="minorEastAsia" w:hAnsi="Cambria Math"/>
            <w:sz w:val="20"/>
            <w:szCs w:val="20"/>
            <w:lang w:val="en-US"/>
          </w:rPr>
          <m:t>β</m:t>
        </m:r>
      </m:oMath>
      <w:r w:rsidR="008A70FC" w:rsidRPr="003F0A46">
        <w:rPr>
          <w:rFonts w:eastAsiaTheme="minorEastAsia"/>
          <w:sz w:val="20"/>
          <w:szCs w:val="20"/>
          <w:lang w:val="en-US"/>
        </w:rPr>
        <w:t xml:space="preserve">  for the holding period of 4 weeks means that losers may embody more systematic risk than winners. </w:t>
      </w:r>
    </w:p>
    <w:p w:rsidR="00887359" w:rsidRDefault="00887359" w:rsidP="008A70FC">
      <w:pPr>
        <w:spacing w:after="0"/>
        <w:ind w:firstLine="720"/>
        <w:rPr>
          <w:sz w:val="20"/>
          <w:szCs w:val="20"/>
          <w:lang w:val="en-US"/>
        </w:rPr>
      </w:pPr>
    </w:p>
    <w:p w:rsidR="00D81F6C" w:rsidRDefault="00D81F6C" w:rsidP="008A70FC">
      <w:pPr>
        <w:spacing w:after="0"/>
        <w:ind w:firstLine="720"/>
        <w:rPr>
          <w:sz w:val="20"/>
          <w:szCs w:val="20"/>
          <w:lang w:val="en-US"/>
        </w:rPr>
      </w:pPr>
    </w:p>
    <w:p w:rsidR="00D81F6C" w:rsidRDefault="00D81F6C" w:rsidP="008A70FC">
      <w:pPr>
        <w:spacing w:after="0"/>
        <w:ind w:firstLine="720"/>
        <w:rPr>
          <w:sz w:val="20"/>
          <w:szCs w:val="20"/>
          <w:lang w:val="en-US"/>
        </w:rPr>
      </w:pPr>
    </w:p>
    <w:p w:rsidR="00D353E9" w:rsidRPr="003F0A46" w:rsidRDefault="00D353E9" w:rsidP="00B65294">
      <w:pPr>
        <w:spacing w:after="0"/>
        <w:rPr>
          <w:sz w:val="20"/>
          <w:szCs w:val="20"/>
          <w:lang w:val="en-US"/>
        </w:rPr>
      </w:pPr>
    </w:p>
    <w:p w:rsidR="00F52494" w:rsidRPr="00F52494" w:rsidRDefault="00F52494" w:rsidP="00F52494">
      <w:pPr>
        <w:pStyle w:val="Caption"/>
        <w:keepNext/>
        <w:spacing w:after="0"/>
        <w:rPr>
          <w:color w:val="auto"/>
          <w:sz w:val="20"/>
          <w:szCs w:val="20"/>
        </w:rPr>
      </w:pPr>
      <w:r w:rsidRPr="00F52494">
        <w:rPr>
          <w:color w:val="auto"/>
          <w:sz w:val="20"/>
          <w:szCs w:val="20"/>
        </w:rPr>
        <w:lastRenderedPageBreak/>
        <w:t xml:space="preserve">Table </w:t>
      </w:r>
      <w:r w:rsidR="00DD04B4" w:rsidRPr="00F52494">
        <w:rPr>
          <w:color w:val="auto"/>
          <w:sz w:val="20"/>
          <w:szCs w:val="20"/>
        </w:rPr>
        <w:fldChar w:fldCharType="begin"/>
      </w:r>
      <w:r w:rsidRPr="00F52494">
        <w:rPr>
          <w:color w:val="auto"/>
          <w:sz w:val="20"/>
          <w:szCs w:val="20"/>
        </w:rPr>
        <w:instrText xml:space="preserve"> SEQ Table \* ARABIC </w:instrText>
      </w:r>
      <w:r w:rsidR="00DD04B4" w:rsidRPr="00F52494">
        <w:rPr>
          <w:color w:val="auto"/>
          <w:sz w:val="20"/>
          <w:szCs w:val="20"/>
        </w:rPr>
        <w:fldChar w:fldCharType="separate"/>
      </w:r>
      <w:r w:rsidR="0026407B">
        <w:rPr>
          <w:noProof/>
          <w:color w:val="auto"/>
          <w:sz w:val="20"/>
          <w:szCs w:val="20"/>
        </w:rPr>
        <w:t>2</w:t>
      </w:r>
      <w:r w:rsidR="00DD04B4" w:rsidRPr="00F52494">
        <w:rPr>
          <w:color w:val="auto"/>
          <w:sz w:val="20"/>
          <w:szCs w:val="20"/>
        </w:rPr>
        <w:fldChar w:fldCharType="end"/>
      </w:r>
      <w:r w:rsidRPr="00F52494">
        <w:rPr>
          <w:color w:val="auto"/>
          <w:sz w:val="20"/>
          <w:szCs w:val="20"/>
          <w:lang w:val="en-US"/>
        </w:rPr>
        <w:t xml:space="preserve"> </w:t>
      </w:r>
      <w:r>
        <w:rPr>
          <w:color w:val="auto"/>
          <w:sz w:val="20"/>
          <w:szCs w:val="20"/>
          <w:lang w:val="en-US"/>
        </w:rPr>
        <w:t xml:space="preserve"> Regression results for t</w:t>
      </w:r>
      <w:r w:rsidRPr="00F52494">
        <w:rPr>
          <w:color w:val="auto"/>
          <w:sz w:val="20"/>
          <w:szCs w:val="20"/>
          <w:lang w:val="en-US"/>
        </w:rPr>
        <w:t>esting the over/under-reaction hypothesis</w:t>
      </w:r>
      <w:r>
        <w:rPr>
          <w:color w:val="auto"/>
          <w:sz w:val="20"/>
          <w:szCs w:val="20"/>
          <w:lang w:val="en-US"/>
        </w:rPr>
        <w:t xml:space="preserve">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1"/>
        <w:gridCol w:w="1113"/>
        <w:gridCol w:w="933"/>
        <w:gridCol w:w="933"/>
        <w:gridCol w:w="933"/>
        <w:gridCol w:w="933"/>
        <w:gridCol w:w="900"/>
        <w:gridCol w:w="900"/>
        <w:gridCol w:w="900"/>
        <w:gridCol w:w="900"/>
      </w:tblGrid>
      <w:tr w:rsidR="00C066AB" w:rsidRPr="003F0A46" w:rsidTr="00F52494">
        <w:trPr>
          <w:trHeight w:val="320"/>
          <w:jc w:val="center"/>
        </w:trPr>
        <w:tc>
          <w:tcPr>
            <w:tcW w:w="1172" w:type="pct"/>
            <w:gridSpan w:val="2"/>
            <w:vMerge w:val="restart"/>
            <w:tcBorders>
              <w:top w:val="single" w:sz="4" w:space="0" w:color="auto"/>
            </w:tcBorders>
            <w:noWrap/>
            <w:vAlign w:val="center"/>
            <w:hideMark/>
          </w:tcPr>
          <w:p w:rsidR="00C066AB" w:rsidRPr="003F0A46" w:rsidRDefault="00C066AB" w:rsidP="00F52494">
            <w:pPr>
              <w:jc w:val="center"/>
              <w:outlineLvl w:val="9"/>
              <w:rPr>
                <w:rFonts w:eastAsia="Times New Roman"/>
                <w:color w:val="000000"/>
                <w:sz w:val="20"/>
                <w:szCs w:val="20"/>
                <w:lang w:val="en-US" w:eastAsia="en-CA"/>
              </w:rPr>
            </w:pPr>
          </w:p>
          <w:p w:rsidR="00C066AB" w:rsidRPr="003F0A46" w:rsidRDefault="00C066AB" w:rsidP="00B65294">
            <w:pPr>
              <w:jc w:val="center"/>
              <w:outlineLvl w:val="9"/>
              <w:rPr>
                <w:rFonts w:eastAsia="Times New Roman"/>
                <w:color w:val="000000"/>
                <w:sz w:val="20"/>
                <w:szCs w:val="20"/>
                <w:lang w:val="en-US" w:eastAsia="en-CA"/>
              </w:rPr>
            </w:pPr>
          </w:p>
          <w:p w:rsidR="00C066AB" w:rsidRPr="003F0A46" w:rsidRDefault="00C066AB" w:rsidP="00B65294">
            <w:pPr>
              <w:jc w:val="center"/>
              <w:rPr>
                <w:rFonts w:eastAsia="Times New Roman"/>
                <w:color w:val="000000"/>
                <w:sz w:val="20"/>
                <w:szCs w:val="20"/>
                <w:lang w:val="en-US" w:eastAsia="en-CA"/>
              </w:rPr>
            </w:pPr>
          </w:p>
        </w:tc>
        <w:tc>
          <w:tcPr>
            <w:tcW w:w="3828" w:type="pct"/>
            <w:gridSpan w:val="8"/>
            <w:tcBorders>
              <w:top w:val="single" w:sz="4" w:space="0" w:color="auto"/>
            </w:tcBorders>
            <w:noWrap/>
            <w:vAlign w:val="center"/>
            <w:hideMark/>
          </w:tcPr>
          <w:p w:rsidR="00C066AB" w:rsidRPr="003F0A46" w:rsidRDefault="00C066AB" w:rsidP="00B65294">
            <w:pPr>
              <w:jc w:val="center"/>
              <w:outlineLvl w:val="9"/>
              <w:rPr>
                <w:rFonts w:eastAsia="Times New Roman"/>
                <w:b/>
                <w:bCs/>
                <w:color w:val="000000"/>
                <w:sz w:val="20"/>
                <w:szCs w:val="20"/>
                <w:lang w:val="en-US" w:eastAsia="en-CA"/>
              </w:rPr>
            </w:pPr>
            <w:r w:rsidRPr="003F0A46">
              <w:rPr>
                <w:rFonts w:eastAsia="Times New Roman"/>
                <w:b/>
                <w:bCs/>
                <w:color w:val="000000"/>
                <w:sz w:val="20"/>
                <w:szCs w:val="20"/>
                <w:lang w:val="en-US" w:eastAsia="en-CA"/>
              </w:rPr>
              <w:t>Holding Period</w:t>
            </w:r>
            <w:r w:rsidR="003C63A3" w:rsidRPr="003F0A46">
              <w:rPr>
                <w:rFonts w:eastAsia="Times New Roman"/>
                <w:b/>
                <w:bCs/>
                <w:color w:val="000000"/>
                <w:sz w:val="20"/>
                <w:szCs w:val="20"/>
                <w:lang w:val="en-US" w:eastAsia="en-CA"/>
              </w:rPr>
              <w:t xml:space="preserve"> (Weeks)</w:t>
            </w:r>
          </w:p>
        </w:tc>
      </w:tr>
      <w:tr w:rsidR="00C066AB" w:rsidRPr="003F0A46" w:rsidTr="00F52494">
        <w:trPr>
          <w:trHeight w:val="300"/>
          <w:jc w:val="center"/>
        </w:trPr>
        <w:tc>
          <w:tcPr>
            <w:tcW w:w="1172" w:type="pct"/>
            <w:gridSpan w:val="2"/>
            <w:vMerge/>
            <w:tcBorders>
              <w:bottom w:val="single" w:sz="4" w:space="0" w:color="auto"/>
            </w:tcBorders>
            <w:noWrap/>
            <w:vAlign w:val="center"/>
            <w:hideMark/>
          </w:tcPr>
          <w:p w:rsidR="00C066AB" w:rsidRPr="003F0A46" w:rsidRDefault="00C066AB" w:rsidP="00B65294">
            <w:pPr>
              <w:jc w:val="center"/>
              <w:outlineLvl w:val="9"/>
              <w:rPr>
                <w:rFonts w:eastAsia="Times New Roman"/>
                <w:color w:val="000000"/>
                <w:sz w:val="20"/>
                <w:szCs w:val="20"/>
                <w:lang w:val="en-US" w:eastAsia="en-CA"/>
              </w:rPr>
            </w:pPr>
          </w:p>
        </w:tc>
        <w:tc>
          <w:tcPr>
            <w:tcW w:w="487" w:type="pct"/>
            <w:tcBorders>
              <w:bottom w:val="single" w:sz="4" w:space="0" w:color="auto"/>
            </w:tcBorders>
            <w:noWrap/>
            <w:vAlign w:val="center"/>
            <w:hideMark/>
          </w:tcPr>
          <w:p w:rsidR="00C066AB" w:rsidRPr="003F0A46" w:rsidRDefault="00C066AB" w:rsidP="00B65294">
            <w:pPr>
              <w:jc w:val="center"/>
              <w:outlineLvl w:val="9"/>
              <w:rPr>
                <w:rFonts w:eastAsia="Times New Roman"/>
                <w:color w:val="000000"/>
                <w:sz w:val="20"/>
                <w:szCs w:val="20"/>
                <w:lang w:val="en-US" w:eastAsia="en-CA"/>
              </w:rPr>
            </w:pPr>
            <w:r w:rsidRPr="003F0A46">
              <w:rPr>
                <w:rFonts w:eastAsia="Times New Roman"/>
                <w:color w:val="000000"/>
                <w:sz w:val="20"/>
                <w:szCs w:val="20"/>
                <w:lang w:val="en-US" w:eastAsia="en-CA"/>
              </w:rPr>
              <w:t>1</w:t>
            </w:r>
          </w:p>
        </w:tc>
        <w:tc>
          <w:tcPr>
            <w:tcW w:w="487" w:type="pct"/>
            <w:tcBorders>
              <w:bottom w:val="single" w:sz="4" w:space="0" w:color="auto"/>
            </w:tcBorders>
            <w:noWrap/>
            <w:vAlign w:val="center"/>
            <w:hideMark/>
          </w:tcPr>
          <w:p w:rsidR="00C066AB" w:rsidRPr="003F0A46" w:rsidRDefault="00C066AB" w:rsidP="00B65294">
            <w:pPr>
              <w:jc w:val="center"/>
              <w:outlineLvl w:val="9"/>
              <w:rPr>
                <w:rFonts w:eastAsia="Times New Roman"/>
                <w:color w:val="000000"/>
                <w:sz w:val="20"/>
                <w:szCs w:val="20"/>
                <w:lang w:val="en-US" w:eastAsia="en-CA"/>
              </w:rPr>
            </w:pPr>
            <w:r w:rsidRPr="003F0A46">
              <w:rPr>
                <w:rFonts w:eastAsia="Times New Roman"/>
                <w:color w:val="000000"/>
                <w:sz w:val="20"/>
                <w:szCs w:val="20"/>
                <w:lang w:val="en-US" w:eastAsia="en-CA"/>
              </w:rPr>
              <w:t>2</w:t>
            </w:r>
          </w:p>
        </w:tc>
        <w:tc>
          <w:tcPr>
            <w:tcW w:w="487" w:type="pct"/>
            <w:tcBorders>
              <w:bottom w:val="single" w:sz="4" w:space="0" w:color="auto"/>
            </w:tcBorders>
            <w:noWrap/>
            <w:vAlign w:val="center"/>
            <w:hideMark/>
          </w:tcPr>
          <w:p w:rsidR="00C066AB" w:rsidRPr="003F0A46" w:rsidRDefault="00C066AB" w:rsidP="00B65294">
            <w:pPr>
              <w:jc w:val="center"/>
              <w:outlineLvl w:val="9"/>
              <w:rPr>
                <w:rFonts w:eastAsia="Times New Roman"/>
                <w:color w:val="000000"/>
                <w:sz w:val="20"/>
                <w:szCs w:val="20"/>
                <w:lang w:val="en-US" w:eastAsia="en-CA"/>
              </w:rPr>
            </w:pPr>
            <w:r w:rsidRPr="003F0A46">
              <w:rPr>
                <w:rFonts w:eastAsia="Times New Roman"/>
                <w:color w:val="000000"/>
                <w:sz w:val="20"/>
                <w:szCs w:val="20"/>
                <w:lang w:val="en-US" w:eastAsia="en-CA"/>
              </w:rPr>
              <w:t>3</w:t>
            </w:r>
          </w:p>
        </w:tc>
        <w:tc>
          <w:tcPr>
            <w:tcW w:w="487" w:type="pct"/>
            <w:tcBorders>
              <w:bottom w:val="single" w:sz="4" w:space="0" w:color="auto"/>
            </w:tcBorders>
            <w:noWrap/>
            <w:vAlign w:val="center"/>
            <w:hideMark/>
          </w:tcPr>
          <w:p w:rsidR="00C066AB" w:rsidRPr="003F0A46" w:rsidRDefault="00C066AB" w:rsidP="00B65294">
            <w:pPr>
              <w:jc w:val="center"/>
              <w:outlineLvl w:val="9"/>
              <w:rPr>
                <w:rFonts w:eastAsia="Times New Roman"/>
                <w:color w:val="000000"/>
                <w:sz w:val="20"/>
                <w:szCs w:val="20"/>
                <w:lang w:val="en-US" w:eastAsia="en-CA"/>
              </w:rPr>
            </w:pPr>
            <w:r w:rsidRPr="003F0A46">
              <w:rPr>
                <w:rFonts w:eastAsia="Times New Roman"/>
                <w:color w:val="000000"/>
                <w:sz w:val="20"/>
                <w:szCs w:val="20"/>
                <w:lang w:val="en-US" w:eastAsia="en-CA"/>
              </w:rPr>
              <w:t>4</w:t>
            </w:r>
          </w:p>
        </w:tc>
        <w:tc>
          <w:tcPr>
            <w:tcW w:w="470" w:type="pct"/>
            <w:tcBorders>
              <w:bottom w:val="single" w:sz="4" w:space="0" w:color="auto"/>
            </w:tcBorders>
            <w:noWrap/>
            <w:vAlign w:val="center"/>
            <w:hideMark/>
          </w:tcPr>
          <w:p w:rsidR="00C066AB" w:rsidRPr="003F0A46" w:rsidRDefault="00C066AB" w:rsidP="00B65294">
            <w:pPr>
              <w:jc w:val="center"/>
              <w:outlineLvl w:val="9"/>
              <w:rPr>
                <w:rFonts w:eastAsia="Times New Roman"/>
                <w:color w:val="000000"/>
                <w:sz w:val="20"/>
                <w:szCs w:val="20"/>
                <w:lang w:val="en-US" w:eastAsia="en-CA"/>
              </w:rPr>
            </w:pPr>
            <w:r w:rsidRPr="003F0A46">
              <w:rPr>
                <w:rFonts w:eastAsia="Times New Roman"/>
                <w:color w:val="000000"/>
                <w:sz w:val="20"/>
                <w:szCs w:val="20"/>
                <w:lang w:val="en-US" w:eastAsia="en-CA"/>
              </w:rPr>
              <w:t>12</w:t>
            </w:r>
          </w:p>
        </w:tc>
        <w:tc>
          <w:tcPr>
            <w:tcW w:w="470" w:type="pct"/>
            <w:tcBorders>
              <w:bottom w:val="single" w:sz="4" w:space="0" w:color="auto"/>
            </w:tcBorders>
            <w:noWrap/>
            <w:vAlign w:val="center"/>
            <w:hideMark/>
          </w:tcPr>
          <w:p w:rsidR="00C066AB" w:rsidRPr="003F0A46" w:rsidRDefault="00C066AB" w:rsidP="00B65294">
            <w:pPr>
              <w:jc w:val="center"/>
              <w:outlineLvl w:val="9"/>
              <w:rPr>
                <w:rFonts w:eastAsia="Times New Roman"/>
                <w:color w:val="000000"/>
                <w:sz w:val="20"/>
                <w:szCs w:val="20"/>
                <w:lang w:val="en-US" w:eastAsia="en-CA"/>
              </w:rPr>
            </w:pPr>
            <w:r w:rsidRPr="003F0A46">
              <w:rPr>
                <w:rFonts w:eastAsia="Times New Roman"/>
                <w:color w:val="000000"/>
                <w:sz w:val="20"/>
                <w:szCs w:val="20"/>
                <w:lang w:val="en-US" w:eastAsia="en-CA"/>
              </w:rPr>
              <w:t>24</w:t>
            </w:r>
          </w:p>
        </w:tc>
        <w:tc>
          <w:tcPr>
            <w:tcW w:w="470" w:type="pct"/>
            <w:tcBorders>
              <w:bottom w:val="single" w:sz="4" w:space="0" w:color="auto"/>
            </w:tcBorders>
            <w:noWrap/>
            <w:vAlign w:val="center"/>
            <w:hideMark/>
          </w:tcPr>
          <w:p w:rsidR="00C066AB" w:rsidRPr="003F0A46" w:rsidRDefault="00C066AB" w:rsidP="00B65294">
            <w:pPr>
              <w:jc w:val="center"/>
              <w:outlineLvl w:val="9"/>
              <w:rPr>
                <w:rFonts w:eastAsia="Times New Roman"/>
                <w:color w:val="000000"/>
                <w:sz w:val="20"/>
                <w:szCs w:val="20"/>
                <w:lang w:val="en-US" w:eastAsia="en-CA"/>
              </w:rPr>
            </w:pPr>
            <w:r w:rsidRPr="003F0A46">
              <w:rPr>
                <w:rFonts w:eastAsia="Times New Roman"/>
                <w:color w:val="000000"/>
                <w:sz w:val="20"/>
                <w:szCs w:val="20"/>
                <w:lang w:val="en-US" w:eastAsia="en-CA"/>
              </w:rPr>
              <w:t>36</w:t>
            </w:r>
          </w:p>
        </w:tc>
        <w:tc>
          <w:tcPr>
            <w:tcW w:w="470" w:type="pct"/>
            <w:tcBorders>
              <w:bottom w:val="single" w:sz="4" w:space="0" w:color="auto"/>
            </w:tcBorders>
            <w:noWrap/>
            <w:vAlign w:val="center"/>
            <w:hideMark/>
          </w:tcPr>
          <w:p w:rsidR="00C066AB" w:rsidRPr="003F0A46" w:rsidRDefault="00C066AB" w:rsidP="00B65294">
            <w:pPr>
              <w:jc w:val="center"/>
              <w:outlineLvl w:val="9"/>
              <w:rPr>
                <w:rFonts w:eastAsia="Times New Roman"/>
                <w:color w:val="000000"/>
                <w:sz w:val="20"/>
                <w:szCs w:val="20"/>
                <w:lang w:val="en-US" w:eastAsia="en-CA"/>
              </w:rPr>
            </w:pPr>
            <w:r w:rsidRPr="003F0A46">
              <w:rPr>
                <w:rFonts w:eastAsia="Times New Roman"/>
                <w:color w:val="000000"/>
                <w:sz w:val="20"/>
                <w:szCs w:val="20"/>
                <w:lang w:val="en-US" w:eastAsia="en-CA"/>
              </w:rPr>
              <w:t>52</w:t>
            </w:r>
          </w:p>
        </w:tc>
      </w:tr>
      <w:tr w:rsidR="00C066AB" w:rsidRPr="003F0A46" w:rsidTr="00F52494">
        <w:trPr>
          <w:trHeight w:val="300"/>
          <w:jc w:val="center"/>
        </w:trPr>
        <w:tc>
          <w:tcPr>
            <w:tcW w:w="1172" w:type="pct"/>
            <w:gridSpan w:val="2"/>
            <w:tcBorders>
              <w:top w:val="single" w:sz="4" w:space="0" w:color="auto"/>
            </w:tcBorders>
            <w:noWrap/>
            <w:vAlign w:val="center"/>
            <w:hideMark/>
          </w:tcPr>
          <w:p w:rsidR="00C066AB" w:rsidRPr="003F0A46" w:rsidRDefault="00C066AB" w:rsidP="00B65294">
            <w:pPr>
              <w:jc w:val="center"/>
              <w:outlineLvl w:val="9"/>
              <w:rPr>
                <w:rFonts w:eastAsia="Times New Roman"/>
                <w:color w:val="000000"/>
                <w:sz w:val="20"/>
                <w:szCs w:val="20"/>
                <w:lang w:val="en-US" w:eastAsia="en-CA"/>
              </w:rPr>
            </w:pPr>
            <w:r w:rsidRPr="003F0A46">
              <w:rPr>
                <w:rFonts w:eastAsia="Times New Roman"/>
                <w:color w:val="000000"/>
                <w:sz w:val="20"/>
                <w:szCs w:val="20"/>
                <w:lang w:val="en-US" w:eastAsia="en-CA"/>
              </w:rPr>
              <w:t>ACAR</w:t>
            </w:r>
            <w:r w:rsidRPr="003F0A46">
              <w:rPr>
                <w:rFonts w:eastAsia="Times New Roman"/>
                <w:color w:val="000000"/>
                <w:sz w:val="20"/>
                <w:szCs w:val="20"/>
                <w:vertAlign w:val="subscript"/>
                <w:lang w:val="en-US" w:eastAsia="en-CA"/>
              </w:rPr>
              <w:t>W</w:t>
            </w:r>
            <w:r w:rsidR="00F52494">
              <w:rPr>
                <w:rFonts w:eastAsia="Times New Roman"/>
                <w:color w:val="000000"/>
                <w:sz w:val="20"/>
                <w:szCs w:val="20"/>
                <w:vertAlign w:val="subscript"/>
                <w:lang w:val="en-US" w:eastAsia="en-CA"/>
              </w:rPr>
              <w:t xml:space="preserve"> </w:t>
            </w:r>
            <w:r w:rsidR="00F52494" w:rsidRPr="00F52494">
              <w:rPr>
                <w:rFonts w:eastAsia="Times New Roman"/>
                <w:color w:val="000000"/>
                <w:sz w:val="20"/>
                <w:szCs w:val="20"/>
                <w:lang w:val="en-US" w:eastAsia="en-CA"/>
              </w:rPr>
              <w:t>(%)</w:t>
            </w:r>
          </w:p>
        </w:tc>
        <w:tc>
          <w:tcPr>
            <w:tcW w:w="487" w:type="pct"/>
            <w:tcBorders>
              <w:top w:val="single" w:sz="4" w:space="0" w:color="auto"/>
            </w:tcBorders>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0.404</w:t>
            </w:r>
          </w:p>
        </w:tc>
        <w:tc>
          <w:tcPr>
            <w:tcW w:w="487" w:type="pct"/>
            <w:tcBorders>
              <w:top w:val="single" w:sz="4" w:space="0" w:color="auto"/>
            </w:tcBorders>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0.616</w:t>
            </w:r>
          </w:p>
        </w:tc>
        <w:tc>
          <w:tcPr>
            <w:tcW w:w="487" w:type="pct"/>
            <w:tcBorders>
              <w:top w:val="single" w:sz="4" w:space="0" w:color="auto"/>
            </w:tcBorders>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0.858</w:t>
            </w:r>
          </w:p>
        </w:tc>
        <w:tc>
          <w:tcPr>
            <w:tcW w:w="487" w:type="pct"/>
            <w:tcBorders>
              <w:top w:val="single" w:sz="4" w:space="0" w:color="auto"/>
            </w:tcBorders>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0.884</w:t>
            </w:r>
          </w:p>
        </w:tc>
        <w:tc>
          <w:tcPr>
            <w:tcW w:w="470" w:type="pct"/>
            <w:tcBorders>
              <w:top w:val="single" w:sz="4" w:space="0" w:color="auto"/>
            </w:tcBorders>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1.367</w:t>
            </w:r>
          </w:p>
        </w:tc>
        <w:tc>
          <w:tcPr>
            <w:tcW w:w="470" w:type="pct"/>
            <w:tcBorders>
              <w:top w:val="single" w:sz="4" w:space="0" w:color="auto"/>
            </w:tcBorders>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1.441</w:t>
            </w:r>
          </w:p>
        </w:tc>
        <w:tc>
          <w:tcPr>
            <w:tcW w:w="470" w:type="pct"/>
            <w:tcBorders>
              <w:top w:val="single" w:sz="4" w:space="0" w:color="auto"/>
            </w:tcBorders>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2.322</w:t>
            </w:r>
          </w:p>
        </w:tc>
        <w:tc>
          <w:tcPr>
            <w:tcW w:w="470" w:type="pct"/>
            <w:tcBorders>
              <w:top w:val="single" w:sz="4" w:space="0" w:color="auto"/>
            </w:tcBorders>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3.443</w:t>
            </w:r>
          </w:p>
        </w:tc>
      </w:tr>
      <w:tr w:rsidR="00C066AB" w:rsidRPr="003F0A46" w:rsidTr="00F52494">
        <w:trPr>
          <w:trHeight w:val="300"/>
          <w:jc w:val="center"/>
        </w:trPr>
        <w:tc>
          <w:tcPr>
            <w:tcW w:w="1172" w:type="pct"/>
            <w:gridSpan w:val="2"/>
            <w:noWrap/>
            <w:vAlign w:val="center"/>
            <w:hideMark/>
          </w:tcPr>
          <w:p w:rsidR="00C066AB" w:rsidRPr="003F0A46" w:rsidRDefault="00C066AB" w:rsidP="00B65294">
            <w:pPr>
              <w:jc w:val="center"/>
              <w:outlineLvl w:val="9"/>
              <w:rPr>
                <w:rFonts w:eastAsia="Times New Roman"/>
                <w:color w:val="000000"/>
                <w:sz w:val="20"/>
                <w:szCs w:val="20"/>
                <w:lang w:val="en-US" w:eastAsia="en-CA"/>
              </w:rPr>
            </w:pPr>
            <w:r w:rsidRPr="003F0A46">
              <w:rPr>
                <w:rFonts w:eastAsia="Times New Roman"/>
                <w:color w:val="000000"/>
                <w:sz w:val="20"/>
                <w:szCs w:val="20"/>
                <w:lang w:val="en-US" w:eastAsia="en-CA"/>
              </w:rPr>
              <w:t>ACAR</w:t>
            </w:r>
            <w:r w:rsidRPr="003F0A46">
              <w:rPr>
                <w:rFonts w:eastAsia="Times New Roman"/>
                <w:color w:val="000000"/>
                <w:sz w:val="20"/>
                <w:szCs w:val="20"/>
                <w:vertAlign w:val="subscript"/>
                <w:lang w:val="en-US" w:eastAsia="en-CA"/>
              </w:rPr>
              <w:t>L</w:t>
            </w:r>
            <w:r w:rsidR="00F52494">
              <w:rPr>
                <w:rFonts w:eastAsia="Times New Roman"/>
                <w:color w:val="000000"/>
                <w:sz w:val="20"/>
                <w:szCs w:val="20"/>
                <w:vertAlign w:val="subscript"/>
                <w:lang w:val="en-US" w:eastAsia="en-CA"/>
              </w:rPr>
              <w:t xml:space="preserve"> </w:t>
            </w:r>
            <w:r w:rsidR="00F52494" w:rsidRPr="00F52494">
              <w:rPr>
                <w:rFonts w:eastAsia="Times New Roman"/>
                <w:color w:val="000000"/>
                <w:sz w:val="20"/>
                <w:szCs w:val="20"/>
                <w:lang w:val="en-US" w:eastAsia="en-CA"/>
              </w:rPr>
              <w:t>(%)</w:t>
            </w:r>
          </w:p>
        </w:tc>
        <w:tc>
          <w:tcPr>
            <w:tcW w:w="487" w:type="pct"/>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-0.016</w:t>
            </w:r>
          </w:p>
        </w:tc>
        <w:tc>
          <w:tcPr>
            <w:tcW w:w="487" w:type="pct"/>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0.044</w:t>
            </w:r>
          </w:p>
        </w:tc>
        <w:tc>
          <w:tcPr>
            <w:tcW w:w="487" w:type="pct"/>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0.007</w:t>
            </w:r>
          </w:p>
        </w:tc>
        <w:tc>
          <w:tcPr>
            <w:tcW w:w="487" w:type="pct"/>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0.053</w:t>
            </w:r>
          </w:p>
        </w:tc>
        <w:tc>
          <w:tcPr>
            <w:tcW w:w="470" w:type="pct"/>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0.522</w:t>
            </w:r>
          </w:p>
        </w:tc>
        <w:tc>
          <w:tcPr>
            <w:tcW w:w="470" w:type="pct"/>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1.185</w:t>
            </w:r>
          </w:p>
        </w:tc>
        <w:tc>
          <w:tcPr>
            <w:tcW w:w="470" w:type="pct"/>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1.088</w:t>
            </w:r>
          </w:p>
        </w:tc>
        <w:tc>
          <w:tcPr>
            <w:tcW w:w="470" w:type="pct"/>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0.908</w:t>
            </w:r>
          </w:p>
        </w:tc>
      </w:tr>
      <w:tr w:rsidR="00C066AB" w:rsidRPr="003F0A46" w:rsidTr="00F52494">
        <w:trPr>
          <w:trHeight w:val="300"/>
          <w:jc w:val="center"/>
        </w:trPr>
        <w:tc>
          <w:tcPr>
            <w:tcW w:w="1172" w:type="pct"/>
            <w:gridSpan w:val="2"/>
            <w:tcBorders>
              <w:bottom w:val="single" w:sz="4" w:space="0" w:color="auto"/>
            </w:tcBorders>
            <w:noWrap/>
            <w:vAlign w:val="center"/>
            <w:hideMark/>
          </w:tcPr>
          <w:p w:rsidR="00C066AB" w:rsidRPr="003F0A46" w:rsidRDefault="00C066AB" w:rsidP="00B65294">
            <w:pPr>
              <w:jc w:val="center"/>
              <w:outlineLvl w:val="9"/>
              <w:rPr>
                <w:rFonts w:eastAsia="Times New Roman"/>
                <w:color w:val="000000"/>
                <w:sz w:val="20"/>
                <w:szCs w:val="20"/>
                <w:lang w:val="en-US" w:eastAsia="en-CA"/>
              </w:rPr>
            </w:pPr>
            <w:r w:rsidRPr="003F0A46">
              <w:rPr>
                <w:rFonts w:eastAsia="Times New Roman"/>
                <w:color w:val="000000"/>
                <w:sz w:val="20"/>
                <w:szCs w:val="20"/>
                <w:lang w:val="en-US" w:eastAsia="en-CA"/>
              </w:rPr>
              <w:t>ACAR</w:t>
            </w:r>
            <w:r w:rsidRPr="003F0A46">
              <w:rPr>
                <w:rFonts w:eastAsia="Times New Roman"/>
                <w:color w:val="000000"/>
                <w:sz w:val="20"/>
                <w:szCs w:val="20"/>
                <w:vertAlign w:val="subscript"/>
                <w:lang w:val="en-US" w:eastAsia="en-CA"/>
              </w:rPr>
              <w:t>L-W</w:t>
            </w:r>
            <w:r w:rsidR="00F52494">
              <w:rPr>
                <w:rFonts w:eastAsia="Times New Roman"/>
                <w:color w:val="000000"/>
                <w:sz w:val="20"/>
                <w:szCs w:val="20"/>
                <w:vertAlign w:val="subscript"/>
                <w:lang w:val="en-US" w:eastAsia="en-CA"/>
              </w:rPr>
              <w:t xml:space="preserve"> </w:t>
            </w:r>
            <w:r w:rsidR="00F52494" w:rsidRPr="00F52494">
              <w:rPr>
                <w:rFonts w:eastAsia="Times New Roman"/>
                <w:color w:val="000000"/>
                <w:sz w:val="20"/>
                <w:szCs w:val="20"/>
                <w:lang w:val="en-US" w:eastAsia="en-CA"/>
              </w:rPr>
              <w:t>(%)</w:t>
            </w:r>
          </w:p>
        </w:tc>
        <w:tc>
          <w:tcPr>
            <w:tcW w:w="487" w:type="pct"/>
            <w:tcBorders>
              <w:bottom w:val="single" w:sz="4" w:space="0" w:color="auto"/>
            </w:tcBorders>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-0.420</w:t>
            </w:r>
          </w:p>
        </w:tc>
        <w:tc>
          <w:tcPr>
            <w:tcW w:w="487" w:type="pct"/>
            <w:tcBorders>
              <w:bottom w:val="single" w:sz="4" w:space="0" w:color="auto"/>
            </w:tcBorders>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-0.572</w:t>
            </w:r>
          </w:p>
        </w:tc>
        <w:tc>
          <w:tcPr>
            <w:tcW w:w="487" w:type="pct"/>
            <w:tcBorders>
              <w:bottom w:val="single" w:sz="4" w:space="0" w:color="auto"/>
            </w:tcBorders>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-0.850</w:t>
            </w:r>
          </w:p>
        </w:tc>
        <w:tc>
          <w:tcPr>
            <w:tcW w:w="487" w:type="pct"/>
            <w:tcBorders>
              <w:bottom w:val="single" w:sz="4" w:space="0" w:color="auto"/>
            </w:tcBorders>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-0.831</w:t>
            </w:r>
          </w:p>
        </w:tc>
        <w:tc>
          <w:tcPr>
            <w:tcW w:w="470" w:type="pct"/>
            <w:tcBorders>
              <w:bottom w:val="single" w:sz="4" w:space="0" w:color="auto"/>
            </w:tcBorders>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-0.845</w:t>
            </w:r>
          </w:p>
        </w:tc>
        <w:tc>
          <w:tcPr>
            <w:tcW w:w="470" w:type="pct"/>
            <w:tcBorders>
              <w:bottom w:val="single" w:sz="4" w:space="0" w:color="auto"/>
            </w:tcBorders>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-0.256</w:t>
            </w:r>
          </w:p>
        </w:tc>
        <w:tc>
          <w:tcPr>
            <w:tcW w:w="470" w:type="pct"/>
            <w:tcBorders>
              <w:bottom w:val="single" w:sz="4" w:space="0" w:color="auto"/>
            </w:tcBorders>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-1.233</w:t>
            </w:r>
          </w:p>
        </w:tc>
        <w:tc>
          <w:tcPr>
            <w:tcW w:w="470" w:type="pct"/>
            <w:tcBorders>
              <w:bottom w:val="single" w:sz="4" w:space="0" w:color="auto"/>
            </w:tcBorders>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-2.534</w:t>
            </w:r>
          </w:p>
        </w:tc>
      </w:tr>
      <w:tr w:rsidR="00C066AB" w:rsidRPr="003F0A46" w:rsidTr="00F52494">
        <w:trPr>
          <w:trHeight w:val="622"/>
          <w:jc w:val="center"/>
        </w:trPr>
        <w:tc>
          <w:tcPr>
            <w:tcW w:w="591" w:type="pct"/>
            <w:vMerge w:val="restart"/>
            <w:tcBorders>
              <w:top w:val="single" w:sz="4" w:space="0" w:color="auto"/>
            </w:tcBorders>
            <w:noWrap/>
            <w:textDirection w:val="btLr"/>
            <w:vAlign w:val="center"/>
            <w:hideMark/>
          </w:tcPr>
          <w:p w:rsidR="00C066AB" w:rsidRPr="003F0A46" w:rsidRDefault="00C066AB" w:rsidP="00B65294">
            <w:pPr>
              <w:ind w:left="113" w:right="113"/>
              <w:jc w:val="center"/>
              <w:outlineLvl w:val="9"/>
              <w:rPr>
                <w:rFonts w:eastAsia="Times New Roman"/>
                <w:color w:val="000000"/>
                <w:sz w:val="20"/>
                <w:szCs w:val="20"/>
                <w:lang w:val="en-US" w:eastAsia="en-CA"/>
              </w:rPr>
            </w:pPr>
            <w:r w:rsidRPr="003F0A46">
              <w:rPr>
                <w:rFonts w:eastAsia="Times New Roman"/>
                <w:color w:val="000000"/>
                <w:sz w:val="20"/>
                <w:szCs w:val="20"/>
                <w:lang w:val="en-US" w:eastAsia="en-CA"/>
              </w:rPr>
              <w:t>Test 1</w:t>
            </w:r>
          </w:p>
        </w:tc>
        <w:tc>
          <w:tcPr>
            <w:tcW w:w="581" w:type="pct"/>
            <w:tcBorders>
              <w:top w:val="single" w:sz="4" w:space="0" w:color="auto"/>
            </w:tcBorders>
            <w:noWrap/>
            <w:vAlign w:val="center"/>
            <w:hideMark/>
          </w:tcPr>
          <w:p w:rsidR="00C066AB" w:rsidRPr="003F0A46" w:rsidRDefault="00C066AB" w:rsidP="00B65294">
            <w:pPr>
              <w:jc w:val="center"/>
              <w:outlineLvl w:val="9"/>
              <w:rPr>
                <w:rFonts w:eastAsia="Times New Roman"/>
                <w:color w:val="000000"/>
                <w:sz w:val="20"/>
                <w:szCs w:val="20"/>
                <w:lang w:val="en-US" w:eastAsia="en-CA"/>
              </w:rPr>
            </w:pPr>
            <w:r w:rsidRPr="003F0A46">
              <w:rPr>
                <w:rFonts w:eastAsia="Times New Roman"/>
                <w:color w:val="000000"/>
                <w:sz w:val="20"/>
                <w:szCs w:val="20"/>
                <w:lang w:val="en-US" w:eastAsia="en-CA"/>
              </w:rPr>
              <w:t>α</w:t>
            </w:r>
            <w:r w:rsidRPr="00F52494">
              <w:rPr>
                <w:rFonts w:eastAsia="Times New Roman"/>
                <w:color w:val="000000"/>
                <w:sz w:val="20"/>
                <w:szCs w:val="20"/>
                <w:vertAlign w:val="subscript"/>
                <w:lang w:val="en-US" w:eastAsia="en-CA"/>
              </w:rPr>
              <w:t>1</w:t>
            </w:r>
          </w:p>
        </w:tc>
        <w:tc>
          <w:tcPr>
            <w:tcW w:w="487" w:type="pct"/>
            <w:tcBorders>
              <w:top w:val="single" w:sz="4" w:space="0" w:color="auto"/>
            </w:tcBorders>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-0.004</w:t>
            </w:r>
            <w:r w:rsidR="00F52494" w:rsidRPr="003F0A46">
              <w:rPr>
                <w:rFonts w:eastAsia="Times New Roman"/>
                <w:color w:val="000000"/>
                <w:sz w:val="20"/>
                <w:szCs w:val="20"/>
                <w:lang w:val="en-US" w:eastAsia="en-CA"/>
              </w:rPr>
              <w:t>**</w:t>
            </w:r>
          </w:p>
        </w:tc>
        <w:tc>
          <w:tcPr>
            <w:tcW w:w="487" w:type="pct"/>
            <w:tcBorders>
              <w:top w:val="single" w:sz="4" w:space="0" w:color="auto"/>
            </w:tcBorders>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-0.006</w:t>
            </w:r>
            <w:r w:rsidR="00F52494" w:rsidRPr="003F0A46">
              <w:rPr>
                <w:rFonts w:eastAsia="Times New Roman"/>
                <w:color w:val="000000"/>
                <w:sz w:val="20"/>
                <w:szCs w:val="20"/>
                <w:lang w:val="en-US" w:eastAsia="en-CA"/>
              </w:rPr>
              <w:t>**</w:t>
            </w:r>
          </w:p>
        </w:tc>
        <w:tc>
          <w:tcPr>
            <w:tcW w:w="487" w:type="pct"/>
            <w:tcBorders>
              <w:top w:val="single" w:sz="4" w:space="0" w:color="auto"/>
            </w:tcBorders>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-0.009</w:t>
            </w:r>
            <w:r w:rsidR="00F52494" w:rsidRPr="003F0A46">
              <w:rPr>
                <w:rFonts w:eastAsia="Times New Roman"/>
                <w:color w:val="000000"/>
                <w:sz w:val="20"/>
                <w:szCs w:val="20"/>
                <w:lang w:val="en-US" w:eastAsia="en-CA"/>
              </w:rPr>
              <w:t>**</w:t>
            </w:r>
          </w:p>
        </w:tc>
        <w:tc>
          <w:tcPr>
            <w:tcW w:w="487" w:type="pct"/>
            <w:tcBorders>
              <w:top w:val="single" w:sz="4" w:space="0" w:color="auto"/>
            </w:tcBorders>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-0.008</w:t>
            </w:r>
            <w:r w:rsidR="00F52494" w:rsidRPr="003F0A46">
              <w:rPr>
                <w:rFonts w:eastAsia="Times New Roman"/>
                <w:color w:val="000000"/>
                <w:sz w:val="20"/>
                <w:szCs w:val="20"/>
                <w:lang w:val="en-US" w:eastAsia="en-CA"/>
              </w:rPr>
              <w:t>**</w:t>
            </w:r>
          </w:p>
        </w:tc>
        <w:tc>
          <w:tcPr>
            <w:tcW w:w="470" w:type="pct"/>
            <w:tcBorders>
              <w:top w:val="single" w:sz="4" w:space="0" w:color="auto"/>
            </w:tcBorders>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-0.008</w:t>
            </w:r>
          </w:p>
        </w:tc>
        <w:tc>
          <w:tcPr>
            <w:tcW w:w="470" w:type="pct"/>
            <w:tcBorders>
              <w:top w:val="single" w:sz="4" w:space="0" w:color="auto"/>
            </w:tcBorders>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-0.003</w:t>
            </w:r>
          </w:p>
        </w:tc>
        <w:tc>
          <w:tcPr>
            <w:tcW w:w="470" w:type="pct"/>
            <w:tcBorders>
              <w:top w:val="single" w:sz="4" w:space="0" w:color="auto"/>
            </w:tcBorders>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-0.012</w:t>
            </w:r>
          </w:p>
        </w:tc>
        <w:tc>
          <w:tcPr>
            <w:tcW w:w="470" w:type="pct"/>
            <w:tcBorders>
              <w:top w:val="single" w:sz="4" w:space="0" w:color="auto"/>
            </w:tcBorders>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-0.025</w:t>
            </w:r>
            <w:r w:rsidR="00F52494" w:rsidRPr="003F0A46">
              <w:rPr>
                <w:rFonts w:eastAsia="Times New Roman"/>
                <w:color w:val="000000"/>
                <w:sz w:val="20"/>
                <w:szCs w:val="20"/>
                <w:lang w:val="en-US" w:eastAsia="en-CA"/>
              </w:rPr>
              <w:t>*</w:t>
            </w:r>
          </w:p>
        </w:tc>
      </w:tr>
      <w:tr w:rsidR="00C066AB" w:rsidRPr="003F0A46" w:rsidTr="00F52494">
        <w:trPr>
          <w:trHeight w:val="670"/>
          <w:jc w:val="center"/>
        </w:trPr>
        <w:tc>
          <w:tcPr>
            <w:tcW w:w="591" w:type="pct"/>
            <w:vMerge/>
            <w:tcBorders>
              <w:bottom w:val="single" w:sz="4" w:space="0" w:color="auto"/>
            </w:tcBorders>
            <w:noWrap/>
            <w:vAlign w:val="center"/>
            <w:hideMark/>
          </w:tcPr>
          <w:p w:rsidR="00C066AB" w:rsidRPr="003F0A46" w:rsidRDefault="00C066AB" w:rsidP="00B65294">
            <w:pPr>
              <w:jc w:val="center"/>
              <w:outlineLvl w:val="9"/>
              <w:rPr>
                <w:rFonts w:eastAsia="Times New Roman"/>
                <w:color w:val="000000"/>
                <w:sz w:val="20"/>
                <w:szCs w:val="20"/>
                <w:lang w:val="en-US" w:eastAsia="en-CA"/>
              </w:rPr>
            </w:pPr>
          </w:p>
        </w:tc>
        <w:tc>
          <w:tcPr>
            <w:tcW w:w="581" w:type="pct"/>
            <w:tcBorders>
              <w:bottom w:val="single" w:sz="4" w:space="0" w:color="auto"/>
            </w:tcBorders>
            <w:noWrap/>
            <w:vAlign w:val="center"/>
            <w:hideMark/>
          </w:tcPr>
          <w:p w:rsidR="00C066AB" w:rsidRPr="003F0A46" w:rsidRDefault="00C066AB" w:rsidP="00B65294">
            <w:pPr>
              <w:jc w:val="center"/>
              <w:outlineLvl w:val="9"/>
              <w:rPr>
                <w:rFonts w:eastAsia="Times New Roman"/>
                <w:color w:val="000000"/>
                <w:sz w:val="20"/>
                <w:szCs w:val="20"/>
                <w:lang w:val="en-US" w:eastAsia="en-CA"/>
              </w:rPr>
            </w:pPr>
            <w:r w:rsidRPr="003F0A46">
              <w:rPr>
                <w:rFonts w:eastAsia="Times New Roman"/>
                <w:color w:val="000000"/>
                <w:sz w:val="20"/>
                <w:szCs w:val="20"/>
                <w:lang w:val="en-US" w:eastAsia="en-CA"/>
              </w:rPr>
              <w:t>t-stat</w:t>
            </w:r>
          </w:p>
        </w:tc>
        <w:tc>
          <w:tcPr>
            <w:tcW w:w="487" w:type="pct"/>
            <w:tcBorders>
              <w:bottom w:val="single" w:sz="4" w:space="0" w:color="auto"/>
            </w:tcBorders>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-2.727</w:t>
            </w:r>
          </w:p>
        </w:tc>
        <w:tc>
          <w:tcPr>
            <w:tcW w:w="487" w:type="pct"/>
            <w:tcBorders>
              <w:bottom w:val="single" w:sz="4" w:space="0" w:color="auto"/>
            </w:tcBorders>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-2.557</w:t>
            </w:r>
          </w:p>
        </w:tc>
        <w:tc>
          <w:tcPr>
            <w:tcW w:w="487" w:type="pct"/>
            <w:tcBorders>
              <w:bottom w:val="single" w:sz="4" w:space="0" w:color="auto"/>
            </w:tcBorders>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-3.074</w:t>
            </w:r>
          </w:p>
        </w:tc>
        <w:tc>
          <w:tcPr>
            <w:tcW w:w="487" w:type="pct"/>
            <w:tcBorders>
              <w:bottom w:val="single" w:sz="4" w:space="0" w:color="auto"/>
            </w:tcBorders>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-2.845</w:t>
            </w:r>
          </w:p>
        </w:tc>
        <w:tc>
          <w:tcPr>
            <w:tcW w:w="470" w:type="pct"/>
            <w:tcBorders>
              <w:bottom w:val="single" w:sz="4" w:space="0" w:color="auto"/>
            </w:tcBorders>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-1.759</w:t>
            </w:r>
          </w:p>
        </w:tc>
        <w:tc>
          <w:tcPr>
            <w:tcW w:w="470" w:type="pct"/>
            <w:tcBorders>
              <w:bottom w:val="single" w:sz="4" w:space="0" w:color="auto"/>
            </w:tcBorders>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-0.389</w:t>
            </w:r>
          </w:p>
        </w:tc>
        <w:tc>
          <w:tcPr>
            <w:tcW w:w="470" w:type="pct"/>
            <w:tcBorders>
              <w:bottom w:val="single" w:sz="4" w:space="0" w:color="auto"/>
            </w:tcBorders>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-1.500</w:t>
            </w:r>
          </w:p>
        </w:tc>
        <w:tc>
          <w:tcPr>
            <w:tcW w:w="470" w:type="pct"/>
            <w:tcBorders>
              <w:bottom w:val="single" w:sz="4" w:space="0" w:color="auto"/>
            </w:tcBorders>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-2.495</w:t>
            </w:r>
          </w:p>
        </w:tc>
      </w:tr>
      <w:tr w:rsidR="00C066AB" w:rsidRPr="003F0A46" w:rsidTr="00F52494">
        <w:trPr>
          <w:trHeight w:val="300"/>
          <w:jc w:val="center"/>
        </w:trPr>
        <w:tc>
          <w:tcPr>
            <w:tcW w:w="591" w:type="pct"/>
            <w:vMerge w:val="restart"/>
            <w:tcBorders>
              <w:top w:val="single" w:sz="4" w:space="0" w:color="auto"/>
            </w:tcBorders>
            <w:noWrap/>
            <w:textDirection w:val="btLr"/>
            <w:vAlign w:val="center"/>
            <w:hideMark/>
          </w:tcPr>
          <w:p w:rsidR="00C066AB" w:rsidRPr="003F0A46" w:rsidRDefault="00C066AB" w:rsidP="00B65294">
            <w:pPr>
              <w:ind w:left="113" w:right="113"/>
              <w:jc w:val="center"/>
              <w:outlineLvl w:val="9"/>
              <w:rPr>
                <w:rFonts w:eastAsia="Times New Roman"/>
                <w:color w:val="000000"/>
                <w:sz w:val="20"/>
                <w:szCs w:val="20"/>
                <w:lang w:val="en-US" w:eastAsia="en-CA"/>
              </w:rPr>
            </w:pPr>
            <w:r w:rsidRPr="003F0A46">
              <w:rPr>
                <w:rFonts w:eastAsia="Times New Roman"/>
                <w:color w:val="000000"/>
                <w:sz w:val="20"/>
                <w:szCs w:val="20"/>
                <w:lang w:val="en-US" w:eastAsia="en-CA"/>
              </w:rPr>
              <w:t>Test 2</w:t>
            </w:r>
          </w:p>
        </w:tc>
        <w:tc>
          <w:tcPr>
            <w:tcW w:w="581" w:type="pct"/>
            <w:tcBorders>
              <w:top w:val="single" w:sz="4" w:space="0" w:color="auto"/>
            </w:tcBorders>
            <w:noWrap/>
            <w:vAlign w:val="center"/>
            <w:hideMark/>
          </w:tcPr>
          <w:p w:rsidR="00C066AB" w:rsidRPr="003F0A46" w:rsidRDefault="00C066AB" w:rsidP="00B65294">
            <w:pPr>
              <w:jc w:val="center"/>
              <w:outlineLvl w:val="9"/>
              <w:rPr>
                <w:rFonts w:eastAsia="Times New Roman"/>
                <w:color w:val="000000"/>
                <w:sz w:val="20"/>
                <w:szCs w:val="20"/>
                <w:lang w:val="en-US" w:eastAsia="en-CA"/>
              </w:rPr>
            </w:pPr>
            <w:r w:rsidRPr="003F0A46">
              <w:rPr>
                <w:rFonts w:eastAsia="Times New Roman"/>
                <w:color w:val="000000"/>
                <w:sz w:val="20"/>
                <w:szCs w:val="20"/>
                <w:lang w:val="en-US" w:eastAsia="en-CA"/>
              </w:rPr>
              <w:t>α</w:t>
            </w:r>
            <w:r w:rsidRPr="00F52494">
              <w:rPr>
                <w:rFonts w:eastAsia="Times New Roman"/>
                <w:color w:val="000000"/>
                <w:sz w:val="20"/>
                <w:szCs w:val="20"/>
                <w:vertAlign w:val="subscript"/>
                <w:lang w:val="en-US" w:eastAsia="en-CA"/>
              </w:rPr>
              <w:t>2</w:t>
            </w:r>
          </w:p>
        </w:tc>
        <w:tc>
          <w:tcPr>
            <w:tcW w:w="487" w:type="pct"/>
            <w:tcBorders>
              <w:top w:val="single" w:sz="4" w:space="0" w:color="auto"/>
            </w:tcBorders>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-0.005</w:t>
            </w:r>
            <w:r w:rsidR="00F52494" w:rsidRPr="003F0A46">
              <w:rPr>
                <w:rFonts w:eastAsia="Times New Roman"/>
                <w:color w:val="000000"/>
                <w:sz w:val="20"/>
                <w:szCs w:val="20"/>
                <w:lang w:val="en-US" w:eastAsia="en-CA"/>
              </w:rPr>
              <w:t>**</w:t>
            </w:r>
          </w:p>
        </w:tc>
        <w:tc>
          <w:tcPr>
            <w:tcW w:w="487" w:type="pct"/>
            <w:tcBorders>
              <w:top w:val="single" w:sz="4" w:space="0" w:color="auto"/>
            </w:tcBorders>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-0.006</w:t>
            </w:r>
            <w:r w:rsidR="00F52494" w:rsidRPr="003F0A46">
              <w:rPr>
                <w:rFonts w:eastAsia="Times New Roman"/>
                <w:color w:val="000000"/>
                <w:sz w:val="20"/>
                <w:szCs w:val="20"/>
                <w:lang w:val="en-US" w:eastAsia="en-CA"/>
              </w:rPr>
              <w:t>**</w:t>
            </w:r>
          </w:p>
        </w:tc>
        <w:tc>
          <w:tcPr>
            <w:tcW w:w="487" w:type="pct"/>
            <w:tcBorders>
              <w:top w:val="single" w:sz="4" w:space="0" w:color="auto"/>
            </w:tcBorders>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-0.009</w:t>
            </w:r>
            <w:r w:rsidR="00F52494" w:rsidRPr="003F0A46">
              <w:rPr>
                <w:rFonts w:eastAsia="Times New Roman"/>
                <w:color w:val="000000"/>
                <w:sz w:val="20"/>
                <w:szCs w:val="20"/>
                <w:lang w:val="en-US" w:eastAsia="en-CA"/>
              </w:rPr>
              <w:t>**</w:t>
            </w:r>
          </w:p>
        </w:tc>
        <w:tc>
          <w:tcPr>
            <w:tcW w:w="487" w:type="pct"/>
            <w:tcBorders>
              <w:top w:val="single" w:sz="4" w:space="0" w:color="auto"/>
            </w:tcBorders>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-0.009</w:t>
            </w:r>
            <w:r w:rsidR="00F52494" w:rsidRPr="003F0A46">
              <w:rPr>
                <w:rFonts w:eastAsia="Times New Roman"/>
                <w:color w:val="000000"/>
                <w:sz w:val="20"/>
                <w:szCs w:val="20"/>
                <w:lang w:val="en-US" w:eastAsia="en-CA"/>
              </w:rPr>
              <w:t>**</w:t>
            </w:r>
          </w:p>
        </w:tc>
        <w:tc>
          <w:tcPr>
            <w:tcW w:w="470" w:type="pct"/>
            <w:tcBorders>
              <w:top w:val="single" w:sz="4" w:space="0" w:color="auto"/>
            </w:tcBorders>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-0.010</w:t>
            </w:r>
            <w:r w:rsidR="00F52494" w:rsidRPr="003F0A46">
              <w:rPr>
                <w:rFonts w:eastAsia="Times New Roman"/>
                <w:color w:val="000000"/>
                <w:sz w:val="20"/>
                <w:szCs w:val="20"/>
                <w:lang w:val="en-US" w:eastAsia="en-CA"/>
              </w:rPr>
              <w:t>*</w:t>
            </w:r>
          </w:p>
        </w:tc>
        <w:tc>
          <w:tcPr>
            <w:tcW w:w="470" w:type="pct"/>
            <w:tcBorders>
              <w:top w:val="single" w:sz="4" w:space="0" w:color="auto"/>
            </w:tcBorders>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-0.004</w:t>
            </w:r>
          </w:p>
        </w:tc>
        <w:tc>
          <w:tcPr>
            <w:tcW w:w="470" w:type="pct"/>
            <w:tcBorders>
              <w:top w:val="single" w:sz="4" w:space="0" w:color="auto"/>
            </w:tcBorders>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-0.011</w:t>
            </w:r>
          </w:p>
        </w:tc>
        <w:tc>
          <w:tcPr>
            <w:tcW w:w="470" w:type="pct"/>
            <w:tcBorders>
              <w:top w:val="single" w:sz="4" w:space="0" w:color="auto"/>
            </w:tcBorders>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-0.021</w:t>
            </w:r>
          </w:p>
        </w:tc>
      </w:tr>
      <w:tr w:rsidR="00C066AB" w:rsidRPr="003F0A46" w:rsidTr="00F52494">
        <w:trPr>
          <w:trHeight w:val="300"/>
          <w:jc w:val="center"/>
        </w:trPr>
        <w:tc>
          <w:tcPr>
            <w:tcW w:w="591" w:type="pct"/>
            <w:vMerge/>
            <w:noWrap/>
            <w:vAlign w:val="center"/>
            <w:hideMark/>
          </w:tcPr>
          <w:p w:rsidR="00C066AB" w:rsidRPr="003F0A46" w:rsidRDefault="00C066AB" w:rsidP="00B65294">
            <w:pPr>
              <w:jc w:val="center"/>
              <w:rPr>
                <w:rFonts w:eastAsia="Times New Roman"/>
                <w:color w:val="000000"/>
                <w:sz w:val="20"/>
                <w:szCs w:val="20"/>
                <w:lang w:val="en-US" w:eastAsia="en-CA"/>
              </w:rPr>
            </w:pPr>
          </w:p>
        </w:tc>
        <w:tc>
          <w:tcPr>
            <w:tcW w:w="581" w:type="pct"/>
            <w:noWrap/>
            <w:vAlign w:val="center"/>
            <w:hideMark/>
          </w:tcPr>
          <w:p w:rsidR="00C066AB" w:rsidRPr="003F0A46" w:rsidRDefault="00C066AB" w:rsidP="00B65294">
            <w:pPr>
              <w:jc w:val="center"/>
              <w:outlineLvl w:val="9"/>
              <w:rPr>
                <w:rFonts w:eastAsia="Times New Roman"/>
                <w:color w:val="000000"/>
                <w:sz w:val="20"/>
                <w:szCs w:val="20"/>
                <w:lang w:val="en-US" w:eastAsia="en-CA"/>
              </w:rPr>
            </w:pPr>
            <w:r w:rsidRPr="003F0A46">
              <w:rPr>
                <w:rFonts w:eastAsia="Times New Roman"/>
                <w:color w:val="000000"/>
                <w:sz w:val="20"/>
                <w:szCs w:val="20"/>
                <w:lang w:val="en-US" w:eastAsia="en-CA"/>
              </w:rPr>
              <w:t>t-stat</w:t>
            </w:r>
          </w:p>
        </w:tc>
        <w:tc>
          <w:tcPr>
            <w:tcW w:w="487" w:type="pct"/>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-2.934</w:t>
            </w:r>
          </w:p>
        </w:tc>
        <w:tc>
          <w:tcPr>
            <w:tcW w:w="487" w:type="pct"/>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-2.751</w:t>
            </w:r>
          </w:p>
        </w:tc>
        <w:tc>
          <w:tcPr>
            <w:tcW w:w="487" w:type="pct"/>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-3.264</w:t>
            </w:r>
          </w:p>
        </w:tc>
        <w:tc>
          <w:tcPr>
            <w:tcW w:w="487" w:type="pct"/>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-2.951</w:t>
            </w:r>
          </w:p>
        </w:tc>
        <w:tc>
          <w:tcPr>
            <w:tcW w:w="470" w:type="pct"/>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-2.021</w:t>
            </w:r>
          </w:p>
        </w:tc>
        <w:tc>
          <w:tcPr>
            <w:tcW w:w="470" w:type="pct"/>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-0.550</w:t>
            </w:r>
          </w:p>
        </w:tc>
        <w:tc>
          <w:tcPr>
            <w:tcW w:w="470" w:type="pct"/>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-1.253</w:t>
            </w:r>
          </w:p>
        </w:tc>
        <w:tc>
          <w:tcPr>
            <w:tcW w:w="470" w:type="pct"/>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-1.872</w:t>
            </w:r>
          </w:p>
        </w:tc>
      </w:tr>
      <w:tr w:rsidR="00C066AB" w:rsidRPr="003F0A46" w:rsidTr="00F52494">
        <w:trPr>
          <w:trHeight w:val="300"/>
          <w:jc w:val="center"/>
        </w:trPr>
        <w:tc>
          <w:tcPr>
            <w:tcW w:w="591" w:type="pct"/>
            <w:vMerge/>
            <w:noWrap/>
            <w:vAlign w:val="center"/>
            <w:hideMark/>
          </w:tcPr>
          <w:p w:rsidR="00C066AB" w:rsidRPr="003F0A46" w:rsidRDefault="00C066AB" w:rsidP="00B65294">
            <w:pPr>
              <w:jc w:val="center"/>
              <w:rPr>
                <w:rFonts w:eastAsia="Times New Roman"/>
                <w:color w:val="000000"/>
                <w:sz w:val="20"/>
                <w:szCs w:val="20"/>
                <w:lang w:val="en-US" w:eastAsia="en-CA"/>
              </w:rPr>
            </w:pPr>
          </w:p>
        </w:tc>
        <w:tc>
          <w:tcPr>
            <w:tcW w:w="581" w:type="pct"/>
            <w:noWrap/>
            <w:vAlign w:val="center"/>
            <w:hideMark/>
          </w:tcPr>
          <w:p w:rsidR="00C066AB" w:rsidRPr="003F0A46" w:rsidRDefault="00C066AB" w:rsidP="00B65294">
            <w:pPr>
              <w:jc w:val="center"/>
              <w:outlineLvl w:val="9"/>
              <w:rPr>
                <w:rFonts w:eastAsia="Times New Roman"/>
                <w:color w:val="000000"/>
                <w:sz w:val="20"/>
                <w:szCs w:val="20"/>
                <w:lang w:val="en-US" w:eastAsia="en-CA"/>
              </w:rPr>
            </w:pPr>
            <w:r w:rsidRPr="003F0A46">
              <w:rPr>
                <w:rFonts w:eastAsia="Times New Roman"/>
                <w:color w:val="000000"/>
                <w:sz w:val="20"/>
                <w:szCs w:val="20"/>
                <w:lang w:val="en-US" w:eastAsia="en-CA"/>
              </w:rPr>
              <w:t>β</w:t>
            </w:r>
          </w:p>
        </w:tc>
        <w:tc>
          <w:tcPr>
            <w:tcW w:w="487" w:type="pct"/>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0.096</w:t>
            </w:r>
            <w:r w:rsidR="00F52494" w:rsidRPr="003F0A46">
              <w:rPr>
                <w:rFonts w:eastAsia="Times New Roman"/>
                <w:color w:val="000000"/>
                <w:sz w:val="20"/>
                <w:szCs w:val="20"/>
                <w:lang w:val="en-US" w:eastAsia="en-CA"/>
              </w:rPr>
              <w:t>**</w:t>
            </w:r>
          </w:p>
        </w:tc>
        <w:tc>
          <w:tcPr>
            <w:tcW w:w="487" w:type="pct"/>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0.069</w:t>
            </w:r>
          </w:p>
        </w:tc>
        <w:tc>
          <w:tcPr>
            <w:tcW w:w="487" w:type="pct"/>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0.059</w:t>
            </w:r>
          </w:p>
        </w:tc>
        <w:tc>
          <w:tcPr>
            <w:tcW w:w="487" w:type="pct"/>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0.030</w:t>
            </w:r>
          </w:p>
        </w:tc>
        <w:tc>
          <w:tcPr>
            <w:tcW w:w="470" w:type="pct"/>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0.038</w:t>
            </w:r>
          </w:p>
        </w:tc>
        <w:tc>
          <w:tcPr>
            <w:tcW w:w="470" w:type="pct"/>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0.015</w:t>
            </w:r>
          </w:p>
        </w:tc>
        <w:tc>
          <w:tcPr>
            <w:tcW w:w="470" w:type="pct"/>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-0.012</w:t>
            </w:r>
          </w:p>
        </w:tc>
        <w:tc>
          <w:tcPr>
            <w:tcW w:w="470" w:type="pct"/>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-0.026</w:t>
            </w:r>
          </w:p>
        </w:tc>
      </w:tr>
      <w:tr w:rsidR="00C066AB" w:rsidRPr="003F0A46" w:rsidTr="00F52494">
        <w:trPr>
          <w:trHeight w:val="300"/>
          <w:jc w:val="center"/>
        </w:trPr>
        <w:tc>
          <w:tcPr>
            <w:tcW w:w="591" w:type="pct"/>
            <w:vMerge/>
            <w:noWrap/>
            <w:vAlign w:val="center"/>
            <w:hideMark/>
          </w:tcPr>
          <w:p w:rsidR="00C066AB" w:rsidRPr="003F0A46" w:rsidRDefault="00C066AB" w:rsidP="00B65294">
            <w:pPr>
              <w:jc w:val="center"/>
              <w:rPr>
                <w:rFonts w:eastAsia="Times New Roman"/>
                <w:color w:val="000000"/>
                <w:sz w:val="20"/>
                <w:szCs w:val="20"/>
                <w:lang w:val="en-US" w:eastAsia="en-CA"/>
              </w:rPr>
            </w:pPr>
          </w:p>
        </w:tc>
        <w:tc>
          <w:tcPr>
            <w:tcW w:w="581" w:type="pct"/>
            <w:noWrap/>
            <w:vAlign w:val="center"/>
            <w:hideMark/>
          </w:tcPr>
          <w:p w:rsidR="00C066AB" w:rsidRPr="003F0A46" w:rsidRDefault="00C066AB" w:rsidP="00B65294">
            <w:pPr>
              <w:jc w:val="center"/>
              <w:outlineLvl w:val="9"/>
              <w:rPr>
                <w:rFonts w:eastAsia="Times New Roman"/>
                <w:color w:val="000000"/>
                <w:sz w:val="20"/>
                <w:szCs w:val="20"/>
                <w:lang w:val="en-US" w:eastAsia="en-CA"/>
              </w:rPr>
            </w:pPr>
            <w:r w:rsidRPr="003F0A46">
              <w:rPr>
                <w:rFonts w:eastAsia="Times New Roman"/>
                <w:color w:val="000000"/>
                <w:sz w:val="20"/>
                <w:szCs w:val="20"/>
                <w:lang w:val="en-US" w:eastAsia="en-CA"/>
              </w:rPr>
              <w:t>t-stat</w:t>
            </w:r>
          </w:p>
        </w:tc>
        <w:tc>
          <w:tcPr>
            <w:tcW w:w="487" w:type="pct"/>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2.700</w:t>
            </w:r>
          </w:p>
        </w:tc>
        <w:tc>
          <w:tcPr>
            <w:tcW w:w="487" w:type="pct"/>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1.956</w:t>
            </w:r>
          </w:p>
        </w:tc>
        <w:tc>
          <w:tcPr>
            <w:tcW w:w="487" w:type="pct"/>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1.686</w:t>
            </w:r>
          </w:p>
        </w:tc>
        <w:tc>
          <w:tcPr>
            <w:tcW w:w="487" w:type="pct"/>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0.952</w:t>
            </w:r>
          </w:p>
        </w:tc>
        <w:tc>
          <w:tcPr>
            <w:tcW w:w="470" w:type="pct"/>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1.379</w:t>
            </w:r>
          </w:p>
        </w:tc>
        <w:tc>
          <w:tcPr>
            <w:tcW w:w="470" w:type="pct"/>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0.639</w:t>
            </w:r>
          </w:p>
        </w:tc>
        <w:tc>
          <w:tcPr>
            <w:tcW w:w="470" w:type="pct"/>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-0.504</w:t>
            </w:r>
          </w:p>
        </w:tc>
        <w:tc>
          <w:tcPr>
            <w:tcW w:w="470" w:type="pct"/>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-1.152</w:t>
            </w:r>
          </w:p>
        </w:tc>
      </w:tr>
      <w:tr w:rsidR="00C066AB" w:rsidRPr="003F0A46" w:rsidTr="00F52494">
        <w:trPr>
          <w:trHeight w:val="300"/>
          <w:jc w:val="center"/>
        </w:trPr>
        <w:tc>
          <w:tcPr>
            <w:tcW w:w="591" w:type="pct"/>
            <w:vMerge/>
            <w:tcBorders>
              <w:bottom w:val="single" w:sz="4" w:space="0" w:color="auto"/>
            </w:tcBorders>
            <w:noWrap/>
            <w:vAlign w:val="center"/>
            <w:hideMark/>
          </w:tcPr>
          <w:p w:rsidR="00C066AB" w:rsidRPr="003F0A46" w:rsidRDefault="00C066AB" w:rsidP="00B65294">
            <w:pPr>
              <w:jc w:val="center"/>
              <w:outlineLvl w:val="9"/>
              <w:rPr>
                <w:rFonts w:eastAsia="Times New Roman"/>
                <w:color w:val="000000"/>
                <w:sz w:val="20"/>
                <w:szCs w:val="20"/>
                <w:lang w:val="en-US" w:eastAsia="en-CA"/>
              </w:rPr>
            </w:pPr>
          </w:p>
        </w:tc>
        <w:tc>
          <w:tcPr>
            <w:tcW w:w="581" w:type="pct"/>
            <w:tcBorders>
              <w:bottom w:val="single" w:sz="4" w:space="0" w:color="auto"/>
            </w:tcBorders>
            <w:noWrap/>
            <w:vAlign w:val="center"/>
            <w:hideMark/>
          </w:tcPr>
          <w:p w:rsidR="00C066AB" w:rsidRPr="003F0A46" w:rsidRDefault="00C066AB" w:rsidP="00B65294">
            <w:pPr>
              <w:jc w:val="center"/>
              <w:outlineLvl w:val="9"/>
              <w:rPr>
                <w:rFonts w:eastAsia="Times New Roman"/>
                <w:color w:val="000000"/>
                <w:sz w:val="20"/>
                <w:szCs w:val="20"/>
                <w:lang w:val="en-US" w:eastAsia="en-CA"/>
              </w:rPr>
            </w:pPr>
            <w:r w:rsidRPr="003F0A46">
              <w:rPr>
                <w:rFonts w:eastAsia="Times New Roman"/>
                <w:color w:val="000000"/>
                <w:sz w:val="20"/>
                <w:szCs w:val="20"/>
                <w:lang w:val="en-US" w:eastAsia="en-CA"/>
              </w:rPr>
              <w:t>R</w:t>
            </w:r>
            <w:r w:rsidRPr="00F52494">
              <w:rPr>
                <w:rFonts w:eastAsia="Times New Roman"/>
                <w:color w:val="000000"/>
                <w:sz w:val="20"/>
                <w:szCs w:val="20"/>
                <w:vertAlign w:val="superscript"/>
                <w:lang w:val="en-US" w:eastAsia="en-CA"/>
              </w:rPr>
              <w:t>2</w:t>
            </w:r>
          </w:p>
        </w:tc>
        <w:tc>
          <w:tcPr>
            <w:tcW w:w="487" w:type="pct"/>
            <w:tcBorders>
              <w:bottom w:val="single" w:sz="4" w:space="0" w:color="auto"/>
            </w:tcBorders>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0.009</w:t>
            </w:r>
          </w:p>
        </w:tc>
        <w:tc>
          <w:tcPr>
            <w:tcW w:w="487" w:type="pct"/>
            <w:tcBorders>
              <w:bottom w:val="single" w:sz="4" w:space="0" w:color="auto"/>
            </w:tcBorders>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0.005</w:t>
            </w:r>
          </w:p>
        </w:tc>
        <w:tc>
          <w:tcPr>
            <w:tcW w:w="487" w:type="pct"/>
            <w:tcBorders>
              <w:bottom w:val="single" w:sz="4" w:space="0" w:color="auto"/>
            </w:tcBorders>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0.003</w:t>
            </w:r>
          </w:p>
        </w:tc>
        <w:tc>
          <w:tcPr>
            <w:tcW w:w="487" w:type="pct"/>
            <w:tcBorders>
              <w:bottom w:val="single" w:sz="4" w:space="0" w:color="auto"/>
            </w:tcBorders>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0.001</w:t>
            </w:r>
          </w:p>
        </w:tc>
        <w:tc>
          <w:tcPr>
            <w:tcW w:w="470" w:type="pct"/>
            <w:tcBorders>
              <w:bottom w:val="single" w:sz="4" w:space="0" w:color="auto"/>
            </w:tcBorders>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0.002</w:t>
            </w:r>
          </w:p>
        </w:tc>
        <w:tc>
          <w:tcPr>
            <w:tcW w:w="470" w:type="pct"/>
            <w:tcBorders>
              <w:bottom w:val="single" w:sz="4" w:space="0" w:color="auto"/>
            </w:tcBorders>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0.0005</w:t>
            </w:r>
          </w:p>
        </w:tc>
        <w:tc>
          <w:tcPr>
            <w:tcW w:w="470" w:type="pct"/>
            <w:tcBorders>
              <w:bottom w:val="single" w:sz="4" w:space="0" w:color="auto"/>
            </w:tcBorders>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0.0003</w:t>
            </w:r>
          </w:p>
        </w:tc>
        <w:tc>
          <w:tcPr>
            <w:tcW w:w="470" w:type="pct"/>
            <w:tcBorders>
              <w:bottom w:val="single" w:sz="4" w:space="0" w:color="auto"/>
            </w:tcBorders>
            <w:noWrap/>
            <w:vAlign w:val="center"/>
            <w:hideMark/>
          </w:tcPr>
          <w:p w:rsidR="00C066AB" w:rsidRPr="003F0A46" w:rsidRDefault="00C066AB" w:rsidP="00241DAB">
            <w:pPr>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0.002</w:t>
            </w:r>
          </w:p>
        </w:tc>
      </w:tr>
    </w:tbl>
    <w:p w:rsidR="001B1FE6" w:rsidRPr="00367379" w:rsidRDefault="00F52494" w:rsidP="00367379">
      <w:pPr>
        <w:pStyle w:val="ListParagraph"/>
        <w:ind w:left="0"/>
        <w:rPr>
          <w:sz w:val="16"/>
          <w:szCs w:val="16"/>
          <w:lang w:val="en-US"/>
        </w:rPr>
      </w:pPr>
      <w:r w:rsidRPr="00F52494">
        <w:rPr>
          <w:sz w:val="16"/>
          <w:szCs w:val="16"/>
          <w:lang w:val="en-US"/>
        </w:rPr>
        <w:t>** and * indicate significance at the 1% and 5% levels respectively</w:t>
      </w:r>
    </w:p>
    <w:p w:rsidR="00D81F6C" w:rsidRDefault="00D81F6C" w:rsidP="00241DAB">
      <w:pPr>
        <w:spacing w:after="0"/>
        <w:ind w:firstLine="720"/>
        <w:rPr>
          <w:sz w:val="20"/>
          <w:szCs w:val="20"/>
          <w:lang w:val="en-US"/>
        </w:rPr>
      </w:pPr>
    </w:p>
    <w:p w:rsidR="00367379" w:rsidRDefault="008A70FC" w:rsidP="00241DAB">
      <w:pPr>
        <w:spacing w:after="0"/>
        <w:ind w:firstLine="720"/>
        <w:rPr>
          <w:sz w:val="20"/>
          <w:szCs w:val="20"/>
          <w:lang w:val="en-US"/>
        </w:rPr>
      </w:pPr>
      <w:r>
        <w:rPr>
          <w:sz w:val="20"/>
          <w:szCs w:val="20"/>
          <w:lang w:val="en-US"/>
        </w:rPr>
        <w:t xml:space="preserve">Our evidence of underreaction motivates us to test whether </w:t>
      </w:r>
      <w:r w:rsidR="00F52494" w:rsidRPr="003F0A46">
        <w:rPr>
          <w:sz w:val="20"/>
          <w:szCs w:val="20"/>
          <w:lang w:val="en-US"/>
        </w:rPr>
        <w:t>moment</w:t>
      </w:r>
      <w:r w:rsidR="00F52494">
        <w:rPr>
          <w:sz w:val="20"/>
          <w:szCs w:val="20"/>
          <w:lang w:val="en-US"/>
        </w:rPr>
        <w:t>um traders can profit by trend-c</w:t>
      </w:r>
      <w:r w:rsidR="00F52494" w:rsidRPr="003F0A46">
        <w:rPr>
          <w:sz w:val="20"/>
          <w:szCs w:val="20"/>
          <w:lang w:val="en-US"/>
        </w:rPr>
        <w:t xml:space="preserve">hasing. </w:t>
      </w:r>
      <w:r>
        <w:rPr>
          <w:sz w:val="20"/>
          <w:szCs w:val="20"/>
          <w:lang w:val="en-US"/>
        </w:rPr>
        <w:t xml:space="preserve">Table </w:t>
      </w:r>
      <w:r w:rsidR="00241DAB">
        <w:rPr>
          <w:sz w:val="20"/>
          <w:szCs w:val="20"/>
          <w:lang w:val="en-US"/>
        </w:rPr>
        <w:t>3</w:t>
      </w:r>
      <w:r>
        <w:rPr>
          <w:sz w:val="20"/>
          <w:szCs w:val="20"/>
          <w:lang w:val="en-US"/>
        </w:rPr>
        <w:t xml:space="preserve"> presents our analysis on whether </w:t>
      </w:r>
      <w:r w:rsidR="00F52494" w:rsidRPr="003F0A46">
        <w:rPr>
          <w:sz w:val="20"/>
          <w:szCs w:val="20"/>
          <w:lang w:val="en-US"/>
        </w:rPr>
        <w:t>a momentum strategy that buys winner stocks and sells loser stocks</w:t>
      </w:r>
      <w:r w:rsidR="00F52494" w:rsidRPr="003F0A46">
        <w:rPr>
          <w:rStyle w:val="FootnoteReference"/>
          <w:sz w:val="20"/>
          <w:szCs w:val="20"/>
          <w:lang w:val="en-US"/>
        </w:rPr>
        <w:footnoteReference w:id="4"/>
      </w:r>
      <w:r w:rsidR="00F52494" w:rsidRPr="003F0A46">
        <w:rPr>
          <w:sz w:val="20"/>
          <w:szCs w:val="20"/>
          <w:lang w:val="en-US"/>
        </w:rPr>
        <w:t xml:space="preserve"> </w:t>
      </w:r>
      <w:r>
        <w:rPr>
          <w:sz w:val="20"/>
          <w:szCs w:val="20"/>
          <w:lang w:val="en-US"/>
        </w:rPr>
        <w:t>is</w:t>
      </w:r>
      <w:r w:rsidR="00F52494" w:rsidRPr="003F0A46">
        <w:rPr>
          <w:sz w:val="20"/>
          <w:szCs w:val="20"/>
          <w:lang w:val="en-US"/>
        </w:rPr>
        <w:t xml:space="preserve"> profitable for the holding period from 1 to 4 weeks</w:t>
      </w:r>
      <w:r>
        <w:rPr>
          <w:sz w:val="20"/>
          <w:szCs w:val="20"/>
          <w:lang w:val="en-US"/>
        </w:rPr>
        <w:t xml:space="preserve"> where significant underreaction is observed resulting in significant abnormal returns of 0.885% for a holding period of 4 weeks</w:t>
      </w:r>
      <w:r w:rsidR="00F52494" w:rsidRPr="003F0A46">
        <w:rPr>
          <w:sz w:val="20"/>
          <w:szCs w:val="20"/>
          <w:lang w:val="en-US"/>
        </w:rPr>
        <w:t xml:space="preserve">. </w:t>
      </w:r>
      <w:r>
        <w:rPr>
          <w:sz w:val="20"/>
          <w:szCs w:val="20"/>
          <w:lang w:val="en-US"/>
        </w:rPr>
        <w:t>We also test the profitability of the momentum trading strategy when trading costs are taken into account. The trading costs on the EGX consist of c</w:t>
      </w:r>
      <w:r w:rsidR="00F52494" w:rsidRPr="003F0A46">
        <w:rPr>
          <w:sz w:val="20"/>
          <w:szCs w:val="20"/>
          <w:lang w:val="en-US"/>
        </w:rPr>
        <w:t xml:space="preserve">ommissions on transactions levied by the exchange </w:t>
      </w:r>
      <w:r>
        <w:rPr>
          <w:sz w:val="20"/>
          <w:szCs w:val="20"/>
          <w:lang w:val="en-US"/>
        </w:rPr>
        <w:t xml:space="preserve">as well as brokerage fees which result in </w:t>
      </w:r>
      <w:r w:rsidR="00F52494" w:rsidRPr="003F0A46">
        <w:rPr>
          <w:sz w:val="20"/>
          <w:szCs w:val="20"/>
          <w:lang w:val="en-US"/>
        </w:rPr>
        <w:t xml:space="preserve">a </w:t>
      </w:r>
      <w:r>
        <w:rPr>
          <w:sz w:val="20"/>
          <w:szCs w:val="20"/>
          <w:lang w:val="en-US"/>
        </w:rPr>
        <w:t>30 basis points each side of the transaction. When trading costs are involved, w</w:t>
      </w:r>
      <w:r w:rsidR="00F52494" w:rsidRPr="003F0A46">
        <w:rPr>
          <w:sz w:val="20"/>
          <w:szCs w:val="20"/>
          <w:lang w:val="en-US"/>
        </w:rPr>
        <w:t xml:space="preserve">e </w:t>
      </w:r>
      <w:r>
        <w:rPr>
          <w:sz w:val="20"/>
          <w:szCs w:val="20"/>
          <w:lang w:val="en-US"/>
        </w:rPr>
        <w:t>find</w:t>
      </w:r>
      <w:r w:rsidR="00F52494" w:rsidRPr="003F0A46">
        <w:rPr>
          <w:sz w:val="20"/>
          <w:szCs w:val="20"/>
          <w:lang w:val="en-US"/>
        </w:rPr>
        <w:t xml:space="preserve"> that implementing a momentum strategy will not </w:t>
      </w:r>
      <w:r w:rsidR="00367379" w:rsidRPr="003F0A46">
        <w:rPr>
          <w:sz w:val="20"/>
          <w:szCs w:val="20"/>
          <w:lang w:val="en-US"/>
        </w:rPr>
        <w:t>yield significant profits. This result supports that of Fung, et al (1999) when they found that momentum profits disappeared when transaction costs were taken into account in six Pacific Basin markets.</w:t>
      </w:r>
    </w:p>
    <w:p w:rsidR="00367379" w:rsidRDefault="00367379" w:rsidP="00367379">
      <w:pPr>
        <w:pStyle w:val="Caption"/>
        <w:keepNext/>
        <w:spacing w:after="0"/>
        <w:rPr>
          <w:color w:val="auto"/>
          <w:sz w:val="20"/>
          <w:szCs w:val="20"/>
          <w:lang w:val="en-US"/>
        </w:rPr>
      </w:pPr>
      <w:r w:rsidRPr="008A70FC">
        <w:rPr>
          <w:color w:val="auto"/>
          <w:sz w:val="20"/>
          <w:szCs w:val="20"/>
        </w:rPr>
        <w:t xml:space="preserve">Table </w:t>
      </w:r>
      <w:r w:rsidR="00DD04B4" w:rsidRPr="008A70FC">
        <w:rPr>
          <w:color w:val="auto"/>
          <w:sz w:val="20"/>
          <w:szCs w:val="20"/>
        </w:rPr>
        <w:fldChar w:fldCharType="begin"/>
      </w:r>
      <w:r w:rsidRPr="008A70FC">
        <w:rPr>
          <w:color w:val="auto"/>
          <w:sz w:val="20"/>
          <w:szCs w:val="20"/>
        </w:rPr>
        <w:instrText xml:space="preserve"> SEQ Table \* ARABIC </w:instrText>
      </w:r>
      <w:r w:rsidR="00DD04B4" w:rsidRPr="008A70FC">
        <w:rPr>
          <w:color w:val="auto"/>
          <w:sz w:val="20"/>
          <w:szCs w:val="20"/>
        </w:rPr>
        <w:fldChar w:fldCharType="separate"/>
      </w:r>
      <w:r>
        <w:rPr>
          <w:noProof/>
          <w:color w:val="auto"/>
          <w:sz w:val="20"/>
          <w:szCs w:val="20"/>
        </w:rPr>
        <w:t>3</w:t>
      </w:r>
      <w:r w:rsidR="00DD04B4" w:rsidRPr="008A70FC">
        <w:rPr>
          <w:color w:val="auto"/>
          <w:sz w:val="20"/>
          <w:szCs w:val="20"/>
        </w:rPr>
        <w:fldChar w:fldCharType="end"/>
      </w:r>
      <w:r w:rsidRPr="008A70FC">
        <w:rPr>
          <w:color w:val="auto"/>
          <w:sz w:val="20"/>
          <w:szCs w:val="20"/>
          <w:lang w:val="en-US"/>
        </w:rPr>
        <w:t xml:space="preserve"> Momentum Strategy of buying Winner portfolios before and after applying a 0.6% round-trip Transaction costs on periods when significant under-reaction exists</w:t>
      </w:r>
    </w:p>
    <w:tbl>
      <w:tblPr>
        <w:tblW w:w="7701" w:type="dxa"/>
        <w:tblInd w:w="94" w:type="dxa"/>
        <w:tblLook w:val="04A0"/>
      </w:tblPr>
      <w:tblGrid>
        <w:gridCol w:w="1747"/>
        <w:gridCol w:w="1488"/>
        <w:gridCol w:w="1488"/>
        <w:gridCol w:w="1488"/>
        <w:gridCol w:w="1490"/>
      </w:tblGrid>
      <w:tr w:rsidR="00367379" w:rsidRPr="00367379" w:rsidTr="00367379">
        <w:trPr>
          <w:trHeight w:val="260"/>
        </w:trPr>
        <w:tc>
          <w:tcPr>
            <w:tcW w:w="1747" w:type="dxa"/>
            <w:vMerge w:val="restart"/>
            <w:tcBorders>
              <w:top w:val="single" w:sz="4" w:space="0" w:color="auto"/>
              <w:left w:val="nil"/>
              <w:bottom w:val="nil"/>
              <w:right w:val="nil"/>
            </w:tcBorders>
            <w:shd w:val="clear" w:color="auto" w:fill="auto"/>
            <w:noWrap/>
            <w:vAlign w:val="bottom"/>
            <w:hideMark/>
          </w:tcPr>
          <w:p w:rsidR="00367379" w:rsidRPr="00367379" w:rsidRDefault="00367379" w:rsidP="00367379">
            <w:pPr>
              <w:spacing w:after="0" w:line="240" w:lineRule="auto"/>
              <w:jc w:val="center"/>
              <w:outlineLvl w:val="9"/>
              <w:rPr>
                <w:rFonts w:ascii="Times New Roman" w:eastAsia="Times New Roman" w:hAnsi="Times New Roman" w:cs="Times New Roman"/>
                <w:color w:val="000000"/>
                <w:sz w:val="20"/>
                <w:szCs w:val="20"/>
                <w:lang w:val="en-US"/>
              </w:rPr>
            </w:pPr>
            <w:r w:rsidRPr="00367379">
              <w:rPr>
                <w:rFonts w:ascii="Times New Roman" w:eastAsia="Times New Roman" w:hAnsi="Times New Roman" w:cs="Times New Roman"/>
                <w:color w:val="000000"/>
                <w:sz w:val="20"/>
                <w:szCs w:val="20"/>
                <w:lang w:val="en-US"/>
              </w:rPr>
              <w:t>ACAR</w:t>
            </w:r>
          </w:p>
        </w:tc>
        <w:tc>
          <w:tcPr>
            <w:tcW w:w="5954" w:type="dxa"/>
            <w:gridSpan w:val="4"/>
            <w:tcBorders>
              <w:top w:val="single" w:sz="4" w:space="0" w:color="auto"/>
              <w:left w:val="nil"/>
              <w:bottom w:val="nil"/>
              <w:right w:val="nil"/>
            </w:tcBorders>
            <w:shd w:val="clear" w:color="auto" w:fill="auto"/>
            <w:noWrap/>
            <w:vAlign w:val="bottom"/>
            <w:hideMark/>
          </w:tcPr>
          <w:p w:rsidR="00367379" w:rsidRPr="00367379" w:rsidRDefault="00367379" w:rsidP="00367379">
            <w:pPr>
              <w:spacing w:after="0" w:line="240" w:lineRule="auto"/>
              <w:jc w:val="center"/>
              <w:outlineLvl w:val="9"/>
              <w:rPr>
                <w:rFonts w:ascii="Times New Roman" w:eastAsia="Times New Roman" w:hAnsi="Times New Roman" w:cs="Times New Roman"/>
                <w:b/>
                <w:bCs/>
                <w:color w:val="000000"/>
                <w:sz w:val="20"/>
                <w:szCs w:val="20"/>
                <w:lang w:val="en-US"/>
              </w:rPr>
            </w:pPr>
            <w:r w:rsidRPr="00367379">
              <w:rPr>
                <w:rFonts w:ascii="Times New Roman" w:eastAsia="Times New Roman" w:hAnsi="Times New Roman" w:cs="Times New Roman"/>
                <w:b/>
                <w:bCs/>
                <w:color w:val="000000"/>
                <w:sz w:val="20"/>
                <w:szCs w:val="20"/>
                <w:lang w:val="en-US"/>
              </w:rPr>
              <w:t>Holding Period (Weeks)</w:t>
            </w:r>
          </w:p>
        </w:tc>
      </w:tr>
      <w:tr w:rsidR="00367379" w:rsidRPr="00367379" w:rsidTr="00367379">
        <w:trPr>
          <w:trHeight w:val="260"/>
        </w:trPr>
        <w:tc>
          <w:tcPr>
            <w:tcW w:w="1747" w:type="dxa"/>
            <w:vMerge/>
            <w:tcBorders>
              <w:top w:val="nil"/>
              <w:left w:val="nil"/>
              <w:bottom w:val="nil"/>
              <w:right w:val="nil"/>
            </w:tcBorders>
            <w:vAlign w:val="center"/>
            <w:hideMark/>
          </w:tcPr>
          <w:p w:rsidR="00367379" w:rsidRPr="00367379" w:rsidRDefault="00367379" w:rsidP="00367379">
            <w:pPr>
              <w:spacing w:after="0" w:line="240" w:lineRule="auto"/>
              <w:jc w:val="left"/>
              <w:outlineLvl w:val="9"/>
              <w:rPr>
                <w:rFonts w:ascii="Times New Roman" w:eastAsia="Times New Roman" w:hAnsi="Times New Roman" w:cs="Times New Roman"/>
                <w:color w:val="000000"/>
                <w:sz w:val="20"/>
                <w:szCs w:val="20"/>
                <w:lang w:val="en-US"/>
              </w:rPr>
            </w:pPr>
          </w:p>
        </w:tc>
        <w:tc>
          <w:tcPr>
            <w:tcW w:w="1488" w:type="dxa"/>
            <w:tcBorders>
              <w:top w:val="nil"/>
              <w:left w:val="nil"/>
              <w:bottom w:val="nil"/>
              <w:right w:val="nil"/>
            </w:tcBorders>
            <w:shd w:val="clear" w:color="auto" w:fill="auto"/>
            <w:noWrap/>
            <w:vAlign w:val="bottom"/>
            <w:hideMark/>
          </w:tcPr>
          <w:p w:rsidR="00367379" w:rsidRPr="00367379" w:rsidRDefault="00367379" w:rsidP="00367379">
            <w:pPr>
              <w:spacing w:after="0" w:line="240" w:lineRule="auto"/>
              <w:jc w:val="center"/>
              <w:outlineLvl w:val="9"/>
              <w:rPr>
                <w:rFonts w:ascii="Times New Roman" w:eastAsia="Times New Roman" w:hAnsi="Times New Roman" w:cs="Times New Roman"/>
                <w:b/>
                <w:bCs/>
                <w:color w:val="000000"/>
                <w:sz w:val="20"/>
                <w:szCs w:val="20"/>
                <w:lang w:val="en-US"/>
              </w:rPr>
            </w:pPr>
            <w:r w:rsidRPr="00367379">
              <w:rPr>
                <w:rFonts w:ascii="Times New Roman" w:eastAsia="Times New Roman" w:hAnsi="Times New Roman" w:cs="Times New Roman"/>
                <w:b/>
                <w:bCs/>
                <w:color w:val="000000"/>
                <w:sz w:val="20"/>
                <w:szCs w:val="20"/>
                <w:lang w:val="en-US"/>
              </w:rPr>
              <w:t>1</w:t>
            </w:r>
          </w:p>
        </w:tc>
        <w:tc>
          <w:tcPr>
            <w:tcW w:w="1488" w:type="dxa"/>
            <w:tcBorders>
              <w:top w:val="nil"/>
              <w:left w:val="nil"/>
              <w:bottom w:val="nil"/>
              <w:right w:val="nil"/>
            </w:tcBorders>
            <w:shd w:val="clear" w:color="auto" w:fill="auto"/>
            <w:noWrap/>
            <w:vAlign w:val="bottom"/>
            <w:hideMark/>
          </w:tcPr>
          <w:p w:rsidR="00367379" w:rsidRPr="00367379" w:rsidRDefault="00367379" w:rsidP="00367379">
            <w:pPr>
              <w:spacing w:after="0" w:line="240" w:lineRule="auto"/>
              <w:jc w:val="center"/>
              <w:outlineLvl w:val="9"/>
              <w:rPr>
                <w:rFonts w:ascii="Times New Roman" w:eastAsia="Times New Roman" w:hAnsi="Times New Roman" w:cs="Times New Roman"/>
                <w:b/>
                <w:bCs/>
                <w:color w:val="000000"/>
                <w:sz w:val="20"/>
                <w:szCs w:val="20"/>
                <w:lang w:val="en-US"/>
              </w:rPr>
            </w:pPr>
            <w:r w:rsidRPr="00367379">
              <w:rPr>
                <w:rFonts w:ascii="Times New Roman" w:eastAsia="Times New Roman" w:hAnsi="Times New Roman" w:cs="Times New Roman"/>
                <w:b/>
                <w:bCs/>
                <w:color w:val="000000"/>
                <w:sz w:val="20"/>
                <w:szCs w:val="20"/>
                <w:lang w:val="en-US"/>
              </w:rPr>
              <w:t>2</w:t>
            </w:r>
          </w:p>
        </w:tc>
        <w:tc>
          <w:tcPr>
            <w:tcW w:w="1488" w:type="dxa"/>
            <w:tcBorders>
              <w:top w:val="nil"/>
              <w:left w:val="nil"/>
              <w:bottom w:val="nil"/>
              <w:right w:val="nil"/>
            </w:tcBorders>
            <w:shd w:val="clear" w:color="auto" w:fill="auto"/>
            <w:noWrap/>
            <w:vAlign w:val="bottom"/>
            <w:hideMark/>
          </w:tcPr>
          <w:p w:rsidR="00367379" w:rsidRPr="00367379" w:rsidRDefault="00367379" w:rsidP="00367379">
            <w:pPr>
              <w:spacing w:after="0" w:line="240" w:lineRule="auto"/>
              <w:jc w:val="center"/>
              <w:outlineLvl w:val="9"/>
              <w:rPr>
                <w:rFonts w:ascii="Times New Roman" w:eastAsia="Times New Roman" w:hAnsi="Times New Roman" w:cs="Times New Roman"/>
                <w:b/>
                <w:bCs/>
                <w:color w:val="000000"/>
                <w:sz w:val="20"/>
                <w:szCs w:val="20"/>
                <w:lang w:val="en-US"/>
              </w:rPr>
            </w:pPr>
            <w:r w:rsidRPr="00367379">
              <w:rPr>
                <w:rFonts w:ascii="Times New Roman" w:eastAsia="Times New Roman" w:hAnsi="Times New Roman" w:cs="Times New Roman"/>
                <w:b/>
                <w:bCs/>
                <w:color w:val="000000"/>
                <w:sz w:val="20"/>
                <w:szCs w:val="20"/>
                <w:lang w:val="en-US"/>
              </w:rPr>
              <w:t>3</w:t>
            </w:r>
          </w:p>
        </w:tc>
        <w:tc>
          <w:tcPr>
            <w:tcW w:w="1490" w:type="dxa"/>
            <w:tcBorders>
              <w:top w:val="nil"/>
              <w:left w:val="nil"/>
              <w:bottom w:val="nil"/>
              <w:right w:val="nil"/>
            </w:tcBorders>
            <w:shd w:val="clear" w:color="auto" w:fill="auto"/>
            <w:noWrap/>
            <w:vAlign w:val="bottom"/>
            <w:hideMark/>
          </w:tcPr>
          <w:p w:rsidR="00367379" w:rsidRPr="00367379" w:rsidRDefault="00367379" w:rsidP="00367379">
            <w:pPr>
              <w:spacing w:after="0" w:line="240" w:lineRule="auto"/>
              <w:jc w:val="center"/>
              <w:outlineLvl w:val="9"/>
              <w:rPr>
                <w:rFonts w:ascii="Times New Roman" w:eastAsia="Times New Roman" w:hAnsi="Times New Roman" w:cs="Times New Roman"/>
                <w:b/>
                <w:bCs/>
                <w:color w:val="000000"/>
                <w:sz w:val="20"/>
                <w:szCs w:val="20"/>
                <w:lang w:val="en-US"/>
              </w:rPr>
            </w:pPr>
            <w:r w:rsidRPr="00367379">
              <w:rPr>
                <w:rFonts w:ascii="Times New Roman" w:eastAsia="Times New Roman" w:hAnsi="Times New Roman" w:cs="Times New Roman"/>
                <w:b/>
                <w:bCs/>
                <w:color w:val="000000"/>
                <w:sz w:val="20"/>
                <w:szCs w:val="20"/>
                <w:lang w:val="en-US"/>
              </w:rPr>
              <w:t>4</w:t>
            </w:r>
          </w:p>
        </w:tc>
      </w:tr>
      <w:tr w:rsidR="00367379" w:rsidRPr="00367379" w:rsidTr="00367379">
        <w:trPr>
          <w:trHeight w:val="260"/>
        </w:trPr>
        <w:tc>
          <w:tcPr>
            <w:tcW w:w="7701" w:type="dxa"/>
            <w:gridSpan w:val="5"/>
            <w:tcBorders>
              <w:top w:val="single" w:sz="4" w:space="0" w:color="auto"/>
              <w:left w:val="nil"/>
              <w:bottom w:val="nil"/>
              <w:right w:val="nil"/>
            </w:tcBorders>
            <w:shd w:val="clear" w:color="auto" w:fill="auto"/>
            <w:noWrap/>
            <w:vAlign w:val="bottom"/>
            <w:hideMark/>
          </w:tcPr>
          <w:p w:rsidR="00367379" w:rsidRPr="00367379" w:rsidRDefault="00367379" w:rsidP="00367379">
            <w:pPr>
              <w:spacing w:after="0" w:line="240" w:lineRule="auto"/>
              <w:jc w:val="center"/>
              <w:outlineLvl w:val="9"/>
              <w:rPr>
                <w:rFonts w:ascii="Times New Roman" w:eastAsia="Times New Roman" w:hAnsi="Times New Roman" w:cs="Times New Roman"/>
                <w:b/>
                <w:bCs/>
                <w:color w:val="000000"/>
                <w:sz w:val="20"/>
                <w:szCs w:val="20"/>
                <w:lang w:val="en-US"/>
              </w:rPr>
            </w:pPr>
            <w:r w:rsidRPr="00367379">
              <w:rPr>
                <w:rFonts w:ascii="Times New Roman" w:eastAsia="Times New Roman" w:hAnsi="Times New Roman" w:cs="Times New Roman"/>
                <w:b/>
                <w:bCs/>
                <w:color w:val="000000"/>
                <w:sz w:val="20"/>
                <w:szCs w:val="20"/>
                <w:lang w:val="en-US"/>
              </w:rPr>
              <w:t>Before Trading Costs</w:t>
            </w:r>
          </w:p>
        </w:tc>
      </w:tr>
      <w:tr w:rsidR="00367379" w:rsidRPr="00367379" w:rsidTr="00367379">
        <w:trPr>
          <w:trHeight w:val="260"/>
        </w:trPr>
        <w:tc>
          <w:tcPr>
            <w:tcW w:w="1747" w:type="dxa"/>
            <w:tcBorders>
              <w:top w:val="nil"/>
              <w:left w:val="nil"/>
              <w:bottom w:val="nil"/>
              <w:right w:val="nil"/>
            </w:tcBorders>
            <w:shd w:val="clear" w:color="auto" w:fill="auto"/>
            <w:noWrap/>
            <w:vAlign w:val="bottom"/>
            <w:hideMark/>
          </w:tcPr>
          <w:p w:rsidR="00367379" w:rsidRPr="00367379" w:rsidRDefault="00367379" w:rsidP="00367379">
            <w:pPr>
              <w:spacing w:after="0" w:line="240" w:lineRule="auto"/>
              <w:jc w:val="center"/>
              <w:outlineLvl w:val="9"/>
              <w:rPr>
                <w:rFonts w:ascii="Times New Roman" w:eastAsia="Times New Roman" w:hAnsi="Times New Roman" w:cs="Times New Roman"/>
                <w:color w:val="000000"/>
                <w:sz w:val="20"/>
                <w:szCs w:val="20"/>
                <w:lang w:val="en-US"/>
              </w:rPr>
            </w:pPr>
            <w:r w:rsidRPr="00367379">
              <w:rPr>
                <w:rFonts w:ascii="Times New Roman" w:eastAsia="Times New Roman" w:hAnsi="Times New Roman" w:cs="Times New Roman"/>
                <w:color w:val="000000"/>
                <w:sz w:val="20"/>
                <w:szCs w:val="20"/>
                <w:lang w:val="en-US"/>
              </w:rPr>
              <w:t xml:space="preserve">ACAR(%) </w:t>
            </w:r>
          </w:p>
        </w:tc>
        <w:tc>
          <w:tcPr>
            <w:tcW w:w="1488" w:type="dxa"/>
            <w:tcBorders>
              <w:top w:val="nil"/>
              <w:left w:val="nil"/>
              <w:bottom w:val="nil"/>
              <w:right w:val="nil"/>
            </w:tcBorders>
            <w:shd w:val="clear" w:color="auto" w:fill="auto"/>
            <w:noWrap/>
            <w:vAlign w:val="bottom"/>
            <w:hideMark/>
          </w:tcPr>
          <w:p w:rsidR="00367379" w:rsidRPr="00367379" w:rsidRDefault="00367379" w:rsidP="00241DAB">
            <w:pPr>
              <w:spacing w:after="0" w:line="240" w:lineRule="auto"/>
              <w:jc w:val="left"/>
              <w:outlineLvl w:val="9"/>
              <w:rPr>
                <w:rFonts w:ascii="Times New Roman" w:eastAsia="Times New Roman" w:hAnsi="Times New Roman" w:cs="Times New Roman"/>
                <w:color w:val="000000"/>
                <w:sz w:val="20"/>
                <w:szCs w:val="20"/>
                <w:lang w:val="en-US"/>
              </w:rPr>
            </w:pPr>
            <w:r w:rsidRPr="00367379">
              <w:rPr>
                <w:rFonts w:ascii="Times New Roman" w:eastAsia="Times New Roman" w:hAnsi="Times New Roman" w:cs="Times New Roman"/>
                <w:color w:val="000000"/>
                <w:sz w:val="20"/>
                <w:szCs w:val="20"/>
                <w:lang w:val="en-US"/>
              </w:rPr>
              <w:t>0.404**</w:t>
            </w:r>
          </w:p>
        </w:tc>
        <w:tc>
          <w:tcPr>
            <w:tcW w:w="1488" w:type="dxa"/>
            <w:tcBorders>
              <w:top w:val="nil"/>
              <w:left w:val="nil"/>
              <w:bottom w:val="nil"/>
              <w:right w:val="nil"/>
            </w:tcBorders>
            <w:shd w:val="clear" w:color="auto" w:fill="auto"/>
            <w:noWrap/>
            <w:vAlign w:val="bottom"/>
            <w:hideMark/>
          </w:tcPr>
          <w:p w:rsidR="00367379" w:rsidRPr="00367379" w:rsidRDefault="00367379" w:rsidP="00241DAB">
            <w:pPr>
              <w:spacing w:after="0" w:line="240" w:lineRule="auto"/>
              <w:jc w:val="left"/>
              <w:outlineLvl w:val="9"/>
              <w:rPr>
                <w:rFonts w:ascii="Times New Roman" w:eastAsia="Times New Roman" w:hAnsi="Times New Roman" w:cs="Times New Roman"/>
                <w:color w:val="000000"/>
                <w:sz w:val="20"/>
                <w:szCs w:val="20"/>
                <w:lang w:val="en-US"/>
              </w:rPr>
            </w:pPr>
            <w:r w:rsidRPr="00367379">
              <w:rPr>
                <w:rFonts w:ascii="Times New Roman" w:eastAsia="Times New Roman" w:hAnsi="Times New Roman" w:cs="Times New Roman"/>
                <w:color w:val="000000"/>
                <w:sz w:val="20"/>
                <w:szCs w:val="20"/>
                <w:lang w:val="en-US"/>
              </w:rPr>
              <w:t>0.616**</w:t>
            </w:r>
          </w:p>
        </w:tc>
        <w:tc>
          <w:tcPr>
            <w:tcW w:w="1488" w:type="dxa"/>
            <w:tcBorders>
              <w:top w:val="nil"/>
              <w:left w:val="nil"/>
              <w:bottom w:val="nil"/>
              <w:right w:val="nil"/>
            </w:tcBorders>
            <w:shd w:val="clear" w:color="auto" w:fill="auto"/>
            <w:noWrap/>
            <w:vAlign w:val="bottom"/>
            <w:hideMark/>
          </w:tcPr>
          <w:p w:rsidR="00367379" w:rsidRPr="00367379" w:rsidRDefault="00367379" w:rsidP="00241DAB">
            <w:pPr>
              <w:spacing w:after="0" w:line="240" w:lineRule="auto"/>
              <w:jc w:val="left"/>
              <w:outlineLvl w:val="9"/>
              <w:rPr>
                <w:rFonts w:ascii="Times New Roman" w:eastAsia="Times New Roman" w:hAnsi="Times New Roman" w:cs="Times New Roman"/>
                <w:color w:val="000000"/>
                <w:sz w:val="20"/>
                <w:szCs w:val="20"/>
                <w:lang w:val="en-US"/>
              </w:rPr>
            </w:pPr>
            <w:r w:rsidRPr="00367379">
              <w:rPr>
                <w:rFonts w:ascii="Times New Roman" w:eastAsia="Times New Roman" w:hAnsi="Times New Roman" w:cs="Times New Roman"/>
                <w:color w:val="000000"/>
                <w:sz w:val="20"/>
                <w:szCs w:val="20"/>
                <w:lang w:val="en-US"/>
              </w:rPr>
              <w:t>0.859**</w:t>
            </w:r>
          </w:p>
        </w:tc>
        <w:tc>
          <w:tcPr>
            <w:tcW w:w="1490" w:type="dxa"/>
            <w:tcBorders>
              <w:top w:val="nil"/>
              <w:left w:val="nil"/>
              <w:bottom w:val="nil"/>
              <w:right w:val="nil"/>
            </w:tcBorders>
            <w:shd w:val="clear" w:color="auto" w:fill="auto"/>
            <w:noWrap/>
            <w:vAlign w:val="bottom"/>
            <w:hideMark/>
          </w:tcPr>
          <w:p w:rsidR="00367379" w:rsidRPr="00367379" w:rsidRDefault="00367379" w:rsidP="00241DAB">
            <w:pPr>
              <w:spacing w:after="0" w:line="240" w:lineRule="auto"/>
              <w:jc w:val="left"/>
              <w:outlineLvl w:val="9"/>
              <w:rPr>
                <w:rFonts w:ascii="Times New Roman" w:eastAsia="Times New Roman" w:hAnsi="Times New Roman" w:cs="Times New Roman"/>
                <w:color w:val="000000"/>
                <w:sz w:val="20"/>
                <w:szCs w:val="20"/>
                <w:lang w:val="en-US"/>
              </w:rPr>
            </w:pPr>
            <w:r w:rsidRPr="00367379">
              <w:rPr>
                <w:rFonts w:ascii="Times New Roman" w:eastAsia="Times New Roman" w:hAnsi="Times New Roman" w:cs="Times New Roman"/>
                <w:color w:val="000000"/>
                <w:sz w:val="20"/>
                <w:szCs w:val="20"/>
                <w:lang w:val="en-US"/>
              </w:rPr>
              <w:t>0.885**</w:t>
            </w:r>
          </w:p>
        </w:tc>
      </w:tr>
      <w:tr w:rsidR="00367379" w:rsidRPr="00367379" w:rsidTr="00367379">
        <w:trPr>
          <w:trHeight w:val="260"/>
        </w:trPr>
        <w:tc>
          <w:tcPr>
            <w:tcW w:w="1747" w:type="dxa"/>
            <w:tcBorders>
              <w:top w:val="nil"/>
              <w:left w:val="nil"/>
              <w:bottom w:val="nil"/>
              <w:right w:val="nil"/>
            </w:tcBorders>
            <w:shd w:val="clear" w:color="auto" w:fill="auto"/>
            <w:noWrap/>
            <w:vAlign w:val="bottom"/>
            <w:hideMark/>
          </w:tcPr>
          <w:p w:rsidR="00367379" w:rsidRPr="00367379" w:rsidRDefault="00367379" w:rsidP="00367379">
            <w:pPr>
              <w:spacing w:after="0" w:line="240" w:lineRule="auto"/>
              <w:jc w:val="center"/>
              <w:outlineLvl w:val="9"/>
              <w:rPr>
                <w:rFonts w:ascii="Times New Roman" w:eastAsia="Times New Roman" w:hAnsi="Times New Roman" w:cs="Times New Roman"/>
                <w:color w:val="000000"/>
                <w:sz w:val="20"/>
                <w:szCs w:val="20"/>
                <w:lang w:val="en-US"/>
              </w:rPr>
            </w:pPr>
            <w:r w:rsidRPr="00367379">
              <w:rPr>
                <w:rFonts w:ascii="Times New Roman" w:eastAsia="Times New Roman" w:hAnsi="Times New Roman" w:cs="Times New Roman"/>
                <w:color w:val="000000"/>
                <w:sz w:val="20"/>
                <w:szCs w:val="20"/>
                <w:lang w:val="en-US"/>
              </w:rPr>
              <w:t>T-test</w:t>
            </w:r>
          </w:p>
        </w:tc>
        <w:tc>
          <w:tcPr>
            <w:tcW w:w="1488" w:type="dxa"/>
            <w:tcBorders>
              <w:top w:val="nil"/>
              <w:left w:val="nil"/>
              <w:bottom w:val="nil"/>
              <w:right w:val="nil"/>
            </w:tcBorders>
            <w:shd w:val="clear" w:color="auto" w:fill="auto"/>
            <w:noWrap/>
            <w:vAlign w:val="bottom"/>
            <w:hideMark/>
          </w:tcPr>
          <w:p w:rsidR="00367379" w:rsidRPr="00367379" w:rsidRDefault="00367379" w:rsidP="00241DAB">
            <w:pPr>
              <w:spacing w:after="0" w:line="240" w:lineRule="auto"/>
              <w:jc w:val="left"/>
              <w:outlineLvl w:val="9"/>
              <w:rPr>
                <w:rFonts w:ascii="Times New Roman" w:eastAsia="Times New Roman" w:hAnsi="Times New Roman" w:cs="Times New Roman"/>
                <w:color w:val="000000"/>
                <w:sz w:val="20"/>
                <w:szCs w:val="20"/>
                <w:lang w:val="en-US"/>
              </w:rPr>
            </w:pPr>
            <w:r w:rsidRPr="00367379">
              <w:rPr>
                <w:rFonts w:ascii="Times New Roman" w:eastAsia="Times New Roman" w:hAnsi="Times New Roman" w:cs="Times New Roman"/>
                <w:color w:val="000000"/>
                <w:sz w:val="20"/>
                <w:szCs w:val="20"/>
                <w:lang w:val="en-US"/>
              </w:rPr>
              <w:t>3.33</w:t>
            </w:r>
          </w:p>
        </w:tc>
        <w:tc>
          <w:tcPr>
            <w:tcW w:w="1488" w:type="dxa"/>
            <w:tcBorders>
              <w:top w:val="nil"/>
              <w:left w:val="nil"/>
              <w:bottom w:val="nil"/>
              <w:right w:val="nil"/>
            </w:tcBorders>
            <w:shd w:val="clear" w:color="auto" w:fill="auto"/>
            <w:noWrap/>
            <w:vAlign w:val="bottom"/>
            <w:hideMark/>
          </w:tcPr>
          <w:p w:rsidR="00367379" w:rsidRPr="00367379" w:rsidRDefault="00367379" w:rsidP="00241DAB">
            <w:pPr>
              <w:spacing w:after="0" w:line="240" w:lineRule="auto"/>
              <w:jc w:val="left"/>
              <w:outlineLvl w:val="9"/>
              <w:rPr>
                <w:rFonts w:ascii="Times New Roman" w:eastAsia="Times New Roman" w:hAnsi="Times New Roman" w:cs="Times New Roman"/>
                <w:color w:val="000000"/>
                <w:sz w:val="20"/>
                <w:szCs w:val="20"/>
                <w:lang w:val="en-US"/>
              </w:rPr>
            </w:pPr>
            <w:r w:rsidRPr="00367379">
              <w:rPr>
                <w:rFonts w:ascii="Times New Roman" w:eastAsia="Times New Roman" w:hAnsi="Times New Roman" w:cs="Times New Roman"/>
                <w:color w:val="000000"/>
                <w:sz w:val="20"/>
                <w:szCs w:val="20"/>
                <w:lang w:val="en-US"/>
              </w:rPr>
              <w:t>3.442</w:t>
            </w:r>
          </w:p>
        </w:tc>
        <w:tc>
          <w:tcPr>
            <w:tcW w:w="1488" w:type="dxa"/>
            <w:tcBorders>
              <w:top w:val="nil"/>
              <w:left w:val="nil"/>
              <w:bottom w:val="nil"/>
              <w:right w:val="nil"/>
            </w:tcBorders>
            <w:shd w:val="clear" w:color="auto" w:fill="auto"/>
            <w:noWrap/>
            <w:vAlign w:val="bottom"/>
            <w:hideMark/>
          </w:tcPr>
          <w:p w:rsidR="00367379" w:rsidRPr="00367379" w:rsidRDefault="00367379" w:rsidP="00241DAB">
            <w:pPr>
              <w:spacing w:after="0" w:line="240" w:lineRule="auto"/>
              <w:jc w:val="left"/>
              <w:outlineLvl w:val="9"/>
              <w:rPr>
                <w:rFonts w:ascii="Times New Roman" w:eastAsia="Times New Roman" w:hAnsi="Times New Roman" w:cs="Times New Roman"/>
                <w:color w:val="000000"/>
                <w:sz w:val="20"/>
                <w:szCs w:val="20"/>
                <w:lang w:val="en-US"/>
              </w:rPr>
            </w:pPr>
            <w:r w:rsidRPr="00367379">
              <w:rPr>
                <w:rFonts w:ascii="Times New Roman" w:eastAsia="Times New Roman" w:hAnsi="Times New Roman" w:cs="Times New Roman"/>
                <w:color w:val="000000"/>
                <w:sz w:val="20"/>
                <w:szCs w:val="20"/>
                <w:lang w:val="en-US"/>
              </w:rPr>
              <w:t>3.407</w:t>
            </w:r>
          </w:p>
        </w:tc>
        <w:tc>
          <w:tcPr>
            <w:tcW w:w="1490" w:type="dxa"/>
            <w:tcBorders>
              <w:top w:val="nil"/>
              <w:left w:val="nil"/>
              <w:bottom w:val="nil"/>
              <w:right w:val="nil"/>
            </w:tcBorders>
            <w:shd w:val="clear" w:color="auto" w:fill="auto"/>
            <w:noWrap/>
            <w:vAlign w:val="bottom"/>
            <w:hideMark/>
          </w:tcPr>
          <w:p w:rsidR="00367379" w:rsidRPr="00367379" w:rsidRDefault="00367379" w:rsidP="00241DAB">
            <w:pPr>
              <w:spacing w:after="0" w:line="240" w:lineRule="auto"/>
              <w:jc w:val="left"/>
              <w:outlineLvl w:val="9"/>
              <w:rPr>
                <w:rFonts w:ascii="Times New Roman" w:eastAsia="Times New Roman" w:hAnsi="Times New Roman" w:cs="Times New Roman"/>
                <w:color w:val="000000"/>
                <w:sz w:val="20"/>
                <w:szCs w:val="20"/>
                <w:lang w:val="en-US"/>
              </w:rPr>
            </w:pPr>
            <w:r w:rsidRPr="00367379">
              <w:rPr>
                <w:rFonts w:ascii="Times New Roman" w:eastAsia="Times New Roman" w:hAnsi="Times New Roman" w:cs="Times New Roman"/>
                <w:color w:val="000000"/>
                <w:sz w:val="20"/>
                <w:szCs w:val="20"/>
                <w:lang w:val="en-US"/>
              </w:rPr>
              <w:t>3.114</w:t>
            </w:r>
          </w:p>
        </w:tc>
      </w:tr>
      <w:tr w:rsidR="00367379" w:rsidRPr="00367379" w:rsidTr="00367379">
        <w:trPr>
          <w:trHeight w:val="260"/>
        </w:trPr>
        <w:tc>
          <w:tcPr>
            <w:tcW w:w="7701" w:type="dxa"/>
            <w:gridSpan w:val="5"/>
            <w:tcBorders>
              <w:top w:val="single" w:sz="4" w:space="0" w:color="auto"/>
              <w:left w:val="nil"/>
              <w:bottom w:val="nil"/>
              <w:right w:val="nil"/>
            </w:tcBorders>
            <w:shd w:val="clear" w:color="auto" w:fill="auto"/>
            <w:noWrap/>
            <w:vAlign w:val="bottom"/>
            <w:hideMark/>
          </w:tcPr>
          <w:p w:rsidR="00367379" w:rsidRPr="00367379" w:rsidRDefault="00367379" w:rsidP="00367379">
            <w:pPr>
              <w:spacing w:after="0" w:line="240" w:lineRule="auto"/>
              <w:jc w:val="center"/>
              <w:outlineLvl w:val="9"/>
              <w:rPr>
                <w:rFonts w:ascii="Times New Roman" w:eastAsia="Times New Roman" w:hAnsi="Times New Roman" w:cs="Times New Roman"/>
                <w:b/>
                <w:bCs/>
                <w:color w:val="000000"/>
                <w:sz w:val="20"/>
                <w:szCs w:val="20"/>
                <w:lang w:val="en-US"/>
              </w:rPr>
            </w:pPr>
            <w:r w:rsidRPr="00367379">
              <w:rPr>
                <w:rFonts w:ascii="Times New Roman" w:eastAsia="Times New Roman" w:hAnsi="Times New Roman" w:cs="Times New Roman"/>
                <w:b/>
                <w:bCs/>
                <w:color w:val="000000"/>
                <w:sz w:val="20"/>
                <w:szCs w:val="20"/>
                <w:lang w:val="en-US"/>
              </w:rPr>
              <w:t>After Trading Costs</w:t>
            </w:r>
          </w:p>
        </w:tc>
      </w:tr>
      <w:tr w:rsidR="00367379" w:rsidRPr="00367379" w:rsidTr="00367379">
        <w:trPr>
          <w:trHeight w:val="260"/>
        </w:trPr>
        <w:tc>
          <w:tcPr>
            <w:tcW w:w="1747" w:type="dxa"/>
            <w:tcBorders>
              <w:top w:val="nil"/>
              <w:left w:val="nil"/>
              <w:bottom w:val="nil"/>
              <w:right w:val="nil"/>
            </w:tcBorders>
            <w:shd w:val="clear" w:color="auto" w:fill="auto"/>
            <w:noWrap/>
            <w:vAlign w:val="bottom"/>
            <w:hideMark/>
          </w:tcPr>
          <w:p w:rsidR="00367379" w:rsidRPr="00367379" w:rsidRDefault="00367379" w:rsidP="00367379">
            <w:pPr>
              <w:spacing w:after="0" w:line="240" w:lineRule="auto"/>
              <w:jc w:val="center"/>
              <w:outlineLvl w:val="9"/>
              <w:rPr>
                <w:rFonts w:ascii="Times New Roman" w:eastAsia="Times New Roman" w:hAnsi="Times New Roman" w:cs="Times New Roman"/>
                <w:color w:val="000000"/>
                <w:sz w:val="20"/>
                <w:szCs w:val="20"/>
                <w:lang w:val="en-US"/>
              </w:rPr>
            </w:pPr>
            <w:r w:rsidRPr="00367379">
              <w:rPr>
                <w:rFonts w:ascii="Times New Roman" w:eastAsia="Times New Roman" w:hAnsi="Times New Roman" w:cs="Times New Roman"/>
                <w:color w:val="000000"/>
                <w:sz w:val="20"/>
                <w:szCs w:val="20"/>
                <w:lang w:val="en-US"/>
              </w:rPr>
              <w:t>ACAR(%)</w:t>
            </w:r>
          </w:p>
        </w:tc>
        <w:tc>
          <w:tcPr>
            <w:tcW w:w="1488" w:type="dxa"/>
            <w:tcBorders>
              <w:top w:val="nil"/>
              <w:left w:val="nil"/>
              <w:bottom w:val="nil"/>
              <w:right w:val="nil"/>
            </w:tcBorders>
            <w:shd w:val="clear" w:color="auto" w:fill="auto"/>
            <w:noWrap/>
            <w:vAlign w:val="bottom"/>
            <w:hideMark/>
          </w:tcPr>
          <w:p w:rsidR="00367379" w:rsidRPr="00367379" w:rsidRDefault="00367379" w:rsidP="00241DAB">
            <w:pPr>
              <w:spacing w:after="0" w:line="240" w:lineRule="auto"/>
              <w:jc w:val="left"/>
              <w:outlineLvl w:val="9"/>
              <w:rPr>
                <w:rFonts w:ascii="Times New Roman" w:eastAsia="Times New Roman" w:hAnsi="Times New Roman" w:cs="Times New Roman"/>
                <w:color w:val="000000"/>
                <w:sz w:val="20"/>
                <w:szCs w:val="20"/>
                <w:lang w:val="en-US"/>
              </w:rPr>
            </w:pPr>
            <w:r w:rsidRPr="00367379">
              <w:rPr>
                <w:rFonts w:ascii="Times New Roman" w:eastAsia="Times New Roman" w:hAnsi="Times New Roman" w:cs="Times New Roman"/>
                <w:color w:val="000000"/>
                <w:sz w:val="20"/>
                <w:szCs w:val="20"/>
                <w:lang w:val="en-US"/>
              </w:rPr>
              <w:t>-0.196</w:t>
            </w:r>
          </w:p>
        </w:tc>
        <w:tc>
          <w:tcPr>
            <w:tcW w:w="1488" w:type="dxa"/>
            <w:tcBorders>
              <w:top w:val="nil"/>
              <w:left w:val="nil"/>
              <w:bottom w:val="nil"/>
              <w:right w:val="nil"/>
            </w:tcBorders>
            <w:shd w:val="clear" w:color="auto" w:fill="auto"/>
            <w:noWrap/>
            <w:vAlign w:val="bottom"/>
            <w:hideMark/>
          </w:tcPr>
          <w:p w:rsidR="00367379" w:rsidRPr="00367379" w:rsidRDefault="00367379" w:rsidP="00241DAB">
            <w:pPr>
              <w:spacing w:after="0" w:line="240" w:lineRule="auto"/>
              <w:jc w:val="left"/>
              <w:outlineLvl w:val="9"/>
              <w:rPr>
                <w:rFonts w:ascii="Times New Roman" w:eastAsia="Times New Roman" w:hAnsi="Times New Roman" w:cs="Times New Roman"/>
                <w:color w:val="000000"/>
                <w:sz w:val="20"/>
                <w:szCs w:val="20"/>
                <w:lang w:val="en-US"/>
              </w:rPr>
            </w:pPr>
            <w:r w:rsidRPr="00367379">
              <w:rPr>
                <w:rFonts w:ascii="Times New Roman" w:eastAsia="Times New Roman" w:hAnsi="Times New Roman" w:cs="Times New Roman"/>
                <w:color w:val="000000"/>
                <w:sz w:val="20"/>
                <w:szCs w:val="20"/>
                <w:lang w:val="en-US"/>
              </w:rPr>
              <w:t>0.016</w:t>
            </w:r>
          </w:p>
        </w:tc>
        <w:tc>
          <w:tcPr>
            <w:tcW w:w="1488" w:type="dxa"/>
            <w:tcBorders>
              <w:top w:val="nil"/>
              <w:left w:val="nil"/>
              <w:bottom w:val="nil"/>
              <w:right w:val="nil"/>
            </w:tcBorders>
            <w:shd w:val="clear" w:color="auto" w:fill="auto"/>
            <w:noWrap/>
            <w:vAlign w:val="bottom"/>
            <w:hideMark/>
          </w:tcPr>
          <w:p w:rsidR="00367379" w:rsidRPr="00367379" w:rsidRDefault="00367379" w:rsidP="00241DAB">
            <w:pPr>
              <w:spacing w:after="0" w:line="240" w:lineRule="auto"/>
              <w:jc w:val="left"/>
              <w:outlineLvl w:val="9"/>
              <w:rPr>
                <w:rFonts w:ascii="Times New Roman" w:eastAsia="Times New Roman" w:hAnsi="Times New Roman" w:cs="Times New Roman"/>
                <w:color w:val="000000"/>
                <w:sz w:val="20"/>
                <w:szCs w:val="20"/>
                <w:lang w:val="en-US"/>
              </w:rPr>
            </w:pPr>
            <w:r w:rsidRPr="00367379">
              <w:rPr>
                <w:rFonts w:ascii="Times New Roman" w:eastAsia="Times New Roman" w:hAnsi="Times New Roman" w:cs="Times New Roman"/>
                <w:color w:val="000000"/>
                <w:sz w:val="20"/>
                <w:szCs w:val="20"/>
                <w:lang w:val="en-US"/>
              </w:rPr>
              <w:t>0.259</w:t>
            </w:r>
          </w:p>
        </w:tc>
        <w:tc>
          <w:tcPr>
            <w:tcW w:w="1490" w:type="dxa"/>
            <w:tcBorders>
              <w:top w:val="nil"/>
              <w:left w:val="nil"/>
              <w:bottom w:val="nil"/>
              <w:right w:val="nil"/>
            </w:tcBorders>
            <w:shd w:val="clear" w:color="auto" w:fill="auto"/>
            <w:noWrap/>
            <w:vAlign w:val="bottom"/>
            <w:hideMark/>
          </w:tcPr>
          <w:p w:rsidR="00367379" w:rsidRPr="00367379" w:rsidRDefault="00367379" w:rsidP="00241DAB">
            <w:pPr>
              <w:spacing w:after="0" w:line="240" w:lineRule="auto"/>
              <w:jc w:val="left"/>
              <w:outlineLvl w:val="9"/>
              <w:rPr>
                <w:rFonts w:ascii="Times New Roman" w:eastAsia="Times New Roman" w:hAnsi="Times New Roman" w:cs="Times New Roman"/>
                <w:color w:val="000000"/>
                <w:sz w:val="20"/>
                <w:szCs w:val="20"/>
                <w:lang w:val="en-US"/>
              </w:rPr>
            </w:pPr>
            <w:r w:rsidRPr="00367379">
              <w:rPr>
                <w:rFonts w:ascii="Times New Roman" w:eastAsia="Times New Roman" w:hAnsi="Times New Roman" w:cs="Times New Roman"/>
                <w:color w:val="000000"/>
                <w:sz w:val="20"/>
                <w:szCs w:val="20"/>
                <w:lang w:val="en-US"/>
              </w:rPr>
              <w:t>0.285</w:t>
            </w:r>
          </w:p>
        </w:tc>
      </w:tr>
      <w:tr w:rsidR="00367379" w:rsidRPr="00367379" w:rsidTr="00367379">
        <w:trPr>
          <w:trHeight w:val="274"/>
        </w:trPr>
        <w:tc>
          <w:tcPr>
            <w:tcW w:w="1747" w:type="dxa"/>
            <w:tcBorders>
              <w:top w:val="nil"/>
              <w:left w:val="nil"/>
              <w:bottom w:val="single" w:sz="8" w:space="0" w:color="auto"/>
              <w:right w:val="nil"/>
            </w:tcBorders>
            <w:shd w:val="clear" w:color="auto" w:fill="auto"/>
            <w:noWrap/>
            <w:vAlign w:val="bottom"/>
            <w:hideMark/>
          </w:tcPr>
          <w:p w:rsidR="00367379" w:rsidRPr="00367379" w:rsidRDefault="00367379" w:rsidP="00367379">
            <w:pPr>
              <w:spacing w:after="0" w:line="240" w:lineRule="auto"/>
              <w:jc w:val="center"/>
              <w:outlineLvl w:val="9"/>
              <w:rPr>
                <w:rFonts w:ascii="Times New Roman" w:eastAsia="Times New Roman" w:hAnsi="Times New Roman" w:cs="Times New Roman"/>
                <w:color w:val="000000"/>
                <w:sz w:val="20"/>
                <w:szCs w:val="20"/>
                <w:lang w:val="en-US"/>
              </w:rPr>
            </w:pPr>
            <w:r w:rsidRPr="00367379">
              <w:rPr>
                <w:rFonts w:ascii="Times New Roman" w:eastAsia="Times New Roman" w:hAnsi="Times New Roman" w:cs="Times New Roman"/>
                <w:color w:val="000000"/>
                <w:sz w:val="20"/>
                <w:szCs w:val="20"/>
                <w:lang w:val="en-US"/>
              </w:rPr>
              <w:t>T-test</w:t>
            </w:r>
          </w:p>
        </w:tc>
        <w:tc>
          <w:tcPr>
            <w:tcW w:w="1488" w:type="dxa"/>
            <w:tcBorders>
              <w:top w:val="nil"/>
              <w:left w:val="nil"/>
              <w:bottom w:val="single" w:sz="8" w:space="0" w:color="auto"/>
              <w:right w:val="nil"/>
            </w:tcBorders>
            <w:shd w:val="clear" w:color="auto" w:fill="auto"/>
            <w:noWrap/>
            <w:vAlign w:val="bottom"/>
            <w:hideMark/>
          </w:tcPr>
          <w:p w:rsidR="00367379" w:rsidRPr="00367379" w:rsidRDefault="00367379" w:rsidP="00241DAB">
            <w:pPr>
              <w:spacing w:after="0" w:line="240" w:lineRule="auto"/>
              <w:jc w:val="left"/>
              <w:outlineLvl w:val="9"/>
              <w:rPr>
                <w:rFonts w:ascii="Times New Roman" w:eastAsia="Times New Roman" w:hAnsi="Times New Roman" w:cs="Times New Roman"/>
                <w:color w:val="000000"/>
                <w:sz w:val="20"/>
                <w:szCs w:val="20"/>
                <w:lang w:val="en-US"/>
              </w:rPr>
            </w:pPr>
            <w:r w:rsidRPr="00367379">
              <w:rPr>
                <w:rFonts w:ascii="Times New Roman" w:eastAsia="Times New Roman" w:hAnsi="Times New Roman" w:cs="Times New Roman"/>
                <w:color w:val="000000"/>
                <w:sz w:val="20"/>
                <w:szCs w:val="20"/>
                <w:lang w:val="en-US"/>
              </w:rPr>
              <w:t>-1.61</w:t>
            </w:r>
          </w:p>
        </w:tc>
        <w:tc>
          <w:tcPr>
            <w:tcW w:w="1488" w:type="dxa"/>
            <w:tcBorders>
              <w:top w:val="nil"/>
              <w:left w:val="nil"/>
              <w:bottom w:val="single" w:sz="8" w:space="0" w:color="auto"/>
              <w:right w:val="nil"/>
            </w:tcBorders>
            <w:shd w:val="clear" w:color="auto" w:fill="auto"/>
            <w:noWrap/>
            <w:vAlign w:val="bottom"/>
            <w:hideMark/>
          </w:tcPr>
          <w:p w:rsidR="00367379" w:rsidRPr="00367379" w:rsidRDefault="00367379" w:rsidP="00241DAB">
            <w:pPr>
              <w:spacing w:after="0" w:line="240" w:lineRule="auto"/>
              <w:jc w:val="left"/>
              <w:outlineLvl w:val="9"/>
              <w:rPr>
                <w:rFonts w:ascii="Times New Roman" w:eastAsia="Times New Roman" w:hAnsi="Times New Roman" w:cs="Times New Roman"/>
                <w:color w:val="000000"/>
                <w:sz w:val="20"/>
                <w:szCs w:val="20"/>
                <w:lang w:val="en-US"/>
              </w:rPr>
            </w:pPr>
            <w:r w:rsidRPr="00367379">
              <w:rPr>
                <w:rFonts w:ascii="Times New Roman" w:eastAsia="Times New Roman" w:hAnsi="Times New Roman" w:cs="Times New Roman"/>
                <w:color w:val="000000"/>
                <w:sz w:val="20"/>
                <w:szCs w:val="20"/>
                <w:lang w:val="en-US"/>
              </w:rPr>
              <w:t>0.092</w:t>
            </w:r>
          </w:p>
        </w:tc>
        <w:tc>
          <w:tcPr>
            <w:tcW w:w="1488" w:type="dxa"/>
            <w:tcBorders>
              <w:top w:val="nil"/>
              <w:left w:val="nil"/>
              <w:bottom w:val="single" w:sz="8" w:space="0" w:color="auto"/>
              <w:right w:val="nil"/>
            </w:tcBorders>
            <w:shd w:val="clear" w:color="auto" w:fill="auto"/>
            <w:noWrap/>
            <w:vAlign w:val="bottom"/>
            <w:hideMark/>
          </w:tcPr>
          <w:p w:rsidR="00367379" w:rsidRPr="00367379" w:rsidRDefault="00367379" w:rsidP="00241DAB">
            <w:pPr>
              <w:spacing w:after="0" w:line="240" w:lineRule="auto"/>
              <w:jc w:val="left"/>
              <w:outlineLvl w:val="9"/>
              <w:rPr>
                <w:rFonts w:ascii="Times New Roman" w:eastAsia="Times New Roman" w:hAnsi="Times New Roman" w:cs="Times New Roman"/>
                <w:color w:val="000000"/>
                <w:sz w:val="20"/>
                <w:szCs w:val="20"/>
                <w:lang w:val="en-US"/>
              </w:rPr>
            </w:pPr>
            <w:r w:rsidRPr="00367379">
              <w:rPr>
                <w:rFonts w:ascii="Times New Roman" w:eastAsia="Times New Roman" w:hAnsi="Times New Roman" w:cs="Times New Roman"/>
                <w:color w:val="000000"/>
                <w:sz w:val="20"/>
                <w:szCs w:val="20"/>
                <w:lang w:val="en-US"/>
              </w:rPr>
              <w:t>1.026</w:t>
            </w:r>
          </w:p>
        </w:tc>
        <w:tc>
          <w:tcPr>
            <w:tcW w:w="1490" w:type="dxa"/>
            <w:tcBorders>
              <w:top w:val="nil"/>
              <w:left w:val="nil"/>
              <w:bottom w:val="single" w:sz="8" w:space="0" w:color="auto"/>
              <w:right w:val="nil"/>
            </w:tcBorders>
            <w:shd w:val="clear" w:color="auto" w:fill="auto"/>
            <w:noWrap/>
            <w:vAlign w:val="bottom"/>
            <w:hideMark/>
          </w:tcPr>
          <w:p w:rsidR="00367379" w:rsidRPr="00367379" w:rsidRDefault="00367379" w:rsidP="00241DAB">
            <w:pPr>
              <w:spacing w:after="0" w:line="240" w:lineRule="auto"/>
              <w:jc w:val="left"/>
              <w:outlineLvl w:val="9"/>
              <w:rPr>
                <w:rFonts w:ascii="Times New Roman" w:eastAsia="Times New Roman" w:hAnsi="Times New Roman" w:cs="Times New Roman"/>
                <w:color w:val="000000"/>
                <w:sz w:val="20"/>
                <w:szCs w:val="20"/>
                <w:lang w:val="en-US"/>
              </w:rPr>
            </w:pPr>
            <w:r w:rsidRPr="00367379">
              <w:rPr>
                <w:rFonts w:ascii="Times New Roman" w:eastAsia="Times New Roman" w:hAnsi="Times New Roman" w:cs="Times New Roman"/>
                <w:color w:val="000000"/>
                <w:sz w:val="20"/>
                <w:szCs w:val="20"/>
                <w:lang w:val="en-US"/>
              </w:rPr>
              <w:t>1.003</w:t>
            </w:r>
          </w:p>
        </w:tc>
      </w:tr>
    </w:tbl>
    <w:p w:rsidR="00367379" w:rsidRPr="00F52494" w:rsidRDefault="00367379" w:rsidP="00367379">
      <w:pPr>
        <w:pStyle w:val="ListParagraph"/>
        <w:ind w:left="0"/>
        <w:rPr>
          <w:sz w:val="16"/>
          <w:szCs w:val="16"/>
          <w:lang w:val="en-US"/>
        </w:rPr>
      </w:pPr>
      <w:r w:rsidRPr="00F52494">
        <w:rPr>
          <w:sz w:val="16"/>
          <w:szCs w:val="16"/>
          <w:lang w:val="en-US"/>
        </w:rPr>
        <w:t>** and * indicate significance at the 1% and 5% levels respectively</w:t>
      </w:r>
    </w:p>
    <w:p w:rsidR="00F52494" w:rsidRPr="003F0A46" w:rsidRDefault="00F52494" w:rsidP="008A70FC">
      <w:pPr>
        <w:spacing w:after="0"/>
        <w:rPr>
          <w:b/>
          <w:bCs/>
          <w:sz w:val="20"/>
          <w:szCs w:val="20"/>
          <w:lang w:val="en-US"/>
        </w:rPr>
      </w:pPr>
    </w:p>
    <w:p w:rsidR="004705F5" w:rsidRPr="003F0A46" w:rsidRDefault="008A70FC" w:rsidP="0026407B">
      <w:pPr>
        <w:spacing w:after="0"/>
        <w:ind w:firstLine="720"/>
        <w:rPr>
          <w:sz w:val="20"/>
          <w:szCs w:val="20"/>
          <w:lang w:val="en-US"/>
        </w:rPr>
      </w:pPr>
      <w:r>
        <w:rPr>
          <w:sz w:val="20"/>
          <w:szCs w:val="20"/>
          <w:lang w:val="en-US"/>
        </w:rPr>
        <w:lastRenderedPageBreak/>
        <w:t xml:space="preserve">We finally test whether our results </w:t>
      </w:r>
      <w:r w:rsidR="0026407B">
        <w:rPr>
          <w:sz w:val="20"/>
          <w:szCs w:val="20"/>
          <w:lang w:val="en-US"/>
        </w:rPr>
        <w:t xml:space="preserve">differ across different firm size categories. </w:t>
      </w:r>
      <w:r w:rsidR="0024533A" w:rsidRPr="003F0A46">
        <w:rPr>
          <w:sz w:val="20"/>
          <w:szCs w:val="20"/>
          <w:lang w:val="en-US"/>
        </w:rPr>
        <w:t>The sample is divided into small a</w:t>
      </w:r>
      <w:r w:rsidR="0026407B">
        <w:rPr>
          <w:sz w:val="20"/>
          <w:szCs w:val="20"/>
          <w:lang w:val="en-US"/>
        </w:rPr>
        <w:t xml:space="preserve">nd large market capitalization </w:t>
      </w:r>
      <w:r w:rsidR="0026407B" w:rsidRPr="0026407B">
        <w:rPr>
          <w:sz w:val="20"/>
          <w:szCs w:val="20"/>
          <w:lang w:val="en-US"/>
        </w:rPr>
        <w:t>where the top one third of stocks constitutes the large market capitalization stocks and the bottom one third constructs the small market capitalization stocks</w:t>
      </w:r>
      <w:r w:rsidR="0024533A" w:rsidRPr="003F0A46">
        <w:rPr>
          <w:sz w:val="20"/>
          <w:szCs w:val="20"/>
          <w:lang w:val="en-US"/>
        </w:rPr>
        <w:t>. The results for the large market capitalization</w:t>
      </w:r>
      <w:r w:rsidR="0026407B">
        <w:rPr>
          <w:sz w:val="20"/>
          <w:szCs w:val="20"/>
          <w:lang w:val="en-US"/>
        </w:rPr>
        <w:t xml:space="preserve"> stocks are presented in Table 4 and for the small capitalization stocks in Table 5. </w:t>
      </w:r>
    </w:p>
    <w:p w:rsidR="0026407B" w:rsidRPr="0026407B" w:rsidRDefault="0026407B" w:rsidP="0026407B">
      <w:pPr>
        <w:pStyle w:val="Caption"/>
        <w:keepNext/>
        <w:spacing w:after="0"/>
        <w:rPr>
          <w:color w:val="auto"/>
          <w:sz w:val="20"/>
          <w:szCs w:val="20"/>
        </w:rPr>
      </w:pPr>
      <w:r w:rsidRPr="0026407B">
        <w:rPr>
          <w:color w:val="auto"/>
          <w:sz w:val="20"/>
          <w:szCs w:val="20"/>
        </w:rPr>
        <w:t xml:space="preserve">Table </w:t>
      </w:r>
      <w:r w:rsidR="00DD04B4" w:rsidRPr="0026407B">
        <w:rPr>
          <w:color w:val="auto"/>
          <w:sz w:val="20"/>
          <w:szCs w:val="20"/>
        </w:rPr>
        <w:fldChar w:fldCharType="begin"/>
      </w:r>
      <w:r w:rsidRPr="0026407B">
        <w:rPr>
          <w:color w:val="auto"/>
          <w:sz w:val="20"/>
          <w:szCs w:val="20"/>
        </w:rPr>
        <w:instrText xml:space="preserve"> SEQ Table \* ARABIC </w:instrText>
      </w:r>
      <w:r w:rsidR="00DD04B4" w:rsidRPr="0026407B">
        <w:rPr>
          <w:color w:val="auto"/>
          <w:sz w:val="20"/>
          <w:szCs w:val="20"/>
        </w:rPr>
        <w:fldChar w:fldCharType="separate"/>
      </w:r>
      <w:r>
        <w:rPr>
          <w:noProof/>
          <w:color w:val="auto"/>
          <w:sz w:val="20"/>
          <w:szCs w:val="20"/>
        </w:rPr>
        <w:t>4</w:t>
      </w:r>
      <w:r w:rsidR="00DD04B4" w:rsidRPr="0026407B">
        <w:rPr>
          <w:color w:val="auto"/>
          <w:sz w:val="20"/>
          <w:szCs w:val="20"/>
        </w:rPr>
        <w:fldChar w:fldCharType="end"/>
      </w:r>
      <w:r>
        <w:rPr>
          <w:color w:val="auto"/>
          <w:sz w:val="20"/>
          <w:szCs w:val="20"/>
        </w:rPr>
        <w:t xml:space="preserve"> </w:t>
      </w:r>
      <w:r w:rsidRPr="0026407B">
        <w:rPr>
          <w:color w:val="auto"/>
          <w:sz w:val="20"/>
          <w:szCs w:val="20"/>
          <w:lang w:val="en-US"/>
        </w:rPr>
        <w:t>Testing under-reaction hypothesis within large capitalization stocks</w:t>
      </w:r>
    </w:p>
    <w:tbl>
      <w:tblPr>
        <w:tblStyle w:val="TableGrid"/>
        <w:tblW w:w="5469" w:type="pct"/>
        <w:jc w:val="center"/>
        <w:tblBorders>
          <w:left w:val="none" w:sz="0" w:space="0" w:color="auto"/>
          <w:right w:val="none" w:sz="0" w:space="0" w:color="auto"/>
          <w:insideH w:val="none" w:sz="0" w:space="0" w:color="auto"/>
          <w:insideV w:val="none" w:sz="0" w:space="0" w:color="auto"/>
        </w:tblBorders>
        <w:tblLayout w:type="fixed"/>
        <w:tblLook w:val="04A0"/>
      </w:tblPr>
      <w:tblGrid>
        <w:gridCol w:w="510"/>
        <w:gridCol w:w="1307"/>
        <w:gridCol w:w="1083"/>
        <w:gridCol w:w="972"/>
        <w:gridCol w:w="972"/>
        <w:gridCol w:w="972"/>
        <w:gridCol w:w="913"/>
        <w:gridCol w:w="913"/>
        <w:gridCol w:w="913"/>
        <w:gridCol w:w="913"/>
        <w:gridCol w:w="1006"/>
      </w:tblGrid>
      <w:tr w:rsidR="003C63A3" w:rsidRPr="0026407B" w:rsidTr="00241DAB">
        <w:trPr>
          <w:cantSplit/>
          <w:trHeight w:val="20"/>
          <w:jc w:val="center"/>
        </w:trPr>
        <w:tc>
          <w:tcPr>
            <w:tcW w:w="243" w:type="pct"/>
            <w:vMerge w:val="restart"/>
            <w:textDirection w:val="btLr"/>
            <w:vAlign w:val="center"/>
          </w:tcPr>
          <w:p w:rsidR="003C63A3" w:rsidRPr="0026407B" w:rsidRDefault="003C63A3" w:rsidP="0026407B">
            <w:pPr>
              <w:spacing w:line="240" w:lineRule="auto"/>
              <w:ind w:left="113" w:right="113"/>
              <w:jc w:val="center"/>
              <w:outlineLvl w:val="9"/>
              <w:rPr>
                <w:rFonts w:eastAsia="Times New Roman"/>
                <w:sz w:val="20"/>
                <w:szCs w:val="20"/>
                <w:lang w:val="en-US" w:eastAsia="en-CA"/>
              </w:rPr>
            </w:pPr>
            <w:r w:rsidRPr="0026407B">
              <w:rPr>
                <w:rFonts w:eastAsia="Times New Roman"/>
                <w:sz w:val="20"/>
                <w:szCs w:val="20"/>
                <w:lang w:val="en-US" w:eastAsia="en-CA"/>
              </w:rPr>
              <w:t>Portfolio</w:t>
            </w:r>
          </w:p>
        </w:tc>
        <w:tc>
          <w:tcPr>
            <w:tcW w:w="624" w:type="pct"/>
            <w:vMerge w:val="restart"/>
            <w:tcBorders>
              <w:top w:val="single" w:sz="4" w:space="0" w:color="auto"/>
              <w:bottom w:val="nil"/>
            </w:tcBorders>
            <w:noWrap/>
            <w:vAlign w:val="center"/>
            <w:hideMark/>
          </w:tcPr>
          <w:p w:rsidR="003C63A3" w:rsidRPr="0026407B" w:rsidRDefault="003C63A3" w:rsidP="0026407B">
            <w:pPr>
              <w:spacing w:line="240" w:lineRule="auto"/>
              <w:jc w:val="center"/>
              <w:outlineLvl w:val="9"/>
              <w:rPr>
                <w:rFonts w:eastAsia="Times New Roman"/>
                <w:sz w:val="20"/>
                <w:szCs w:val="20"/>
                <w:lang w:val="en-US" w:eastAsia="en-CA"/>
              </w:rPr>
            </w:pPr>
          </w:p>
        </w:tc>
        <w:tc>
          <w:tcPr>
            <w:tcW w:w="517" w:type="pct"/>
            <w:vMerge w:val="restart"/>
            <w:tcBorders>
              <w:top w:val="single" w:sz="4" w:space="0" w:color="auto"/>
              <w:bottom w:val="nil"/>
            </w:tcBorders>
            <w:noWrap/>
            <w:vAlign w:val="center"/>
            <w:hideMark/>
          </w:tcPr>
          <w:p w:rsidR="003C63A3" w:rsidRPr="0026407B" w:rsidRDefault="003C63A3" w:rsidP="0026407B">
            <w:pPr>
              <w:spacing w:line="240" w:lineRule="auto"/>
              <w:jc w:val="center"/>
              <w:outlineLvl w:val="9"/>
              <w:rPr>
                <w:rFonts w:eastAsia="Times New Roman"/>
                <w:sz w:val="20"/>
                <w:szCs w:val="20"/>
                <w:lang w:val="en-US" w:eastAsia="en-CA"/>
              </w:rPr>
            </w:pPr>
            <w:r w:rsidRPr="0026407B">
              <w:rPr>
                <w:rFonts w:eastAsia="Times New Roman"/>
                <w:sz w:val="20"/>
                <w:szCs w:val="20"/>
                <w:lang w:val="en-US" w:eastAsia="en-CA"/>
              </w:rPr>
              <w:t>Formation Period</w:t>
            </w:r>
          </w:p>
        </w:tc>
        <w:tc>
          <w:tcPr>
            <w:tcW w:w="3616" w:type="pct"/>
            <w:gridSpan w:val="8"/>
            <w:tcBorders>
              <w:top w:val="single" w:sz="4" w:space="0" w:color="auto"/>
              <w:bottom w:val="nil"/>
            </w:tcBorders>
            <w:noWrap/>
            <w:vAlign w:val="center"/>
            <w:hideMark/>
          </w:tcPr>
          <w:p w:rsidR="003C63A3" w:rsidRPr="0026407B" w:rsidRDefault="003C63A3" w:rsidP="0026407B">
            <w:pPr>
              <w:spacing w:line="240" w:lineRule="auto"/>
              <w:jc w:val="center"/>
              <w:outlineLvl w:val="9"/>
              <w:rPr>
                <w:rFonts w:eastAsia="Times New Roman"/>
                <w:sz w:val="20"/>
                <w:szCs w:val="20"/>
                <w:lang w:val="en-US" w:eastAsia="en-CA"/>
              </w:rPr>
            </w:pPr>
            <w:r w:rsidRPr="0026407B">
              <w:rPr>
                <w:rFonts w:eastAsia="Times New Roman"/>
                <w:sz w:val="20"/>
                <w:szCs w:val="20"/>
                <w:lang w:val="en-US" w:eastAsia="en-CA"/>
              </w:rPr>
              <w:t>Holding Period (weeks)</w:t>
            </w:r>
          </w:p>
          <w:p w:rsidR="003C63A3" w:rsidRPr="0026407B" w:rsidRDefault="003C63A3" w:rsidP="0026407B">
            <w:pPr>
              <w:spacing w:line="240" w:lineRule="auto"/>
              <w:jc w:val="center"/>
              <w:outlineLvl w:val="9"/>
              <w:rPr>
                <w:rFonts w:eastAsia="Times New Roman"/>
                <w:sz w:val="20"/>
                <w:szCs w:val="20"/>
                <w:lang w:val="en-US" w:eastAsia="en-CA"/>
              </w:rPr>
            </w:pPr>
          </w:p>
        </w:tc>
      </w:tr>
      <w:tr w:rsidR="0026407B" w:rsidRPr="0026407B" w:rsidTr="00241DAB">
        <w:trPr>
          <w:cantSplit/>
          <w:trHeight w:val="20"/>
          <w:jc w:val="center"/>
        </w:trPr>
        <w:tc>
          <w:tcPr>
            <w:tcW w:w="243" w:type="pct"/>
            <w:vMerge/>
            <w:vAlign w:val="center"/>
          </w:tcPr>
          <w:p w:rsidR="003C63A3" w:rsidRPr="0026407B" w:rsidRDefault="003C63A3" w:rsidP="0026407B">
            <w:pPr>
              <w:spacing w:line="240" w:lineRule="auto"/>
              <w:jc w:val="center"/>
              <w:outlineLvl w:val="9"/>
              <w:rPr>
                <w:rFonts w:eastAsia="Times New Roman"/>
                <w:sz w:val="20"/>
                <w:szCs w:val="20"/>
                <w:lang w:val="en-US" w:eastAsia="en-CA"/>
              </w:rPr>
            </w:pPr>
          </w:p>
        </w:tc>
        <w:tc>
          <w:tcPr>
            <w:tcW w:w="624" w:type="pct"/>
            <w:vMerge/>
            <w:tcBorders>
              <w:top w:val="nil"/>
              <w:bottom w:val="single" w:sz="4" w:space="0" w:color="auto"/>
            </w:tcBorders>
            <w:noWrap/>
            <w:vAlign w:val="center"/>
            <w:hideMark/>
          </w:tcPr>
          <w:p w:rsidR="003C63A3" w:rsidRPr="0026407B" w:rsidRDefault="003C63A3" w:rsidP="0026407B">
            <w:pPr>
              <w:spacing w:line="240" w:lineRule="auto"/>
              <w:jc w:val="center"/>
              <w:outlineLvl w:val="9"/>
              <w:rPr>
                <w:rFonts w:eastAsia="Times New Roman"/>
                <w:sz w:val="20"/>
                <w:szCs w:val="20"/>
                <w:lang w:val="en-US" w:eastAsia="en-CA"/>
              </w:rPr>
            </w:pPr>
          </w:p>
        </w:tc>
        <w:tc>
          <w:tcPr>
            <w:tcW w:w="517" w:type="pct"/>
            <w:vMerge/>
            <w:tcBorders>
              <w:top w:val="nil"/>
              <w:bottom w:val="single" w:sz="4" w:space="0" w:color="auto"/>
            </w:tcBorders>
            <w:noWrap/>
            <w:vAlign w:val="center"/>
            <w:hideMark/>
          </w:tcPr>
          <w:p w:rsidR="003C63A3" w:rsidRPr="0026407B" w:rsidRDefault="003C63A3" w:rsidP="0026407B">
            <w:pPr>
              <w:spacing w:line="240" w:lineRule="auto"/>
              <w:jc w:val="center"/>
              <w:outlineLvl w:val="9"/>
              <w:rPr>
                <w:rFonts w:eastAsia="Times New Roman"/>
                <w:sz w:val="20"/>
                <w:szCs w:val="20"/>
                <w:lang w:val="en-US" w:eastAsia="en-CA"/>
              </w:rPr>
            </w:pPr>
          </w:p>
        </w:tc>
        <w:tc>
          <w:tcPr>
            <w:tcW w:w="464" w:type="pct"/>
            <w:tcBorders>
              <w:top w:val="nil"/>
              <w:bottom w:val="single" w:sz="4" w:space="0" w:color="auto"/>
            </w:tcBorders>
            <w:noWrap/>
            <w:vAlign w:val="center"/>
            <w:hideMark/>
          </w:tcPr>
          <w:p w:rsidR="003C63A3" w:rsidRPr="0026407B" w:rsidRDefault="003C63A3" w:rsidP="0026407B">
            <w:pPr>
              <w:spacing w:line="240" w:lineRule="auto"/>
              <w:jc w:val="center"/>
              <w:outlineLvl w:val="9"/>
              <w:rPr>
                <w:rFonts w:eastAsia="Times New Roman"/>
                <w:sz w:val="20"/>
                <w:szCs w:val="20"/>
                <w:lang w:val="en-US" w:eastAsia="en-CA"/>
              </w:rPr>
            </w:pPr>
            <w:r w:rsidRPr="0026407B">
              <w:rPr>
                <w:rFonts w:eastAsia="Times New Roman"/>
                <w:sz w:val="20"/>
                <w:szCs w:val="20"/>
                <w:lang w:val="en-US" w:eastAsia="en-CA"/>
              </w:rPr>
              <w:t>1</w:t>
            </w:r>
          </w:p>
        </w:tc>
        <w:tc>
          <w:tcPr>
            <w:tcW w:w="464" w:type="pct"/>
            <w:tcBorders>
              <w:top w:val="nil"/>
              <w:bottom w:val="single" w:sz="4" w:space="0" w:color="auto"/>
            </w:tcBorders>
            <w:noWrap/>
            <w:vAlign w:val="center"/>
            <w:hideMark/>
          </w:tcPr>
          <w:p w:rsidR="003C63A3" w:rsidRPr="0026407B" w:rsidRDefault="003C63A3" w:rsidP="0026407B">
            <w:pPr>
              <w:spacing w:line="240" w:lineRule="auto"/>
              <w:jc w:val="center"/>
              <w:outlineLvl w:val="9"/>
              <w:rPr>
                <w:rFonts w:eastAsia="Times New Roman"/>
                <w:sz w:val="20"/>
                <w:szCs w:val="20"/>
                <w:lang w:val="en-US" w:eastAsia="en-CA"/>
              </w:rPr>
            </w:pPr>
            <w:r w:rsidRPr="0026407B">
              <w:rPr>
                <w:rFonts w:eastAsia="Times New Roman"/>
                <w:sz w:val="20"/>
                <w:szCs w:val="20"/>
                <w:lang w:val="en-US" w:eastAsia="en-CA"/>
              </w:rPr>
              <w:t>2</w:t>
            </w:r>
          </w:p>
        </w:tc>
        <w:tc>
          <w:tcPr>
            <w:tcW w:w="464" w:type="pct"/>
            <w:tcBorders>
              <w:top w:val="nil"/>
              <w:bottom w:val="single" w:sz="4" w:space="0" w:color="auto"/>
            </w:tcBorders>
            <w:noWrap/>
            <w:vAlign w:val="center"/>
            <w:hideMark/>
          </w:tcPr>
          <w:p w:rsidR="003C63A3" w:rsidRPr="0026407B" w:rsidRDefault="003C63A3" w:rsidP="0026407B">
            <w:pPr>
              <w:spacing w:line="240" w:lineRule="auto"/>
              <w:jc w:val="center"/>
              <w:outlineLvl w:val="9"/>
              <w:rPr>
                <w:rFonts w:eastAsia="Times New Roman"/>
                <w:sz w:val="20"/>
                <w:szCs w:val="20"/>
                <w:lang w:val="en-US" w:eastAsia="en-CA"/>
              </w:rPr>
            </w:pPr>
            <w:r w:rsidRPr="0026407B">
              <w:rPr>
                <w:rFonts w:eastAsia="Times New Roman"/>
                <w:sz w:val="20"/>
                <w:szCs w:val="20"/>
                <w:lang w:val="en-US" w:eastAsia="en-CA"/>
              </w:rPr>
              <w:t>3</w:t>
            </w:r>
          </w:p>
        </w:tc>
        <w:tc>
          <w:tcPr>
            <w:tcW w:w="436" w:type="pct"/>
            <w:tcBorders>
              <w:top w:val="nil"/>
              <w:bottom w:val="single" w:sz="4" w:space="0" w:color="auto"/>
            </w:tcBorders>
            <w:noWrap/>
            <w:vAlign w:val="center"/>
            <w:hideMark/>
          </w:tcPr>
          <w:p w:rsidR="003C63A3" w:rsidRPr="0026407B" w:rsidRDefault="003C63A3" w:rsidP="0026407B">
            <w:pPr>
              <w:spacing w:line="240" w:lineRule="auto"/>
              <w:jc w:val="center"/>
              <w:outlineLvl w:val="9"/>
              <w:rPr>
                <w:rFonts w:eastAsia="Times New Roman"/>
                <w:sz w:val="20"/>
                <w:szCs w:val="20"/>
                <w:lang w:val="en-US" w:eastAsia="en-CA"/>
              </w:rPr>
            </w:pPr>
            <w:r w:rsidRPr="0026407B">
              <w:rPr>
                <w:rFonts w:eastAsia="Times New Roman"/>
                <w:sz w:val="20"/>
                <w:szCs w:val="20"/>
                <w:lang w:val="en-US" w:eastAsia="en-CA"/>
              </w:rPr>
              <w:t>4</w:t>
            </w:r>
          </w:p>
        </w:tc>
        <w:tc>
          <w:tcPr>
            <w:tcW w:w="436" w:type="pct"/>
            <w:tcBorders>
              <w:top w:val="nil"/>
              <w:bottom w:val="single" w:sz="4" w:space="0" w:color="auto"/>
            </w:tcBorders>
            <w:noWrap/>
            <w:vAlign w:val="center"/>
            <w:hideMark/>
          </w:tcPr>
          <w:p w:rsidR="003C63A3" w:rsidRPr="0026407B" w:rsidRDefault="003C63A3" w:rsidP="0026407B">
            <w:pPr>
              <w:spacing w:line="240" w:lineRule="auto"/>
              <w:jc w:val="center"/>
              <w:outlineLvl w:val="9"/>
              <w:rPr>
                <w:rFonts w:eastAsia="Times New Roman"/>
                <w:sz w:val="20"/>
                <w:szCs w:val="20"/>
                <w:lang w:val="en-US" w:eastAsia="en-CA"/>
              </w:rPr>
            </w:pPr>
            <w:r w:rsidRPr="0026407B">
              <w:rPr>
                <w:rFonts w:eastAsia="Times New Roman"/>
                <w:sz w:val="20"/>
                <w:szCs w:val="20"/>
                <w:lang w:val="en-US" w:eastAsia="en-CA"/>
              </w:rPr>
              <w:t>12</w:t>
            </w:r>
          </w:p>
        </w:tc>
        <w:tc>
          <w:tcPr>
            <w:tcW w:w="436" w:type="pct"/>
            <w:tcBorders>
              <w:top w:val="nil"/>
              <w:bottom w:val="single" w:sz="4" w:space="0" w:color="auto"/>
            </w:tcBorders>
            <w:noWrap/>
            <w:vAlign w:val="center"/>
            <w:hideMark/>
          </w:tcPr>
          <w:p w:rsidR="003C63A3" w:rsidRPr="0026407B" w:rsidRDefault="003C63A3" w:rsidP="0026407B">
            <w:pPr>
              <w:spacing w:line="240" w:lineRule="auto"/>
              <w:jc w:val="center"/>
              <w:outlineLvl w:val="9"/>
              <w:rPr>
                <w:rFonts w:eastAsia="Times New Roman"/>
                <w:sz w:val="20"/>
                <w:szCs w:val="20"/>
                <w:lang w:val="en-US" w:eastAsia="en-CA"/>
              </w:rPr>
            </w:pPr>
            <w:r w:rsidRPr="0026407B">
              <w:rPr>
                <w:rFonts w:eastAsia="Times New Roman"/>
                <w:sz w:val="20"/>
                <w:szCs w:val="20"/>
                <w:lang w:val="en-US" w:eastAsia="en-CA"/>
              </w:rPr>
              <w:t>24</w:t>
            </w:r>
          </w:p>
        </w:tc>
        <w:tc>
          <w:tcPr>
            <w:tcW w:w="436" w:type="pct"/>
            <w:tcBorders>
              <w:top w:val="nil"/>
              <w:bottom w:val="single" w:sz="4" w:space="0" w:color="auto"/>
            </w:tcBorders>
            <w:noWrap/>
            <w:vAlign w:val="center"/>
            <w:hideMark/>
          </w:tcPr>
          <w:p w:rsidR="003C63A3" w:rsidRPr="0026407B" w:rsidRDefault="003C63A3" w:rsidP="0026407B">
            <w:pPr>
              <w:spacing w:line="240" w:lineRule="auto"/>
              <w:jc w:val="center"/>
              <w:outlineLvl w:val="9"/>
              <w:rPr>
                <w:rFonts w:eastAsia="Times New Roman"/>
                <w:sz w:val="20"/>
                <w:szCs w:val="20"/>
                <w:lang w:val="en-US" w:eastAsia="en-CA"/>
              </w:rPr>
            </w:pPr>
            <w:r w:rsidRPr="0026407B">
              <w:rPr>
                <w:rFonts w:eastAsia="Times New Roman"/>
                <w:sz w:val="20"/>
                <w:szCs w:val="20"/>
                <w:lang w:val="en-US" w:eastAsia="en-CA"/>
              </w:rPr>
              <w:t>36</w:t>
            </w:r>
          </w:p>
        </w:tc>
        <w:tc>
          <w:tcPr>
            <w:tcW w:w="480" w:type="pct"/>
            <w:tcBorders>
              <w:top w:val="nil"/>
              <w:bottom w:val="single" w:sz="4" w:space="0" w:color="auto"/>
            </w:tcBorders>
            <w:noWrap/>
            <w:vAlign w:val="center"/>
            <w:hideMark/>
          </w:tcPr>
          <w:p w:rsidR="003C63A3" w:rsidRPr="0026407B" w:rsidRDefault="003C63A3" w:rsidP="0026407B">
            <w:pPr>
              <w:spacing w:line="240" w:lineRule="auto"/>
              <w:jc w:val="center"/>
              <w:outlineLvl w:val="9"/>
              <w:rPr>
                <w:rFonts w:eastAsia="Times New Roman"/>
                <w:sz w:val="20"/>
                <w:szCs w:val="20"/>
                <w:lang w:val="en-US" w:eastAsia="en-CA"/>
              </w:rPr>
            </w:pPr>
            <w:r w:rsidRPr="0026407B">
              <w:rPr>
                <w:rFonts w:eastAsia="Times New Roman"/>
                <w:sz w:val="20"/>
                <w:szCs w:val="20"/>
                <w:lang w:val="en-US" w:eastAsia="en-CA"/>
              </w:rPr>
              <w:t>52</w:t>
            </w:r>
          </w:p>
        </w:tc>
      </w:tr>
      <w:tr w:rsidR="003C63A3" w:rsidRPr="0026407B" w:rsidTr="00241DAB">
        <w:trPr>
          <w:cantSplit/>
          <w:trHeight w:val="20"/>
          <w:jc w:val="center"/>
        </w:trPr>
        <w:tc>
          <w:tcPr>
            <w:tcW w:w="243" w:type="pct"/>
            <w:vMerge/>
            <w:vAlign w:val="center"/>
          </w:tcPr>
          <w:p w:rsidR="003C63A3" w:rsidRPr="0026407B" w:rsidRDefault="003C63A3" w:rsidP="0026407B">
            <w:pPr>
              <w:spacing w:line="240" w:lineRule="auto"/>
              <w:jc w:val="center"/>
              <w:outlineLvl w:val="9"/>
              <w:rPr>
                <w:rFonts w:eastAsia="Times New Roman"/>
                <w:b/>
                <w:bCs/>
                <w:sz w:val="20"/>
                <w:szCs w:val="20"/>
                <w:lang w:val="en-US" w:eastAsia="en-CA"/>
              </w:rPr>
            </w:pPr>
          </w:p>
        </w:tc>
        <w:tc>
          <w:tcPr>
            <w:tcW w:w="4757" w:type="pct"/>
            <w:gridSpan w:val="10"/>
            <w:tcBorders>
              <w:top w:val="single" w:sz="4" w:space="0" w:color="auto"/>
            </w:tcBorders>
            <w:noWrap/>
            <w:vAlign w:val="center"/>
            <w:hideMark/>
          </w:tcPr>
          <w:p w:rsidR="003C63A3" w:rsidRPr="0026407B" w:rsidRDefault="003C63A3" w:rsidP="0026407B">
            <w:pPr>
              <w:spacing w:line="240" w:lineRule="auto"/>
              <w:jc w:val="center"/>
              <w:outlineLvl w:val="9"/>
              <w:rPr>
                <w:rFonts w:eastAsia="Times New Roman"/>
                <w:b/>
                <w:bCs/>
                <w:sz w:val="20"/>
                <w:szCs w:val="20"/>
                <w:lang w:val="en-US" w:eastAsia="en-CA"/>
              </w:rPr>
            </w:pPr>
            <w:r w:rsidRPr="0026407B">
              <w:rPr>
                <w:rFonts w:eastAsia="Times New Roman"/>
                <w:b/>
                <w:bCs/>
                <w:sz w:val="20"/>
                <w:szCs w:val="20"/>
                <w:lang w:val="en-US" w:eastAsia="en-CA"/>
              </w:rPr>
              <w:t>Winners</w:t>
            </w:r>
          </w:p>
        </w:tc>
      </w:tr>
      <w:tr w:rsidR="00241DAB" w:rsidRPr="003F0A46" w:rsidTr="00241DAB">
        <w:trPr>
          <w:cantSplit/>
          <w:trHeight w:val="20"/>
          <w:jc w:val="center"/>
        </w:trPr>
        <w:tc>
          <w:tcPr>
            <w:tcW w:w="243" w:type="pct"/>
            <w:vMerge/>
            <w:vAlign w:val="center"/>
          </w:tcPr>
          <w:p w:rsidR="00241DAB" w:rsidRPr="003F0A46" w:rsidRDefault="00241DAB" w:rsidP="00241DAB">
            <w:pPr>
              <w:spacing w:line="240" w:lineRule="auto"/>
              <w:jc w:val="center"/>
              <w:outlineLvl w:val="9"/>
              <w:rPr>
                <w:rFonts w:eastAsia="Times New Roman"/>
                <w:color w:val="000000"/>
                <w:sz w:val="20"/>
                <w:szCs w:val="20"/>
                <w:lang w:val="en-US" w:eastAsia="en-CA"/>
              </w:rPr>
            </w:pPr>
          </w:p>
        </w:tc>
        <w:tc>
          <w:tcPr>
            <w:tcW w:w="624"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ACAR</w:t>
            </w:r>
            <w:r>
              <w:rPr>
                <w:rFonts w:eastAsia="Times New Roman"/>
                <w:color w:val="000000"/>
                <w:sz w:val="20"/>
                <w:szCs w:val="20"/>
                <w:lang w:val="en-US" w:eastAsia="en-CA"/>
              </w:rPr>
              <w:t xml:space="preserve"> (%)</w:t>
            </w:r>
          </w:p>
        </w:tc>
        <w:tc>
          <w:tcPr>
            <w:tcW w:w="517"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5.171**</w:t>
            </w:r>
          </w:p>
        </w:tc>
        <w:tc>
          <w:tcPr>
            <w:tcW w:w="464"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0.087</w:t>
            </w:r>
          </w:p>
        </w:tc>
        <w:tc>
          <w:tcPr>
            <w:tcW w:w="464"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-0.412</w:t>
            </w:r>
          </w:p>
        </w:tc>
        <w:tc>
          <w:tcPr>
            <w:tcW w:w="464"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-0.668</w:t>
            </w:r>
          </w:p>
        </w:tc>
        <w:tc>
          <w:tcPr>
            <w:tcW w:w="436"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-1.028</w:t>
            </w:r>
          </w:p>
        </w:tc>
        <w:tc>
          <w:tcPr>
            <w:tcW w:w="436"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-3.001</w:t>
            </w:r>
          </w:p>
        </w:tc>
        <w:tc>
          <w:tcPr>
            <w:tcW w:w="436"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-5.713</w:t>
            </w:r>
          </w:p>
        </w:tc>
        <w:tc>
          <w:tcPr>
            <w:tcW w:w="436"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-8.089</w:t>
            </w:r>
          </w:p>
        </w:tc>
        <w:tc>
          <w:tcPr>
            <w:tcW w:w="480"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-10.714</w:t>
            </w:r>
          </w:p>
        </w:tc>
      </w:tr>
      <w:tr w:rsidR="00241DAB" w:rsidRPr="003F0A46" w:rsidTr="00241DAB">
        <w:trPr>
          <w:cantSplit/>
          <w:trHeight w:val="20"/>
          <w:jc w:val="center"/>
        </w:trPr>
        <w:tc>
          <w:tcPr>
            <w:tcW w:w="243" w:type="pct"/>
            <w:vMerge/>
            <w:vAlign w:val="center"/>
          </w:tcPr>
          <w:p w:rsidR="00241DAB" w:rsidRPr="003F0A46" w:rsidRDefault="00241DAB" w:rsidP="00241DAB">
            <w:pPr>
              <w:spacing w:line="240" w:lineRule="auto"/>
              <w:jc w:val="center"/>
              <w:outlineLvl w:val="9"/>
              <w:rPr>
                <w:rFonts w:eastAsia="Times New Roman"/>
                <w:color w:val="000000"/>
                <w:sz w:val="20"/>
                <w:szCs w:val="20"/>
                <w:lang w:val="en-US" w:eastAsia="en-CA"/>
              </w:rPr>
            </w:pPr>
          </w:p>
        </w:tc>
        <w:tc>
          <w:tcPr>
            <w:tcW w:w="624"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t-stat</w:t>
            </w:r>
          </w:p>
        </w:tc>
        <w:tc>
          <w:tcPr>
            <w:tcW w:w="517"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9.697</w:t>
            </w:r>
          </w:p>
        </w:tc>
        <w:tc>
          <w:tcPr>
            <w:tcW w:w="464"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0.919</w:t>
            </w:r>
          </w:p>
        </w:tc>
        <w:tc>
          <w:tcPr>
            <w:tcW w:w="464"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-0.823</w:t>
            </w:r>
          </w:p>
        </w:tc>
        <w:tc>
          <w:tcPr>
            <w:tcW w:w="464"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-0.963</w:t>
            </w:r>
          </w:p>
        </w:tc>
        <w:tc>
          <w:tcPr>
            <w:tcW w:w="436"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-1.164</w:t>
            </w:r>
          </w:p>
        </w:tc>
        <w:tc>
          <w:tcPr>
            <w:tcW w:w="436"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-1.151</w:t>
            </w:r>
          </w:p>
        </w:tc>
        <w:tc>
          <w:tcPr>
            <w:tcW w:w="436"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-1.326</w:t>
            </w:r>
          </w:p>
        </w:tc>
        <w:tc>
          <w:tcPr>
            <w:tcW w:w="436"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-1.385</w:t>
            </w:r>
          </w:p>
        </w:tc>
        <w:tc>
          <w:tcPr>
            <w:tcW w:w="480"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-1.546</w:t>
            </w:r>
          </w:p>
        </w:tc>
      </w:tr>
      <w:tr w:rsidR="003C63A3" w:rsidRPr="003F0A46" w:rsidTr="00241DAB">
        <w:trPr>
          <w:cantSplit/>
          <w:trHeight w:val="20"/>
          <w:jc w:val="center"/>
        </w:trPr>
        <w:tc>
          <w:tcPr>
            <w:tcW w:w="243" w:type="pct"/>
            <w:vMerge/>
            <w:vAlign w:val="center"/>
          </w:tcPr>
          <w:p w:rsidR="003C63A3" w:rsidRPr="003F0A46" w:rsidRDefault="003C63A3" w:rsidP="00B65294">
            <w:pPr>
              <w:spacing w:line="240" w:lineRule="auto"/>
              <w:jc w:val="center"/>
              <w:outlineLvl w:val="9"/>
              <w:rPr>
                <w:rFonts w:eastAsia="Times New Roman"/>
                <w:b/>
                <w:bCs/>
                <w:color w:val="000000"/>
                <w:sz w:val="20"/>
                <w:szCs w:val="20"/>
                <w:lang w:val="en-US" w:eastAsia="en-CA"/>
              </w:rPr>
            </w:pPr>
          </w:p>
        </w:tc>
        <w:tc>
          <w:tcPr>
            <w:tcW w:w="4757" w:type="pct"/>
            <w:gridSpan w:val="10"/>
            <w:noWrap/>
            <w:vAlign w:val="center"/>
            <w:hideMark/>
          </w:tcPr>
          <w:p w:rsidR="003C63A3" w:rsidRPr="003F0A46" w:rsidRDefault="003C63A3" w:rsidP="00B65294">
            <w:pPr>
              <w:spacing w:line="240" w:lineRule="auto"/>
              <w:jc w:val="center"/>
              <w:outlineLvl w:val="9"/>
              <w:rPr>
                <w:rFonts w:eastAsia="Times New Roman"/>
                <w:b/>
                <w:bCs/>
                <w:color w:val="000000"/>
                <w:sz w:val="20"/>
                <w:szCs w:val="20"/>
                <w:lang w:val="en-US" w:eastAsia="en-CA"/>
              </w:rPr>
            </w:pPr>
            <w:r w:rsidRPr="003F0A46">
              <w:rPr>
                <w:rFonts w:eastAsia="Times New Roman"/>
                <w:b/>
                <w:bCs/>
                <w:color w:val="000000"/>
                <w:sz w:val="20"/>
                <w:szCs w:val="20"/>
                <w:lang w:val="en-US" w:eastAsia="en-CA"/>
              </w:rPr>
              <w:t>Losers</w:t>
            </w:r>
          </w:p>
        </w:tc>
      </w:tr>
      <w:tr w:rsidR="00241DAB" w:rsidRPr="003F0A46" w:rsidTr="00241DAB">
        <w:trPr>
          <w:cantSplit/>
          <w:trHeight w:val="20"/>
          <w:jc w:val="center"/>
        </w:trPr>
        <w:tc>
          <w:tcPr>
            <w:tcW w:w="243" w:type="pct"/>
            <w:vMerge/>
            <w:vAlign w:val="center"/>
          </w:tcPr>
          <w:p w:rsidR="00241DAB" w:rsidRPr="003F0A46" w:rsidRDefault="00241DAB" w:rsidP="00241DAB">
            <w:pPr>
              <w:spacing w:line="240" w:lineRule="auto"/>
              <w:jc w:val="center"/>
              <w:outlineLvl w:val="9"/>
              <w:rPr>
                <w:rFonts w:eastAsia="Times New Roman"/>
                <w:color w:val="000000"/>
                <w:sz w:val="20"/>
                <w:szCs w:val="20"/>
                <w:lang w:val="en-US" w:eastAsia="en-CA"/>
              </w:rPr>
            </w:pPr>
          </w:p>
        </w:tc>
        <w:tc>
          <w:tcPr>
            <w:tcW w:w="624"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ACAR</w:t>
            </w:r>
            <w:r>
              <w:rPr>
                <w:rFonts w:eastAsia="Times New Roman"/>
                <w:color w:val="000000"/>
                <w:sz w:val="20"/>
                <w:szCs w:val="20"/>
                <w:lang w:val="en-US" w:eastAsia="en-CA"/>
              </w:rPr>
              <w:t xml:space="preserve"> (%)</w:t>
            </w:r>
          </w:p>
        </w:tc>
        <w:tc>
          <w:tcPr>
            <w:tcW w:w="517"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-4.232**</w:t>
            </w:r>
          </w:p>
        </w:tc>
        <w:tc>
          <w:tcPr>
            <w:tcW w:w="464"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-0.199*</w:t>
            </w:r>
          </w:p>
        </w:tc>
        <w:tc>
          <w:tcPr>
            <w:tcW w:w="464"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-0.877</w:t>
            </w:r>
          </w:p>
        </w:tc>
        <w:tc>
          <w:tcPr>
            <w:tcW w:w="464"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-1.190</w:t>
            </w:r>
          </w:p>
        </w:tc>
        <w:tc>
          <w:tcPr>
            <w:tcW w:w="436"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-1.454</w:t>
            </w:r>
          </w:p>
        </w:tc>
        <w:tc>
          <w:tcPr>
            <w:tcW w:w="436"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-3.975</w:t>
            </w:r>
          </w:p>
        </w:tc>
        <w:tc>
          <w:tcPr>
            <w:tcW w:w="436"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-6.723</w:t>
            </w:r>
          </w:p>
        </w:tc>
        <w:tc>
          <w:tcPr>
            <w:tcW w:w="436"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-9.507</w:t>
            </w:r>
          </w:p>
        </w:tc>
        <w:tc>
          <w:tcPr>
            <w:tcW w:w="480"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-12.505</w:t>
            </w:r>
          </w:p>
        </w:tc>
      </w:tr>
      <w:tr w:rsidR="00241DAB" w:rsidRPr="003F0A46" w:rsidTr="00241DAB">
        <w:trPr>
          <w:cantSplit/>
          <w:trHeight w:val="20"/>
          <w:jc w:val="center"/>
        </w:trPr>
        <w:tc>
          <w:tcPr>
            <w:tcW w:w="243" w:type="pct"/>
            <w:vMerge/>
            <w:vAlign w:val="center"/>
          </w:tcPr>
          <w:p w:rsidR="00241DAB" w:rsidRPr="003F0A46" w:rsidRDefault="00241DAB" w:rsidP="00241DAB">
            <w:pPr>
              <w:spacing w:line="240" w:lineRule="auto"/>
              <w:jc w:val="center"/>
              <w:outlineLvl w:val="9"/>
              <w:rPr>
                <w:rFonts w:eastAsia="Times New Roman"/>
                <w:color w:val="000000"/>
                <w:sz w:val="20"/>
                <w:szCs w:val="20"/>
                <w:lang w:val="en-US" w:eastAsia="en-CA"/>
              </w:rPr>
            </w:pPr>
          </w:p>
        </w:tc>
        <w:tc>
          <w:tcPr>
            <w:tcW w:w="624"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t-stat</w:t>
            </w:r>
          </w:p>
        </w:tc>
        <w:tc>
          <w:tcPr>
            <w:tcW w:w="517"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-46.399</w:t>
            </w:r>
          </w:p>
        </w:tc>
        <w:tc>
          <w:tcPr>
            <w:tcW w:w="464"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-2.239</w:t>
            </w:r>
          </w:p>
        </w:tc>
        <w:tc>
          <w:tcPr>
            <w:tcW w:w="464"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-1.770</w:t>
            </w:r>
          </w:p>
        </w:tc>
        <w:tc>
          <w:tcPr>
            <w:tcW w:w="464"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-1.763</w:t>
            </w:r>
          </w:p>
        </w:tc>
        <w:tc>
          <w:tcPr>
            <w:tcW w:w="436"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-1.669</w:t>
            </w:r>
          </w:p>
        </w:tc>
        <w:tc>
          <w:tcPr>
            <w:tcW w:w="436"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-1.571</w:t>
            </w:r>
          </w:p>
        </w:tc>
        <w:tc>
          <w:tcPr>
            <w:tcW w:w="436"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-1.602</w:t>
            </w:r>
          </w:p>
        </w:tc>
        <w:tc>
          <w:tcPr>
            <w:tcW w:w="436"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-1.646</w:t>
            </w:r>
          </w:p>
        </w:tc>
        <w:tc>
          <w:tcPr>
            <w:tcW w:w="480"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-1.827</w:t>
            </w:r>
          </w:p>
        </w:tc>
      </w:tr>
      <w:tr w:rsidR="003C63A3" w:rsidRPr="003F0A46" w:rsidTr="00241DAB">
        <w:trPr>
          <w:cantSplit/>
          <w:trHeight w:val="20"/>
          <w:jc w:val="center"/>
        </w:trPr>
        <w:tc>
          <w:tcPr>
            <w:tcW w:w="243" w:type="pct"/>
            <w:vMerge/>
            <w:vAlign w:val="center"/>
          </w:tcPr>
          <w:p w:rsidR="003C63A3" w:rsidRPr="003F0A46" w:rsidRDefault="003C63A3" w:rsidP="00B65294">
            <w:pPr>
              <w:spacing w:line="240" w:lineRule="auto"/>
              <w:jc w:val="center"/>
              <w:outlineLvl w:val="9"/>
              <w:rPr>
                <w:rFonts w:eastAsia="Times New Roman"/>
                <w:b/>
                <w:bCs/>
                <w:color w:val="000000"/>
                <w:sz w:val="20"/>
                <w:szCs w:val="20"/>
                <w:lang w:val="en-US" w:eastAsia="en-CA"/>
              </w:rPr>
            </w:pPr>
          </w:p>
        </w:tc>
        <w:tc>
          <w:tcPr>
            <w:tcW w:w="4757" w:type="pct"/>
            <w:gridSpan w:val="10"/>
            <w:noWrap/>
            <w:vAlign w:val="center"/>
            <w:hideMark/>
          </w:tcPr>
          <w:p w:rsidR="003C63A3" w:rsidRPr="003F0A46" w:rsidRDefault="003C63A3" w:rsidP="00B65294">
            <w:pPr>
              <w:spacing w:line="240" w:lineRule="auto"/>
              <w:jc w:val="center"/>
              <w:outlineLvl w:val="9"/>
              <w:rPr>
                <w:rFonts w:eastAsia="Times New Roman"/>
                <w:b/>
                <w:bCs/>
                <w:color w:val="000000"/>
                <w:sz w:val="20"/>
                <w:szCs w:val="20"/>
                <w:lang w:val="en-US" w:eastAsia="en-CA"/>
              </w:rPr>
            </w:pPr>
            <w:r w:rsidRPr="003F0A46">
              <w:rPr>
                <w:rFonts w:eastAsia="Times New Roman"/>
                <w:b/>
                <w:bCs/>
                <w:color w:val="000000"/>
                <w:sz w:val="20"/>
                <w:szCs w:val="20"/>
                <w:lang w:val="en-US" w:eastAsia="en-CA"/>
              </w:rPr>
              <w:t>Arbitrage Portfolio</w:t>
            </w:r>
          </w:p>
        </w:tc>
      </w:tr>
      <w:tr w:rsidR="00241DAB" w:rsidRPr="003F0A46" w:rsidTr="00241DAB">
        <w:trPr>
          <w:cantSplit/>
          <w:trHeight w:val="20"/>
          <w:jc w:val="center"/>
        </w:trPr>
        <w:tc>
          <w:tcPr>
            <w:tcW w:w="243" w:type="pct"/>
            <w:vMerge/>
            <w:vAlign w:val="center"/>
          </w:tcPr>
          <w:p w:rsidR="00241DAB" w:rsidRPr="003F0A46" w:rsidRDefault="00241DAB" w:rsidP="00241DAB">
            <w:pPr>
              <w:spacing w:line="240" w:lineRule="auto"/>
              <w:jc w:val="center"/>
              <w:outlineLvl w:val="9"/>
              <w:rPr>
                <w:rFonts w:eastAsia="Times New Roman"/>
                <w:color w:val="000000"/>
                <w:sz w:val="20"/>
                <w:szCs w:val="20"/>
                <w:lang w:val="en-US" w:eastAsia="en-CA"/>
              </w:rPr>
            </w:pPr>
          </w:p>
        </w:tc>
        <w:tc>
          <w:tcPr>
            <w:tcW w:w="624"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ACAR</w:t>
            </w:r>
            <w:r>
              <w:rPr>
                <w:rFonts w:eastAsia="Times New Roman"/>
                <w:color w:val="000000"/>
                <w:sz w:val="20"/>
                <w:szCs w:val="20"/>
                <w:lang w:val="en-US" w:eastAsia="en-CA"/>
              </w:rPr>
              <w:t xml:space="preserve"> (%)</w:t>
            </w:r>
          </w:p>
        </w:tc>
        <w:tc>
          <w:tcPr>
            <w:tcW w:w="517"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-9.403**</w:t>
            </w:r>
          </w:p>
        </w:tc>
        <w:tc>
          <w:tcPr>
            <w:tcW w:w="464"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-0.286**</w:t>
            </w:r>
          </w:p>
        </w:tc>
        <w:tc>
          <w:tcPr>
            <w:tcW w:w="464"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-0.466**</w:t>
            </w:r>
          </w:p>
        </w:tc>
        <w:tc>
          <w:tcPr>
            <w:tcW w:w="464"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-0.522**</w:t>
            </w:r>
          </w:p>
        </w:tc>
        <w:tc>
          <w:tcPr>
            <w:tcW w:w="436"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-0.425*</w:t>
            </w:r>
          </w:p>
        </w:tc>
        <w:tc>
          <w:tcPr>
            <w:tcW w:w="436"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-0.974</w:t>
            </w:r>
          </w:p>
        </w:tc>
        <w:tc>
          <w:tcPr>
            <w:tcW w:w="436"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-1.010</w:t>
            </w:r>
          </w:p>
        </w:tc>
        <w:tc>
          <w:tcPr>
            <w:tcW w:w="436"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-1.419</w:t>
            </w:r>
          </w:p>
        </w:tc>
        <w:tc>
          <w:tcPr>
            <w:tcW w:w="480"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-1.792*</w:t>
            </w:r>
          </w:p>
        </w:tc>
      </w:tr>
      <w:tr w:rsidR="00241DAB" w:rsidRPr="003F0A46" w:rsidTr="00241DAB">
        <w:trPr>
          <w:cantSplit/>
          <w:trHeight w:val="20"/>
          <w:jc w:val="center"/>
        </w:trPr>
        <w:tc>
          <w:tcPr>
            <w:tcW w:w="243" w:type="pct"/>
            <w:vMerge/>
            <w:vAlign w:val="center"/>
          </w:tcPr>
          <w:p w:rsidR="00241DAB" w:rsidRPr="003F0A46" w:rsidRDefault="00241DAB" w:rsidP="00241DAB">
            <w:pPr>
              <w:spacing w:line="240" w:lineRule="auto"/>
              <w:jc w:val="center"/>
              <w:outlineLvl w:val="9"/>
              <w:rPr>
                <w:rFonts w:eastAsia="Times New Roman"/>
                <w:color w:val="000000"/>
                <w:sz w:val="20"/>
                <w:szCs w:val="20"/>
                <w:lang w:val="en-US" w:eastAsia="en-CA"/>
              </w:rPr>
            </w:pPr>
          </w:p>
        </w:tc>
        <w:tc>
          <w:tcPr>
            <w:tcW w:w="624"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t-stat</w:t>
            </w:r>
          </w:p>
        </w:tc>
        <w:tc>
          <w:tcPr>
            <w:tcW w:w="517"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-17.542</w:t>
            </w:r>
          </w:p>
        </w:tc>
        <w:tc>
          <w:tcPr>
            <w:tcW w:w="464"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-2.761</w:t>
            </w:r>
          </w:p>
        </w:tc>
        <w:tc>
          <w:tcPr>
            <w:tcW w:w="464"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-3.309</w:t>
            </w:r>
          </w:p>
        </w:tc>
        <w:tc>
          <w:tcPr>
            <w:tcW w:w="464"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-2.963</w:t>
            </w:r>
          </w:p>
        </w:tc>
        <w:tc>
          <w:tcPr>
            <w:tcW w:w="436"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-2.117</w:t>
            </w:r>
          </w:p>
        </w:tc>
        <w:tc>
          <w:tcPr>
            <w:tcW w:w="436"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-1.567</w:t>
            </w:r>
          </w:p>
        </w:tc>
        <w:tc>
          <w:tcPr>
            <w:tcW w:w="436"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-1.414</w:t>
            </w:r>
          </w:p>
        </w:tc>
        <w:tc>
          <w:tcPr>
            <w:tcW w:w="436"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-1.824</w:t>
            </w:r>
          </w:p>
        </w:tc>
        <w:tc>
          <w:tcPr>
            <w:tcW w:w="480" w:type="pct"/>
            <w:noWrap/>
            <w:vAlign w:val="center"/>
            <w:hideMark/>
          </w:tcPr>
          <w:p w:rsidR="00241DAB" w:rsidRPr="003F0A46" w:rsidRDefault="00241DAB"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-2.060</w:t>
            </w:r>
          </w:p>
        </w:tc>
      </w:tr>
    </w:tbl>
    <w:p w:rsidR="0026407B" w:rsidRPr="00F52494" w:rsidRDefault="0026407B" w:rsidP="0026407B">
      <w:pPr>
        <w:pStyle w:val="ListParagraph"/>
        <w:ind w:left="0"/>
        <w:rPr>
          <w:sz w:val="16"/>
          <w:szCs w:val="16"/>
          <w:lang w:val="en-US"/>
        </w:rPr>
      </w:pPr>
      <w:r w:rsidRPr="00F52494">
        <w:rPr>
          <w:sz w:val="16"/>
          <w:szCs w:val="16"/>
          <w:lang w:val="en-US"/>
        </w:rPr>
        <w:t>** and * indicate significance at the 1% and 5% levels respectively</w:t>
      </w:r>
    </w:p>
    <w:p w:rsidR="003C63A3" w:rsidRPr="003F0A46" w:rsidRDefault="003C63A3" w:rsidP="00B65294">
      <w:pPr>
        <w:spacing w:after="0"/>
        <w:rPr>
          <w:sz w:val="20"/>
          <w:szCs w:val="20"/>
          <w:lang w:val="en-US"/>
        </w:rPr>
      </w:pPr>
    </w:p>
    <w:p w:rsidR="0026407B" w:rsidRDefault="0026407B" w:rsidP="0026407B">
      <w:pPr>
        <w:spacing w:after="0"/>
        <w:ind w:firstLine="720"/>
        <w:rPr>
          <w:sz w:val="20"/>
          <w:szCs w:val="20"/>
          <w:lang w:val="en-US"/>
        </w:rPr>
      </w:pPr>
      <w:r>
        <w:rPr>
          <w:sz w:val="20"/>
          <w:szCs w:val="20"/>
          <w:lang w:val="en-US"/>
        </w:rPr>
        <w:t xml:space="preserve">As shown in Table 4 </w:t>
      </w:r>
      <w:r w:rsidR="004705F5" w:rsidRPr="003F0A46">
        <w:rPr>
          <w:sz w:val="20"/>
          <w:szCs w:val="20"/>
          <w:lang w:val="en-US"/>
        </w:rPr>
        <w:t>, f</w:t>
      </w:r>
      <w:r w:rsidR="0024533A" w:rsidRPr="003F0A46">
        <w:rPr>
          <w:sz w:val="20"/>
          <w:szCs w:val="20"/>
          <w:lang w:val="en-US"/>
        </w:rPr>
        <w:t>or the large winner stocks, a strong highly significant positive return a</w:t>
      </w:r>
      <w:r w:rsidR="00B0370C" w:rsidRPr="003F0A46">
        <w:rPr>
          <w:sz w:val="20"/>
          <w:szCs w:val="20"/>
          <w:lang w:val="en-US"/>
        </w:rPr>
        <w:t xml:space="preserve">ppears in the formation period, it </w:t>
      </w:r>
      <w:r w:rsidR="0024533A" w:rsidRPr="003F0A46">
        <w:rPr>
          <w:sz w:val="20"/>
          <w:szCs w:val="20"/>
          <w:lang w:val="en-US"/>
        </w:rPr>
        <w:t>starts to decline showing notable price reversals along each of the 8 holding periods. However, these price reversals are not significant statistically. On the other hand, large losers</w:t>
      </w:r>
      <w:r w:rsidR="0029668F" w:rsidRPr="003F0A46">
        <w:rPr>
          <w:sz w:val="20"/>
          <w:szCs w:val="20"/>
          <w:lang w:val="en-US"/>
        </w:rPr>
        <w:t xml:space="preserve"> continue to have negative returns for all the holding periods. A </w:t>
      </w:r>
      <w:r>
        <w:rPr>
          <w:sz w:val="20"/>
          <w:szCs w:val="20"/>
          <w:lang w:val="en-US"/>
        </w:rPr>
        <w:t xml:space="preserve">strongly </w:t>
      </w:r>
      <w:r w:rsidR="0029668F" w:rsidRPr="003F0A46">
        <w:rPr>
          <w:sz w:val="20"/>
          <w:szCs w:val="20"/>
          <w:lang w:val="en-US"/>
        </w:rPr>
        <w:t>significant under-reaction can be not</w:t>
      </w:r>
      <w:r w:rsidR="00BA5198" w:rsidRPr="003F0A46">
        <w:rPr>
          <w:sz w:val="20"/>
          <w:szCs w:val="20"/>
          <w:lang w:val="en-US"/>
        </w:rPr>
        <w:t>iced for the holding period of 1</w:t>
      </w:r>
      <w:r w:rsidR="0029668F" w:rsidRPr="003F0A46">
        <w:rPr>
          <w:sz w:val="20"/>
          <w:szCs w:val="20"/>
          <w:lang w:val="en-US"/>
        </w:rPr>
        <w:t>,</w:t>
      </w:r>
      <w:r w:rsidR="00BA5198" w:rsidRPr="003F0A46">
        <w:rPr>
          <w:sz w:val="20"/>
          <w:szCs w:val="20"/>
          <w:lang w:val="en-US"/>
        </w:rPr>
        <w:t xml:space="preserve"> </w:t>
      </w:r>
      <w:r w:rsidR="0029668F" w:rsidRPr="003F0A46">
        <w:rPr>
          <w:sz w:val="20"/>
          <w:szCs w:val="20"/>
          <w:lang w:val="en-US"/>
        </w:rPr>
        <w:t xml:space="preserve">2 and 3 weeks, </w:t>
      </w:r>
      <w:r>
        <w:rPr>
          <w:sz w:val="20"/>
          <w:szCs w:val="20"/>
          <w:lang w:val="en-US"/>
        </w:rPr>
        <w:t xml:space="preserve">but is only slightly significant at the 4 and 52 weeks and insignificant otherwise. </w:t>
      </w:r>
    </w:p>
    <w:p w:rsidR="00367379" w:rsidRPr="0026407B" w:rsidRDefault="00367379" w:rsidP="00367379">
      <w:pPr>
        <w:pStyle w:val="Caption"/>
        <w:keepNext/>
        <w:spacing w:after="0"/>
        <w:rPr>
          <w:color w:val="auto"/>
          <w:sz w:val="20"/>
          <w:szCs w:val="20"/>
        </w:rPr>
      </w:pPr>
      <w:r w:rsidRPr="0026407B">
        <w:rPr>
          <w:color w:val="auto"/>
          <w:sz w:val="20"/>
          <w:szCs w:val="20"/>
        </w:rPr>
        <w:t xml:space="preserve">Table </w:t>
      </w:r>
      <w:r w:rsidR="00DD04B4" w:rsidRPr="0026407B">
        <w:rPr>
          <w:color w:val="auto"/>
          <w:sz w:val="20"/>
          <w:szCs w:val="20"/>
        </w:rPr>
        <w:fldChar w:fldCharType="begin"/>
      </w:r>
      <w:r w:rsidRPr="0026407B">
        <w:rPr>
          <w:color w:val="auto"/>
          <w:sz w:val="20"/>
          <w:szCs w:val="20"/>
        </w:rPr>
        <w:instrText xml:space="preserve"> SEQ Table \* ARABIC </w:instrText>
      </w:r>
      <w:r w:rsidR="00DD04B4" w:rsidRPr="0026407B">
        <w:rPr>
          <w:color w:val="auto"/>
          <w:sz w:val="20"/>
          <w:szCs w:val="20"/>
        </w:rPr>
        <w:fldChar w:fldCharType="separate"/>
      </w:r>
      <w:r w:rsidRPr="0026407B">
        <w:rPr>
          <w:noProof/>
          <w:color w:val="auto"/>
          <w:sz w:val="20"/>
          <w:szCs w:val="20"/>
        </w:rPr>
        <w:t>5</w:t>
      </w:r>
      <w:r w:rsidR="00DD04B4" w:rsidRPr="0026407B">
        <w:rPr>
          <w:color w:val="auto"/>
          <w:sz w:val="20"/>
          <w:szCs w:val="20"/>
        </w:rPr>
        <w:fldChar w:fldCharType="end"/>
      </w:r>
      <w:r w:rsidRPr="0026407B">
        <w:rPr>
          <w:color w:val="auto"/>
          <w:sz w:val="20"/>
          <w:szCs w:val="20"/>
        </w:rPr>
        <w:t xml:space="preserve"> </w:t>
      </w:r>
      <w:r w:rsidRPr="0026407B">
        <w:rPr>
          <w:color w:val="auto"/>
          <w:sz w:val="20"/>
          <w:szCs w:val="20"/>
          <w:lang w:val="en-US"/>
        </w:rPr>
        <w:t>Testing under-reaction hypothesis within small capitalization stocks</w:t>
      </w:r>
    </w:p>
    <w:p w:rsidR="00367379" w:rsidRPr="00241DAB" w:rsidRDefault="00367379" w:rsidP="00367379">
      <w:pPr>
        <w:pStyle w:val="Caption"/>
        <w:keepNext/>
        <w:spacing w:after="0"/>
        <w:rPr>
          <w:sz w:val="14"/>
          <w:szCs w:val="14"/>
          <w:lang w:val="en-US"/>
        </w:rPr>
      </w:pPr>
    </w:p>
    <w:tbl>
      <w:tblPr>
        <w:tblStyle w:val="TableGrid"/>
        <w:tblpPr w:leftFromText="180" w:rightFromText="180" w:vertAnchor="text" w:horzAnchor="margin" w:tblpXSpec="center" w:tblpY="-149"/>
        <w:tblW w:w="524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
        <w:gridCol w:w="1122"/>
        <w:gridCol w:w="1622"/>
        <w:gridCol w:w="821"/>
        <w:gridCol w:w="862"/>
        <w:gridCol w:w="863"/>
        <w:gridCol w:w="863"/>
        <w:gridCol w:w="863"/>
        <w:gridCol w:w="863"/>
        <w:gridCol w:w="863"/>
        <w:gridCol w:w="852"/>
      </w:tblGrid>
      <w:tr w:rsidR="00367379" w:rsidRPr="003F0A46" w:rsidTr="00241DAB">
        <w:trPr>
          <w:cantSplit/>
          <w:trHeight w:val="20"/>
        </w:trPr>
        <w:tc>
          <w:tcPr>
            <w:tcW w:w="228" w:type="pct"/>
            <w:vMerge w:val="restart"/>
            <w:textDirection w:val="btLr"/>
            <w:vAlign w:val="center"/>
          </w:tcPr>
          <w:p w:rsidR="00367379" w:rsidRPr="003F0A46" w:rsidRDefault="00367379" w:rsidP="00241DAB">
            <w:pPr>
              <w:spacing w:line="240" w:lineRule="auto"/>
              <w:ind w:left="113" w:right="113"/>
              <w:jc w:val="center"/>
              <w:outlineLvl w:val="9"/>
              <w:rPr>
                <w:rFonts w:eastAsia="Times New Roman"/>
                <w:b/>
                <w:bCs/>
                <w:color w:val="000000"/>
                <w:sz w:val="20"/>
                <w:szCs w:val="20"/>
                <w:lang w:val="en-US" w:eastAsia="en-CA"/>
              </w:rPr>
            </w:pPr>
            <w:r w:rsidRPr="003F0A46">
              <w:rPr>
                <w:rFonts w:eastAsia="Times New Roman"/>
                <w:b/>
                <w:bCs/>
                <w:color w:val="000000"/>
                <w:sz w:val="20"/>
                <w:szCs w:val="20"/>
                <w:lang w:val="en-US" w:eastAsia="en-CA"/>
              </w:rPr>
              <w:t>Portfolio</w:t>
            </w:r>
          </w:p>
        </w:tc>
        <w:tc>
          <w:tcPr>
            <w:tcW w:w="558" w:type="pct"/>
            <w:tcBorders>
              <w:top w:val="single" w:sz="4" w:space="0" w:color="auto"/>
            </w:tcBorders>
            <w:noWrap/>
            <w:vAlign w:val="center"/>
            <w:hideMark/>
          </w:tcPr>
          <w:p w:rsidR="00367379" w:rsidRPr="003F0A46" w:rsidRDefault="00367379" w:rsidP="00241DAB">
            <w:pPr>
              <w:spacing w:line="240" w:lineRule="auto"/>
              <w:jc w:val="center"/>
              <w:outlineLvl w:val="9"/>
              <w:rPr>
                <w:rFonts w:eastAsia="Times New Roman"/>
                <w:color w:val="000000"/>
                <w:sz w:val="20"/>
                <w:szCs w:val="20"/>
                <w:lang w:val="en-US" w:eastAsia="en-CA"/>
              </w:rPr>
            </w:pPr>
          </w:p>
        </w:tc>
        <w:tc>
          <w:tcPr>
            <w:tcW w:w="807" w:type="pct"/>
            <w:tcBorders>
              <w:top w:val="single" w:sz="4" w:space="0" w:color="auto"/>
            </w:tcBorders>
            <w:noWrap/>
            <w:vAlign w:val="center"/>
            <w:hideMark/>
          </w:tcPr>
          <w:p w:rsidR="00367379" w:rsidRPr="003F0A46" w:rsidRDefault="00367379" w:rsidP="00241DAB">
            <w:pPr>
              <w:spacing w:line="240" w:lineRule="auto"/>
              <w:jc w:val="center"/>
              <w:outlineLvl w:val="9"/>
              <w:rPr>
                <w:rFonts w:eastAsia="Times New Roman"/>
                <w:color w:val="000000"/>
                <w:sz w:val="20"/>
                <w:szCs w:val="20"/>
                <w:lang w:val="en-US" w:eastAsia="en-CA"/>
              </w:rPr>
            </w:pPr>
            <w:r w:rsidRPr="003F0A46">
              <w:rPr>
                <w:rFonts w:eastAsia="Times New Roman"/>
                <w:color w:val="000000"/>
                <w:sz w:val="20"/>
                <w:szCs w:val="20"/>
                <w:lang w:val="en-US" w:eastAsia="en-CA"/>
              </w:rPr>
              <w:t>Formation Period</w:t>
            </w:r>
          </w:p>
        </w:tc>
        <w:tc>
          <w:tcPr>
            <w:tcW w:w="3407" w:type="pct"/>
            <w:gridSpan w:val="8"/>
            <w:tcBorders>
              <w:top w:val="single" w:sz="4" w:space="0" w:color="auto"/>
            </w:tcBorders>
            <w:noWrap/>
            <w:vAlign w:val="center"/>
            <w:hideMark/>
          </w:tcPr>
          <w:p w:rsidR="00367379" w:rsidRPr="003F0A46" w:rsidRDefault="00367379" w:rsidP="00241DAB">
            <w:pPr>
              <w:spacing w:line="240" w:lineRule="auto"/>
              <w:jc w:val="center"/>
              <w:outlineLvl w:val="9"/>
              <w:rPr>
                <w:rFonts w:eastAsia="Times New Roman"/>
                <w:b/>
                <w:bCs/>
                <w:color w:val="000000"/>
                <w:sz w:val="20"/>
                <w:szCs w:val="20"/>
                <w:lang w:val="en-US" w:eastAsia="en-CA"/>
              </w:rPr>
            </w:pPr>
            <w:r w:rsidRPr="003F0A46">
              <w:rPr>
                <w:rFonts w:eastAsia="Times New Roman"/>
                <w:b/>
                <w:bCs/>
                <w:color w:val="000000"/>
                <w:sz w:val="20"/>
                <w:szCs w:val="20"/>
                <w:lang w:val="en-US" w:eastAsia="en-CA"/>
              </w:rPr>
              <w:t>Holding Period (weeks)</w:t>
            </w:r>
          </w:p>
        </w:tc>
      </w:tr>
      <w:tr w:rsidR="00367379" w:rsidRPr="003F0A46" w:rsidTr="00241DAB">
        <w:trPr>
          <w:cantSplit/>
          <w:trHeight w:val="20"/>
        </w:trPr>
        <w:tc>
          <w:tcPr>
            <w:tcW w:w="228" w:type="pct"/>
            <w:vMerge/>
            <w:vAlign w:val="center"/>
          </w:tcPr>
          <w:p w:rsidR="00367379" w:rsidRPr="003F0A46" w:rsidRDefault="00367379" w:rsidP="00241DAB">
            <w:pPr>
              <w:spacing w:line="240" w:lineRule="auto"/>
              <w:jc w:val="center"/>
              <w:outlineLvl w:val="9"/>
              <w:rPr>
                <w:rFonts w:eastAsia="Times New Roman"/>
                <w:color w:val="000000"/>
                <w:sz w:val="20"/>
                <w:szCs w:val="20"/>
                <w:lang w:val="en-US" w:eastAsia="en-CA"/>
              </w:rPr>
            </w:pPr>
          </w:p>
        </w:tc>
        <w:tc>
          <w:tcPr>
            <w:tcW w:w="558" w:type="pct"/>
            <w:tcBorders>
              <w:bottom w:val="single" w:sz="4" w:space="0" w:color="auto"/>
            </w:tcBorders>
            <w:noWrap/>
            <w:vAlign w:val="center"/>
            <w:hideMark/>
          </w:tcPr>
          <w:p w:rsidR="00367379" w:rsidRPr="003F0A46" w:rsidRDefault="00367379" w:rsidP="00241DAB">
            <w:pPr>
              <w:spacing w:line="240" w:lineRule="auto"/>
              <w:jc w:val="center"/>
              <w:outlineLvl w:val="9"/>
              <w:rPr>
                <w:rFonts w:eastAsia="Times New Roman"/>
                <w:color w:val="000000"/>
                <w:sz w:val="20"/>
                <w:szCs w:val="20"/>
                <w:lang w:val="en-US" w:eastAsia="en-CA"/>
              </w:rPr>
            </w:pPr>
          </w:p>
        </w:tc>
        <w:tc>
          <w:tcPr>
            <w:tcW w:w="807" w:type="pct"/>
            <w:tcBorders>
              <w:bottom w:val="single" w:sz="4" w:space="0" w:color="auto"/>
            </w:tcBorders>
            <w:noWrap/>
            <w:vAlign w:val="center"/>
            <w:hideMark/>
          </w:tcPr>
          <w:p w:rsidR="00367379" w:rsidRPr="003F0A46" w:rsidRDefault="00367379" w:rsidP="00241DAB">
            <w:pPr>
              <w:spacing w:line="240" w:lineRule="auto"/>
              <w:jc w:val="center"/>
              <w:outlineLvl w:val="9"/>
              <w:rPr>
                <w:rFonts w:eastAsia="Times New Roman"/>
                <w:color w:val="000000"/>
                <w:sz w:val="20"/>
                <w:szCs w:val="20"/>
                <w:lang w:val="en-US" w:eastAsia="en-CA"/>
              </w:rPr>
            </w:pPr>
          </w:p>
        </w:tc>
        <w:tc>
          <w:tcPr>
            <w:tcW w:w="409" w:type="pct"/>
            <w:tcBorders>
              <w:bottom w:val="single" w:sz="4" w:space="0" w:color="auto"/>
            </w:tcBorders>
            <w:noWrap/>
            <w:vAlign w:val="center"/>
            <w:hideMark/>
          </w:tcPr>
          <w:p w:rsidR="00367379" w:rsidRPr="003F0A46" w:rsidRDefault="00367379" w:rsidP="00241DAB">
            <w:pPr>
              <w:spacing w:line="240" w:lineRule="auto"/>
              <w:jc w:val="center"/>
              <w:outlineLvl w:val="9"/>
              <w:rPr>
                <w:rFonts w:eastAsia="Times New Roman"/>
                <w:color w:val="000000"/>
                <w:sz w:val="20"/>
                <w:szCs w:val="20"/>
                <w:lang w:val="en-US" w:eastAsia="en-CA"/>
              </w:rPr>
            </w:pPr>
            <w:r w:rsidRPr="003F0A46">
              <w:rPr>
                <w:rFonts w:eastAsia="Times New Roman"/>
                <w:color w:val="000000"/>
                <w:sz w:val="20"/>
                <w:szCs w:val="20"/>
                <w:lang w:val="en-US" w:eastAsia="en-CA"/>
              </w:rPr>
              <w:t>1</w:t>
            </w:r>
          </w:p>
        </w:tc>
        <w:tc>
          <w:tcPr>
            <w:tcW w:w="429" w:type="pct"/>
            <w:tcBorders>
              <w:bottom w:val="single" w:sz="4" w:space="0" w:color="auto"/>
            </w:tcBorders>
            <w:noWrap/>
            <w:vAlign w:val="center"/>
            <w:hideMark/>
          </w:tcPr>
          <w:p w:rsidR="00367379" w:rsidRPr="003F0A46" w:rsidRDefault="00367379" w:rsidP="00241DAB">
            <w:pPr>
              <w:spacing w:line="240" w:lineRule="auto"/>
              <w:jc w:val="center"/>
              <w:outlineLvl w:val="9"/>
              <w:rPr>
                <w:rFonts w:eastAsia="Times New Roman"/>
                <w:color w:val="000000"/>
                <w:sz w:val="20"/>
                <w:szCs w:val="20"/>
                <w:lang w:val="en-US" w:eastAsia="en-CA"/>
              </w:rPr>
            </w:pPr>
            <w:r w:rsidRPr="003F0A46">
              <w:rPr>
                <w:rFonts w:eastAsia="Times New Roman"/>
                <w:color w:val="000000"/>
                <w:sz w:val="20"/>
                <w:szCs w:val="20"/>
                <w:lang w:val="en-US" w:eastAsia="en-CA"/>
              </w:rPr>
              <w:t>2</w:t>
            </w:r>
          </w:p>
        </w:tc>
        <w:tc>
          <w:tcPr>
            <w:tcW w:w="429" w:type="pct"/>
            <w:tcBorders>
              <w:bottom w:val="single" w:sz="4" w:space="0" w:color="auto"/>
            </w:tcBorders>
            <w:noWrap/>
            <w:vAlign w:val="center"/>
            <w:hideMark/>
          </w:tcPr>
          <w:p w:rsidR="00367379" w:rsidRPr="003F0A46" w:rsidRDefault="00367379" w:rsidP="00241DAB">
            <w:pPr>
              <w:spacing w:line="240" w:lineRule="auto"/>
              <w:jc w:val="center"/>
              <w:outlineLvl w:val="9"/>
              <w:rPr>
                <w:rFonts w:eastAsia="Times New Roman"/>
                <w:color w:val="000000"/>
                <w:sz w:val="20"/>
                <w:szCs w:val="20"/>
                <w:lang w:val="en-US" w:eastAsia="en-CA"/>
              </w:rPr>
            </w:pPr>
            <w:r w:rsidRPr="003F0A46">
              <w:rPr>
                <w:rFonts w:eastAsia="Times New Roman"/>
                <w:color w:val="000000"/>
                <w:sz w:val="20"/>
                <w:szCs w:val="20"/>
                <w:lang w:val="en-US" w:eastAsia="en-CA"/>
              </w:rPr>
              <w:t>3</w:t>
            </w:r>
          </w:p>
        </w:tc>
        <w:tc>
          <w:tcPr>
            <w:tcW w:w="429" w:type="pct"/>
            <w:tcBorders>
              <w:bottom w:val="single" w:sz="4" w:space="0" w:color="auto"/>
            </w:tcBorders>
            <w:noWrap/>
            <w:vAlign w:val="center"/>
            <w:hideMark/>
          </w:tcPr>
          <w:p w:rsidR="00367379" w:rsidRPr="003F0A46" w:rsidRDefault="00367379" w:rsidP="00241DAB">
            <w:pPr>
              <w:spacing w:line="240" w:lineRule="auto"/>
              <w:jc w:val="center"/>
              <w:outlineLvl w:val="9"/>
              <w:rPr>
                <w:rFonts w:eastAsia="Times New Roman"/>
                <w:color w:val="000000"/>
                <w:sz w:val="20"/>
                <w:szCs w:val="20"/>
                <w:lang w:val="en-US" w:eastAsia="en-CA"/>
              </w:rPr>
            </w:pPr>
            <w:r w:rsidRPr="003F0A46">
              <w:rPr>
                <w:rFonts w:eastAsia="Times New Roman"/>
                <w:color w:val="000000"/>
                <w:sz w:val="20"/>
                <w:szCs w:val="20"/>
                <w:lang w:val="en-US" w:eastAsia="en-CA"/>
              </w:rPr>
              <w:t>4</w:t>
            </w:r>
          </w:p>
        </w:tc>
        <w:tc>
          <w:tcPr>
            <w:tcW w:w="429" w:type="pct"/>
            <w:tcBorders>
              <w:bottom w:val="single" w:sz="4" w:space="0" w:color="auto"/>
            </w:tcBorders>
            <w:noWrap/>
            <w:vAlign w:val="center"/>
            <w:hideMark/>
          </w:tcPr>
          <w:p w:rsidR="00367379" w:rsidRPr="003F0A46" w:rsidRDefault="00367379" w:rsidP="00241DAB">
            <w:pPr>
              <w:spacing w:line="240" w:lineRule="auto"/>
              <w:jc w:val="center"/>
              <w:outlineLvl w:val="9"/>
              <w:rPr>
                <w:rFonts w:eastAsia="Times New Roman"/>
                <w:color w:val="000000"/>
                <w:sz w:val="20"/>
                <w:szCs w:val="20"/>
                <w:lang w:val="en-US" w:eastAsia="en-CA"/>
              </w:rPr>
            </w:pPr>
            <w:r w:rsidRPr="003F0A46">
              <w:rPr>
                <w:rFonts w:eastAsia="Times New Roman"/>
                <w:color w:val="000000"/>
                <w:sz w:val="20"/>
                <w:szCs w:val="20"/>
                <w:lang w:val="en-US" w:eastAsia="en-CA"/>
              </w:rPr>
              <w:t>12</w:t>
            </w:r>
          </w:p>
        </w:tc>
        <w:tc>
          <w:tcPr>
            <w:tcW w:w="429" w:type="pct"/>
            <w:tcBorders>
              <w:bottom w:val="single" w:sz="4" w:space="0" w:color="auto"/>
            </w:tcBorders>
            <w:noWrap/>
            <w:vAlign w:val="center"/>
            <w:hideMark/>
          </w:tcPr>
          <w:p w:rsidR="00367379" w:rsidRPr="003F0A46" w:rsidRDefault="00367379" w:rsidP="00241DAB">
            <w:pPr>
              <w:spacing w:line="240" w:lineRule="auto"/>
              <w:jc w:val="center"/>
              <w:outlineLvl w:val="9"/>
              <w:rPr>
                <w:rFonts w:eastAsia="Times New Roman"/>
                <w:color w:val="000000"/>
                <w:sz w:val="20"/>
                <w:szCs w:val="20"/>
                <w:lang w:val="en-US" w:eastAsia="en-CA"/>
              </w:rPr>
            </w:pPr>
            <w:r w:rsidRPr="003F0A46">
              <w:rPr>
                <w:rFonts w:eastAsia="Times New Roman"/>
                <w:color w:val="000000"/>
                <w:sz w:val="20"/>
                <w:szCs w:val="20"/>
                <w:lang w:val="en-US" w:eastAsia="en-CA"/>
              </w:rPr>
              <w:t>24</w:t>
            </w:r>
          </w:p>
        </w:tc>
        <w:tc>
          <w:tcPr>
            <w:tcW w:w="429" w:type="pct"/>
            <w:tcBorders>
              <w:bottom w:val="single" w:sz="4" w:space="0" w:color="auto"/>
            </w:tcBorders>
            <w:noWrap/>
            <w:vAlign w:val="center"/>
            <w:hideMark/>
          </w:tcPr>
          <w:p w:rsidR="00367379" w:rsidRPr="003F0A46" w:rsidRDefault="00367379" w:rsidP="00241DAB">
            <w:pPr>
              <w:spacing w:line="240" w:lineRule="auto"/>
              <w:jc w:val="center"/>
              <w:outlineLvl w:val="9"/>
              <w:rPr>
                <w:rFonts w:eastAsia="Times New Roman"/>
                <w:color w:val="000000"/>
                <w:sz w:val="20"/>
                <w:szCs w:val="20"/>
                <w:lang w:val="en-US" w:eastAsia="en-CA"/>
              </w:rPr>
            </w:pPr>
            <w:r w:rsidRPr="003F0A46">
              <w:rPr>
                <w:rFonts w:eastAsia="Times New Roman"/>
                <w:color w:val="000000"/>
                <w:sz w:val="20"/>
                <w:szCs w:val="20"/>
                <w:lang w:val="en-US" w:eastAsia="en-CA"/>
              </w:rPr>
              <w:t>36</w:t>
            </w:r>
          </w:p>
        </w:tc>
        <w:tc>
          <w:tcPr>
            <w:tcW w:w="426" w:type="pct"/>
            <w:tcBorders>
              <w:bottom w:val="single" w:sz="4" w:space="0" w:color="auto"/>
            </w:tcBorders>
            <w:noWrap/>
            <w:vAlign w:val="center"/>
            <w:hideMark/>
          </w:tcPr>
          <w:p w:rsidR="00367379" w:rsidRPr="003F0A46" w:rsidRDefault="00367379" w:rsidP="00241DAB">
            <w:pPr>
              <w:spacing w:line="240" w:lineRule="auto"/>
              <w:jc w:val="center"/>
              <w:outlineLvl w:val="9"/>
              <w:rPr>
                <w:rFonts w:eastAsia="Times New Roman"/>
                <w:color w:val="000000"/>
                <w:sz w:val="20"/>
                <w:szCs w:val="20"/>
                <w:lang w:val="en-US" w:eastAsia="en-CA"/>
              </w:rPr>
            </w:pPr>
            <w:r w:rsidRPr="003F0A46">
              <w:rPr>
                <w:rFonts w:eastAsia="Times New Roman"/>
                <w:color w:val="000000"/>
                <w:sz w:val="20"/>
                <w:szCs w:val="20"/>
                <w:lang w:val="en-US" w:eastAsia="en-CA"/>
              </w:rPr>
              <w:t>52</w:t>
            </w:r>
          </w:p>
        </w:tc>
      </w:tr>
      <w:tr w:rsidR="00367379" w:rsidRPr="003F0A46" w:rsidTr="00241DAB">
        <w:trPr>
          <w:cantSplit/>
          <w:trHeight w:val="20"/>
        </w:trPr>
        <w:tc>
          <w:tcPr>
            <w:tcW w:w="228" w:type="pct"/>
            <w:vMerge/>
            <w:vAlign w:val="center"/>
          </w:tcPr>
          <w:p w:rsidR="00367379" w:rsidRPr="003F0A46" w:rsidRDefault="00367379" w:rsidP="00241DAB">
            <w:pPr>
              <w:spacing w:line="240" w:lineRule="auto"/>
              <w:jc w:val="center"/>
              <w:outlineLvl w:val="9"/>
              <w:rPr>
                <w:rFonts w:eastAsia="Times New Roman"/>
                <w:b/>
                <w:bCs/>
                <w:color w:val="000000"/>
                <w:sz w:val="20"/>
                <w:szCs w:val="20"/>
                <w:lang w:val="en-US" w:eastAsia="en-CA"/>
              </w:rPr>
            </w:pPr>
          </w:p>
        </w:tc>
        <w:tc>
          <w:tcPr>
            <w:tcW w:w="4772" w:type="pct"/>
            <w:gridSpan w:val="10"/>
            <w:tcBorders>
              <w:top w:val="single" w:sz="4" w:space="0" w:color="auto"/>
            </w:tcBorders>
            <w:noWrap/>
            <w:vAlign w:val="center"/>
            <w:hideMark/>
          </w:tcPr>
          <w:p w:rsidR="00367379" w:rsidRPr="003F0A46" w:rsidRDefault="00367379" w:rsidP="00241DAB">
            <w:pPr>
              <w:spacing w:line="240" w:lineRule="auto"/>
              <w:jc w:val="center"/>
              <w:outlineLvl w:val="9"/>
              <w:rPr>
                <w:rFonts w:eastAsia="Times New Roman"/>
                <w:b/>
                <w:bCs/>
                <w:color w:val="000000"/>
                <w:sz w:val="20"/>
                <w:szCs w:val="20"/>
                <w:lang w:val="en-US" w:eastAsia="en-CA"/>
              </w:rPr>
            </w:pPr>
            <w:r w:rsidRPr="003F0A46">
              <w:rPr>
                <w:rFonts w:eastAsia="Times New Roman"/>
                <w:b/>
                <w:bCs/>
                <w:color w:val="000000"/>
                <w:sz w:val="20"/>
                <w:szCs w:val="20"/>
                <w:lang w:val="en-US" w:eastAsia="en-CA"/>
              </w:rPr>
              <w:t>winners</w:t>
            </w:r>
          </w:p>
        </w:tc>
      </w:tr>
      <w:tr w:rsidR="00367379" w:rsidRPr="003F0A46" w:rsidTr="00241DAB">
        <w:trPr>
          <w:cantSplit/>
          <w:trHeight w:val="20"/>
        </w:trPr>
        <w:tc>
          <w:tcPr>
            <w:tcW w:w="228" w:type="pct"/>
            <w:vMerge/>
            <w:vAlign w:val="center"/>
          </w:tcPr>
          <w:p w:rsidR="00367379" w:rsidRPr="003F0A46" w:rsidRDefault="00367379" w:rsidP="00241DAB">
            <w:pPr>
              <w:spacing w:line="240" w:lineRule="auto"/>
              <w:jc w:val="center"/>
              <w:outlineLvl w:val="9"/>
              <w:rPr>
                <w:rFonts w:eastAsia="Times New Roman"/>
                <w:color w:val="000000"/>
                <w:sz w:val="20"/>
                <w:szCs w:val="20"/>
                <w:lang w:val="en-US" w:eastAsia="en-CA"/>
              </w:rPr>
            </w:pPr>
          </w:p>
        </w:tc>
        <w:tc>
          <w:tcPr>
            <w:tcW w:w="558" w:type="pct"/>
            <w:noWrap/>
            <w:vAlign w:val="center"/>
            <w:hideMark/>
          </w:tcPr>
          <w:p w:rsidR="00367379" w:rsidRPr="003F0A46" w:rsidRDefault="00367379" w:rsidP="00367379">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ACAR</w:t>
            </w:r>
            <w:r>
              <w:rPr>
                <w:rFonts w:eastAsia="Times New Roman"/>
                <w:color w:val="000000"/>
                <w:sz w:val="20"/>
                <w:szCs w:val="20"/>
                <w:lang w:val="en-US" w:eastAsia="en-CA"/>
              </w:rPr>
              <w:t xml:space="preserve"> (%)</w:t>
            </w:r>
          </w:p>
        </w:tc>
        <w:tc>
          <w:tcPr>
            <w:tcW w:w="807" w:type="pct"/>
            <w:noWrap/>
            <w:vAlign w:val="center"/>
            <w:hideMark/>
          </w:tcPr>
          <w:p w:rsidR="00367379" w:rsidRPr="003F0A46" w:rsidRDefault="00367379"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5.322**</w:t>
            </w:r>
          </w:p>
        </w:tc>
        <w:tc>
          <w:tcPr>
            <w:tcW w:w="409" w:type="pct"/>
            <w:noWrap/>
            <w:vAlign w:val="center"/>
            <w:hideMark/>
          </w:tcPr>
          <w:p w:rsidR="00367379" w:rsidRPr="003F0A46" w:rsidRDefault="00367379"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0.334</w:t>
            </w:r>
          </w:p>
        </w:tc>
        <w:tc>
          <w:tcPr>
            <w:tcW w:w="429" w:type="pct"/>
            <w:noWrap/>
            <w:vAlign w:val="center"/>
            <w:hideMark/>
          </w:tcPr>
          <w:p w:rsidR="00367379" w:rsidRPr="003F0A46" w:rsidRDefault="00367379"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-0.157</w:t>
            </w:r>
          </w:p>
        </w:tc>
        <w:tc>
          <w:tcPr>
            <w:tcW w:w="429" w:type="pct"/>
            <w:noWrap/>
            <w:vAlign w:val="center"/>
            <w:hideMark/>
          </w:tcPr>
          <w:p w:rsidR="00367379" w:rsidRPr="003F0A46" w:rsidRDefault="00367379"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-0.247</w:t>
            </w:r>
          </w:p>
        </w:tc>
        <w:tc>
          <w:tcPr>
            <w:tcW w:w="429" w:type="pct"/>
            <w:noWrap/>
            <w:vAlign w:val="center"/>
            <w:hideMark/>
          </w:tcPr>
          <w:p w:rsidR="00367379" w:rsidRPr="003F0A46" w:rsidRDefault="00367379"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-0.440</w:t>
            </w:r>
          </w:p>
        </w:tc>
        <w:tc>
          <w:tcPr>
            <w:tcW w:w="429" w:type="pct"/>
            <w:noWrap/>
            <w:vAlign w:val="center"/>
            <w:hideMark/>
          </w:tcPr>
          <w:p w:rsidR="00367379" w:rsidRPr="003F0A46" w:rsidRDefault="00367379"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-2.092</w:t>
            </w:r>
          </w:p>
        </w:tc>
        <w:tc>
          <w:tcPr>
            <w:tcW w:w="429" w:type="pct"/>
            <w:noWrap/>
            <w:vAlign w:val="center"/>
            <w:hideMark/>
          </w:tcPr>
          <w:p w:rsidR="00367379" w:rsidRPr="003F0A46" w:rsidRDefault="00367379"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-3.539</w:t>
            </w:r>
          </w:p>
        </w:tc>
        <w:tc>
          <w:tcPr>
            <w:tcW w:w="429" w:type="pct"/>
            <w:noWrap/>
            <w:vAlign w:val="center"/>
            <w:hideMark/>
          </w:tcPr>
          <w:p w:rsidR="00367379" w:rsidRPr="003F0A46" w:rsidRDefault="00367379"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-5.330</w:t>
            </w:r>
          </w:p>
        </w:tc>
        <w:tc>
          <w:tcPr>
            <w:tcW w:w="426" w:type="pct"/>
            <w:noWrap/>
            <w:vAlign w:val="center"/>
            <w:hideMark/>
          </w:tcPr>
          <w:p w:rsidR="00367379" w:rsidRPr="003F0A46" w:rsidRDefault="00367379"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-5.113</w:t>
            </w:r>
          </w:p>
        </w:tc>
      </w:tr>
      <w:tr w:rsidR="00367379" w:rsidRPr="003F0A46" w:rsidTr="00241DAB">
        <w:trPr>
          <w:cantSplit/>
          <w:trHeight w:val="20"/>
        </w:trPr>
        <w:tc>
          <w:tcPr>
            <w:tcW w:w="228" w:type="pct"/>
            <w:vMerge/>
            <w:vAlign w:val="center"/>
          </w:tcPr>
          <w:p w:rsidR="00367379" w:rsidRPr="003F0A46" w:rsidRDefault="00367379" w:rsidP="00241DAB">
            <w:pPr>
              <w:spacing w:line="240" w:lineRule="auto"/>
              <w:jc w:val="center"/>
              <w:outlineLvl w:val="9"/>
              <w:rPr>
                <w:rFonts w:eastAsia="Times New Roman"/>
                <w:color w:val="000000"/>
                <w:sz w:val="20"/>
                <w:szCs w:val="20"/>
                <w:lang w:val="en-US" w:eastAsia="en-CA"/>
              </w:rPr>
            </w:pPr>
          </w:p>
        </w:tc>
        <w:tc>
          <w:tcPr>
            <w:tcW w:w="558" w:type="pct"/>
            <w:noWrap/>
            <w:vAlign w:val="center"/>
            <w:hideMark/>
          </w:tcPr>
          <w:p w:rsidR="00367379" w:rsidRPr="003F0A46" w:rsidRDefault="00367379" w:rsidP="00367379">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t-stat</w:t>
            </w:r>
          </w:p>
        </w:tc>
        <w:tc>
          <w:tcPr>
            <w:tcW w:w="807" w:type="pct"/>
            <w:noWrap/>
            <w:vAlign w:val="center"/>
            <w:hideMark/>
          </w:tcPr>
          <w:p w:rsidR="00367379" w:rsidRPr="003F0A46" w:rsidRDefault="00367379"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27.909</w:t>
            </w:r>
          </w:p>
        </w:tc>
        <w:tc>
          <w:tcPr>
            <w:tcW w:w="409" w:type="pct"/>
            <w:noWrap/>
            <w:vAlign w:val="center"/>
            <w:hideMark/>
          </w:tcPr>
          <w:p w:rsidR="00367379" w:rsidRPr="003F0A46" w:rsidRDefault="00367379"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2.010*</w:t>
            </w:r>
          </w:p>
        </w:tc>
        <w:tc>
          <w:tcPr>
            <w:tcW w:w="429" w:type="pct"/>
            <w:noWrap/>
            <w:vAlign w:val="center"/>
            <w:hideMark/>
          </w:tcPr>
          <w:p w:rsidR="00367379" w:rsidRPr="003F0A46" w:rsidRDefault="00367379"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-0.184</w:t>
            </w:r>
          </w:p>
        </w:tc>
        <w:tc>
          <w:tcPr>
            <w:tcW w:w="429" w:type="pct"/>
            <w:noWrap/>
            <w:vAlign w:val="center"/>
            <w:hideMark/>
          </w:tcPr>
          <w:p w:rsidR="00367379" w:rsidRPr="003F0A46" w:rsidRDefault="00367379"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-0.193</w:t>
            </w:r>
          </w:p>
        </w:tc>
        <w:tc>
          <w:tcPr>
            <w:tcW w:w="429" w:type="pct"/>
            <w:noWrap/>
            <w:vAlign w:val="center"/>
            <w:hideMark/>
          </w:tcPr>
          <w:p w:rsidR="00367379" w:rsidRPr="003F0A46" w:rsidRDefault="00367379"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-0.255</w:t>
            </w:r>
          </w:p>
        </w:tc>
        <w:tc>
          <w:tcPr>
            <w:tcW w:w="429" w:type="pct"/>
            <w:noWrap/>
            <w:vAlign w:val="center"/>
            <w:hideMark/>
          </w:tcPr>
          <w:p w:rsidR="00367379" w:rsidRPr="003F0A46" w:rsidRDefault="00367379"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-0.433</w:t>
            </w:r>
          </w:p>
        </w:tc>
        <w:tc>
          <w:tcPr>
            <w:tcW w:w="429" w:type="pct"/>
            <w:noWrap/>
            <w:vAlign w:val="center"/>
            <w:hideMark/>
          </w:tcPr>
          <w:p w:rsidR="00367379" w:rsidRPr="003F0A46" w:rsidRDefault="00367379"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-0.453</w:t>
            </w:r>
          </w:p>
        </w:tc>
        <w:tc>
          <w:tcPr>
            <w:tcW w:w="429" w:type="pct"/>
            <w:noWrap/>
            <w:vAlign w:val="center"/>
            <w:hideMark/>
          </w:tcPr>
          <w:p w:rsidR="00367379" w:rsidRPr="003F0A46" w:rsidRDefault="00367379"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-0.493</w:t>
            </w:r>
          </w:p>
        </w:tc>
        <w:tc>
          <w:tcPr>
            <w:tcW w:w="426" w:type="pct"/>
            <w:noWrap/>
            <w:vAlign w:val="center"/>
            <w:hideMark/>
          </w:tcPr>
          <w:p w:rsidR="00367379" w:rsidRPr="003F0A46" w:rsidRDefault="00367379"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-0.405</w:t>
            </w:r>
          </w:p>
        </w:tc>
      </w:tr>
      <w:tr w:rsidR="00367379" w:rsidRPr="003F0A46" w:rsidTr="00241DAB">
        <w:trPr>
          <w:cantSplit/>
          <w:trHeight w:val="20"/>
        </w:trPr>
        <w:tc>
          <w:tcPr>
            <w:tcW w:w="228" w:type="pct"/>
            <w:vMerge/>
            <w:vAlign w:val="center"/>
          </w:tcPr>
          <w:p w:rsidR="00367379" w:rsidRPr="003F0A46" w:rsidRDefault="00367379" w:rsidP="00241DAB">
            <w:pPr>
              <w:spacing w:line="240" w:lineRule="auto"/>
              <w:jc w:val="center"/>
              <w:outlineLvl w:val="9"/>
              <w:rPr>
                <w:rFonts w:eastAsia="Times New Roman"/>
                <w:b/>
                <w:bCs/>
                <w:color w:val="000000"/>
                <w:sz w:val="20"/>
                <w:szCs w:val="20"/>
                <w:lang w:val="en-US" w:eastAsia="en-CA"/>
              </w:rPr>
            </w:pPr>
          </w:p>
        </w:tc>
        <w:tc>
          <w:tcPr>
            <w:tcW w:w="4772" w:type="pct"/>
            <w:gridSpan w:val="10"/>
            <w:noWrap/>
            <w:vAlign w:val="center"/>
            <w:hideMark/>
          </w:tcPr>
          <w:p w:rsidR="00367379" w:rsidRPr="003F0A46" w:rsidRDefault="00367379" w:rsidP="00367379">
            <w:pPr>
              <w:spacing w:line="240" w:lineRule="auto"/>
              <w:jc w:val="center"/>
              <w:outlineLvl w:val="9"/>
              <w:rPr>
                <w:rFonts w:eastAsia="Times New Roman"/>
                <w:b/>
                <w:bCs/>
                <w:color w:val="000000"/>
                <w:sz w:val="20"/>
                <w:szCs w:val="20"/>
                <w:lang w:val="en-US" w:eastAsia="en-CA"/>
              </w:rPr>
            </w:pPr>
            <w:r w:rsidRPr="003F0A46">
              <w:rPr>
                <w:rFonts w:eastAsia="Times New Roman"/>
                <w:b/>
                <w:bCs/>
                <w:color w:val="000000"/>
                <w:sz w:val="20"/>
                <w:szCs w:val="20"/>
                <w:lang w:val="en-US" w:eastAsia="en-CA"/>
              </w:rPr>
              <w:t>Losers</w:t>
            </w:r>
          </w:p>
        </w:tc>
      </w:tr>
      <w:tr w:rsidR="00367379" w:rsidRPr="003F0A46" w:rsidTr="00241DAB">
        <w:trPr>
          <w:cantSplit/>
          <w:trHeight w:val="20"/>
        </w:trPr>
        <w:tc>
          <w:tcPr>
            <w:tcW w:w="228" w:type="pct"/>
            <w:vMerge/>
            <w:vAlign w:val="center"/>
          </w:tcPr>
          <w:p w:rsidR="00367379" w:rsidRPr="003F0A46" w:rsidRDefault="00367379" w:rsidP="00241DAB">
            <w:pPr>
              <w:spacing w:line="240" w:lineRule="auto"/>
              <w:jc w:val="center"/>
              <w:outlineLvl w:val="9"/>
              <w:rPr>
                <w:rFonts w:eastAsia="Times New Roman"/>
                <w:color w:val="000000"/>
                <w:sz w:val="20"/>
                <w:szCs w:val="20"/>
                <w:lang w:val="en-US" w:eastAsia="en-CA"/>
              </w:rPr>
            </w:pPr>
          </w:p>
        </w:tc>
        <w:tc>
          <w:tcPr>
            <w:tcW w:w="558" w:type="pct"/>
            <w:noWrap/>
            <w:vAlign w:val="center"/>
            <w:hideMark/>
          </w:tcPr>
          <w:p w:rsidR="00367379" w:rsidRPr="003F0A46" w:rsidRDefault="00367379" w:rsidP="00367379">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ACAR</w:t>
            </w:r>
            <w:r>
              <w:rPr>
                <w:rFonts w:eastAsia="Times New Roman"/>
                <w:color w:val="000000"/>
                <w:sz w:val="20"/>
                <w:szCs w:val="20"/>
                <w:lang w:val="en-US" w:eastAsia="en-CA"/>
              </w:rPr>
              <w:t>(%)</w:t>
            </w:r>
          </w:p>
        </w:tc>
        <w:tc>
          <w:tcPr>
            <w:tcW w:w="807" w:type="pct"/>
            <w:noWrap/>
            <w:vAlign w:val="center"/>
            <w:hideMark/>
          </w:tcPr>
          <w:p w:rsidR="00367379" w:rsidRPr="003F0A46" w:rsidRDefault="00367379"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-5.367**</w:t>
            </w:r>
          </w:p>
        </w:tc>
        <w:tc>
          <w:tcPr>
            <w:tcW w:w="409" w:type="pct"/>
            <w:noWrap/>
            <w:vAlign w:val="center"/>
            <w:hideMark/>
          </w:tcPr>
          <w:p w:rsidR="00367379" w:rsidRPr="003F0A46" w:rsidRDefault="00367379"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0.223</w:t>
            </w:r>
          </w:p>
        </w:tc>
        <w:tc>
          <w:tcPr>
            <w:tcW w:w="429" w:type="pct"/>
            <w:noWrap/>
            <w:vAlign w:val="center"/>
            <w:hideMark/>
          </w:tcPr>
          <w:p w:rsidR="00367379" w:rsidRPr="003F0A46" w:rsidRDefault="00367379"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-0.346</w:t>
            </w:r>
          </w:p>
        </w:tc>
        <w:tc>
          <w:tcPr>
            <w:tcW w:w="429" w:type="pct"/>
            <w:noWrap/>
            <w:vAlign w:val="center"/>
            <w:hideMark/>
          </w:tcPr>
          <w:p w:rsidR="00367379" w:rsidRPr="003F0A46" w:rsidRDefault="00367379"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-0.620</w:t>
            </w:r>
          </w:p>
        </w:tc>
        <w:tc>
          <w:tcPr>
            <w:tcW w:w="429" w:type="pct"/>
            <w:noWrap/>
            <w:vAlign w:val="center"/>
            <w:hideMark/>
          </w:tcPr>
          <w:p w:rsidR="00367379" w:rsidRPr="003F0A46" w:rsidRDefault="00367379"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-0.898</w:t>
            </w:r>
          </w:p>
        </w:tc>
        <w:tc>
          <w:tcPr>
            <w:tcW w:w="429" w:type="pct"/>
            <w:noWrap/>
            <w:vAlign w:val="center"/>
            <w:hideMark/>
          </w:tcPr>
          <w:p w:rsidR="00367379" w:rsidRPr="003F0A46" w:rsidRDefault="00367379"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-2.352</w:t>
            </w:r>
          </w:p>
        </w:tc>
        <w:tc>
          <w:tcPr>
            <w:tcW w:w="429" w:type="pct"/>
            <w:noWrap/>
            <w:vAlign w:val="center"/>
            <w:hideMark/>
          </w:tcPr>
          <w:p w:rsidR="00367379" w:rsidRPr="003F0A46" w:rsidRDefault="00367379"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-3.369</w:t>
            </w:r>
          </w:p>
        </w:tc>
        <w:tc>
          <w:tcPr>
            <w:tcW w:w="429" w:type="pct"/>
            <w:noWrap/>
            <w:vAlign w:val="center"/>
            <w:hideMark/>
          </w:tcPr>
          <w:p w:rsidR="00367379" w:rsidRPr="003F0A46" w:rsidRDefault="00367379"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-4.568</w:t>
            </w:r>
          </w:p>
        </w:tc>
        <w:tc>
          <w:tcPr>
            <w:tcW w:w="426" w:type="pct"/>
            <w:noWrap/>
            <w:vAlign w:val="center"/>
            <w:hideMark/>
          </w:tcPr>
          <w:p w:rsidR="00367379" w:rsidRPr="003F0A46" w:rsidRDefault="00367379"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-4.671</w:t>
            </w:r>
          </w:p>
        </w:tc>
      </w:tr>
      <w:tr w:rsidR="00367379" w:rsidRPr="003F0A46" w:rsidTr="00241DAB">
        <w:trPr>
          <w:cantSplit/>
          <w:trHeight w:val="20"/>
        </w:trPr>
        <w:tc>
          <w:tcPr>
            <w:tcW w:w="228" w:type="pct"/>
            <w:vMerge/>
            <w:vAlign w:val="center"/>
          </w:tcPr>
          <w:p w:rsidR="00367379" w:rsidRPr="003F0A46" w:rsidRDefault="00367379" w:rsidP="00241DAB">
            <w:pPr>
              <w:spacing w:line="240" w:lineRule="auto"/>
              <w:jc w:val="center"/>
              <w:outlineLvl w:val="9"/>
              <w:rPr>
                <w:rFonts w:eastAsia="Times New Roman"/>
                <w:color w:val="000000"/>
                <w:sz w:val="20"/>
                <w:szCs w:val="20"/>
                <w:lang w:val="en-US" w:eastAsia="en-CA"/>
              </w:rPr>
            </w:pPr>
          </w:p>
        </w:tc>
        <w:tc>
          <w:tcPr>
            <w:tcW w:w="558" w:type="pct"/>
            <w:noWrap/>
            <w:vAlign w:val="center"/>
            <w:hideMark/>
          </w:tcPr>
          <w:p w:rsidR="00367379" w:rsidRPr="003F0A46" w:rsidRDefault="00367379" w:rsidP="00367379">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t-stat</w:t>
            </w:r>
          </w:p>
        </w:tc>
        <w:tc>
          <w:tcPr>
            <w:tcW w:w="807" w:type="pct"/>
            <w:noWrap/>
            <w:vAlign w:val="center"/>
            <w:hideMark/>
          </w:tcPr>
          <w:p w:rsidR="00367379" w:rsidRPr="003F0A46" w:rsidRDefault="00367379"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-39.713</w:t>
            </w:r>
          </w:p>
        </w:tc>
        <w:tc>
          <w:tcPr>
            <w:tcW w:w="409" w:type="pct"/>
            <w:noWrap/>
            <w:vAlign w:val="center"/>
            <w:hideMark/>
          </w:tcPr>
          <w:p w:rsidR="00367379" w:rsidRPr="003F0A46" w:rsidRDefault="00367379"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1.467</w:t>
            </w:r>
          </w:p>
        </w:tc>
        <w:tc>
          <w:tcPr>
            <w:tcW w:w="429" w:type="pct"/>
            <w:noWrap/>
            <w:vAlign w:val="center"/>
            <w:hideMark/>
          </w:tcPr>
          <w:p w:rsidR="00367379" w:rsidRPr="003F0A46" w:rsidRDefault="00367379"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-0.407</w:t>
            </w:r>
          </w:p>
        </w:tc>
        <w:tc>
          <w:tcPr>
            <w:tcW w:w="429" w:type="pct"/>
            <w:noWrap/>
            <w:vAlign w:val="center"/>
            <w:hideMark/>
          </w:tcPr>
          <w:p w:rsidR="00367379" w:rsidRPr="003F0A46" w:rsidRDefault="00367379"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-0.495</w:t>
            </w:r>
          </w:p>
        </w:tc>
        <w:tc>
          <w:tcPr>
            <w:tcW w:w="429" w:type="pct"/>
            <w:noWrap/>
            <w:vAlign w:val="center"/>
            <w:hideMark/>
          </w:tcPr>
          <w:p w:rsidR="00367379" w:rsidRPr="003F0A46" w:rsidRDefault="00367379"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-0.522</w:t>
            </w:r>
          </w:p>
        </w:tc>
        <w:tc>
          <w:tcPr>
            <w:tcW w:w="429" w:type="pct"/>
            <w:noWrap/>
            <w:vAlign w:val="center"/>
            <w:hideMark/>
          </w:tcPr>
          <w:p w:rsidR="00367379" w:rsidRPr="003F0A46" w:rsidRDefault="00367379"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-0.492</w:t>
            </w:r>
          </w:p>
        </w:tc>
        <w:tc>
          <w:tcPr>
            <w:tcW w:w="429" w:type="pct"/>
            <w:noWrap/>
            <w:vAlign w:val="center"/>
            <w:hideMark/>
          </w:tcPr>
          <w:p w:rsidR="00367379" w:rsidRPr="003F0A46" w:rsidRDefault="00367379"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-0.437</w:t>
            </w:r>
          </w:p>
        </w:tc>
        <w:tc>
          <w:tcPr>
            <w:tcW w:w="429" w:type="pct"/>
            <w:noWrap/>
            <w:vAlign w:val="center"/>
            <w:hideMark/>
          </w:tcPr>
          <w:p w:rsidR="00367379" w:rsidRPr="003F0A46" w:rsidRDefault="00367379"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-0.425</w:t>
            </w:r>
          </w:p>
        </w:tc>
        <w:tc>
          <w:tcPr>
            <w:tcW w:w="426" w:type="pct"/>
            <w:noWrap/>
            <w:vAlign w:val="center"/>
            <w:hideMark/>
          </w:tcPr>
          <w:p w:rsidR="00367379" w:rsidRPr="003F0A46" w:rsidRDefault="00367379"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-0.376</w:t>
            </w:r>
          </w:p>
        </w:tc>
      </w:tr>
      <w:tr w:rsidR="00367379" w:rsidRPr="003F0A46" w:rsidTr="00241DAB">
        <w:trPr>
          <w:cantSplit/>
          <w:trHeight w:val="20"/>
        </w:trPr>
        <w:tc>
          <w:tcPr>
            <w:tcW w:w="228" w:type="pct"/>
            <w:vMerge/>
            <w:vAlign w:val="center"/>
          </w:tcPr>
          <w:p w:rsidR="00367379" w:rsidRPr="003F0A46" w:rsidRDefault="00367379" w:rsidP="00241DAB">
            <w:pPr>
              <w:spacing w:line="240" w:lineRule="auto"/>
              <w:jc w:val="center"/>
              <w:outlineLvl w:val="9"/>
              <w:rPr>
                <w:rFonts w:eastAsia="Times New Roman"/>
                <w:b/>
                <w:bCs/>
                <w:color w:val="000000"/>
                <w:sz w:val="20"/>
                <w:szCs w:val="20"/>
                <w:lang w:val="en-US" w:eastAsia="en-CA"/>
              </w:rPr>
            </w:pPr>
          </w:p>
        </w:tc>
        <w:tc>
          <w:tcPr>
            <w:tcW w:w="4772" w:type="pct"/>
            <w:gridSpan w:val="10"/>
            <w:noWrap/>
            <w:vAlign w:val="center"/>
            <w:hideMark/>
          </w:tcPr>
          <w:p w:rsidR="00367379" w:rsidRPr="003F0A46" w:rsidRDefault="00367379" w:rsidP="00367379">
            <w:pPr>
              <w:spacing w:line="240" w:lineRule="auto"/>
              <w:jc w:val="center"/>
              <w:outlineLvl w:val="9"/>
              <w:rPr>
                <w:rFonts w:eastAsia="Times New Roman"/>
                <w:b/>
                <w:bCs/>
                <w:color w:val="000000"/>
                <w:sz w:val="20"/>
                <w:szCs w:val="20"/>
                <w:lang w:val="en-US" w:eastAsia="en-CA"/>
              </w:rPr>
            </w:pPr>
            <w:r w:rsidRPr="003F0A46">
              <w:rPr>
                <w:rFonts w:eastAsia="Times New Roman"/>
                <w:b/>
                <w:bCs/>
                <w:color w:val="000000"/>
                <w:sz w:val="20"/>
                <w:szCs w:val="20"/>
                <w:lang w:val="en-US" w:eastAsia="en-CA"/>
              </w:rPr>
              <w:t>Arbitrage Portfolio</w:t>
            </w:r>
          </w:p>
        </w:tc>
      </w:tr>
      <w:tr w:rsidR="00367379" w:rsidRPr="003F0A46" w:rsidTr="00241DAB">
        <w:trPr>
          <w:cantSplit/>
          <w:trHeight w:val="20"/>
        </w:trPr>
        <w:tc>
          <w:tcPr>
            <w:tcW w:w="228" w:type="pct"/>
            <w:vMerge/>
            <w:vAlign w:val="center"/>
          </w:tcPr>
          <w:p w:rsidR="00367379" w:rsidRPr="003F0A46" w:rsidRDefault="00367379" w:rsidP="00241DAB">
            <w:pPr>
              <w:spacing w:line="240" w:lineRule="auto"/>
              <w:jc w:val="center"/>
              <w:outlineLvl w:val="9"/>
              <w:rPr>
                <w:rFonts w:eastAsia="Times New Roman"/>
                <w:color w:val="000000"/>
                <w:sz w:val="20"/>
                <w:szCs w:val="20"/>
                <w:lang w:val="en-US" w:eastAsia="en-CA"/>
              </w:rPr>
            </w:pPr>
          </w:p>
        </w:tc>
        <w:tc>
          <w:tcPr>
            <w:tcW w:w="558" w:type="pct"/>
            <w:noWrap/>
            <w:vAlign w:val="center"/>
            <w:hideMark/>
          </w:tcPr>
          <w:p w:rsidR="00367379" w:rsidRPr="003F0A46" w:rsidRDefault="00367379" w:rsidP="00367379">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ACAR</w:t>
            </w:r>
            <w:r>
              <w:rPr>
                <w:rFonts w:eastAsia="Times New Roman"/>
                <w:color w:val="000000"/>
                <w:sz w:val="20"/>
                <w:szCs w:val="20"/>
                <w:lang w:val="en-US" w:eastAsia="en-CA"/>
              </w:rPr>
              <w:t>(%)</w:t>
            </w:r>
          </w:p>
        </w:tc>
        <w:tc>
          <w:tcPr>
            <w:tcW w:w="807" w:type="pct"/>
            <w:noWrap/>
            <w:vAlign w:val="center"/>
            <w:hideMark/>
          </w:tcPr>
          <w:p w:rsidR="00367379" w:rsidRPr="003F0A46" w:rsidRDefault="00367379"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-10.689**</w:t>
            </w:r>
          </w:p>
        </w:tc>
        <w:tc>
          <w:tcPr>
            <w:tcW w:w="409" w:type="pct"/>
            <w:noWrap/>
            <w:vAlign w:val="center"/>
            <w:hideMark/>
          </w:tcPr>
          <w:p w:rsidR="00367379" w:rsidRPr="003F0A46" w:rsidRDefault="00367379"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-0.111</w:t>
            </w:r>
          </w:p>
        </w:tc>
        <w:tc>
          <w:tcPr>
            <w:tcW w:w="429" w:type="pct"/>
            <w:noWrap/>
            <w:vAlign w:val="center"/>
            <w:hideMark/>
          </w:tcPr>
          <w:p w:rsidR="00367379" w:rsidRPr="003F0A46" w:rsidRDefault="00367379"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-0.188</w:t>
            </w:r>
          </w:p>
        </w:tc>
        <w:tc>
          <w:tcPr>
            <w:tcW w:w="429" w:type="pct"/>
            <w:noWrap/>
            <w:vAlign w:val="center"/>
            <w:hideMark/>
          </w:tcPr>
          <w:p w:rsidR="00367379" w:rsidRPr="003F0A46" w:rsidRDefault="00367379"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-0.374</w:t>
            </w:r>
          </w:p>
        </w:tc>
        <w:tc>
          <w:tcPr>
            <w:tcW w:w="429" w:type="pct"/>
            <w:noWrap/>
            <w:vAlign w:val="center"/>
            <w:hideMark/>
          </w:tcPr>
          <w:p w:rsidR="00367379" w:rsidRPr="003F0A46" w:rsidRDefault="00367379"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-0.458</w:t>
            </w:r>
          </w:p>
        </w:tc>
        <w:tc>
          <w:tcPr>
            <w:tcW w:w="429" w:type="pct"/>
            <w:noWrap/>
            <w:vAlign w:val="center"/>
            <w:hideMark/>
          </w:tcPr>
          <w:p w:rsidR="00367379" w:rsidRPr="003F0A46" w:rsidRDefault="00367379"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-0.260</w:t>
            </w:r>
          </w:p>
        </w:tc>
        <w:tc>
          <w:tcPr>
            <w:tcW w:w="429" w:type="pct"/>
            <w:noWrap/>
            <w:vAlign w:val="center"/>
            <w:hideMark/>
          </w:tcPr>
          <w:p w:rsidR="00367379" w:rsidRPr="003F0A46" w:rsidRDefault="00367379"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0.169</w:t>
            </w:r>
          </w:p>
        </w:tc>
        <w:tc>
          <w:tcPr>
            <w:tcW w:w="429" w:type="pct"/>
            <w:noWrap/>
            <w:vAlign w:val="center"/>
            <w:hideMark/>
          </w:tcPr>
          <w:p w:rsidR="00367379" w:rsidRPr="003F0A46" w:rsidRDefault="00367379"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0.762</w:t>
            </w:r>
          </w:p>
        </w:tc>
        <w:tc>
          <w:tcPr>
            <w:tcW w:w="426" w:type="pct"/>
            <w:noWrap/>
            <w:vAlign w:val="center"/>
            <w:hideMark/>
          </w:tcPr>
          <w:p w:rsidR="00367379" w:rsidRPr="003F0A46" w:rsidRDefault="00367379"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0.441</w:t>
            </w:r>
          </w:p>
        </w:tc>
      </w:tr>
      <w:tr w:rsidR="00367379" w:rsidRPr="003F0A46" w:rsidTr="00241DAB">
        <w:trPr>
          <w:cantSplit/>
          <w:trHeight w:val="20"/>
        </w:trPr>
        <w:tc>
          <w:tcPr>
            <w:tcW w:w="228" w:type="pct"/>
            <w:vMerge/>
            <w:vAlign w:val="center"/>
          </w:tcPr>
          <w:p w:rsidR="00367379" w:rsidRPr="003F0A46" w:rsidRDefault="00367379" w:rsidP="00241DAB">
            <w:pPr>
              <w:spacing w:line="240" w:lineRule="auto"/>
              <w:jc w:val="center"/>
              <w:outlineLvl w:val="9"/>
              <w:rPr>
                <w:rFonts w:eastAsia="Times New Roman"/>
                <w:color w:val="000000"/>
                <w:sz w:val="20"/>
                <w:szCs w:val="20"/>
                <w:lang w:val="en-US" w:eastAsia="en-CA"/>
              </w:rPr>
            </w:pPr>
          </w:p>
        </w:tc>
        <w:tc>
          <w:tcPr>
            <w:tcW w:w="558" w:type="pct"/>
            <w:tcBorders>
              <w:bottom w:val="single" w:sz="4" w:space="0" w:color="auto"/>
            </w:tcBorders>
            <w:noWrap/>
            <w:vAlign w:val="center"/>
            <w:hideMark/>
          </w:tcPr>
          <w:p w:rsidR="00367379" w:rsidRPr="003F0A46" w:rsidRDefault="00367379" w:rsidP="00367379">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t-stat</w:t>
            </w:r>
          </w:p>
        </w:tc>
        <w:tc>
          <w:tcPr>
            <w:tcW w:w="807" w:type="pct"/>
            <w:tcBorders>
              <w:bottom w:val="single" w:sz="4" w:space="0" w:color="auto"/>
            </w:tcBorders>
            <w:noWrap/>
            <w:vAlign w:val="center"/>
            <w:hideMark/>
          </w:tcPr>
          <w:p w:rsidR="00367379" w:rsidRPr="003F0A46" w:rsidRDefault="00367379"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-63.864</w:t>
            </w:r>
          </w:p>
        </w:tc>
        <w:tc>
          <w:tcPr>
            <w:tcW w:w="409" w:type="pct"/>
            <w:tcBorders>
              <w:bottom w:val="single" w:sz="4" w:space="0" w:color="auto"/>
            </w:tcBorders>
            <w:noWrap/>
            <w:vAlign w:val="center"/>
            <w:hideMark/>
          </w:tcPr>
          <w:p w:rsidR="00367379" w:rsidRPr="003F0A46" w:rsidRDefault="00367379"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-0.853</w:t>
            </w:r>
          </w:p>
        </w:tc>
        <w:tc>
          <w:tcPr>
            <w:tcW w:w="429" w:type="pct"/>
            <w:tcBorders>
              <w:bottom w:val="single" w:sz="4" w:space="0" w:color="auto"/>
            </w:tcBorders>
            <w:noWrap/>
            <w:vAlign w:val="center"/>
            <w:hideMark/>
          </w:tcPr>
          <w:p w:rsidR="00367379" w:rsidRPr="003F0A46" w:rsidRDefault="00367379"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-0.951</w:t>
            </w:r>
          </w:p>
        </w:tc>
        <w:tc>
          <w:tcPr>
            <w:tcW w:w="429" w:type="pct"/>
            <w:tcBorders>
              <w:bottom w:val="single" w:sz="4" w:space="0" w:color="auto"/>
            </w:tcBorders>
            <w:noWrap/>
            <w:vAlign w:val="center"/>
            <w:hideMark/>
          </w:tcPr>
          <w:p w:rsidR="00367379" w:rsidRPr="003F0A46" w:rsidRDefault="00367379"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-1.527</w:t>
            </w:r>
          </w:p>
        </w:tc>
        <w:tc>
          <w:tcPr>
            <w:tcW w:w="429" w:type="pct"/>
            <w:tcBorders>
              <w:bottom w:val="single" w:sz="4" w:space="0" w:color="auto"/>
            </w:tcBorders>
            <w:noWrap/>
            <w:vAlign w:val="center"/>
            <w:hideMark/>
          </w:tcPr>
          <w:p w:rsidR="00367379" w:rsidRPr="003F0A46" w:rsidRDefault="00367379"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-1.660</w:t>
            </w:r>
          </w:p>
        </w:tc>
        <w:tc>
          <w:tcPr>
            <w:tcW w:w="429" w:type="pct"/>
            <w:tcBorders>
              <w:bottom w:val="single" w:sz="4" w:space="0" w:color="auto"/>
            </w:tcBorders>
            <w:noWrap/>
            <w:vAlign w:val="center"/>
            <w:hideMark/>
          </w:tcPr>
          <w:p w:rsidR="00367379" w:rsidRPr="003F0A46" w:rsidRDefault="00367379"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-0.562</w:t>
            </w:r>
          </w:p>
        </w:tc>
        <w:tc>
          <w:tcPr>
            <w:tcW w:w="429" w:type="pct"/>
            <w:tcBorders>
              <w:bottom w:val="single" w:sz="4" w:space="0" w:color="auto"/>
            </w:tcBorders>
            <w:noWrap/>
            <w:vAlign w:val="center"/>
            <w:hideMark/>
          </w:tcPr>
          <w:p w:rsidR="00367379" w:rsidRPr="003F0A46" w:rsidRDefault="00367379"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0.276</w:t>
            </w:r>
          </w:p>
        </w:tc>
        <w:tc>
          <w:tcPr>
            <w:tcW w:w="429" w:type="pct"/>
            <w:tcBorders>
              <w:bottom w:val="single" w:sz="4" w:space="0" w:color="auto"/>
            </w:tcBorders>
            <w:noWrap/>
            <w:vAlign w:val="center"/>
            <w:hideMark/>
          </w:tcPr>
          <w:p w:rsidR="00367379" w:rsidRPr="003F0A46" w:rsidRDefault="00367379"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1.027</w:t>
            </w:r>
          </w:p>
        </w:tc>
        <w:tc>
          <w:tcPr>
            <w:tcW w:w="426" w:type="pct"/>
            <w:tcBorders>
              <w:bottom w:val="single" w:sz="4" w:space="0" w:color="auto"/>
            </w:tcBorders>
            <w:noWrap/>
            <w:vAlign w:val="center"/>
            <w:hideMark/>
          </w:tcPr>
          <w:p w:rsidR="00367379" w:rsidRPr="003F0A46" w:rsidRDefault="00367379" w:rsidP="00241DAB">
            <w:pPr>
              <w:spacing w:line="240" w:lineRule="auto"/>
              <w:jc w:val="left"/>
              <w:outlineLvl w:val="9"/>
              <w:rPr>
                <w:rFonts w:eastAsia="Times New Roman"/>
                <w:color w:val="000000"/>
                <w:sz w:val="20"/>
                <w:szCs w:val="20"/>
                <w:lang w:val="en-US" w:eastAsia="en-CA"/>
              </w:rPr>
            </w:pPr>
            <w:r w:rsidRPr="003F0A46">
              <w:rPr>
                <w:rFonts w:eastAsia="Times New Roman"/>
                <w:color w:val="000000"/>
                <w:sz w:val="20"/>
                <w:szCs w:val="20"/>
                <w:lang w:val="en-US" w:eastAsia="en-CA"/>
              </w:rPr>
              <w:t>0.493</w:t>
            </w:r>
          </w:p>
        </w:tc>
      </w:tr>
    </w:tbl>
    <w:p w:rsidR="00367379" w:rsidRPr="00241DAB" w:rsidRDefault="00241DAB" w:rsidP="00241DAB">
      <w:pPr>
        <w:pStyle w:val="ListParagraph"/>
        <w:ind w:left="0"/>
        <w:rPr>
          <w:sz w:val="16"/>
          <w:szCs w:val="16"/>
          <w:lang w:val="en-US"/>
        </w:rPr>
      </w:pPr>
      <w:r w:rsidRPr="00F52494">
        <w:rPr>
          <w:sz w:val="16"/>
          <w:szCs w:val="16"/>
          <w:lang w:val="en-US"/>
        </w:rPr>
        <w:t>** and * indicate significance at the 1% and 5% levels respectively</w:t>
      </w:r>
    </w:p>
    <w:p w:rsidR="00241DAB" w:rsidRDefault="00241DAB" w:rsidP="0026407B">
      <w:pPr>
        <w:spacing w:after="0"/>
        <w:ind w:firstLine="720"/>
        <w:rPr>
          <w:sz w:val="20"/>
          <w:szCs w:val="20"/>
          <w:lang w:val="en-US"/>
        </w:rPr>
      </w:pPr>
    </w:p>
    <w:p w:rsidR="0026407B" w:rsidRPr="003F0A46" w:rsidRDefault="0026407B" w:rsidP="0026407B">
      <w:pPr>
        <w:spacing w:after="0"/>
        <w:ind w:firstLine="720"/>
        <w:rPr>
          <w:sz w:val="20"/>
          <w:szCs w:val="20"/>
          <w:lang w:val="en-US"/>
        </w:rPr>
      </w:pPr>
      <w:r>
        <w:rPr>
          <w:sz w:val="20"/>
          <w:szCs w:val="20"/>
          <w:lang w:val="en-US"/>
        </w:rPr>
        <w:t xml:space="preserve">Table 5 shows the results for </w:t>
      </w:r>
      <w:r w:rsidRPr="003F0A46">
        <w:rPr>
          <w:sz w:val="20"/>
          <w:szCs w:val="20"/>
          <w:lang w:val="en-US"/>
        </w:rPr>
        <w:t xml:space="preserve">small </w:t>
      </w:r>
      <w:r>
        <w:rPr>
          <w:sz w:val="20"/>
          <w:szCs w:val="20"/>
          <w:lang w:val="en-US"/>
        </w:rPr>
        <w:t>firms. W</w:t>
      </w:r>
      <w:r w:rsidRPr="003F0A46">
        <w:rPr>
          <w:sz w:val="20"/>
          <w:szCs w:val="20"/>
          <w:lang w:val="en-US"/>
        </w:rPr>
        <w:t>inners exhibit price reversals starting from the holding period of 2 weeks up to that of 52 weeks, but none of which are statistically significant. Small losers exhibit price momentum for all of the holding periods except for the holding period of 1 week, but the results are not significant exactly the same as for the small winners. This yield a negative difference between the ACARs of the small loser and small winner stocks for the holding period from 1 to 12 weeks, which can be interpreted as under-reaction, however it is not statistically significant, and a positive difference between ACARs of the small loser and small winner stocks for the holding period from 24 to 52 week that is also not significant statistically.</w:t>
      </w:r>
    </w:p>
    <w:p w:rsidR="007C198D" w:rsidRPr="003F0A46" w:rsidRDefault="0026407B" w:rsidP="00241DAB">
      <w:pPr>
        <w:spacing w:after="0"/>
        <w:ind w:firstLine="720"/>
        <w:rPr>
          <w:sz w:val="20"/>
          <w:szCs w:val="20"/>
          <w:lang w:val="en-US"/>
        </w:rPr>
      </w:pPr>
      <w:r w:rsidRPr="003F0A46">
        <w:rPr>
          <w:sz w:val="20"/>
          <w:szCs w:val="20"/>
          <w:lang w:val="en-US"/>
        </w:rPr>
        <w:lastRenderedPageBreak/>
        <w:t xml:space="preserve">Overall, the evidence indicates that for large capitalization stock portfolios, there is a significant under-reaction to market shocks for a number of days subsequent to a shock up to 21 days (3 weeks). Hence, large capitalization stocks tend to under-react more than small capitalization stocks and exhibit correspondingly higher return momentum. </w:t>
      </w:r>
    </w:p>
    <w:p w:rsidR="00B65294" w:rsidRPr="003F0A46" w:rsidRDefault="00CC2B9C" w:rsidP="00B65294">
      <w:pPr>
        <w:spacing w:after="0"/>
        <w:rPr>
          <w:rFonts w:eastAsiaTheme="majorEastAsia"/>
          <w:b/>
          <w:bCs/>
          <w:caps/>
          <w:color w:val="000000" w:themeColor="text1"/>
          <w:sz w:val="20"/>
          <w:szCs w:val="20"/>
          <w:lang w:val="en-US"/>
        </w:rPr>
      </w:pPr>
      <w:r w:rsidRPr="003F0A46">
        <w:rPr>
          <w:rFonts w:eastAsiaTheme="majorEastAsia"/>
          <w:b/>
          <w:bCs/>
          <w:caps/>
          <w:color w:val="000000" w:themeColor="text1"/>
          <w:sz w:val="20"/>
          <w:szCs w:val="20"/>
          <w:lang w:val="en-US"/>
        </w:rPr>
        <w:t>5</w:t>
      </w:r>
      <w:r w:rsidR="00B65294" w:rsidRPr="003F0A46">
        <w:rPr>
          <w:rFonts w:eastAsiaTheme="majorEastAsia"/>
          <w:b/>
          <w:bCs/>
          <w:caps/>
          <w:color w:val="000000" w:themeColor="text1"/>
          <w:sz w:val="20"/>
          <w:szCs w:val="20"/>
          <w:lang w:val="en-US"/>
        </w:rPr>
        <w:t>. Conclusions</w:t>
      </w:r>
    </w:p>
    <w:p w:rsidR="000556E5" w:rsidRPr="003F0A46" w:rsidRDefault="000556E5" w:rsidP="00EF5CE2">
      <w:pPr>
        <w:spacing w:after="0"/>
        <w:ind w:firstLine="720"/>
        <w:rPr>
          <w:sz w:val="20"/>
          <w:szCs w:val="20"/>
          <w:lang w:val="en-US"/>
        </w:rPr>
      </w:pPr>
      <w:r w:rsidRPr="003F0A46">
        <w:rPr>
          <w:sz w:val="20"/>
          <w:szCs w:val="20"/>
          <w:lang w:val="en-US"/>
        </w:rPr>
        <w:t xml:space="preserve">The purpose of this study is to </w:t>
      </w:r>
      <w:r w:rsidR="00241DAB">
        <w:rPr>
          <w:sz w:val="20"/>
          <w:szCs w:val="20"/>
          <w:lang w:val="en-US"/>
        </w:rPr>
        <w:t>examine whether</w:t>
      </w:r>
      <w:r w:rsidRPr="003F0A46">
        <w:rPr>
          <w:sz w:val="20"/>
          <w:szCs w:val="20"/>
          <w:lang w:val="en-US"/>
        </w:rPr>
        <w:t xml:space="preserve"> short term</w:t>
      </w:r>
      <w:r w:rsidR="00241DAB">
        <w:rPr>
          <w:sz w:val="20"/>
          <w:szCs w:val="20"/>
          <w:lang w:val="en-US"/>
        </w:rPr>
        <w:t xml:space="preserve"> over/under reaction exists</w:t>
      </w:r>
      <w:r w:rsidRPr="003F0A46">
        <w:rPr>
          <w:sz w:val="20"/>
          <w:szCs w:val="20"/>
          <w:lang w:val="en-US"/>
        </w:rPr>
        <w:t xml:space="preserve"> in the Egyptian Exchange. </w:t>
      </w:r>
      <w:r w:rsidR="00241DAB">
        <w:rPr>
          <w:sz w:val="20"/>
          <w:szCs w:val="20"/>
          <w:lang w:val="en-US"/>
        </w:rPr>
        <w:t>We find</w:t>
      </w:r>
      <w:r w:rsidRPr="003F0A46">
        <w:rPr>
          <w:sz w:val="20"/>
          <w:szCs w:val="20"/>
          <w:lang w:val="en-US"/>
        </w:rPr>
        <w:t xml:space="preserve"> no evidence of the presence of the overreaction effect for the specified test period, but on the contrary, our results seem to be supportive of the under-reaction hypothesis, that is robust to risk and non-risk control</w:t>
      </w:r>
      <w:r w:rsidR="00EF5CE2">
        <w:rPr>
          <w:sz w:val="20"/>
          <w:szCs w:val="20"/>
          <w:lang w:val="en-US"/>
        </w:rPr>
        <w:t>s</w:t>
      </w:r>
      <w:r w:rsidRPr="003F0A46">
        <w:rPr>
          <w:sz w:val="20"/>
          <w:szCs w:val="20"/>
          <w:lang w:val="en-US"/>
        </w:rPr>
        <w:t>. It finds evidence of under-reaction hypothesis for the holding periods ranging from 1 to 4 weeks</w:t>
      </w:r>
      <w:r w:rsidR="00EF5CE2">
        <w:rPr>
          <w:sz w:val="20"/>
          <w:szCs w:val="20"/>
          <w:lang w:val="en-US"/>
        </w:rPr>
        <w:t xml:space="preserve"> which is found to be concentrated in large size firms</w:t>
      </w:r>
      <w:r w:rsidRPr="003F0A46">
        <w:rPr>
          <w:sz w:val="20"/>
          <w:szCs w:val="20"/>
          <w:lang w:val="en-US"/>
        </w:rPr>
        <w:t>.</w:t>
      </w:r>
      <w:r w:rsidR="00111C47">
        <w:rPr>
          <w:sz w:val="20"/>
          <w:szCs w:val="20"/>
          <w:lang w:val="en-US"/>
        </w:rPr>
        <w:t xml:space="preserve"> This result is consistent with evidence in </w:t>
      </w:r>
      <w:r w:rsidR="0035645D">
        <w:rPr>
          <w:sz w:val="20"/>
          <w:szCs w:val="20"/>
          <w:lang w:val="en-US"/>
        </w:rPr>
        <w:t>Chan, Hammed and Tong</w:t>
      </w:r>
      <w:r w:rsidR="00EF5CE2">
        <w:rPr>
          <w:sz w:val="20"/>
          <w:szCs w:val="20"/>
          <w:lang w:val="en-US"/>
        </w:rPr>
        <w:t xml:space="preserve"> [5]</w:t>
      </w:r>
      <w:r w:rsidR="0035645D">
        <w:rPr>
          <w:sz w:val="20"/>
          <w:szCs w:val="20"/>
          <w:lang w:val="en-US"/>
        </w:rPr>
        <w:t xml:space="preserve"> who find that underreaction is significant in their sample of 23 international equity markets for periods up to 4 weeks and result in statistically significant momentum profits. </w:t>
      </w:r>
      <w:r w:rsidR="00EF5CE2">
        <w:rPr>
          <w:sz w:val="20"/>
          <w:szCs w:val="20"/>
          <w:lang w:val="en-US"/>
        </w:rPr>
        <w:t>We find that</w:t>
      </w:r>
      <w:r w:rsidR="00EF5CE2" w:rsidRPr="003F0A46">
        <w:rPr>
          <w:sz w:val="20"/>
          <w:szCs w:val="20"/>
          <w:lang w:val="en-US"/>
        </w:rPr>
        <w:t xml:space="preserve"> this anomaly could hardly be exploited to obtain abnormal returns after accounting for the round-trip transaction costs levied by the Egyptian Exchange.</w:t>
      </w:r>
    </w:p>
    <w:p w:rsidR="000556E5" w:rsidRPr="003F0A46" w:rsidRDefault="000556E5" w:rsidP="00EF5CE2">
      <w:pPr>
        <w:shd w:val="clear" w:color="auto" w:fill="FFFFFF"/>
        <w:spacing w:after="0"/>
        <w:ind w:firstLine="720"/>
        <w:jc w:val="left"/>
        <w:outlineLvl w:val="9"/>
        <w:rPr>
          <w:sz w:val="20"/>
          <w:szCs w:val="20"/>
          <w:lang w:val="en-US"/>
        </w:rPr>
      </w:pPr>
      <w:r w:rsidRPr="003F0A46">
        <w:rPr>
          <w:sz w:val="20"/>
          <w:szCs w:val="20"/>
          <w:lang w:val="en-US"/>
        </w:rPr>
        <w:t>One possible explanation of our results on evidence of under-reaction, specifically in large sized stocks, might be attributed to institutional trading. Institutions on the Egyptian Stock Exchange concentrate their trading in large sized companies</w:t>
      </w:r>
      <w:r w:rsidR="00EF5CE2">
        <w:rPr>
          <w:sz w:val="20"/>
          <w:szCs w:val="20"/>
          <w:lang w:val="en-US"/>
        </w:rPr>
        <w:t xml:space="preserve">. </w:t>
      </w:r>
      <w:r w:rsidRPr="003F0A46">
        <w:rPr>
          <w:sz w:val="20"/>
          <w:szCs w:val="20"/>
          <w:lang w:val="en-US"/>
        </w:rPr>
        <w:t xml:space="preserve">It is also well documented that institutional investors are momentum traders </w:t>
      </w:r>
      <w:r w:rsidR="00EF5CE2">
        <w:rPr>
          <w:sz w:val="20"/>
          <w:szCs w:val="20"/>
          <w:lang w:val="en-US"/>
        </w:rPr>
        <w:t xml:space="preserve">[29] and </w:t>
      </w:r>
      <w:r w:rsidRPr="003F0A46">
        <w:rPr>
          <w:sz w:val="20"/>
          <w:szCs w:val="20"/>
          <w:lang w:val="en-US"/>
        </w:rPr>
        <w:t>therefore under-reaction evidence might be attributed to institutional momentum trading strategies.  </w:t>
      </w:r>
    </w:p>
    <w:p w:rsidR="007C198D" w:rsidRPr="003F0A46" w:rsidRDefault="007C198D" w:rsidP="00B65294">
      <w:pPr>
        <w:spacing w:after="0"/>
        <w:rPr>
          <w:b/>
          <w:bCs/>
          <w:caps/>
          <w:sz w:val="20"/>
          <w:szCs w:val="20"/>
          <w:lang w:val="en-US"/>
        </w:rPr>
      </w:pPr>
    </w:p>
    <w:p w:rsidR="00B14CA4" w:rsidRPr="00EF5CE2" w:rsidRDefault="007C198D" w:rsidP="00EF5CE2">
      <w:pPr>
        <w:spacing w:after="0"/>
        <w:rPr>
          <w:b/>
          <w:bCs/>
          <w:caps/>
          <w:sz w:val="20"/>
          <w:szCs w:val="20"/>
          <w:lang w:val="en-US"/>
        </w:rPr>
      </w:pPr>
      <w:r w:rsidRPr="003F0A46">
        <w:rPr>
          <w:b/>
          <w:bCs/>
          <w:caps/>
          <w:sz w:val="20"/>
          <w:szCs w:val="20"/>
          <w:lang w:val="en-US"/>
        </w:rPr>
        <w:t>References</w:t>
      </w:r>
    </w:p>
    <w:p w:rsidR="00E53EA4" w:rsidRPr="00EF5CE2" w:rsidRDefault="00BC4BC6" w:rsidP="00EF5CE2">
      <w:pPr>
        <w:pStyle w:val="Bibliography"/>
        <w:spacing w:after="0" w:line="240" w:lineRule="auto"/>
        <w:rPr>
          <w:noProof/>
          <w:sz w:val="20"/>
          <w:szCs w:val="20"/>
          <w:lang w:val="en-US"/>
        </w:rPr>
      </w:pPr>
      <w:r w:rsidRPr="00EF5CE2">
        <w:rPr>
          <w:noProof/>
          <w:sz w:val="20"/>
          <w:szCs w:val="20"/>
          <w:lang w:val="en-US"/>
        </w:rPr>
        <w:t xml:space="preserve">[1] </w:t>
      </w:r>
      <w:r w:rsidR="00EF5CE2">
        <w:rPr>
          <w:noProof/>
          <w:sz w:val="20"/>
          <w:szCs w:val="20"/>
          <w:lang w:val="en-US"/>
        </w:rPr>
        <w:t>E.</w:t>
      </w:r>
      <w:r w:rsidRPr="00EF5CE2">
        <w:rPr>
          <w:noProof/>
          <w:sz w:val="20"/>
          <w:szCs w:val="20"/>
          <w:lang w:val="en-US"/>
        </w:rPr>
        <w:t>F.Fama</w:t>
      </w:r>
      <w:r w:rsidR="00EF5CE2">
        <w:rPr>
          <w:noProof/>
          <w:sz w:val="20"/>
          <w:szCs w:val="20"/>
          <w:lang w:val="en-US"/>
        </w:rPr>
        <w:t>.</w:t>
      </w:r>
      <w:r w:rsidRPr="00EF5CE2">
        <w:rPr>
          <w:noProof/>
          <w:sz w:val="20"/>
          <w:szCs w:val="20"/>
          <w:lang w:val="en-US"/>
        </w:rPr>
        <w:t xml:space="preserve"> Random Walks in Stock Market Prices. Financial Analysts Journal. - 1995. - pp. 75-80.</w:t>
      </w:r>
    </w:p>
    <w:p w:rsidR="00BC4BC6" w:rsidRPr="00EF5CE2" w:rsidRDefault="00BC4BC6" w:rsidP="00EF5CE2">
      <w:pPr>
        <w:spacing w:after="0" w:line="240" w:lineRule="auto"/>
        <w:rPr>
          <w:sz w:val="20"/>
          <w:szCs w:val="20"/>
          <w:lang w:val="en-US"/>
        </w:rPr>
      </w:pPr>
      <w:r w:rsidRPr="00EF5CE2">
        <w:rPr>
          <w:noProof/>
          <w:sz w:val="20"/>
          <w:szCs w:val="20"/>
          <w:lang w:val="en-US"/>
        </w:rPr>
        <w:t xml:space="preserve">[2] </w:t>
      </w:r>
      <w:r w:rsidR="00EF5CE2">
        <w:rPr>
          <w:noProof/>
          <w:sz w:val="20"/>
          <w:szCs w:val="20"/>
          <w:lang w:val="en-US"/>
        </w:rPr>
        <w:t>W.</w:t>
      </w:r>
      <w:r w:rsidR="00EF5CE2" w:rsidRPr="00EF5CE2">
        <w:rPr>
          <w:noProof/>
          <w:sz w:val="20"/>
          <w:szCs w:val="20"/>
          <w:lang w:val="en-US"/>
        </w:rPr>
        <w:t xml:space="preserve"> F. M. </w:t>
      </w:r>
      <w:r w:rsidRPr="00EF5CE2">
        <w:rPr>
          <w:noProof/>
          <w:sz w:val="20"/>
          <w:szCs w:val="20"/>
          <w:lang w:val="en-US"/>
        </w:rPr>
        <w:t xml:space="preserve">DeBondt and </w:t>
      </w:r>
      <w:r w:rsidR="00EF5CE2">
        <w:rPr>
          <w:noProof/>
          <w:sz w:val="20"/>
          <w:szCs w:val="20"/>
          <w:lang w:val="en-US"/>
        </w:rPr>
        <w:t xml:space="preserve">R. </w:t>
      </w:r>
      <w:r w:rsidRPr="00EF5CE2">
        <w:rPr>
          <w:noProof/>
          <w:sz w:val="20"/>
          <w:szCs w:val="20"/>
          <w:lang w:val="en-US"/>
        </w:rPr>
        <w:t>Thaler</w:t>
      </w:r>
      <w:r w:rsidR="00EF5CE2">
        <w:rPr>
          <w:noProof/>
          <w:sz w:val="20"/>
          <w:szCs w:val="20"/>
          <w:lang w:val="en-US"/>
        </w:rPr>
        <w:t xml:space="preserve">. </w:t>
      </w:r>
      <w:r w:rsidRPr="00EF5CE2">
        <w:rPr>
          <w:noProof/>
          <w:sz w:val="20"/>
          <w:szCs w:val="20"/>
          <w:lang w:val="en-US"/>
        </w:rPr>
        <w:t xml:space="preserve"> Does the Stock Market Overreact? The Journal of Finance. - 1985. - pp. 793-805</w:t>
      </w:r>
    </w:p>
    <w:p w:rsidR="00E53EA4" w:rsidRPr="00EF5CE2" w:rsidRDefault="003F41C3" w:rsidP="00EF5CE2">
      <w:pPr>
        <w:spacing w:after="0" w:line="240" w:lineRule="auto"/>
        <w:rPr>
          <w:color w:val="222222"/>
          <w:sz w:val="20"/>
          <w:szCs w:val="20"/>
          <w:shd w:val="clear" w:color="auto" w:fill="FFFFFF"/>
          <w:lang w:val="en-US"/>
        </w:rPr>
      </w:pPr>
      <w:r w:rsidRPr="00EF5CE2">
        <w:rPr>
          <w:sz w:val="20"/>
          <w:szCs w:val="20"/>
          <w:lang w:val="en-US"/>
        </w:rPr>
        <w:t>[3</w:t>
      </w:r>
      <w:r w:rsidR="00BE6696" w:rsidRPr="00EF5CE2">
        <w:rPr>
          <w:sz w:val="20"/>
          <w:szCs w:val="20"/>
          <w:lang w:val="en-US"/>
        </w:rPr>
        <w:t xml:space="preserve">] </w:t>
      </w:r>
      <w:r w:rsidR="00EF5CE2">
        <w:rPr>
          <w:sz w:val="20"/>
          <w:szCs w:val="20"/>
          <w:lang w:val="en-US"/>
        </w:rPr>
        <w:t xml:space="preserve">A. </w:t>
      </w:r>
      <w:r w:rsidR="00EF5CE2">
        <w:rPr>
          <w:color w:val="222222"/>
          <w:sz w:val="20"/>
          <w:szCs w:val="20"/>
          <w:shd w:val="clear" w:color="auto" w:fill="FFFFFF"/>
          <w:lang w:val="en-US"/>
        </w:rPr>
        <w:t>Tversky and D. Kahneman</w:t>
      </w:r>
      <w:r w:rsidR="00BE6696" w:rsidRPr="00EF5CE2">
        <w:rPr>
          <w:color w:val="222222"/>
          <w:sz w:val="20"/>
          <w:szCs w:val="20"/>
          <w:shd w:val="clear" w:color="auto" w:fill="FFFFFF"/>
          <w:lang w:val="en-US"/>
        </w:rPr>
        <w:t>. (1974). Judgment under uncertainty: Heuristics and biases.</w:t>
      </w:r>
      <w:r w:rsidR="00BE6696" w:rsidRPr="00EF5CE2">
        <w:rPr>
          <w:rStyle w:val="apple-converted-space"/>
          <w:color w:val="222222"/>
          <w:sz w:val="20"/>
          <w:szCs w:val="20"/>
          <w:shd w:val="clear" w:color="auto" w:fill="FFFFFF"/>
          <w:lang w:val="en-US"/>
        </w:rPr>
        <w:t> </w:t>
      </w:r>
      <w:r w:rsidR="00BE6696" w:rsidRPr="00EF5CE2">
        <w:rPr>
          <w:color w:val="222222"/>
          <w:sz w:val="20"/>
          <w:szCs w:val="20"/>
          <w:shd w:val="clear" w:color="auto" w:fill="FFFFFF"/>
          <w:lang w:val="en-US"/>
        </w:rPr>
        <w:t>science,</w:t>
      </w:r>
      <w:r w:rsidR="00BE6696" w:rsidRPr="00EF5CE2">
        <w:rPr>
          <w:rStyle w:val="apple-converted-space"/>
          <w:color w:val="222222"/>
          <w:sz w:val="20"/>
          <w:szCs w:val="20"/>
          <w:shd w:val="clear" w:color="auto" w:fill="FFFFFF"/>
          <w:lang w:val="en-US"/>
        </w:rPr>
        <w:t> </w:t>
      </w:r>
      <w:r w:rsidR="00BE6696" w:rsidRPr="00EF5CE2">
        <w:rPr>
          <w:color w:val="222222"/>
          <w:sz w:val="20"/>
          <w:szCs w:val="20"/>
          <w:shd w:val="clear" w:color="auto" w:fill="FFFFFF"/>
          <w:lang w:val="en-US"/>
        </w:rPr>
        <w:t>185(4157), 1124-1131.</w:t>
      </w:r>
    </w:p>
    <w:p w:rsidR="003F41C3" w:rsidRPr="00EF5CE2" w:rsidRDefault="00BC4BC6" w:rsidP="00EF5CE2">
      <w:pPr>
        <w:pStyle w:val="Bibliography"/>
        <w:spacing w:after="0" w:line="240" w:lineRule="auto"/>
        <w:rPr>
          <w:noProof/>
          <w:sz w:val="20"/>
          <w:szCs w:val="20"/>
          <w:lang w:val="en-US"/>
        </w:rPr>
      </w:pPr>
      <w:r w:rsidRPr="00EF5CE2">
        <w:rPr>
          <w:noProof/>
          <w:sz w:val="20"/>
          <w:szCs w:val="20"/>
          <w:lang w:val="en-US"/>
        </w:rPr>
        <w:t>[4</w:t>
      </w:r>
      <w:r w:rsidR="003F41C3" w:rsidRPr="00EF5CE2">
        <w:rPr>
          <w:noProof/>
          <w:sz w:val="20"/>
          <w:szCs w:val="20"/>
          <w:lang w:val="en-US"/>
        </w:rPr>
        <w:t xml:space="preserve">] </w:t>
      </w:r>
      <w:r w:rsidR="00EF5CE2">
        <w:rPr>
          <w:noProof/>
          <w:sz w:val="20"/>
          <w:szCs w:val="20"/>
          <w:lang w:val="en-US"/>
        </w:rPr>
        <w:t xml:space="preserve">N. </w:t>
      </w:r>
      <w:r w:rsidR="003F41C3" w:rsidRPr="00EF5CE2">
        <w:rPr>
          <w:noProof/>
          <w:sz w:val="20"/>
          <w:szCs w:val="20"/>
          <w:lang w:val="en-US"/>
        </w:rPr>
        <w:t xml:space="preserve">Jegadeesh and </w:t>
      </w:r>
      <w:r w:rsidR="00EF5CE2">
        <w:rPr>
          <w:noProof/>
          <w:sz w:val="20"/>
          <w:szCs w:val="20"/>
          <w:lang w:val="en-US"/>
        </w:rPr>
        <w:t xml:space="preserve">S. Titman. </w:t>
      </w:r>
      <w:r w:rsidR="003F41C3" w:rsidRPr="00EF5CE2">
        <w:rPr>
          <w:noProof/>
          <w:sz w:val="20"/>
          <w:szCs w:val="20"/>
          <w:lang w:val="en-US"/>
        </w:rPr>
        <w:t>Returns to Buying Winners and Selling Losers: Implications for Stock Market Efficiency. The Journal of Finance. - 1993. - pp. 65-91.</w:t>
      </w:r>
    </w:p>
    <w:p w:rsidR="004D6CA0" w:rsidRPr="00EF5CE2" w:rsidRDefault="00530280" w:rsidP="00EF5CE2">
      <w:pPr>
        <w:spacing w:after="0" w:line="240" w:lineRule="auto"/>
        <w:rPr>
          <w:sz w:val="20"/>
          <w:szCs w:val="20"/>
          <w:lang w:val="en-US"/>
        </w:rPr>
      </w:pPr>
      <w:r w:rsidRPr="00EF5CE2">
        <w:rPr>
          <w:color w:val="222222"/>
          <w:sz w:val="20"/>
          <w:szCs w:val="20"/>
          <w:shd w:val="clear" w:color="auto" w:fill="FFFFFF"/>
        </w:rPr>
        <w:t>[5</w:t>
      </w:r>
      <w:r w:rsidR="004D6CA0" w:rsidRPr="00EF5CE2">
        <w:rPr>
          <w:color w:val="222222"/>
          <w:sz w:val="20"/>
          <w:szCs w:val="20"/>
          <w:shd w:val="clear" w:color="auto" w:fill="FFFFFF"/>
        </w:rPr>
        <w:t xml:space="preserve">] </w:t>
      </w:r>
      <w:r w:rsidR="00EF5CE2">
        <w:rPr>
          <w:color w:val="222222"/>
          <w:sz w:val="20"/>
          <w:szCs w:val="20"/>
          <w:shd w:val="clear" w:color="auto" w:fill="FFFFFF"/>
        </w:rPr>
        <w:t xml:space="preserve">K. </w:t>
      </w:r>
      <w:r w:rsidR="004D6CA0" w:rsidRPr="00EF5CE2">
        <w:rPr>
          <w:color w:val="222222"/>
          <w:sz w:val="20"/>
          <w:szCs w:val="20"/>
          <w:shd w:val="clear" w:color="auto" w:fill="FFFFFF"/>
        </w:rPr>
        <w:t>Chan, A</w:t>
      </w:r>
      <w:r w:rsidR="00EF5CE2">
        <w:rPr>
          <w:color w:val="222222"/>
          <w:sz w:val="20"/>
          <w:szCs w:val="20"/>
          <w:shd w:val="clear" w:color="auto" w:fill="FFFFFF"/>
        </w:rPr>
        <w:t xml:space="preserve">. </w:t>
      </w:r>
      <w:r w:rsidR="004D6CA0" w:rsidRPr="00EF5CE2">
        <w:rPr>
          <w:color w:val="222222"/>
          <w:sz w:val="20"/>
          <w:szCs w:val="20"/>
          <w:shd w:val="clear" w:color="auto" w:fill="FFFFFF"/>
        </w:rPr>
        <w:t xml:space="preserve">Hameed, and </w:t>
      </w:r>
      <w:r w:rsidR="00EF5CE2">
        <w:rPr>
          <w:color w:val="222222"/>
          <w:sz w:val="20"/>
          <w:szCs w:val="20"/>
          <w:shd w:val="clear" w:color="auto" w:fill="FFFFFF"/>
        </w:rPr>
        <w:t>W.</w:t>
      </w:r>
      <w:r w:rsidR="004D6CA0" w:rsidRPr="00EF5CE2">
        <w:rPr>
          <w:color w:val="222222"/>
          <w:sz w:val="20"/>
          <w:szCs w:val="20"/>
          <w:shd w:val="clear" w:color="auto" w:fill="FFFFFF"/>
        </w:rPr>
        <w:t xml:space="preserve"> Tong. Profitability of momentum stragegies in the international equity markets.</w:t>
      </w:r>
      <w:r w:rsidR="004D6CA0" w:rsidRPr="00EF5CE2">
        <w:rPr>
          <w:rStyle w:val="apple-converted-space"/>
          <w:color w:val="222222"/>
          <w:sz w:val="20"/>
          <w:szCs w:val="20"/>
          <w:shd w:val="clear" w:color="auto" w:fill="FFFFFF"/>
        </w:rPr>
        <w:t> </w:t>
      </w:r>
      <w:r w:rsidR="004D6CA0" w:rsidRPr="00EF5CE2">
        <w:rPr>
          <w:color w:val="222222"/>
          <w:sz w:val="20"/>
          <w:szCs w:val="20"/>
          <w:shd w:val="clear" w:color="auto" w:fill="FFFFFF"/>
        </w:rPr>
        <w:t>Journal of Financial and Quantitative Analysis</w:t>
      </w:r>
      <w:r w:rsidR="004D6CA0" w:rsidRPr="00EF5CE2">
        <w:rPr>
          <w:rStyle w:val="apple-converted-space"/>
          <w:color w:val="222222"/>
          <w:sz w:val="20"/>
          <w:szCs w:val="20"/>
          <w:shd w:val="clear" w:color="auto" w:fill="FFFFFF"/>
        </w:rPr>
        <w:t> </w:t>
      </w:r>
      <w:r w:rsidR="004D6CA0" w:rsidRPr="00EF5CE2">
        <w:rPr>
          <w:color w:val="222222"/>
          <w:sz w:val="20"/>
          <w:szCs w:val="20"/>
          <w:shd w:val="clear" w:color="auto" w:fill="FFFFFF"/>
        </w:rPr>
        <w:t>35.02 (2000): 153-172.</w:t>
      </w:r>
    </w:p>
    <w:p w:rsidR="00CC72FB" w:rsidRPr="00EF5CE2" w:rsidRDefault="00530280" w:rsidP="00EF5CE2">
      <w:pPr>
        <w:spacing w:after="0" w:line="240" w:lineRule="auto"/>
        <w:rPr>
          <w:color w:val="222222"/>
          <w:sz w:val="20"/>
          <w:szCs w:val="20"/>
          <w:shd w:val="clear" w:color="auto" w:fill="FFFFFF"/>
        </w:rPr>
      </w:pPr>
      <w:r w:rsidRPr="00EF5CE2">
        <w:rPr>
          <w:color w:val="222222"/>
          <w:sz w:val="20"/>
          <w:szCs w:val="20"/>
          <w:shd w:val="clear" w:color="auto" w:fill="FFFFFF"/>
          <w:lang w:val="en-US"/>
        </w:rPr>
        <w:t>[6</w:t>
      </w:r>
      <w:r w:rsidR="004D6CA0" w:rsidRPr="00EF5CE2">
        <w:rPr>
          <w:color w:val="222222"/>
          <w:sz w:val="20"/>
          <w:szCs w:val="20"/>
          <w:shd w:val="clear" w:color="auto" w:fill="FFFFFF"/>
          <w:lang w:val="en-US"/>
        </w:rPr>
        <w:t xml:space="preserve">] </w:t>
      </w:r>
      <w:r w:rsidR="00EF5CE2">
        <w:rPr>
          <w:noProof/>
          <w:sz w:val="20"/>
          <w:szCs w:val="20"/>
          <w:lang w:val="en-US"/>
        </w:rPr>
        <w:t>W.</w:t>
      </w:r>
      <w:r w:rsidR="00EF5CE2" w:rsidRPr="00EF5CE2">
        <w:rPr>
          <w:noProof/>
          <w:sz w:val="20"/>
          <w:szCs w:val="20"/>
          <w:lang w:val="en-US"/>
        </w:rPr>
        <w:t xml:space="preserve"> F. M. DeBondt and </w:t>
      </w:r>
      <w:r w:rsidR="00EF5CE2">
        <w:rPr>
          <w:noProof/>
          <w:sz w:val="20"/>
          <w:szCs w:val="20"/>
          <w:lang w:val="en-US"/>
        </w:rPr>
        <w:t xml:space="preserve">R. </w:t>
      </w:r>
      <w:r w:rsidR="00EF5CE2" w:rsidRPr="00EF5CE2">
        <w:rPr>
          <w:noProof/>
          <w:sz w:val="20"/>
          <w:szCs w:val="20"/>
          <w:lang w:val="en-US"/>
        </w:rPr>
        <w:t>Thaler</w:t>
      </w:r>
      <w:r w:rsidR="004D6CA0" w:rsidRPr="00EF5CE2">
        <w:rPr>
          <w:color w:val="222222"/>
          <w:sz w:val="20"/>
          <w:szCs w:val="20"/>
          <w:shd w:val="clear" w:color="auto" w:fill="FFFFFF"/>
        </w:rPr>
        <w:t>. Further evidence on investor overreaction and stock market seasonality.</w:t>
      </w:r>
      <w:r w:rsidR="004D6CA0" w:rsidRPr="00EF5CE2">
        <w:rPr>
          <w:rStyle w:val="apple-converted-space"/>
          <w:color w:val="222222"/>
          <w:sz w:val="20"/>
          <w:szCs w:val="20"/>
          <w:shd w:val="clear" w:color="auto" w:fill="FFFFFF"/>
        </w:rPr>
        <w:t> </w:t>
      </w:r>
      <w:r w:rsidR="004D6CA0" w:rsidRPr="00EF5CE2">
        <w:rPr>
          <w:color w:val="222222"/>
          <w:sz w:val="20"/>
          <w:szCs w:val="20"/>
          <w:shd w:val="clear" w:color="auto" w:fill="FFFFFF"/>
        </w:rPr>
        <w:t>Journal of finance</w:t>
      </w:r>
      <w:r w:rsidR="004D6CA0" w:rsidRPr="00EF5CE2">
        <w:rPr>
          <w:rStyle w:val="apple-converted-space"/>
          <w:color w:val="222222"/>
          <w:sz w:val="20"/>
          <w:szCs w:val="20"/>
          <w:shd w:val="clear" w:color="auto" w:fill="FFFFFF"/>
        </w:rPr>
        <w:t> </w:t>
      </w:r>
      <w:r w:rsidR="004D6CA0" w:rsidRPr="00EF5CE2">
        <w:rPr>
          <w:color w:val="222222"/>
          <w:sz w:val="20"/>
          <w:szCs w:val="20"/>
          <w:shd w:val="clear" w:color="auto" w:fill="FFFFFF"/>
        </w:rPr>
        <w:t>(1987): 557-581.</w:t>
      </w:r>
    </w:p>
    <w:p w:rsidR="00CC72FB" w:rsidRPr="00EF5CE2" w:rsidRDefault="00530280" w:rsidP="00EF5CE2">
      <w:pPr>
        <w:spacing w:after="0" w:line="240" w:lineRule="auto"/>
        <w:rPr>
          <w:color w:val="222222"/>
          <w:sz w:val="20"/>
          <w:szCs w:val="20"/>
          <w:shd w:val="clear" w:color="auto" w:fill="FFFFFF"/>
        </w:rPr>
      </w:pPr>
      <w:r w:rsidRPr="00EF5CE2">
        <w:rPr>
          <w:color w:val="222222"/>
          <w:sz w:val="20"/>
          <w:szCs w:val="20"/>
          <w:shd w:val="clear" w:color="auto" w:fill="FFFFFF"/>
        </w:rPr>
        <w:t>[7</w:t>
      </w:r>
      <w:r w:rsidR="004D6CA0" w:rsidRPr="00EF5CE2">
        <w:rPr>
          <w:color w:val="222222"/>
          <w:sz w:val="20"/>
          <w:szCs w:val="20"/>
          <w:shd w:val="clear" w:color="auto" w:fill="FFFFFF"/>
        </w:rPr>
        <w:t xml:space="preserve">] </w:t>
      </w:r>
      <w:r w:rsidR="00EF5CE2">
        <w:rPr>
          <w:color w:val="222222"/>
          <w:sz w:val="20"/>
          <w:szCs w:val="20"/>
          <w:shd w:val="clear" w:color="auto" w:fill="FFFFFF"/>
        </w:rPr>
        <w:t xml:space="preserve">N. </w:t>
      </w:r>
      <w:r w:rsidR="004D6CA0" w:rsidRPr="00EF5CE2">
        <w:rPr>
          <w:color w:val="222222"/>
          <w:sz w:val="20"/>
          <w:szCs w:val="20"/>
          <w:shd w:val="clear" w:color="auto" w:fill="FFFFFF"/>
        </w:rPr>
        <w:t xml:space="preserve">Chopra, </w:t>
      </w:r>
      <w:r w:rsidR="00EF5CE2">
        <w:rPr>
          <w:color w:val="222222"/>
          <w:sz w:val="20"/>
          <w:szCs w:val="20"/>
          <w:shd w:val="clear" w:color="auto" w:fill="FFFFFF"/>
        </w:rPr>
        <w:t xml:space="preserve">J. Lakonishok, and J.R. </w:t>
      </w:r>
      <w:r w:rsidR="004D6CA0" w:rsidRPr="00EF5CE2">
        <w:rPr>
          <w:color w:val="222222"/>
          <w:sz w:val="20"/>
          <w:szCs w:val="20"/>
          <w:shd w:val="clear" w:color="auto" w:fill="FFFFFF"/>
        </w:rPr>
        <w:t>Ritter. Measuring abnormal performance: do stocks overreact?.</w:t>
      </w:r>
      <w:r w:rsidR="004D6CA0" w:rsidRPr="00EF5CE2">
        <w:rPr>
          <w:rStyle w:val="apple-converted-space"/>
          <w:color w:val="222222"/>
          <w:sz w:val="20"/>
          <w:szCs w:val="20"/>
          <w:shd w:val="clear" w:color="auto" w:fill="FFFFFF"/>
        </w:rPr>
        <w:t> </w:t>
      </w:r>
      <w:r w:rsidR="004D6CA0" w:rsidRPr="00EF5CE2">
        <w:rPr>
          <w:color w:val="222222"/>
          <w:sz w:val="20"/>
          <w:szCs w:val="20"/>
          <w:shd w:val="clear" w:color="auto" w:fill="FFFFFF"/>
        </w:rPr>
        <w:t>Journal of Financial Economics</w:t>
      </w:r>
      <w:r w:rsidR="004D6CA0" w:rsidRPr="00EF5CE2">
        <w:rPr>
          <w:rStyle w:val="apple-converted-space"/>
          <w:color w:val="222222"/>
          <w:sz w:val="20"/>
          <w:szCs w:val="20"/>
          <w:shd w:val="clear" w:color="auto" w:fill="FFFFFF"/>
        </w:rPr>
        <w:t> </w:t>
      </w:r>
      <w:r w:rsidR="004D6CA0" w:rsidRPr="00EF5CE2">
        <w:rPr>
          <w:color w:val="222222"/>
          <w:sz w:val="20"/>
          <w:szCs w:val="20"/>
          <w:shd w:val="clear" w:color="auto" w:fill="FFFFFF"/>
        </w:rPr>
        <w:t>31.2 (1992): 235-268.</w:t>
      </w:r>
    </w:p>
    <w:p w:rsidR="004D6CA0" w:rsidRPr="00EF5CE2" w:rsidRDefault="00530280" w:rsidP="00EF5CE2">
      <w:pPr>
        <w:spacing w:after="0" w:line="240" w:lineRule="auto"/>
        <w:rPr>
          <w:color w:val="222222"/>
          <w:sz w:val="20"/>
          <w:szCs w:val="20"/>
          <w:shd w:val="clear" w:color="auto" w:fill="FFFFFF"/>
        </w:rPr>
      </w:pPr>
      <w:r w:rsidRPr="00EF5CE2">
        <w:rPr>
          <w:color w:val="222222"/>
          <w:sz w:val="20"/>
          <w:szCs w:val="20"/>
          <w:shd w:val="clear" w:color="auto" w:fill="FFFFFF"/>
        </w:rPr>
        <w:t>[8</w:t>
      </w:r>
      <w:r w:rsidR="004D6CA0" w:rsidRPr="00EF5CE2">
        <w:rPr>
          <w:color w:val="222222"/>
          <w:sz w:val="20"/>
          <w:szCs w:val="20"/>
          <w:shd w:val="clear" w:color="auto" w:fill="FFFFFF"/>
        </w:rPr>
        <w:t xml:space="preserve">] </w:t>
      </w:r>
      <w:r w:rsidR="00EF5CE2">
        <w:rPr>
          <w:color w:val="222222"/>
          <w:sz w:val="20"/>
          <w:szCs w:val="20"/>
          <w:shd w:val="clear" w:color="auto" w:fill="FFFFFF"/>
        </w:rPr>
        <w:t>P. Zarowin</w:t>
      </w:r>
      <w:r w:rsidR="004D6CA0" w:rsidRPr="00EF5CE2">
        <w:rPr>
          <w:color w:val="222222"/>
          <w:sz w:val="20"/>
          <w:szCs w:val="20"/>
          <w:shd w:val="clear" w:color="auto" w:fill="FFFFFF"/>
        </w:rPr>
        <w:t>. Size, seasonality, and stock market overreaction.</w:t>
      </w:r>
      <w:r w:rsidR="004D6CA0" w:rsidRPr="00EF5CE2">
        <w:rPr>
          <w:rStyle w:val="apple-converted-space"/>
          <w:color w:val="222222"/>
          <w:sz w:val="20"/>
          <w:szCs w:val="20"/>
          <w:shd w:val="clear" w:color="auto" w:fill="FFFFFF"/>
        </w:rPr>
        <w:t> </w:t>
      </w:r>
      <w:r w:rsidR="004D6CA0" w:rsidRPr="00EF5CE2">
        <w:rPr>
          <w:color w:val="222222"/>
          <w:sz w:val="20"/>
          <w:szCs w:val="20"/>
          <w:shd w:val="clear" w:color="auto" w:fill="FFFFFF"/>
        </w:rPr>
        <w:t>Journal of Financial and Quantitative Analysis</w:t>
      </w:r>
      <w:r w:rsidR="004D6CA0" w:rsidRPr="00EF5CE2">
        <w:rPr>
          <w:rStyle w:val="apple-converted-space"/>
          <w:color w:val="222222"/>
          <w:sz w:val="20"/>
          <w:szCs w:val="20"/>
          <w:shd w:val="clear" w:color="auto" w:fill="FFFFFF"/>
        </w:rPr>
        <w:t> </w:t>
      </w:r>
      <w:r w:rsidR="004D6CA0" w:rsidRPr="00EF5CE2">
        <w:rPr>
          <w:color w:val="222222"/>
          <w:sz w:val="20"/>
          <w:szCs w:val="20"/>
          <w:shd w:val="clear" w:color="auto" w:fill="FFFFFF"/>
        </w:rPr>
        <w:t>25.1 (1990): 113-125.</w:t>
      </w:r>
    </w:p>
    <w:p w:rsidR="004D6CA0" w:rsidRPr="00EF5CE2" w:rsidRDefault="00530280" w:rsidP="00EF5CE2">
      <w:pPr>
        <w:spacing w:after="0" w:line="240" w:lineRule="auto"/>
        <w:rPr>
          <w:color w:val="222222"/>
          <w:sz w:val="20"/>
          <w:szCs w:val="20"/>
          <w:shd w:val="clear" w:color="auto" w:fill="FFFFFF"/>
        </w:rPr>
      </w:pPr>
      <w:r w:rsidRPr="00EF5CE2">
        <w:rPr>
          <w:color w:val="222222"/>
          <w:sz w:val="20"/>
          <w:szCs w:val="20"/>
          <w:shd w:val="clear" w:color="auto" w:fill="FFFFFF"/>
        </w:rPr>
        <w:t>[9</w:t>
      </w:r>
      <w:r w:rsidR="004D6CA0" w:rsidRPr="00EF5CE2">
        <w:rPr>
          <w:color w:val="222222"/>
          <w:sz w:val="20"/>
          <w:szCs w:val="20"/>
          <w:shd w:val="clear" w:color="auto" w:fill="FFFFFF"/>
        </w:rPr>
        <w:t xml:space="preserve">] </w:t>
      </w:r>
      <w:r w:rsidR="00EF5CE2">
        <w:rPr>
          <w:color w:val="222222"/>
          <w:sz w:val="20"/>
          <w:szCs w:val="20"/>
          <w:shd w:val="clear" w:color="auto" w:fill="FFFFFF"/>
        </w:rPr>
        <w:t>B. Lehmann</w:t>
      </w:r>
      <w:r w:rsidR="004D6CA0" w:rsidRPr="00EF5CE2">
        <w:rPr>
          <w:color w:val="222222"/>
          <w:sz w:val="20"/>
          <w:szCs w:val="20"/>
          <w:shd w:val="clear" w:color="auto" w:fill="FFFFFF"/>
        </w:rPr>
        <w:t>. Fads, martingales, and market efficiency.</w:t>
      </w:r>
      <w:r w:rsidR="004D6CA0" w:rsidRPr="00EF5CE2">
        <w:rPr>
          <w:rStyle w:val="apple-converted-space"/>
          <w:color w:val="222222"/>
          <w:sz w:val="20"/>
          <w:szCs w:val="20"/>
          <w:shd w:val="clear" w:color="auto" w:fill="FFFFFF"/>
        </w:rPr>
        <w:t> </w:t>
      </w:r>
      <w:r w:rsidR="004D6CA0" w:rsidRPr="00EF5CE2">
        <w:rPr>
          <w:color w:val="222222"/>
          <w:sz w:val="20"/>
          <w:szCs w:val="20"/>
          <w:shd w:val="clear" w:color="auto" w:fill="FFFFFF"/>
        </w:rPr>
        <w:t>The Quarterly Journal of Economics</w:t>
      </w:r>
      <w:r w:rsidR="004D6CA0" w:rsidRPr="00EF5CE2">
        <w:rPr>
          <w:rStyle w:val="apple-converted-space"/>
          <w:color w:val="222222"/>
          <w:sz w:val="20"/>
          <w:szCs w:val="20"/>
          <w:shd w:val="clear" w:color="auto" w:fill="FFFFFF"/>
        </w:rPr>
        <w:t> </w:t>
      </w:r>
      <w:r w:rsidR="004D6CA0" w:rsidRPr="00EF5CE2">
        <w:rPr>
          <w:color w:val="222222"/>
          <w:sz w:val="20"/>
          <w:szCs w:val="20"/>
          <w:shd w:val="clear" w:color="auto" w:fill="FFFFFF"/>
        </w:rPr>
        <w:t>105.1 (1990): 1-28.</w:t>
      </w:r>
    </w:p>
    <w:p w:rsidR="004D6CA0" w:rsidRPr="00EF5CE2" w:rsidRDefault="00530280" w:rsidP="00EF5CE2">
      <w:pPr>
        <w:spacing w:after="0" w:line="240" w:lineRule="auto"/>
        <w:rPr>
          <w:color w:val="222222"/>
          <w:sz w:val="20"/>
          <w:szCs w:val="20"/>
          <w:shd w:val="clear" w:color="auto" w:fill="FFFFFF"/>
        </w:rPr>
      </w:pPr>
      <w:r w:rsidRPr="00EF5CE2">
        <w:rPr>
          <w:color w:val="222222"/>
          <w:sz w:val="20"/>
          <w:szCs w:val="20"/>
          <w:shd w:val="clear" w:color="auto" w:fill="FFFFFF"/>
        </w:rPr>
        <w:t>[10</w:t>
      </w:r>
      <w:r w:rsidR="004D6CA0" w:rsidRPr="00EF5CE2">
        <w:rPr>
          <w:color w:val="222222"/>
          <w:sz w:val="20"/>
          <w:szCs w:val="20"/>
          <w:shd w:val="clear" w:color="auto" w:fill="FFFFFF"/>
        </w:rPr>
        <w:t xml:space="preserve">] </w:t>
      </w:r>
      <w:r w:rsidR="00EF5CE2">
        <w:rPr>
          <w:color w:val="222222"/>
          <w:sz w:val="20"/>
          <w:szCs w:val="20"/>
          <w:shd w:val="clear" w:color="auto" w:fill="FFFFFF"/>
        </w:rPr>
        <w:t xml:space="preserve">A. Lo </w:t>
      </w:r>
      <w:r w:rsidR="004D6CA0" w:rsidRPr="00EF5CE2">
        <w:rPr>
          <w:color w:val="222222"/>
          <w:sz w:val="20"/>
          <w:szCs w:val="20"/>
          <w:shd w:val="clear" w:color="auto" w:fill="FFFFFF"/>
        </w:rPr>
        <w:t xml:space="preserve">and </w:t>
      </w:r>
      <w:r w:rsidR="00EF5CE2">
        <w:rPr>
          <w:color w:val="222222"/>
          <w:sz w:val="20"/>
          <w:szCs w:val="20"/>
          <w:shd w:val="clear" w:color="auto" w:fill="FFFFFF"/>
        </w:rPr>
        <w:t>A.C.</w:t>
      </w:r>
      <w:r w:rsidR="004D6CA0" w:rsidRPr="00EF5CE2">
        <w:rPr>
          <w:color w:val="222222"/>
          <w:sz w:val="20"/>
          <w:szCs w:val="20"/>
          <w:shd w:val="clear" w:color="auto" w:fill="FFFFFF"/>
        </w:rPr>
        <w:t xml:space="preserve"> MacKinlay. When are contrarian profits due to stock market overreaction?.</w:t>
      </w:r>
      <w:r w:rsidR="004D6CA0" w:rsidRPr="00EF5CE2">
        <w:rPr>
          <w:rStyle w:val="apple-converted-space"/>
          <w:color w:val="222222"/>
          <w:sz w:val="20"/>
          <w:szCs w:val="20"/>
          <w:shd w:val="clear" w:color="auto" w:fill="FFFFFF"/>
        </w:rPr>
        <w:t> </w:t>
      </w:r>
      <w:r w:rsidR="004D6CA0" w:rsidRPr="00EF5CE2">
        <w:rPr>
          <w:color w:val="222222"/>
          <w:sz w:val="20"/>
          <w:szCs w:val="20"/>
          <w:shd w:val="clear" w:color="auto" w:fill="FFFFFF"/>
        </w:rPr>
        <w:t>Review of Financial studies</w:t>
      </w:r>
      <w:r w:rsidR="004D6CA0" w:rsidRPr="00EF5CE2">
        <w:rPr>
          <w:rStyle w:val="apple-converted-space"/>
          <w:color w:val="222222"/>
          <w:sz w:val="20"/>
          <w:szCs w:val="20"/>
          <w:shd w:val="clear" w:color="auto" w:fill="FFFFFF"/>
        </w:rPr>
        <w:t> </w:t>
      </w:r>
      <w:r w:rsidR="004D6CA0" w:rsidRPr="00EF5CE2">
        <w:rPr>
          <w:color w:val="222222"/>
          <w:sz w:val="20"/>
          <w:szCs w:val="20"/>
          <w:shd w:val="clear" w:color="auto" w:fill="FFFFFF"/>
        </w:rPr>
        <w:t>3.2 (1990): 175-205.</w:t>
      </w:r>
    </w:p>
    <w:p w:rsidR="004D6CA0" w:rsidRPr="00EF5CE2" w:rsidRDefault="00530280" w:rsidP="00EF5CE2">
      <w:pPr>
        <w:spacing w:after="0" w:line="240" w:lineRule="auto"/>
        <w:rPr>
          <w:color w:val="222222"/>
          <w:sz w:val="20"/>
          <w:szCs w:val="20"/>
          <w:shd w:val="clear" w:color="auto" w:fill="FFFFFF"/>
        </w:rPr>
      </w:pPr>
      <w:r w:rsidRPr="00EF5CE2">
        <w:rPr>
          <w:color w:val="222222"/>
          <w:sz w:val="20"/>
          <w:szCs w:val="20"/>
          <w:shd w:val="clear" w:color="auto" w:fill="FFFFFF"/>
        </w:rPr>
        <w:t>[11</w:t>
      </w:r>
      <w:r w:rsidR="004D6CA0" w:rsidRPr="00EF5CE2">
        <w:rPr>
          <w:color w:val="222222"/>
          <w:sz w:val="20"/>
          <w:szCs w:val="20"/>
          <w:shd w:val="clear" w:color="auto" w:fill="FFFFFF"/>
        </w:rPr>
        <w:t xml:space="preserve">] </w:t>
      </w:r>
      <w:r w:rsidR="00EF5CE2">
        <w:rPr>
          <w:color w:val="222222"/>
          <w:sz w:val="20"/>
          <w:szCs w:val="20"/>
          <w:shd w:val="clear" w:color="auto" w:fill="FFFFFF"/>
        </w:rPr>
        <w:t xml:space="preserve">A.B. Atkins and </w:t>
      </w:r>
      <w:r w:rsidR="004D6CA0" w:rsidRPr="00EF5CE2">
        <w:rPr>
          <w:color w:val="222222"/>
          <w:sz w:val="20"/>
          <w:szCs w:val="20"/>
          <w:shd w:val="clear" w:color="auto" w:fill="FFFFFF"/>
        </w:rPr>
        <w:t>E</w:t>
      </w:r>
      <w:r w:rsidR="00EF5CE2">
        <w:rPr>
          <w:color w:val="222222"/>
          <w:sz w:val="20"/>
          <w:szCs w:val="20"/>
          <w:shd w:val="clear" w:color="auto" w:fill="FFFFFF"/>
        </w:rPr>
        <w:t>.</w:t>
      </w:r>
      <w:r w:rsidR="004D6CA0" w:rsidRPr="00EF5CE2">
        <w:rPr>
          <w:color w:val="222222"/>
          <w:sz w:val="20"/>
          <w:szCs w:val="20"/>
          <w:shd w:val="clear" w:color="auto" w:fill="FFFFFF"/>
        </w:rPr>
        <w:t xml:space="preserve"> A. Dyl. Price reversals, bid-ask spreads, and market efficiency.</w:t>
      </w:r>
      <w:r w:rsidR="004D6CA0" w:rsidRPr="00EF5CE2">
        <w:rPr>
          <w:rStyle w:val="apple-converted-space"/>
          <w:color w:val="222222"/>
          <w:sz w:val="20"/>
          <w:szCs w:val="20"/>
          <w:shd w:val="clear" w:color="auto" w:fill="FFFFFF"/>
        </w:rPr>
        <w:t> </w:t>
      </w:r>
      <w:r w:rsidR="004D6CA0" w:rsidRPr="00EF5CE2">
        <w:rPr>
          <w:color w:val="222222"/>
          <w:sz w:val="20"/>
          <w:szCs w:val="20"/>
          <w:shd w:val="clear" w:color="auto" w:fill="FFFFFF"/>
        </w:rPr>
        <w:t>Journal of Financial and Quantitative Analysis</w:t>
      </w:r>
      <w:r w:rsidR="004D6CA0" w:rsidRPr="00EF5CE2">
        <w:rPr>
          <w:rStyle w:val="apple-converted-space"/>
          <w:color w:val="222222"/>
          <w:sz w:val="20"/>
          <w:szCs w:val="20"/>
          <w:shd w:val="clear" w:color="auto" w:fill="FFFFFF"/>
        </w:rPr>
        <w:t> </w:t>
      </w:r>
      <w:r w:rsidR="004D6CA0" w:rsidRPr="00EF5CE2">
        <w:rPr>
          <w:color w:val="222222"/>
          <w:sz w:val="20"/>
          <w:szCs w:val="20"/>
          <w:shd w:val="clear" w:color="auto" w:fill="FFFFFF"/>
        </w:rPr>
        <w:t>25.04 (1990): 535-547.</w:t>
      </w:r>
    </w:p>
    <w:p w:rsidR="004D6CA0" w:rsidRPr="00EF5CE2" w:rsidRDefault="00530280" w:rsidP="00EF5CE2">
      <w:pPr>
        <w:pStyle w:val="Bibliography"/>
        <w:spacing w:after="0" w:line="240" w:lineRule="auto"/>
        <w:rPr>
          <w:noProof/>
          <w:sz w:val="20"/>
          <w:szCs w:val="20"/>
          <w:lang w:val="en-US"/>
        </w:rPr>
      </w:pPr>
      <w:r w:rsidRPr="00EF5CE2">
        <w:rPr>
          <w:color w:val="222222"/>
          <w:sz w:val="20"/>
          <w:szCs w:val="20"/>
          <w:shd w:val="clear" w:color="auto" w:fill="FFFFFF"/>
        </w:rPr>
        <w:t>[12</w:t>
      </w:r>
      <w:r w:rsidR="004D6CA0" w:rsidRPr="00EF5CE2">
        <w:rPr>
          <w:color w:val="222222"/>
          <w:sz w:val="20"/>
          <w:szCs w:val="20"/>
          <w:shd w:val="clear" w:color="auto" w:fill="FFFFFF"/>
        </w:rPr>
        <w:t xml:space="preserve">] </w:t>
      </w:r>
      <w:r w:rsidR="00EF5CE2">
        <w:rPr>
          <w:color w:val="222222"/>
          <w:sz w:val="20"/>
          <w:szCs w:val="20"/>
          <w:shd w:val="clear" w:color="auto" w:fill="FFFFFF"/>
        </w:rPr>
        <w:t xml:space="preserve">D.R. </w:t>
      </w:r>
      <w:r w:rsidR="004D6CA0" w:rsidRPr="00EF5CE2">
        <w:rPr>
          <w:noProof/>
          <w:sz w:val="20"/>
          <w:szCs w:val="20"/>
          <w:lang w:val="en-US"/>
        </w:rPr>
        <w:t xml:space="preserve">Cox and </w:t>
      </w:r>
      <w:r w:rsidR="00EF5CE2">
        <w:rPr>
          <w:noProof/>
          <w:sz w:val="20"/>
          <w:szCs w:val="20"/>
          <w:lang w:val="en-US"/>
        </w:rPr>
        <w:t xml:space="preserve">D.R. </w:t>
      </w:r>
      <w:r w:rsidR="004D6CA0" w:rsidRPr="00EF5CE2">
        <w:rPr>
          <w:noProof/>
          <w:sz w:val="20"/>
          <w:szCs w:val="20"/>
          <w:lang w:val="en-US"/>
        </w:rPr>
        <w:t>Peterson. Stock Returns Following Large One-Day Declines: Evidence on Short-Term Reversals and Longer-Term Performance. The Journal of Finance. - 1994. - pp. 255-267.</w:t>
      </w:r>
    </w:p>
    <w:p w:rsidR="004D6CA0" w:rsidRPr="00EF5CE2" w:rsidRDefault="00530280" w:rsidP="00EF5CE2">
      <w:pPr>
        <w:spacing w:after="0" w:line="240" w:lineRule="auto"/>
        <w:rPr>
          <w:sz w:val="20"/>
          <w:szCs w:val="20"/>
          <w:lang w:val="en-US"/>
        </w:rPr>
      </w:pPr>
      <w:r w:rsidRPr="00EF5CE2">
        <w:rPr>
          <w:color w:val="222222"/>
          <w:sz w:val="20"/>
          <w:szCs w:val="20"/>
          <w:shd w:val="clear" w:color="auto" w:fill="FFFFFF"/>
        </w:rPr>
        <w:t>[13</w:t>
      </w:r>
      <w:r w:rsidR="004D6CA0" w:rsidRPr="00EF5CE2">
        <w:rPr>
          <w:color w:val="222222"/>
          <w:sz w:val="20"/>
          <w:szCs w:val="20"/>
          <w:shd w:val="clear" w:color="auto" w:fill="FFFFFF"/>
        </w:rPr>
        <w:t xml:space="preserve">] </w:t>
      </w:r>
      <w:r w:rsidR="00EF5CE2">
        <w:rPr>
          <w:color w:val="222222"/>
          <w:sz w:val="20"/>
          <w:szCs w:val="20"/>
          <w:shd w:val="clear" w:color="auto" w:fill="FFFFFF"/>
        </w:rPr>
        <w:t xml:space="preserve">N. Jegadeesh and S. </w:t>
      </w:r>
      <w:r w:rsidR="004D6CA0" w:rsidRPr="00EF5CE2">
        <w:rPr>
          <w:color w:val="222222"/>
          <w:sz w:val="20"/>
          <w:szCs w:val="20"/>
          <w:shd w:val="clear" w:color="auto" w:fill="FFFFFF"/>
        </w:rPr>
        <w:t>Titman. Overreaction, delayed reaction, and contrarian profits.</w:t>
      </w:r>
      <w:r w:rsidR="004D6CA0" w:rsidRPr="00EF5CE2">
        <w:rPr>
          <w:rStyle w:val="apple-converted-space"/>
          <w:color w:val="222222"/>
          <w:sz w:val="20"/>
          <w:szCs w:val="20"/>
          <w:shd w:val="clear" w:color="auto" w:fill="FFFFFF"/>
        </w:rPr>
        <w:t> </w:t>
      </w:r>
      <w:r w:rsidR="004D6CA0" w:rsidRPr="00EF5CE2">
        <w:rPr>
          <w:color w:val="222222"/>
          <w:sz w:val="20"/>
          <w:szCs w:val="20"/>
          <w:shd w:val="clear" w:color="auto" w:fill="FFFFFF"/>
        </w:rPr>
        <w:t>Review of Financial Studies</w:t>
      </w:r>
      <w:r w:rsidR="004D6CA0" w:rsidRPr="00EF5CE2">
        <w:rPr>
          <w:rStyle w:val="apple-converted-space"/>
          <w:color w:val="222222"/>
          <w:sz w:val="20"/>
          <w:szCs w:val="20"/>
          <w:shd w:val="clear" w:color="auto" w:fill="FFFFFF"/>
        </w:rPr>
        <w:t> </w:t>
      </w:r>
      <w:r w:rsidR="004D6CA0" w:rsidRPr="00EF5CE2">
        <w:rPr>
          <w:color w:val="222222"/>
          <w:sz w:val="20"/>
          <w:szCs w:val="20"/>
          <w:shd w:val="clear" w:color="auto" w:fill="FFFFFF"/>
        </w:rPr>
        <w:t>8.4 (1995): 973-993.</w:t>
      </w:r>
    </w:p>
    <w:p w:rsidR="004D6CA0" w:rsidRPr="00EF5CE2" w:rsidRDefault="00530280" w:rsidP="00EF5CE2">
      <w:pPr>
        <w:pStyle w:val="Bibliography"/>
        <w:spacing w:after="0" w:line="240" w:lineRule="auto"/>
        <w:rPr>
          <w:noProof/>
          <w:sz w:val="20"/>
          <w:szCs w:val="20"/>
          <w:lang w:val="en-US"/>
        </w:rPr>
      </w:pPr>
      <w:r w:rsidRPr="00EF5CE2">
        <w:rPr>
          <w:color w:val="222222"/>
          <w:sz w:val="20"/>
          <w:szCs w:val="20"/>
          <w:shd w:val="clear" w:color="auto" w:fill="FFFFFF"/>
        </w:rPr>
        <w:t>[14</w:t>
      </w:r>
      <w:r w:rsidR="004D6CA0" w:rsidRPr="00EF5CE2">
        <w:rPr>
          <w:color w:val="222222"/>
          <w:sz w:val="20"/>
          <w:szCs w:val="20"/>
          <w:shd w:val="clear" w:color="auto" w:fill="FFFFFF"/>
        </w:rPr>
        <w:t>]</w:t>
      </w:r>
      <w:r w:rsidR="00EF5CE2" w:rsidRPr="00EF5CE2">
        <w:rPr>
          <w:noProof/>
          <w:sz w:val="20"/>
          <w:szCs w:val="20"/>
          <w:lang w:val="en-US"/>
        </w:rPr>
        <w:t xml:space="preserve"> K. C</w:t>
      </w:r>
      <w:r w:rsidR="00EF5CE2">
        <w:rPr>
          <w:noProof/>
          <w:sz w:val="20"/>
          <w:szCs w:val="20"/>
          <w:lang w:val="en-US"/>
        </w:rPr>
        <w:t>.</w:t>
      </w:r>
      <w:r w:rsidR="004D6CA0" w:rsidRPr="00EF5CE2">
        <w:rPr>
          <w:color w:val="222222"/>
          <w:sz w:val="20"/>
          <w:szCs w:val="20"/>
          <w:shd w:val="clear" w:color="auto" w:fill="FFFFFF"/>
        </w:rPr>
        <w:t xml:space="preserve"> </w:t>
      </w:r>
      <w:r w:rsidR="004D6CA0" w:rsidRPr="00EF5CE2">
        <w:rPr>
          <w:noProof/>
          <w:sz w:val="20"/>
          <w:szCs w:val="20"/>
          <w:lang w:val="en-US"/>
        </w:rPr>
        <w:t xml:space="preserve">Chan, </w:t>
      </w:r>
      <w:r w:rsidR="00EF5CE2">
        <w:rPr>
          <w:noProof/>
          <w:sz w:val="20"/>
          <w:szCs w:val="20"/>
          <w:lang w:val="en-US"/>
        </w:rPr>
        <w:t xml:space="preserve">N. </w:t>
      </w:r>
      <w:r w:rsidR="004D6CA0" w:rsidRPr="00EF5CE2">
        <w:rPr>
          <w:noProof/>
          <w:sz w:val="20"/>
          <w:szCs w:val="20"/>
          <w:lang w:val="en-US"/>
        </w:rPr>
        <w:t xml:space="preserve">Jegadeesh and </w:t>
      </w:r>
      <w:r w:rsidR="00EF5CE2">
        <w:rPr>
          <w:noProof/>
          <w:sz w:val="20"/>
          <w:szCs w:val="20"/>
          <w:lang w:val="en-US"/>
        </w:rPr>
        <w:t xml:space="preserve">J. Lakonishok. </w:t>
      </w:r>
      <w:r w:rsidR="004D6CA0" w:rsidRPr="00EF5CE2">
        <w:rPr>
          <w:noProof/>
          <w:sz w:val="20"/>
          <w:szCs w:val="20"/>
          <w:lang w:val="en-US"/>
        </w:rPr>
        <w:t>Momentum Strategies The Journal of Fnance. - 1996. - pp. 1681-1713.</w:t>
      </w:r>
    </w:p>
    <w:p w:rsidR="00E53EA4" w:rsidRPr="00EF5CE2" w:rsidRDefault="00530280" w:rsidP="00EF5CE2">
      <w:pPr>
        <w:pStyle w:val="Bibliography"/>
        <w:spacing w:after="0" w:line="240" w:lineRule="auto"/>
        <w:rPr>
          <w:noProof/>
          <w:sz w:val="20"/>
          <w:szCs w:val="20"/>
          <w:lang w:val="en-US"/>
        </w:rPr>
      </w:pPr>
      <w:r w:rsidRPr="00EF5CE2">
        <w:rPr>
          <w:sz w:val="20"/>
          <w:szCs w:val="20"/>
          <w:lang w:val="en-US"/>
        </w:rPr>
        <w:lastRenderedPageBreak/>
        <w:t xml:space="preserve"> [15</w:t>
      </w:r>
      <w:r w:rsidR="00E53EA4" w:rsidRPr="00EF5CE2">
        <w:rPr>
          <w:sz w:val="20"/>
          <w:szCs w:val="20"/>
          <w:lang w:val="en-US"/>
        </w:rPr>
        <w:t xml:space="preserve">] </w:t>
      </w:r>
      <w:r w:rsidR="00EF5CE2">
        <w:rPr>
          <w:sz w:val="20"/>
          <w:szCs w:val="20"/>
          <w:lang w:val="en-US"/>
        </w:rPr>
        <w:t xml:space="preserve">O. </w:t>
      </w:r>
      <w:r w:rsidR="00E53EA4" w:rsidRPr="00EF5CE2">
        <w:rPr>
          <w:noProof/>
          <w:sz w:val="20"/>
          <w:szCs w:val="20"/>
          <w:lang w:val="en-US"/>
        </w:rPr>
        <w:t xml:space="preserve">Schnusenberg and </w:t>
      </w:r>
      <w:r w:rsidR="00EF5CE2">
        <w:rPr>
          <w:noProof/>
          <w:sz w:val="20"/>
          <w:szCs w:val="20"/>
          <w:lang w:val="en-US"/>
        </w:rPr>
        <w:t xml:space="preserve">J. Madura. </w:t>
      </w:r>
      <w:r w:rsidR="00E53EA4" w:rsidRPr="00EF5CE2">
        <w:rPr>
          <w:noProof/>
          <w:sz w:val="20"/>
          <w:szCs w:val="20"/>
          <w:lang w:val="en-US"/>
        </w:rPr>
        <w:t>Do U.S. Stock Market Indexes Over-Or Underreact? The Journal of Financial Research. - 2001. - pp. 179-204.</w:t>
      </w:r>
    </w:p>
    <w:p w:rsidR="00BC4BC6" w:rsidRPr="00EF5CE2" w:rsidRDefault="00530280" w:rsidP="00EF5CE2">
      <w:pPr>
        <w:spacing w:after="0" w:line="240" w:lineRule="auto"/>
        <w:rPr>
          <w:color w:val="222222"/>
          <w:sz w:val="20"/>
          <w:szCs w:val="20"/>
          <w:shd w:val="clear" w:color="auto" w:fill="FFFFFF"/>
        </w:rPr>
      </w:pPr>
      <w:r w:rsidRPr="00EF5CE2">
        <w:rPr>
          <w:sz w:val="20"/>
          <w:szCs w:val="20"/>
          <w:lang w:val="en-US"/>
        </w:rPr>
        <w:t>[16</w:t>
      </w:r>
      <w:r w:rsidR="00E53EA4" w:rsidRPr="00EF5CE2">
        <w:rPr>
          <w:sz w:val="20"/>
          <w:szCs w:val="20"/>
          <w:lang w:val="en-US"/>
        </w:rPr>
        <w:t xml:space="preserve">] </w:t>
      </w:r>
      <w:r w:rsidR="00EF5CE2">
        <w:rPr>
          <w:sz w:val="20"/>
          <w:szCs w:val="20"/>
          <w:lang w:val="en-US"/>
        </w:rPr>
        <w:t xml:space="preserve">L. </w:t>
      </w:r>
      <w:r w:rsidR="00EF5CE2">
        <w:rPr>
          <w:color w:val="222222"/>
          <w:sz w:val="20"/>
          <w:szCs w:val="20"/>
          <w:shd w:val="clear" w:color="auto" w:fill="FFFFFF"/>
        </w:rPr>
        <w:t xml:space="preserve">Kryzanowski </w:t>
      </w:r>
      <w:r w:rsidR="00E53EA4" w:rsidRPr="00EF5CE2">
        <w:rPr>
          <w:color w:val="222222"/>
          <w:sz w:val="20"/>
          <w:szCs w:val="20"/>
          <w:shd w:val="clear" w:color="auto" w:fill="FFFFFF"/>
        </w:rPr>
        <w:t xml:space="preserve">and </w:t>
      </w:r>
      <w:r w:rsidR="00EF5CE2">
        <w:rPr>
          <w:color w:val="222222"/>
          <w:sz w:val="20"/>
          <w:szCs w:val="20"/>
          <w:shd w:val="clear" w:color="auto" w:fill="FFFFFF"/>
        </w:rPr>
        <w:t>H.</w:t>
      </w:r>
      <w:r w:rsidR="00E53EA4" w:rsidRPr="00EF5CE2">
        <w:rPr>
          <w:color w:val="222222"/>
          <w:sz w:val="20"/>
          <w:szCs w:val="20"/>
          <w:shd w:val="clear" w:color="auto" w:fill="FFFFFF"/>
        </w:rPr>
        <w:t xml:space="preserve"> Zhang. The contrarian investment strategy does not work in Canadian markets.</w:t>
      </w:r>
      <w:r w:rsidR="00E53EA4" w:rsidRPr="00EF5CE2">
        <w:rPr>
          <w:rStyle w:val="apple-converted-space"/>
          <w:color w:val="222222"/>
          <w:sz w:val="20"/>
          <w:szCs w:val="20"/>
          <w:shd w:val="clear" w:color="auto" w:fill="FFFFFF"/>
        </w:rPr>
        <w:t> </w:t>
      </w:r>
      <w:r w:rsidR="00E53EA4" w:rsidRPr="00EF5CE2">
        <w:rPr>
          <w:color w:val="222222"/>
          <w:sz w:val="20"/>
          <w:szCs w:val="20"/>
          <w:shd w:val="clear" w:color="auto" w:fill="FFFFFF"/>
        </w:rPr>
        <w:t>Journal of Financial and Quantitative Analysis</w:t>
      </w:r>
      <w:r w:rsidR="00E53EA4" w:rsidRPr="00EF5CE2">
        <w:rPr>
          <w:rStyle w:val="apple-converted-space"/>
          <w:color w:val="222222"/>
          <w:sz w:val="20"/>
          <w:szCs w:val="20"/>
          <w:shd w:val="clear" w:color="auto" w:fill="FFFFFF"/>
        </w:rPr>
        <w:t> </w:t>
      </w:r>
      <w:r w:rsidR="00E53EA4" w:rsidRPr="00EF5CE2">
        <w:rPr>
          <w:color w:val="222222"/>
          <w:sz w:val="20"/>
          <w:szCs w:val="20"/>
          <w:shd w:val="clear" w:color="auto" w:fill="FFFFFF"/>
        </w:rPr>
        <w:t>27.03 (1992): 383-395.</w:t>
      </w:r>
    </w:p>
    <w:p w:rsidR="00E53EA4" w:rsidRPr="00EF5CE2" w:rsidRDefault="00530280" w:rsidP="00EF5CE2">
      <w:pPr>
        <w:spacing w:after="0" w:line="240" w:lineRule="auto"/>
        <w:rPr>
          <w:color w:val="222222"/>
          <w:sz w:val="20"/>
          <w:szCs w:val="20"/>
          <w:shd w:val="clear" w:color="auto" w:fill="FFFFFF"/>
        </w:rPr>
      </w:pPr>
      <w:r w:rsidRPr="00EF5CE2">
        <w:rPr>
          <w:noProof/>
          <w:sz w:val="20"/>
          <w:szCs w:val="20"/>
          <w:lang w:val="en-US"/>
        </w:rPr>
        <w:t>[17</w:t>
      </w:r>
      <w:r w:rsidR="00E53EA4" w:rsidRPr="00EF5CE2">
        <w:rPr>
          <w:noProof/>
          <w:sz w:val="20"/>
          <w:szCs w:val="20"/>
          <w:lang w:val="en-US"/>
        </w:rPr>
        <w:t xml:space="preserve">] </w:t>
      </w:r>
      <w:r w:rsidR="00EF5CE2">
        <w:rPr>
          <w:noProof/>
          <w:sz w:val="20"/>
          <w:szCs w:val="20"/>
          <w:lang w:val="en-US"/>
        </w:rPr>
        <w:t xml:space="preserve">A. </w:t>
      </w:r>
      <w:r w:rsidR="00E53EA4" w:rsidRPr="00EF5CE2">
        <w:rPr>
          <w:noProof/>
          <w:sz w:val="20"/>
          <w:szCs w:val="20"/>
          <w:lang w:val="en-US"/>
        </w:rPr>
        <w:t xml:space="preserve">Clare and </w:t>
      </w:r>
      <w:r w:rsidR="00EF5CE2">
        <w:rPr>
          <w:noProof/>
          <w:sz w:val="20"/>
          <w:szCs w:val="20"/>
          <w:lang w:val="en-US"/>
        </w:rPr>
        <w:t xml:space="preserve">S. Thomas. </w:t>
      </w:r>
      <w:r w:rsidR="00E53EA4" w:rsidRPr="00EF5CE2">
        <w:rPr>
          <w:noProof/>
          <w:sz w:val="20"/>
          <w:szCs w:val="20"/>
          <w:lang w:val="en-US"/>
        </w:rPr>
        <w:t>The overreaction hypothesis and the UK stockmarket  Journal of Business Finance &amp; Accounting. - 1995. - pp. 961-973.</w:t>
      </w:r>
    </w:p>
    <w:p w:rsidR="00E53EA4" w:rsidRPr="00EF5CE2" w:rsidRDefault="00530280" w:rsidP="00EF5CE2">
      <w:pPr>
        <w:pStyle w:val="Bibliography"/>
        <w:spacing w:after="0" w:line="240" w:lineRule="auto"/>
        <w:rPr>
          <w:noProof/>
          <w:sz w:val="20"/>
          <w:szCs w:val="20"/>
          <w:lang w:val="en-US"/>
        </w:rPr>
      </w:pPr>
      <w:r w:rsidRPr="00EF5CE2">
        <w:rPr>
          <w:noProof/>
          <w:sz w:val="20"/>
          <w:szCs w:val="20"/>
          <w:lang w:val="en-US"/>
        </w:rPr>
        <w:t>[18</w:t>
      </w:r>
      <w:r w:rsidR="00E53EA4" w:rsidRPr="00EF5CE2">
        <w:rPr>
          <w:noProof/>
          <w:sz w:val="20"/>
          <w:szCs w:val="20"/>
          <w:lang w:val="en-US"/>
        </w:rPr>
        <w:t xml:space="preserve">] </w:t>
      </w:r>
      <w:r w:rsidR="00EF5CE2">
        <w:rPr>
          <w:noProof/>
          <w:sz w:val="20"/>
          <w:szCs w:val="20"/>
          <w:lang w:val="en-US"/>
        </w:rPr>
        <w:t xml:space="preserve">S. </w:t>
      </w:r>
      <w:r w:rsidR="00E53EA4" w:rsidRPr="00EF5CE2">
        <w:rPr>
          <w:noProof/>
          <w:sz w:val="20"/>
          <w:szCs w:val="20"/>
          <w:lang w:val="en-US"/>
        </w:rPr>
        <w:t xml:space="preserve">Spyrou, </w:t>
      </w:r>
      <w:r w:rsidR="00EF5CE2">
        <w:rPr>
          <w:noProof/>
          <w:sz w:val="20"/>
          <w:szCs w:val="20"/>
          <w:lang w:val="en-US"/>
        </w:rPr>
        <w:t>K.</w:t>
      </w:r>
      <w:r w:rsidR="00E53EA4" w:rsidRPr="00EF5CE2">
        <w:rPr>
          <w:noProof/>
          <w:sz w:val="20"/>
          <w:szCs w:val="20"/>
          <w:lang w:val="en-US"/>
        </w:rPr>
        <w:t xml:space="preserve"> Konstantinos and </w:t>
      </w:r>
      <w:r w:rsidR="00EF5CE2">
        <w:rPr>
          <w:noProof/>
          <w:sz w:val="20"/>
          <w:szCs w:val="20"/>
          <w:lang w:val="en-US"/>
        </w:rPr>
        <w:t>G</w:t>
      </w:r>
      <w:r w:rsidR="00E53EA4" w:rsidRPr="00EF5CE2">
        <w:rPr>
          <w:noProof/>
          <w:sz w:val="20"/>
          <w:szCs w:val="20"/>
          <w:lang w:val="en-US"/>
        </w:rPr>
        <w:t xml:space="preserve"> Emilios</w:t>
      </w:r>
      <w:r w:rsidR="00EF5CE2">
        <w:rPr>
          <w:noProof/>
          <w:sz w:val="20"/>
          <w:szCs w:val="20"/>
          <w:lang w:val="en-US"/>
        </w:rPr>
        <w:t xml:space="preserve">. </w:t>
      </w:r>
      <w:r w:rsidR="00E53EA4" w:rsidRPr="00EF5CE2">
        <w:rPr>
          <w:noProof/>
          <w:sz w:val="20"/>
          <w:szCs w:val="20"/>
          <w:lang w:val="en-US"/>
        </w:rPr>
        <w:t xml:space="preserve"> Short-term overreaction, underreaction and efficient reaction: evidence from the London Stock Exchange. Joutnal of Applied Financial Economics. - 2007. - pp. 221–235.</w:t>
      </w:r>
    </w:p>
    <w:p w:rsidR="00E53EA4" w:rsidRPr="00EF5CE2" w:rsidRDefault="00530280" w:rsidP="00EF5CE2">
      <w:pPr>
        <w:pStyle w:val="Bibliography"/>
        <w:spacing w:after="0" w:line="240" w:lineRule="auto"/>
        <w:rPr>
          <w:noProof/>
          <w:sz w:val="20"/>
          <w:szCs w:val="20"/>
          <w:lang w:val="en-US"/>
        </w:rPr>
      </w:pPr>
      <w:r w:rsidRPr="00EF5CE2">
        <w:rPr>
          <w:sz w:val="20"/>
          <w:szCs w:val="20"/>
          <w:lang w:val="en-US"/>
        </w:rPr>
        <w:t>[19</w:t>
      </w:r>
      <w:r w:rsidR="00E53EA4" w:rsidRPr="00EF5CE2">
        <w:rPr>
          <w:sz w:val="20"/>
          <w:szCs w:val="20"/>
          <w:lang w:val="en-US"/>
        </w:rPr>
        <w:t xml:space="preserve">] </w:t>
      </w:r>
      <w:r w:rsidR="00EF5CE2">
        <w:rPr>
          <w:sz w:val="20"/>
          <w:szCs w:val="20"/>
          <w:lang w:val="en-US"/>
        </w:rPr>
        <w:t xml:space="preserve">A. </w:t>
      </w:r>
      <w:r w:rsidR="00E53EA4" w:rsidRPr="00EF5CE2">
        <w:rPr>
          <w:noProof/>
          <w:sz w:val="20"/>
          <w:szCs w:val="20"/>
          <w:lang w:val="en-US"/>
        </w:rPr>
        <w:t xml:space="preserve">Alonso and </w:t>
      </w:r>
      <w:r w:rsidR="00EF5CE2">
        <w:rPr>
          <w:noProof/>
          <w:sz w:val="20"/>
          <w:szCs w:val="20"/>
          <w:lang w:val="en-US"/>
        </w:rPr>
        <w:t>G. Rubio.</w:t>
      </w:r>
      <w:r w:rsidR="00E53EA4" w:rsidRPr="00EF5CE2">
        <w:rPr>
          <w:noProof/>
          <w:sz w:val="20"/>
          <w:szCs w:val="20"/>
          <w:lang w:val="en-US"/>
        </w:rPr>
        <w:t xml:space="preserve"> Overreaction in the Spanish equity market. Journal of Banking &amp; Finance. - 1990. - pp. 469-481.</w:t>
      </w:r>
    </w:p>
    <w:p w:rsidR="00E53EA4" w:rsidRPr="00EF5CE2" w:rsidRDefault="00530280" w:rsidP="00EF5CE2">
      <w:pPr>
        <w:spacing w:after="0" w:line="240" w:lineRule="auto"/>
        <w:rPr>
          <w:color w:val="222222"/>
          <w:sz w:val="20"/>
          <w:szCs w:val="20"/>
          <w:shd w:val="clear" w:color="auto" w:fill="FFFFFF"/>
          <w:lang w:val="en-US"/>
        </w:rPr>
      </w:pPr>
      <w:r w:rsidRPr="00EF5CE2">
        <w:rPr>
          <w:sz w:val="20"/>
          <w:szCs w:val="20"/>
          <w:lang w:val="en-US"/>
        </w:rPr>
        <w:t>[20</w:t>
      </w:r>
      <w:r w:rsidR="00E53EA4" w:rsidRPr="00EF5CE2">
        <w:rPr>
          <w:sz w:val="20"/>
          <w:szCs w:val="20"/>
          <w:lang w:val="en-US"/>
        </w:rPr>
        <w:t xml:space="preserve">] </w:t>
      </w:r>
      <w:r w:rsidR="00EF5CE2">
        <w:rPr>
          <w:sz w:val="20"/>
          <w:szCs w:val="20"/>
          <w:lang w:val="en-US"/>
        </w:rPr>
        <w:t xml:space="preserve">C. </w:t>
      </w:r>
      <w:r w:rsidR="00E53EA4" w:rsidRPr="00EF5CE2">
        <w:rPr>
          <w:color w:val="222222"/>
          <w:sz w:val="20"/>
          <w:szCs w:val="20"/>
          <w:shd w:val="clear" w:color="auto" w:fill="FFFFFF"/>
          <w:lang w:val="en-US"/>
        </w:rPr>
        <w:t>Forner</w:t>
      </w:r>
      <w:r w:rsidR="00EF5CE2">
        <w:rPr>
          <w:color w:val="222222"/>
          <w:sz w:val="20"/>
          <w:szCs w:val="20"/>
          <w:shd w:val="clear" w:color="auto" w:fill="FFFFFF"/>
          <w:lang w:val="en-US"/>
        </w:rPr>
        <w:t xml:space="preserve"> and J. </w:t>
      </w:r>
      <w:r w:rsidR="00E53EA4" w:rsidRPr="00EF5CE2">
        <w:rPr>
          <w:color w:val="222222"/>
          <w:sz w:val="20"/>
          <w:szCs w:val="20"/>
          <w:shd w:val="clear" w:color="auto" w:fill="FFFFFF"/>
          <w:lang w:val="en-US"/>
        </w:rPr>
        <w:t>Marhuenda. (2003). Contrarian and momentum strategies in the Spanish stock market.</w:t>
      </w:r>
      <w:r w:rsidR="00E53EA4" w:rsidRPr="00EF5CE2">
        <w:rPr>
          <w:rStyle w:val="apple-converted-space"/>
          <w:color w:val="222222"/>
          <w:sz w:val="20"/>
          <w:szCs w:val="20"/>
          <w:shd w:val="clear" w:color="auto" w:fill="FFFFFF"/>
          <w:lang w:val="en-US"/>
        </w:rPr>
        <w:t> </w:t>
      </w:r>
      <w:r w:rsidR="00E53EA4" w:rsidRPr="00EF5CE2">
        <w:rPr>
          <w:color w:val="222222"/>
          <w:sz w:val="20"/>
          <w:szCs w:val="20"/>
          <w:shd w:val="clear" w:color="auto" w:fill="FFFFFF"/>
          <w:lang w:val="en-US"/>
        </w:rPr>
        <w:t>European Financial Management,</w:t>
      </w:r>
      <w:r w:rsidR="00E53EA4" w:rsidRPr="00EF5CE2">
        <w:rPr>
          <w:rStyle w:val="apple-converted-space"/>
          <w:color w:val="222222"/>
          <w:sz w:val="20"/>
          <w:szCs w:val="20"/>
          <w:shd w:val="clear" w:color="auto" w:fill="FFFFFF"/>
          <w:lang w:val="en-US"/>
        </w:rPr>
        <w:t> </w:t>
      </w:r>
      <w:r w:rsidR="00E53EA4" w:rsidRPr="00EF5CE2">
        <w:rPr>
          <w:color w:val="222222"/>
          <w:sz w:val="20"/>
          <w:szCs w:val="20"/>
          <w:shd w:val="clear" w:color="auto" w:fill="FFFFFF"/>
          <w:lang w:val="en-US"/>
        </w:rPr>
        <w:t>9(1), 67-88.</w:t>
      </w:r>
    </w:p>
    <w:p w:rsidR="00E53EA4" w:rsidRPr="00EF5CE2" w:rsidRDefault="00530280" w:rsidP="00EF5CE2">
      <w:pPr>
        <w:spacing w:after="0" w:line="240" w:lineRule="auto"/>
        <w:rPr>
          <w:color w:val="222222"/>
          <w:sz w:val="20"/>
          <w:szCs w:val="20"/>
          <w:shd w:val="clear" w:color="auto" w:fill="FFFFFF"/>
          <w:lang w:val="en-US"/>
        </w:rPr>
      </w:pPr>
      <w:r w:rsidRPr="00EF5CE2">
        <w:rPr>
          <w:color w:val="222222"/>
          <w:sz w:val="20"/>
          <w:szCs w:val="20"/>
          <w:shd w:val="clear" w:color="auto" w:fill="FFFFFF"/>
          <w:lang w:val="en-US"/>
        </w:rPr>
        <w:t>[21</w:t>
      </w:r>
      <w:r w:rsidR="00E53EA4" w:rsidRPr="00EF5CE2">
        <w:rPr>
          <w:color w:val="222222"/>
          <w:sz w:val="20"/>
          <w:szCs w:val="20"/>
          <w:shd w:val="clear" w:color="auto" w:fill="FFFFFF"/>
          <w:lang w:val="en-US"/>
        </w:rPr>
        <w:t xml:space="preserve">] </w:t>
      </w:r>
      <w:r w:rsidR="00EF5CE2">
        <w:rPr>
          <w:color w:val="222222"/>
          <w:sz w:val="20"/>
          <w:szCs w:val="20"/>
          <w:shd w:val="clear" w:color="auto" w:fill="FFFFFF"/>
          <w:lang w:val="en-US"/>
        </w:rPr>
        <w:t xml:space="preserve">D. </w:t>
      </w:r>
      <w:r w:rsidR="00E53EA4" w:rsidRPr="00EF5CE2">
        <w:rPr>
          <w:color w:val="222222"/>
          <w:sz w:val="20"/>
          <w:szCs w:val="20"/>
          <w:shd w:val="clear" w:color="auto" w:fill="FFFFFF"/>
          <w:lang w:val="en-US"/>
        </w:rPr>
        <w:t xml:space="preserve">Schiereck, </w:t>
      </w:r>
      <w:r w:rsidR="00EF5CE2">
        <w:rPr>
          <w:color w:val="222222"/>
          <w:sz w:val="20"/>
          <w:szCs w:val="20"/>
          <w:shd w:val="clear" w:color="auto" w:fill="FFFFFF"/>
          <w:lang w:val="en-US"/>
        </w:rPr>
        <w:t xml:space="preserve">W. </w:t>
      </w:r>
      <w:r w:rsidR="00E53EA4" w:rsidRPr="00EF5CE2">
        <w:rPr>
          <w:color w:val="222222"/>
          <w:sz w:val="20"/>
          <w:szCs w:val="20"/>
          <w:shd w:val="clear" w:color="auto" w:fill="FFFFFF"/>
          <w:lang w:val="en-US"/>
        </w:rPr>
        <w:t xml:space="preserve">De Bondt, </w:t>
      </w:r>
      <w:r w:rsidR="00EF5CE2">
        <w:rPr>
          <w:color w:val="222222"/>
          <w:sz w:val="20"/>
          <w:szCs w:val="20"/>
          <w:shd w:val="clear" w:color="auto" w:fill="FFFFFF"/>
          <w:lang w:val="en-US"/>
        </w:rPr>
        <w:t>and M. Weber</w:t>
      </w:r>
      <w:r w:rsidR="00E53EA4" w:rsidRPr="00EF5CE2">
        <w:rPr>
          <w:color w:val="222222"/>
          <w:sz w:val="20"/>
          <w:szCs w:val="20"/>
          <w:shd w:val="clear" w:color="auto" w:fill="FFFFFF"/>
          <w:lang w:val="en-US"/>
        </w:rPr>
        <w:t>. (1999). Contrarian and momentum strategies in Germany.</w:t>
      </w:r>
      <w:r w:rsidR="00E53EA4" w:rsidRPr="00EF5CE2">
        <w:rPr>
          <w:rStyle w:val="apple-converted-space"/>
          <w:color w:val="222222"/>
          <w:sz w:val="20"/>
          <w:szCs w:val="20"/>
          <w:shd w:val="clear" w:color="auto" w:fill="FFFFFF"/>
          <w:lang w:val="en-US"/>
        </w:rPr>
        <w:t> </w:t>
      </w:r>
      <w:r w:rsidR="00E53EA4" w:rsidRPr="00EF5CE2">
        <w:rPr>
          <w:color w:val="222222"/>
          <w:sz w:val="20"/>
          <w:szCs w:val="20"/>
          <w:shd w:val="clear" w:color="auto" w:fill="FFFFFF"/>
          <w:lang w:val="en-US"/>
        </w:rPr>
        <w:t>Financial Analysts Journal, 104-116.</w:t>
      </w:r>
    </w:p>
    <w:p w:rsidR="00E53EA4" w:rsidRPr="00EF5CE2" w:rsidRDefault="00530280" w:rsidP="00EF5CE2">
      <w:pPr>
        <w:pStyle w:val="Bibliography"/>
        <w:spacing w:after="0" w:line="240" w:lineRule="auto"/>
        <w:rPr>
          <w:noProof/>
          <w:sz w:val="20"/>
          <w:szCs w:val="20"/>
          <w:lang w:val="en-US"/>
        </w:rPr>
      </w:pPr>
      <w:r w:rsidRPr="00EF5CE2">
        <w:rPr>
          <w:color w:val="222222"/>
          <w:sz w:val="20"/>
          <w:szCs w:val="20"/>
          <w:shd w:val="clear" w:color="auto" w:fill="FFFFFF"/>
          <w:lang w:val="en-US"/>
        </w:rPr>
        <w:t>[22</w:t>
      </w:r>
      <w:r w:rsidR="00E53EA4" w:rsidRPr="00EF5CE2">
        <w:rPr>
          <w:color w:val="222222"/>
          <w:sz w:val="20"/>
          <w:szCs w:val="20"/>
          <w:shd w:val="clear" w:color="auto" w:fill="FFFFFF"/>
          <w:lang w:val="en-US"/>
        </w:rPr>
        <w:t xml:space="preserve">] </w:t>
      </w:r>
      <w:r w:rsidR="00EF5CE2">
        <w:rPr>
          <w:color w:val="222222"/>
          <w:sz w:val="20"/>
          <w:szCs w:val="20"/>
          <w:shd w:val="clear" w:color="auto" w:fill="FFFFFF"/>
          <w:lang w:val="en-US"/>
        </w:rPr>
        <w:t xml:space="preserve">M. </w:t>
      </w:r>
      <w:r w:rsidR="00EF5CE2">
        <w:rPr>
          <w:noProof/>
          <w:sz w:val="20"/>
          <w:szCs w:val="20"/>
          <w:lang w:val="en-US"/>
        </w:rPr>
        <w:t xml:space="preserve">Bremer, T. </w:t>
      </w:r>
      <w:r w:rsidR="00E53EA4" w:rsidRPr="00EF5CE2">
        <w:rPr>
          <w:noProof/>
          <w:sz w:val="20"/>
          <w:szCs w:val="20"/>
          <w:lang w:val="en-US"/>
        </w:rPr>
        <w:t xml:space="preserve">Hiraki </w:t>
      </w:r>
      <w:r w:rsidR="00EF5CE2">
        <w:rPr>
          <w:noProof/>
          <w:sz w:val="20"/>
          <w:szCs w:val="20"/>
          <w:lang w:val="en-US"/>
        </w:rPr>
        <w:t>a</w:t>
      </w:r>
      <w:r w:rsidR="00E53EA4" w:rsidRPr="00EF5CE2">
        <w:rPr>
          <w:noProof/>
          <w:sz w:val="20"/>
          <w:szCs w:val="20"/>
          <w:lang w:val="en-US"/>
        </w:rPr>
        <w:t xml:space="preserve">nd </w:t>
      </w:r>
      <w:r w:rsidR="00EF5CE2">
        <w:rPr>
          <w:noProof/>
          <w:sz w:val="20"/>
          <w:szCs w:val="20"/>
          <w:lang w:val="en-US"/>
        </w:rPr>
        <w:t xml:space="preserve">R. </w:t>
      </w:r>
      <w:r w:rsidR="00E53EA4" w:rsidRPr="00EF5CE2">
        <w:rPr>
          <w:noProof/>
          <w:sz w:val="20"/>
          <w:szCs w:val="20"/>
          <w:lang w:val="en-US"/>
        </w:rPr>
        <w:t>Sweeney. Predictable Patterns after Large Stock Price Changes on the Tokyo Stock Exchange. The Journal of Financial and Quantitative Analysis. - 1997. - pp. 345-365.</w:t>
      </w:r>
    </w:p>
    <w:p w:rsidR="00E53EA4" w:rsidRPr="00EF5CE2" w:rsidRDefault="00D05959" w:rsidP="00566AA0">
      <w:pPr>
        <w:spacing w:after="0" w:line="240" w:lineRule="auto"/>
        <w:rPr>
          <w:noProof/>
          <w:sz w:val="20"/>
          <w:szCs w:val="20"/>
          <w:lang w:val="en-US"/>
        </w:rPr>
      </w:pPr>
      <w:r w:rsidRPr="00EF5CE2">
        <w:rPr>
          <w:color w:val="222222"/>
          <w:sz w:val="20"/>
          <w:szCs w:val="20"/>
          <w:shd w:val="clear" w:color="auto" w:fill="FFFFFF"/>
          <w:lang w:val="en-US"/>
        </w:rPr>
        <w:t>[</w:t>
      </w:r>
      <w:r w:rsidR="00530280" w:rsidRPr="00EF5CE2">
        <w:rPr>
          <w:color w:val="222222"/>
          <w:sz w:val="20"/>
          <w:szCs w:val="20"/>
          <w:shd w:val="clear" w:color="auto" w:fill="FFFFFF"/>
          <w:lang w:val="en-US"/>
        </w:rPr>
        <w:t>23</w:t>
      </w:r>
      <w:r w:rsidRPr="00EF5CE2">
        <w:rPr>
          <w:color w:val="222222"/>
          <w:sz w:val="20"/>
          <w:szCs w:val="20"/>
          <w:shd w:val="clear" w:color="auto" w:fill="FFFFFF"/>
          <w:lang w:val="en-US"/>
        </w:rPr>
        <w:t xml:space="preserve">] </w:t>
      </w:r>
      <w:r w:rsidR="00566AA0" w:rsidRPr="00566AA0">
        <w:rPr>
          <w:noProof/>
          <w:sz w:val="20"/>
          <w:szCs w:val="20"/>
          <w:lang w:val="en-US"/>
        </w:rPr>
        <w:t>DD Lee, H Chan, </w:t>
      </w:r>
      <w:hyperlink r:id="rId9" w:history="1">
        <w:r w:rsidR="00566AA0" w:rsidRPr="00566AA0">
          <w:rPr>
            <w:noProof/>
            <w:sz w:val="20"/>
            <w:szCs w:val="20"/>
            <w:lang w:val="en-US"/>
          </w:rPr>
          <w:t>RW Faff</w:t>
        </w:r>
      </w:hyperlink>
      <w:r w:rsidR="00566AA0">
        <w:rPr>
          <w:noProof/>
          <w:sz w:val="20"/>
          <w:szCs w:val="20"/>
          <w:lang w:val="en-US"/>
        </w:rPr>
        <w:t xml:space="preserve"> and</w:t>
      </w:r>
      <w:r w:rsidR="00566AA0" w:rsidRPr="00566AA0">
        <w:rPr>
          <w:noProof/>
          <w:sz w:val="20"/>
          <w:szCs w:val="20"/>
          <w:lang w:val="en-US"/>
        </w:rPr>
        <w:t> </w:t>
      </w:r>
      <w:hyperlink r:id="rId10" w:history="1">
        <w:r w:rsidR="00566AA0" w:rsidRPr="00566AA0">
          <w:rPr>
            <w:noProof/>
            <w:sz w:val="20"/>
            <w:szCs w:val="20"/>
            <w:lang w:val="en-US"/>
          </w:rPr>
          <w:t>PS Kalev</w:t>
        </w:r>
      </w:hyperlink>
      <w:r w:rsidRPr="00EF5CE2">
        <w:rPr>
          <w:noProof/>
          <w:sz w:val="20"/>
          <w:szCs w:val="20"/>
          <w:lang w:val="en-US"/>
        </w:rPr>
        <w:t>. Short-term contrarian investing—is it profitable? … Yes and No. Journal of Multinational Financial Management.- 2003.- pp. 385-404</w:t>
      </w:r>
    </w:p>
    <w:p w:rsidR="00D05959" w:rsidRPr="00EF5CE2" w:rsidRDefault="00530280" w:rsidP="00EF5CE2">
      <w:pPr>
        <w:pStyle w:val="Bibliography"/>
        <w:spacing w:after="0" w:line="240" w:lineRule="auto"/>
        <w:rPr>
          <w:noProof/>
          <w:sz w:val="20"/>
          <w:szCs w:val="20"/>
          <w:lang w:val="en-US"/>
        </w:rPr>
      </w:pPr>
      <w:r w:rsidRPr="00EF5CE2">
        <w:rPr>
          <w:noProof/>
          <w:sz w:val="20"/>
          <w:szCs w:val="20"/>
          <w:lang w:val="en-US"/>
        </w:rPr>
        <w:t>[24</w:t>
      </w:r>
      <w:r w:rsidR="00D05959" w:rsidRPr="00EF5CE2">
        <w:rPr>
          <w:noProof/>
          <w:sz w:val="20"/>
          <w:szCs w:val="20"/>
          <w:lang w:val="en-US"/>
        </w:rPr>
        <w:t xml:space="preserve">] </w:t>
      </w:r>
      <w:r w:rsidR="00EF5CE2">
        <w:rPr>
          <w:noProof/>
          <w:sz w:val="20"/>
          <w:szCs w:val="20"/>
          <w:lang w:val="en-US"/>
        </w:rPr>
        <w:t xml:space="preserve">A. </w:t>
      </w:r>
      <w:r w:rsidR="00D05959" w:rsidRPr="00EF5CE2">
        <w:rPr>
          <w:noProof/>
          <w:sz w:val="20"/>
          <w:szCs w:val="20"/>
          <w:lang w:val="en-US"/>
        </w:rPr>
        <w:t xml:space="preserve">Ruhani, </w:t>
      </w:r>
      <w:r w:rsidR="00EF5CE2">
        <w:rPr>
          <w:noProof/>
          <w:sz w:val="20"/>
          <w:szCs w:val="20"/>
          <w:lang w:val="en-US"/>
        </w:rPr>
        <w:t>A.</w:t>
      </w:r>
      <w:r w:rsidR="00D05959" w:rsidRPr="00EF5CE2">
        <w:rPr>
          <w:noProof/>
          <w:sz w:val="20"/>
          <w:szCs w:val="20"/>
          <w:lang w:val="en-US"/>
        </w:rPr>
        <w:t xml:space="preserve"> Zamri and </w:t>
      </w:r>
      <w:r w:rsidR="00EF5CE2">
        <w:rPr>
          <w:noProof/>
          <w:sz w:val="20"/>
          <w:szCs w:val="20"/>
          <w:lang w:val="en-US"/>
        </w:rPr>
        <w:t>A.</w:t>
      </w:r>
      <w:r w:rsidR="00D05959" w:rsidRPr="00EF5CE2">
        <w:rPr>
          <w:noProof/>
          <w:sz w:val="20"/>
          <w:szCs w:val="20"/>
          <w:lang w:val="en-US"/>
        </w:rPr>
        <w:t xml:space="preserve"> Shangkari V. Stock Market Overreaction and trading volume: Evidence from Malaysia. Asian Academy of Management Journal of Accounting and Finance volume: Evidence from Malaysia. - 2011. - pp. 103-119.</w:t>
      </w:r>
    </w:p>
    <w:p w:rsidR="00D05959" w:rsidRPr="00EF5CE2" w:rsidRDefault="00530280" w:rsidP="00EF5CE2">
      <w:pPr>
        <w:pStyle w:val="Bibliography"/>
        <w:spacing w:after="0" w:line="240" w:lineRule="auto"/>
        <w:rPr>
          <w:noProof/>
          <w:sz w:val="20"/>
          <w:szCs w:val="20"/>
          <w:lang w:val="en-US"/>
        </w:rPr>
      </w:pPr>
      <w:r w:rsidRPr="00EF5CE2">
        <w:rPr>
          <w:noProof/>
          <w:sz w:val="20"/>
          <w:szCs w:val="20"/>
          <w:lang w:val="en-US"/>
        </w:rPr>
        <w:t>[25</w:t>
      </w:r>
      <w:r w:rsidR="00D05959" w:rsidRPr="00EF5CE2">
        <w:rPr>
          <w:noProof/>
          <w:sz w:val="20"/>
          <w:szCs w:val="20"/>
          <w:lang w:val="en-US"/>
        </w:rPr>
        <w:t xml:space="preserve">] </w:t>
      </w:r>
      <w:r w:rsidR="00EF5CE2">
        <w:rPr>
          <w:noProof/>
          <w:sz w:val="20"/>
          <w:szCs w:val="20"/>
          <w:lang w:val="en-US"/>
        </w:rPr>
        <w:t xml:space="preserve">NCA da Costa. </w:t>
      </w:r>
      <w:r w:rsidR="00D05959" w:rsidRPr="00EF5CE2">
        <w:rPr>
          <w:noProof/>
          <w:sz w:val="20"/>
          <w:szCs w:val="20"/>
          <w:lang w:val="en-US"/>
        </w:rPr>
        <w:t>Overreaction in the Brazilian stock market. Journal of Banking &amp; Finance. - 1994. - pp. 633-642.</w:t>
      </w:r>
    </w:p>
    <w:p w:rsidR="00D05959" w:rsidRPr="00EF5CE2" w:rsidRDefault="00530280" w:rsidP="00EF5CE2">
      <w:pPr>
        <w:spacing w:after="0" w:line="240" w:lineRule="auto"/>
        <w:rPr>
          <w:noProof/>
          <w:sz w:val="20"/>
          <w:szCs w:val="20"/>
          <w:lang w:val="en-US"/>
        </w:rPr>
      </w:pPr>
      <w:r w:rsidRPr="00EF5CE2">
        <w:rPr>
          <w:noProof/>
          <w:sz w:val="20"/>
          <w:szCs w:val="20"/>
          <w:lang w:val="en-US"/>
        </w:rPr>
        <w:t>[26</w:t>
      </w:r>
      <w:r w:rsidR="00D05959" w:rsidRPr="00EF5CE2">
        <w:rPr>
          <w:noProof/>
          <w:sz w:val="20"/>
          <w:szCs w:val="20"/>
          <w:lang w:val="en-US"/>
        </w:rPr>
        <w:t xml:space="preserve">] </w:t>
      </w:r>
      <w:r w:rsidR="00EF5CE2">
        <w:rPr>
          <w:noProof/>
          <w:sz w:val="20"/>
          <w:szCs w:val="20"/>
          <w:lang w:val="en-US"/>
        </w:rPr>
        <w:t xml:space="preserve">H. </w:t>
      </w:r>
      <w:r w:rsidR="00EF5CE2">
        <w:rPr>
          <w:color w:val="222222"/>
          <w:sz w:val="20"/>
          <w:szCs w:val="20"/>
          <w:shd w:val="clear" w:color="auto" w:fill="FFFFFF"/>
        </w:rPr>
        <w:t>Hsieh,</w:t>
      </w:r>
      <w:r w:rsidR="00D05959" w:rsidRPr="00EF5CE2">
        <w:rPr>
          <w:color w:val="222222"/>
          <w:sz w:val="20"/>
          <w:szCs w:val="20"/>
          <w:shd w:val="clear" w:color="auto" w:fill="FFFFFF"/>
        </w:rPr>
        <w:t xml:space="preserve"> and K</w:t>
      </w:r>
      <w:r w:rsidR="00EF5CE2">
        <w:rPr>
          <w:color w:val="222222"/>
          <w:sz w:val="20"/>
          <w:szCs w:val="20"/>
          <w:shd w:val="clear" w:color="auto" w:fill="FFFFFF"/>
        </w:rPr>
        <w:t>.</w:t>
      </w:r>
      <w:r w:rsidR="00D05959" w:rsidRPr="00EF5CE2">
        <w:rPr>
          <w:color w:val="222222"/>
          <w:sz w:val="20"/>
          <w:szCs w:val="20"/>
          <w:shd w:val="clear" w:color="auto" w:fill="FFFFFF"/>
        </w:rPr>
        <w:t xml:space="preserve"> Hodnett. Tests of the overreaction hypothesis and the timing of mean reversals on the JSE Securities Exchange (JSE): The case of South Africa.</w:t>
      </w:r>
      <w:r w:rsidR="00D05959" w:rsidRPr="00EF5CE2">
        <w:rPr>
          <w:rStyle w:val="apple-converted-space"/>
          <w:color w:val="222222"/>
          <w:sz w:val="20"/>
          <w:szCs w:val="20"/>
          <w:shd w:val="clear" w:color="auto" w:fill="FFFFFF"/>
        </w:rPr>
        <w:t> </w:t>
      </w:r>
      <w:r w:rsidR="00D05959" w:rsidRPr="00EF5CE2">
        <w:rPr>
          <w:color w:val="222222"/>
          <w:sz w:val="20"/>
          <w:szCs w:val="20"/>
          <w:shd w:val="clear" w:color="auto" w:fill="FFFFFF"/>
        </w:rPr>
        <w:t>Journal of Applied Finance &amp; Banking</w:t>
      </w:r>
      <w:r w:rsidR="00D05959" w:rsidRPr="00EF5CE2">
        <w:rPr>
          <w:rStyle w:val="apple-converted-space"/>
          <w:color w:val="222222"/>
          <w:sz w:val="20"/>
          <w:szCs w:val="20"/>
          <w:shd w:val="clear" w:color="auto" w:fill="FFFFFF"/>
        </w:rPr>
        <w:t> </w:t>
      </w:r>
      <w:r w:rsidR="00D05959" w:rsidRPr="00EF5CE2">
        <w:rPr>
          <w:color w:val="222222"/>
          <w:sz w:val="20"/>
          <w:szCs w:val="20"/>
          <w:shd w:val="clear" w:color="auto" w:fill="FFFFFF"/>
        </w:rPr>
        <w:t>1.1 (2011): 107-130.</w:t>
      </w:r>
    </w:p>
    <w:p w:rsidR="00D05959" w:rsidRPr="00EF5CE2" w:rsidRDefault="00530280" w:rsidP="00062AD7">
      <w:pPr>
        <w:pStyle w:val="Bibliography"/>
        <w:spacing w:after="0" w:line="240" w:lineRule="auto"/>
        <w:rPr>
          <w:noProof/>
          <w:sz w:val="20"/>
          <w:szCs w:val="20"/>
          <w:lang w:val="en-US"/>
        </w:rPr>
      </w:pPr>
      <w:r w:rsidRPr="00EF5CE2">
        <w:rPr>
          <w:color w:val="222222"/>
          <w:sz w:val="20"/>
          <w:szCs w:val="20"/>
          <w:shd w:val="clear" w:color="auto" w:fill="FFFFFF"/>
          <w:lang w:val="en-US"/>
        </w:rPr>
        <w:t>[27</w:t>
      </w:r>
      <w:r w:rsidR="00D05959" w:rsidRPr="00EF5CE2">
        <w:rPr>
          <w:color w:val="222222"/>
          <w:sz w:val="20"/>
          <w:szCs w:val="20"/>
          <w:shd w:val="clear" w:color="auto" w:fill="FFFFFF"/>
          <w:lang w:val="en-US"/>
        </w:rPr>
        <w:t xml:space="preserve">] </w:t>
      </w:r>
      <w:r w:rsidR="00062AD7">
        <w:rPr>
          <w:color w:val="222222"/>
          <w:sz w:val="20"/>
          <w:szCs w:val="20"/>
          <w:shd w:val="clear" w:color="auto" w:fill="FFFFFF"/>
          <w:lang w:val="en-US"/>
        </w:rPr>
        <w:t xml:space="preserve">D. </w:t>
      </w:r>
      <w:r w:rsidR="00D05959" w:rsidRPr="00EF5CE2">
        <w:rPr>
          <w:noProof/>
          <w:sz w:val="20"/>
          <w:szCs w:val="20"/>
          <w:lang w:val="en-US"/>
        </w:rPr>
        <w:t xml:space="preserve">Maher Daniela and </w:t>
      </w:r>
      <w:r w:rsidR="00062AD7">
        <w:rPr>
          <w:noProof/>
          <w:sz w:val="20"/>
          <w:szCs w:val="20"/>
          <w:lang w:val="en-US"/>
        </w:rPr>
        <w:t>P.</w:t>
      </w:r>
      <w:r w:rsidR="00D05959" w:rsidRPr="00EF5CE2">
        <w:rPr>
          <w:noProof/>
          <w:sz w:val="20"/>
          <w:szCs w:val="20"/>
          <w:lang w:val="en-US"/>
        </w:rPr>
        <w:t xml:space="preserve"> Anokhi Short-term under/overreaction, anticipation or uncertainty avoidance? Evidence from India. Journal of International Financial Markets, Institutions &amp; Money. - 2011. - pp. 560–584.</w:t>
      </w:r>
    </w:p>
    <w:p w:rsidR="00BC4BC6" w:rsidRPr="00EF5CE2" w:rsidRDefault="00BC4BC6" w:rsidP="00062AD7">
      <w:pPr>
        <w:spacing w:after="0" w:line="240" w:lineRule="auto"/>
        <w:rPr>
          <w:color w:val="222222"/>
          <w:sz w:val="20"/>
          <w:szCs w:val="20"/>
          <w:shd w:val="clear" w:color="auto" w:fill="FFFFFF"/>
        </w:rPr>
      </w:pPr>
      <w:r w:rsidRPr="00EF5CE2">
        <w:rPr>
          <w:sz w:val="20"/>
          <w:szCs w:val="20"/>
          <w:lang w:val="en-US"/>
        </w:rPr>
        <w:t>[2</w:t>
      </w:r>
      <w:r w:rsidR="00530280" w:rsidRPr="00EF5CE2">
        <w:rPr>
          <w:sz w:val="20"/>
          <w:szCs w:val="20"/>
          <w:lang w:val="en-US"/>
        </w:rPr>
        <w:t>8</w:t>
      </w:r>
      <w:r w:rsidRPr="00EF5CE2">
        <w:rPr>
          <w:sz w:val="20"/>
          <w:szCs w:val="20"/>
          <w:lang w:val="en-US"/>
        </w:rPr>
        <w:t xml:space="preserve">] </w:t>
      </w:r>
      <w:r w:rsidR="00062AD7">
        <w:rPr>
          <w:sz w:val="20"/>
          <w:szCs w:val="20"/>
          <w:lang w:val="en-US"/>
        </w:rPr>
        <w:t xml:space="preserve">A. </w:t>
      </w:r>
      <w:r w:rsidRPr="00EF5CE2">
        <w:rPr>
          <w:color w:val="222222"/>
          <w:sz w:val="20"/>
          <w:szCs w:val="20"/>
          <w:shd w:val="clear" w:color="auto" w:fill="FFFFFF"/>
        </w:rPr>
        <w:t>Chui, S</w:t>
      </w:r>
      <w:r w:rsidR="00062AD7">
        <w:rPr>
          <w:color w:val="222222"/>
          <w:sz w:val="20"/>
          <w:szCs w:val="20"/>
          <w:shd w:val="clear" w:color="auto" w:fill="FFFFFF"/>
        </w:rPr>
        <w:t>.</w:t>
      </w:r>
      <w:r w:rsidRPr="00EF5CE2">
        <w:rPr>
          <w:color w:val="222222"/>
          <w:sz w:val="20"/>
          <w:szCs w:val="20"/>
          <w:shd w:val="clear" w:color="auto" w:fill="FFFFFF"/>
        </w:rPr>
        <w:t xml:space="preserve"> Titman, and </w:t>
      </w:r>
      <w:r w:rsidR="00062AD7">
        <w:rPr>
          <w:color w:val="222222"/>
          <w:sz w:val="20"/>
          <w:szCs w:val="20"/>
          <w:shd w:val="clear" w:color="auto" w:fill="FFFFFF"/>
        </w:rPr>
        <w:t>KC</w:t>
      </w:r>
      <w:r w:rsidRPr="00EF5CE2">
        <w:rPr>
          <w:color w:val="222222"/>
          <w:sz w:val="20"/>
          <w:szCs w:val="20"/>
          <w:shd w:val="clear" w:color="auto" w:fill="FFFFFF"/>
        </w:rPr>
        <w:t xml:space="preserve"> Wei. Individualism and momentum around the world.</w:t>
      </w:r>
      <w:r w:rsidRPr="00EF5CE2">
        <w:rPr>
          <w:rStyle w:val="apple-converted-space"/>
          <w:color w:val="222222"/>
          <w:sz w:val="20"/>
          <w:szCs w:val="20"/>
          <w:shd w:val="clear" w:color="auto" w:fill="FFFFFF"/>
        </w:rPr>
        <w:t> </w:t>
      </w:r>
      <w:r w:rsidRPr="00EF5CE2">
        <w:rPr>
          <w:color w:val="222222"/>
          <w:sz w:val="20"/>
          <w:szCs w:val="20"/>
          <w:shd w:val="clear" w:color="auto" w:fill="FFFFFF"/>
        </w:rPr>
        <w:t>The Journal of Finance</w:t>
      </w:r>
      <w:r w:rsidRPr="00EF5CE2">
        <w:rPr>
          <w:rStyle w:val="apple-converted-space"/>
          <w:color w:val="222222"/>
          <w:sz w:val="20"/>
          <w:szCs w:val="20"/>
          <w:shd w:val="clear" w:color="auto" w:fill="FFFFFF"/>
        </w:rPr>
        <w:t> </w:t>
      </w:r>
      <w:r w:rsidRPr="00EF5CE2">
        <w:rPr>
          <w:color w:val="222222"/>
          <w:sz w:val="20"/>
          <w:szCs w:val="20"/>
          <w:shd w:val="clear" w:color="auto" w:fill="FFFFFF"/>
        </w:rPr>
        <w:t>65.1 (2010): 361-392.</w:t>
      </w:r>
    </w:p>
    <w:p w:rsidR="00EF5CE2" w:rsidRPr="00EF5CE2" w:rsidRDefault="00EF5CE2" w:rsidP="00062AD7">
      <w:pPr>
        <w:spacing w:after="0" w:line="240" w:lineRule="auto"/>
        <w:rPr>
          <w:color w:val="222222"/>
          <w:sz w:val="20"/>
          <w:szCs w:val="20"/>
          <w:shd w:val="clear" w:color="auto" w:fill="FFFFFF"/>
        </w:rPr>
      </w:pPr>
      <w:r w:rsidRPr="00EF5CE2">
        <w:rPr>
          <w:color w:val="222222"/>
          <w:sz w:val="20"/>
          <w:szCs w:val="20"/>
          <w:shd w:val="clear" w:color="auto" w:fill="FFFFFF"/>
        </w:rPr>
        <w:t xml:space="preserve">[29] </w:t>
      </w:r>
      <w:r w:rsidR="00062AD7">
        <w:rPr>
          <w:color w:val="222222"/>
          <w:sz w:val="20"/>
          <w:szCs w:val="20"/>
          <w:shd w:val="clear" w:color="auto" w:fill="FFFFFF"/>
        </w:rPr>
        <w:t xml:space="preserve">J. </w:t>
      </w:r>
      <w:r w:rsidRPr="00EF5CE2">
        <w:rPr>
          <w:color w:val="222222"/>
          <w:sz w:val="20"/>
          <w:szCs w:val="20"/>
          <w:shd w:val="clear" w:color="auto" w:fill="FFFFFF"/>
        </w:rPr>
        <w:t>Griffin,</w:t>
      </w:r>
      <w:r w:rsidR="00062AD7">
        <w:rPr>
          <w:color w:val="222222"/>
          <w:sz w:val="20"/>
          <w:szCs w:val="20"/>
          <w:shd w:val="clear" w:color="auto" w:fill="FFFFFF"/>
        </w:rPr>
        <w:t>J.</w:t>
      </w:r>
      <w:r w:rsidRPr="00EF5CE2">
        <w:rPr>
          <w:color w:val="222222"/>
          <w:sz w:val="20"/>
          <w:szCs w:val="20"/>
          <w:shd w:val="clear" w:color="auto" w:fill="FFFFFF"/>
        </w:rPr>
        <w:t xml:space="preserve"> Harris, and </w:t>
      </w:r>
      <w:r w:rsidR="00062AD7">
        <w:rPr>
          <w:color w:val="222222"/>
          <w:sz w:val="20"/>
          <w:szCs w:val="20"/>
          <w:shd w:val="clear" w:color="auto" w:fill="FFFFFF"/>
        </w:rPr>
        <w:t>S.</w:t>
      </w:r>
      <w:r w:rsidRPr="00EF5CE2">
        <w:rPr>
          <w:color w:val="222222"/>
          <w:sz w:val="20"/>
          <w:szCs w:val="20"/>
          <w:shd w:val="clear" w:color="auto" w:fill="FFFFFF"/>
        </w:rPr>
        <w:t xml:space="preserve"> Topaloglu. The dynamics of institutional and individual trading.</w:t>
      </w:r>
      <w:r w:rsidRPr="00EF5CE2">
        <w:rPr>
          <w:rStyle w:val="apple-converted-space"/>
          <w:color w:val="222222"/>
          <w:sz w:val="20"/>
          <w:szCs w:val="20"/>
          <w:shd w:val="clear" w:color="auto" w:fill="FFFFFF"/>
        </w:rPr>
        <w:t> </w:t>
      </w:r>
      <w:r w:rsidRPr="00EF5CE2">
        <w:rPr>
          <w:color w:val="222222"/>
          <w:sz w:val="20"/>
          <w:szCs w:val="20"/>
          <w:shd w:val="clear" w:color="auto" w:fill="FFFFFF"/>
        </w:rPr>
        <w:t>The Journal of Finance</w:t>
      </w:r>
      <w:r w:rsidRPr="00EF5CE2">
        <w:rPr>
          <w:rStyle w:val="apple-converted-space"/>
          <w:color w:val="222222"/>
          <w:sz w:val="20"/>
          <w:szCs w:val="20"/>
          <w:shd w:val="clear" w:color="auto" w:fill="FFFFFF"/>
        </w:rPr>
        <w:t> </w:t>
      </w:r>
      <w:r w:rsidRPr="00EF5CE2">
        <w:rPr>
          <w:color w:val="222222"/>
          <w:sz w:val="20"/>
          <w:szCs w:val="20"/>
          <w:shd w:val="clear" w:color="auto" w:fill="FFFFFF"/>
        </w:rPr>
        <w:t>58.6 (2003): 2285-2320.</w:t>
      </w:r>
    </w:p>
    <w:p w:rsidR="00BC4BC6" w:rsidRPr="00EF5CE2" w:rsidRDefault="00BC4BC6" w:rsidP="00BC4BC6">
      <w:pPr>
        <w:spacing w:after="0"/>
        <w:rPr>
          <w:lang w:val="en-US"/>
        </w:rPr>
      </w:pPr>
    </w:p>
    <w:p w:rsidR="00D05959" w:rsidRDefault="00D05959" w:rsidP="00E53EA4">
      <w:pPr>
        <w:spacing w:after="0"/>
        <w:rPr>
          <w:rFonts w:ascii="Arial" w:hAnsi="Arial" w:cs="Arial"/>
          <w:color w:val="222222"/>
          <w:sz w:val="22"/>
          <w:szCs w:val="22"/>
          <w:shd w:val="clear" w:color="auto" w:fill="FFFFFF"/>
          <w:lang w:val="en-US"/>
        </w:rPr>
      </w:pPr>
    </w:p>
    <w:p w:rsidR="00E53EA4" w:rsidRPr="00E53EA4" w:rsidRDefault="00E53EA4" w:rsidP="00E53EA4">
      <w:pPr>
        <w:rPr>
          <w:lang w:val="en-US"/>
        </w:rPr>
      </w:pPr>
    </w:p>
    <w:p w:rsidR="00E53EA4" w:rsidRPr="00E53EA4" w:rsidRDefault="00E53EA4" w:rsidP="00E53EA4">
      <w:pPr>
        <w:rPr>
          <w:lang w:val="en-US"/>
        </w:rPr>
      </w:pPr>
    </w:p>
    <w:p w:rsidR="00E53EA4" w:rsidRPr="00E53EA4" w:rsidRDefault="00E53EA4" w:rsidP="00E53EA4">
      <w:pPr>
        <w:rPr>
          <w:lang w:val="en-US"/>
        </w:rPr>
      </w:pPr>
    </w:p>
    <w:p w:rsidR="00E53EA4" w:rsidRPr="00E53EA4" w:rsidRDefault="00E53EA4" w:rsidP="00E53EA4">
      <w:pPr>
        <w:rPr>
          <w:lang w:val="en-US"/>
        </w:rPr>
      </w:pPr>
    </w:p>
    <w:p w:rsidR="004D6CA0" w:rsidRPr="004D6CA0" w:rsidRDefault="004D6CA0" w:rsidP="00BE6696">
      <w:pPr>
        <w:spacing w:after="0"/>
        <w:rPr>
          <w:rFonts w:ascii="Arial" w:hAnsi="Arial" w:cs="Arial"/>
          <w:color w:val="222222"/>
          <w:shd w:val="clear" w:color="auto" w:fill="FFFFFF"/>
          <w:lang w:val="en-US"/>
        </w:rPr>
      </w:pPr>
    </w:p>
    <w:p w:rsidR="004D6CA0" w:rsidRDefault="004D6CA0" w:rsidP="00BE6696">
      <w:pPr>
        <w:spacing w:after="0"/>
        <w:rPr>
          <w:rFonts w:ascii="Arial" w:hAnsi="Arial" w:cs="Arial"/>
          <w:color w:val="222222"/>
          <w:shd w:val="clear" w:color="auto" w:fill="FFFFFF"/>
        </w:rPr>
      </w:pPr>
    </w:p>
    <w:p w:rsidR="00CC72FB" w:rsidRPr="003F0A46" w:rsidRDefault="00CC72FB" w:rsidP="00E53EA4">
      <w:pPr>
        <w:spacing w:after="0"/>
        <w:rPr>
          <w:rFonts w:ascii="Arial" w:hAnsi="Arial" w:cs="Arial"/>
          <w:color w:val="222222"/>
          <w:sz w:val="22"/>
          <w:szCs w:val="22"/>
          <w:shd w:val="clear" w:color="auto" w:fill="FFFFFF"/>
          <w:lang w:val="en-US"/>
        </w:rPr>
      </w:pPr>
    </w:p>
    <w:sectPr w:rsidR="00CC72FB" w:rsidRPr="003F0A46" w:rsidSect="001B65DA">
      <w:footerReference w:type="first" r:id="rId11"/>
      <w:pgSz w:w="12240" w:h="15840" w:code="1"/>
      <w:pgMar w:top="1440" w:right="1440" w:bottom="1440" w:left="144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D9C" w:rsidRDefault="00F21D9C" w:rsidP="00B039C0">
      <w:r>
        <w:separator/>
      </w:r>
    </w:p>
  </w:endnote>
  <w:endnote w:type="continuationSeparator" w:id="1">
    <w:p w:rsidR="00F21D9C" w:rsidRDefault="00F21D9C" w:rsidP="00B039C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6436"/>
      <w:docPartObj>
        <w:docPartGallery w:val="Page Numbers (Bottom of Page)"/>
        <w:docPartUnique/>
      </w:docPartObj>
    </w:sdtPr>
    <w:sdtContent>
      <w:p w:rsidR="00241DAB" w:rsidRDefault="00DD04B4">
        <w:pPr>
          <w:pStyle w:val="Footer"/>
          <w:jc w:val="center"/>
        </w:pPr>
        <w:fldSimple w:instr=" PAGE   \* MERGEFORMAT ">
          <w:r w:rsidR="001D2037">
            <w:rPr>
              <w:noProof/>
            </w:rPr>
            <w:t>10</w:t>
          </w:r>
        </w:fldSimple>
      </w:p>
    </w:sdtContent>
  </w:sdt>
  <w:p w:rsidR="00241DAB" w:rsidRDefault="00241D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DAB" w:rsidRDefault="00DD04B4">
    <w:pPr>
      <w:pStyle w:val="Footer"/>
      <w:jc w:val="center"/>
    </w:pPr>
    <w:fldSimple w:instr=" PAGE   \* MERGEFORMAT ">
      <w:r w:rsidR="001D2037">
        <w:rPr>
          <w:noProof/>
        </w:rPr>
        <w:t>1</w:t>
      </w:r>
    </w:fldSimple>
  </w:p>
  <w:p w:rsidR="00241DAB" w:rsidRDefault="00241D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D9C" w:rsidRDefault="00F21D9C" w:rsidP="00B039C0">
      <w:r>
        <w:separator/>
      </w:r>
    </w:p>
  </w:footnote>
  <w:footnote w:type="continuationSeparator" w:id="1">
    <w:p w:rsidR="00F21D9C" w:rsidRDefault="00F21D9C" w:rsidP="00B039C0">
      <w:r>
        <w:continuationSeparator/>
      </w:r>
    </w:p>
  </w:footnote>
  <w:footnote w:id="2">
    <w:p w:rsidR="00241DAB" w:rsidRDefault="00241DAB">
      <w:pPr>
        <w:pStyle w:val="FootnoteText"/>
      </w:pPr>
      <w:r>
        <w:rPr>
          <w:rStyle w:val="FootnoteReference"/>
        </w:rPr>
        <w:footnoteRef/>
      </w:r>
      <w:r>
        <w:t xml:space="preserve"> The American University in Cairo. email: </w:t>
      </w:r>
      <w:hyperlink r:id="rId1" w:history="1">
        <w:r w:rsidRPr="0014471F">
          <w:t>aliaa@aucegypt.edu</w:t>
        </w:r>
      </w:hyperlink>
    </w:p>
    <w:p w:rsidR="00241DAB" w:rsidRPr="0014471F" w:rsidRDefault="00241DAB">
      <w:pPr>
        <w:pStyle w:val="FootnoteText"/>
      </w:pPr>
    </w:p>
  </w:footnote>
  <w:footnote w:id="3">
    <w:p w:rsidR="00241DAB" w:rsidRPr="0014471F" w:rsidRDefault="00241DAB">
      <w:pPr>
        <w:pStyle w:val="FootnoteText"/>
      </w:pPr>
      <w:r>
        <w:rPr>
          <w:rStyle w:val="FootnoteReference"/>
        </w:rPr>
        <w:footnoteRef/>
      </w:r>
      <w:r>
        <w:t xml:space="preserve"> The American University in Cairo. email:</w:t>
      </w:r>
      <w:r w:rsidRPr="0014471F">
        <w:rPr>
          <w:rFonts w:ascii="Arial" w:hAnsi="Arial" w:cs="Arial"/>
          <w:color w:val="777777"/>
          <w:sz w:val="18"/>
          <w:szCs w:val="18"/>
          <w:shd w:val="clear" w:color="auto" w:fill="FFFFFF"/>
        </w:rPr>
        <w:t xml:space="preserve"> </w:t>
      </w:r>
      <w:r w:rsidRPr="0014471F">
        <w:t>amiraragab@aucegypt.edu</w:t>
      </w:r>
    </w:p>
  </w:footnote>
  <w:footnote w:id="4">
    <w:p w:rsidR="00241DAB" w:rsidRPr="00F52494" w:rsidRDefault="00241DAB" w:rsidP="00F52494">
      <w:pPr>
        <w:pStyle w:val="FootnoteText"/>
        <w:rPr>
          <w:sz w:val="16"/>
          <w:szCs w:val="16"/>
          <w:lang w:val="en-US"/>
        </w:rPr>
      </w:pPr>
      <w:r w:rsidRPr="00F52494">
        <w:rPr>
          <w:rStyle w:val="FootnoteReference"/>
          <w:sz w:val="16"/>
          <w:szCs w:val="16"/>
        </w:rPr>
        <w:footnoteRef/>
      </w:r>
      <w:r w:rsidRPr="00F52494">
        <w:rPr>
          <w:sz w:val="16"/>
          <w:szCs w:val="16"/>
        </w:rPr>
        <w:t xml:space="preserve"> </w:t>
      </w:r>
      <w:r w:rsidRPr="00F52494">
        <w:rPr>
          <w:sz w:val="16"/>
          <w:szCs w:val="16"/>
          <w:lang w:val="en-US"/>
        </w:rPr>
        <w:t>Selling loser stocks is not considered here because short-selling is not allowed in Egypt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1D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8585176"/>
    <w:multiLevelType w:val="hybridMultilevel"/>
    <w:tmpl w:val="D286149C"/>
    <w:lvl w:ilvl="0" w:tplc="1322510A">
      <w:start w:val="1"/>
      <w:numFmt w:val="bullet"/>
      <w:lvlText w:val="•"/>
      <w:lvlJc w:val="left"/>
      <w:pPr>
        <w:tabs>
          <w:tab w:val="num" w:pos="720"/>
        </w:tabs>
        <w:ind w:left="720" w:hanging="360"/>
      </w:pPr>
      <w:rPr>
        <w:rFonts w:ascii="Arial" w:hAnsi="Arial" w:hint="default"/>
      </w:rPr>
    </w:lvl>
    <w:lvl w:ilvl="1" w:tplc="724AF6F0" w:tentative="1">
      <w:start w:val="1"/>
      <w:numFmt w:val="bullet"/>
      <w:lvlText w:val="•"/>
      <w:lvlJc w:val="left"/>
      <w:pPr>
        <w:tabs>
          <w:tab w:val="num" w:pos="1440"/>
        </w:tabs>
        <w:ind w:left="1440" w:hanging="360"/>
      </w:pPr>
      <w:rPr>
        <w:rFonts w:ascii="Arial" w:hAnsi="Arial" w:hint="default"/>
      </w:rPr>
    </w:lvl>
    <w:lvl w:ilvl="2" w:tplc="FD80B104" w:tentative="1">
      <w:start w:val="1"/>
      <w:numFmt w:val="bullet"/>
      <w:lvlText w:val="•"/>
      <w:lvlJc w:val="left"/>
      <w:pPr>
        <w:tabs>
          <w:tab w:val="num" w:pos="2160"/>
        </w:tabs>
        <w:ind w:left="2160" w:hanging="360"/>
      </w:pPr>
      <w:rPr>
        <w:rFonts w:ascii="Arial" w:hAnsi="Arial" w:hint="default"/>
      </w:rPr>
    </w:lvl>
    <w:lvl w:ilvl="3" w:tplc="6396DF32" w:tentative="1">
      <w:start w:val="1"/>
      <w:numFmt w:val="bullet"/>
      <w:lvlText w:val="•"/>
      <w:lvlJc w:val="left"/>
      <w:pPr>
        <w:tabs>
          <w:tab w:val="num" w:pos="2880"/>
        </w:tabs>
        <w:ind w:left="2880" w:hanging="360"/>
      </w:pPr>
      <w:rPr>
        <w:rFonts w:ascii="Arial" w:hAnsi="Arial" w:hint="default"/>
      </w:rPr>
    </w:lvl>
    <w:lvl w:ilvl="4" w:tplc="0C9E853E" w:tentative="1">
      <w:start w:val="1"/>
      <w:numFmt w:val="bullet"/>
      <w:lvlText w:val="•"/>
      <w:lvlJc w:val="left"/>
      <w:pPr>
        <w:tabs>
          <w:tab w:val="num" w:pos="3600"/>
        </w:tabs>
        <w:ind w:left="3600" w:hanging="360"/>
      </w:pPr>
      <w:rPr>
        <w:rFonts w:ascii="Arial" w:hAnsi="Arial" w:hint="default"/>
      </w:rPr>
    </w:lvl>
    <w:lvl w:ilvl="5" w:tplc="0EA42EB4" w:tentative="1">
      <w:start w:val="1"/>
      <w:numFmt w:val="bullet"/>
      <w:lvlText w:val="•"/>
      <w:lvlJc w:val="left"/>
      <w:pPr>
        <w:tabs>
          <w:tab w:val="num" w:pos="4320"/>
        </w:tabs>
        <w:ind w:left="4320" w:hanging="360"/>
      </w:pPr>
      <w:rPr>
        <w:rFonts w:ascii="Arial" w:hAnsi="Arial" w:hint="default"/>
      </w:rPr>
    </w:lvl>
    <w:lvl w:ilvl="6" w:tplc="F3D01014" w:tentative="1">
      <w:start w:val="1"/>
      <w:numFmt w:val="bullet"/>
      <w:lvlText w:val="•"/>
      <w:lvlJc w:val="left"/>
      <w:pPr>
        <w:tabs>
          <w:tab w:val="num" w:pos="5040"/>
        </w:tabs>
        <w:ind w:left="5040" w:hanging="360"/>
      </w:pPr>
      <w:rPr>
        <w:rFonts w:ascii="Arial" w:hAnsi="Arial" w:hint="default"/>
      </w:rPr>
    </w:lvl>
    <w:lvl w:ilvl="7" w:tplc="3828C3E8" w:tentative="1">
      <w:start w:val="1"/>
      <w:numFmt w:val="bullet"/>
      <w:lvlText w:val="•"/>
      <w:lvlJc w:val="left"/>
      <w:pPr>
        <w:tabs>
          <w:tab w:val="num" w:pos="5760"/>
        </w:tabs>
        <w:ind w:left="5760" w:hanging="360"/>
      </w:pPr>
      <w:rPr>
        <w:rFonts w:ascii="Arial" w:hAnsi="Arial" w:hint="default"/>
      </w:rPr>
    </w:lvl>
    <w:lvl w:ilvl="8" w:tplc="3E9C7238" w:tentative="1">
      <w:start w:val="1"/>
      <w:numFmt w:val="bullet"/>
      <w:lvlText w:val="•"/>
      <w:lvlJc w:val="left"/>
      <w:pPr>
        <w:tabs>
          <w:tab w:val="num" w:pos="6480"/>
        </w:tabs>
        <w:ind w:left="6480" w:hanging="360"/>
      </w:pPr>
      <w:rPr>
        <w:rFonts w:ascii="Arial" w:hAnsi="Arial" w:hint="default"/>
      </w:rPr>
    </w:lvl>
  </w:abstractNum>
  <w:abstractNum w:abstractNumId="2">
    <w:nsid w:val="091D4BED"/>
    <w:multiLevelType w:val="hybridMultilevel"/>
    <w:tmpl w:val="1E5AD550"/>
    <w:lvl w:ilvl="0" w:tplc="C7B4E8F2">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F53F8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670DB6"/>
    <w:multiLevelType w:val="hybridMultilevel"/>
    <w:tmpl w:val="65469A1C"/>
    <w:lvl w:ilvl="0" w:tplc="95903A4A">
      <w:start w:val="1"/>
      <w:numFmt w:val="bullet"/>
      <w:lvlText w:val="•"/>
      <w:lvlJc w:val="left"/>
      <w:pPr>
        <w:tabs>
          <w:tab w:val="num" w:pos="720"/>
        </w:tabs>
        <w:ind w:left="720" w:hanging="360"/>
      </w:pPr>
      <w:rPr>
        <w:rFonts w:ascii="Arial" w:hAnsi="Arial" w:hint="default"/>
      </w:rPr>
    </w:lvl>
    <w:lvl w:ilvl="1" w:tplc="AC76DB6A" w:tentative="1">
      <w:start w:val="1"/>
      <w:numFmt w:val="bullet"/>
      <w:lvlText w:val="•"/>
      <w:lvlJc w:val="left"/>
      <w:pPr>
        <w:tabs>
          <w:tab w:val="num" w:pos="1440"/>
        </w:tabs>
        <w:ind w:left="1440" w:hanging="360"/>
      </w:pPr>
      <w:rPr>
        <w:rFonts w:ascii="Arial" w:hAnsi="Arial" w:hint="default"/>
      </w:rPr>
    </w:lvl>
    <w:lvl w:ilvl="2" w:tplc="272C1374" w:tentative="1">
      <w:start w:val="1"/>
      <w:numFmt w:val="bullet"/>
      <w:lvlText w:val="•"/>
      <w:lvlJc w:val="left"/>
      <w:pPr>
        <w:tabs>
          <w:tab w:val="num" w:pos="2160"/>
        </w:tabs>
        <w:ind w:left="2160" w:hanging="360"/>
      </w:pPr>
      <w:rPr>
        <w:rFonts w:ascii="Arial" w:hAnsi="Arial" w:hint="default"/>
      </w:rPr>
    </w:lvl>
    <w:lvl w:ilvl="3" w:tplc="9000BFC2" w:tentative="1">
      <w:start w:val="1"/>
      <w:numFmt w:val="bullet"/>
      <w:lvlText w:val="•"/>
      <w:lvlJc w:val="left"/>
      <w:pPr>
        <w:tabs>
          <w:tab w:val="num" w:pos="2880"/>
        </w:tabs>
        <w:ind w:left="2880" w:hanging="360"/>
      </w:pPr>
      <w:rPr>
        <w:rFonts w:ascii="Arial" w:hAnsi="Arial" w:hint="default"/>
      </w:rPr>
    </w:lvl>
    <w:lvl w:ilvl="4" w:tplc="1958B84C" w:tentative="1">
      <w:start w:val="1"/>
      <w:numFmt w:val="bullet"/>
      <w:lvlText w:val="•"/>
      <w:lvlJc w:val="left"/>
      <w:pPr>
        <w:tabs>
          <w:tab w:val="num" w:pos="3600"/>
        </w:tabs>
        <w:ind w:left="3600" w:hanging="360"/>
      </w:pPr>
      <w:rPr>
        <w:rFonts w:ascii="Arial" w:hAnsi="Arial" w:hint="default"/>
      </w:rPr>
    </w:lvl>
    <w:lvl w:ilvl="5" w:tplc="C81C738A" w:tentative="1">
      <w:start w:val="1"/>
      <w:numFmt w:val="bullet"/>
      <w:lvlText w:val="•"/>
      <w:lvlJc w:val="left"/>
      <w:pPr>
        <w:tabs>
          <w:tab w:val="num" w:pos="4320"/>
        </w:tabs>
        <w:ind w:left="4320" w:hanging="360"/>
      </w:pPr>
      <w:rPr>
        <w:rFonts w:ascii="Arial" w:hAnsi="Arial" w:hint="default"/>
      </w:rPr>
    </w:lvl>
    <w:lvl w:ilvl="6" w:tplc="CF7C61F0" w:tentative="1">
      <w:start w:val="1"/>
      <w:numFmt w:val="bullet"/>
      <w:lvlText w:val="•"/>
      <w:lvlJc w:val="left"/>
      <w:pPr>
        <w:tabs>
          <w:tab w:val="num" w:pos="5040"/>
        </w:tabs>
        <w:ind w:left="5040" w:hanging="360"/>
      </w:pPr>
      <w:rPr>
        <w:rFonts w:ascii="Arial" w:hAnsi="Arial" w:hint="default"/>
      </w:rPr>
    </w:lvl>
    <w:lvl w:ilvl="7" w:tplc="D3C0E43A" w:tentative="1">
      <w:start w:val="1"/>
      <w:numFmt w:val="bullet"/>
      <w:lvlText w:val="•"/>
      <w:lvlJc w:val="left"/>
      <w:pPr>
        <w:tabs>
          <w:tab w:val="num" w:pos="5760"/>
        </w:tabs>
        <w:ind w:left="5760" w:hanging="360"/>
      </w:pPr>
      <w:rPr>
        <w:rFonts w:ascii="Arial" w:hAnsi="Arial" w:hint="default"/>
      </w:rPr>
    </w:lvl>
    <w:lvl w:ilvl="8" w:tplc="1F64AD64" w:tentative="1">
      <w:start w:val="1"/>
      <w:numFmt w:val="bullet"/>
      <w:lvlText w:val="•"/>
      <w:lvlJc w:val="left"/>
      <w:pPr>
        <w:tabs>
          <w:tab w:val="num" w:pos="6480"/>
        </w:tabs>
        <w:ind w:left="6480" w:hanging="360"/>
      </w:pPr>
      <w:rPr>
        <w:rFonts w:ascii="Arial" w:hAnsi="Arial" w:hint="default"/>
      </w:rPr>
    </w:lvl>
  </w:abstractNum>
  <w:abstractNum w:abstractNumId="5">
    <w:nsid w:val="17D74FB3"/>
    <w:multiLevelType w:val="hybridMultilevel"/>
    <w:tmpl w:val="A4CA677E"/>
    <w:lvl w:ilvl="0" w:tplc="CB2608B2">
      <w:start w:val="1"/>
      <w:numFmt w:val="bullet"/>
      <w:lvlText w:val="•"/>
      <w:lvlJc w:val="left"/>
      <w:pPr>
        <w:tabs>
          <w:tab w:val="num" w:pos="720"/>
        </w:tabs>
        <w:ind w:left="720" w:hanging="360"/>
      </w:pPr>
      <w:rPr>
        <w:rFonts w:ascii="Arial" w:hAnsi="Arial" w:hint="default"/>
      </w:rPr>
    </w:lvl>
    <w:lvl w:ilvl="1" w:tplc="15F84EE2" w:tentative="1">
      <w:start w:val="1"/>
      <w:numFmt w:val="bullet"/>
      <w:lvlText w:val="•"/>
      <w:lvlJc w:val="left"/>
      <w:pPr>
        <w:tabs>
          <w:tab w:val="num" w:pos="1440"/>
        </w:tabs>
        <w:ind w:left="1440" w:hanging="360"/>
      </w:pPr>
      <w:rPr>
        <w:rFonts w:ascii="Arial" w:hAnsi="Arial" w:hint="default"/>
      </w:rPr>
    </w:lvl>
    <w:lvl w:ilvl="2" w:tplc="B1E05400" w:tentative="1">
      <w:start w:val="1"/>
      <w:numFmt w:val="bullet"/>
      <w:lvlText w:val="•"/>
      <w:lvlJc w:val="left"/>
      <w:pPr>
        <w:tabs>
          <w:tab w:val="num" w:pos="2160"/>
        </w:tabs>
        <w:ind w:left="2160" w:hanging="360"/>
      </w:pPr>
      <w:rPr>
        <w:rFonts w:ascii="Arial" w:hAnsi="Arial" w:hint="default"/>
      </w:rPr>
    </w:lvl>
    <w:lvl w:ilvl="3" w:tplc="128A8F42" w:tentative="1">
      <w:start w:val="1"/>
      <w:numFmt w:val="bullet"/>
      <w:lvlText w:val="•"/>
      <w:lvlJc w:val="left"/>
      <w:pPr>
        <w:tabs>
          <w:tab w:val="num" w:pos="2880"/>
        </w:tabs>
        <w:ind w:left="2880" w:hanging="360"/>
      </w:pPr>
      <w:rPr>
        <w:rFonts w:ascii="Arial" w:hAnsi="Arial" w:hint="default"/>
      </w:rPr>
    </w:lvl>
    <w:lvl w:ilvl="4" w:tplc="3B56A82E" w:tentative="1">
      <w:start w:val="1"/>
      <w:numFmt w:val="bullet"/>
      <w:lvlText w:val="•"/>
      <w:lvlJc w:val="left"/>
      <w:pPr>
        <w:tabs>
          <w:tab w:val="num" w:pos="3600"/>
        </w:tabs>
        <w:ind w:left="3600" w:hanging="360"/>
      </w:pPr>
      <w:rPr>
        <w:rFonts w:ascii="Arial" w:hAnsi="Arial" w:hint="default"/>
      </w:rPr>
    </w:lvl>
    <w:lvl w:ilvl="5" w:tplc="71B47880" w:tentative="1">
      <w:start w:val="1"/>
      <w:numFmt w:val="bullet"/>
      <w:lvlText w:val="•"/>
      <w:lvlJc w:val="left"/>
      <w:pPr>
        <w:tabs>
          <w:tab w:val="num" w:pos="4320"/>
        </w:tabs>
        <w:ind w:left="4320" w:hanging="360"/>
      </w:pPr>
      <w:rPr>
        <w:rFonts w:ascii="Arial" w:hAnsi="Arial" w:hint="default"/>
      </w:rPr>
    </w:lvl>
    <w:lvl w:ilvl="6" w:tplc="2F68F022" w:tentative="1">
      <w:start w:val="1"/>
      <w:numFmt w:val="bullet"/>
      <w:lvlText w:val="•"/>
      <w:lvlJc w:val="left"/>
      <w:pPr>
        <w:tabs>
          <w:tab w:val="num" w:pos="5040"/>
        </w:tabs>
        <w:ind w:left="5040" w:hanging="360"/>
      </w:pPr>
      <w:rPr>
        <w:rFonts w:ascii="Arial" w:hAnsi="Arial" w:hint="default"/>
      </w:rPr>
    </w:lvl>
    <w:lvl w:ilvl="7" w:tplc="E44496D8" w:tentative="1">
      <w:start w:val="1"/>
      <w:numFmt w:val="bullet"/>
      <w:lvlText w:val="•"/>
      <w:lvlJc w:val="left"/>
      <w:pPr>
        <w:tabs>
          <w:tab w:val="num" w:pos="5760"/>
        </w:tabs>
        <w:ind w:left="5760" w:hanging="360"/>
      </w:pPr>
      <w:rPr>
        <w:rFonts w:ascii="Arial" w:hAnsi="Arial" w:hint="default"/>
      </w:rPr>
    </w:lvl>
    <w:lvl w:ilvl="8" w:tplc="7BCCB436" w:tentative="1">
      <w:start w:val="1"/>
      <w:numFmt w:val="bullet"/>
      <w:lvlText w:val="•"/>
      <w:lvlJc w:val="left"/>
      <w:pPr>
        <w:tabs>
          <w:tab w:val="num" w:pos="6480"/>
        </w:tabs>
        <w:ind w:left="6480" w:hanging="360"/>
      </w:pPr>
      <w:rPr>
        <w:rFonts w:ascii="Arial" w:hAnsi="Arial" w:hint="default"/>
      </w:rPr>
    </w:lvl>
  </w:abstractNum>
  <w:abstractNum w:abstractNumId="6">
    <w:nsid w:val="1EA712D0"/>
    <w:multiLevelType w:val="hybridMultilevel"/>
    <w:tmpl w:val="F800E462"/>
    <w:lvl w:ilvl="0" w:tplc="47CA96B2">
      <w:start w:val="1"/>
      <w:numFmt w:val="bullet"/>
      <w:lvlText w:val="•"/>
      <w:lvlJc w:val="left"/>
      <w:pPr>
        <w:tabs>
          <w:tab w:val="num" w:pos="720"/>
        </w:tabs>
        <w:ind w:left="720" w:hanging="360"/>
      </w:pPr>
      <w:rPr>
        <w:rFonts w:ascii="Arial" w:hAnsi="Arial" w:hint="default"/>
      </w:rPr>
    </w:lvl>
    <w:lvl w:ilvl="1" w:tplc="B798E114" w:tentative="1">
      <w:start w:val="1"/>
      <w:numFmt w:val="bullet"/>
      <w:lvlText w:val="•"/>
      <w:lvlJc w:val="left"/>
      <w:pPr>
        <w:tabs>
          <w:tab w:val="num" w:pos="1440"/>
        </w:tabs>
        <w:ind w:left="1440" w:hanging="360"/>
      </w:pPr>
      <w:rPr>
        <w:rFonts w:ascii="Arial" w:hAnsi="Arial" w:hint="default"/>
      </w:rPr>
    </w:lvl>
    <w:lvl w:ilvl="2" w:tplc="726C2490" w:tentative="1">
      <w:start w:val="1"/>
      <w:numFmt w:val="bullet"/>
      <w:lvlText w:val="•"/>
      <w:lvlJc w:val="left"/>
      <w:pPr>
        <w:tabs>
          <w:tab w:val="num" w:pos="2160"/>
        </w:tabs>
        <w:ind w:left="2160" w:hanging="360"/>
      </w:pPr>
      <w:rPr>
        <w:rFonts w:ascii="Arial" w:hAnsi="Arial" w:hint="default"/>
      </w:rPr>
    </w:lvl>
    <w:lvl w:ilvl="3" w:tplc="1A5C8EC8" w:tentative="1">
      <w:start w:val="1"/>
      <w:numFmt w:val="bullet"/>
      <w:lvlText w:val="•"/>
      <w:lvlJc w:val="left"/>
      <w:pPr>
        <w:tabs>
          <w:tab w:val="num" w:pos="2880"/>
        </w:tabs>
        <w:ind w:left="2880" w:hanging="360"/>
      </w:pPr>
      <w:rPr>
        <w:rFonts w:ascii="Arial" w:hAnsi="Arial" w:hint="default"/>
      </w:rPr>
    </w:lvl>
    <w:lvl w:ilvl="4" w:tplc="12D27242" w:tentative="1">
      <w:start w:val="1"/>
      <w:numFmt w:val="bullet"/>
      <w:lvlText w:val="•"/>
      <w:lvlJc w:val="left"/>
      <w:pPr>
        <w:tabs>
          <w:tab w:val="num" w:pos="3600"/>
        </w:tabs>
        <w:ind w:left="3600" w:hanging="360"/>
      </w:pPr>
      <w:rPr>
        <w:rFonts w:ascii="Arial" w:hAnsi="Arial" w:hint="default"/>
      </w:rPr>
    </w:lvl>
    <w:lvl w:ilvl="5" w:tplc="AD92284E" w:tentative="1">
      <w:start w:val="1"/>
      <w:numFmt w:val="bullet"/>
      <w:lvlText w:val="•"/>
      <w:lvlJc w:val="left"/>
      <w:pPr>
        <w:tabs>
          <w:tab w:val="num" w:pos="4320"/>
        </w:tabs>
        <w:ind w:left="4320" w:hanging="360"/>
      </w:pPr>
      <w:rPr>
        <w:rFonts w:ascii="Arial" w:hAnsi="Arial" w:hint="default"/>
      </w:rPr>
    </w:lvl>
    <w:lvl w:ilvl="6" w:tplc="A5264846" w:tentative="1">
      <w:start w:val="1"/>
      <w:numFmt w:val="bullet"/>
      <w:lvlText w:val="•"/>
      <w:lvlJc w:val="left"/>
      <w:pPr>
        <w:tabs>
          <w:tab w:val="num" w:pos="5040"/>
        </w:tabs>
        <w:ind w:left="5040" w:hanging="360"/>
      </w:pPr>
      <w:rPr>
        <w:rFonts w:ascii="Arial" w:hAnsi="Arial" w:hint="default"/>
      </w:rPr>
    </w:lvl>
    <w:lvl w:ilvl="7" w:tplc="1BC4B90A" w:tentative="1">
      <w:start w:val="1"/>
      <w:numFmt w:val="bullet"/>
      <w:lvlText w:val="•"/>
      <w:lvlJc w:val="left"/>
      <w:pPr>
        <w:tabs>
          <w:tab w:val="num" w:pos="5760"/>
        </w:tabs>
        <w:ind w:left="5760" w:hanging="360"/>
      </w:pPr>
      <w:rPr>
        <w:rFonts w:ascii="Arial" w:hAnsi="Arial" w:hint="default"/>
      </w:rPr>
    </w:lvl>
    <w:lvl w:ilvl="8" w:tplc="46A6DC9E" w:tentative="1">
      <w:start w:val="1"/>
      <w:numFmt w:val="bullet"/>
      <w:lvlText w:val="•"/>
      <w:lvlJc w:val="left"/>
      <w:pPr>
        <w:tabs>
          <w:tab w:val="num" w:pos="6480"/>
        </w:tabs>
        <w:ind w:left="6480" w:hanging="360"/>
      </w:pPr>
      <w:rPr>
        <w:rFonts w:ascii="Arial" w:hAnsi="Arial" w:hint="default"/>
      </w:rPr>
    </w:lvl>
  </w:abstractNum>
  <w:abstractNum w:abstractNumId="7">
    <w:nsid w:val="26832A78"/>
    <w:multiLevelType w:val="hybridMultilevel"/>
    <w:tmpl w:val="D22EC1DE"/>
    <w:lvl w:ilvl="0" w:tplc="0750D31A">
      <w:start w:val="1"/>
      <w:numFmt w:val="bullet"/>
      <w:lvlText w:val="•"/>
      <w:lvlJc w:val="left"/>
      <w:pPr>
        <w:tabs>
          <w:tab w:val="num" w:pos="720"/>
        </w:tabs>
        <w:ind w:left="720" w:hanging="360"/>
      </w:pPr>
      <w:rPr>
        <w:rFonts w:ascii="Arial" w:hAnsi="Arial" w:hint="default"/>
      </w:rPr>
    </w:lvl>
    <w:lvl w:ilvl="1" w:tplc="1362E99E" w:tentative="1">
      <w:start w:val="1"/>
      <w:numFmt w:val="bullet"/>
      <w:lvlText w:val="•"/>
      <w:lvlJc w:val="left"/>
      <w:pPr>
        <w:tabs>
          <w:tab w:val="num" w:pos="1440"/>
        </w:tabs>
        <w:ind w:left="1440" w:hanging="360"/>
      </w:pPr>
      <w:rPr>
        <w:rFonts w:ascii="Arial" w:hAnsi="Arial" w:hint="default"/>
      </w:rPr>
    </w:lvl>
    <w:lvl w:ilvl="2" w:tplc="D27098A4" w:tentative="1">
      <w:start w:val="1"/>
      <w:numFmt w:val="bullet"/>
      <w:lvlText w:val="•"/>
      <w:lvlJc w:val="left"/>
      <w:pPr>
        <w:tabs>
          <w:tab w:val="num" w:pos="2160"/>
        </w:tabs>
        <w:ind w:left="2160" w:hanging="360"/>
      </w:pPr>
      <w:rPr>
        <w:rFonts w:ascii="Arial" w:hAnsi="Arial" w:hint="default"/>
      </w:rPr>
    </w:lvl>
    <w:lvl w:ilvl="3" w:tplc="316EB032" w:tentative="1">
      <w:start w:val="1"/>
      <w:numFmt w:val="bullet"/>
      <w:lvlText w:val="•"/>
      <w:lvlJc w:val="left"/>
      <w:pPr>
        <w:tabs>
          <w:tab w:val="num" w:pos="2880"/>
        </w:tabs>
        <w:ind w:left="2880" w:hanging="360"/>
      </w:pPr>
      <w:rPr>
        <w:rFonts w:ascii="Arial" w:hAnsi="Arial" w:hint="default"/>
      </w:rPr>
    </w:lvl>
    <w:lvl w:ilvl="4" w:tplc="0BC4CDD6" w:tentative="1">
      <w:start w:val="1"/>
      <w:numFmt w:val="bullet"/>
      <w:lvlText w:val="•"/>
      <w:lvlJc w:val="left"/>
      <w:pPr>
        <w:tabs>
          <w:tab w:val="num" w:pos="3600"/>
        </w:tabs>
        <w:ind w:left="3600" w:hanging="360"/>
      </w:pPr>
      <w:rPr>
        <w:rFonts w:ascii="Arial" w:hAnsi="Arial" w:hint="default"/>
      </w:rPr>
    </w:lvl>
    <w:lvl w:ilvl="5" w:tplc="1D7EB7D2" w:tentative="1">
      <w:start w:val="1"/>
      <w:numFmt w:val="bullet"/>
      <w:lvlText w:val="•"/>
      <w:lvlJc w:val="left"/>
      <w:pPr>
        <w:tabs>
          <w:tab w:val="num" w:pos="4320"/>
        </w:tabs>
        <w:ind w:left="4320" w:hanging="360"/>
      </w:pPr>
      <w:rPr>
        <w:rFonts w:ascii="Arial" w:hAnsi="Arial" w:hint="default"/>
      </w:rPr>
    </w:lvl>
    <w:lvl w:ilvl="6" w:tplc="8116B6B0" w:tentative="1">
      <w:start w:val="1"/>
      <w:numFmt w:val="bullet"/>
      <w:lvlText w:val="•"/>
      <w:lvlJc w:val="left"/>
      <w:pPr>
        <w:tabs>
          <w:tab w:val="num" w:pos="5040"/>
        </w:tabs>
        <w:ind w:left="5040" w:hanging="360"/>
      </w:pPr>
      <w:rPr>
        <w:rFonts w:ascii="Arial" w:hAnsi="Arial" w:hint="default"/>
      </w:rPr>
    </w:lvl>
    <w:lvl w:ilvl="7" w:tplc="EB44135C" w:tentative="1">
      <w:start w:val="1"/>
      <w:numFmt w:val="bullet"/>
      <w:lvlText w:val="•"/>
      <w:lvlJc w:val="left"/>
      <w:pPr>
        <w:tabs>
          <w:tab w:val="num" w:pos="5760"/>
        </w:tabs>
        <w:ind w:left="5760" w:hanging="360"/>
      </w:pPr>
      <w:rPr>
        <w:rFonts w:ascii="Arial" w:hAnsi="Arial" w:hint="default"/>
      </w:rPr>
    </w:lvl>
    <w:lvl w:ilvl="8" w:tplc="2E0CCF5E" w:tentative="1">
      <w:start w:val="1"/>
      <w:numFmt w:val="bullet"/>
      <w:lvlText w:val="•"/>
      <w:lvlJc w:val="left"/>
      <w:pPr>
        <w:tabs>
          <w:tab w:val="num" w:pos="6480"/>
        </w:tabs>
        <w:ind w:left="6480" w:hanging="360"/>
      </w:pPr>
      <w:rPr>
        <w:rFonts w:ascii="Arial" w:hAnsi="Arial" w:hint="default"/>
      </w:rPr>
    </w:lvl>
  </w:abstractNum>
  <w:abstractNum w:abstractNumId="8">
    <w:nsid w:val="2D21799A"/>
    <w:multiLevelType w:val="hybridMultilevel"/>
    <w:tmpl w:val="C734D2C8"/>
    <w:lvl w:ilvl="0" w:tplc="8A7656F0">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F3D77F9"/>
    <w:multiLevelType w:val="hybridMultilevel"/>
    <w:tmpl w:val="A57E464E"/>
    <w:lvl w:ilvl="0" w:tplc="9470F654">
      <w:start w:val="1"/>
      <w:numFmt w:val="bullet"/>
      <w:lvlText w:val="•"/>
      <w:lvlJc w:val="left"/>
      <w:pPr>
        <w:tabs>
          <w:tab w:val="num" w:pos="720"/>
        </w:tabs>
        <w:ind w:left="720" w:hanging="360"/>
      </w:pPr>
      <w:rPr>
        <w:rFonts w:ascii="Arial" w:hAnsi="Arial" w:hint="default"/>
      </w:rPr>
    </w:lvl>
    <w:lvl w:ilvl="1" w:tplc="AEEE62EA" w:tentative="1">
      <w:start w:val="1"/>
      <w:numFmt w:val="bullet"/>
      <w:lvlText w:val="•"/>
      <w:lvlJc w:val="left"/>
      <w:pPr>
        <w:tabs>
          <w:tab w:val="num" w:pos="1440"/>
        </w:tabs>
        <w:ind w:left="1440" w:hanging="360"/>
      </w:pPr>
      <w:rPr>
        <w:rFonts w:ascii="Arial" w:hAnsi="Arial" w:hint="default"/>
      </w:rPr>
    </w:lvl>
    <w:lvl w:ilvl="2" w:tplc="1F86B87A" w:tentative="1">
      <w:start w:val="1"/>
      <w:numFmt w:val="bullet"/>
      <w:lvlText w:val="•"/>
      <w:lvlJc w:val="left"/>
      <w:pPr>
        <w:tabs>
          <w:tab w:val="num" w:pos="2160"/>
        </w:tabs>
        <w:ind w:left="2160" w:hanging="360"/>
      </w:pPr>
      <w:rPr>
        <w:rFonts w:ascii="Arial" w:hAnsi="Arial" w:hint="default"/>
      </w:rPr>
    </w:lvl>
    <w:lvl w:ilvl="3" w:tplc="93DA8E9A" w:tentative="1">
      <w:start w:val="1"/>
      <w:numFmt w:val="bullet"/>
      <w:lvlText w:val="•"/>
      <w:lvlJc w:val="left"/>
      <w:pPr>
        <w:tabs>
          <w:tab w:val="num" w:pos="2880"/>
        </w:tabs>
        <w:ind w:left="2880" w:hanging="360"/>
      </w:pPr>
      <w:rPr>
        <w:rFonts w:ascii="Arial" w:hAnsi="Arial" w:hint="default"/>
      </w:rPr>
    </w:lvl>
    <w:lvl w:ilvl="4" w:tplc="4BD6D032" w:tentative="1">
      <w:start w:val="1"/>
      <w:numFmt w:val="bullet"/>
      <w:lvlText w:val="•"/>
      <w:lvlJc w:val="left"/>
      <w:pPr>
        <w:tabs>
          <w:tab w:val="num" w:pos="3600"/>
        </w:tabs>
        <w:ind w:left="3600" w:hanging="360"/>
      </w:pPr>
      <w:rPr>
        <w:rFonts w:ascii="Arial" w:hAnsi="Arial" w:hint="default"/>
      </w:rPr>
    </w:lvl>
    <w:lvl w:ilvl="5" w:tplc="934EAAA0" w:tentative="1">
      <w:start w:val="1"/>
      <w:numFmt w:val="bullet"/>
      <w:lvlText w:val="•"/>
      <w:lvlJc w:val="left"/>
      <w:pPr>
        <w:tabs>
          <w:tab w:val="num" w:pos="4320"/>
        </w:tabs>
        <w:ind w:left="4320" w:hanging="360"/>
      </w:pPr>
      <w:rPr>
        <w:rFonts w:ascii="Arial" w:hAnsi="Arial" w:hint="default"/>
      </w:rPr>
    </w:lvl>
    <w:lvl w:ilvl="6" w:tplc="3EB4ECBE" w:tentative="1">
      <w:start w:val="1"/>
      <w:numFmt w:val="bullet"/>
      <w:lvlText w:val="•"/>
      <w:lvlJc w:val="left"/>
      <w:pPr>
        <w:tabs>
          <w:tab w:val="num" w:pos="5040"/>
        </w:tabs>
        <w:ind w:left="5040" w:hanging="360"/>
      </w:pPr>
      <w:rPr>
        <w:rFonts w:ascii="Arial" w:hAnsi="Arial" w:hint="default"/>
      </w:rPr>
    </w:lvl>
    <w:lvl w:ilvl="7" w:tplc="EF9601BA" w:tentative="1">
      <w:start w:val="1"/>
      <w:numFmt w:val="bullet"/>
      <w:lvlText w:val="•"/>
      <w:lvlJc w:val="left"/>
      <w:pPr>
        <w:tabs>
          <w:tab w:val="num" w:pos="5760"/>
        </w:tabs>
        <w:ind w:left="5760" w:hanging="360"/>
      </w:pPr>
      <w:rPr>
        <w:rFonts w:ascii="Arial" w:hAnsi="Arial" w:hint="default"/>
      </w:rPr>
    </w:lvl>
    <w:lvl w:ilvl="8" w:tplc="91584AFA" w:tentative="1">
      <w:start w:val="1"/>
      <w:numFmt w:val="bullet"/>
      <w:lvlText w:val="•"/>
      <w:lvlJc w:val="left"/>
      <w:pPr>
        <w:tabs>
          <w:tab w:val="num" w:pos="6480"/>
        </w:tabs>
        <w:ind w:left="6480" w:hanging="360"/>
      </w:pPr>
      <w:rPr>
        <w:rFonts w:ascii="Arial" w:hAnsi="Arial" w:hint="default"/>
      </w:rPr>
    </w:lvl>
  </w:abstractNum>
  <w:abstractNum w:abstractNumId="10">
    <w:nsid w:val="325E7E45"/>
    <w:multiLevelType w:val="hybridMultilevel"/>
    <w:tmpl w:val="DBCA5D84"/>
    <w:lvl w:ilvl="0" w:tplc="114CF208">
      <w:start w:val="1"/>
      <w:numFmt w:val="bullet"/>
      <w:lvlText w:val="•"/>
      <w:lvlJc w:val="left"/>
      <w:pPr>
        <w:tabs>
          <w:tab w:val="num" w:pos="720"/>
        </w:tabs>
        <w:ind w:left="720" w:hanging="360"/>
      </w:pPr>
      <w:rPr>
        <w:rFonts w:ascii="Arial" w:hAnsi="Arial" w:hint="default"/>
      </w:rPr>
    </w:lvl>
    <w:lvl w:ilvl="1" w:tplc="C67285FE" w:tentative="1">
      <w:start w:val="1"/>
      <w:numFmt w:val="bullet"/>
      <w:lvlText w:val="•"/>
      <w:lvlJc w:val="left"/>
      <w:pPr>
        <w:tabs>
          <w:tab w:val="num" w:pos="1440"/>
        </w:tabs>
        <w:ind w:left="1440" w:hanging="360"/>
      </w:pPr>
      <w:rPr>
        <w:rFonts w:ascii="Arial" w:hAnsi="Arial" w:hint="default"/>
      </w:rPr>
    </w:lvl>
    <w:lvl w:ilvl="2" w:tplc="FDDA5392" w:tentative="1">
      <w:start w:val="1"/>
      <w:numFmt w:val="bullet"/>
      <w:lvlText w:val="•"/>
      <w:lvlJc w:val="left"/>
      <w:pPr>
        <w:tabs>
          <w:tab w:val="num" w:pos="2160"/>
        </w:tabs>
        <w:ind w:left="2160" w:hanging="360"/>
      </w:pPr>
      <w:rPr>
        <w:rFonts w:ascii="Arial" w:hAnsi="Arial" w:hint="default"/>
      </w:rPr>
    </w:lvl>
    <w:lvl w:ilvl="3" w:tplc="65F8715A" w:tentative="1">
      <w:start w:val="1"/>
      <w:numFmt w:val="bullet"/>
      <w:lvlText w:val="•"/>
      <w:lvlJc w:val="left"/>
      <w:pPr>
        <w:tabs>
          <w:tab w:val="num" w:pos="2880"/>
        </w:tabs>
        <w:ind w:left="2880" w:hanging="360"/>
      </w:pPr>
      <w:rPr>
        <w:rFonts w:ascii="Arial" w:hAnsi="Arial" w:hint="default"/>
      </w:rPr>
    </w:lvl>
    <w:lvl w:ilvl="4" w:tplc="FF202BF6" w:tentative="1">
      <w:start w:val="1"/>
      <w:numFmt w:val="bullet"/>
      <w:lvlText w:val="•"/>
      <w:lvlJc w:val="left"/>
      <w:pPr>
        <w:tabs>
          <w:tab w:val="num" w:pos="3600"/>
        </w:tabs>
        <w:ind w:left="3600" w:hanging="360"/>
      </w:pPr>
      <w:rPr>
        <w:rFonts w:ascii="Arial" w:hAnsi="Arial" w:hint="default"/>
      </w:rPr>
    </w:lvl>
    <w:lvl w:ilvl="5" w:tplc="F7B48030" w:tentative="1">
      <w:start w:val="1"/>
      <w:numFmt w:val="bullet"/>
      <w:lvlText w:val="•"/>
      <w:lvlJc w:val="left"/>
      <w:pPr>
        <w:tabs>
          <w:tab w:val="num" w:pos="4320"/>
        </w:tabs>
        <w:ind w:left="4320" w:hanging="360"/>
      </w:pPr>
      <w:rPr>
        <w:rFonts w:ascii="Arial" w:hAnsi="Arial" w:hint="default"/>
      </w:rPr>
    </w:lvl>
    <w:lvl w:ilvl="6" w:tplc="58AE8620" w:tentative="1">
      <w:start w:val="1"/>
      <w:numFmt w:val="bullet"/>
      <w:lvlText w:val="•"/>
      <w:lvlJc w:val="left"/>
      <w:pPr>
        <w:tabs>
          <w:tab w:val="num" w:pos="5040"/>
        </w:tabs>
        <w:ind w:left="5040" w:hanging="360"/>
      </w:pPr>
      <w:rPr>
        <w:rFonts w:ascii="Arial" w:hAnsi="Arial" w:hint="default"/>
      </w:rPr>
    </w:lvl>
    <w:lvl w:ilvl="7" w:tplc="E57AF936" w:tentative="1">
      <w:start w:val="1"/>
      <w:numFmt w:val="bullet"/>
      <w:lvlText w:val="•"/>
      <w:lvlJc w:val="left"/>
      <w:pPr>
        <w:tabs>
          <w:tab w:val="num" w:pos="5760"/>
        </w:tabs>
        <w:ind w:left="5760" w:hanging="360"/>
      </w:pPr>
      <w:rPr>
        <w:rFonts w:ascii="Arial" w:hAnsi="Arial" w:hint="default"/>
      </w:rPr>
    </w:lvl>
    <w:lvl w:ilvl="8" w:tplc="2AAC94C6" w:tentative="1">
      <w:start w:val="1"/>
      <w:numFmt w:val="bullet"/>
      <w:lvlText w:val="•"/>
      <w:lvlJc w:val="left"/>
      <w:pPr>
        <w:tabs>
          <w:tab w:val="num" w:pos="6480"/>
        </w:tabs>
        <w:ind w:left="6480" w:hanging="360"/>
      </w:pPr>
      <w:rPr>
        <w:rFonts w:ascii="Arial" w:hAnsi="Arial" w:hint="default"/>
      </w:rPr>
    </w:lvl>
  </w:abstractNum>
  <w:abstractNum w:abstractNumId="11">
    <w:nsid w:val="3A4E702E"/>
    <w:multiLevelType w:val="hybridMultilevel"/>
    <w:tmpl w:val="ED8A68FE"/>
    <w:lvl w:ilvl="0" w:tplc="2EAA9E1E">
      <w:start w:val="1"/>
      <w:numFmt w:val="bullet"/>
      <w:lvlText w:val="•"/>
      <w:lvlJc w:val="left"/>
      <w:pPr>
        <w:tabs>
          <w:tab w:val="num" w:pos="720"/>
        </w:tabs>
        <w:ind w:left="720" w:hanging="360"/>
      </w:pPr>
      <w:rPr>
        <w:rFonts w:ascii="Arial" w:hAnsi="Arial" w:hint="default"/>
      </w:rPr>
    </w:lvl>
    <w:lvl w:ilvl="1" w:tplc="590806E6" w:tentative="1">
      <w:start w:val="1"/>
      <w:numFmt w:val="bullet"/>
      <w:lvlText w:val="•"/>
      <w:lvlJc w:val="left"/>
      <w:pPr>
        <w:tabs>
          <w:tab w:val="num" w:pos="1440"/>
        </w:tabs>
        <w:ind w:left="1440" w:hanging="360"/>
      </w:pPr>
      <w:rPr>
        <w:rFonts w:ascii="Arial" w:hAnsi="Arial" w:hint="default"/>
      </w:rPr>
    </w:lvl>
    <w:lvl w:ilvl="2" w:tplc="F438D01E" w:tentative="1">
      <w:start w:val="1"/>
      <w:numFmt w:val="bullet"/>
      <w:lvlText w:val="•"/>
      <w:lvlJc w:val="left"/>
      <w:pPr>
        <w:tabs>
          <w:tab w:val="num" w:pos="2160"/>
        </w:tabs>
        <w:ind w:left="2160" w:hanging="360"/>
      </w:pPr>
      <w:rPr>
        <w:rFonts w:ascii="Arial" w:hAnsi="Arial" w:hint="default"/>
      </w:rPr>
    </w:lvl>
    <w:lvl w:ilvl="3" w:tplc="A93AC500" w:tentative="1">
      <w:start w:val="1"/>
      <w:numFmt w:val="bullet"/>
      <w:lvlText w:val="•"/>
      <w:lvlJc w:val="left"/>
      <w:pPr>
        <w:tabs>
          <w:tab w:val="num" w:pos="2880"/>
        </w:tabs>
        <w:ind w:left="2880" w:hanging="360"/>
      </w:pPr>
      <w:rPr>
        <w:rFonts w:ascii="Arial" w:hAnsi="Arial" w:hint="default"/>
      </w:rPr>
    </w:lvl>
    <w:lvl w:ilvl="4" w:tplc="1B8C53EE" w:tentative="1">
      <w:start w:val="1"/>
      <w:numFmt w:val="bullet"/>
      <w:lvlText w:val="•"/>
      <w:lvlJc w:val="left"/>
      <w:pPr>
        <w:tabs>
          <w:tab w:val="num" w:pos="3600"/>
        </w:tabs>
        <w:ind w:left="3600" w:hanging="360"/>
      </w:pPr>
      <w:rPr>
        <w:rFonts w:ascii="Arial" w:hAnsi="Arial" w:hint="default"/>
      </w:rPr>
    </w:lvl>
    <w:lvl w:ilvl="5" w:tplc="62E442B6" w:tentative="1">
      <w:start w:val="1"/>
      <w:numFmt w:val="bullet"/>
      <w:lvlText w:val="•"/>
      <w:lvlJc w:val="left"/>
      <w:pPr>
        <w:tabs>
          <w:tab w:val="num" w:pos="4320"/>
        </w:tabs>
        <w:ind w:left="4320" w:hanging="360"/>
      </w:pPr>
      <w:rPr>
        <w:rFonts w:ascii="Arial" w:hAnsi="Arial" w:hint="default"/>
      </w:rPr>
    </w:lvl>
    <w:lvl w:ilvl="6" w:tplc="A53A36F2" w:tentative="1">
      <w:start w:val="1"/>
      <w:numFmt w:val="bullet"/>
      <w:lvlText w:val="•"/>
      <w:lvlJc w:val="left"/>
      <w:pPr>
        <w:tabs>
          <w:tab w:val="num" w:pos="5040"/>
        </w:tabs>
        <w:ind w:left="5040" w:hanging="360"/>
      </w:pPr>
      <w:rPr>
        <w:rFonts w:ascii="Arial" w:hAnsi="Arial" w:hint="default"/>
      </w:rPr>
    </w:lvl>
    <w:lvl w:ilvl="7" w:tplc="380211FC" w:tentative="1">
      <w:start w:val="1"/>
      <w:numFmt w:val="bullet"/>
      <w:lvlText w:val="•"/>
      <w:lvlJc w:val="left"/>
      <w:pPr>
        <w:tabs>
          <w:tab w:val="num" w:pos="5760"/>
        </w:tabs>
        <w:ind w:left="5760" w:hanging="360"/>
      </w:pPr>
      <w:rPr>
        <w:rFonts w:ascii="Arial" w:hAnsi="Arial" w:hint="default"/>
      </w:rPr>
    </w:lvl>
    <w:lvl w:ilvl="8" w:tplc="46F6CCF4" w:tentative="1">
      <w:start w:val="1"/>
      <w:numFmt w:val="bullet"/>
      <w:lvlText w:val="•"/>
      <w:lvlJc w:val="left"/>
      <w:pPr>
        <w:tabs>
          <w:tab w:val="num" w:pos="6480"/>
        </w:tabs>
        <w:ind w:left="6480" w:hanging="360"/>
      </w:pPr>
      <w:rPr>
        <w:rFonts w:ascii="Arial" w:hAnsi="Arial" w:hint="default"/>
      </w:rPr>
    </w:lvl>
  </w:abstractNum>
  <w:abstractNum w:abstractNumId="12">
    <w:nsid w:val="3B5F66F0"/>
    <w:multiLevelType w:val="hybridMultilevel"/>
    <w:tmpl w:val="C1C6613A"/>
    <w:lvl w:ilvl="0" w:tplc="6B9E29B8">
      <w:start w:val="1"/>
      <w:numFmt w:val="bullet"/>
      <w:lvlText w:val="•"/>
      <w:lvlJc w:val="left"/>
      <w:pPr>
        <w:tabs>
          <w:tab w:val="num" w:pos="720"/>
        </w:tabs>
        <w:ind w:left="720" w:hanging="360"/>
      </w:pPr>
      <w:rPr>
        <w:rFonts w:ascii="Arial" w:hAnsi="Arial" w:hint="default"/>
      </w:rPr>
    </w:lvl>
    <w:lvl w:ilvl="1" w:tplc="D93082BA" w:tentative="1">
      <w:start w:val="1"/>
      <w:numFmt w:val="bullet"/>
      <w:lvlText w:val="•"/>
      <w:lvlJc w:val="left"/>
      <w:pPr>
        <w:tabs>
          <w:tab w:val="num" w:pos="1440"/>
        </w:tabs>
        <w:ind w:left="1440" w:hanging="360"/>
      </w:pPr>
      <w:rPr>
        <w:rFonts w:ascii="Arial" w:hAnsi="Arial" w:hint="default"/>
      </w:rPr>
    </w:lvl>
    <w:lvl w:ilvl="2" w:tplc="94B420FC" w:tentative="1">
      <w:start w:val="1"/>
      <w:numFmt w:val="bullet"/>
      <w:lvlText w:val="•"/>
      <w:lvlJc w:val="left"/>
      <w:pPr>
        <w:tabs>
          <w:tab w:val="num" w:pos="2160"/>
        </w:tabs>
        <w:ind w:left="2160" w:hanging="360"/>
      </w:pPr>
      <w:rPr>
        <w:rFonts w:ascii="Arial" w:hAnsi="Arial" w:hint="default"/>
      </w:rPr>
    </w:lvl>
    <w:lvl w:ilvl="3" w:tplc="CEF2C850" w:tentative="1">
      <w:start w:val="1"/>
      <w:numFmt w:val="bullet"/>
      <w:lvlText w:val="•"/>
      <w:lvlJc w:val="left"/>
      <w:pPr>
        <w:tabs>
          <w:tab w:val="num" w:pos="2880"/>
        </w:tabs>
        <w:ind w:left="2880" w:hanging="360"/>
      </w:pPr>
      <w:rPr>
        <w:rFonts w:ascii="Arial" w:hAnsi="Arial" w:hint="default"/>
      </w:rPr>
    </w:lvl>
    <w:lvl w:ilvl="4" w:tplc="217CF0CE" w:tentative="1">
      <w:start w:val="1"/>
      <w:numFmt w:val="bullet"/>
      <w:lvlText w:val="•"/>
      <w:lvlJc w:val="left"/>
      <w:pPr>
        <w:tabs>
          <w:tab w:val="num" w:pos="3600"/>
        </w:tabs>
        <w:ind w:left="3600" w:hanging="360"/>
      </w:pPr>
      <w:rPr>
        <w:rFonts w:ascii="Arial" w:hAnsi="Arial" w:hint="default"/>
      </w:rPr>
    </w:lvl>
    <w:lvl w:ilvl="5" w:tplc="B91CED6C" w:tentative="1">
      <w:start w:val="1"/>
      <w:numFmt w:val="bullet"/>
      <w:lvlText w:val="•"/>
      <w:lvlJc w:val="left"/>
      <w:pPr>
        <w:tabs>
          <w:tab w:val="num" w:pos="4320"/>
        </w:tabs>
        <w:ind w:left="4320" w:hanging="360"/>
      </w:pPr>
      <w:rPr>
        <w:rFonts w:ascii="Arial" w:hAnsi="Arial" w:hint="default"/>
      </w:rPr>
    </w:lvl>
    <w:lvl w:ilvl="6" w:tplc="F22659D0" w:tentative="1">
      <w:start w:val="1"/>
      <w:numFmt w:val="bullet"/>
      <w:lvlText w:val="•"/>
      <w:lvlJc w:val="left"/>
      <w:pPr>
        <w:tabs>
          <w:tab w:val="num" w:pos="5040"/>
        </w:tabs>
        <w:ind w:left="5040" w:hanging="360"/>
      </w:pPr>
      <w:rPr>
        <w:rFonts w:ascii="Arial" w:hAnsi="Arial" w:hint="default"/>
      </w:rPr>
    </w:lvl>
    <w:lvl w:ilvl="7" w:tplc="F230B9D6" w:tentative="1">
      <w:start w:val="1"/>
      <w:numFmt w:val="bullet"/>
      <w:lvlText w:val="•"/>
      <w:lvlJc w:val="left"/>
      <w:pPr>
        <w:tabs>
          <w:tab w:val="num" w:pos="5760"/>
        </w:tabs>
        <w:ind w:left="5760" w:hanging="360"/>
      </w:pPr>
      <w:rPr>
        <w:rFonts w:ascii="Arial" w:hAnsi="Arial" w:hint="default"/>
      </w:rPr>
    </w:lvl>
    <w:lvl w:ilvl="8" w:tplc="C284F55E" w:tentative="1">
      <w:start w:val="1"/>
      <w:numFmt w:val="bullet"/>
      <w:lvlText w:val="•"/>
      <w:lvlJc w:val="left"/>
      <w:pPr>
        <w:tabs>
          <w:tab w:val="num" w:pos="6480"/>
        </w:tabs>
        <w:ind w:left="6480" w:hanging="360"/>
      </w:pPr>
      <w:rPr>
        <w:rFonts w:ascii="Arial" w:hAnsi="Arial" w:hint="default"/>
      </w:rPr>
    </w:lvl>
  </w:abstractNum>
  <w:abstractNum w:abstractNumId="13">
    <w:nsid w:val="48A0597C"/>
    <w:multiLevelType w:val="hybridMultilevel"/>
    <w:tmpl w:val="48AA0B38"/>
    <w:lvl w:ilvl="0" w:tplc="D4D0B8D4">
      <w:start w:val="1"/>
      <w:numFmt w:val="bullet"/>
      <w:lvlText w:val="•"/>
      <w:lvlJc w:val="left"/>
      <w:pPr>
        <w:tabs>
          <w:tab w:val="num" w:pos="720"/>
        </w:tabs>
        <w:ind w:left="720" w:hanging="360"/>
      </w:pPr>
      <w:rPr>
        <w:rFonts w:ascii="Arial" w:hAnsi="Arial" w:hint="default"/>
      </w:rPr>
    </w:lvl>
    <w:lvl w:ilvl="1" w:tplc="2206B8D6" w:tentative="1">
      <w:start w:val="1"/>
      <w:numFmt w:val="bullet"/>
      <w:lvlText w:val="•"/>
      <w:lvlJc w:val="left"/>
      <w:pPr>
        <w:tabs>
          <w:tab w:val="num" w:pos="1440"/>
        </w:tabs>
        <w:ind w:left="1440" w:hanging="360"/>
      </w:pPr>
      <w:rPr>
        <w:rFonts w:ascii="Arial" w:hAnsi="Arial" w:hint="default"/>
      </w:rPr>
    </w:lvl>
    <w:lvl w:ilvl="2" w:tplc="8E26E790" w:tentative="1">
      <w:start w:val="1"/>
      <w:numFmt w:val="bullet"/>
      <w:lvlText w:val="•"/>
      <w:lvlJc w:val="left"/>
      <w:pPr>
        <w:tabs>
          <w:tab w:val="num" w:pos="2160"/>
        </w:tabs>
        <w:ind w:left="2160" w:hanging="360"/>
      </w:pPr>
      <w:rPr>
        <w:rFonts w:ascii="Arial" w:hAnsi="Arial" w:hint="default"/>
      </w:rPr>
    </w:lvl>
    <w:lvl w:ilvl="3" w:tplc="2B082358" w:tentative="1">
      <w:start w:val="1"/>
      <w:numFmt w:val="bullet"/>
      <w:lvlText w:val="•"/>
      <w:lvlJc w:val="left"/>
      <w:pPr>
        <w:tabs>
          <w:tab w:val="num" w:pos="2880"/>
        </w:tabs>
        <w:ind w:left="2880" w:hanging="360"/>
      </w:pPr>
      <w:rPr>
        <w:rFonts w:ascii="Arial" w:hAnsi="Arial" w:hint="default"/>
      </w:rPr>
    </w:lvl>
    <w:lvl w:ilvl="4" w:tplc="44749698" w:tentative="1">
      <w:start w:val="1"/>
      <w:numFmt w:val="bullet"/>
      <w:lvlText w:val="•"/>
      <w:lvlJc w:val="left"/>
      <w:pPr>
        <w:tabs>
          <w:tab w:val="num" w:pos="3600"/>
        </w:tabs>
        <w:ind w:left="3600" w:hanging="360"/>
      </w:pPr>
      <w:rPr>
        <w:rFonts w:ascii="Arial" w:hAnsi="Arial" w:hint="default"/>
      </w:rPr>
    </w:lvl>
    <w:lvl w:ilvl="5" w:tplc="E0CC8A9A" w:tentative="1">
      <w:start w:val="1"/>
      <w:numFmt w:val="bullet"/>
      <w:lvlText w:val="•"/>
      <w:lvlJc w:val="left"/>
      <w:pPr>
        <w:tabs>
          <w:tab w:val="num" w:pos="4320"/>
        </w:tabs>
        <w:ind w:left="4320" w:hanging="360"/>
      </w:pPr>
      <w:rPr>
        <w:rFonts w:ascii="Arial" w:hAnsi="Arial" w:hint="default"/>
      </w:rPr>
    </w:lvl>
    <w:lvl w:ilvl="6" w:tplc="D16810F4" w:tentative="1">
      <w:start w:val="1"/>
      <w:numFmt w:val="bullet"/>
      <w:lvlText w:val="•"/>
      <w:lvlJc w:val="left"/>
      <w:pPr>
        <w:tabs>
          <w:tab w:val="num" w:pos="5040"/>
        </w:tabs>
        <w:ind w:left="5040" w:hanging="360"/>
      </w:pPr>
      <w:rPr>
        <w:rFonts w:ascii="Arial" w:hAnsi="Arial" w:hint="default"/>
      </w:rPr>
    </w:lvl>
    <w:lvl w:ilvl="7" w:tplc="9BFCB9C6" w:tentative="1">
      <w:start w:val="1"/>
      <w:numFmt w:val="bullet"/>
      <w:lvlText w:val="•"/>
      <w:lvlJc w:val="left"/>
      <w:pPr>
        <w:tabs>
          <w:tab w:val="num" w:pos="5760"/>
        </w:tabs>
        <w:ind w:left="5760" w:hanging="360"/>
      </w:pPr>
      <w:rPr>
        <w:rFonts w:ascii="Arial" w:hAnsi="Arial" w:hint="default"/>
      </w:rPr>
    </w:lvl>
    <w:lvl w:ilvl="8" w:tplc="712E7830" w:tentative="1">
      <w:start w:val="1"/>
      <w:numFmt w:val="bullet"/>
      <w:lvlText w:val="•"/>
      <w:lvlJc w:val="left"/>
      <w:pPr>
        <w:tabs>
          <w:tab w:val="num" w:pos="6480"/>
        </w:tabs>
        <w:ind w:left="6480" w:hanging="360"/>
      </w:pPr>
      <w:rPr>
        <w:rFonts w:ascii="Arial" w:hAnsi="Arial" w:hint="default"/>
      </w:rPr>
    </w:lvl>
  </w:abstractNum>
  <w:abstractNum w:abstractNumId="14">
    <w:nsid w:val="543D699B"/>
    <w:multiLevelType w:val="hybridMultilevel"/>
    <w:tmpl w:val="7BF84016"/>
    <w:lvl w:ilvl="0" w:tplc="151C104E">
      <w:start w:val="1"/>
      <w:numFmt w:val="bullet"/>
      <w:lvlText w:val="•"/>
      <w:lvlJc w:val="left"/>
      <w:pPr>
        <w:tabs>
          <w:tab w:val="num" w:pos="720"/>
        </w:tabs>
        <w:ind w:left="720" w:hanging="360"/>
      </w:pPr>
      <w:rPr>
        <w:rFonts w:ascii="Arial" w:hAnsi="Arial" w:hint="default"/>
      </w:rPr>
    </w:lvl>
    <w:lvl w:ilvl="1" w:tplc="F22631B4" w:tentative="1">
      <w:start w:val="1"/>
      <w:numFmt w:val="bullet"/>
      <w:lvlText w:val="•"/>
      <w:lvlJc w:val="left"/>
      <w:pPr>
        <w:tabs>
          <w:tab w:val="num" w:pos="1440"/>
        </w:tabs>
        <w:ind w:left="1440" w:hanging="360"/>
      </w:pPr>
      <w:rPr>
        <w:rFonts w:ascii="Arial" w:hAnsi="Arial" w:hint="default"/>
      </w:rPr>
    </w:lvl>
    <w:lvl w:ilvl="2" w:tplc="56AEB1E4" w:tentative="1">
      <w:start w:val="1"/>
      <w:numFmt w:val="bullet"/>
      <w:lvlText w:val="•"/>
      <w:lvlJc w:val="left"/>
      <w:pPr>
        <w:tabs>
          <w:tab w:val="num" w:pos="2160"/>
        </w:tabs>
        <w:ind w:left="2160" w:hanging="360"/>
      </w:pPr>
      <w:rPr>
        <w:rFonts w:ascii="Arial" w:hAnsi="Arial" w:hint="default"/>
      </w:rPr>
    </w:lvl>
    <w:lvl w:ilvl="3" w:tplc="E89E8ADC" w:tentative="1">
      <w:start w:val="1"/>
      <w:numFmt w:val="bullet"/>
      <w:lvlText w:val="•"/>
      <w:lvlJc w:val="left"/>
      <w:pPr>
        <w:tabs>
          <w:tab w:val="num" w:pos="2880"/>
        </w:tabs>
        <w:ind w:left="2880" w:hanging="360"/>
      </w:pPr>
      <w:rPr>
        <w:rFonts w:ascii="Arial" w:hAnsi="Arial" w:hint="default"/>
      </w:rPr>
    </w:lvl>
    <w:lvl w:ilvl="4" w:tplc="C63A14D8" w:tentative="1">
      <w:start w:val="1"/>
      <w:numFmt w:val="bullet"/>
      <w:lvlText w:val="•"/>
      <w:lvlJc w:val="left"/>
      <w:pPr>
        <w:tabs>
          <w:tab w:val="num" w:pos="3600"/>
        </w:tabs>
        <w:ind w:left="3600" w:hanging="360"/>
      </w:pPr>
      <w:rPr>
        <w:rFonts w:ascii="Arial" w:hAnsi="Arial" w:hint="default"/>
      </w:rPr>
    </w:lvl>
    <w:lvl w:ilvl="5" w:tplc="F50EAEF2" w:tentative="1">
      <w:start w:val="1"/>
      <w:numFmt w:val="bullet"/>
      <w:lvlText w:val="•"/>
      <w:lvlJc w:val="left"/>
      <w:pPr>
        <w:tabs>
          <w:tab w:val="num" w:pos="4320"/>
        </w:tabs>
        <w:ind w:left="4320" w:hanging="360"/>
      </w:pPr>
      <w:rPr>
        <w:rFonts w:ascii="Arial" w:hAnsi="Arial" w:hint="default"/>
      </w:rPr>
    </w:lvl>
    <w:lvl w:ilvl="6" w:tplc="E9B8E81C" w:tentative="1">
      <w:start w:val="1"/>
      <w:numFmt w:val="bullet"/>
      <w:lvlText w:val="•"/>
      <w:lvlJc w:val="left"/>
      <w:pPr>
        <w:tabs>
          <w:tab w:val="num" w:pos="5040"/>
        </w:tabs>
        <w:ind w:left="5040" w:hanging="360"/>
      </w:pPr>
      <w:rPr>
        <w:rFonts w:ascii="Arial" w:hAnsi="Arial" w:hint="default"/>
      </w:rPr>
    </w:lvl>
    <w:lvl w:ilvl="7" w:tplc="2FDED8E0" w:tentative="1">
      <w:start w:val="1"/>
      <w:numFmt w:val="bullet"/>
      <w:lvlText w:val="•"/>
      <w:lvlJc w:val="left"/>
      <w:pPr>
        <w:tabs>
          <w:tab w:val="num" w:pos="5760"/>
        </w:tabs>
        <w:ind w:left="5760" w:hanging="360"/>
      </w:pPr>
      <w:rPr>
        <w:rFonts w:ascii="Arial" w:hAnsi="Arial" w:hint="default"/>
      </w:rPr>
    </w:lvl>
    <w:lvl w:ilvl="8" w:tplc="B010D1A8" w:tentative="1">
      <w:start w:val="1"/>
      <w:numFmt w:val="bullet"/>
      <w:lvlText w:val="•"/>
      <w:lvlJc w:val="left"/>
      <w:pPr>
        <w:tabs>
          <w:tab w:val="num" w:pos="6480"/>
        </w:tabs>
        <w:ind w:left="6480" w:hanging="360"/>
      </w:pPr>
      <w:rPr>
        <w:rFonts w:ascii="Arial" w:hAnsi="Arial" w:hint="default"/>
      </w:rPr>
    </w:lvl>
  </w:abstractNum>
  <w:abstractNum w:abstractNumId="15">
    <w:nsid w:val="5C6314CF"/>
    <w:multiLevelType w:val="hybridMultilevel"/>
    <w:tmpl w:val="A51C9D58"/>
    <w:lvl w:ilvl="0" w:tplc="C086616A">
      <w:start w:val="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04579B"/>
    <w:multiLevelType w:val="hybridMultilevel"/>
    <w:tmpl w:val="305CC2B0"/>
    <w:lvl w:ilvl="0" w:tplc="755CAF94">
      <w:start w:val="1"/>
      <w:numFmt w:val="bullet"/>
      <w:lvlText w:val="•"/>
      <w:lvlJc w:val="left"/>
      <w:pPr>
        <w:tabs>
          <w:tab w:val="num" w:pos="720"/>
        </w:tabs>
        <w:ind w:left="720" w:hanging="360"/>
      </w:pPr>
      <w:rPr>
        <w:rFonts w:ascii="Arial" w:hAnsi="Arial" w:hint="default"/>
      </w:rPr>
    </w:lvl>
    <w:lvl w:ilvl="1" w:tplc="5674263C" w:tentative="1">
      <w:start w:val="1"/>
      <w:numFmt w:val="bullet"/>
      <w:lvlText w:val="•"/>
      <w:lvlJc w:val="left"/>
      <w:pPr>
        <w:tabs>
          <w:tab w:val="num" w:pos="1440"/>
        </w:tabs>
        <w:ind w:left="1440" w:hanging="360"/>
      </w:pPr>
      <w:rPr>
        <w:rFonts w:ascii="Arial" w:hAnsi="Arial" w:hint="default"/>
      </w:rPr>
    </w:lvl>
    <w:lvl w:ilvl="2" w:tplc="59047F9E" w:tentative="1">
      <w:start w:val="1"/>
      <w:numFmt w:val="bullet"/>
      <w:lvlText w:val="•"/>
      <w:lvlJc w:val="left"/>
      <w:pPr>
        <w:tabs>
          <w:tab w:val="num" w:pos="2160"/>
        </w:tabs>
        <w:ind w:left="2160" w:hanging="360"/>
      </w:pPr>
      <w:rPr>
        <w:rFonts w:ascii="Arial" w:hAnsi="Arial" w:hint="default"/>
      </w:rPr>
    </w:lvl>
    <w:lvl w:ilvl="3" w:tplc="35B85E44" w:tentative="1">
      <w:start w:val="1"/>
      <w:numFmt w:val="bullet"/>
      <w:lvlText w:val="•"/>
      <w:lvlJc w:val="left"/>
      <w:pPr>
        <w:tabs>
          <w:tab w:val="num" w:pos="2880"/>
        </w:tabs>
        <w:ind w:left="2880" w:hanging="360"/>
      </w:pPr>
      <w:rPr>
        <w:rFonts w:ascii="Arial" w:hAnsi="Arial" w:hint="default"/>
      </w:rPr>
    </w:lvl>
    <w:lvl w:ilvl="4" w:tplc="E6F60E32" w:tentative="1">
      <w:start w:val="1"/>
      <w:numFmt w:val="bullet"/>
      <w:lvlText w:val="•"/>
      <w:lvlJc w:val="left"/>
      <w:pPr>
        <w:tabs>
          <w:tab w:val="num" w:pos="3600"/>
        </w:tabs>
        <w:ind w:left="3600" w:hanging="360"/>
      </w:pPr>
      <w:rPr>
        <w:rFonts w:ascii="Arial" w:hAnsi="Arial" w:hint="default"/>
      </w:rPr>
    </w:lvl>
    <w:lvl w:ilvl="5" w:tplc="E1BC9E9C" w:tentative="1">
      <w:start w:val="1"/>
      <w:numFmt w:val="bullet"/>
      <w:lvlText w:val="•"/>
      <w:lvlJc w:val="left"/>
      <w:pPr>
        <w:tabs>
          <w:tab w:val="num" w:pos="4320"/>
        </w:tabs>
        <w:ind w:left="4320" w:hanging="360"/>
      </w:pPr>
      <w:rPr>
        <w:rFonts w:ascii="Arial" w:hAnsi="Arial" w:hint="default"/>
      </w:rPr>
    </w:lvl>
    <w:lvl w:ilvl="6" w:tplc="78607050" w:tentative="1">
      <w:start w:val="1"/>
      <w:numFmt w:val="bullet"/>
      <w:lvlText w:val="•"/>
      <w:lvlJc w:val="left"/>
      <w:pPr>
        <w:tabs>
          <w:tab w:val="num" w:pos="5040"/>
        </w:tabs>
        <w:ind w:left="5040" w:hanging="360"/>
      </w:pPr>
      <w:rPr>
        <w:rFonts w:ascii="Arial" w:hAnsi="Arial" w:hint="default"/>
      </w:rPr>
    </w:lvl>
    <w:lvl w:ilvl="7" w:tplc="1A1ACF5C" w:tentative="1">
      <w:start w:val="1"/>
      <w:numFmt w:val="bullet"/>
      <w:lvlText w:val="•"/>
      <w:lvlJc w:val="left"/>
      <w:pPr>
        <w:tabs>
          <w:tab w:val="num" w:pos="5760"/>
        </w:tabs>
        <w:ind w:left="5760" w:hanging="360"/>
      </w:pPr>
      <w:rPr>
        <w:rFonts w:ascii="Arial" w:hAnsi="Arial" w:hint="default"/>
      </w:rPr>
    </w:lvl>
    <w:lvl w:ilvl="8" w:tplc="8D4C0572" w:tentative="1">
      <w:start w:val="1"/>
      <w:numFmt w:val="bullet"/>
      <w:lvlText w:val="•"/>
      <w:lvlJc w:val="left"/>
      <w:pPr>
        <w:tabs>
          <w:tab w:val="num" w:pos="6480"/>
        </w:tabs>
        <w:ind w:left="6480" w:hanging="360"/>
      </w:pPr>
      <w:rPr>
        <w:rFonts w:ascii="Arial" w:hAnsi="Arial" w:hint="default"/>
      </w:rPr>
    </w:lvl>
  </w:abstractNum>
  <w:abstractNum w:abstractNumId="17">
    <w:nsid w:val="73AF5D9D"/>
    <w:multiLevelType w:val="hybridMultilevel"/>
    <w:tmpl w:val="45C275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89D5EE4"/>
    <w:multiLevelType w:val="hybridMultilevel"/>
    <w:tmpl w:val="07A82810"/>
    <w:lvl w:ilvl="0" w:tplc="12C09B16">
      <w:start w:val="3"/>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B582406"/>
    <w:multiLevelType w:val="hybridMultilevel"/>
    <w:tmpl w:val="67E0872A"/>
    <w:lvl w:ilvl="0" w:tplc="BEE03224">
      <w:start w:val="1"/>
      <w:numFmt w:val="bullet"/>
      <w:lvlText w:val="•"/>
      <w:lvlJc w:val="left"/>
      <w:pPr>
        <w:tabs>
          <w:tab w:val="num" w:pos="720"/>
        </w:tabs>
        <w:ind w:left="720" w:hanging="360"/>
      </w:pPr>
      <w:rPr>
        <w:rFonts w:ascii="Arial" w:hAnsi="Arial" w:hint="default"/>
      </w:rPr>
    </w:lvl>
    <w:lvl w:ilvl="1" w:tplc="03866C32" w:tentative="1">
      <w:start w:val="1"/>
      <w:numFmt w:val="bullet"/>
      <w:lvlText w:val="•"/>
      <w:lvlJc w:val="left"/>
      <w:pPr>
        <w:tabs>
          <w:tab w:val="num" w:pos="1440"/>
        </w:tabs>
        <w:ind w:left="1440" w:hanging="360"/>
      </w:pPr>
      <w:rPr>
        <w:rFonts w:ascii="Arial" w:hAnsi="Arial" w:hint="default"/>
      </w:rPr>
    </w:lvl>
    <w:lvl w:ilvl="2" w:tplc="11B6BB24" w:tentative="1">
      <w:start w:val="1"/>
      <w:numFmt w:val="bullet"/>
      <w:lvlText w:val="•"/>
      <w:lvlJc w:val="left"/>
      <w:pPr>
        <w:tabs>
          <w:tab w:val="num" w:pos="2160"/>
        </w:tabs>
        <w:ind w:left="2160" w:hanging="360"/>
      </w:pPr>
      <w:rPr>
        <w:rFonts w:ascii="Arial" w:hAnsi="Arial" w:hint="default"/>
      </w:rPr>
    </w:lvl>
    <w:lvl w:ilvl="3" w:tplc="02200702" w:tentative="1">
      <w:start w:val="1"/>
      <w:numFmt w:val="bullet"/>
      <w:lvlText w:val="•"/>
      <w:lvlJc w:val="left"/>
      <w:pPr>
        <w:tabs>
          <w:tab w:val="num" w:pos="2880"/>
        </w:tabs>
        <w:ind w:left="2880" w:hanging="360"/>
      </w:pPr>
      <w:rPr>
        <w:rFonts w:ascii="Arial" w:hAnsi="Arial" w:hint="default"/>
      </w:rPr>
    </w:lvl>
    <w:lvl w:ilvl="4" w:tplc="4E22DC18" w:tentative="1">
      <w:start w:val="1"/>
      <w:numFmt w:val="bullet"/>
      <w:lvlText w:val="•"/>
      <w:lvlJc w:val="left"/>
      <w:pPr>
        <w:tabs>
          <w:tab w:val="num" w:pos="3600"/>
        </w:tabs>
        <w:ind w:left="3600" w:hanging="360"/>
      </w:pPr>
      <w:rPr>
        <w:rFonts w:ascii="Arial" w:hAnsi="Arial" w:hint="default"/>
      </w:rPr>
    </w:lvl>
    <w:lvl w:ilvl="5" w:tplc="369C552A" w:tentative="1">
      <w:start w:val="1"/>
      <w:numFmt w:val="bullet"/>
      <w:lvlText w:val="•"/>
      <w:lvlJc w:val="left"/>
      <w:pPr>
        <w:tabs>
          <w:tab w:val="num" w:pos="4320"/>
        </w:tabs>
        <w:ind w:left="4320" w:hanging="360"/>
      </w:pPr>
      <w:rPr>
        <w:rFonts w:ascii="Arial" w:hAnsi="Arial" w:hint="default"/>
      </w:rPr>
    </w:lvl>
    <w:lvl w:ilvl="6" w:tplc="A96620A0" w:tentative="1">
      <w:start w:val="1"/>
      <w:numFmt w:val="bullet"/>
      <w:lvlText w:val="•"/>
      <w:lvlJc w:val="left"/>
      <w:pPr>
        <w:tabs>
          <w:tab w:val="num" w:pos="5040"/>
        </w:tabs>
        <w:ind w:left="5040" w:hanging="360"/>
      </w:pPr>
      <w:rPr>
        <w:rFonts w:ascii="Arial" w:hAnsi="Arial" w:hint="default"/>
      </w:rPr>
    </w:lvl>
    <w:lvl w:ilvl="7" w:tplc="DBE46E40" w:tentative="1">
      <w:start w:val="1"/>
      <w:numFmt w:val="bullet"/>
      <w:lvlText w:val="•"/>
      <w:lvlJc w:val="left"/>
      <w:pPr>
        <w:tabs>
          <w:tab w:val="num" w:pos="5760"/>
        </w:tabs>
        <w:ind w:left="5760" w:hanging="360"/>
      </w:pPr>
      <w:rPr>
        <w:rFonts w:ascii="Arial" w:hAnsi="Arial" w:hint="default"/>
      </w:rPr>
    </w:lvl>
    <w:lvl w:ilvl="8" w:tplc="0EEE205A"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3"/>
  </w:num>
  <w:num w:numId="3">
    <w:abstractNumId w:val="6"/>
  </w:num>
  <w:num w:numId="4">
    <w:abstractNumId w:val="4"/>
  </w:num>
  <w:num w:numId="5">
    <w:abstractNumId w:val="16"/>
  </w:num>
  <w:num w:numId="6">
    <w:abstractNumId w:val="12"/>
  </w:num>
  <w:num w:numId="7">
    <w:abstractNumId w:val="1"/>
  </w:num>
  <w:num w:numId="8">
    <w:abstractNumId w:val="19"/>
  </w:num>
  <w:num w:numId="9">
    <w:abstractNumId w:val="9"/>
  </w:num>
  <w:num w:numId="10">
    <w:abstractNumId w:val="11"/>
  </w:num>
  <w:num w:numId="11">
    <w:abstractNumId w:val="7"/>
  </w:num>
  <w:num w:numId="12">
    <w:abstractNumId w:val="5"/>
  </w:num>
  <w:num w:numId="13">
    <w:abstractNumId w:val="17"/>
  </w:num>
  <w:num w:numId="14">
    <w:abstractNumId w:val="14"/>
  </w:num>
  <w:num w:numId="15">
    <w:abstractNumId w:val="3"/>
  </w:num>
  <w:num w:numId="16">
    <w:abstractNumId w:val="0"/>
  </w:num>
  <w:num w:numId="17">
    <w:abstractNumId w:val="15"/>
  </w:num>
  <w:num w:numId="18">
    <w:abstractNumId w:val="2"/>
  </w:num>
  <w:num w:numId="19">
    <w:abstractNumId w:val="18"/>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101378">
      <o:colormenu v:ext="edit" strokecolor="none"/>
    </o:shapedefaults>
  </w:hdrShapeDefaults>
  <w:footnotePr>
    <w:footnote w:id="0"/>
    <w:footnote w:id="1"/>
  </w:footnotePr>
  <w:endnotePr>
    <w:endnote w:id="0"/>
    <w:endnote w:id="1"/>
  </w:endnotePr>
  <w:compat/>
  <w:rsids>
    <w:rsidRoot w:val="00DA0BFD"/>
    <w:rsid w:val="00000F56"/>
    <w:rsid w:val="000024D2"/>
    <w:rsid w:val="00006E6D"/>
    <w:rsid w:val="000071C7"/>
    <w:rsid w:val="00011D87"/>
    <w:rsid w:val="00012735"/>
    <w:rsid w:val="00016A02"/>
    <w:rsid w:val="00017135"/>
    <w:rsid w:val="00017C5A"/>
    <w:rsid w:val="0002256C"/>
    <w:rsid w:val="0002637E"/>
    <w:rsid w:val="000323E5"/>
    <w:rsid w:val="00037CA0"/>
    <w:rsid w:val="00050DDB"/>
    <w:rsid w:val="00052908"/>
    <w:rsid w:val="00054555"/>
    <w:rsid w:val="00054948"/>
    <w:rsid w:val="00054E11"/>
    <w:rsid w:val="000556E5"/>
    <w:rsid w:val="00062AD7"/>
    <w:rsid w:val="000659EE"/>
    <w:rsid w:val="0007149F"/>
    <w:rsid w:val="0007170D"/>
    <w:rsid w:val="0007785A"/>
    <w:rsid w:val="00082782"/>
    <w:rsid w:val="00082E50"/>
    <w:rsid w:val="00084AA1"/>
    <w:rsid w:val="00084DA8"/>
    <w:rsid w:val="00085D7F"/>
    <w:rsid w:val="00086DAE"/>
    <w:rsid w:val="0009350C"/>
    <w:rsid w:val="000A34F7"/>
    <w:rsid w:val="000A47FF"/>
    <w:rsid w:val="000B4D79"/>
    <w:rsid w:val="000C41D1"/>
    <w:rsid w:val="000C7F05"/>
    <w:rsid w:val="000D4466"/>
    <w:rsid w:val="000D5EF1"/>
    <w:rsid w:val="000E22B8"/>
    <w:rsid w:val="000F16E9"/>
    <w:rsid w:val="000F195F"/>
    <w:rsid w:val="000F19CB"/>
    <w:rsid w:val="000F2D35"/>
    <w:rsid w:val="000F3F0C"/>
    <w:rsid w:val="000F6056"/>
    <w:rsid w:val="000F702C"/>
    <w:rsid w:val="00104091"/>
    <w:rsid w:val="00110814"/>
    <w:rsid w:val="00110D14"/>
    <w:rsid w:val="001112AF"/>
    <w:rsid w:val="00111C47"/>
    <w:rsid w:val="00111DE4"/>
    <w:rsid w:val="001134F8"/>
    <w:rsid w:val="00115FC7"/>
    <w:rsid w:val="0012319F"/>
    <w:rsid w:val="00126C89"/>
    <w:rsid w:val="00133179"/>
    <w:rsid w:val="0014130C"/>
    <w:rsid w:val="0014372D"/>
    <w:rsid w:val="0014471F"/>
    <w:rsid w:val="001458CF"/>
    <w:rsid w:val="0015020F"/>
    <w:rsid w:val="001525A3"/>
    <w:rsid w:val="00152820"/>
    <w:rsid w:val="0015332A"/>
    <w:rsid w:val="001534E7"/>
    <w:rsid w:val="00154342"/>
    <w:rsid w:val="001543CF"/>
    <w:rsid w:val="001553DC"/>
    <w:rsid w:val="001604C6"/>
    <w:rsid w:val="00160D89"/>
    <w:rsid w:val="00161FAF"/>
    <w:rsid w:val="00164333"/>
    <w:rsid w:val="0017387C"/>
    <w:rsid w:val="00177F0F"/>
    <w:rsid w:val="0018094B"/>
    <w:rsid w:val="00183B7E"/>
    <w:rsid w:val="00185D37"/>
    <w:rsid w:val="00190D66"/>
    <w:rsid w:val="001919BB"/>
    <w:rsid w:val="001947F6"/>
    <w:rsid w:val="001948C6"/>
    <w:rsid w:val="001A52CA"/>
    <w:rsid w:val="001A573F"/>
    <w:rsid w:val="001B1FE6"/>
    <w:rsid w:val="001B3CB0"/>
    <w:rsid w:val="001B5EFC"/>
    <w:rsid w:val="001B65DA"/>
    <w:rsid w:val="001C3DBD"/>
    <w:rsid w:val="001D10B4"/>
    <w:rsid w:val="001D2037"/>
    <w:rsid w:val="001D3822"/>
    <w:rsid w:val="001D51DF"/>
    <w:rsid w:val="001E05A6"/>
    <w:rsid w:val="001E0B71"/>
    <w:rsid w:val="001E2699"/>
    <w:rsid w:val="001E28D8"/>
    <w:rsid w:val="001E2DA0"/>
    <w:rsid w:val="001E5075"/>
    <w:rsid w:val="001E67EC"/>
    <w:rsid w:val="001F5840"/>
    <w:rsid w:val="0020169F"/>
    <w:rsid w:val="0020174D"/>
    <w:rsid w:val="00201B4F"/>
    <w:rsid w:val="00202837"/>
    <w:rsid w:val="0020458F"/>
    <w:rsid w:val="002052B6"/>
    <w:rsid w:val="002122A5"/>
    <w:rsid w:val="00212E42"/>
    <w:rsid w:val="002233A7"/>
    <w:rsid w:val="00234579"/>
    <w:rsid w:val="00234901"/>
    <w:rsid w:val="00237CAB"/>
    <w:rsid w:val="00241DAB"/>
    <w:rsid w:val="00242539"/>
    <w:rsid w:val="0024533A"/>
    <w:rsid w:val="0025251C"/>
    <w:rsid w:val="00256B71"/>
    <w:rsid w:val="002624B8"/>
    <w:rsid w:val="00263EA7"/>
    <w:rsid w:val="0026407B"/>
    <w:rsid w:val="00270810"/>
    <w:rsid w:val="00274BF8"/>
    <w:rsid w:val="00280D00"/>
    <w:rsid w:val="002856E6"/>
    <w:rsid w:val="0029668F"/>
    <w:rsid w:val="002A25DB"/>
    <w:rsid w:val="002A4B99"/>
    <w:rsid w:val="002A6FBB"/>
    <w:rsid w:val="002A70E0"/>
    <w:rsid w:val="002D198A"/>
    <w:rsid w:val="002D7B2C"/>
    <w:rsid w:val="002E7F1F"/>
    <w:rsid w:val="002F086F"/>
    <w:rsid w:val="002F6BAB"/>
    <w:rsid w:val="00303082"/>
    <w:rsid w:val="003240BD"/>
    <w:rsid w:val="00324780"/>
    <w:rsid w:val="00327371"/>
    <w:rsid w:val="00341A96"/>
    <w:rsid w:val="00342421"/>
    <w:rsid w:val="00342516"/>
    <w:rsid w:val="00344EE8"/>
    <w:rsid w:val="003547D8"/>
    <w:rsid w:val="0035527C"/>
    <w:rsid w:val="0035645D"/>
    <w:rsid w:val="00360034"/>
    <w:rsid w:val="0036130E"/>
    <w:rsid w:val="0036734E"/>
    <w:rsid w:val="00367379"/>
    <w:rsid w:val="00370F26"/>
    <w:rsid w:val="00373630"/>
    <w:rsid w:val="00390F56"/>
    <w:rsid w:val="003934DF"/>
    <w:rsid w:val="003A163F"/>
    <w:rsid w:val="003A70E2"/>
    <w:rsid w:val="003B02D4"/>
    <w:rsid w:val="003B209F"/>
    <w:rsid w:val="003C14A4"/>
    <w:rsid w:val="003C3446"/>
    <w:rsid w:val="003C63A3"/>
    <w:rsid w:val="003C6434"/>
    <w:rsid w:val="003D04DA"/>
    <w:rsid w:val="003D1047"/>
    <w:rsid w:val="003D18F1"/>
    <w:rsid w:val="003E0024"/>
    <w:rsid w:val="003E0378"/>
    <w:rsid w:val="003F0A46"/>
    <w:rsid w:val="003F41C3"/>
    <w:rsid w:val="003F7076"/>
    <w:rsid w:val="00403191"/>
    <w:rsid w:val="004050B5"/>
    <w:rsid w:val="0040784A"/>
    <w:rsid w:val="00413128"/>
    <w:rsid w:val="00414AD3"/>
    <w:rsid w:val="00420829"/>
    <w:rsid w:val="00431D8A"/>
    <w:rsid w:val="00440E19"/>
    <w:rsid w:val="00444094"/>
    <w:rsid w:val="0044428B"/>
    <w:rsid w:val="00445C11"/>
    <w:rsid w:val="00457620"/>
    <w:rsid w:val="004607B8"/>
    <w:rsid w:val="004625FB"/>
    <w:rsid w:val="004705F5"/>
    <w:rsid w:val="0047284A"/>
    <w:rsid w:val="00474C8D"/>
    <w:rsid w:val="00477479"/>
    <w:rsid w:val="00481F63"/>
    <w:rsid w:val="00487BF3"/>
    <w:rsid w:val="00487CC4"/>
    <w:rsid w:val="00490CFA"/>
    <w:rsid w:val="00492CF5"/>
    <w:rsid w:val="004A137B"/>
    <w:rsid w:val="004A5524"/>
    <w:rsid w:val="004B0275"/>
    <w:rsid w:val="004B0DB8"/>
    <w:rsid w:val="004B39B7"/>
    <w:rsid w:val="004C08EB"/>
    <w:rsid w:val="004C0C82"/>
    <w:rsid w:val="004C21A9"/>
    <w:rsid w:val="004C4864"/>
    <w:rsid w:val="004C48AA"/>
    <w:rsid w:val="004D2470"/>
    <w:rsid w:val="004D2E2D"/>
    <w:rsid w:val="004D6CA0"/>
    <w:rsid w:val="004D716F"/>
    <w:rsid w:val="004E1A73"/>
    <w:rsid w:val="004E1C86"/>
    <w:rsid w:val="004E693A"/>
    <w:rsid w:val="004E73D8"/>
    <w:rsid w:val="004F0FEC"/>
    <w:rsid w:val="004F6D7F"/>
    <w:rsid w:val="00500620"/>
    <w:rsid w:val="00514EA1"/>
    <w:rsid w:val="00522F26"/>
    <w:rsid w:val="00524300"/>
    <w:rsid w:val="005271B6"/>
    <w:rsid w:val="00527514"/>
    <w:rsid w:val="00530280"/>
    <w:rsid w:val="00541873"/>
    <w:rsid w:val="00550E30"/>
    <w:rsid w:val="00551EE9"/>
    <w:rsid w:val="00552571"/>
    <w:rsid w:val="00554161"/>
    <w:rsid w:val="00554592"/>
    <w:rsid w:val="00557879"/>
    <w:rsid w:val="00566AA0"/>
    <w:rsid w:val="00567BAE"/>
    <w:rsid w:val="00571F96"/>
    <w:rsid w:val="005829EA"/>
    <w:rsid w:val="00584DA7"/>
    <w:rsid w:val="0058532C"/>
    <w:rsid w:val="00590955"/>
    <w:rsid w:val="005A32C4"/>
    <w:rsid w:val="005A56C7"/>
    <w:rsid w:val="005A6640"/>
    <w:rsid w:val="005B1125"/>
    <w:rsid w:val="005B3579"/>
    <w:rsid w:val="005C1F96"/>
    <w:rsid w:val="005C51C0"/>
    <w:rsid w:val="005D3503"/>
    <w:rsid w:val="005D5103"/>
    <w:rsid w:val="005D5855"/>
    <w:rsid w:val="005D6891"/>
    <w:rsid w:val="005E031D"/>
    <w:rsid w:val="005E4701"/>
    <w:rsid w:val="005F3055"/>
    <w:rsid w:val="005F3703"/>
    <w:rsid w:val="005F3D47"/>
    <w:rsid w:val="005F4DA2"/>
    <w:rsid w:val="005F4EEF"/>
    <w:rsid w:val="005F56D8"/>
    <w:rsid w:val="006027EF"/>
    <w:rsid w:val="006107E5"/>
    <w:rsid w:val="006158E0"/>
    <w:rsid w:val="006162F2"/>
    <w:rsid w:val="00616BED"/>
    <w:rsid w:val="006201D0"/>
    <w:rsid w:val="00623B00"/>
    <w:rsid w:val="006323AB"/>
    <w:rsid w:val="00641A64"/>
    <w:rsid w:val="00642BA6"/>
    <w:rsid w:val="0064728B"/>
    <w:rsid w:val="006473FD"/>
    <w:rsid w:val="00651D60"/>
    <w:rsid w:val="00657DF2"/>
    <w:rsid w:val="00662838"/>
    <w:rsid w:val="006642F4"/>
    <w:rsid w:val="006668FF"/>
    <w:rsid w:val="006727B8"/>
    <w:rsid w:val="00676D28"/>
    <w:rsid w:val="00680304"/>
    <w:rsid w:val="006808AC"/>
    <w:rsid w:val="00680DA1"/>
    <w:rsid w:val="00685313"/>
    <w:rsid w:val="00692ECB"/>
    <w:rsid w:val="00693EB9"/>
    <w:rsid w:val="00694874"/>
    <w:rsid w:val="006A02C1"/>
    <w:rsid w:val="006A4F59"/>
    <w:rsid w:val="006A6267"/>
    <w:rsid w:val="006B2A4A"/>
    <w:rsid w:val="006B52FA"/>
    <w:rsid w:val="006C0EA0"/>
    <w:rsid w:val="006C784C"/>
    <w:rsid w:val="006D2DEC"/>
    <w:rsid w:val="006D6DA8"/>
    <w:rsid w:val="006E0CFE"/>
    <w:rsid w:val="006E3B31"/>
    <w:rsid w:val="006F068C"/>
    <w:rsid w:val="006F44CA"/>
    <w:rsid w:val="006F4CCF"/>
    <w:rsid w:val="00703B4C"/>
    <w:rsid w:val="0070748C"/>
    <w:rsid w:val="0071503E"/>
    <w:rsid w:val="00717F3E"/>
    <w:rsid w:val="00717F50"/>
    <w:rsid w:val="00722C08"/>
    <w:rsid w:val="00724ADA"/>
    <w:rsid w:val="007320F7"/>
    <w:rsid w:val="007475BF"/>
    <w:rsid w:val="00752118"/>
    <w:rsid w:val="00761EBA"/>
    <w:rsid w:val="00763F5F"/>
    <w:rsid w:val="0076751F"/>
    <w:rsid w:val="007676F1"/>
    <w:rsid w:val="00775A17"/>
    <w:rsid w:val="00780E6E"/>
    <w:rsid w:val="00783143"/>
    <w:rsid w:val="007863AC"/>
    <w:rsid w:val="00790B3D"/>
    <w:rsid w:val="007A5C05"/>
    <w:rsid w:val="007A6AE4"/>
    <w:rsid w:val="007B2C58"/>
    <w:rsid w:val="007B56AE"/>
    <w:rsid w:val="007C198D"/>
    <w:rsid w:val="007C325A"/>
    <w:rsid w:val="007D2567"/>
    <w:rsid w:val="007D7B59"/>
    <w:rsid w:val="007E16D5"/>
    <w:rsid w:val="007E4457"/>
    <w:rsid w:val="007E71F5"/>
    <w:rsid w:val="007E76AC"/>
    <w:rsid w:val="007F3087"/>
    <w:rsid w:val="007F606D"/>
    <w:rsid w:val="007F7383"/>
    <w:rsid w:val="00804CA1"/>
    <w:rsid w:val="00820F10"/>
    <w:rsid w:val="008257EF"/>
    <w:rsid w:val="00832EBE"/>
    <w:rsid w:val="00835EEE"/>
    <w:rsid w:val="008374B5"/>
    <w:rsid w:val="00847F22"/>
    <w:rsid w:val="00861D99"/>
    <w:rsid w:val="00863F3A"/>
    <w:rsid w:val="00865449"/>
    <w:rsid w:val="00867E1B"/>
    <w:rsid w:val="0087107B"/>
    <w:rsid w:val="00884120"/>
    <w:rsid w:val="00887359"/>
    <w:rsid w:val="00895FDB"/>
    <w:rsid w:val="00896767"/>
    <w:rsid w:val="008A0742"/>
    <w:rsid w:val="008A1C5C"/>
    <w:rsid w:val="008A2177"/>
    <w:rsid w:val="008A3634"/>
    <w:rsid w:val="008A5903"/>
    <w:rsid w:val="008A64B1"/>
    <w:rsid w:val="008A70FC"/>
    <w:rsid w:val="008A767D"/>
    <w:rsid w:val="008B1482"/>
    <w:rsid w:val="008B2E16"/>
    <w:rsid w:val="008C0143"/>
    <w:rsid w:val="008C3421"/>
    <w:rsid w:val="008C4A97"/>
    <w:rsid w:val="008C727D"/>
    <w:rsid w:val="008D06D8"/>
    <w:rsid w:val="008E435C"/>
    <w:rsid w:val="008E5E65"/>
    <w:rsid w:val="008E724C"/>
    <w:rsid w:val="008F3169"/>
    <w:rsid w:val="00911BE1"/>
    <w:rsid w:val="00911E9E"/>
    <w:rsid w:val="00911FF3"/>
    <w:rsid w:val="00913276"/>
    <w:rsid w:val="00915897"/>
    <w:rsid w:val="009170C7"/>
    <w:rsid w:val="00917250"/>
    <w:rsid w:val="0092114B"/>
    <w:rsid w:val="009229AE"/>
    <w:rsid w:val="00931C6B"/>
    <w:rsid w:val="009327EF"/>
    <w:rsid w:val="00935A36"/>
    <w:rsid w:val="009462B2"/>
    <w:rsid w:val="009462F1"/>
    <w:rsid w:val="00947421"/>
    <w:rsid w:val="00960300"/>
    <w:rsid w:val="00962480"/>
    <w:rsid w:val="00963CF4"/>
    <w:rsid w:val="009679F4"/>
    <w:rsid w:val="00970E71"/>
    <w:rsid w:val="0097317E"/>
    <w:rsid w:val="009850DA"/>
    <w:rsid w:val="00986221"/>
    <w:rsid w:val="0099369B"/>
    <w:rsid w:val="009957C5"/>
    <w:rsid w:val="009B3C18"/>
    <w:rsid w:val="009B6217"/>
    <w:rsid w:val="009C5D88"/>
    <w:rsid w:val="009C6A70"/>
    <w:rsid w:val="009C7089"/>
    <w:rsid w:val="009C741B"/>
    <w:rsid w:val="009C7BEB"/>
    <w:rsid w:val="009C7F04"/>
    <w:rsid w:val="009D0B0E"/>
    <w:rsid w:val="009D5FE6"/>
    <w:rsid w:val="009D765A"/>
    <w:rsid w:val="009E553F"/>
    <w:rsid w:val="009F160A"/>
    <w:rsid w:val="009F2883"/>
    <w:rsid w:val="009F44EE"/>
    <w:rsid w:val="009F65F4"/>
    <w:rsid w:val="00A0077E"/>
    <w:rsid w:val="00A101D2"/>
    <w:rsid w:val="00A1251E"/>
    <w:rsid w:val="00A12BA0"/>
    <w:rsid w:val="00A171C4"/>
    <w:rsid w:val="00A17A93"/>
    <w:rsid w:val="00A201A1"/>
    <w:rsid w:val="00A22656"/>
    <w:rsid w:val="00A24D08"/>
    <w:rsid w:val="00A3033F"/>
    <w:rsid w:val="00A3420E"/>
    <w:rsid w:val="00A34EC2"/>
    <w:rsid w:val="00A36EC6"/>
    <w:rsid w:val="00A37CCC"/>
    <w:rsid w:val="00A37DD3"/>
    <w:rsid w:val="00A41DE5"/>
    <w:rsid w:val="00A43AC2"/>
    <w:rsid w:val="00A475FA"/>
    <w:rsid w:val="00A52042"/>
    <w:rsid w:val="00A63FF1"/>
    <w:rsid w:val="00A64B6B"/>
    <w:rsid w:val="00A80119"/>
    <w:rsid w:val="00A842BF"/>
    <w:rsid w:val="00A85DEC"/>
    <w:rsid w:val="00A865B7"/>
    <w:rsid w:val="00A87065"/>
    <w:rsid w:val="00A9138B"/>
    <w:rsid w:val="00A91AC7"/>
    <w:rsid w:val="00A9294C"/>
    <w:rsid w:val="00A94540"/>
    <w:rsid w:val="00A96949"/>
    <w:rsid w:val="00A96B64"/>
    <w:rsid w:val="00A96D04"/>
    <w:rsid w:val="00AA3BBF"/>
    <w:rsid w:val="00AA45A1"/>
    <w:rsid w:val="00AA7F77"/>
    <w:rsid w:val="00AB3F3E"/>
    <w:rsid w:val="00AB3FCC"/>
    <w:rsid w:val="00AB5DB9"/>
    <w:rsid w:val="00AC2814"/>
    <w:rsid w:val="00AC5B99"/>
    <w:rsid w:val="00AC5CA2"/>
    <w:rsid w:val="00AC70D0"/>
    <w:rsid w:val="00AD1A75"/>
    <w:rsid w:val="00AD56B6"/>
    <w:rsid w:val="00AD61A8"/>
    <w:rsid w:val="00AD6ECD"/>
    <w:rsid w:val="00AD7296"/>
    <w:rsid w:val="00AD790A"/>
    <w:rsid w:val="00AE2B65"/>
    <w:rsid w:val="00AE31F0"/>
    <w:rsid w:val="00AE3A0D"/>
    <w:rsid w:val="00AF3DAA"/>
    <w:rsid w:val="00AF4519"/>
    <w:rsid w:val="00AF7736"/>
    <w:rsid w:val="00B00971"/>
    <w:rsid w:val="00B0370C"/>
    <w:rsid w:val="00B039C0"/>
    <w:rsid w:val="00B07068"/>
    <w:rsid w:val="00B10E25"/>
    <w:rsid w:val="00B132B6"/>
    <w:rsid w:val="00B137F7"/>
    <w:rsid w:val="00B13CA4"/>
    <w:rsid w:val="00B14355"/>
    <w:rsid w:val="00B14CA4"/>
    <w:rsid w:val="00B17641"/>
    <w:rsid w:val="00B35838"/>
    <w:rsid w:val="00B40266"/>
    <w:rsid w:val="00B406C7"/>
    <w:rsid w:val="00B41E0E"/>
    <w:rsid w:val="00B42E9B"/>
    <w:rsid w:val="00B44EFA"/>
    <w:rsid w:val="00B4533F"/>
    <w:rsid w:val="00B50A1B"/>
    <w:rsid w:val="00B513F5"/>
    <w:rsid w:val="00B56942"/>
    <w:rsid w:val="00B56977"/>
    <w:rsid w:val="00B60086"/>
    <w:rsid w:val="00B65294"/>
    <w:rsid w:val="00B677CF"/>
    <w:rsid w:val="00B732BD"/>
    <w:rsid w:val="00B73DE7"/>
    <w:rsid w:val="00B755E6"/>
    <w:rsid w:val="00B83C3F"/>
    <w:rsid w:val="00B8736E"/>
    <w:rsid w:val="00B922FD"/>
    <w:rsid w:val="00B92662"/>
    <w:rsid w:val="00B928DF"/>
    <w:rsid w:val="00B941E3"/>
    <w:rsid w:val="00B94BBD"/>
    <w:rsid w:val="00B94F03"/>
    <w:rsid w:val="00BA5198"/>
    <w:rsid w:val="00BA5637"/>
    <w:rsid w:val="00BB0247"/>
    <w:rsid w:val="00BB43A2"/>
    <w:rsid w:val="00BB5302"/>
    <w:rsid w:val="00BB6F4B"/>
    <w:rsid w:val="00BB78F0"/>
    <w:rsid w:val="00BC2343"/>
    <w:rsid w:val="00BC3576"/>
    <w:rsid w:val="00BC4BC6"/>
    <w:rsid w:val="00BC6ECC"/>
    <w:rsid w:val="00BD0BAE"/>
    <w:rsid w:val="00BD1DCE"/>
    <w:rsid w:val="00BE4AC6"/>
    <w:rsid w:val="00BE6696"/>
    <w:rsid w:val="00BE7470"/>
    <w:rsid w:val="00BF395A"/>
    <w:rsid w:val="00C00B56"/>
    <w:rsid w:val="00C03497"/>
    <w:rsid w:val="00C0570B"/>
    <w:rsid w:val="00C05B3C"/>
    <w:rsid w:val="00C0644F"/>
    <w:rsid w:val="00C066AB"/>
    <w:rsid w:val="00C10F5C"/>
    <w:rsid w:val="00C15F3A"/>
    <w:rsid w:val="00C16986"/>
    <w:rsid w:val="00C1751E"/>
    <w:rsid w:val="00C2557F"/>
    <w:rsid w:val="00C32F74"/>
    <w:rsid w:val="00C3648C"/>
    <w:rsid w:val="00C379C7"/>
    <w:rsid w:val="00C37AF8"/>
    <w:rsid w:val="00C41FEC"/>
    <w:rsid w:val="00C4286D"/>
    <w:rsid w:val="00C47ACE"/>
    <w:rsid w:val="00C47DB9"/>
    <w:rsid w:val="00C52770"/>
    <w:rsid w:val="00C5449E"/>
    <w:rsid w:val="00C620F3"/>
    <w:rsid w:val="00C73CDF"/>
    <w:rsid w:val="00C816F5"/>
    <w:rsid w:val="00C820F5"/>
    <w:rsid w:val="00C86806"/>
    <w:rsid w:val="00CA080A"/>
    <w:rsid w:val="00CA12B0"/>
    <w:rsid w:val="00CA4F45"/>
    <w:rsid w:val="00CB0E98"/>
    <w:rsid w:val="00CB22E2"/>
    <w:rsid w:val="00CB758B"/>
    <w:rsid w:val="00CC1C08"/>
    <w:rsid w:val="00CC2B9C"/>
    <w:rsid w:val="00CC557F"/>
    <w:rsid w:val="00CC666B"/>
    <w:rsid w:val="00CC72FB"/>
    <w:rsid w:val="00CD290F"/>
    <w:rsid w:val="00CD5A98"/>
    <w:rsid w:val="00CE14C7"/>
    <w:rsid w:val="00CE310B"/>
    <w:rsid w:val="00CF0E89"/>
    <w:rsid w:val="00CF10A8"/>
    <w:rsid w:val="00CF34F1"/>
    <w:rsid w:val="00CF7D91"/>
    <w:rsid w:val="00D042AF"/>
    <w:rsid w:val="00D05959"/>
    <w:rsid w:val="00D15118"/>
    <w:rsid w:val="00D166C2"/>
    <w:rsid w:val="00D206B4"/>
    <w:rsid w:val="00D24EBA"/>
    <w:rsid w:val="00D257EB"/>
    <w:rsid w:val="00D353E9"/>
    <w:rsid w:val="00D369BF"/>
    <w:rsid w:val="00D36EAD"/>
    <w:rsid w:val="00D428F9"/>
    <w:rsid w:val="00D50173"/>
    <w:rsid w:val="00D52B4A"/>
    <w:rsid w:val="00D56F31"/>
    <w:rsid w:val="00D616A3"/>
    <w:rsid w:val="00D623A3"/>
    <w:rsid w:val="00D6299B"/>
    <w:rsid w:val="00D72AE9"/>
    <w:rsid w:val="00D74EDA"/>
    <w:rsid w:val="00D74FD1"/>
    <w:rsid w:val="00D752B9"/>
    <w:rsid w:val="00D762C5"/>
    <w:rsid w:val="00D7687D"/>
    <w:rsid w:val="00D76D58"/>
    <w:rsid w:val="00D81EE8"/>
    <w:rsid w:val="00D81F6C"/>
    <w:rsid w:val="00D85279"/>
    <w:rsid w:val="00D86FCB"/>
    <w:rsid w:val="00D94766"/>
    <w:rsid w:val="00D9720C"/>
    <w:rsid w:val="00DA0BFD"/>
    <w:rsid w:val="00DA1331"/>
    <w:rsid w:val="00DA4FD4"/>
    <w:rsid w:val="00DB00DE"/>
    <w:rsid w:val="00DB3B48"/>
    <w:rsid w:val="00DB51DE"/>
    <w:rsid w:val="00DB7855"/>
    <w:rsid w:val="00DC1903"/>
    <w:rsid w:val="00DC4E19"/>
    <w:rsid w:val="00DD04B4"/>
    <w:rsid w:val="00DD07E6"/>
    <w:rsid w:val="00DD2C40"/>
    <w:rsid w:val="00DD334E"/>
    <w:rsid w:val="00E00E0F"/>
    <w:rsid w:val="00E01129"/>
    <w:rsid w:val="00E03535"/>
    <w:rsid w:val="00E05479"/>
    <w:rsid w:val="00E05573"/>
    <w:rsid w:val="00E06124"/>
    <w:rsid w:val="00E113DF"/>
    <w:rsid w:val="00E15721"/>
    <w:rsid w:val="00E17169"/>
    <w:rsid w:val="00E26398"/>
    <w:rsid w:val="00E32439"/>
    <w:rsid w:val="00E32D92"/>
    <w:rsid w:val="00E33D7E"/>
    <w:rsid w:val="00E3643E"/>
    <w:rsid w:val="00E36FC4"/>
    <w:rsid w:val="00E41BF2"/>
    <w:rsid w:val="00E44325"/>
    <w:rsid w:val="00E45671"/>
    <w:rsid w:val="00E45C9E"/>
    <w:rsid w:val="00E50808"/>
    <w:rsid w:val="00E53EA4"/>
    <w:rsid w:val="00E56326"/>
    <w:rsid w:val="00E56578"/>
    <w:rsid w:val="00E6481F"/>
    <w:rsid w:val="00E65782"/>
    <w:rsid w:val="00E76BB1"/>
    <w:rsid w:val="00E77FF5"/>
    <w:rsid w:val="00E814E4"/>
    <w:rsid w:val="00E82337"/>
    <w:rsid w:val="00E87618"/>
    <w:rsid w:val="00E93F7E"/>
    <w:rsid w:val="00EA0FEC"/>
    <w:rsid w:val="00EA299C"/>
    <w:rsid w:val="00EA74F1"/>
    <w:rsid w:val="00EB19D9"/>
    <w:rsid w:val="00EB2F1A"/>
    <w:rsid w:val="00EB4B41"/>
    <w:rsid w:val="00EB4E16"/>
    <w:rsid w:val="00EB5795"/>
    <w:rsid w:val="00EC3B9F"/>
    <w:rsid w:val="00EC444F"/>
    <w:rsid w:val="00ED0E25"/>
    <w:rsid w:val="00ED117E"/>
    <w:rsid w:val="00ED18AF"/>
    <w:rsid w:val="00ED5D05"/>
    <w:rsid w:val="00ED6059"/>
    <w:rsid w:val="00ED6FE2"/>
    <w:rsid w:val="00EE3996"/>
    <w:rsid w:val="00EE477E"/>
    <w:rsid w:val="00EE638D"/>
    <w:rsid w:val="00EF05E6"/>
    <w:rsid w:val="00EF561A"/>
    <w:rsid w:val="00EF5CE2"/>
    <w:rsid w:val="00F04A42"/>
    <w:rsid w:val="00F113EA"/>
    <w:rsid w:val="00F120E0"/>
    <w:rsid w:val="00F20F72"/>
    <w:rsid w:val="00F215AC"/>
    <w:rsid w:val="00F21D9C"/>
    <w:rsid w:val="00F2477D"/>
    <w:rsid w:val="00F2629B"/>
    <w:rsid w:val="00F2796E"/>
    <w:rsid w:val="00F3347B"/>
    <w:rsid w:val="00F4118E"/>
    <w:rsid w:val="00F411DE"/>
    <w:rsid w:val="00F52494"/>
    <w:rsid w:val="00F524D2"/>
    <w:rsid w:val="00F53021"/>
    <w:rsid w:val="00F54778"/>
    <w:rsid w:val="00F56D8A"/>
    <w:rsid w:val="00F576CE"/>
    <w:rsid w:val="00F61171"/>
    <w:rsid w:val="00F65850"/>
    <w:rsid w:val="00F65D97"/>
    <w:rsid w:val="00F665A3"/>
    <w:rsid w:val="00F66A82"/>
    <w:rsid w:val="00F727D9"/>
    <w:rsid w:val="00F901F2"/>
    <w:rsid w:val="00F90C2C"/>
    <w:rsid w:val="00F91B38"/>
    <w:rsid w:val="00F9272C"/>
    <w:rsid w:val="00F95DCD"/>
    <w:rsid w:val="00FA3114"/>
    <w:rsid w:val="00FA72BB"/>
    <w:rsid w:val="00FB2A67"/>
    <w:rsid w:val="00FB41A9"/>
    <w:rsid w:val="00FB49EB"/>
    <w:rsid w:val="00FB6797"/>
    <w:rsid w:val="00FB7E68"/>
    <w:rsid w:val="00FC34EC"/>
    <w:rsid w:val="00FC54C6"/>
    <w:rsid w:val="00FD1081"/>
    <w:rsid w:val="00FD16CB"/>
    <w:rsid w:val="00FD3845"/>
    <w:rsid w:val="00FD3A40"/>
    <w:rsid w:val="00FD5227"/>
    <w:rsid w:val="00FD5833"/>
    <w:rsid w:val="00FD6E61"/>
    <w:rsid w:val="00FE2A3D"/>
    <w:rsid w:val="00FE3B40"/>
    <w:rsid w:val="00FE442E"/>
    <w:rsid w:val="00FF1416"/>
    <w:rsid w:val="00FF1AD6"/>
    <w:rsid w:val="00FF6680"/>
    <w:rsid w:val="00FF70F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137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9C0"/>
    <w:pPr>
      <w:spacing w:line="360" w:lineRule="auto"/>
      <w:jc w:val="both"/>
      <w:outlineLvl w:val="0"/>
    </w:pPr>
    <w:rPr>
      <w:rFonts w:asciiTheme="majorBidi" w:hAnsiTheme="majorBidi" w:cstheme="majorBidi"/>
      <w:sz w:val="24"/>
      <w:szCs w:val="24"/>
    </w:rPr>
  </w:style>
  <w:style w:type="paragraph" w:styleId="Heading1">
    <w:name w:val="heading 1"/>
    <w:basedOn w:val="Normal"/>
    <w:next w:val="Normal"/>
    <w:link w:val="Heading1Char"/>
    <w:uiPriority w:val="9"/>
    <w:qFormat/>
    <w:rsid w:val="00DA0BFD"/>
    <w:pPr>
      <w:keepNext/>
      <w:keepLines/>
      <w:spacing w:before="480" w:after="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C5449E"/>
    <w:pPr>
      <w:keepNext/>
      <w:keepLines/>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CA4F45"/>
    <w:pPr>
      <w:keepNext/>
      <w:keepLines/>
      <w:spacing w:before="200" w:after="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unhideWhenUsed/>
    <w:qFormat/>
    <w:rsid w:val="00F215AC"/>
    <w:pPr>
      <w:keepNext/>
      <w:keepLines/>
      <w:spacing w:before="200" w:after="0"/>
      <w:outlineLvl w:val="3"/>
    </w:pPr>
    <w:rPr>
      <w:rFonts w:asciiTheme="majorHAnsi" w:eastAsiaTheme="majorEastAsia" w:hAnsiTheme="majorHAns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B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44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A4F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215AC"/>
    <w:rPr>
      <w:rFonts w:asciiTheme="majorHAnsi" w:eastAsiaTheme="majorEastAsia" w:hAnsiTheme="majorHAnsi" w:cstheme="majorBidi"/>
      <w:b/>
      <w:bCs/>
      <w:i/>
      <w:iCs/>
      <w:color w:val="4F81BD" w:themeColor="accent1"/>
      <w:sz w:val="24"/>
      <w:szCs w:val="24"/>
    </w:rPr>
  </w:style>
  <w:style w:type="paragraph" w:styleId="Title">
    <w:name w:val="Title"/>
    <w:basedOn w:val="Normal"/>
    <w:link w:val="TitleChar"/>
    <w:qFormat/>
    <w:rsid w:val="00DA0BFD"/>
    <w:pPr>
      <w:widowControl w:val="0"/>
      <w:overflowPunct w:val="0"/>
      <w:autoSpaceDE w:val="0"/>
      <w:autoSpaceDN w:val="0"/>
      <w:adjustRightInd w:val="0"/>
      <w:spacing w:after="0" w:line="240" w:lineRule="auto"/>
      <w:jc w:val="center"/>
    </w:pPr>
    <w:rPr>
      <w:rFonts w:ascii="Times New Roman" w:eastAsia="Times New Roman" w:hAnsi="Times New Roman" w:cs="Times New Roman"/>
      <w:kern w:val="28"/>
      <w:lang w:val="en-US"/>
    </w:rPr>
  </w:style>
  <w:style w:type="character" w:customStyle="1" w:styleId="TitleChar">
    <w:name w:val="Title Char"/>
    <w:basedOn w:val="DefaultParagraphFont"/>
    <w:link w:val="Title"/>
    <w:rsid w:val="00DA0BFD"/>
    <w:rPr>
      <w:rFonts w:ascii="Times New Roman" w:eastAsia="Times New Roman" w:hAnsi="Times New Roman" w:cs="Times New Roman"/>
      <w:kern w:val="28"/>
      <w:sz w:val="24"/>
      <w:szCs w:val="24"/>
      <w:lang w:val="en-US"/>
    </w:rPr>
  </w:style>
  <w:style w:type="paragraph" w:customStyle="1" w:styleId="Default">
    <w:name w:val="Default"/>
    <w:rsid w:val="00717F5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17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F50"/>
    <w:rPr>
      <w:rFonts w:ascii="Tahoma" w:hAnsi="Tahoma" w:cs="Tahoma"/>
      <w:sz w:val="16"/>
      <w:szCs w:val="16"/>
    </w:rPr>
  </w:style>
  <w:style w:type="paragraph" w:styleId="ListParagraph">
    <w:name w:val="List Paragraph"/>
    <w:basedOn w:val="Normal"/>
    <w:uiPriority w:val="99"/>
    <w:qFormat/>
    <w:rsid w:val="00A0077E"/>
    <w:pPr>
      <w:spacing w:after="0" w:line="240" w:lineRule="auto"/>
      <w:ind w:left="720"/>
      <w:contextualSpacing/>
    </w:pPr>
    <w:rPr>
      <w:rFonts w:ascii="Times New Roman" w:eastAsia="Times New Roman" w:hAnsi="Times New Roman" w:cs="Times New Roman"/>
      <w:lang w:eastAsia="en-CA"/>
    </w:rPr>
  </w:style>
  <w:style w:type="character" w:styleId="PlaceholderText">
    <w:name w:val="Placeholder Text"/>
    <w:basedOn w:val="DefaultParagraphFont"/>
    <w:uiPriority w:val="99"/>
    <w:semiHidden/>
    <w:rsid w:val="002D7B2C"/>
    <w:rPr>
      <w:color w:val="808080"/>
    </w:rPr>
  </w:style>
  <w:style w:type="paragraph" w:styleId="NormalWeb">
    <w:name w:val="Normal (Web)"/>
    <w:basedOn w:val="Normal"/>
    <w:uiPriority w:val="99"/>
    <w:semiHidden/>
    <w:unhideWhenUsed/>
    <w:rsid w:val="00D752B9"/>
    <w:pPr>
      <w:spacing w:before="100" w:beforeAutospacing="1" w:after="100" w:afterAutospacing="1" w:line="240" w:lineRule="auto"/>
    </w:pPr>
    <w:rPr>
      <w:rFonts w:ascii="Times New Roman" w:eastAsia="Times New Roman" w:hAnsi="Times New Roman" w:cs="Times New Roman"/>
      <w:lang w:eastAsia="en-CA"/>
    </w:rPr>
  </w:style>
  <w:style w:type="paragraph" w:styleId="Header">
    <w:name w:val="header"/>
    <w:basedOn w:val="Normal"/>
    <w:link w:val="HeaderChar"/>
    <w:uiPriority w:val="99"/>
    <w:unhideWhenUsed/>
    <w:rsid w:val="000F7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02C"/>
  </w:style>
  <w:style w:type="paragraph" w:styleId="Footer">
    <w:name w:val="footer"/>
    <w:basedOn w:val="Normal"/>
    <w:link w:val="FooterChar"/>
    <w:uiPriority w:val="99"/>
    <w:unhideWhenUsed/>
    <w:rsid w:val="000F7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02C"/>
  </w:style>
  <w:style w:type="paragraph" w:styleId="EndnoteText">
    <w:name w:val="endnote text"/>
    <w:basedOn w:val="Normal"/>
    <w:link w:val="EndnoteTextChar"/>
    <w:uiPriority w:val="99"/>
    <w:semiHidden/>
    <w:unhideWhenUsed/>
    <w:rsid w:val="008257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57EF"/>
    <w:rPr>
      <w:sz w:val="20"/>
      <w:szCs w:val="20"/>
    </w:rPr>
  </w:style>
  <w:style w:type="character" w:styleId="EndnoteReference">
    <w:name w:val="endnote reference"/>
    <w:basedOn w:val="DefaultParagraphFont"/>
    <w:uiPriority w:val="99"/>
    <w:semiHidden/>
    <w:unhideWhenUsed/>
    <w:rsid w:val="008257EF"/>
    <w:rPr>
      <w:vertAlign w:val="superscript"/>
    </w:rPr>
  </w:style>
  <w:style w:type="paragraph" w:styleId="FootnoteText">
    <w:name w:val="footnote text"/>
    <w:basedOn w:val="Normal"/>
    <w:link w:val="FootnoteTextChar"/>
    <w:uiPriority w:val="99"/>
    <w:unhideWhenUsed/>
    <w:rsid w:val="008257EF"/>
    <w:pPr>
      <w:spacing w:after="0" w:line="240" w:lineRule="auto"/>
    </w:pPr>
    <w:rPr>
      <w:sz w:val="20"/>
      <w:szCs w:val="20"/>
    </w:rPr>
  </w:style>
  <w:style w:type="character" w:customStyle="1" w:styleId="FootnoteTextChar">
    <w:name w:val="Footnote Text Char"/>
    <w:basedOn w:val="DefaultParagraphFont"/>
    <w:link w:val="FootnoteText"/>
    <w:uiPriority w:val="99"/>
    <w:rsid w:val="008257EF"/>
    <w:rPr>
      <w:sz w:val="20"/>
      <w:szCs w:val="20"/>
    </w:rPr>
  </w:style>
  <w:style w:type="character" w:styleId="FootnoteReference">
    <w:name w:val="footnote reference"/>
    <w:basedOn w:val="DefaultParagraphFont"/>
    <w:uiPriority w:val="99"/>
    <w:semiHidden/>
    <w:unhideWhenUsed/>
    <w:rsid w:val="008257EF"/>
    <w:rPr>
      <w:vertAlign w:val="superscript"/>
    </w:rPr>
  </w:style>
  <w:style w:type="character" w:customStyle="1" w:styleId="apple-converted-space">
    <w:name w:val="apple-converted-space"/>
    <w:basedOn w:val="DefaultParagraphFont"/>
    <w:rsid w:val="008257EF"/>
  </w:style>
  <w:style w:type="character" w:styleId="Hyperlink">
    <w:name w:val="Hyperlink"/>
    <w:basedOn w:val="DefaultParagraphFont"/>
    <w:uiPriority w:val="99"/>
    <w:unhideWhenUsed/>
    <w:rsid w:val="008257EF"/>
    <w:rPr>
      <w:color w:val="0000FF"/>
      <w:u w:val="single"/>
    </w:rPr>
  </w:style>
  <w:style w:type="paragraph" w:styleId="Bibliography">
    <w:name w:val="Bibliography"/>
    <w:basedOn w:val="Normal"/>
    <w:next w:val="Normal"/>
    <w:uiPriority w:val="37"/>
    <w:unhideWhenUsed/>
    <w:rsid w:val="00CB0E98"/>
  </w:style>
  <w:style w:type="character" w:styleId="FollowedHyperlink">
    <w:name w:val="FollowedHyperlink"/>
    <w:basedOn w:val="DefaultParagraphFont"/>
    <w:uiPriority w:val="99"/>
    <w:semiHidden/>
    <w:unhideWhenUsed/>
    <w:rsid w:val="00341A96"/>
    <w:rPr>
      <w:color w:val="800080"/>
      <w:u w:val="single"/>
    </w:rPr>
  </w:style>
  <w:style w:type="paragraph" w:customStyle="1" w:styleId="xl65">
    <w:name w:val="xl65"/>
    <w:basedOn w:val="Normal"/>
    <w:rsid w:val="00341A96"/>
    <w:pPr>
      <w:pBdr>
        <w:left w:val="single" w:sz="4" w:space="0" w:color="auto"/>
      </w:pBdr>
      <w:spacing w:before="100" w:beforeAutospacing="1" w:after="100" w:afterAutospacing="1" w:line="240" w:lineRule="auto"/>
      <w:jc w:val="left"/>
      <w:outlineLvl w:val="9"/>
    </w:pPr>
    <w:rPr>
      <w:rFonts w:ascii="Times New Roman" w:eastAsia="Times New Roman" w:hAnsi="Times New Roman" w:cs="Times New Roman"/>
      <w:lang w:eastAsia="en-CA"/>
    </w:rPr>
  </w:style>
  <w:style w:type="paragraph" w:customStyle="1" w:styleId="xl66">
    <w:name w:val="xl66"/>
    <w:basedOn w:val="Normal"/>
    <w:rsid w:val="00341A96"/>
    <w:pPr>
      <w:pBdr>
        <w:right w:val="single" w:sz="4" w:space="0" w:color="auto"/>
      </w:pBdr>
      <w:spacing w:before="100" w:beforeAutospacing="1" w:after="100" w:afterAutospacing="1" w:line="240" w:lineRule="auto"/>
      <w:jc w:val="left"/>
      <w:outlineLvl w:val="9"/>
    </w:pPr>
    <w:rPr>
      <w:rFonts w:ascii="Times New Roman" w:eastAsia="Times New Roman" w:hAnsi="Times New Roman" w:cs="Times New Roman"/>
      <w:lang w:eastAsia="en-CA"/>
    </w:rPr>
  </w:style>
  <w:style w:type="paragraph" w:customStyle="1" w:styleId="xl68">
    <w:name w:val="xl68"/>
    <w:basedOn w:val="Normal"/>
    <w:rsid w:val="00341A96"/>
    <w:pPr>
      <w:pBdr>
        <w:right w:val="single" w:sz="4" w:space="0" w:color="auto"/>
      </w:pBdr>
      <w:spacing w:before="100" w:beforeAutospacing="1" w:after="100" w:afterAutospacing="1" w:line="240" w:lineRule="auto"/>
      <w:jc w:val="center"/>
      <w:outlineLvl w:val="9"/>
    </w:pPr>
    <w:rPr>
      <w:rFonts w:ascii="Times New Roman" w:eastAsia="Times New Roman" w:hAnsi="Times New Roman" w:cs="Times New Roman"/>
      <w:lang w:eastAsia="en-CA"/>
    </w:rPr>
  </w:style>
  <w:style w:type="paragraph" w:customStyle="1" w:styleId="xl69">
    <w:name w:val="xl69"/>
    <w:basedOn w:val="Normal"/>
    <w:rsid w:val="00341A96"/>
    <w:pPr>
      <w:spacing w:before="100" w:beforeAutospacing="1" w:after="100" w:afterAutospacing="1" w:line="240" w:lineRule="auto"/>
      <w:jc w:val="center"/>
      <w:outlineLvl w:val="9"/>
    </w:pPr>
    <w:rPr>
      <w:rFonts w:ascii="Times New Roman" w:eastAsia="Times New Roman" w:hAnsi="Times New Roman" w:cs="Times New Roman"/>
      <w:lang w:eastAsia="en-CA"/>
    </w:rPr>
  </w:style>
  <w:style w:type="paragraph" w:customStyle="1" w:styleId="xl70">
    <w:name w:val="xl70"/>
    <w:basedOn w:val="Normal"/>
    <w:rsid w:val="00341A96"/>
    <w:pPr>
      <w:pBdr>
        <w:left w:val="single" w:sz="4" w:space="0" w:color="auto"/>
        <w:bottom w:val="single" w:sz="4" w:space="0" w:color="auto"/>
      </w:pBdr>
      <w:spacing w:before="100" w:beforeAutospacing="1" w:after="100" w:afterAutospacing="1" w:line="240" w:lineRule="auto"/>
      <w:jc w:val="left"/>
      <w:outlineLvl w:val="9"/>
    </w:pPr>
    <w:rPr>
      <w:rFonts w:ascii="Times New Roman" w:eastAsia="Times New Roman" w:hAnsi="Times New Roman" w:cs="Times New Roman"/>
      <w:lang w:eastAsia="en-CA"/>
    </w:rPr>
  </w:style>
  <w:style w:type="paragraph" w:customStyle="1" w:styleId="xl71">
    <w:name w:val="xl71"/>
    <w:basedOn w:val="Normal"/>
    <w:rsid w:val="00341A96"/>
    <w:pPr>
      <w:pBdr>
        <w:bottom w:val="single" w:sz="4" w:space="0" w:color="auto"/>
      </w:pBdr>
      <w:spacing w:before="100" w:beforeAutospacing="1" w:after="100" w:afterAutospacing="1" w:line="240" w:lineRule="auto"/>
      <w:jc w:val="center"/>
      <w:outlineLvl w:val="9"/>
    </w:pPr>
    <w:rPr>
      <w:rFonts w:ascii="Times New Roman" w:eastAsia="Times New Roman" w:hAnsi="Times New Roman" w:cs="Times New Roman"/>
      <w:lang w:eastAsia="en-CA"/>
    </w:rPr>
  </w:style>
  <w:style w:type="paragraph" w:customStyle="1" w:styleId="xl72">
    <w:name w:val="xl72"/>
    <w:basedOn w:val="Normal"/>
    <w:rsid w:val="00341A96"/>
    <w:pPr>
      <w:pBdr>
        <w:bottom w:val="single" w:sz="4" w:space="0" w:color="auto"/>
        <w:right w:val="single" w:sz="4" w:space="0" w:color="auto"/>
      </w:pBdr>
      <w:spacing w:before="100" w:beforeAutospacing="1" w:after="100" w:afterAutospacing="1" w:line="240" w:lineRule="auto"/>
      <w:jc w:val="center"/>
      <w:outlineLvl w:val="9"/>
    </w:pPr>
    <w:rPr>
      <w:rFonts w:ascii="Times New Roman" w:eastAsia="Times New Roman" w:hAnsi="Times New Roman" w:cs="Times New Roman"/>
      <w:lang w:eastAsia="en-CA"/>
    </w:rPr>
  </w:style>
  <w:style w:type="paragraph" w:customStyle="1" w:styleId="xl73">
    <w:name w:val="xl73"/>
    <w:basedOn w:val="Normal"/>
    <w:rsid w:val="00341A96"/>
    <w:pPr>
      <w:pBdr>
        <w:top w:val="single" w:sz="4" w:space="0" w:color="auto"/>
        <w:left w:val="single" w:sz="4" w:space="0" w:color="auto"/>
        <w:bottom w:val="double" w:sz="6" w:space="0" w:color="auto"/>
      </w:pBdr>
      <w:spacing w:before="100" w:beforeAutospacing="1" w:after="100" w:afterAutospacing="1" w:line="240" w:lineRule="auto"/>
      <w:jc w:val="left"/>
      <w:outlineLvl w:val="9"/>
    </w:pPr>
    <w:rPr>
      <w:rFonts w:ascii="Times New Roman" w:eastAsia="Times New Roman" w:hAnsi="Times New Roman" w:cs="Times New Roman"/>
      <w:lang w:eastAsia="en-CA"/>
    </w:rPr>
  </w:style>
  <w:style w:type="paragraph" w:customStyle="1" w:styleId="xl74">
    <w:name w:val="xl74"/>
    <w:basedOn w:val="Normal"/>
    <w:rsid w:val="00341A96"/>
    <w:pPr>
      <w:pBdr>
        <w:top w:val="single" w:sz="4" w:space="0" w:color="auto"/>
        <w:bottom w:val="double" w:sz="6" w:space="0" w:color="auto"/>
      </w:pBdr>
      <w:spacing w:before="100" w:beforeAutospacing="1" w:after="100" w:afterAutospacing="1" w:line="240" w:lineRule="auto"/>
      <w:jc w:val="left"/>
      <w:outlineLvl w:val="9"/>
    </w:pPr>
    <w:rPr>
      <w:rFonts w:ascii="Times New Roman" w:eastAsia="Times New Roman" w:hAnsi="Times New Roman" w:cs="Times New Roman"/>
      <w:lang w:eastAsia="en-CA"/>
    </w:rPr>
  </w:style>
  <w:style w:type="paragraph" w:customStyle="1" w:styleId="xl75">
    <w:name w:val="xl75"/>
    <w:basedOn w:val="Normal"/>
    <w:rsid w:val="00341A96"/>
    <w:pPr>
      <w:pBdr>
        <w:top w:val="single" w:sz="4" w:space="0" w:color="auto"/>
        <w:bottom w:val="double" w:sz="6" w:space="0" w:color="auto"/>
        <w:right w:val="single" w:sz="4" w:space="0" w:color="auto"/>
      </w:pBdr>
      <w:spacing w:before="100" w:beforeAutospacing="1" w:after="100" w:afterAutospacing="1" w:line="240" w:lineRule="auto"/>
      <w:jc w:val="left"/>
      <w:outlineLvl w:val="9"/>
    </w:pPr>
    <w:rPr>
      <w:rFonts w:ascii="Times New Roman" w:eastAsia="Times New Roman" w:hAnsi="Times New Roman" w:cs="Times New Roman"/>
      <w:lang w:eastAsia="en-CA"/>
    </w:rPr>
  </w:style>
  <w:style w:type="paragraph" w:customStyle="1" w:styleId="xl76">
    <w:name w:val="xl76"/>
    <w:basedOn w:val="Normal"/>
    <w:rsid w:val="00341A96"/>
    <w:pPr>
      <w:spacing w:before="100" w:beforeAutospacing="1" w:after="100" w:afterAutospacing="1" w:line="240" w:lineRule="auto"/>
      <w:jc w:val="center"/>
      <w:outlineLvl w:val="9"/>
    </w:pPr>
    <w:rPr>
      <w:rFonts w:ascii="Times New Roman" w:eastAsia="Times New Roman" w:hAnsi="Times New Roman" w:cs="Times New Roman"/>
      <w:lang w:eastAsia="en-CA"/>
    </w:rPr>
  </w:style>
  <w:style w:type="paragraph" w:customStyle="1" w:styleId="xl77">
    <w:name w:val="xl77"/>
    <w:basedOn w:val="Normal"/>
    <w:rsid w:val="00341A96"/>
    <w:pPr>
      <w:pBdr>
        <w:bottom w:val="single" w:sz="4" w:space="0" w:color="auto"/>
      </w:pBdr>
      <w:spacing w:before="100" w:beforeAutospacing="1" w:after="100" w:afterAutospacing="1" w:line="240" w:lineRule="auto"/>
      <w:jc w:val="center"/>
      <w:outlineLvl w:val="9"/>
    </w:pPr>
    <w:rPr>
      <w:rFonts w:ascii="Times New Roman" w:eastAsia="Times New Roman" w:hAnsi="Times New Roman" w:cs="Times New Roman"/>
      <w:lang w:eastAsia="en-CA"/>
    </w:rPr>
  </w:style>
  <w:style w:type="paragraph" w:styleId="Caption">
    <w:name w:val="caption"/>
    <w:basedOn w:val="Normal"/>
    <w:next w:val="Normal"/>
    <w:uiPriority w:val="35"/>
    <w:unhideWhenUsed/>
    <w:qFormat/>
    <w:rsid w:val="00C066AB"/>
    <w:pPr>
      <w:spacing w:line="240" w:lineRule="auto"/>
    </w:pPr>
    <w:rPr>
      <w:b/>
      <w:bCs/>
      <w:color w:val="4F81BD" w:themeColor="accent1"/>
      <w:sz w:val="18"/>
      <w:szCs w:val="18"/>
    </w:rPr>
  </w:style>
  <w:style w:type="table" w:styleId="TableGrid">
    <w:name w:val="Table Grid"/>
    <w:basedOn w:val="TableNormal"/>
    <w:uiPriority w:val="59"/>
    <w:rsid w:val="00C06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highlightclass">
    <w:name w:val="single_highlight_class"/>
    <w:basedOn w:val="DefaultParagraphFont"/>
    <w:rsid w:val="00E53EA4"/>
  </w:style>
</w:styles>
</file>

<file path=word/webSettings.xml><?xml version="1.0" encoding="utf-8"?>
<w:webSettings xmlns:r="http://schemas.openxmlformats.org/officeDocument/2006/relationships" xmlns:w="http://schemas.openxmlformats.org/wordprocessingml/2006/main">
  <w:divs>
    <w:div w:id="44136097">
      <w:bodyDiv w:val="1"/>
      <w:marLeft w:val="0"/>
      <w:marRight w:val="0"/>
      <w:marTop w:val="0"/>
      <w:marBottom w:val="0"/>
      <w:divBdr>
        <w:top w:val="none" w:sz="0" w:space="0" w:color="auto"/>
        <w:left w:val="none" w:sz="0" w:space="0" w:color="auto"/>
        <w:bottom w:val="none" w:sz="0" w:space="0" w:color="auto"/>
        <w:right w:val="none" w:sz="0" w:space="0" w:color="auto"/>
      </w:divBdr>
      <w:divsChild>
        <w:div w:id="2011830207">
          <w:marLeft w:val="547"/>
          <w:marRight w:val="0"/>
          <w:marTop w:val="120"/>
          <w:marBottom w:val="0"/>
          <w:divBdr>
            <w:top w:val="none" w:sz="0" w:space="0" w:color="auto"/>
            <w:left w:val="none" w:sz="0" w:space="0" w:color="auto"/>
            <w:bottom w:val="none" w:sz="0" w:space="0" w:color="auto"/>
            <w:right w:val="none" w:sz="0" w:space="0" w:color="auto"/>
          </w:divBdr>
        </w:div>
      </w:divsChild>
    </w:div>
    <w:div w:id="55592235">
      <w:bodyDiv w:val="1"/>
      <w:marLeft w:val="0"/>
      <w:marRight w:val="0"/>
      <w:marTop w:val="0"/>
      <w:marBottom w:val="0"/>
      <w:divBdr>
        <w:top w:val="none" w:sz="0" w:space="0" w:color="auto"/>
        <w:left w:val="none" w:sz="0" w:space="0" w:color="auto"/>
        <w:bottom w:val="none" w:sz="0" w:space="0" w:color="auto"/>
        <w:right w:val="none" w:sz="0" w:space="0" w:color="auto"/>
      </w:divBdr>
    </w:div>
    <w:div w:id="78985512">
      <w:bodyDiv w:val="1"/>
      <w:marLeft w:val="0"/>
      <w:marRight w:val="0"/>
      <w:marTop w:val="0"/>
      <w:marBottom w:val="0"/>
      <w:divBdr>
        <w:top w:val="none" w:sz="0" w:space="0" w:color="auto"/>
        <w:left w:val="none" w:sz="0" w:space="0" w:color="auto"/>
        <w:bottom w:val="none" w:sz="0" w:space="0" w:color="auto"/>
        <w:right w:val="none" w:sz="0" w:space="0" w:color="auto"/>
      </w:divBdr>
    </w:div>
    <w:div w:id="91241690">
      <w:bodyDiv w:val="1"/>
      <w:marLeft w:val="0"/>
      <w:marRight w:val="0"/>
      <w:marTop w:val="0"/>
      <w:marBottom w:val="0"/>
      <w:divBdr>
        <w:top w:val="none" w:sz="0" w:space="0" w:color="auto"/>
        <w:left w:val="none" w:sz="0" w:space="0" w:color="auto"/>
        <w:bottom w:val="none" w:sz="0" w:space="0" w:color="auto"/>
        <w:right w:val="none" w:sz="0" w:space="0" w:color="auto"/>
      </w:divBdr>
      <w:divsChild>
        <w:div w:id="364719314">
          <w:marLeft w:val="547"/>
          <w:marRight w:val="0"/>
          <w:marTop w:val="106"/>
          <w:marBottom w:val="0"/>
          <w:divBdr>
            <w:top w:val="none" w:sz="0" w:space="0" w:color="auto"/>
            <w:left w:val="none" w:sz="0" w:space="0" w:color="auto"/>
            <w:bottom w:val="none" w:sz="0" w:space="0" w:color="auto"/>
            <w:right w:val="none" w:sz="0" w:space="0" w:color="auto"/>
          </w:divBdr>
        </w:div>
      </w:divsChild>
    </w:div>
    <w:div w:id="126314161">
      <w:bodyDiv w:val="1"/>
      <w:marLeft w:val="0"/>
      <w:marRight w:val="0"/>
      <w:marTop w:val="0"/>
      <w:marBottom w:val="0"/>
      <w:divBdr>
        <w:top w:val="none" w:sz="0" w:space="0" w:color="auto"/>
        <w:left w:val="none" w:sz="0" w:space="0" w:color="auto"/>
        <w:bottom w:val="none" w:sz="0" w:space="0" w:color="auto"/>
        <w:right w:val="none" w:sz="0" w:space="0" w:color="auto"/>
      </w:divBdr>
    </w:div>
    <w:div w:id="137190713">
      <w:bodyDiv w:val="1"/>
      <w:marLeft w:val="0"/>
      <w:marRight w:val="0"/>
      <w:marTop w:val="0"/>
      <w:marBottom w:val="0"/>
      <w:divBdr>
        <w:top w:val="none" w:sz="0" w:space="0" w:color="auto"/>
        <w:left w:val="none" w:sz="0" w:space="0" w:color="auto"/>
        <w:bottom w:val="none" w:sz="0" w:space="0" w:color="auto"/>
        <w:right w:val="none" w:sz="0" w:space="0" w:color="auto"/>
      </w:divBdr>
    </w:div>
    <w:div w:id="234819657">
      <w:bodyDiv w:val="1"/>
      <w:marLeft w:val="0"/>
      <w:marRight w:val="0"/>
      <w:marTop w:val="0"/>
      <w:marBottom w:val="0"/>
      <w:divBdr>
        <w:top w:val="none" w:sz="0" w:space="0" w:color="auto"/>
        <w:left w:val="none" w:sz="0" w:space="0" w:color="auto"/>
        <w:bottom w:val="none" w:sz="0" w:space="0" w:color="auto"/>
        <w:right w:val="none" w:sz="0" w:space="0" w:color="auto"/>
      </w:divBdr>
    </w:div>
    <w:div w:id="255406230">
      <w:bodyDiv w:val="1"/>
      <w:marLeft w:val="0"/>
      <w:marRight w:val="0"/>
      <w:marTop w:val="0"/>
      <w:marBottom w:val="0"/>
      <w:divBdr>
        <w:top w:val="none" w:sz="0" w:space="0" w:color="auto"/>
        <w:left w:val="none" w:sz="0" w:space="0" w:color="auto"/>
        <w:bottom w:val="none" w:sz="0" w:space="0" w:color="auto"/>
        <w:right w:val="none" w:sz="0" w:space="0" w:color="auto"/>
      </w:divBdr>
    </w:div>
    <w:div w:id="280383370">
      <w:bodyDiv w:val="1"/>
      <w:marLeft w:val="0"/>
      <w:marRight w:val="0"/>
      <w:marTop w:val="0"/>
      <w:marBottom w:val="0"/>
      <w:divBdr>
        <w:top w:val="none" w:sz="0" w:space="0" w:color="auto"/>
        <w:left w:val="none" w:sz="0" w:space="0" w:color="auto"/>
        <w:bottom w:val="none" w:sz="0" w:space="0" w:color="auto"/>
        <w:right w:val="none" w:sz="0" w:space="0" w:color="auto"/>
      </w:divBdr>
    </w:div>
    <w:div w:id="305429245">
      <w:bodyDiv w:val="1"/>
      <w:marLeft w:val="0"/>
      <w:marRight w:val="0"/>
      <w:marTop w:val="0"/>
      <w:marBottom w:val="0"/>
      <w:divBdr>
        <w:top w:val="none" w:sz="0" w:space="0" w:color="auto"/>
        <w:left w:val="none" w:sz="0" w:space="0" w:color="auto"/>
        <w:bottom w:val="none" w:sz="0" w:space="0" w:color="auto"/>
        <w:right w:val="none" w:sz="0" w:space="0" w:color="auto"/>
      </w:divBdr>
    </w:div>
    <w:div w:id="347223426">
      <w:bodyDiv w:val="1"/>
      <w:marLeft w:val="0"/>
      <w:marRight w:val="0"/>
      <w:marTop w:val="0"/>
      <w:marBottom w:val="0"/>
      <w:divBdr>
        <w:top w:val="none" w:sz="0" w:space="0" w:color="auto"/>
        <w:left w:val="none" w:sz="0" w:space="0" w:color="auto"/>
        <w:bottom w:val="none" w:sz="0" w:space="0" w:color="auto"/>
        <w:right w:val="none" w:sz="0" w:space="0" w:color="auto"/>
      </w:divBdr>
    </w:div>
    <w:div w:id="354773464">
      <w:bodyDiv w:val="1"/>
      <w:marLeft w:val="0"/>
      <w:marRight w:val="0"/>
      <w:marTop w:val="0"/>
      <w:marBottom w:val="0"/>
      <w:divBdr>
        <w:top w:val="none" w:sz="0" w:space="0" w:color="auto"/>
        <w:left w:val="none" w:sz="0" w:space="0" w:color="auto"/>
        <w:bottom w:val="none" w:sz="0" w:space="0" w:color="auto"/>
        <w:right w:val="none" w:sz="0" w:space="0" w:color="auto"/>
      </w:divBdr>
    </w:div>
    <w:div w:id="364528589">
      <w:bodyDiv w:val="1"/>
      <w:marLeft w:val="0"/>
      <w:marRight w:val="0"/>
      <w:marTop w:val="0"/>
      <w:marBottom w:val="0"/>
      <w:divBdr>
        <w:top w:val="none" w:sz="0" w:space="0" w:color="auto"/>
        <w:left w:val="none" w:sz="0" w:space="0" w:color="auto"/>
        <w:bottom w:val="none" w:sz="0" w:space="0" w:color="auto"/>
        <w:right w:val="none" w:sz="0" w:space="0" w:color="auto"/>
      </w:divBdr>
    </w:div>
    <w:div w:id="393434882">
      <w:bodyDiv w:val="1"/>
      <w:marLeft w:val="0"/>
      <w:marRight w:val="0"/>
      <w:marTop w:val="0"/>
      <w:marBottom w:val="0"/>
      <w:divBdr>
        <w:top w:val="none" w:sz="0" w:space="0" w:color="auto"/>
        <w:left w:val="none" w:sz="0" w:space="0" w:color="auto"/>
        <w:bottom w:val="none" w:sz="0" w:space="0" w:color="auto"/>
        <w:right w:val="none" w:sz="0" w:space="0" w:color="auto"/>
      </w:divBdr>
    </w:div>
    <w:div w:id="447046951">
      <w:bodyDiv w:val="1"/>
      <w:marLeft w:val="0"/>
      <w:marRight w:val="0"/>
      <w:marTop w:val="0"/>
      <w:marBottom w:val="0"/>
      <w:divBdr>
        <w:top w:val="none" w:sz="0" w:space="0" w:color="auto"/>
        <w:left w:val="none" w:sz="0" w:space="0" w:color="auto"/>
        <w:bottom w:val="none" w:sz="0" w:space="0" w:color="auto"/>
        <w:right w:val="none" w:sz="0" w:space="0" w:color="auto"/>
      </w:divBdr>
    </w:div>
    <w:div w:id="451830143">
      <w:bodyDiv w:val="1"/>
      <w:marLeft w:val="0"/>
      <w:marRight w:val="0"/>
      <w:marTop w:val="0"/>
      <w:marBottom w:val="0"/>
      <w:divBdr>
        <w:top w:val="none" w:sz="0" w:space="0" w:color="auto"/>
        <w:left w:val="none" w:sz="0" w:space="0" w:color="auto"/>
        <w:bottom w:val="none" w:sz="0" w:space="0" w:color="auto"/>
        <w:right w:val="none" w:sz="0" w:space="0" w:color="auto"/>
      </w:divBdr>
    </w:div>
    <w:div w:id="456879460">
      <w:bodyDiv w:val="1"/>
      <w:marLeft w:val="0"/>
      <w:marRight w:val="0"/>
      <w:marTop w:val="0"/>
      <w:marBottom w:val="0"/>
      <w:divBdr>
        <w:top w:val="none" w:sz="0" w:space="0" w:color="auto"/>
        <w:left w:val="none" w:sz="0" w:space="0" w:color="auto"/>
        <w:bottom w:val="none" w:sz="0" w:space="0" w:color="auto"/>
        <w:right w:val="none" w:sz="0" w:space="0" w:color="auto"/>
      </w:divBdr>
    </w:div>
    <w:div w:id="478377126">
      <w:bodyDiv w:val="1"/>
      <w:marLeft w:val="0"/>
      <w:marRight w:val="0"/>
      <w:marTop w:val="0"/>
      <w:marBottom w:val="0"/>
      <w:divBdr>
        <w:top w:val="none" w:sz="0" w:space="0" w:color="auto"/>
        <w:left w:val="none" w:sz="0" w:space="0" w:color="auto"/>
        <w:bottom w:val="none" w:sz="0" w:space="0" w:color="auto"/>
        <w:right w:val="none" w:sz="0" w:space="0" w:color="auto"/>
      </w:divBdr>
    </w:div>
    <w:div w:id="524757550">
      <w:bodyDiv w:val="1"/>
      <w:marLeft w:val="0"/>
      <w:marRight w:val="0"/>
      <w:marTop w:val="0"/>
      <w:marBottom w:val="0"/>
      <w:divBdr>
        <w:top w:val="none" w:sz="0" w:space="0" w:color="auto"/>
        <w:left w:val="none" w:sz="0" w:space="0" w:color="auto"/>
        <w:bottom w:val="none" w:sz="0" w:space="0" w:color="auto"/>
        <w:right w:val="none" w:sz="0" w:space="0" w:color="auto"/>
      </w:divBdr>
    </w:div>
    <w:div w:id="545064731">
      <w:bodyDiv w:val="1"/>
      <w:marLeft w:val="0"/>
      <w:marRight w:val="0"/>
      <w:marTop w:val="0"/>
      <w:marBottom w:val="0"/>
      <w:divBdr>
        <w:top w:val="none" w:sz="0" w:space="0" w:color="auto"/>
        <w:left w:val="none" w:sz="0" w:space="0" w:color="auto"/>
        <w:bottom w:val="none" w:sz="0" w:space="0" w:color="auto"/>
        <w:right w:val="none" w:sz="0" w:space="0" w:color="auto"/>
      </w:divBdr>
    </w:div>
    <w:div w:id="545259544">
      <w:bodyDiv w:val="1"/>
      <w:marLeft w:val="0"/>
      <w:marRight w:val="0"/>
      <w:marTop w:val="0"/>
      <w:marBottom w:val="0"/>
      <w:divBdr>
        <w:top w:val="none" w:sz="0" w:space="0" w:color="auto"/>
        <w:left w:val="none" w:sz="0" w:space="0" w:color="auto"/>
        <w:bottom w:val="none" w:sz="0" w:space="0" w:color="auto"/>
        <w:right w:val="none" w:sz="0" w:space="0" w:color="auto"/>
      </w:divBdr>
      <w:divsChild>
        <w:div w:id="1583416561">
          <w:marLeft w:val="547"/>
          <w:marRight w:val="0"/>
          <w:marTop w:val="106"/>
          <w:marBottom w:val="0"/>
          <w:divBdr>
            <w:top w:val="none" w:sz="0" w:space="0" w:color="auto"/>
            <w:left w:val="none" w:sz="0" w:space="0" w:color="auto"/>
            <w:bottom w:val="none" w:sz="0" w:space="0" w:color="auto"/>
            <w:right w:val="none" w:sz="0" w:space="0" w:color="auto"/>
          </w:divBdr>
        </w:div>
      </w:divsChild>
    </w:div>
    <w:div w:id="573247425">
      <w:bodyDiv w:val="1"/>
      <w:marLeft w:val="0"/>
      <w:marRight w:val="0"/>
      <w:marTop w:val="0"/>
      <w:marBottom w:val="0"/>
      <w:divBdr>
        <w:top w:val="none" w:sz="0" w:space="0" w:color="auto"/>
        <w:left w:val="none" w:sz="0" w:space="0" w:color="auto"/>
        <w:bottom w:val="none" w:sz="0" w:space="0" w:color="auto"/>
        <w:right w:val="none" w:sz="0" w:space="0" w:color="auto"/>
      </w:divBdr>
    </w:div>
    <w:div w:id="622686322">
      <w:bodyDiv w:val="1"/>
      <w:marLeft w:val="0"/>
      <w:marRight w:val="0"/>
      <w:marTop w:val="0"/>
      <w:marBottom w:val="0"/>
      <w:divBdr>
        <w:top w:val="none" w:sz="0" w:space="0" w:color="auto"/>
        <w:left w:val="none" w:sz="0" w:space="0" w:color="auto"/>
        <w:bottom w:val="none" w:sz="0" w:space="0" w:color="auto"/>
        <w:right w:val="none" w:sz="0" w:space="0" w:color="auto"/>
      </w:divBdr>
    </w:div>
    <w:div w:id="633675155">
      <w:bodyDiv w:val="1"/>
      <w:marLeft w:val="0"/>
      <w:marRight w:val="0"/>
      <w:marTop w:val="0"/>
      <w:marBottom w:val="0"/>
      <w:divBdr>
        <w:top w:val="none" w:sz="0" w:space="0" w:color="auto"/>
        <w:left w:val="none" w:sz="0" w:space="0" w:color="auto"/>
        <w:bottom w:val="none" w:sz="0" w:space="0" w:color="auto"/>
        <w:right w:val="none" w:sz="0" w:space="0" w:color="auto"/>
      </w:divBdr>
    </w:div>
    <w:div w:id="650597031">
      <w:bodyDiv w:val="1"/>
      <w:marLeft w:val="0"/>
      <w:marRight w:val="0"/>
      <w:marTop w:val="0"/>
      <w:marBottom w:val="0"/>
      <w:divBdr>
        <w:top w:val="none" w:sz="0" w:space="0" w:color="auto"/>
        <w:left w:val="none" w:sz="0" w:space="0" w:color="auto"/>
        <w:bottom w:val="none" w:sz="0" w:space="0" w:color="auto"/>
        <w:right w:val="none" w:sz="0" w:space="0" w:color="auto"/>
      </w:divBdr>
    </w:div>
    <w:div w:id="656767889">
      <w:bodyDiv w:val="1"/>
      <w:marLeft w:val="0"/>
      <w:marRight w:val="0"/>
      <w:marTop w:val="0"/>
      <w:marBottom w:val="0"/>
      <w:divBdr>
        <w:top w:val="none" w:sz="0" w:space="0" w:color="auto"/>
        <w:left w:val="none" w:sz="0" w:space="0" w:color="auto"/>
        <w:bottom w:val="none" w:sz="0" w:space="0" w:color="auto"/>
        <w:right w:val="none" w:sz="0" w:space="0" w:color="auto"/>
      </w:divBdr>
    </w:div>
    <w:div w:id="693309607">
      <w:bodyDiv w:val="1"/>
      <w:marLeft w:val="0"/>
      <w:marRight w:val="0"/>
      <w:marTop w:val="0"/>
      <w:marBottom w:val="0"/>
      <w:divBdr>
        <w:top w:val="none" w:sz="0" w:space="0" w:color="auto"/>
        <w:left w:val="none" w:sz="0" w:space="0" w:color="auto"/>
        <w:bottom w:val="none" w:sz="0" w:space="0" w:color="auto"/>
        <w:right w:val="none" w:sz="0" w:space="0" w:color="auto"/>
      </w:divBdr>
    </w:div>
    <w:div w:id="724060504">
      <w:bodyDiv w:val="1"/>
      <w:marLeft w:val="0"/>
      <w:marRight w:val="0"/>
      <w:marTop w:val="0"/>
      <w:marBottom w:val="0"/>
      <w:divBdr>
        <w:top w:val="none" w:sz="0" w:space="0" w:color="auto"/>
        <w:left w:val="none" w:sz="0" w:space="0" w:color="auto"/>
        <w:bottom w:val="none" w:sz="0" w:space="0" w:color="auto"/>
        <w:right w:val="none" w:sz="0" w:space="0" w:color="auto"/>
      </w:divBdr>
    </w:div>
    <w:div w:id="740064224">
      <w:bodyDiv w:val="1"/>
      <w:marLeft w:val="0"/>
      <w:marRight w:val="0"/>
      <w:marTop w:val="0"/>
      <w:marBottom w:val="0"/>
      <w:divBdr>
        <w:top w:val="none" w:sz="0" w:space="0" w:color="auto"/>
        <w:left w:val="none" w:sz="0" w:space="0" w:color="auto"/>
        <w:bottom w:val="none" w:sz="0" w:space="0" w:color="auto"/>
        <w:right w:val="none" w:sz="0" w:space="0" w:color="auto"/>
      </w:divBdr>
    </w:div>
    <w:div w:id="749499377">
      <w:bodyDiv w:val="1"/>
      <w:marLeft w:val="0"/>
      <w:marRight w:val="0"/>
      <w:marTop w:val="0"/>
      <w:marBottom w:val="0"/>
      <w:divBdr>
        <w:top w:val="none" w:sz="0" w:space="0" w:color="auto"/>
        <w:left w:val="none" w:sz="0" w:space="0" w:color="auto"/>
        <w:bottom w:val="none" w:sz="0" w:space="0" w:color="auto"/>
        <w:right w:val="none" w:sz="0" w:space="0" w:color="auto"/>
      </w:divBdr>
    </w:div>
    <w:div w:id="760296696">
      <w:bodyDiv w:val="1"/>
      <w:marLeft w:val="0"/>
      <w:marRight w:val="0"/>
      <w:marTop w:val="0"/>
      <w:marBottom w:val="0"/>
      <w:divBdr>
        <w:top w:val="none" w:sz="0" w:space="0" w:color="auto"/>
        <w:left w:val="none" w:sz="0" w:space="0" w:color="auto"/>
        <w:bottom w:val="none" w:sz="0" w:space="0" w:color="auto"/>
        <w:right w:val="none" w:sz="0" w:space="0" w:color="auto"/>
      </w:divBdr>
      <w:divsChild>
        <w:div w:id="347877581">
          <w:marLeft w:val="547"/>
          <w:marRight w:val="0"/>
          <w:marTop w:val="106"/>
          <w:marBottom w:val="0"/>
          <w:divBdr>
            <w:top w:val="none" w:sz="0" w:space="0" w:color="auto"/>
            <w:left w:val="none" w:sz="0" w:space="0" w:color="auto"/>
            <w:bottom w:val="none" w:sz="0" w:space="0" w:color="auto"/>
            <w:right w:val="none" w:sz="0" w:space="0" w:color="auto"/>
          </w:divBdr>
        </w:div>
        <w:div w:id="1541623300">
          <w:marLeft w:val="547"/>
          <w:marRight w:val="0"/>
          <w:marTop w:val="106"/>
          <w:marBottom w:val="0"/>
          <w:divBdr>
            <w:top w:val="none" w:sz="0" w:space="0" w:color="auto"/>
            <w:left w:val="none" w:sz="0" w:space="0" w:color="auto"/>
            <w:bottom w:val="none" w:sz="0" w:space="0" w:color="auto"/>
            <w:right w:val="none" w:sz="0" w:space="0" w:color="auto"/>
          </w:divBdr>
        </w:div>
      </w:divsChild>
    </w:div>
    <w:div w:id="820930084">
      <w:bodyDiv w:val="1"/>
      <w:marLeft w:val="0"/>
      <w:marRight w:val="0"/>
      <w:marTop w:val="0"/>
      <w:marBottom w:val="0"/>
      <w:divBdr>
        <w:top w:val="none" w:sz="0" w:space="0" w:color="auto"/>
        <w:left w:val="none" w:sz="0" w:space="0" w:color="auto"/>
        <w:bottom w:val="none" w:sz="0" w:space="0" w:color="auto"/>
        <w:right w:val="none" w:sz="0" w:space="0" w:color="auto"/>
      </w:divBdr>
    </w:div>
    <w:div w:id="844200280">
      <w:bodyDiv w:val="1"/>
      <w:marLeft w:val="0"/>
      <w:marRight w:val="0"/>
      <w:marTop w:val="0"/>
      <w:marBottom w:val="0"/>
      <w:divBdr>
        <w:top w:val="none" w:sz="0" w:space="0" w:color="auto"/>
        <w:left w:val="none" w:sz="0" w:space="0" w:color="auto"/>
        <w:bottom w:val="none" w:sz="0" w:space="0" w:color="auto"/>
        <w:right w:val="none" w:sz="0" w:space="0" w:color="auto"/>
      </w:divBdr>
    </w:div>
    <w:div w:id="866721539">
      <w:bodyDiv w:val="1"/>
      <w:marLeft w:val="0"/>
      <w:marRight w:val="0"/>
      <w:marTop w:val="0"/>
      <w:marBottom w:val="0"/>
      <w:divBdr>
        <w:top w:val="none" w:sz="0" w:space="0" w:color="auto"/>
        <w:left w:val="none" w:sz="0" w:space="0" w:color="auto"/>
        <w:bottom w:val="none" w:sz="0" w:space="0" w:color="auto"/>
        <w:right w:val="none" w:sz="0" w:space="0" w:color="auto"/>
      </w:divBdr>
    </w:div>
    <w:div w:id="867525447">
      <w:bodyDiv w:val="1"/>
      <w:marLeft w:val="0"/>
      <w:marRight w:val="0"/>
      <w:marTop w:val="0"/>
      <w:marBottom w:val="0"/>
      <w:divBdr>
        <w:top w:val="none" w:sz="0" w:space="0" w:color="auto"/>
        <w:left w:val="none" w:sz="0" w:space="0" w:color="auto"/>
        <w:bottom w:val="none" w:sz="0" w:space="0" w:color="auto"/>
        <w:right w:val="none" w:sz="0" w:space="0" w:color="auto"/>
      </w:divBdr>
    </w:div>
    <w:div w:id="872764375">
      <w:bodyDiv w:val="1"/>
      <w:marLeft w:val="0"/>
      <w:marRight w:val="0"/>
      <w:marTop w:val="0"/>
      <w:marBottom w:val="0"/>
      <w:divBdr>
        <w:top w:val="none" w:sz="0" w:space="0" w:color="auto"/>
        <w:left w:val="none" w:sz="0" w:space="0" w:color="auto"/>
        <w:bottom w:val="none" w:sz="0" w:space="0" w:color="auto"/>
        <w:right w:val="none" w:sz="0" w:space="0" w:color="auto"/>
      </w:divBdr>
    </w:div>
    <w:div w:id="878587723">
      <w:bodyDiv w:val="1"/>
      <w:marLeft w:val="0"/>
      <w:marRight w:val="0"/>
      <w:marTop w:val="0"/>
      <w:marBottom w:val="0"/>
      <w:divBdr>
        <w:top w:val="none" w:sz="0" w:space="0" w:color="auto"/>
        <w:left w:val="none" w:sz="0" w:space="0" w:color="auto"/>
        <w:bottom w:val="none" w:sz="0" w:space="0" w:color="auto"/>
        <w:right w:val="none" w:sz="0" w:space="0" w:color="auto"/>
      </w:divBdr>
      <w:divsChild>
        <w:div w:id="877084234">
          <w:marLeft w:val="0"/>
          <w:marRight w:val="0"/>
          <w:marTop w:val="0"/>
          <w:marBottom w:val="120"/>
          <w:divBdr>
            <w:top w:val="none" w:sz="0" w:space="0" w:color="auto"/>
            <w:left w:val="none" w:sz="0" w:space="0" w:color="auto"/>
            <w:bottom w:val="none" w:sz="0" w:space="0" w:color="auto"/>
            <w:right w:val="none" w:sz="0" w:space="0" w:color="auto"/>
          </w:divBdr>
        </w:div>
      </w:divsChild>
    </w:div>
    <w:div w:id="930507681">
      <w:bodyDiv w:val="1"/>
      <w:marLeft w:val="0"/>
      <w:marRight w:val="0"/>
      <w:marTop w:val="0"/>
      <w:marBottom w:val="0"/>
      <w:divBdr>
        <w:top w:val="none" w:sz="0" w:space="0" w:color="auto"/>
        <w:left w:val="none" w:sz="0" w:space="0" w:color="auto"/>
        <w:bottom w:val="none" w:sz="0" w:space="0" w:color="auto"/>
        <w:right w:val="none" w:sz="0" w:space="0" w:color="auto"/>
      </w:divBdr>
    </w:div>
    <w:div w:id="1004282736">
      <w:bodyDiv w:val="1"/>
      <w:marLeft w:val="0"/>
      <w:marRight w:val="0"/>
      <w:marTop w:val="0"/>
      <w:marBottom w:val="0"/>
      <w:divBdr>
        <w:top w:val="none" w:sz="0" w:space="0" w:color="auto"/>
        <w:left w:val="none" w:sz="0" w:space="0" w:color="auto"/>
        <w:bottom w:val="none" w:sz="0" w:space="0" w:color="auto"/>
        <w:right w:val="none" w:sz="0" w:space="0" w:color="auto"/>
      </w:divBdr>
    </w:div>
    <w:div w:id="1037900529">
      <w:bodyDiv w:val="1"/>
      <w:marLeft w:val="0"/>
      <w:marRight w:val="0"/>
      <w:marTop w:val="0"/>
      <w:marBottom w:val="0"/>
      <w:divBdr>
        <w:top w:val="none" w:sz="0" w:space="0" w:color="auto"/>
        <w:left w:val="none" w:sz="0" w:space="0" w:color="auto"/>
        <w:bottom w:val="none" w:sz="0" w:space="0" w:color="auto"/>
        <w:right w:val="none" w:sz="0" w:space="0" w:color="auto"/>
      </w:divBdr>
    </w:div>
    <w:div w:id="1071003557">
      <w:bodyDiv w:val="1"/>
      <w:marLeft w:val="0"/>
      <w:marRight w:val="0"/>
      <w:marTop w:val="0"/>
      <w:marBottom w:val="0"/>
      <w:divBdr>
        <w:top w:val="none" w:sz="0" w:space="0" w:color="auto"/>
        <w:left w:val="none" w:sz="0" w:space="0" w:color="auto"/>
        <w:bottom w:val="none" w:sz="0" w:space="0" w:color="auto"/>
        <w:right w:val="none" w:sz="0" w:space="0" w:color="auto"/>
      </w:divBdr>
      <w:divsChild>
        <w:div w:id="346753296">
          <w:marLeft w:val="547"/>
          <w:marRight w:val="0"/>
          <w:marTop w:val="77"/>
          <w:marBottom w:val="0"/>
          <w:divBdr>
            <w:top w:val="none" w:sz="0" w:space="0" w:color="auto"/>
            <w:left w:val="none" w:sz="0" w:space="0" w:color="auto"/>
            <w:bottom w:val="none" w:sz="0" w:space="0" w:color="auto"/>
            <w:right w:val="none" w:sz="0" w:space="0" w:color="auto"/>
          </w:divBdr>
        </w:div>
      </w:divsChild>
    </w:div>
    <w:div w:id="1095174860">
      <w:bodyDiv w:val="1"/>
      <w:marLeft w:val="0"/>
      <w:marRight w:val="0"/>
      <w:marTop w:val="0"/>
      <w:marBottom w:val="0"/>
      <w:divBdr>
        <w:top w:val="none" w:sz="0" w:space="0" w:color="auto"/>
        <w:left w:val="none" w:sz="0" w:space="0" w:color="auto"/>
        <w:bottom w:val="none" w:sz="0" w:space="0" w:color="auto"/>
        <w:right w:val="none" w:sz="0" w:space="0" w:color="auto"/>
      </w:divBdr>
    </w:div>
    <w:div w:id="1108626510">
      <w:bodyDiv w:val="1"/>
      <w:marLeft w:val="0"/>
      <w:marRight w:val="0"/>
      <w:marTop w:val="0"/>
      <w:marBottom w:val="0"/>
      <w:divBdr>
        <w:top w:val="none" w:sz="0" w:space="0" w:color="auto"/>
        <w:left w:val="none" w:sz="0" w:space="0" w:color="auto"/>
        <w:bottom w:val="none" w:sz="0" w:space="0" w:color="auto"/>
        <w:right w:val="none" w:sz="0" w:space="0" w:color="auto"/>
      </w:divBdr>
      <w:divsChild>
        <w:div w:id="1849831549">
          <w:marLeft w:val="547"/>
          <w:marRight w:val="0"/>
          <w:marTop w:val="130"/>
          <w:marBottom w:val="0"/>
          <w:divBdr>
            <w:top w:val="none" w:sz="0" w:space="0" w:color="auto"/>
            <w:left w:val="none" w:sz="0" w:space="0" w:color="auto"/>
            <w:bottom w:val="none" w:sz="0" w:space="0" w:color="auto"/>
            <w:right w:val="none" w:sz="0" w:space="0" w:color="auto"/>
          </w:divBdr>
        </w:div>
      </w:divsChild>
    </w:div>
    <w:div w:id="1113407132">
      <w:bodyDiv w:val="1"/>
      <w:marLeft w:val="0"/>
      <w:marRight w:val="0"/>
      <w:marTop w:val="0"/>
      <w:marBottom w:val="0"/>
      <w:divBdr>
        <w:top w:val="none" w:sz="0" w:space="0" w:color="auto"/>
        <w:left w:val="none" w:sz="0" w:space="0" w:color="auto"/>
        <w:bottom w:val="none" w:sz="0" w:space="0" w:color="auto"/>
        <w:right w:val="none" w:sz="0" w:space="0" w:color="auto"/>
      </w:divBdr>
      <w:divsChild>
        <w:div w:id="1942906902">
          <w:marLeft w:val="547"/>
          <w:marRight w:val="0"/>
          <w:marTop w:val="130"/>
          <w:marBottom w:val="0"/>
          <w:divBdr>
            <w:top w:val="none" w:sz="0" w:space="0" w:color="auto"/>
            <w:left w:val="none" w:sz="0" w:space="0" w:color="auto"/>
            <w:bottom w:val="none" w:sz="0" w:space="0" w:color="auto"/>
            <w:right w:val="none" w:sz="0" w:space="0" w:color="auto"/>
          </w:divBdr>
        </w:div>
      </w:divsChild>
    </w:div>
    <w:div w:id="1233589319">
      <w:bodyDiv w:val="1"/>
      <w:marLeft w:val="0"/>
      <w:marRight w:val="0"/>
      <w:marTop w:val="0"/>
      <w:marBottom w:val="0"/>
      <w:divBdr>
        <w:top w:val="none" w:sz="0" w:space="0" w:color="auto"/>
        <w:left w:val="none" w:sz="0" w:space="0" w:color="auto"/>
        <w:bottom w:val="none" w:sz="0" w:space="0" w:color="auto"/>
        <w:right w:val="none" w:sz="0" w:space="0" w:color="auto"/>
      </w:divBdr>
    </w:div>
    <w:div w:id="1249000121">
      <w:bodyDiv w:val="1"/>
      <w:marLeft w:val="0"/>
      <w:marRight w:val="0"/>
      <w:marTop w:val="0"/>
      <w:marBottom w:val="0"/>
      <w:divBdr>
        <w:top w:val="none" w:sz="0" w:space="0" w:color="auto"/>
        <w:left w:val="none" w:sz="0" w:space="0" w:color="auto"/>
        <w:bottom w:val="none" w:sz="0" w:space="0" w:color="auto"/>
        <w:right w:val="none" w:sz="0" w:space="0" w:color="auto"/>
      </w:divBdr>
    </w:div>
    <w:div w:id="1402479220">
      <w:bodyDiv w:val="1"/>
      <w:marLeft w:val="0"/>
      <w:marRight w:val="0"/>
      <w:marTop w:val="0"/>
      <w:marBottom w:val="0"/>
      <w:divBdr>
        <w:top w:val="none" w:sz="0" w:space="0" w:color="auto"/>
        <w:left w:val="none" w:sz="0" w:space="0" w:color="auto"/>
        <w:bottom w:val="none" w:sz="0" w:space="0" w:color="auto"/>
        <w:right w:val="none" w:sz="0" w:space="0" w:color="auto"/>
      </w:divBdr>
    </w:div>
    <w:div w:id="1428042033">
      <w:bodyDiv w:val="1"/>
      <w:marLeft w:val="0"/>
      <w:marRight w:val="0"/>
      <w:marTop w:val="0"/>
      <w:marBottom w:val="0"/>
      <w:divBdr>
        <w:top w:val="none" w:sz="0" w:space="0" w:color="auto"/>
        <w:left w:val="none" w:sz="0" w:space="0" w:color="auto"/>
        <w:bottom w:val="none" w:sz="0" w:space="0" w:color="auto"/>
        <w:right w:val="none" w:sz="0" w:space="0" w:color="auto"/>
      </w:divBdr>
    </w:div>
    <w:div w:id="1437215051">
      <w:bodyDiv w:val="1"/>
      <w:marLeft w:val="0"/>
      <w:marRight w:val="0"/>
      <w:marTop w:val="0"/>
      <w:marBottom w:val="0"/>
      <w:divBdr>
        <w:top w:val="none" w:sz="0" w:space="0" w:color="auto"/>
        <w:left w:val="none" w:sz="0" w:space="0" w:color="auto"/>
        <w:bottom w:val="none" w:sz="0" w:space="0" w:color="auto"/>
        <w:right w:val="none" w:sz="0" w:space="0" w:color="auto"/>
      </w:divBdr>
    </w:div>
    <w:div w:id="1464275232">
      <w:bodyDiv w:val="1"/>
      <w:marLeft w:val="0"/>
      <w:marRight w:val="0"/>
      <w:marTop w:val="0"/>
      <w:marBottom w:val="0"/>
      <w:divBdr>
        <w:top w:val="none" w:sz="0" w:space="0" w:color="auto"/>
        <w:left w:val="none" w:sz="0" w:space="0" w:color="auto"/>
        <w:bottom w:val="none" w:sz="0" w:space="0" w:color="auto"/>
        <w:right w:val="none" w:sz="0" w:space="0" w:color="auto"/>
      </w:divBdr>
      <w:divsChild>
        <w:div w:id="713117013">
          <w:marLeft w:val="547"/>
          <w:marRight w:val="0"/>
          <w:marTop w:val="96"/>
          <w:marBottom w:val="0"/>
          <w:divBdr>
            <w:top w:val="none" w:sz="0" w:space="0" w:color="auto"/>
            <w:left w:val="none" w:sz="0" w:space="0" w:color="auto"/>
            <w:bottom w:val="none" w:sz="0" w:space="0" w:color="auto"/>
            <w:right w:val="none" w:sz="0" w:space="0" w:color="auto"/>
          </w:divBdr>
        </w:div>
      </w:divsChild>
    </w:div>
    <w:div w:id="1473209167">
      <w:bodyDiv w:val="1"/>
      <w:marLeft w:val="0"/>
      <w:marRight w:val="0"/>
      <w:marTop w:val="0"/>
      <w:marBottom w:val="0"/>
      <w:divBdr>
        <w:top w:val="none" w:sz="0" w:space="0" w:color="auto"/>
        <w:left w:val="none" w:sz="0" w:space="0" w:color="auto"/>
        <w:bottom w:val="none" w:sz="0" w:space="0" w:color="auto"/>
        <w:right w:val="none" w:sz="0" w:space="0" w:color="auto"/>
      </w:divBdr>
    </w:div>
    <w:div w:id="1476527047">
      <w:bodyDiv w:val="1"/>
      <w:marLeft w:val="0"/>
      <w:marRight w:val="0"/>
      <w:marTop w:val="0"/>
      <w:marBottom w:val="0"/>
      <w:divBdr>
        <w:top w:val="none" w:sz="0" w:space="0" w:color="auto"/>
        <w:left w:val="none" w:sz="0" w:space="0" w:color="auto"/>
        <w:bottom w:val="none" w:sz="0" w:space="0" w:color="auto"/>
        <w:right w:val="none" w:sz="0" w:space="0" w:color="auto"/>
      </w:divBdr>
    </w:div>
    <w:div w:id="1526365761">
      <w:bodyDiv w:val="1"/>
      <w:marLeft w:val="0"/>
      <w:marRight w:val="0"/>
      <w:marTop w:val="0"/>
      <w:marBottom w:val="0"/>
      <w:divBdr>
        <w:top w:val="none" w:sz="0" w:space="0" w:color="auto"/>
        <w:left w:val="none" w:sz="0" w:space="0" w:color="auto"/>
        <w:bottom w:val="none" w:sz="0" w:space="0" w:color="auto"/>
        <w:right w:val="none" w:sz="0" w:space="0" w:color="auto"/>
      </w:divBdr>
      <w:divsChild>
        <w:div w:id="262492121">
          <w:marLeft w:val="547"/>
          <w:marRight w:val="0"/>
          <w:marTop w:val="86"/>
          <w:marBottom w:val="0"/>
          <w:divBdr>
            <w:top w:val="none" w:sz="0" w:space="0" w:color="auto"/>
            <w:left w:val="none" w:sz="0" w:space="0" w:color="auto"/>
            <w:bottom w:val="none" w:sz="0" w:space="0" w:color="auto"/>
            <w:right w:val="none" w:sz="0" w:space="0" w:color="auto"/>
          </w:divBdr>
        </w:div>
      </w:divsChild>
    </w:div>
    <w:div w:id="1554393370">
      <w:bodyDiv w:val="1"/>
      <w:marLeft w:val="0"/>
      <w:marRight w:val="0"/>
      <w:marTop w:val="0"/>
      <w:marBottom w:val="0"/>
      <w:divBdr>
        <w:top w:val="none" w:sz="0" w:space="0" w:color="auto"/>
        <w:left w:val="none" w:sz="0" w:space="0" w:color="auto"/>
        <w:bottom w:val="none" w:sz="0" w:space="0" w:color="auto"/>
        <w:right w:val="none" w:sz="0" w:space="0" w:color="auto"/>
      </w:divBdr>
    </w:div>
    <w:div w:id="1555964555">
      <w:bodyDiv w:val="1"/>
      <w:marLeft w:val="0"/>
      <w:marRight w:val="0"/>
      <w:marTop w:val="0"/>
      <w:marBottom w:val="0"/>
      <w:divBdr>
        <w:top w:val="none" w:sz="0" w:space="0" w:color="auto"/>
        <w:left w:val="none" w:sz="0" w:space="0" w:color="auto"/>
        <w:bottom w:val="none" w:sz="0" w:space="0" w:color="auto"/>
        <w:right w:val="none" w:sz="0" w:space="0" w:color="auto"/>
      </w:divBdr>
    </w:div>
    <w:div w:id="1577592741">
      <w:bodyDiv w:val="1"/>
      <w:marLeft w:val="0"/>
      <w:marRight w:val="0"/>
      <w:marTop w:val="0"/>
      <w:marBottom w:val="0"/>
      <w:divBdr>
        <w:top w:val="none" w:sz="0" w:space="0" w:color="auto"/>
        <w:left w:val="none" w:sz="0" w:space="0" w:color="auto"/>
        <w:bottom w:val="none" w:sz="0" w:space="0" w:color="auto"/>
        <w:right w:val="none" w:sz="0" w:space="0" w:color="auto"/>
      </w:divBdr>
    </w:div>
    <w:div w:id="1611543817">
      <w:bodyDiv w:val="1"/>
      <w:marLeft w:val="0"/>
      <w:marRight w:val="0"/>
      <w:marTop w:val="0"/>
      <w:marBottom w:val="0"/>
      <w:divBdr>
        <w:top w:val="none" w:sz="0" w:space="0" w:color="auto"/>
        <w:left w:val="none" w:sz="0" w:space="0" w:color="auto"/>
        <w:bottom w:val="none" w:sz="0" w:space="0" w:color="auto"/>
        <w:right w:val="none" w:sz="0" w:space="0" w:color="auto"/>
      </w:divBdr>
    </w:div>
    <w:div w:id="1630163182">
      <w:bodyDiv w:val="1"/>
      <w:marLeft w:val="0"/>
      <w:marRight w:val="0"/>
      <w:marTop w:val="0"/>
      <w:marBottom w:val="0"/>
      <w:divBdr>
        <w:top w:val="none" w:sz="0" w:space="0" w:color="auto"/>
        <w:left w:val="none" w:sz="0" w:space="0" w:color="auto"/>
        <w:bottom w:val="none" w:sz="0" w:space="0" w:color="auto"/>
        <w:right w:val="none" w:sz="0" w:space="0" w:color="auto"/>
      </w:divBdr>
    </w:div>
    <w:div w:id="1641958191">
      <w:bodyDiv w:val="1"/>
      <w:marLeft w:val="0"/>
      <w:marRight w:val="0"/>
      <w:marTop w:val="0"/>
      <w:marBottom w:val="0"/>
      <w:divBdr>
        <w:top w:val="none" w:sz="0" w:space="0" w:color="auto"/>
        <w:left w:val="none" w:sz="0" w:space="0" w:color="auto"/>
        <w:bottom w:val="none" w:sz="0" w:space="0" w:color="auto"/>
        <w:right w:val="none" w:sz="0" w:space="0" w:color="auto"/>
      </w:divBdr>
    </w:div>
    <w:div w:id="1662930470">
      <w:bodyDiv w:val="1"/>
      <w:marLeft w:val="0"/>
      <w:marRight w:val="0"/>
      <w:marTop w:val="0"/>
      <w:marBottom w:val="0"/>
      <w:divBdr>
        <w:top w:val="none" w:sz="0" w:space="0" w:color="auto"/>
        <w:left w:val="none" w:sz="0" w:space="0" w:color="auto"/>
        <w:bottom w:val="none" w:sz="0" w:space="0" w:color="auto"/>
        <w:right w:val="none" w:sz="0" w:space="0" w:color="auto"/>
      </w:divBdr>
    </w:div>
    <w:div w:id="1703633634">
      <w:bodyDiv w:val="1"/>
      <w:marLeft w:val="0"/>
      <w:marRight w:val="0"/>
      <w:marTop w:val="0"/>
      <w:marBottom w:val="0"/>
      <w:divBdr>
        <w:top w:val="none" w:sz="0" w:space="0" w:color="auto"/>
        <w:left w:val="none" w:sz="0" w:space="0" w:color="auto"/>
        <w:bottom w:val="none" w:sz="0" w:space="0" w:color="auto"/>
        <w:right w:val="none" w:sz="0" w:space="0" w:color="auto"/>
      </w:divBdr>
    </w:div>
    <w:div w:id="1750075987">
      <w:bodyDiv w:val="1"/>
      <w:marLeft w:val="0"/>
      <w:marRight w:val="0"/>
      <w:marTop w:val="0"/>
      <w:marBottom w:val="0"/>
      <w:divBdr>
        <w:top w:val="none" w:sz="0" w:space="0" w:color="auto"/>
        <w:left w:val="none" w:sz="0" w:space="0" w:color="auto"/>
        <w:bottom w:val="none" w:sz="0" w:space="0" w:color="auto"/>
        <w:right w:val="none" w:sz="0" w:space="0" w:color="auto"/>
      </w:divBdr>
    </w:div>
    <w:div w:id="1787117913">
      <w:bodyDiv w:val="1"/>
      <w:marLeft w:val="0"/>
      <w:marRight w:val="0"/>
      <w:marTop w:val="0"/>
      <w:marBottom w:val="0"/>
      <w:divBdr>
        <w:top w:val="none" w:sz="0" w:space="0" w:color="auto"/>
        <w:left w:val="none" w:sz="0" w:space="0" w:color="auto"/>
        <w:bottom w:val="none" w:sz="0" w:space="0" w:color="auto"/>
        <w:right w:val="none" w:sz="0" w:space="0" w:color="auto"/>
      </w:divBdr>
      <w:divsChild>
        <w:div w:id="666907376">
          <w:marLeft w:val="547"/>
          <w:marRight w:val="0"/>
          <w:marTop w:val="86"/>
          <w:marBottom w:val="0"/>
          <w:divBdr>
            <w:top w:val="none" w:sz="0" w:space="0" w:color="auto"/>
            <w:left w:val="none" w:sz="0" w:space="0" w:color="auto"/>
            <w:bottom w:val="none" w:sz="0" w:space="0" w:color="auto"/>
            <w:right w:val="none" w:sz="0" w:space="0" w:color="auto"/>
          </w:divBdr>
        </w:div>
        <w:div w:id="1184594185">
          <w:marLeft w:val="547"/>
          <w:marRight w:val="0"/>
          <w:marTop w:val="86"/>
          <w:marBottom w:val="0"/>
          <w:divBdr>
            <w:top w:val="none" w:sz="0" w:space="0" w:color="auto"/>
            <w:left w:val="none" w:sz="0" w:space="0" w:color="auto"/>
            <w:bottom w:val="none" w:sz="0" w:space="0" w:color="auto"/>
            <w:right w:val="none" w:sz="0" w:space="0" w:color="auto"/>
          </w:divBdr>
        </w:div>
      </w:divsChild>
    </w:div>
    <w:div w:id="1851748799">
      <w:bodyDiv w:val="1"/>
      <w:marLeft w:val="0"/>
      <w:marRight w:val="0"/>
      <w:marTop w:val="0"/>
      <w:marBottom w:val="0"/>
      <w:divBdr>
        <w:top w:val="none" w:sz="0" w:space="0" w:color="auto"/>
        <w:left w:val="none" w:sz="0" w:space="0" w:color="auto"/>
        <w:bottom w:val="none" w:sz="0" w:space="0" w:color="auto"/>
        <w:right w:val="none" w:sz="0" w:space="0" w:color="auto"/>
      </w:divBdr>
    </w:div>
    <w:div w:id="1899168791">
      <w:bodyDiv w:val="1"/>
      <w:marLeft w:val="0"/>
      <w:marRight w:val="0"/>
      <w:marTop w:val="0"/>
      <w:marBottom w:val="0"/>
      <w:divBdr>
        <w:top w:val="none" w:sz="0" w:space="0" w:color="auto"/>
        <w:left w:val="none" w:sz="0" w:space="0" w:color="auto"/>
        <w:bottom w:val="none" w:sz="0" w:space="0" w:color="auto"/>
        <w:right w:val="none" w:sz="0" w:space="0" w:color="auto"/>
      </w:divBdr>
    </w:div>
    <w:div w:id="1920941677">
      <w:bodyDiv w:val="1"/>
      <w:marLeft w:val="0"/>
      <w:marRight w:val="0"/>
      <w:marTop w:val="0"/>
      <w:marBottom w:val="0"/>
      <w:divBdr>
        <w:top w:val="none" w:sz="0" w:space="0" w:color="auto"/>
        <w:left w:val="none" w:sz="0" w:space="0" w:color="auto"/>
        <w:bottom w:val="none" w:sz="0" w:space="0" w:color="auto"/>
        <w:right w:val="none" w:sz="0" w:space="0" w:color="auto"/>
      </w:divBdr>
    </w:div>
    <w:div w:id="1944994896">
      <w:bodyDiv w:val="1"/>
      <w:marLeft w:val="0"/>
      <w:marRight w:val="0"/>
      <w:marTop w:val="0"/>
      <w:marBottom w:val="0"/>
      <w:divBdr>
        <w:top w:val="none" w:sz="0" w:space="0" w:color="auto"/>
        <w:left w:val="none" w:sz="0" w:space="0" w:color="auto"/>
        <w:bottom w:val="none" w:sz="0" w:space="0" w:color="auto"/>
        <w:right w:val="none" w:sz="0" w:space="0" w:color="auto"/>
      </w:divBdr>
      <w:divsChild>
        <w:div w:id="787309598">
          <w:marLeft w:val="547"/>
          <w:marRight w:val="0"/>
          <w:marTop w:val="106"/>
          <w:marBottom w:val="0"/>
          <w:divBdr>
            <w:top w:val="none" w:sz="0" w:space="0" w:color="auto"/>
            <w:left w:val="none" w:sz="0" w:space="0" w:color="auto"/>
            <w:bottom w:val="none" w:sz="0" w:space="0" w:color="auto"/>
            <w:right w:val="none" w:sz="0" w:space="0" w:color="auto"/>
          </w:divBdr>
        </w:div>
      </w:divsChild>
    </w:div>
    <w:div w:id="1967542839">
      <w:bodyDiv w:val="1"/>
      <w:marLeft w:val="0"/>
      <w:marRight w:val="0"/>
      <w:marTop w:val="0"/>
      <w:marBottom w:val="0"/>
      <w:divBdr>
        <w:top w:val="none" w:sz="0" w:space="0" w:color="auto"/>
        <w:left w:val="none" w:sz="0" w:space="0" w:color="auto"/>
        <w:bottom w:val="none" w:sz="0" w:space="0" w:color="auto"/>
        <w:right w:val="none" w:sz="0" w:space="0" w:color="auto"/>
      </w:divBdr>
    </w:div>
    <w:div w:id="2080014031">
      <w:bodyDiv w:val="1"/>
      <w:marLeft w:val="0"/>
      <w:marRight w:val="0"/>
      <w:marTop w:val="0"/>
      <w:marBottom w:val="0"/>
      <w:divBdr>
        <w:top w:val="none" w:sz="0" w:space="0" w:color="auto"/>
        <w:left w:val="none" w:sz="0" w:space="0" w:color="auto"/>
        <w:bottom w:val="none" w:sz="0" w:space="0" w:color="auto"/>
        <w:right w:val="none" w:sz="0" w:space="0" w:color="auto"/>
      </w:divBdr>
    </w:div>
    <w:div w:id="2084519944">
      <w:bodyDiv w:val="1"/>
      <w:marLeft w:val="0"/>
      <w:marRight w:val="0"/>
      <w:marTop w:val="0"/>
      <w:marBottom w:val="0"/>
      <w:divBdr>
        <w:top w:val="none" w:sz="0" w:space="0" w:color="auto"/>
        <w:left w:val="none" w:sz="0" w:space="0" w:color="auto"/>
        <w:bottom w:val="none" w:sz="0" w:space="0" w:color="auto"/>
        <w:right w:val="none" w:sz="0" w:space="0" w:color="auto"/>
      </w:divBdr>
      <w:divsChild>
        <w:div w:id="324164365">
          <w:marLeft w:val="547"/>
          <w:marRight w:val="0"/>
          <w:marTop w:val="96"/>
          <w:marBottom w:val="0"/>
          <w:divBdr>
            <w:top w:val="none" w:sz="0" w:space="0" w:color="auto"/>
            <w:left w:val="none" w:sz="0" w:space="0" w:color="auto"/>
            <w:bottom w:val="none" w:sz="0" w:space="0" w:color="auto"/>
            <w:right w:val="none" w:sz="0" w:space="0" w:color="auto"/>
          </w:divBdr>
        </w:div>
        <w:div w:id="34671226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cholar.google.com.eg/citations?user=KBKI1-UAAAAJ&amp;hl=en&amp;oi=sra" TargetMode="External"/><Relationship Id="rId4" Type="http://schemas.openxmlformats.org/officeDocument/2006/relationships/settings" Target="settings.xml"/><Relationship Id="rId9" Type="http://schemas.openxmlformats.org/officeDocument/2006/relationships/hyperlink" Target="http://scholar.google.com.eg/citations?user=ZODXCmcAAAAJ&amp;hl=en&amp;oi=sr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aliaa@aucegyp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b:Source>
    <b:Tag>Seb111</b:Tag>
    <b:SourceType>JournalArticle</b:SourceType>
    <b:Guid>{D44910BC-C8DB-4602-BDC9-DF14C0D04678}</b:Guid>
    <b:Author>
      <b:Author>
        <b:NameList>
          <b:Person>
            <b:Last>Lobe</b:Last>
            <b:First>Sebastian</b:First>
          </b:Person>
          <b:Person>
            <b:Last>Rieks</b:Last>
            <b:First>Johannes</b:First>
          </b:Person>
        </b:NameList>
      </b:Author>
    </b:Author>
    <b:Title>Short-term market overreaction on the Frankfurt stock exchange</b:Title>
    <b:JournalName>The Quarterly Review of Economics and Finance</b:JournalName>
    <b:Year>2011</b:Year>
    <b:Pages>113-123</b:Pages>
    <b:RefOrder>23</b:RefOrder>
  </b:Source>
  <b:Source>
    <b:Tag>Pau901</b:Tag>
    <b:SourceType>JournalArticle</b:SourceType>
    <b:Guid>{02B41EC7-2381-4273-A3FF-9B9D7A4207C0}</b:Guid>
    <b:Author>
      <b:Author>
        <b:NameList>
          <b:Person>
            <b:Last>Zarowin</b:Last>
            <b:First>Paul</b:First>
          </b:Person>
        </b:NameList>
      </b:Author>
    </b:Author>
    <b:Title>Size, seasonality, and stock market overreaction</b:Title>
    <b:JournalName>Journal of Financial and Quantitative Analysis</b:JournalName>
    <b:Year>1990</b:Year>
    <b:Pages>113-125</b:Pages>
    <b:RefOrder>11</b:RefOrder>
  </b:Source>
  <b:Source>
    <b:Tag>And95</b:Tag>
    <b:SourceType>JournalArticle</b:SourceType>
    <b:Guid>{DF9AB19B-8E36-4C2B-8E90-244257A8DC7B}</b:Guid>
    <b:Author>
      <b:Author>
        <b:NameList>
          <b:Person>
            <b:Last>Clare</b:Last>
            <b:First>Andrew</b:First>
          </b:Person>
          <b:Person>
            <b:Last>Thomas</b:Last>
            <b:First>Stephen</b:First>
          </b:Person>
        </b:NameList>
      </b:Author>
    </b:Author>
    <b:Title>The overreaction hypothesis and the UK stockmarket</b:Title>
    <b:JournalName>Journal of Business Finance &amp; Accounting</b:JournalName>
    <b:Year>1995</b:Year>
    <b:Pages>961-973</b:Pages>
    <b:RefOrder>24</b:RefOrder>
  </b:Source>
  <b:Source>
    <b:Tag>Hen02</b:Tag>
    <b:SourceType>Book</b:SourceType>
    <b:Guid>{02122A08-1250-495C-A086-C57EE584DD8F}</b:Guid>
    <b:Author>
      <b:Author>
        <b:NameList>
          <b:Person>
            <b:Last>Azzam</b:Last>
            <b:First>Henry</b:First>
            <b:Middle>T</b:Middle>
          </b:Person>
        </b:NameList>
      </b:Author>
    </b:Author>
    <b:Title>The Arab world facing the challenge of the new millenium</b:Title>
    <b:Year>2002</b:Year>
    <b:City>London</b:City>
    <b:Publisher>I.B Tauris&amp;Co Ltd</b:Publisher>
    <b:RefOrder>25</b:RefOrder>
  </b:Source>
  <b:Source>
    <b:Tag>The05</b:Tag>
    <b:SourceType>Report</b:SourceType>
    <b:Guid>{65CCCDD5-8FD3-41FF-A879-605CD6270403}</b:Guid>
    <b:Author>
      <b:Author>
        <b:Corporate>The Egyptian Exchange</b:Corporate>
      </b:Author>
    </b:Author>
    <b:Title>Stock Market Annual Report 2005</b:Title>
    <b:Year>2005</b:Year>
    <b:Publisher>The Egyptian Exchange</b:Publisher>
    <b:RefOrder>16</b:RefOrder>
  </b:Source>
  <b:Source>
    <b:Tag>The08</b:Tag>
    <b:SourceType>Report</b:SourceType>
    <b:Guid>{6E9E4274-F772-4FEB-BDEE-9D31DFD8EA6F}</b:Guid>
    <b:Author>
      <b:Author>
        <b:Corporate>The Egyptian Exchange</b:Corporate>
      </b:Author>
    </b:Author>
    <b:Title>EGX Annual Report 2008</b:Title>
    <b:Year>2008</b:Year>
    <b:Publisher>The Egyptian Exchange</b:Publisher>
    <b:RefOrder>17</b:RefOrder>
  </b:Source>
  <b:Source>
    <b:Tag>Placeholder1</b:Tag>
    <b:SourceType>InternetSite</b:SourceType>
    <b:Guid>{3AE19638-5946-4B2A-A0A2-1A2B4A2AA49F}</b:Guid>
    <b:Title>NEWS  Business</b:Title>
    <b:InternetSiteTitle>BBC</b:InternetSiteTitle>
    <b:Year>2014</b:Year>
    <b:Month>March</b:Month>
    <b:Day>23</b:Day>
    <b:URL>http://www.bbc.co.uk/news/business-12845523</b:URL>
    <b:RefOrder>18</b:RefOrder>
  </b:Source>
  <b:Source>
    <b:Tag>The14</b:Tag>
    <b:SourceType>InternetSite</b:SourceType>
    <b:Guid>{16BB71EB-E772-42B4-BF33-5FD950FF3D4E}</b:Guid>
    <b:Year>2014</b:Year>
    <b:InternetSiteTitle>The Egyptian Exchange</b:InternetSiteTitle>
    <b:Month>March</b:Month>
    <b:Day>23</b:Day>
    <b:URL>http://www.egx.com.eg/english/OverviewEGX30.aspx?Nav=1</b:URL>
    <b:RefOrder>15</b:RefOrder>
  </b:Source>
  <b:Source>
    <b:Tag>The13</b:Tag>
    <b:SourceType>InternetSite</b:SourceType>
    <b:Guid>{DE4A76FD-A2C6-41D9-B353-E33C8A0461B1}</b:Guid>
    <b:Author>
      <b:Author>
        <b:Corporate>The Egyptian Exchange</b:Corporate>
      </b:Author>
    </b:Author>
    <b:Title>The Egyptian Exchange</b:Title>
    <b:Year>2013</b:Year>
    <b:InternetSiteTitle>www.egx.com.eg</b:InternetSiteTitle>
    <b:Month>July</b:Month>
    <b:Day>9</b:Day>
    <b:URL>http://www.egx.com.eg/getdoc/971b4aee-6891-4d2d-b600-7bb4f5796eb5/EGX-Semi-Annual-Report-2013_en.aspx</b:URL>
    <b:RefOrder>19</b:RefOrder>
  </b:Source>
  <b:Source>
    <b:Tag>Ruh112</b:Tag>
    <b:SourceType>JournalArticle</b:SourceType>
    <b:Guid>{B4AAAE01-F98B-4067-9F3D-B9A5B007F925}</b:Guid>
    <b:Author>
      <b:Author>
        <b:NameList>
          <b:Person>
            <b:Last>Ali</b:Last>
            <b:First>Ruhani</b:First>
          </b:Person>
          <b:Person>
            <b:Last>Ahmad</b:Last>
            <b:First>Zamri</b:First>
          </b:Person>
          <b:Person>
            <b:Last>Anusakumar</b:Last>
            <b:First>Shangkari</b:First>
            <b:Middle>V.</b:Middle>
          </b:Person>
        </b:NameList>
      </b:Author>
    </b:Author>
    <b:Title>STOCK MARKET OVERREACTION AND TRADING VOLUME: EVIDENCE FROM MALAYSIA</b:Title>
    <b:Year>2011</b:Year>
    <b:JournalName>ASIAN ACADEMY of MANAGEMENT JOURNAL of ACCOUNTING and FINANCE</b:JournalName>
    <b:Pages>103–119</b:Pages>
    <b:RefOrder>9</b:RefOrder>
  </b:Source>
  <b:Source>
    <b:Tag>Dar031</b:Tag>
    <b:SourceType>JournalArticle</b:SourceType>
    <b:Guid>{AA6B1BE9-1933-49E0-8BCC-0A367AE01D6F}</b:Guid>
    <b:Author>
      <b:Author>
        <b:NameList>
          <b:Person>
            <b:Last>Lee</b:Last>
            <b:First>Darren</b:First>
            <b:Middle>D.</b:Middle>
          </b:Person>
          <b:Person>
            <b:Last>Chan</b:Last>
            <b:First>Howard</b:First>
          </b:Person>
          <b:Person>
            <b:Last>Faff</b:Last>
            <b:First>Robert</b:First>
            <b:Middle>W.</b:Middle>
          </b:Person>
          <b:Person>
            <b:Last>Kalev</b:Last>
            <b:First>Petko</b:First>
            <b:Middle>S.</b:Middle>
          </b:Person>
        </b:NameList>
      </b:Author>
    </b:Author>
    <b:Title>Short-term contrarian investing-is it profitable? Yes and No</b:Title>
    <b:Year>2003</b:Year>
    <b:JournalName>Journal of Multinational Financial Management</b:JournalName>
    <b:Pages>385-404</b:Pages>
    <b:RefOrder>26</b:RefOrder>
  </b:Source>
  <b:Source>
    <b:Tag>Don94</b:Tag>
    <b:SourceType>JournalArticle</b:SourceType>
    <b:Guid>{58F7C005-0488-44CE-A1D3-F92FB281373B}</b:Guid>
    <b:Author>
      <b:Author>
        <b:NameList>
          <b:Person>
            <b:Last>Cox</b:Last>
            <b:First>Don</b:First>
            <b:Middle>R.</b:Middle>
          </b:Person>
          <b:Person>
            <b:Last>Peterson</b:Last>
            <b:First>David</b:First>
            <b:Middle>R.</b:Middle>
          </b:Person>
        </b:NameList>
      </b:Author>
    </b:Author>
    <b:Title>Stock Returns Following Large One-Day Declines: Evidence on Short-Term Reversals and Longer-Term Performance</b:Title>
    <b:JournalName>The Journal of Finance</b:JournalName>
    <b:Year>1994</b:Year>
    <b:Pages>255-267</b:Pages>
    <b:RefOrder>13</b:RefOrder>
  </b:Source>
  <b:Source>
    <b:Tag>The131</b:Tag>
    <b:SourceType>Report</b:SourceType>
    <b:Guid>{66455FD8-D0D6-4040-A62F-6D4680D51777}</b:Guid>
    <b:Author>
      <b:Author>
        <b:Corporate>The Egyptian Exchange</b:Corporate>
      </b:Author>
    </b:Author>
    <b:Title>EGX30 Index Methodology</b:Title>
    <b:Year>2013</b:Year>
    <b:Publisher>The egyptian Exchange</b:Publisher>
    <b:City>Cairo</b:City>
    <b:RefOrder>20</b:RefOrder>
  </b:Source>
  <b:Source>
    <b:Tag>Kal11</b:Tag>
    <b:SourceType>JournalArticle</b:SourceType>
    <b:Guid>{CB028DC6-805A-43B6-AEF5-974F4628301D}</b:Guid>
    <b:Author>
      <b:Author>
        <b:NameList>
          <b:Person>
            <b:Last>Kalb</b:Last>
            <b:First>Ruwaidah</b:First>
          </b:Person>
        </b:NameList>
      </b:Author>
    </b:Author>
    <b:Title>Short-Term Overreaction, Underreaction and Efficient Reaction: Evidence from Karachi Stock Exchange</b:Title>
    <b:Year>2011</b:Year>
    <b:JournalName>American Journal of Economics and Development</b:JournalName>
    <b:Pages>2568-5333</b:Pages>
    <b:RefOrder>27</b:RefOrder>
  </b:Source>
  <b:Source>
    <b:Tag>Pan11</b:Tag>
    <b:SourceType>JournalArticle</b:SourceType>
    <b:Guid>{A1967D1D-D110-4416-B08E-780AC477732D}</b:Guid>
    <b:Author>
      <b:Author>
        <b:NameList>
          <b:Person>
            <b:Last>Andrikopoulos</b:Last>
            <b:First>Panagiotis</b:First>
          </b:Person>
          <b:Person>
            <b:Last>Daynes</b:Last>
            <b:First>Arief</b:First>
          </b:Person>
          <b:Person>
            <b:Last>Pagas</b:Last>
            <b:First>Paraskevas</b:First>
          </b:Person>
        </b:NameList>
      </b:Author>
    </b:Author>
    <b:Title>THE TIME-VARYING NATURE OF THE OVERREACTION EFFECT:EVIDENCE FROM THE UK </b:Title>
    <b:JournalName>International Journal of Banking and Finance</b:JournalName>
    <b:Year>2011</b:Year>
    <b:Pages>1-36 </b:Pages>
    <b:RefOrder>28</b:RefOrder>
  </b:Source>
  <b:Source>
    <b:Tag>Spy071</b:Tag>
    <b:SourceType>JournalArticle</b:SourceType>
    <b:Guid>{B36EB1A7-8E71-428D-B364-180044B62BF6}</b:Guid>
    <b:Author>
      <b:Author>
        <b:NameList>
          <b:Person>
            <b:Last>Spyrou</b:Last>
            <b:First>Spyros</b:First>
          </b:Person>
          <b:Person>
            <b:Last>Kassimatis</b:Last>
            <b:First>Konstantinos</b:First>
          </b:Person>
          <b:Person>
            <b:Last>Galariotis</b:Last>
            <b:First>Emilios</b:First>
          </b:Person>
        </b:NameList>
      </b:Author>
    </b:Author>
    <b:Title>Short-term overreaction, underreaction and efficient reaction: evidence from the London Stock Exchange</b:Title>
    <b:JournalName>Applied Financial Economics</b:JournalName>
    <b:Year>2007</b:Year>
    <b:Pages>221–235</b:Pages>
    <b:RefOrder>14</b:RefOrder>
  </b:Source>
  <b:Source>
    <b:Tag>Isa101</b:Tag>
    <b:SourceType>JournalArticle</b:SourceType>
    <b:Guid>{5CA8D7C2-950D-4D8D-884B-9CCA03376B85}</b:Guid>
    <b:Author>
      <b:Author>
        <b:NameList>
          <b:Person>
            <b:Last>Otchere</b:Last>
            <b:First>Isaac</b:First>
          </b:Person>
          <b:Person>
            <b:Last>Chan</b:Last>
            <b:First>Jonathan</b:First>
          </b:Person>
        </b:NameList>
      </b:Author>
    </b:Author>
    <b:Title>Short-Term Overreaction in the Hong Kong Stock Market: Can a Contrarian Trading Strategy Beat the Market?</b:Title>
    <b:JournalName>Journal of Behavioral Finance</b:JournalName>
    <b:Year>2010</b:Year>
    <b:Pages>157–171</b:Pages>
    <b:RefOrder>29</b:RefOrder>
  </b:Source>
  <b:Source>
    <b:Tag>Jen972</b:Tag>
    <b:SourceType>JournalArticle</b:SourceType>
    <b:Guid>{676273A8-3A77-45F0-A718-B852C01F31A6}</b:Guid>
    <b:Author>
      <b:Author>
        <b:NameList>
          <b:Person>
            <b:Last>Conrad</b:Last>
            <b:First>Jennifer</b:First>
          </b:Person>
          <b:Person>
            <b:Last>Gultekin</b:Last>
            <b:First>Mustafa</b:First>
            <b:Middle>N.</b:Middle>
          </b:Person>
          <b:Person>
            <b:Last>Kaul</b:Last>
            <b:First>Gautam</b:First>
          </b:Person>
        </b:NameList>
      </b:Author>
    </b:Author>
    <b:Title>Profitability of Short-Term Contrarian Strategies: Implications for Market Efficiency</b:Title>
    <b:JournalName>Journal of Business &amp; Economic Statistics</b:JournalName>
    <b:Year>1997</b:Year>
    <b:Pages>379-386</b:Pages>
    <b:RefOrder>12</b:RefOrder>
  </b:Source>
  <b:Source>
    <b:Tag>Tho081</b:Tag>
    <b:SourceType>JournalArticle</b:SourceType>
    <b:Guid>{8EAEF3E9-F4BC-4992-8B22-0628899FFCE6}</b:Guid>
    <b:Author>
      <b:Author>
        <b:NameList>
          <b:Person>
            <b:Last>McInish</b:Last>
            <b:First>Thomas</b:First>
            <b:Middle>H.</b:Middle>
          </b:Person>
          <b:Person>
            <b:Last>Ding</b:Last>
            <b:First>David</b:First>
            <b:Middle>K.</b:Middle>
          </b:Person>
          <b:Person>
            <b:Last>Pyun</b:Last>
            <b:First>Chong</b:First>
            <b:Middle>Soo</b:Middle>
          </b:Person>
          <b:Person>
            <b:Last>Wongchoti</b:Last>
            <b:First>Udomsak</b:First>
          </b:Person>
        </b:NameList>
      </b:Author>
    </b:Author>
    <b:Title>Short-horizon contrarian and momentum strategies in Asian markets: An integrated analysis</b:Title>
    <b:JournalName>International Review of Financial Analysis</b:JournalName>
    <b:Year>2008</b:Year>
    <b:Pages>312–329</b:Pages>
    <b:RefOrder>30</b:RefOrder>
  </b:Source>
  <b:Source>
    <b:Tag>ShangkariRuh112</b:Tag>
    <b:SourceType>JournalArticle</b:SourceType>
    <b:Guid>{BC782BA3-407C-4C0A-9CB1-60072C262E9A}</b:Guid>
    <b:Author>
      <b:Author>
        <b:NameList>
          <b:Person>
            <b:Last>Ali</b:Last>
            <b:First>Ruhani</b:First>
          </b:Person>
          <b:Person>
            <b:Last>Ahmad</b:Last>
            <b:First>Zamri</b:First>
          </b:Person>
          <b:Person>
            <b:Last>Anusakumar</b:Last>
            <b:First>Shangkari</b:First>
            <b:Middle>V.</b:Middle>
          </b:Person>
        </b:NameList>
      </b:Author>
    </b:Author>
    <b:Title>STOCK MARKET OVERREACTION AND TRADING VOLUME: EVIDENCE FROM MALAYSIA</b:Title>
    <b:JournalName>ASIAN ACADEMY of MANAGEMENT JOURNAL of ACCOUNTING and FINANCE</b:JournalName>
    <b:Year>2011</b:Year>
    <b:Pages>103–119</b:Pages>
    <b:RefOrder>31</b:RefOrder>
  </b:Source>
  <b:Source>
    <b:Tag>Ruh113</b:Tag>
    <b:SourceType>JournalArticle</b:SourceType>
    <b:Guid>{CF01D1C1-69B1-4D39-BAA6-D0A6D3160E51}</b:Guid>
    <b:Author>
      <b:Author>
        <b:NameList>
          <b:Person>
            <b:Last>Ali</b:Last>
            <b:First>Ruhani</b:First>
          </b:Person>
          <b:Person>
            <b:Last>Ahmad</b:Last>
            <b:First>Zamri</b:First>
          </b:Person>
          <b:Person>
            <b:Last>Anusakumar</b:Last>
            <b:First>Shangkari</b:First>
            <b:Middle>V.</b:Middle>
          </b:Person>
        </b:NameList>
      </b:Author>
    </b:Author>
    <b:JournalName>Asian Academy of Management Journal of Accounting and Finance VOLUME: EVIDENCE FROM MALAYSIA</b:JournalName>
    <b:Year>2011</b:Year>
    <b:Pages>103-119</b:Pages>
    <b:Title>Stock Market Overreaction and trading volume: Evidence from Malaysia</b:Title>
    <b:RefOrder>21</b:RefOrder>
  </b:Source>
  <b:Source>
    <b:Tag>Mar13</b:Tag>
    <b:SourceType>Report</b:SourceType>
    <b:Guid>{2F6B629E-BA12-47D2-89BB-B6402B79BFAE}</b:Guid>
    <b:Author>
      <b:Author>
        <b:NameList>
          <b:Person>
            <b:Last>Perry</b:Last>
            <b:First>Mark</b:First>
            <b:Middle>J.</b:Middle>
          </b:Person>
        </b:NameList>
      </b:Author>
    </b:Author>
    <b:Title>World stock market capitalization closes year at $54.6 trillion</b:Title>
    <b:Year>2013</b:Year>
    <b:RefOrder>3</b:RefOrder>
  </b:Source>
  <b:Source>
    <b:Tag>Mub12</b:Tag>
    <b:SourceType>Report</b:SourceType>
    <b:Guid>{C4B4627D-816A-4B2A-B271-1985B70C254E}</b:Guid>
    <b:Author>
      <b:Author>
        <b:Corporate>Mubasher</b:Corporate>
      </b:Author>
    </b:Author>
    <b:Title>Arab market cap up $59bn in 2012</b:Title>
    <b:Year>2012</b:Year>
    <b:RefOrder>32</b:RefOrder>
  </b:Source>
  <b:Source>
    <b:Tag>MSC14</b:Tag>
    <b:SourceType>InternetSite</b:SourceType>
    <b:Guid>{1D787C2C-99BE-4114-9B56-C0B659DFC3A8}</b:Guid>
    <b:Title>MSCI Emerging Markets Indexes</b:Title>
    <b:Year>2014</b:Year>
    <b:InternetSiteTitle>msci.com</b:InternetSiteTitle>
    <b:Month>April</b:Month>
    <b:Day>25</b:Day>
    <b:URL>http://www.msci.com/products/indexes/country_and_regional/em/</b:URL>
    <b:RefOrder>33</b:RefOrder>
  </b:Source>
  <b:Source>
    <b:Tag>Ben62</b:Tag>
    <b:SourceType>Book</b:SourceType>
    <b:Guid>{05CA4E8F-92A8-48CB-9968-5FACAB8F91DB}</b:Guid>
    <b:Author>
      <b:Author>
        <b:NameList>
          <b:Person>
            <b:Last>Graham</b:Last>
            <b:First>Benjamin</b:First>
          </b:Person>
          <b:Person>
            <b:Last>Dodd</b:Last>
            <b:First>David</b:First>
          </b:Person>
        </b:NameList>
      </b:Author>
    </b:Author>
    <b:Title>Security Analysis: Principles and Techniques</b:Title>
    <b:Year>1962</b:Year>
    <b:City>New York</b:City>
    <b:Publisher>McGraw-Hill</b:Publisher>
    <b:RefOrder>7</b:RefOrder>
  </b:Source>
  <b:Source>
    <b:Tag>Jos94</b:Tag>
    <b:SourceType>JournalArticle</b:SourceType>
    <b:Guid>{043F5C69-7FD4-42C3-800B-5E6FD1260B75}</b:Guid>
    <b:Author>
      <b:Author>
        <b:NameList>
          <b:Person>
            <b:Last>Lakonishok</b:Last>
            <b:First>Josef</b:First>
          </b:Person>
          <b:Person>
            <b:Last>Shleifer</b:Last>
            <b:First>Andrei</b:First>
          </b:Person>
          <b:Person>
            <b:Last>Vishny</b:Last>
            <b:First>Robert</b:First>
            <b:Middle>W.</b:Middle>
          </b:Person>
        </b:NameList>
      </b:Author>
    </b:Author>
    <b:Title>Contrarian Investment, Extrapolation, and Risk</b:Title>
    <b:Year>1994</b:Year>
    <b:JournalName>The Journal of Finance</b:JournalName>
    <b:Pages>1541-1578</b:Pages>
    <b:RefOrder>8</b:RefOrder>
  </b:Source>
  <b:Source>
    <b:Tag>Sah12</b:Tag>
    <b:SourceType>JournalArticle</b:SourceType>
    <b:Guid>{1B9FEA1F-0701-4775-94BC-E9E33A8E62A6}</b:Guid>
    <b:Author>
      <b:Author>
        <b:NameList>
          <b:Person>
            <b:Last>Nawaz</b:Last>
            <b:First>Sahar</b:First>
          </b:Person>
          <b:Person>
            <b:Last>Mirza</b:Last>
            <b:First>Nawazish</b:First>
          </b:Person>
        </b:NameList>
      </b:Author>
    </b:Author>
    <b:Title>Calendar Anomalies and Stock Returns: A Literature Survey</b:Title>
    <b:JournalName>Journal of Basic and Applied Scientific Research</b:JournalName>
    <b:Year>2012</b:Year>
    <b:Pages>12321-12329</b:Pages>
    <b:RefOrder>4</b:RefOrder>
  </b:Source>
  <b:Source>
    <b:Tag>Jos91</b:Tag>
    <b:SourceType>JournalArticle</b:SourceType>
    <b:Guid>{9F7CA11B-5EC2-4E01-9FC8-D19435021E3B}</b:Guid>
    <b:Author>
      <b:Author>
        <b:NameList>
          <b:Person>
            <b:Last>Lakonishok</b:Last>
            <b:First>Josef</b:First>
          </b:Person>
          <b:Person>
            <b:Last>Shleifer</b:Last>
            <b:First>Andrei</b:First>
          </b:Person>
          <b:Person>
            <b:Last>Thaler</b:Last>
            <b:First>Richard</b:First>
          </b:Person>
          <b:Person>
            <b:Last>Vishny</b:Last>
            <b:First>Robert</b:First>
          </b:Person>
        </b:NameList>
      </b:Author>
    </b:Author>
    <b:Title>Window Dressing by pension Fund Managers</b:Title>
    <b:JournalName>The American Economic Review</b:JournalName>
    <b:Year>1991</b:Year>
    <b:Pages>227-231</b:Pages>
    <b:RefOrder>5</b:RefOrder>
  </b:Source>
  <b:Source>
    <b:Tag>Mar06</b:Tag>
    <b:SourceType>JournalArticle</b:SourceType>
    <b:Guid>{83C07C0C-4A65-4C27-A7A5-94A22CDC33A8}</b:Guid>
    <b:Author>
      <b:Author>
        <b:NameList>
          <b:Person>
            <b:Last>Haug</b:Last>
            <b:First>Mark</b:First>
          </b:Person>
          <b:Person>
            <b:Last>Hirschey</b:Last>
            <b:First>Mark</b:First>
          </b:Person>
        </b:NameList>
      </b:Author>
    </b:Author>
    <b:Title>The January Effect</b:Title>
    <b:JournalName>Financial Analysts Journal</b:JournalName>
    <b:Year>2006</b:Year>
    <b:Pages>78-88</b:Pages>
    <b:RefOrder>34</b:RefOrder>
  </b:Source>
  <b:Source>
    <b:Tag>Jay88</b:Tag>
    <b:SourceType>JournalArticle</b:SourceType>
    <b:Guid>{72F0EE12-92E9-4680-A9D6-4DB04139C587}</b:Guid>
    <b:Author>
      <b:Author>
        <b:NameList>
          <b:Person>
            <b:Last>Ritter</b:Last>
            <b:First>Jay</b:First>
            <b:Middle>R.</b:Middle>
          </b:Person>
        </b:NameList>
      </b:Author>
    </b:Author>
    <b:Title>The Buying and Selling Behavior of Individual Investors at the Turn of the Year</b:Title>
    <b:JournalName>The Journal of Finance</b:JournalName>
    <b:Year>1988</b:Year>
    <b:Pages>701-717</b:Pages>
    <b:RefOrder>6</b:RefOrder>
  </b:Source>
  <b:Source>
    <b:Tag>Ken98</b:Tag>
    <b:SourceType>JournalArticle</b:SourceType>
    <b:Guid>{49BFBAAD-6162-4E44-B1F1-613BA73C3E2B}</b:Guid>
    <b:Author>
      <b:Author>
        <b:NameList>
          <b:Person>
            <b:Last>Daniel</b:Last>
            <b:First>Kent</b:First>
          </b:Person>
          <b:Person>
            <b:Last>Hirshleifer</b:Last>
            <b:First>David</b:First>
          </b:Person>
          <b:Person>
            <b:Last>Subrahmanyam</b:Last>
            <b:First>Avanidhar</b:First>
          </b:Person>
        </b:NameList>
      </b:Author>
    </b:Author>
    <b:Title>Investor Psychology and Security Market Under- and Overreactions</b:Title>
    <b:JournalName>THE JOURNAL OF FINANCE</b:JournalName>
    <b:Year>1998</b:Year>
    <b:RefOrder>10</b:RefOrder>
  </b:Source>
  <b:Source>
    <b:Tag>Bru90</b:Tag>
    <b:SourceType>JournalArticle</b:SourceType>
    <b:Guid>{151889C1-BC4C-4B13-9598-1C5ABE6DB3B9}</b:Guid>
    <b:Author>
      <b:Author>
        <b:NameList>
          <b:Person>
            <b:Last>Lehmann</b:Last>
            <b:First>Bruce</b:First>
            <b:Middle>N.</b:Middle>
          </b:Person>
        </b:NameList>
      </b:Author>
    </b:Author>
    <b:Title>Fads, Martingales, and Market Efficiency</b:Title>
    <b:JournalName>The Quarterly Journal of Economics</b:JournalName>
    <b:Year>1990</b:Year>
    <b:Pages>1-28</b:Pages>
    <b:RefOrder>35</b:RefOrder>
  </b:Source>
  <b:Source>
    <b:Tag>All90</b:Tag>
    <b:SourceType>JournalArticle</b:SourceType>
    <b:Guid>{3512F51C-AB65-4331-BE4E-24F950913A36}</b:Guid>
    <b:Author>
      <b:Author>
        <b:NameList>
          <b:Person>
            <b:Last>Atkins</b:Last>
            <b:First>Allen</b:First>
            <b:Middle>B.</b:Middle>
          </b:Person>
          <b:Person>
            <b:Last>Dyl</b:Last>
            <b:First>Edward</b:First>
            <b:Middle>A.</b:Middle>
          </b:Person>
        </b:NameList>
      </b:Author>
    </b:Author>
    <b:Title>Price Reversals, Bid-Ask Spreads, and Market Efficiency</b:Title>
    <b:JournalName>The Journal of Financial and Quantitative Analysis</b:JournalName>
    <b:Year>1990</b:Year>
    <b:Pages>535-547</b:Pages>
    <b:RefOrder>36</b:RefOrder>
  </b:Source>
  <b:Source>
    <b:Tag>Aig98</b:Tag>
    <b:SourceType>JournalArticle</b:SourceType>
    <b:Guid>{CE7E255E-4290-4CE1-9348-2E622058358B}</b:Guid>
    <b:Author>
      <b:Author>
        <b:NameList>
          <b:Person>
            <b:Last>Akhigbe</b:Last>
            <b:First>Aigbe</b:First>
          </b:Person>
          <b:Person>
            <b:Last>Gosnell</b:Last>
            <b:First>Thomas</b:First>
          </b:Person>
          <b:Person>
            <b:Last>T.Harikumar</b:Last>
          </b:Person>
        </b:NameList>
      </b:Author>
    </b:Author>
    <b:Title>winners and Losers on NYSE: A Re-examination Using Daily Closing Bid-Ask Spreads</b:Title>
    <b:JournalName>The Journal of Financial research</b:JournalName>
    <b:Year>1998</b:Year>
    <b:Pages>53-64</b:Pages>
    <b:RefOrder>37</b:RefOrder>
  </b:Source>
  <b:Source>
    <b:Tag>Mar97</b:Tag>
    <b:SourceType>JournalArticle</b:SourceType>
    <b:Guid>{742D5E14-A259-400A-845A-F60D1C8BD66D}</b:Guid>
    <b:Author>
      <b:Author>
        <b:NameList>
          <b:Person>
            <b:Last>Bremer</b:Last>
            <b:First>Marc</b:First>
          </b:Person>
          <b:Person>
            <b:Last>Hiraki</b:Last>
            <b:First>Takato</b:First>
          </b:Person>
          <b:Person>
            <b:Last>Sweeney</b:Last>
            <b:First>Richard</b:First>
            <b:Middle>J.</b:Middle>
          </b:Person>
        </b:NameList>
      </b:Author>
    </b:Author>
    <b:Title>Predictable Patterns after Large Stock Price Changes on the Tokyo Stock Exchange</b:Title>
    <b:JournalName>The Journal of Financial and Quantitative Analysis</b:JournalName>
    <b:Year>1997</b:Year>
    <b:Pages>345-365</b:Pages>
    <b:RefOrder>38</b:RefOrder>
  </b:Source>
  <b:Source>
    <b:Tag>AAl90</b:Tag>
    <b:SourceType>JournalArticle</b:SourceType>
    <b:Guid>{5DFC753C-1FBE-4C74-8805-D8F5822E5BAD}</b:Guid>
    <b:Author>
      <b:Author>
        <b:NameList>
          <b:Person>
            <b:Last>Alonso</b:Last>
            <b:First>A</b:First>
          </b:Person>
          <b:Person>
            <b:Last>Rubio</b:Last>
            <b:First>G</b:First>
          </b:Person>
        </b:NameList>
      </b:Author>
    </b:Author>
    <b:Title>Overreaction in the Spanish equity market</b:Title>
    <b:JournalName>Journal of Banking &amp; Finance</b:JournalName>
    <b:Year>1990</b:Year>
    <b:Pages>469-481</b:Pages>
    <b:RefOrder>39</b:RefOrder>
  </b:Source>
  <b:Source>
    <b:Tag>New94</b:Tag>
    <b:SourceType>JournalArticle</b:SourceType>
    <b:Guid>{684036CA-1E0A-4343-80FB-6FC78450F4BC}</b:Guid>
    <b:Author>
      <b:Author>
        <b:NameList>
          <b:Person>
            <b:Last>Costa</b:Last>
            <b:First>NCA</b:First>
            <b:Middle>da</b:Middle>
          </b:Person>
        </b:NameList>
      </b:Author>
    </b:Author>
    <b:Title>Overreaction in the Brazilian stock market</b:Title>
    <b:JournalName>Journal of Banking &amp; Finance</b:JournalName>
    <b:Year>1994</b:Year>
    <b:Pages>633-642</b:Pages>
    <b:RefOrder>40</b:RefOrder>
  </b:Source>
  <b:Source>
    <b:Tag>Dan11</b:Tag>
    <b:SourceType>JournalArticle</b:SourceType>
    <b:Guid>{33D3693C-4E38-48B5-8446-D8E52897F0D5}</b:Guid>
    <b:Author>
      <b:Author>
        <b:NameList>
          <b:Person>
            <b:Last>Maher</b:Last>
            <b:First>Daniela</b:First>
          </b:Person>
          <b:Person>
            <b:Last>Parikh</b:Last>
            <b:First>Anokhi</b:First>
          </b:Person>
        </b:NameList>
      </b:Author>
    </b:Author>
    <b:Title>Short-term under/overreaction, anticipation or uncertainty avoidance? Evidence from India</b:Title>
    <b:JournalName>Journal of International Financial Markets, Institutions &amp; Money</b:JournalName>
    <b:Year>2011</b:Year>
    <b:Pages>560–584</b:Pages>
    <b:RefOrder>41</b:RefOrder>
  </b:Source>
  <b:Source>
    <b:Tag>Oli01</b:Tag>
    <b:SourceType>JournalArticle</b:SourceType>
    <b:Guid>{0D6FE5AC-91BD-46D5-9171-FFA82B5391F9}</b:Guid>
    <b:Author>
      <b:Author>
        <b:NameList>
          <b:Person>
            <b:Last>Schnusenberg</b:Last>
            <b:First>Oliver</b:First>
          </b:Person>
          <b:Person>
            <b:Last>Madura</b:Last>
            <b:First>Jeff</b:First>
          </b:Person>
        </b:NameList>
      </b:Author>
    </b:Author>
    <b:Title>Do U.S. Stock Market Indexes Over-Or Underreact?</b:Title>
    <b:JournalName>The Journal of Financial Research</b:JournalName>
    <b:Year>2001</b:Year>
    <b:Pages>179-204</b:Pages>
    <b:RefOrder>42</b:RefOrder>
  </b:Source>
  <b:Source>
    <b:Tag>Mah01</b:Tag>
    <b:SourceType>JournalArticle</b:SourceType>
    <b:Guid>{4CFA98A1-765D-4F46-BE21-6DAF17E66AD6}</b:Guid>
    <b:Author>
      <b:Author>
        <b:NameList>
          <b:Person>
            <b:Last>Pritamani</b:Last>
            <b:First>Mahesh</b:First>
          </b:Person>
          <b:Person>
            <b:Last>Singal</b:Last>
            <b:First>Vijay</b:First>
          </b:Person>
        </b:NameList>
      </b:Author>
    </b:Author>
    <b:Title>Return predictability following large price changes and information releases</b:Title>
    <b:JournalName>Journal of Banking and Finance</b:JournalName>
    <b:Year>2001</b:Year>
    <b:Pages>631-656</b:Pages>
    <b:RefOrder>43</b:RefOrder>
  </b:Source>
  <b:Source>
    <b:Tag>Nar93</b:Tag>
    <b:SourceType>JournalArticle</b:SourceType>
    <b:Guid>{AB151FD2-752F-401C-BE9C-6749A6C76C16}</b:Guid>
    <b:Author>
      <b:Author>
        <b:NameList>
          <b:Person>
            <b:Last>Jegadeesh</b:Last>
            <b:First>Narasimhan</b:First>
          </b:Person>
          <b:Person>
            <b:Last>Titman</b:Last>
            <b:First>Sheridan</b:First>
          </b:Person>
        </b:NameList>
      </b:Author>
    </b:Author>
    <b:Title>Returns to Buying Winners and Selling Losers: Implications for Stock Market Efficiency</b:Title>
    <b:Year>1993</b:Year>
    <b:JournalName>The Journal of Finance</b:JournalName>
    <b:Pages>65-91</b:Pages>
    <b:RefOrder>44</b:RefOrder>
  </b:Source>
  <b:Source>
    <b:Tag>Lou96</b:Tag>
    <b:SourceType>JournalArticle</b:SourceType>
    <b:Guid>{80CAB2F7-3BA4-4B35-94C3-A66BD80FD945}</b:Guid>
    <b:Author>
      <b:Author>
        <b:NameList>
          <b:Person>
            <b:Last>Chan</b:Last>
            <b:First>Louis</b:First>
            <b:Middle>K. C.</b:Middle>
          </b:Person>
          <b:Person>
            <b:Last>Jegadeesh</b:Last>
            <b:First>Narasimhan</b:First>
          </b:Person>
          <b:Person>
            <b:Last>Lakonishok</b:Last>
            <b:First>Josef</b:First>
          </b:Person>
        </b:NameList>
      </b:Author>
    </b:Author>
    <b:Title>Momentum Strategies </b:Title>
    <b:JournalName>THE JOURNAL OF FINANCE</b:JournalName>
    <b:Year>1996</b:Year>
    <b:Pages>1681-1713</b:Pages>
    <b:RefOrder>45</b:RefOrder>
  </b:Source>
  <b:Source>
    <b:Tag>Gis02</b:Tag>
    <b:SourceType>JournalArticle</b:SourceType>
    <b:Guid>{07882F03-AA52-4012-9B99-23C4335DE40D}</b:Guid>
    <b:Author>
      <b:Author>
        <b:NameList>
          <b:Person>
            <b:Last>Dissanaike</b:Last>
            <b:First>Gishan</b:First>
          </b:Person>
        </b:NameList>
      </b:Author>
    </b:Author>
    <b:Title>Does the size effect explain the UK winner-loser effect?</b:Title>
    <b:JournalName>Journal of Business Finance&amp;Accounting</b:JournalName>
    <b:Year>2002</b:Year>
    <b:RefOrder>46</b:RefOrder>
  </b:Source>
  <b:Source>
    <b:Tag>Pin07</b:Tag>
    <b:SourceType>JournalArticle</b:SourceType>
    <b:Guid>{8B3FBD4E-F8C5-4C0A-8C05-D30BA6F9BBE5}</b:Guid>
    <b:Author>
      <b:Author>
        <b:NameList>
          <b:Person>
            <b:Last>Chou</b:Last>
            <b:First>Pin-Huang</b:First>
          </b:Person>
          <b:Person>
            <b:Last>Wei</b:Last>
            <b:First>K.C.</b:First>
            <b:Middle>John</b:Middle>
          </b:Person>
          <b:Person>
            <b:Last>Chung</b:Last>
            <b:First>Huimin</b:First>
          </b:Person>
        </b:NameList>
      </b:Author>
    </b:Author>
    <b:Title>Sources of contrarian profits in the Japanese stock market</b:Title>
    <b:JournalName>Journal of Empirical Finance</b:JournalName>
    <b:Year>2007</b:Year>
    <b:Pages>261–286</b:Pages>
    <b:RefOrder>47</b:RefOrder>
  </b:Source>
  <b:Source>
    <b:Tag>All00</b:Tag>
    <b:SourceType>JournalArticle</b:SourceType>
    <b:Guid>{081F2BCE-71D4-4DF9-ABB4-6D7F74EDCD81}</b:Guid>
    <b:Author>
      <b:Author>
        <b:NameList>
          <b:Person>
            <b:Last>Hameed</b:Last>
            <b:First>Allaudeen</b:First>
          </b:Person>
          <b:Person>
            <b:Last>Ting</b:Last>
            <b:First>Serena</b:First>
          </b:Person>
        </b:NameList>
      </b:Author>
    </b:Author>
    <b:Title>Trading volume and short-horizon contrarian profits: Evidence from the Malaysian market</b:Title>
    <b:JournalName>Pacific-Basin Finance Journal</b:JournalName>
    <b:Year>2000</b:Year>
    <b:Pages>67–84</b:Pages>
    <b:RefOrder>48</b:RefOrder>
  </b:Source>
  <b:Source>
    <b:Tag>Jen98</b:Tag>
    <b:SourceType>JournalArticle</b:SourceType>
    <b:Guid>{4E8CE03D-9F75-43C8-A669-E47A6819D88D}</b:Guid>
    <b:Author>
      <b:Author>
        <b:NameList>
          <b:Person>
            <b:Last>Conrad</b:Last>
            <b:First>Jennifer</b:First>
          </b:Person>
          <b:Person>
            <b:Last>Kaul</b:Last>
            <b:First>Gautam</b:First>
          </b:Person>
        </b:NameList>
      </b:Author>
    </b:Author>
    <b:Title>An Anatomy of Trading Strategies</b:Title>
    <b:JournalName>he Review of Financial Studies</b:JournalName>
    <b:Year>1998</b:Year>
    <b:Pages>489-519</b:Pages>
    <b:RefOrder>49</b:RefOrder>
  </b:Source>
  <b:Source>
    <b:Tag>Hun99</b:Tag>
    <b:SourceType>JournalArticle</b:SourceType>
    <b:Guid>{40BAF32C-7C43-4A76-A445-3E48B7D1EC5A}</b:Guid>
    <b:Author>
      <b:Author>
        <b:NameList>
          <b:Person>
            <b:Last>Fung</b:Last>
            <b:First>Hung-Gay</b:First>
          </b:Person>
          <b:Person>
            <b:Last>Leung</b:Last>
            <b:First>Wai</b:First>
            <b:Middle>K.</b:Middle>
          </b:Person>
          <b:Person>
            <b:Last>Patterson</b:Last>
            <b:First>Gary</b:First>
            <b:Middle>A.</b:Middle>
          </b:Person>
        </b:NameList>
      </b:Author>
    </b:Author>
    <b:Title>Do Trading Rules Based upon Winners and Losers Work Across Markets? Evidence from the Pacific Basin and U.S. Marke</b:Title>
    <b:JournalName>Multinational Finance Journal</b:JournalName>
    <b:Year>1999</b:Year>
    <b:Pages>41–70</b:Pages>
    <b:RefOrder>50</b:RefOrder>
  </b:Source>
  <b:Source>
    <b:Tag>Sha13</b:Tag>
    <b:SourceType>JournalArticle</b:SourceType>
    <b:Guid>{AAB10E2B-AE98-46AA-AC16-8299BFE70AA3}</b:Guid>
    <b:Author>
      <b:Author>
        <b:NameList>
          <b:Person>
            <b:Last>Iqbal</b:Last>
            <b:First>Shahid</b:First>
          </b:Person>
          <b:Person>
            <b:Last>Hussain</b:Last>
            <b:First>Nazik</b:First>
          </b:Person>
          <b:Person>
            <b:Last>Latif</b:Last>
            <b:First>Madiha</b:First>
          </b:Person>
          <b:Person>
            <b:Last>Aslam</b:Last>
            <b:First>Sumaira</b:First>
          </b:Person>
        </b:NameList>
      </b:Author>
    </b:Author>
    <b:Title>Investor Type and Financial Market Anomalies: A Comparison of Individual, Institutional and Foreign Investors and Role of Their Behaviors in Investing Decisions</b:Title>
    <b:JournalName>Middle-East Journal of Scientific Research</b:JournalName>
    <b:Year>2013</b:Year>
    <b:Pages>1591-1596</b:Pages>
    <b:RefOrder>2</b:RefOrder>
  </b:Source>
  <b:Source>
    <b:Tag>Amo86</b:Tag>
    <b:SourceType>JournalArticle</b:SourceType>
    <b:Guid>{C42F53A4-F289-47E3-8252-079164B31EC0}</b:Guid>
    <b:Author>
      <b:Author>
        <b:NameList>
          <b:Person>
            <b:Last>Tversky</b:Last>
            <b:First>Amos</b:First>
          </b:Person>
          <b:Person>
            <b:Last>Kahneman</b:Last>
            <b:First>Daniel</b:First>
          </b:Person>
        </b:NameList>
      </b:Author>
    </b:Author>
    <b:Title>Rational choice and the framing of decisions</b:Title>
    <b:JournalName>Journal of Business</b:JournalName>
    <b:Year>1986</b:Year>
    <b:Pages>251-278</b:Pages>
    <b:RefOrder>51</b:RefOrder>
  </b:Source>
  <b:Source>
    <b:Tag>Evi</b:Tag>
    <b:SourceType>BookSection</b:SourceType>
    <b:Guid>{B6B5E9B5-0AC4-4BB7-BB14-9F477B2ABF09}</b:Guid>
    <b:Title>Evidence on the Efficient Market Hypothesis</b:Title>
    <b:RefOrder>52</b:RefOrder>
  </b:Source>
  <b:Source>
    <b:Tag>And90</b:Tag>
    <b:SourceType>JournalArticle</b:SourceType>
    <b:Guid>{E9266F6B-CE72-4845-B10F-0D703669DF1F}</b:Guid>
    <b:Author>
      <b:Author>
        <b:NameList>
          <b:Person>
            <b:Last>Lo</b:Last>
            <b:First>Andrew</b:First>
            <b:Middle>W.</b:Middle>
          </b:Person>
          <b:Person>
            <b:Last>MacKinlay</b:Last>
            <b:First>A.</b:First>
            <b:Middle>Craig</b:Middle>
          </b:Person>
        </b:NameList>
      </b:Author>
    </b:Author>
    <b:Title>When are Contrarian Profits Due to Stock Market Overreaction?</b:Title>
    <b:Year>1990</b:Year>
    <b:Pages>175-205</b:Pages>
    <b:JournalName>The Review of Financial Studies</b:JournalName>
    <b:RefOrder>53</b:RefOrder>
  </b:Source>
  <b:Source>
    <b:Tag>Kei88</b:Tag>
    <b:SourceType>JournalArticle</b:SourceType>
    <b:Guid>{6005C11F-5A28-4394-85C2-2B931B7AC8F5}</b:Guid>
    <b:Author>
      <b:Author>
        <b:NameList>
          <b:Person>
            <b:Last>C.Brown</b:Last>
            <b:First>Keith</b:First>
          </b:Person>
          <b:Person>
            <b:Last>W.V.Harlow</b:Last>
          </b:Person>
          <b:Person>
            <b:Last>M.Tinic</b:Last>
            <b:First>Seha</b:First>
          </b:Person>
        </b:NameList>
      </b:Author>
    </b:Author>
    <b:Title>Risk aversion, uncertain information, and market efficiency</b:Title>
    <b:JournalName>Journal of financial economics</b:JournalName>
    <b:Year>1988</b:Year>
    <b:Pages>355-385</b:Pages>
    <b:RefOrder>54</b:RefOrder>
  </b:Source>
  <b:Source>
    <b:Tag>Moh03</b:Tag>
    <b:SourceType>JournalArticle</b:SourceType>
    <b:Guid>{CAE81843-BB20-4476-A51C-97CDF3312DF2}</b:Guid>
    <b:Author>
      <b:Author>
        <b:NameList>
          <b:Person>
            <b:Last>Musa</b:Last>
            <b:First>Mohammad</b:First>
          </b:Person>
          <b:Person>
            <b:Last>Morshed</b:Last>
            <b:First>Mokhdum</b:First>
          </b:Person>
        </b:NameList>
      </b:Author>
    </b:Author>
    <b:Title>An Empirical Test of Uncertain Information Hypothesis in Bangladesh Stock Exchange</b:Title>
    <b:JournalName>The Journal of Developing Areas</b:JournalName>
    <b:Year>2003</b:Year>
    <b:Pages>85-99</b:Pages>
    <b:RefOrder>55</b:RefOrder>
  </b:Source>
  <b:Source>
    <b:Tag>Eug70</b:Tag>
    <b:SourceType>JournalArticle</b:SourceType>
    <b:Guid>{D114D2A8-8682-458C-A9DE-F56C4086E9E4}</b:Guid>
    <b:Author>
      <b:Author>
        <b:NameList>
          <b:Person>
            <b:Last>Fama</b:Last>
            <b:First>Eugene</b:First>
            <b:Middle>F.</b:Middle>
          </b:Person>
        </b:NameList>
      </b:Author>
    </b:Author>
    <b:Title>Efficient Capital Markets: A Review of Theory and Empirical Work</b:Title>
    <b:Year>1970</b:Year>
    <b:JournalName>The Journal of Finance </b:JournalName>
    <b:Pages>383-417</b:Pages>
    <b:RefOrder>56</b:RefOrder>
  </b:Source>
  <b:Source xmlns:b="http://schemas.openxmlformats.org/officeDocument/2006/bibliography">
    <b:Tag>Eug95</b:Tag>
    <b:SourceType>JournalArticle</b:SourceType>
    <b:Guid>{03768AAD-AD55-4B4E-920F-79443DB4CBDD}</b:Guid>
    <b:Author>
      <b:Author>
        <b:NameList>
          <b:Person>
            <b:Last>F.Fama</b:Last>
            <b:First>Eugene</b:First>
          </b:Person>
        </b:NameList>
      </b:Author>
    </b:Author>
    <b:Title>Random Walks in Stock Market Prices</b:Title>
    <b:JournalName>Financial Analysts Journal</b:JournalName>
    <b:Year>1995</b:Year>
    <b:Pages>75-80</b:Pages>
    <b:RefOrder>1</b:RefOrder>
  </b:Source>
  <b:Source>
    <b:Tag>Eug98</b:Tag>
    <b:SourceType>JournalArticle</b:SourceType>
    <b:Guid>{C4EDDFEB-F9CF-404E-BC77-AE611D9503AD}</b:Guid>
    <b:Author>
      <b:Author>
        <b:NameList>
          <b:Person>
            <b:Last>Fama</b:Last>
            <b:First>Eugene</b:First>
            <b:Middle>F.</b:Middle>
          </b:Person>
        </b:NameList>
      </b:Author>
    </b:Author>
    <b:Title>Market efficiency, long-term returns, and behavioral finance</b:Title>
    <b:JournalName>Journal of Financial Economics</b:JournalName>
    <b:Year>1998</b:Year>
    <b:Pages>283Ð306</b:Pages>
    <b:RefOrder>22</b:RefOrder>
  </b:Source>
  <b:Source>
    <b:Tag>Wer85</b:Tag>
    <b:SourceType>JournalArticle</b:SourceType>
    <b:Guid>{18784C94-A28B-41BF-9583-9BF3F3EC683F}</b:Guid>
    <b:Author>
      <b:Author>
        <b:NameList>
          <b:Person>
            <b:Last>DeBondt</b:Last>
            <b:First>Werner</b:First>
            <b:Middle>F. M.</b:Middle>
          </b:Person>
          <b:Person>
            <b:Last>Thaler</b:Last>
            <b:First>Richard</b:First>
          </b:Person>
        </b:NameList>
      </b:Author>
    </b:Author>
    <b:Title>Does the Stock Market Overreact?</b:Title>
    <b:Year>1985</b:Year>
    <b:JournalName>The Journal of Finance</b:JournalName>
    <b:Pages>793-805</b:Pages>
    <b:RefOrder>57</b:RefOrder>
  </b:Source>
  <b:Source>
    <b:Tag>Placeholder2</b:Tag>
    <b:SourceType>InternetSite</b:SourceType>
    <b:Guid>{AAA407B4-A47D-4518-B8B4-2060F6610536}</b:Guid>
    <b:Year>2014</b:Year>
    <b:InternetSiteTitle>The Egyptian Exchange</b:InternetSiteTitle>
    <b:Month>March</b:Month>
    <b:Day>23</b:Day>
    <b:URL>http://www.egx.com.eg/english/OverviewEGX30.aspx?Nav=1</b:URL>
    <b:LCID>0</b:LCID>
    <b:Title>Egx 30 Index</b:Title>
    <b:Author>
      <b:Author>
        <b:Corporate>The Egyptian Exchange</b:Corporate>
      </b:Author>
    </b:Author>
    <b:RefOrder>21</b:RefOrder>
  </b:Source>
  <b:Source>
    <b:Tag>Dar032</b:Tag>
    <b:SourceType>JournalArticle</b:SourceType>
    <b:Guid>{B9658C93-61F8-4880-A730-C42C85ABB2EE}</b:Guid>
    <b:LCID>0</b:LCID>
    <b:Author>
      <b:Author>
        <b:NameList>
          <b:Person>
            <b:Last>Lee</b:Last>
            <b:First>Darren</b:First>
            <b:Middle>D.</b:Middle>
          </b:Person>
          <b:Person>
            <b:Last>Chan</b:Last>
            <b:First>Howard</b:First>
          </b:Person>
          <b:Person>
            <b:Last>W.Faff</b:Last>
            <b:First>Robert</b:First>
          </b:Person>
          <b:Person>
            <b:Last>Kalev</b:Last>
            <b:First>Petko</b:First>
            <b:Middle>S.</b:Middle>
          </b:Person>
        </b:NameList>
      </b:Author>
    </b:Author>
    <b:Title>Short-term contrarian investing—is it profitable? … Yes and No</b:Title>
    <b:JournalName>Journal of Multinational Financial Management</b:JournalName>
    <b:Year>2003</b:Year>
    <b:Pages> 385-404</b:Pages>
    <b:RefOrder>58</b:RefOrder>
  </b:Source>
  <b:Source>
    <b:Tag>Placeholder3</b:Tag>
    <b:SourceType>InternetSite</b:SourceType>
    <b:Guid>{C78DE14E-7DAF-4B6B-8406-347F20958074}</b:Guid>
    <b:Title>NEWS  Business</b:Title>
    <b:InternetSiteTitle>BBC</b:InternetSiteTitle>
    <b:Year>2014</b:Year>
    <b:Month>March</b:Month>
    <b:Day>23</b:Day>
    <b:URL>http://www.bbc.co.uk/news/business-12845523</b:URL>
    <b:LCID>0</b:LCID>
    <b:Author>
      <b:Author>
        <b:Corporate>BBC News</b:Corporate>
      </b:Author>
    </b:Author>
    <b:RefOrder>24</b:RefOrder>
  </b:Source>
  <b:Source>
    <b:Tag>Hen11</b:Tag>
    <b:SourceType>JournalArticle</b:SourceType>
    <b:Guid>{EC7FB52E-7486-4984-B37F-E38EE2AA0E71}</b:Guid>
    <b:LCID>0</b:LCID>
    <b:Author>
      <b:Author>
        <b:NameList>
          <b:Person>
            <b:Last>Hsieh</b:Last>
            <b:First>Heng-Hsing</b:First>
          </b:Person>
          <b:Person>
            <b:Last>Hodnett</b:Last>
            <b:First>Kathleen</b:First>
          </b:Person>
        </b:NameList>
      </b:Author>
    </b:Author>
    <b:Title>Tests of the Overreaction Hypothesis and the timing of Mean Reversals on the JSE Securities Exchange (JSE): the Case of South Africa</b:Title>
    <b:JournalName>Journal of Applied Finance &amp; Banking</b:JournalName>
    <b:Year>2011</b:Year>
    <b:Pages>107-130</b:Pages>
    <b:RefOrder>60</b:RefOrder>
  </b:Source>
</b:Sources>
</file>

<file path=customXml/itemProps1.xml><?xml version="1.0" encoding="utf-8"?>
<ds:datastoreItem xmlns:ds="http://schemas.openxmlformats.org/officeDocument/2006/customXml" ds:itemID="{E9C8A576-BD40-462A-90AC-BEC491142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11</Pages>
  <Words>5036</Words>
  <Characters>28711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Amira Yasser</dc:creator>
  <cp:lastModifiedBy>AUC</cp:lastModifiedBy>
  <cp:revision>42</cp:revision>
  <cp:lastPrinted>2014-05-14T11:34:00Z</cp:lastPrinted>
  <dcterms:created xsi:type="dcterms:W3CDTF">2014-05-14T11:49:00Z</dcterms:created>
  <dcterms:modified xsi:type="dcterms:W3CDTF">2014-06-04T13:50:00Z</dcterms:modified>
</cp:coreProperties>
</file>