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05714" w14:textId="49D6750F" w:rsidR="00F71210" w:rsidRDefault="00D8075F">
      <w:pPr>
        <w:jc w:val="center"/>
        <w:rPr>
          <w:b/>
        </w:rPr>
      </w:pPr>
      <w:r>
        <w:rPr>
          <w:b/>
        </w:rPr>
        <w:t xml:space="preserve">Impact of </w:t>
      </w:r>
      <w:r w:rsidR="0004642E">
        <w:rPr>
          <w:b/>
        </w:rPr>
        <w:t>Ownership Structure</w:t>
      </w:r>
      <w:r>
        <w:rPr>
          <w:b/>
        </w:rPr>
        <w:t xml:space="preserve"> and</w:t>
      </w:r>
      <w:r w:rsidR="0004642E">
        <w:rPr>
          <w:b/>
        </w:rPr>
        <w:t xml:space="preserve"> Cost Efficiency </w:t>
      </w:r>
      <w:r>
        <w:rPr>
          <w:b/>
        </w:rPr>
        <w:t>on</w:t>
      </w:r>
      <w:r w:rsidR="0004642E">
        <w:rPr>
          <w:b/>
        </w:rPr>
        <w:t xml:space="preserve"> Profitability of US Banks</w:t>
      </w:r>
    </w:p>
    <w:p w14:paraId="4D29662B" w14:textId="77777777" w:rsidR="00F71210" w:rsidRDefault="00F71210">
      <w:pPr>
        <w:rPr>
          <w:b/>
        </w:rPr>
      </w:pPr>
    </w:p>
    <w:p w14:paraId="48415989" w14:textId="77777777" w:rsidR="00F71210" w:rsidRDefault="00F71210">
      <w:pPr>
        <w:rPr>
          <w:i/>
          <w:sz w:val="20"/>
          <w:szCs w:val="20"/>
        </w:rPr>
      </w:pPr>
    </w:p>
    <w:p w14:paraId="0E14B56A" w14:textId="77777777" w:rsidR="00F71210" w:rsidRDefault="00F71210">
      <w:pPr>
        <w:rPr>
          <w:i/>
          <w:sz w:val="20"/>
          <w:szCs w:val="20"/>
        </w:rPr>
      </w:pPr>
    </w:p>
    <w:p w14:paraId="4B80526A" w14:textId="77777777" w:rsidR="00F71210" w:rsidRDefault="0004642E" w:rsidP="004D21AE">
      <w:pPr>
        <w:spacing w:line="360" w:lineRule="auto"/>
        <w:jc w:val="center"/>
        <w:rPr>
          <w:b/>
          <w:sz w:val="22"/>
          <w:szCs w:val="22"/>
        </w:rPr>
      </w:pPr>
      <w:r>
        <w:rPr>
          <w:b/>
          <w:sz w:val="22"/>
          <w:szCs w:val="22"/>
        </w:rPr>
        <w:t>Abstract</w:t>
      </w:r>
    </w:p>
    <w:p w14:paraId="7FFDD0B4" w14:textId="77777777" w:rsidR="00772463" w:rsidRPr="00772463" w:rsidRDefault="00772463" w:rsidP="0077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iCs/>
          <w:sz w:val="22"/>
          <w:szCs w:val="22"/>
          <w:lang w:val="en-BD"/>
        </w:rPr>
      </w:pPr>
      <w:r w:rsidRPr="00772463">
        <w:rPr>
          <w:i/>
          <w:iCs/>
          <w:sz w:val="22"/>
          <w:szCs w:val="22"/>
          <w:bdr w:val="none" w:sz="0" w:space="0" w:color="auto" w:frame="1"/>
          <w:lang w:val="en-BD"/>
        </w:rPr>
        <w:t>This study examines the impact of ownership structure and cost efficiency on the profitability of U.S. commercial and savings banks and provides recent empirical evidence. In doing so, we control for other important bank-specific, industry-specific, and macroeconomic determinants of bank profitability. To this end, we apply the System Generalized Method of Moments (SGMM), a dynamic panel data model estimation procedure, to a panel data set of 5174 observations from 454 U.S. banks, including 394 commercial banks and 60 savings banks. We find that foreign banks are less profitable than domestic banks, that listed banks are more profitable than unlisted or privately owned banks, and that the cost efficiency of the banks in question is positively associated with their profitability. Our results show that commercial banks are less profitable than savings banks and that bank profitability was lower during the crisis than during the normal period, which in turn sheds light on the effects of bank specialization and the crisis period. As for the other controlled variables, profitability is significantly positively affected by the return on equity in the previous year, the size of the bank in the current year, and inflation, while the capital level of banks, market capitalization, and the growth rate of money supply in the economy have a significantly negative effect on the profitability of U.S. commercial and savings banks.</w:t>
      </w:r>
    </w:p>
    <w:p w14:paraId="690DA967" w14:textId="77777777" w:rsidR="00F71210" w:rsidRDefault="0004642E">
      <w:pPr>
        <w:pBdr>
          <w:top w:val="nil"/>
          <w:left w:val="nil"/>
          <w:bottom w:val="nil"/>
          <w:right w:val="nil"/>
          <w:between w:val="nil"/>
        </w:pBdr>
        <w:spacing w:before="120" w:after="120" w:line="360" w:lineRule="auto"/>
        <w:jc w:val="both"/>
        <w:rPr>
          <w:i/>
          <w:color w:val="000000"/>
          <w:sz w:val="22"/>
          <w:szCs w:val="22"/>
        </w:rPr>
      </w:pPr>
      <w:r>
        <w:rPr>
          <w:i/>
          <w:color w:val="000000"/>
          <w:sz w:val="22"/>
          <w:szCs w:val="22"/>
        </w:rPr>
        <w:t>Keywords: Bank Profitability, SGMM, Cost Efficiency, Dynamic Panel Data.</w:t>
      </w:r>
    </w:p>
    <w:p w14:paraId="4C28B227" w14:textId="77777777" w:rsidR="00F71210" w:rsidRDefault="0004642E">
      <w:pPr>
        <w:pBdr>
          <w:top w:val="nil"/>
          <w:left w:val="nil"/>
          <w:bottom w:val="nil"/>
          <w:right w:val="nil"/>
          <w:between w:val="nil"/>
        </w:pBdr>
        <w:spacing w:before="120" w:after="120" w:line="360" w:lineRule="auto"/>
        <w:jc w:val="both"/>
        <w:rPr>
          <w:i/>
          <w:color w:val="000000"/>
          <w:sz w:val="22"/>
          <w:szCs w:val="22"/>
        </w:rPr>
      </w:pPr>
      <w:r>
        <w:rPr>
          <w:i/>
          <w:color w:val="000000"/>
          <w:sz w:val="22"/>
          <w:szCs w:val="22"/>
        </w:rPr>
        <w:t xml:space="preserve">JEL Classification: G21, C23 </w:t>
      </w:r>
    </w:p>
    <w:p w14:paraId="504764EC" w14:textId="77777777" w:rsidR="00F71210" w:rsidRDefault="0004642E">
      <w:pPr>
        <w:rPr>
          <w:i/>
          <w:sz w:val="20"/>
          <w:szCs w:val="20"/>
        </w:rPr>
      </w:pPr>
      <w:r>
        <w:br w:type="page"/>
      </w:r>
    </w:p>
    <w:p w14:paraId="5DF79B02" w14:textId="1EDBFD25" w:rsidR="00F71210" w:rsidRDefault="00291E25">
      <w:pPr>
        <w:spacing w:before="120" w:after="120" w:line="360" w:lineRule="auto"/>
        <w:rPr>
          <w:b/>
        </w:rPr>
      </w:pPr>
      <w:r>
        <w:rPr>
          <w:b/>
        </w:rPr>
        <w:lastRenderedPageBreak/>
        <w:t xml:space="preserve">1.0 </w:t>
      </w:r>
      <w:r w:rsidR="0004642E">
        <w:rPr>
          <w:b/>
        </w:rPr>
        <w:t>Introduction</w:t>
      </w:r>
    </w:p>
    <w:p w14:paraId="4E7C7E8A" w14:textId="7FAC7359" w:rsidR="00A44ECB" w:rsidRDefault="00A44ECB" w:rsidP="00A44ECB">
      <w:pPr>
        <w:spacing w:before="120" w:after="120" w:line="360" w:lineRule="auto"/>
        <w:ind w:firstLine="720"/>
        <w:jc w:val="both"/>
      </w:pPr>
      <w:r>
        <w:t>The welfare of the banking sector is an engine of economic growth (Rajan and Zingales, 2003; Levine, 1997, 1998). Golin (2001) states that banks must earn enough to grow, survive, prosper, and maintain solvency. Anber and Alper (2011) and Athanasoglou et al. (2008) find that a well-functioning banking sector is better able to combat risk and ensure financial stability. Current knowledge of the factors affecting bank profitability is very important for bank managers and other stakeholders such as the regulators and other financial authorities because information about these factors would help them make informed and efficient decisions in an environment of changing banking systems. Therefore, analyses of bank profitability have attracted the interest of researchers and bank regulators. Short (1979) and Bourke (1989) provide the early studies of bank profitability. Since then, many studies have been conducted to identify the factors affecting bank profitability, not only in the U.S. and Europe, but also in other countries around the world.</w:t>
      </w:r>
    </w:p>
    <w:p w14:paraId="48878E99" w14:textId="77777777" w:rsidR="00A44ECB" w:rsidRDefault="00A44ECB" w:rsidP="00A44ECB">
      <w:pPr>
        <w:spacing w:before="120" w:after="120" w:line="360" w:lineRule="auto"/>
        <w:ind w:firstLine="720"/>
        <w:jc w:val="both"/>
      </w:pPr>
      <w:r>
        <w:t xml:space="preserve">As far as we know, very few studies have looked at the impact of ownership structure and management efficiency on bank performance. Ownership structure has been shown to have a significant impact on bank profitability. On the one hand, foreign banks are more profitable than domestic banks because of their economies of scale and scope (see, e.g., International Monetary Funds, 2000; Detragiache and Gupta, 2004). On the other hand, listed banks are more profitable than unlisted private banks because they have good and effective corporate governance. In addition, management efficiency has a positive effect on profitability because efficient management brings more business to banks and achieves higher output with less resources. Analysing the determinants of profitability without considering the effects of ownership structure and management efficiency is not only incomplete, but also suffers from omitted variable bias. Therefore, we consider ownership structure as one of the main determinants in this study. Moreover, in today's complex banking sector, the effective and efficient management of banks depends solely on ownership structure. As mentioned earlier, foreign banks that have better economies of scale and scope than their domestic counterparts are more profitable because the operations of these banks are managed by prudent individuals. </w:t>
      </w:r>
      <w:proofErr w:type="gramStart"/>
      <w:r>
        <w:t>First of all</w:t>
      </w:r>
      <w:proofErr w:type="gramEnd"/>
      <w:r>
        <w:t>, if a bank is a public bank, it has to follow the corporate governance, internal compliance structure and various regulations of the Securities and Exchange Commission and the Registrar of Companies, which in turn makes a bank manage its business more carefully and become profitable to survive in the market. Finally, management efficiency, the critical element of a bank's operations, contributes to a bank's profitability by reducing operating costs and achieving higher output with limited resources.</w:t>
      </w:r>
    </w:p>
    <w:p w14:paraId="7D7296C2" w14:textId="1BEEF841" w:rsidR="00A44ECB" w:rsidRDefault="00A44ECB" w:rsidP="00A44ECB">
      <w:pPr>
        <w:spacing w:before="120" w:after="120" w:line="360" w:lineRule="auto"/>
        <w:ind w:firstLine="720"/>
        <w:jc w:val="both"/>
      </w:pPr>
      <w:r>
        <w:lastRenderedPageBreak/>
        <w:t xml:space="preserve">Therefore, we are investigating the impact of ownership structure and managerial efficiency (measured by cost efficiency using the SFA method) on profitability by analysing recent data from U.S. banks. Our main hypothesis is simply that foreign and listed banks are more profitable than their domestic and unlisted counterparts </w:t>
      </w:r>
      <w:r w:rsidR="000B14B0">
        <w:t xml:space="preserve">respectively </w:t>
      </w:r>
      <w:r>
        <w:t xml:space="preserve">and that efficiency positively affects bank profitability. The remaining sections of the study are organised as follows: Section two provides a brief </w:t>
      </w:r>
      <w:r w:rsidR="002D4061">
        <w:t>review of the literature</w:t>
      </w:r>
      <w:r>
        <w:t xml:space="preserve">; section three discusses the details of the methodological aspects of the study; section four discusses the empirical results and our findings; and finally, section five concludes our overall analysis and findings with an indication </w:t>
      </w:r>
      <w:r w:rsidR="002D4061">
        <w:t xml:space="preserve">to the limitations and </w:t>
      </w:r>
      <w:r>
        <w:t>the scope of further research.</w:t>
      </w:r>
    </w:p>
    <w:p w14:paraId="21868B9D" w14:textId="77777777" w:rsidR="00E838B8" w:rsidRDefault="00E838B8" w:rsidP="00E838B8">
      <w:pPr>
        <w:spacing w:before="120" w:after="120" w:line="360" w:lineRule="auto"/>
        <w:jc w:val="both"/>
      </w:pPr>
    </w:p>
    <w:p w14:paraId="7F027D6E" w14:textId="64EE7F76" w:rsidR="00F71210" w:rsidRPr="00E838B8" w:rsidRDefault="00310292" w:rsidP="00E838B8">
      <w:pPr>
        <w:spacing w:before="120" w:after="120" w:line="360" w:lineRule="auto"/>
        <w:jc w:val="both"/>
      </w:pPr>
      <w:r w:rsidRPr="00310292">
        <w:rPr>
          <w:b/>
          <w:bCs/>
        </w:rPr>
        <w:t>2.0 Literature Review</w:t>
      </w:r>
    </w:p>
    <w:p w14:paraId="6958350B" w14:textId="77777777" w:rsidR="00654133" w:rsidRDefault="00654133" w:rsidP="00654133">
      <w:pPr>
        <w:spacing w:before="120" w:after="120" w:line="360" w:lineRule="auto"/>
        <w:ind w:firstLine="720"/>
        <w:jc w:val="both"/>
      </w:pPr>
      <w:r>
        <w:t>The analysis of the impact of ownership structure on bank profitability has attracted many researchers because ownership structure rationalizes various qualitative aspects of an organization, including moral hazard problems of managers, agency problems, and internal control and compliance mechanisms. Belkhir (2005) argues that concentrated ownership reduces the agency problem between managers and owners by separating ownership and control. They also add that shareholders' interests are best served by managers when there is a high equity stake in a firm, as this constrains their moral hazard behavior. Most studies have found that there is a relationship between the ownership status of banks and their performance. The International Monetary Fund (2000) reports that in Poland, Hungary, and the Czech Republic, foreign banks significantly outperformed domestic banks in profitability (ROE). Detragiache and Gupta (2004) claim that foreign banks had higher profitability, better capitalization, and lower nonperforming loans than domestic banks during the Asian crisis. In addition, Micco et al. (2004), DeYong and Nolle (1996), and Bonin et al. (2005) find that foreign-owned banks perform better than domestic banks in developing countries. The researchers point out that foreign banks cite economies of scale and scope, better organizational structure, better ability to diversify risk, and better corporate governance as reasons for their better profitability compared to domestic banks. Awdeh (2005) notes that there is a difference between the organization and structure of foreign banks and domestic banks, which leads to differences in the economies of scale and scope and cost structure of these two groups of banks.</w:t>
      </w:r>
    </w:p>
    <w:p w14:paraId="25EB1FFE" w14:textId="45A465A4" w:rsidR="00654133" w:rsidRDefault="00654133" w:rsidP="00654133">
      <w:pPr>
        <w:spacing w:before="120" w:after="120" w:line="360" w:lineRule="auto"/>
        <w:ind w:firstLine="720"/>
        <w:jc w:val="both"/>
      </w:pPr>
      <w:r>
        <w:t xml:space="preserve">However, Claessens et al. (2001) report higher overhead costs, lower profitability, and lower interest margins for foreign banks in developing countries. They also argue that the presence of foreign banks puts pressure on domestic banks to increase their efficiency </w:t>
      </w:r>
      <w:proofErr w:type="gramStart"/>
      <w:r>
        <w:t>in order to</w:t>
      </w:r>
      <w:proofErr w:type="gramEnd"/>
      <w:r>
        <w:t xml:space="preserve"> protect their market share, and that domestic banks therefore become more efficient than </w:t>
      </w:r>
      <w:r>
        <w:lastRenderedPageBreak/>
        <w:t>foreign banks. In addition, DeYong and Nolle (1996) find that domestic banks were significantly more efficient than foreign banks operating in the United States. In addition, Sturm and Williams (2004) find that domestic banks were less efficient in inputs than foreign banks due to greater scale efficiency but were superior in profitability. Finally, Bourke (1989) and Molyneux and Thornton (1992) contend that ownership status is not relevant as an explanatory variable for bank profitability.</w:t>
      </w:r>
    </w:p>
    <w:p w14:paraId="41582400" w14:textId="77777777" w:rsidR="00654133" w:rsidRDefault="00654133" w:rsidP="00654133">
      <w:pPr>
        <w:spacing w:before="120" w:after="120" w:line="360" w:lineRule="auto"/>
        <w:ind w:firstLine="720"/>
        <w:jc w:val="both"/>
      </w:pPr>
      <w:r>
        <w:t>Moreover, there are listed banks compared to privately owned banks. The profitability experience of listed banks is also mixed. On the one hand, publicly financed or listed banks, which are more regulated and subject to more disclosure requirements and corporate governance, earn less profit; on the other hand, these banks, which are more disciplined and efficient, may also earn higher profits. In addition, we can assume that the listing of banks has an impact of corporate governance on the profitability of banks. Good corporate governance helps to reduce the agency problem and make managers work more efficiently to achieve the goal of asset maximisation. Many studies (e.g., Johnson et al. 2000; and Becht et al. 2002) have blamed the failure of corporate governance as one of the main reasons for the Asian financial crisis, the recent global financial crisis in the U.S. and worldwide. Zulkafli and Samad (2007) and Barth et al. (2006) cite numerous studies emphasising the importance of corporate governance for banks. A sound governance mechanism faced by managers ensures that they use the capital and savings of the society efficiently (Caprio et al., 2007).</w:t>
      </w:r>
    </w:p>
    <w:p w14:paraId="078260B7" w14:textId="3CC5144A" w:rsidR="00F71210" w:rsidRDefault="00654133" w:rsidP="00654133">
      <w:pPr>
        <w:spacing w:before="120" w:after="120" w:line="360" w:lineRule="auto"/>
        <w:ind w:firstLine="720"/>
        <w:jc w:val="both"/>
      </w:pPr>
      <w:r>
        <w:t xml:space="preserve">Finally, very few studies have examined the impact of efficiency or managerial effectiveness on profitability. </w:t>
      </w:r>
      <w:proofErr w:type="gramStart"/>
      <w:r>
        <w:t>In order to</w:t>
      </w:r>
      <w:proofErr w:type="gramEnd"/>
      <w:r>
        <w:t xml:space="preserve"> analyse the effect of efficiency, the studies mainly use the ratio of costs to revenues, which does not capture the efficiency of banks' management. According to </w:t>
      </w:r>
      <w:proofErr w:type="spellStart"/>
      <w:r>
        <w:t>Demirgueç</w:t>
      </w:r>
      <w:proofErr w:type="spellEnd"/>
      <w:r>
        <w:t xml:space="preserve"> and Huizinga (1999), 83% of banks' operating costs have a direct negative impact on profits, while the remaining 17% is passed on to lenders and depositors. Berger (1995) finds a positive relationship between efficiency (cost efficiency) and profit for banks. Therefore, there is a dearth of studies analysing the impact of management efficiency on profitability.</w:t>
      </w:r>
    </w:p>
    <w:p w14:paraId="0551FA09" w14:textId="0333E902" w:rsidR="00654133" w:rsidRPr="00654133" w:rsidRDefault="00654133" w:rsidP="00654133">
      <w:pPr>
        <w:spacing w:before="120" w:after="120" w:line="360" w:lineRule="auto"/>
        <w:ind w:firstLine="720"/>
        <w:jc w:val="both"/>
        <w:rPr>
          <w:color w:val="000000"/>
        </w:rPr>
      </w:pPr>
      <w:r w:rsidRPr="00654133">
        <w:rPr>
          <w:color w:val="000000"/>
        </w:rPr>
        <w:t xml:space="preserve">Among the other determinants (used as controlled variables) of bank profitability, size, measured by the natural logarithm of total assets, is an important bank-specific determinant of profitability. Boyd and Runkle (1993) find that larger banks can benefit from economies of scale by reducing the cost of information acquisition and processing. However, the nature of the relationship between size and profitability found in the literature is inconsistent (Kosmidou, 2008). Altunbas et al. (2001) and Berger and Humphrey (1997) find economies of scale for large banks. Bank asset quality, which also indicates credit risk, is another determinant, as poor </w:t>
      </w:r>
      <w:r w:rsidRPr="00654133">
        <w:rPr>
          <w:color w:val="000000"/>
        </w:rPr>
        <w:lastRenderedPageBreak/>
        <w:t>asset quality, as measured by increased nonperforming loans (NPLs) as a share of gross loans, negatively affects profitability by limiting the funds that can be lent (Garcia-Herrero, et al. 2009). Moreover, Brock and Rojas-Suarez (2000) confirm the same relationship and argue that this is since banks try to distort the inappropriate regulations by misreporting their credit losses. Moreover, the liquidity ratio, as measured by the ratio of liquid assets to deposits, also affects profitability because more liquidity means more inactive assets and less loans. According to Pasiouras and Kosmidou (2007) and Kosmidou (2008), higher liquidity lowers return and negatively affects profitability. Finally, among bank-specific determinants, higher capitalization, as measured by total equity relative to total assets, promotes bank profitability. According to Gracia-Herrero et al. (2009), there are several reasons for this. First, capital serves as a risk buffer, and when the market allows, well-capitalised banks make reasonable loans, and as loans increase, so does profitability. Second, banks with sufficient capital, which is a sign of creditworthiness, can lower funding costs because of the market discipline exercised by depositors. Similarly, Berger (1995) and Goddard et al. (2004) find a positive relationship between capital and profitability for U.S. banks.</w:t>
      </w:r>
    </w:p>
    <w:p w14:paraId="67C55DF5" w14:textId="09059E04" w:rsidR="00654133" w:rsidRPr="00654133" w:rsidRDefault="00654133" w:rsidP="00654133">
      <w:pPr>
        <w:spacing w:before="120" w:after="120" w:line="360" w:lineRule="auto"/>
        <w:ind w:firstLine="720"/>
        <w:jc w:val="both"/>
        <w:rPr>
          <w:color w:val="000000"/>
        </w:rPr>
      </w:pPr>
      <w:r w:rsidRPr="00654133">
        <w:rPr>
          <w:color w:val="000000"/>
        </w:rPr>
        <w:t xml:space="preserve">Among industry-specific factors, bank concentration or market power ranks first. According to the structure-behaviour-performance hypothesis, concentration, which is a proxy for market power, positively affects bank profitability, as the positive relationship between interest margin and concentration suggests non-competitive pricing behaviour (Gracia-Herrero, et al. 2009). Berger (1995) admits, and the efficient structure hypothesis explains, that banks with higher market shares and efficiency gains gain concentration power and become more profitable. Short (1979), Gilbert (1984), and Bourke (1989) have found a significant positive relationship between bank concentration and profitability. In addition, the development of the stock market, measured by market capitalization as a percentage of GDP, is also a factor affecting bank profitability, since a developed and active stock market, which is a substitute source of funds, reduces the demand for bank loans and affects bank profitability. Similarly, </w:t>
      </w:r>
      <w:proofErr w:type="spellStart"/>
      <w:r w:rsidRPr="00654133">
        <w:rPr>
          <w:color w:val="000000"/>
        </w:rPr>
        <w:t>Demirguç</w:t>
      </w:r>
      <w:proofErr w:type="spellEnd"/>
      <w:r w:rsidRPr="00654133">
        <w:rPr>
          <w:color w:val="000000"/>
        </w:rPr>
        <w:t xml:space="preserve"> and Huizinga (1999) find a negative relationship between stock market development and profitability.</w:t>
      </w:r>
    </w:p>
    <w:p w14:paraId="41DEF542" w14:textId="77777777" w:rsidR="00654133" w:rsidRDefault="00654133" w:rsidP="00654133">
      <w:pPr>
        <w:spacing w:before="120" w:after="120" w:line="360" w:lineRule="auto"/>
        <w:ind w:firstLine="720"/>
        <w:jc w:val="both"/>
      </w:pPr>
      <w:r>
        <w:t xml:space="preserve">Finally, there are macroeconomic factors that affect bank profitability. Economic growth, as measured by the growth rate of gross domestic product (GDP), affects banks' credit risk, borrowers' ability to repay, and the value of collateral, and thus banks' profitability. Kosmidou (2008) also finds a positive relationship between economic growth and bank profitability as measured by return on assets. </w:t>
      </w:r>
      <w:proofErr w:type="spellStart"/>
      <w:r>
        <w:t>Demirgueç</w:t>
      </w:r>
      <w:proofErr w:type="spellEnd"/>
      <w:r>
        <w:t xml:space="preserve"> and Huizinga (1999) find that rapid economic growth increases bank profitability. In addition, a higher interest rate can also </w:t>
      </w:r>
      <w:r>
        <w:lastRenderedPageBreak/>
        <w:t xml:space="preserve">positively affect profitability due to higher interest income (Gracia-Herrero, et al. 2009). However, higher interest rates can reduce the demand for bank loans and affect profitability. In addition, inflation affects profitability because stable and lower inflation, which lowers interest rates and affects productivity in the economy, can increase the demand for bank loans. Athanasoglou et al (2008), </w:t>
      </w:r>
      <w:proofErr w:type="spellStart"/>
      <w:r>
        <w:t>Demirgueç</w:t>
      </w:r>
      <w:proofErr w:type="spellEnd"/>
      <w:r>
        <w:t xml:space="preserve"> and Huizinga (1999) and Bourke et al (1989) have found a positive relationship between inflation and profitability. According to Perry (1992), the nature of the impact of inflation on profitability depends on the ability of bank managers to correctly anticipate inflation. Kosmidou (2008), who finds a negative relationship between inflation and profitability, states that inflation will positively affect profitability if it is properly </w:t>
      </w:r>
      <w:proofErr w:type="gramStart"/>
      <w:r>
        <w:t>anticipated</w:t>
      </w:r>
      <w:proofErr w:type="gramEnd"/>
      <w:r>
        <w:t xml:space="preserve"> and revenues are adjusted more quickly, otherwise the opposite will be true. Moreover, the quantity theory of money states that the level of money supply has a direct impact on the price level and nominal GDP. When the money supply increases, interest rates fall and corporate demand for bank credit is high. Mamatzakis and Remoundos (2003) find a significant positive relationship between profitability and money supply. However, due to the increased money supply in the economy, the demand for bank loans may also decrease and thus the opportunity for banks to make profits.</w:t>
      </w:r>
    </w:p>
    <w:p w14:paraId="76E8DC7E" w14:textId="77777777" w:rsidR="00654133" w:rsidRDefault="00654133" w:rsidP="00654133">
      <w:pPr>
        <w:spacing w:before="120" w:after="120" w:line="360" w:lineRule="auto"/>
        <w:ind w:firstLine="720"/>
        <w:jc w:val="both"/>
      </w:pPr>
      <w:r>
        <w:t>An examination of the existing literature on profitability determinants reveals some interesting gaps in the literature. First, very few studies focus on analysing the impact of foreign and public ownership of banks on profitability. Second, the use of managerial efficiency (measured with an SFA model) as a determinant of bank profitability is very rare, especially in the studies that focus on U.S. banks, as most studies use the cost-to-income ratio as a proxy for cost efficiency, which is not a good proxy for managerial efficiency. Therefore, this study is significant as it attempts to fill these gaps in the literature.</w:t>
      </w:r>
    </w:p>
    <w:p w14:paraId="66C69A0B" w14:textId="77777777" w:rsidR="00BC0580" w:rsidRDefault="00BC0580">
      <w:pPr>
        <w:spacing w:before="120" w:after="120" w:line="360" w:lineRule="auto"/>
        <w:jc w:val="both"/>
        <w:rPr>
          <w:b/>
        </w:rPr>
      </w:pPr>
    </w:p>
    <w:p w14:paraId="3AB5E31C" w14:textId="37E1A6BE" w:rsidR="00F71210" w:rsidRDefault="002A6ADB">
      <w:pPr>
        <w:spacing w:before="120" w:after="120" w:line="360" w:lineRule="auto"/>
        <w:jc w:val="both"/>
        <w:rPr>
          <w:b/>
        </w:rPr>
      </w:pPr>
      <w:r>
        <w:rPr>
          <w:b/>
        </w:rPr>
        <w:t>3</w:t>
      </w:r>
      <w:r w:rsidR="0004642E">
        <w:rPr>
          <w:b/>
        </w:rPr>
        <w:t>.0 Methodology and Data</w:t>
      </w:r>
    </w:p>
    <w:p w14:paraId="32EC74B0" w14:textId="3E645B6B" w:rsidR="00654133" w:rsidRPr="00654133" w:rsidRDefault="00654133" w:rsidP="00654133">
      <w:pPr>
        <w:pBdr>
          <w:top w:val="nil"/>
          <w:left w:val="nil"/>
          <w:bottom w:val="nil"/>
          <w:right w:val="nil"/>
          <w:between w:val="nil"/>
        </w:pBdr>
        <w:spacing w:before="120" w:after="120" w:line="360" w:lineRule="auto"/>
        <w:ind w:firstLine="720"/>
        <w:jc w:val="both"/>
        <w:rPr>
          <w:color w:val="000000"/>
        </w:rPr>
      </w:pPr>
      <w:r w:rsidRPr="00654133">
        <w:rPr>
          <w:color w:val="000000"/>
        </w:rPr>
        <w:t xml:space="preserve">In our study, we attempt to examine the effects of ownership structure and cost efficiency on U.S. bank profitability by modelling the determinants of bank profitability. We use a panel data set to achieve our objective. However, modelling bank profitability with panel data is always challenging for the researcher because the combination of cross-sectional and time-series data can lead to unobserved heterogeneity in the dataset. Moreover, with a dynamic panel data model (models with at least one lagged dependent variable as the independent variable), which allows for time persistent gradual adjustment of profitability considering the effects of the remaining lagged information, the model is more prone to the problem of endogeneity since the lagged values and their lagged error terms have a greater chance of being </w:t>
      </w:r>
      <w:r w:rsidRPr="00654133">
        <w:rPr>
          <w:color w:val="000000"/>
        </w:rPr>
        <w:lastRenderedPageBreak/>
        <w:t>correlated with the current error term. Moreover, the problem of endogeneity is exacerbated using efficiency values in the profitability model because there is substantial reverse causality between bank efficiency and profitability. For example, more cost-efficient banks are more profitable, but the level of profitability or profit target also affects efficient cost management. Therefore, we should carefully consider unobserved heterogeneity and the endogeneity problem when modelling bank profitability.</w:t>
      </w:r>
    </w:p>
    <w:p w14:paraId="3A3277D7" w14:textId="56C989D2" w:rsidR="00654133" w:rsidRPr="00654133" w:rsidRDefault="00654133" w:rsidP="00654133">
      <w:pPr>
        <w:pBdr>
          <w:top w:val="nil"/>
          <w:left w:val="nil"/>
          <w:bottom w:val="nil"/>
          <w:right w:val="nil"/>
          <w:between w:val="nil"/>
        </w:pBdr>
        <w:spacing w:before="120" w:after="120" w:line="360" w:lineRule="auto"/>
        <w:ind w:firstLine="720"/>
        <w:jc w:val="both"/>
        <w:rPr>
          <w:color w:val="000000"/>
        </w:rPr>
      </w:pPr>
      <w:r w:rsidRPr="00654133">
        <w:rPr>
          <w:color w:val="000000"/>
        </w:rPr>
        <w:t xml:space="preserve">Much work has subsequently been done to solve the heterogeneity and endogeneity problem in DPD. Among these works, Anderson and Hsiao (1981 and 1982) are the pioneers who proposed a first differenced two-stage least squares (2SLS), which helped to eliminate individual effects and used the instrumental variable method (IV) to solve the endogeneity problem. However, this method is not able to capture all the information in the sample (Arrelano and Bond, 1991). In addition, Arrelano and Bond (1991) proposed the generalized difference method (GMM). GMM combines the information in the moment population and economic data to produce estimates of the unknown parameters. It uses the lagged values of the explanatory variables as instrumental variables so that the IVs always remain internal. GMM estimates ensure that the sample moment conditions are as true as possible by minimizing the objective function (Baum, 2007). However, difference-in-differences GMM suffers from reduced test power because first differencing of level values reduces variation in explanatory variables and bad IVs when variables approach a random walk (Arrelano and Bover, 1995; Blundell and Bond, 1998). As a solution to these problems, Arellano and Bover (1995) and Blundell and Bond (1998) propose the SGMM, which estimates regression in differences jointly with regression in levels as a system of equations. Therefore, this study uses the SGMM method proposed by Arellano and Bover (1995) and Blundell and Bond (1998) to estimate and </w:t>
      </w:r>
      <w:proofErr w:type="spellStart"/>
      <w:r w:rsidRPr="00654133">
        <w:rPr>
          <w:color w:val="000000"/>
        </w:rPr>
        <w:t>analyze</w:t>
      </w:r>
      <w:proofErr w:type="spellEnd"/>
      <w:r w:rsidRPr="00654133">
        <w:rPr>
          <w:color w:val="000000"/>
        </w:rPr>
        <w:t xml:space="preserve"> the determinants of profitability and reports the results in accordance with the suggestions of Roodman (2009). The method was also chosen in accordance with Bond's (2001) guidelines that SGMM provides more efficient estimates than difference-GMM because it controls for unobserved heterogeneity and endogeneity and in a data set with small time dimension and large cross-section as in this study.</w:t>
      </w:r>
    </w:p>
    <w:p w14:paraId="4757EE83" w14:textId="6F701715" w:rsidR="00F71210" w:rsidRDefault="0004642E">
      <w:pPr>
        <w:pBdr>
          <w:top w:val="nil"/>
          <w:left w:val="nil"/>
          <w:bottom w:val="nil"/>
          <w:right w:val="nil"/>
          <w:between w:val="nil"/>
        </w:pBdr>
        <w:spacing w:before="120" w:after="120" w:line="360" w:lineRule="auto"/>
        <w:jc w:val="both"/>
        <w:rPr>
          <w:color w:val="000000"/>
        </w:rPr>
      </w:pPr>
      <w:r>
        <w:rPr>
          <w:b/>
          <w:i/>
          <w:color w:val="000000"/>
        </w:rPr>
        <w:t>The Model</w:t>
      </w:r>
    </w:p>
    <w:p w14:paraId="1365EF1C" w14:textId="3FB80F3E" w:rsidR="00F71210" w:rsidRDefault="00CB6E57">
      <w:pPr>
        <w:pBdr>
          <w:top w:val="nil"/>
          <w:left w:val="nil"/>
          <w:bottom w:val="nil"/>
          <w:right w:val="nil"/>
          <w:between w:val="nil"/>
        </w:pBdr>
        <w:spacing w:before="120" w:line="360" w:lineRule="auto"/>
        <w:ind w:firstLine="720"/>
        <w:jc w:val="both"/>
        <w:rPr>
          <w:color w:val="000000"/>
        </w:rPr>
      </w:pPr>
      <w:r>
        <w:rPr>
          <w:color w:val="000000"/>
        </w:rPr>
        <w:t>The</w:t>
      </w:r>
      <w:r w:rsidR="0004642E">
        <w:rPr>
          <w:color w:val="000000"/>
        </w:rPr>
        <w:t xml:space="preserve"> following </w:t>
      </w:r>
      <w:r w:rsidR="00F94DAE">
        <w:rPr>
          <w:color w:val="000000"/>
        </w:rPr>
        <w:t xml:space="preserve">econometric </w:t>
      </w:r>
      <w:r w:rsidR="0004642E">
        <w:rPr>
          <w:color w:val="000000"/>
        </w:rPr>
        <w:t xml:space="preserve">model is estimated to analyse the effects of </w:t>
      </w:r>
      <w:r w:rsidR="00F94DAE">
        <w:rPr>
          <w:color w:val="000000"/>
        </w:rPr>
        <w:t xml:space="preserve">ownership structure, cost efficiency, and other </w:t>
      </w:r>
      <w:r w:rsidR="0004642E">
        <w:rPr>
          <w:color w:val="000000"/>
        </w:rPr>
        <w:t>determinants of bank profitability.</w:t>
      </w:r>
    </w:p>
    <w:p w14:paraId="4892BEA4" w14:textId="77777777" w:rsidR="00F71210" w:rsidRDefault="00F71210">
      <w:pPr>
        <w:pBdr>
          <w:top w:val="nil"/>
          <w:left w:val="nil"/>
          <w:bottom w:val="nil"/>
          <w:right w:val="nil"/>
          <w:between w:val="nil"/>
        </w:pBdr>
        <w:spacing w:before="120" w:line="360" w:lineRule="auto"/>
        <w:jc w:val="both"/>
        <w:rPr>
          <w:color w:val="000000"/>
          <w:sz w:val="4"/>
          <w:szCs w:val="4"/>
        </w:rPr>
      </w:pPr>
    </w:p>
    <w:p w14:paraId="40A87FA1" w14:textId="07C6CBEA" w:rsidR="00F71210" w:rsidRDefault="009C6D12">
      <w:pPr>
        <w:jc w:val="center"/>
        <w:rPr>
          <w:rFonts w:ascii="Cambria Math" w:eastAsia="Cambria Math" w:hAnsi="Cambria Math" w:cs="Cambria Math"/>
          <w:color w:val="000000"/>
          <w:sz w:val="22"/>
          <w:szCs w:val="22"/>
        </w:rPr>
      </w:pPr>
      <m:oMathPara>
        <m:oMath>
          <m:sSub>
            <m:sSubPr>
              <m:ctrlPr>
                <w:rPr>
                  <w:rFonts w:ascii="Cambria Math" w:eastAsia="Cambria Math" w:hAnsi="Cambria Math" w:cs="Cambria Math"/>
                  <w:color w:val="000000"/>
                  <w:sz w:val="22"/>
                  <w:szCs w:val="22"/>
                </w:rPr>
              </m:ctrlPr>
            </m:sSubPr>
            <m:e>
              <m:r>
                <w:rPr>
                  <w:rFonts w:ascii="Cambria Math" w:eastAsia="Cambria Math" w:hAnsi="Cambria Math" w:cs="Cambria Math"/>
                  <w:color w:val="000000"/>
                  <w:sz w:val="22"/>
                  <w:szCs w:val="22"/>
                </w:rPr>
                <m:t>ROAE</m:t>
              </m:r>
            </m:e>
            <m:sub>
              <m:r>
                <w:rPr>
                  <w:rFonts w:ascii="Cambria Math" w:eastAsia="Cambria Math" w:hAnsi="Cambria Math" w:cs="Cambria Math"/>
                  <w:color w:val="000000"/>
                  <w:sz w:val="22"/>
                  <w:szCs w:val="22"/>
                </w:rPr>
                <m:t>it</m:t>
              </m:r>
            </m:sub>
          </m:sSub>
          <m:r>
            <w:rPr>
              <w:rFonts w:ascii="Cambria Math" w:eastAsia="Cambria Math" w:hAnsi="Cambria Math" w:cs="Cambria Math"/>
              <w:color w:val="000000"/>
              <w:sz w:val="22"/>
              <w:szCs w:val="22"/>
            </w:rPr>
            <m:t>=</m:t>
          </m:r>
          <m:sSub>
            <m:sSubPr>
              <m:ctrlPr>
                <w:rPr>
                  <w:rFonts w:ascii="Cambria Math" w:eastAsia="Cambria Math" w:hAnsi="Cambria Math" w:cs="Cambria Math"/>
                  <w:color w:val="000000"/>
                  <w:sz w:val="22"/>
                  <w:szCs w:val="22"/>
                </w:rPr>
              </m:ctrlPr>
            </m:sSubPr>
            <m:e>
              <m:r>
                <w:rPr>
                  <w:rFonts w:ascii="Cambria Math" w:eastAsia="Cambria Math" w:hAnsi="Cambria Math" w:cs="Cambria Math"/>
                  <w:color w:val="000000"/>
                  <w:sz w:val="22"/>
                  <w:szCs w:val="22"/>
                </w:rPr>
                <m:t>C</m:t>
              </m:r>
            </m:e>
            <m:sub>
              <m:r>
                <w:rPr>
                  <w:rFonts w:ascii="Cambria Math" w:eastAsia="Cambria Math" w:hAnsi="Cambria Math" w:cs="Cambria Math"/>
                  <w:color w:val="000000"/>
                  <w:sz w:val="22"/>
                  <w:szCs w:val="22"/>
                </w:rPr>
                <m:t>0</m:t>
              </m:r>
            </m:sub>
          </m:sSub>
          <m:r>
            <w:rPr>
              <w:rFonts w:ascii="Cambria Math" w:eastAsia="Cambria Math" w:hAnsi="Cambria Math" w:cs="Cambria Math"/>
              <w:color w:val="000000"/>
              <w:sz w:val="22"/>
              <w:szCs w:val="22"/>
            </w:rPr>
            <m:t>+a</m:t>
          </m:r>
          <m:sSub>
            <m:sSubPr>
              <m:ctrlPr>
                <w:rPr>
                  <w:rFonts w:ascii="Cambria Math" w:eastAsia="Cambria Math" w:hAnsi="Cambria Math" w:cs="Cambria Math"/>
                  <w:color w:val="000000"/>
                  <w:sz w:val="22"/>
                  <w:szCs w:val="22"/>
                </w:rPr>
              </m:ctrlPr>
            </m:sSubPr>
            <m:e>
              <m:r>
                <w:rPr>
                  <w:rFonts w:ascii="Cambria Math" w:eastAsia="Cambria Math" w:hAnsi="Cambria Math" w:cs="Cambria Math"/>
                  <w:color w:val="000000"/>
                  <w:sz w:val="22"/>
                  <w:szCs w:val="22"/>
                </w:rPr>
                <m:t>ROAE</m:t>
              </m:r>
            </m:e>
            <m:sub>
              <m:r>
                <w:rPr>
                  <w:rFonts w:ascii="Cambria Math" w:eastAsia="Cambria Math" w:hAnsi="Cambria Math" w:cs="Cambria Math"/>
                  <w:color w:val="000000"/>
                  <w:sz w:val="22"/>
                  <w:szCs w:val="22"/>
                </w:rPr>
                <m:t>it-1</m:t>
              </m:r>
            </m:sub>
          </m:sSub>
          <m:sSub>
            <m:sSubPr>
              <m:ctrlPr>
                <w:rPr>
                  <w:rFonts w:ascii="Cambria Math" w:eastAsia="Cambria Math" w:hAnsi="Cambria Math" w:cs="Cambria Math"/>
                  <w:color w:val="000000"/>
                  <w:sz w:val="22"/>
                  <w:szCs w:val="22"/>
                </w:rPr>
              </m:ctrlPr>
            </m:sSubPr>
            <m:e>
              <m:r>
                <w:rPr>
                  <w:rFonts w:ascii="Cambria Math" w:eastAsia="Cambria Math" w:hAnsi="Cambria Math" w:cs="Cambria Math"/>
                  <w:color w:val="000000"/>
                  <w:sz w:val="22"/>
                  <w:szCs w:val="22"/>
                </w:rPr>
                <m:t>+ β</m:t>
              </m:r>
            </m:e>
            <m:sub>
              <m:r>
                <w:rPr>
                  <w:rFonts w:ascii="Cambria Math" w:eastAsia="Cambria Math" w:hAnsi="Cambria Math" w:cs="Cambria Math"/>
                  <w:color w:val="000000"/>
                  <w:sz w:val="22"/>
                  <w:szCs w:val="22"/>
                </w:rPr>
                <m:t>1</m:t>
              </m:r>
            </m:sub>
          </m:sSub>
          <m:sSub>
            <m:sSubPr>
              <m:ctrlPr>
                <w:rPr>
                  <w:rFonts w:ascii="Cambria Math" w:eastAsia="Cambria Math" w:hAnsi="Cambria Math" w:cs="Cambria Math"/>
                  <w:color w:val="000000"/>
                  <w:sz w:val="22"/>
                  <w:szCs w:val="22"/>
                </w:rPr>
              </m:ctrlPr>
            </m:sSubPr>
            <m:e>
              <m:r>
                <w:rPr>
                  <w:rFonts w:ascii="Cambria Math" w:eastAsia="Cambria Math" w:hAnsi="Cambria Math" w:cs="Cambria Math"/>
                  <w:color w:val="000000"/>
                  <w:sz w:val="22"/>
                  <w:szCs w:val="22"/>
                </w:rPr>
                <m:t>OwnershipForgn</m:t>
              </m:r>
            </m:e>
            <m:sub>
              <m:r>
                <w:rPr>
                  <w:rFonts w:ascii="Cambria Math" w:eastAsia="Cambria Math" w:hAnsi="Cambria Math" w:cs="Cambria Math"/>
                  <w:color w:val="000000"/>
                  <w:sz w:val="22"/>
                  <w:szCs w:val="22"/>
                </w:rPr>
                <m:t>i</m:t>
              </m:r>
            </m:sub>
          </m:sSub>
          <m:r>
            <w:rPr>
              <w:rFonts w:ascii="Cambria Math" w:eastAsia="Cambria Math" w:hAnsi="Cambria Math" w:cs="Cambria Math"/>
              <w:color w:val="000000"/>
              <w:sz w:val="22"/>
              <w:szCs w:val="22"/>
            </w:rPr>
            <m:t>+</m:t>
          </m:r>
          <m:sSub>
            <m:sSubPr>
              <m:ctrlPr>
                <w:rPr>
                  <w:rFonts w:ascii="Cambria Math" w:eastAsia="Cambria Math" w:hAnsi="Cambria Math" w:cs="Cambria Math"/>
                  <w:color w:val="000000"/>
                  <w:sz w:val="22"/>
                  <w:szCs w:val="22"/>
                </w:rPr>
              </m:ctrlPr>
            </m:sSubPr>
            <m:e>
              <m:r>
                <w:rPr>
                  <w:rFonts w:ascii="Cambria Math" w:eastAsia="Cambria Math" w:hAnsi="Cambria Math" w:cs="Cambria Math"/>
                  <w:color w:val="000000"/>
                  <w:sz w:val="22"/>
                  <w:szCs w:val="22"/>
                </w:rPr>
                <m:t>β</m:t>
              </m:r>
            </m:e>
            <m:sub>
              <m:r>
                <w:rPr>
                  <w:rFonts w:ascii="Cambria Math" w:eastAsia="Cambria Math" w:hAnsi="Cambria Math" w:cs="Cambria Math"/>
                  <w:color w:val="000000"/>
                  <w:sz w:val="22"/>
                  <w:szCs w:val="22"/>
                </w:rPr>
                <m:t>2</m:t>
              </m:r>
            </m:sub>
          </m:sSub>
          <m:sSub>
            <m:sSubPr>
              <m:ctrlPr>
                <w:rPr>
                  <w:rFonts w:ascii="Cambria Math" w:eastAsia="Cambria Math" w:hAnsi="Cambria Math" w:cs="Cambria Math"/>
                  <w:color w:val="000000"/>
                  <w:sz w:val="22"/>
                  <w:szCs w:val="22"/>
                </w:rPr>
              </m:ctrlPr>
            </m:sSubPr>
            <m:e>
              <m:r>
                <w:rPr>
                  <w:rFonts w:ascii="Cambria Math" w:eastAsia="Cambria Math" w:hAnsi="Cambria Math" w:cs="Cambria Math"/>
                  <w:color w:val="000000"/>
                  <w:sz w:val="22"/>
                  <w:szCs w:val="22"/>
                </w:rPr>
                <m:t>OwnershipListed</m:t>
              </m:r>
            </m:e>
            <m:sub>
              <m:r>
                <w:rPr>
                  <w:rFonts w:ascii="Cambria Math" w:eastAsia="Cambria Math" w:hAnsi="Cambria Math" w:cs="Cambria Math"/>
                  <w:color w:val="000000"/>
                  <w:sz w:val="22"/>
                  <w:szCs w:val="22"/>
                </w:rPr>
                <m:t>i</m:t>
              </m:r>
            </m:sub>
          </m:sSub>
          <m:sSub>
            <m:sSubPr>
              <m:ctrlPr>
                <w:rPr>
                  <w:rFonts w:ascii="Cambria Math" w:eastAsia="Cambria Math" w:hAnsi="Cambria Math" w:cs="Cambria Math"/>
                  <w:color w:val="000000"/>
                  <w:sz w:val="22"/>
                  <w:szCs w:val="22"/>
                </w:rPr>
              </m:ctrlPr>
            </m:sSubPr>
            <m:e>
              <m:r>
                <w:rPr>
                  <w:rFonts w:ascii="Cambria Math" w:eastAsia="Cambria Math" w:hAnsi="Cambria Math" w:cs="Cambria Math"/>
                  <w:color w:val="000000"/>
                  <w:sz w:val="22"/>
                  <w:szCs w:val="22"/>
                </w:rPr>
                <m:t>+ β</m:t>
              </m:r>
            </m:e>
            <m:sub>
              <m:r>
                <w:rPr>
                  <w:rFonts w:ascii="Cambria Math" w:eastAsia="Cambria Math" w:hAnsi="Cambria Math" w:cs="Cambria Math"/>
                  <w:color w:val="000000"/>
                  <w:sz w:val="22"/>
                  <w:szCs w:val="22"/>
                </w:rPr>
                <m:t>3</m:t>
              </m:r>
            </m:sub>
          </m:sSub>
          <m:sSub>
            <m:sSubPr>
              <m:ctrlPr>
                <w:rPr>
                  <w:rFonts w:ascii="Cambria Math" w:eastAsia="Cambria Math" w:hAnsi="Cambria Math" w:cs="Cambria Math"/>
                  <w:color w:val="000000"/>
                  <w:sz w:val="22"/>
                  <w:szCs w:val="22"/>
                </w:rPr>
              </m:ctrlPr>
            </m:sSubPr>
            <m:e>
              <m:r>
                <w:rPr>
                  <w:rFonts w:ascii="Cambria Math" w:eastAsia="Cambria Math" w:hAnsi="Cambria Math" w:cs="Cambria Math"/>
                  <w:color w:val="000000"/>
                  <w:sz w:val="22"/>
                  <w:szCs w:val="22"/>
                </w:rPr>
                <m:t>CostEffi</m:t>
              </m:r>
            </m:e>
            <m:sub>
              <m:r>
                <w:rPr>
                  <w:rFonts w:ascii="Cambria Math" w:eastAsia="Cambria Math" w:hAnsi="Cambria Math" w:cs="Cambria Math"/>
                  <w:color w:val="000000"/>
                  <w:sz w:val="22"/>
                  <w:szCs w:val="22"/>
                </w:rPr>
                <m:t>it</m:t>
              </m:r>
            </m:sub>
          </m:sSub>
          <m:r>
            <w:rPr>
              <w:rFonts w:ascii="Cambria Math" w:eastAsia="Cambria Math" w:hAnsi="Cambria Math" w:cs="Cambria Math"/>
              <w:color w:val="000000"/>
              <w:sz w:val="22"/>
              <w:szCs w:val="22"/>
            </w:rPr>
            <m:t>+</m:t>
          </m:r>
          <m:nary>
            <m:naryPr>
              <m:chr m:val="∑"/>
              <m:ctrlPr>
                <w:rPr>
                  <w:rFonts w:ascii="Cambria Math" w:eastAsia="Cambria Math" w:hAnsi="Cambria Math" w:cs="Cambria Math"/>
                  <w:color w:val="211E1E"/>
                  <w:sz w:val="22"/>
                  <w:szCs w:val="22"/>
                </w:rPr>
              </m:ctrlPr>
            </m:naryPr>
            <m:sub>
              <m:r>
                <w:rPr>
                  <w:rFonts w:ascii="Cambria Math" w:eastAsia="Cambria Math" w:hAnsi="Cambria Math" w:cs="Cambria Math"/>
                  <w:color w:val="211E1E"/>
                  <w:sz w:val="22"/>
                  <w:szCs w:val="22"/>
                </w:rPr>
                <m:t>j=1</m:t>
              </m:r>
            </m:sub>
            <m:sup>
              <m:r>
                <w:rPr>
                  <w:rFonts w:ascii="Cambria Math" w:eastAsia="Cambria Math" w:hAnsi="Cambria Math" w:cs="Cambria Math"/>
                  <w:color w:val="211E1E"/>
                  <w:sz w:val="22"/>
                  <w:szCs w:val="22"/>
                </w:rPr>
                <m:t>12</m:t>
              </m:r>
            </m:sup>
            <m:e>
              <m:sSub>
                <m:sSubPr>
                  <m:ctrlPr>
                    <w:rPr>
                      <w:rFonts w:ascii="Cambria Math" w:eastAsia="Cambria Math" w:hAnsi="Cambria Math" w:cs="Cambria Math"/>
                      <w:color w:val="211E1E"/>
                      <w:sz w:val="22"/>
                      <w:szCs w:val="22"/>
                    </w:rPr>
                  </m:ctrlPr>
                </m:sSubPr>
                <m:e>
                  <m:r>
                    <w:rPr>
                      <w:rFonts w:ascii="Cambria Math" w:eastAsia="Cambria Math" w:hAnsi="Cambria Math" w:cs="Cambria Math"/>
                      <w:color w:val="211E1E"/>
                      <w:sz w:val="22"/>
                      <w:szCs w:val="22"/>
                    </w:rPr>
                    <m:t>∂</m:t>
                  </m:r>
                </m:e>
                <m:sub>
                  <m:r>
                    <w:rPr>
                      <w:rFonts w:ascii="Cambria Math" w:eastAsia="Cambria Math" w:hAnsi="Cambria Math" w:cs="Cambria Math"/>
                      <w:color w:val="211E1E"/>
                      <w:sz w:val="22"/>
                      <w:szCs w:val="22"/>
                    </w:rPr>
                    <m:t>j</m:t>
                  </m:r>
                </m:sub>
              </m:sSub>
              <m:sSub>
                <m:sSubPr>
                  <m:ctrlPr>
                    <w:rPr>
                      <w:rFonts w:ascii="Cambria Math" w:eastAsia="Cambria Math" w:hAnsi="Cambria Math" w:cs="Cambria Math"/>
                      <w:color w:val="211E1E"/>
                      <w:sz w:val="22"/>
                      <w:szCs w:val="22"/>
                    </w:rPr>
                  </m:ctrlPr>
                </m:sSubPr>
                <m:e>
                  <m:r>
                    <w:rPr>
                      <w:rFonts w:ascii="Cambria Math" w:eastAsia="Cambria Math" w:hAnsi="Cambria Math" w:cs="Cambria Math"/>
                      <w:color w:val="211E1E"/>
                      <w:sz w:val="22"/>
                      <w:szCs w:val="22"/>
                    </w:rPr>
                    <m:t>X</m:t>
                  </m:r>
                </m:e>
                <m:sub>
                  <m:r>
                    <w:rPr>
                      <w:rFonts w:ascii="Cambria Math" w:eastAsia="Cambria Math" w:hAnsi="Cambria Math" w:cs="Cambria Math"/>
                      <w:color w:val="211E1E"/>
                      <w:sz w:val="22"/>
                      <w:szCs w:val="22"/>
                    </w:rPr>
                    <m:t>jit</m:t>
                  </m:r>
                </m:sub>
              </m:sSub>
            </m:e>
          </m:nary>
          <m:r>
            <w:rPr>
              <w:rFonts w:ascii="Cambria Math" w:eastAsia="Cambria Math" w:hAnsi="Cambria Math" w:cs="Cambria Math"/>
              <w:color w:val="211E1E"/>
              <w:sz w:val="22"/>
              <w:szCs w:val="22"/>
            </w:rPr>
            <m:t>+ </m:t>
          </m:r>
          <m:sSub>
            <m:sSubPr>
              <m:ctrlPr>
                <w:rPr>
                  <w:rFonts w:ascii="Cambria Math" w:eastAsia="Cambria Math" w:hAnsi="Cambria Math" w:cs="Cambria Math"/>
                  <w:color w:val="000000"/>
                  <w:sz w:val="22"/>
                  <w:szCs w:val="22"/>
                </w:rPr>
              </m:ctrlPr>
            </m:sSubPr>
            <m:e>
              <m:r>
                <w:rPr>
                  <w:rFonts w:ascii="Cambria Math" w:eastAsia="Cambria Math" w:hAnsi="Cambria Math" w:cs="Cambria Math"/>
                  <w:color w:val="211E1E"/>
                  <w:sz w:val="22"/>
                  <w:szCs w:val="22"/>
                </w:rPr>
                <m:t>ε</m:t>
              </m:r>
            </m:e>
            <m:sub>
              <m:r>
                <w:rPr>
                  <w:rFonts w:ascii="Cambria Math" w:eastAsia="Cambria Math" w:hAnsi="Cambria Math" w:cs="Cambria Math"/>
                  <w:color w:val="000000"/>
                  <w:sz w:val="22"/>
                  <w:szCs w:val="22"/>
                </w:rPr>
                <m:t>it</m:t>
              </m:r>
            </m:sub>
          </m:sSub>
        </m:oMath>
      </m:oMathPara>
    </w:p>
    <w:p w14:paraId="6F895D24" w14:textId="77777777" w:rsidR="006B412B" w:rsidRDefault="0004642E" w:rsidP="006B412B">
      <w:pPr>
        <w:pBdr>
          <w:top w:val="nil"/>
          <w:left w:val="nil"/>
          <w:bottom w:val="nil"/>
          <w:right w:val="nil"/>
          <w:between w:val="nil"/>
        </w:pBdr>
        <w:spacing w:before="120" w:line="360" w:lineRule="auto"/>
        <w:ind w:firstLine="720"/>
        <w:jc w:val="both"/>
        <w:rPr>
          <w:color w:val="000000"/>
        </w:rPr>
      </w:pPr>
      <w:r>
        <w:rPr>
          <w:color w:val="000000"/>
        </w:rPr>
        <w:lastRenderedPageBreak/>
        <w:t xml:space="preserve">Where, </w:t>
      </w:r>
      <m:oMath>
        <m:sSub>
          <m:sSubPr>
            <m:ctrlPr>
              <w:rPr>
                <w:rFonts w:ascii="Cambria Math" w:eastAsia="Cambria Math" w:hAnsi="Cambria Math" w:cs="Cambria Math"/>
                <w:color w:val="000000"/>
              </w:rPr>
            </m:ctrlPr>
          </m:sSubPr>
          <m:e>
            <m:r>
              <w:rPr>
                <w:rFonts w:ascii="Cambria Math" w:eastAsia="Cambria Math" w:hAnsi="Cambria Math" w:cs="Cambria Math"/>
                <w:color w:val="000000"/>
              </w:rPr>
              <m:t>ROAE</m:t>
            </m:r>
          </m:e>
          <m:sub>
            <m:r>
              <w:rPr>
                <w:rFonts w:ascii="Cambria Math" w:eastAsia="Cambria Math" w:hAnsi="Cambria Math" w:cs="Cambria Math"/>
                <w:color w:val="000000"/>
              </w:rPr>
              <m:t>it</m:t>
            </m:r>
          </m:sub>
        </m:sSub>
      </m:oMath>
      <w:r>
        <w:rPr>
          <w:color w:val="000000"/>
        </w:rPr>
        <w:t xml:space="preserve"> is the dependent variable,</w:t>
      </w:r>
      <m:oMath>
        <m:r>
          <w:rPr>
            <w:rFonts w:ascii="Cambria Math" w:eastAsia="Cambria Math" w:hAnsi="Cambria Math" w:cs="Cambria Math"/>
            <w:color w:val="000000"/>
          </w:rPr>
          <m:t xml:space="preserve"> </m:t>
        </m:r>
        <m:sSub>
          <m:sSubPr>
            <m:ctrlPr>
              <w:rPr>
                <w:rFonts w:ascii="Cambria Math" w:eastAsia="Cambria Math" w:hAnsi="Cambria Math" w:cs="Cambria Math"/>
                <w:color w:val="000000"/>
              </w:rPr>
            </m:ctrlPr>
          </m:sSubPr>
          <m:e>
            <m:r>
              <w:rPr>
                <w:rFonts w:ascii="Cambria Math" w:eastAsia="Cambria Math" w:hAnsi="Cambria Math" w:cs="Cambria Math"/>
                <w:color w:val="000000"/>
              </w:rPr>
              <m:t>ROAE</m:t>
            </m:r>
          </m:e>
          <m:sub>
            <m:r>
              <w:rPr>
                <w:rFonts w:ascii="Cambria Math" w:eastAsia="Cambria Math" w:hAnsi="Cambria Math" w:cs="Cambria Math"/>
                <w:color w:val="000000"/>
              </w:rPr>
              <m:t>it-1</m:t>
            </m:r>
          </m:sub>
        </m:sSub>
      </m:oMath>
      <w:r>
        <w:rPr>
          <w:color w:val="000000"/>
        </w:rPr>
        <w:t xml:space="preserve">, is the lagged values of dependant variable, </w:t>
      </w:r>
      <m:oMath>
        <m:sSub>
          <m:sSubPr>
            <m:ctrlPr>
              <w:rPr>
                <w:rFonts w:ascii="Cambria Math" w:eastAsia="Cambria Math" w:hAnsi="Cambria Math" w:cs="Cambria Math"/>
                <w:color w:val="000000"/>
              </w:rPr>
            </m:ctrlPr>
          </m:sSubPr>
          <m:e>
            <m:r>
              <w:rPr>
                <w:rFonts w:ascii="Cambria Math" w:eastAsia="Cambria Math" w:hAnsi="Cambria Math" w:cs="Cambria Math"/>
                <w:color w:val="000000"/>
              </w:rPr>
              <m:t>X</m:t>
            </m:r>
          </m:e>
          <m:sub>
            <m:r>
              <w:rPr>
                <w:rFonts w:ascii="Cambria Math" w:eastAsia="Cambria Math" w:hAnsi="Cambria Math" w:cs="Cambria Math"/>
                <w:color w:val="000000"/>
              </w:rPr>
              <m:t>jit</m:t>
            </m:r>
          </m:sub>
        </m:sSub>
      </m:oMath>
      <w:r>
        <w:rPr>
          <w:color w:val="000000"/>
        </w:rPr>
        <w:t xml:space="preserve"> is the vector of total twelve bank-specific, industry-specific, and macroeconomic </w:t>
      </w:r>
      <w:r w:rsidR="00551121">
        <w:rPr>
          <w:color w:val="000000"/>
        </w:rPr>
        <w:t xml:space="preserve">controlled </w:t>
      </w:r>
      <w:r>
        <w:rPr>
          <w:color w:val="000000"/>
        </w:rPr>
        <w:t xml:space="preserve">determinants </w:t>
      </w:r>
      <w:r w:rsidR="004C5DF4">
        <w:rPr>
          <w:color w:val="000000"/>
        </w:rPr>
        <w:t>which are listed and described in table 1</w:t>
      </w:r>
      <w:r w:rsidR="00551121">
        <w:rPr>
          <w:color w:val="000000"/>
        </w:rPr>
        <w:t xml:space="preserve"> along with their expected impact on bank profitability</w:t>
      </w:r>
      <w:r>
        <w:rPr>
          <w:color w:val="000000"/>
        </w:rPr>
        <w:t xml:space="preserve">. </w:t>
      </w:r>
      <m:oMath>
        <m:sSub>
          <m:sSubPr>
            <m:ctrlPr>
              <w:rPr>
                <w:rFonts w:ascii="Cambria Math" w:eastAsia="Cambria Math" w:hAnsi="Cambria Math" w:cs="Cambria Math"/>
                <w:color w:val="000000"/>
              </w:rPr>
            </m:ctrlPr>
          </m:sSubPr>
          <m:e>
            <m:r>
              <w:rPr>
                <w:rFonts w:ascii="Cambria Math" w:eastAsia="Cambria Math" w:hAnsi="Cambria Math" w:cs="Cambria Math"/>
                <w:color w:val="000000"/>
              </w:rPr>
              <m:t>C</m:t>
            </m:r>
          </m:e>
          <m:sub>
            <m:r>
              <w:rPr>
                <w:rFonts w:ascii="Cambria Math" w:eastAsia="Cambria Math" w:hAnsi="Cambria Math" w:cs="Cambria Math"/>
                <w:color w:val="000000"/>
              </w:rPr>
              <m:t>0</m:t>
            </m:r>
          </m:sub>
        </m:sSub>
      </m:oMath>
      <w:r>
        <w:rPr>
          <w:color w:val="000000"/>
        </w:rPr>
        <w:t xml:space="preserve">, </w:t>
      </w:r>
      <m:oMath>
        <m:r>
          <w:rPr>
            <w:rFonts w:ascii="Cambria Math" w:eastAsia="Cambria Math" w:hAnsi="Cambria Math" w:cs="Cambria Math"/>
            <w:color w:val="000000"/>
          </w:rPr>
          <m:t>a</m:t>
        </m:r>
      </m:oMath>
      <w:r>
        <w:rPr>
          <w:color w:val="000000"/>
        </w:rPr>
        <w:t xml:space="preserve">, </w:t>
      </w:r>
      <m:oMath>
        <m:sSub>
          <m:sSubPr>
            <m:ctrlPr>
              <w:rPr>
                <w:rFonts w:ascii="Cambria Math" w:eastAsia="Cambria Math" w:hAnsi="Cambria Math" w:cs="Cambria Math"/>
                <w:color w:val="211E1E"/>
              </w:rPr>
            </m:ctrlPr>
          </m:sSubPr>
          <m:e>
            <m:r>
              <w:rPr>
                <w:rFonts w:ascii="Cambria Math" w:hAnsi="Cambria Math"/>
              </w:rPr>
              <m:t>∂</m:t>
            </m:r>
          </m:e>
          <m:sub>
            <m:r>
              <w:rPr>
                <w:rFonts w:ascii="Cambria Math" w:eastAsia="Cambria Math" w:hAnsi="Cambria Math" w:cs="Cambria Math"/>
                <w:color w:val="211E1E"/>
              </w:rPr>
              <m:t>j</m:t>
            </m:r>
          </m:sub>
        </m:sSub>
      </m:oMath>
      <w:r>
        <w:rPr>
          <w:color w:val="211E1E"/>
        </w:rPr>
        <w:t>,</w:t>
      </w:r>
      <m:oMath>
        <m:r>
          <w:rPr>
            <w:rFonts w:ascii="Cambria Math" w:eastAsia="Cambria Math" w:hAnsi="Cambria Math" w:cs="Cambria Math"/>
            <w:color w:val="211E1E"/>
          </w:rPr>
          <m:t xml:space="preserve"> </m:t>
        </m:r>
        <m:sSub>
          <m:sSubPr>
            <m:ctrlPr>
              <w:rPr>
                <w:rFonts w:ascii="Cambria Math" w:eastAsia="Cambria Math" w:hAnsi="Cambria Math" w:cs="Cambria Math"/>
                <w:color w:val="000000"/>
              </w:rPr>
            </m:ctrlPr>
          </m:sSubPr>
          <m:e>
            <m:r>
              <w:rPr>
                <w:rFonts w:ascii="Cambria Math" w:eastAsia="Cambria Math" w:hAnsi="Cambria Math" w:cs="Cambria Math"/>
                <w:color w:val="211E1E"/>
              </w:rPr>
              <m:t>β</m:t>
            </m:r>
          </m:e>
          <m:sub>
            <m:r>
              <w:rPr>
                <w:rFonts w:ascii="Cambria Math" w:eastAsia="Cambria Math" w:hAnsi="Cambria Math" w:cs="Cambria Math"/>
                <w:color w:val="000000"/>
              </w:rPr>
              <m:t>1</m:t>
            </m:r>
          </m:sub>
        </m:sSub>
        <m:r>
          <w:rPr>
            <w:rFonts w:ascii="Cambria Math" w:eastAsia="Cambria Math" w:hAnsi="Cambria Math" w:cs="Cambria Math"/>
            <w:color w:val="000000"/>
          </w:rPr>
          <m:t xml:space="preserve">, </m:t>
        </m:r>
        <m:sSub>
          <m:sSubPr>
            <m:ctrlPr>
              <w:rPr>
                <w:rFonts w:ascii="Cambria Math" w:eastAsia="Cambria Math" w:hAnsi="Cambria Math" w:cs="Cambria Math"/>
                <w:color w:val="000000"/>
              </w:rPr>
            </m:ctrlPr>
          </m:sSubPr>
          <m:e>
            <m:r>
              <w:rPr>
                <w:rFonts w:ascii="Cambria Math" w:eastAsia="Cambria Math" w:hAnsi="Cambria Math" w:cs="Cambria Math"/>
                <w:color w:val="000000"/>
              </w:rPr>
              <m:t>β</m:t>
            </m:r>
          </m:e>
          <m:sub>
            <m:r>
              <w:rPr>
                <w:rFonts w:ascii="Cambria Math" w:eastAsia="Cambria Math" w:hAnsi="Cambria Math" w:cs="Cambria Math"/>
                <w:color w:val="000000"/>
              </w:rPr>
              <m:t>2</m:t>
            </m:r>
          </m:sub>
        </m:sSub>
        <m:r>
          <w:rPr>
            <w:rFonts w:ascii="Cambria Math" w:eastAsia="Cambria Math" w:hAnsi="Cambria Math" w:cs="Cambria Math"/>
            <w:color w:val="000000"/>
          </w:rPr>
          <m:t xml:space="preserve">, and </m:t>
        </m:r>
        <m:sSub>
          <m:sSubPr>
            <m:ctrlPr>
              <w:rPr>
                <w:rFonts w:ascii="Cambria Math" w:eastAsia="Cambria Math" w:hAnsi="Cambria Math" w:cs="Cambria Math"/>
                <w:color w:val="000000"/>
              </w:rPr>
            </m:ctrlPr>
          </m:sSubPr>
          <m:e>
            <m:r>
              <w:rPr>
                <w:rFonts w:ascii="Cambria Math" w:eastAsia="Cambria Math" w:hAnsi="Cambria Math" w:cs="Cambria Math"/>
                <w:color w:val="000000"/>
              </w:rPr>
              <m:t>β</m:t>
            </m:r>
          </m:e>
          <m:sub>
            <m:r>
              <w:rPr>
                <w:rFonts w:ascii="Cambria Math" w:eastAsia="Cambria Math" w:hAnsi="Cambria Math" w:cs="Cambria Math"/>
                <w:color w:val="000000"/>
              </w:rPr>
              <m:t>3</m:t>
            </m:r>
          </m:sub>
        </m:sSub>
      </m:oMath>
      <w:r>
        <w:rPr>
          <w:color w:val="000000"/>
        </w:rPr>
        <w:t xml:space="preserve"> are parameters to be estimated. The two most common profitability measures found in literature are Return on Assets (ROA) and Return on Equity (ROE). ROA represents the level of profit generated by utilising the assets whereas, the ROE measures the effectiveness of utilising the shareholders’ investment or funds. Kosmidou et al. (2007) and Kosmidou (2008) utilised ROA as a profitability measure. However, Athanasoglou et al. (2008) and Goddard et al. (2004) state that, ROA disregards the off-balance-sheet activities of the bank and may not yield consistent results, therefore, ROE is the better option. Therefore, Return on Average Equity (ROAE) is used in this study to average out the fluctuations in the equity levels in an accounting period. The lagged value of ROAE is considered to represent the persistence of bank profitability. Athanasoglou et al. (2008) states that the coefficient of lagged profitability variable measures the speed with which banks adjust to the equilibrium profit or it captures the dynamic effect of profit. According to Tan and Floros (2012), a value of the coefficient close to zero means that the banks have a high speed of profit </w:t>
      </w:r>
      <w:r w:rsidR="00D96E6C">
        <w:rPr>
          <w:color w:val="000000"/>
        </w:rPr>
        <w:t>adjustment,</w:t>
      </w:r>
      <w:r>
        <w:rPr>
          <w:color w:val="000000"/>
        </w:rPr>
        <w:t xml:space="preserve"> and the industry is highly competitive. </w:t>
      </w:r>
    </w:p>
    <w:p w14:paraId="0C05095F" w14:textId="7680B8EC" w:rsidR="006B412B" w:rsidRPr="006B412B" w:rsidRDefault="006B412B" w:rsidP="006B412B">
      <w:pPr>
        <w:pBdr>
          <w:top w:val="nil"/>
          <w:left w:val="nil"/>
          <w:bottom w:val="nil"/>
          <w:right w:val="nil"/>
          <w:between w:val="nil"/>
        </w:pBdr>
        <w:spacing w:before="120" w:line="360" w:lineRule="auto"/>
        <w:jc w:val="both"/>
        <w:rPr>
          <w:b/>
          <w:i/>
          <w:color w:val="000000"/>
        </w:rPr>
      </w:pPr>
      <w:r w:rsidRPr="006B412B">
        <w:rPr>
          <w:b/>
          <w:i/>
          <w:color w:val="000000"/>
        </w:rPr>
        <w:t>Data Sources</w:t>
      </w:r>
    </w:p>
    <w:p w14:paraId="22B8FE75" w14:textId="21D8F927" w:rsidR="00654133" w:rsidRDefault="00654133" w:rsidP="00654133">
      <w:pPr>
        <w:pBdr>
          <w:top w:val="nil"/>
          <w:left w:val="nil"/>
          <w:bottom w:val="nil"/>
          <w:right w:val="nil"/>
          <w:between w:val="nil"/>
        </w:pBdr>
        <w:spacing w:before="120" w:line="360" w:lineRule="auto"/>
        <w:ind w:firstLine="720"/>
        <w:jc w:val="both"/>
        <w:rPr>
          <w:color w:val="000000"/>
        </w:rPr>
      </w:pPr>
      <w:r w:rsidRPr="00654133">
        <w:rPr>
          <w:color w:val="000000"/>
        </w:rPr>
        <w:t>The study uses data from 2003-2018. Of the banks currently operating in the U.S., a total of 454 banks, including 394 commercial banks and 60 savings banks, were selected for the study because they share the same characteristics and conduct similar banking activities (Manghetti, 2011). These banks were selected based on the availability of their financial data for the period 2003-2018 in the Orbis Bank Focus database. The main source of bank-specific information is the Orbis Bank Focus database. The industry-specific information is calculated for the required variables using the information from the Orbis Bank Focus database. Finally, for the macroeconomic variables, the World Bank, International Monetary Fund, and Federal Reserve System databases are used when deemed necessary.</w:t>
      </w:r>
    </w:p>
    <w:p w14:paraId="3D8BF667" w14:textId="77777777" w:rsidR="00654133" w:rsidRPr="00D83156" w:rsidRDefault="00654133" w:rsidP="00654133">
      <w:pPr>
        <w:pBdr>
          <w:top w:val="nil"/>
          <w:left w:val="nil"/>
          <w:bottom w:val="nil"/>
          <w:right w:val="nil"/>
          <w:between w:val="nil"/>
        </w:pBdr>
        <w:spacing w:before="120" w:line="360" w:lineRule="auto"/>
        <w:jc w:val="both"/>
        <w:rPr>
          <w:b/>
          <w:i/>
          <w:color w:val="000000"/>
        </w:rPr>
      </w:pPr>
      <w:r w:rsidRPr="00D83156">
        <w:rPr>
          <w:b/>
          <w:i/>
          <w:color w:val="000000"/>
        </w:rPr>
        <w:t>Summary Statistics</w:t>
      </w:r>
    </w:p>
    <w:p w14:paraId="1BDB0CEF" w14:textId="3D78B57E" w:rsidR="00654133" w:rsidRPr="00654133" w:rsidRDefault="00654133" w:rsidP="00654133">
      <w:pPr>
        <w:pBdr>
          <w:top w:val="nil"/>
          <w:left w:val="nil"/>
          <w:bottom w:val="nil"/>
          <w:right w:val="nil"/>
          <w:between w:val="nil"/>
        </w:pBdr>
        <w:spacing w:before="120" w:line="360" w:lineRule="auto"/>
        <w:ind w:firstLine="720"/>
        <w:jc w:val="both"/>
        <w:rPr>
          <w:color w:val="000000"/>
        </w:rPr>
      </w:pPr>
      <w:r>
        <w:rPr>
          <w:color w:val="000000"/>
        </w:rPr>
        <w:t xml:space="preserve">Table 2 presents the summary statistics of the data and variables used in this analysis. The observations in monetary values, are in billion dollars and deflated by the GDP deflators with a base year of 2003 to make it more comparable during the period considered. The ratios are in percentage. Overall, the data shows a good consistency with few extreme values. The </w:t>
      </w:r>
      <w:r>
        <w:rPr>
          <w:color w:val="000000"/>
        </w:rPr>
        <w:lastRenderedPageBreak/>
        <w:t>extreme values have not been treated as the measurement of efficiency involves error terms and taking account of the extreme value may lead to biased results.</w:t>
      </w:r>
    </w:p>
    <w:p w14:paraId="282F6218" w14:textId="77777777" w:rsidR="00D83156" w:rsidRPr="00D83156" w:rsidRDefault="00D83156" w:rsidP="00D83156">
      <w:pPr>
        <w:pBdr>
          <w:top w:val="nil"/>
          <w:left w:val="nil"/>
          <w:bottom w:val="nil"/>
          <w:right w:val="nil"/>
          <w:between w:val="nil"/>
        </w:pBdr>
        <w:spacing w:before="120" w:line="360" w:lineRule="auto"/>
        <w:ind w:firstLine="720"/>
        <w:jc w:val="both"/>
        <w:rPr>
          <w:color w:val="000000"/>
          <w:sz w:val="6"/>
          <w:szCs w:val="6"/>
        </w:rPr>
      </w:pPr>
    </w:p>
    <w:p w14:paraId="726B25BD" w14:textId="198C30EC" w:rsidR="00F71210" w:rsidRDefault="0004642E" w:rsidP="00654133">
      <w:pPr>
        <w:spacing w:line="360" w:lineRule="auto"/>
        <w:jc w:val="center"/>
        <w:rPr>
          <w:i/>
          <w:color w:val="000000"/>
        </w:rPr>
      </w:pPr>
      <w:r>
        <w:rPr>
          <w:color w:val="000000"/>
        </w:rPr>
        <w:t>Table 1: Measurement and Expected Impacts of the Profitability Determinants</w:t>
      </w:r>
    </w:p>
    <w:tbl>
      <w:tblPr>
        <w:tblStyle w:val="a"/>
        <w:tblW w:w="8782" w:type="dxa"/>
        <w:tblInd w:w="137" w:type="dxa"/>
        <w:tblLayout w:type="fixed"/>
        <w:tblLook w:val="0400" w:firstRow="0" w:lastRow="0" w:firstColumn="0" w:lastColumn="0" w:noHBand="0" w:noVBand="1"/>
      </w:tblPr>
      <w:tblGrid>
        <w:gridCol w:w="1809"/>
        <w:gridCol w:w="5440"/>
        <w:gridCol w:w="1533"/>
      </w:tblGrid>
      <w:tr w:rsidR="00F71210" w:rsidRPr="00517C3D" w14:paraId="2367986F" w14:textId="77777777" w:rsidTr="00654133">
        <w:trPr>
          <w:trHeight w:val="446"/>
        </w:trPr>
        <w:tc>
          <w:tcPr>
            <w:tcW w:w="1809" w:type="dxa"/>
            <w:tcBorders>
              <w:top w:val="single" w:sz="4" w:space="0" w:color="000000"/>
              <w:left w:val="single" w:sz="4" w:space="0" w:color="000000"/>
              <w:bottom w:val="single" w:sz="4" w:space="0" w:color="000000"/>
              <w:right w:val="single" w:sz="4" w:space="0" w:color="000000"/>
            </w:tcBorders>
            <w:vAlign w:val="center"/>
          </w:tcPr>
          <w:p w14:paraId="1393B734" w14:textId="77777777" w:rsidR="00F71210" w:rsidRPr="00517C3D" w:rsidRDefault="0004642E">
            <w:pPr>
              <w:pBdr>
                <w:top w:val="nil"/>
                <w:left w:val="nil"/>
                <w:bottom w:val="nil"/>
                <w:right w:val="nil"/>
                <w:between w:val="nil"/>
              </w:pBdr>
              <w:jc w:val="center"/>
              <w:rPr>
                <w:color w:val="000000"/>
                <w:sz w:val="20"/>
                <w:szCs w:val="20"/>
              </w:rPr>
            </w:pPr>
            <w:r w:rsidRPr="00517C3D">
              <w:rPr>
                <w:rFonts w:eastAsia="Times"/>
                <w:b/>
                <w:color w:val="000000"/>
                <w:sz w:val="20"/>
                <w:szCs w:val="20"/>
              </w:rPr>
              <w:t>Variables</w:t>
            </w:r>
          </w:p>
        </w:tc>
        <w:tc>
          <w:tcPr>
            <w:tcW w:w="5440" w:type="dxa"/>
            <w:tcBorders>
              <w:top w:val="single" w:sz="4" w:space="0" w:color="000000"/>
              <w:left w:val="single" w:sz="4" w:space="0" w:color="000000"/>
              <w:bottom w:val="single" w:sz="4" w:space="0" w:color="000000"/>
              <w:right w:val="single" w:sz="4" w:space="0" w:color="000000"/>
            </w:tcBorders>
            <w:vAlign w:val="center"/>
          </w:tcPr>
          <w:p w14:paraId="24E7FCF7" w14:textId="77777777" w:rsidR="00F71210" w:rsidRPr="00517C3D" w:rsidRDefault="0004642E">
            <w:pPr>
              <w:pBdr>
                <w:top w:val="nil"/>
                <w:left w:val="nil"/>
                <w:bottom w:val="nil"/>
                <w:right w:val="nil"/>
                <w:between w:val="nil"/>
              </w:pBdr>
              <w:jc w:val="center"/>
              <w:rPr>
                <w:color w:val="000000"/>
                <w:sz w:val="20"/>
                <w:szCs w:val="20"/>
              </w:rPr>
            </w:pPr>
            <w:r w:rsidRPr="00517C3D">
              <w:rPr>
                <w:rFonts w:eastAsia="Times"/>
                <w:b/>
                <w:color w:val="000000"/>
                <w:sz w:val="20"/>
                <w:szCs w:val="20"/>
              </w:rPr>
              <w:t>Measurement Methods</w:t>
            </w:r>
          </w:p>
        </w:tc>
        <w:tc>
          <w:tcPr>
            <w:tcW w:w="1533" w:type="dxa"/>
            <w:tcBorders>
              <w:top w:val="single" w:sz="4" w:space="0" w:color="000000"/>
              <w:left w:val="single" w:sz="4" w:space="0" w:color="000000"/>
              <w:bottom w:val="single" w:sz="4" w:space="0" w:color="000000"/>
              <w:right w:val="single" w:sz="4" w:space="0" w:color="000000"/>
            </w:tcBorders>
            <w:vAlign w:val="center"/>
          </w:tcPr>
          <w:p w14:paraId="72E0569C" w14:textId="77777777" w:rsidR="00F71210" w:rsidRPr="00517C3D" w:rsidRDefault="0004642E">
            <w:pPr>
              <w:pBdr>
                <w:top w:val="nil"/>
                <w:left w:val="nil"/>
                <w:bottom w:val="nil"/>
                <w:right w:val="nil"/>
                <w:between w:val="nil"/>
              </w:pBdr>
              <w:jc w:val="center"/>
              <w:rPr>
                <w:color w:val="000000"/>
                <w:sz w:val="20"/>
                <w:szCs w:val="20"/>
              </w:rPr>
            </w:pPr>
            <w:r w:rsidRPr="00517C3D">
              <w:rPr>
                <w:rFonts w:eastAsia="Times"/>
                <w:b/>
                <w:color w:val="000000"/>
                <w:sz w:val="20"/>
                <w:szCs w:val="20"/>
              </w:rPr>
              <w:t>Expected Impact</w:t>
            </w:r>
          </w:p>
        </w:tc>
      </w:tr>
      <w:tr w:rsidR="00F71210" w:rsidRPr="00517C3D" w14:paraId="4E1D1A1E" w14:textId="77777777" w:rsidTr="00654133">
        <w:trPr>
          <w:trHeight w:val="637"/>
        </w:trPr>
        <w:tc>
          <w:tcPr>
            <w:tcW w:w="1809" w:type="dxa"/>
            <w:tcBorders>
              <w:top w:val="single" w:sz="4" w:space="0" w:color="000000"/>
              <w:left w:val="single" w:sz="4" w:space="0" w:color="000000"/>
              <w:bottom w:val="single" w:sz="4" w:space="0" w:color="000000"/>
              <w:right w:val="single" w:sz="4" w:space="0" w:color="000000"/>
            </w:tcBorders>
            <w:vAlign w:val="center"/>
          </w:tcPr>
          <w:p w14:paraId="584F943E" w14:textId="77777777" w:rsidR="00F71210" w:rsidRPr="00517C3D" w:rsidRDefault="0004642E">
            <w:pPr>
              <w:pBdr>
                <w:top w:val="nil"/>
                <w:left w:val="nil"/>
                <w:bottom w:val="nil"/>
                <w:right w:val="nil"/>
                <w:between w:val="nil"/>
              </w:pBdr>
              <w:rPr>
                <w:color w:val="000000"/>
                <w:sz w:val="20"/>
                <w:szCs w:val="20"/>
              </w:rPr>
            </w:pPr>
            <w:r w:rsidRPr="00517C3D">
              <w:rPr>
                <w:color w:val="000000"/>
                <w:sz w:val="20"/>
                <w:szCs w:val="20"/>
              </w:rPr>
              <w:t>ROAE</w:t>
            </w:r>
          </w:p>
        </w:tc>
        <w:tc>
          <w:tcPr>
            <w:tcW w:w="5440" w:type="dxa"/>
            <w:tcBorders>
              <w:top w:val="single" w:sz="4" w:space="0" w:color="000000"/>
              <w:left w:val="single" w:sz="4" w:space="0" w:color="000000"/>
              <w:bottom w:val="single" w:sz="4" w:space="0" w:color="000000"/>
              <w:right w:val="single" w:sz="4" w:space="0" w:color="000000"/>
            </w:tcBorders>
            <w:vAlign w:val="center"/>
          </w:tcPr>
          <w:p w14:paraId="7FF6F805" w14:textId="77777777" w:rsidR="00F71210" w:rsidRPr="00517C3D" w:rsidRDefault="0004642E">
            <w:pPr>
              <w:pBdr>
                <w:top w:val="nil"/>
                <w:left w:val="nil"/>
                <w:bottom w:val="nil"/>
                <w:right w:val="nil"/>
                <w:between w:val="nil"/>
              </w:pBdr>
              <w:rPr>
                <w:color w:val="000000"/>
                <w:sz w:val="20"/>
                <w:szCs w:val="20"/>
              </w:rPr>
            </w:pPr>
            <w:r w:rsidRPr="00517C3D">
              <w:rPr>
                <w:color w:val="000000"/>
                <w:sz w:val="20"/>
                <w:szCs w:val="20"/>
              </w:rPr>
              <w:t xml:space="preserve">Net Income ÷ Average Total Equity </w:t>
            </w:r>
          </w:p>
        </w:tc>
        <w:tc>
          <w:tcPr>
            <w:tcW w:w="1533" w:type="dxa"/>
            <w:tcBorders>
              <w:top w:val="single" w:sz="4" w:space="0" w:color="000000"/>
              <w:left w:val="single" w:sz="4" w:space="0" w:color="000000"/>
              <w:bottom w:val="single" w:sz="4" w:space="0" w:color="000000"/>
              <w:right w:val="single" w:sz="4" w:space="0" w:color="000000"/>
            </w:tcBorders>
            <w:vAlign w:val="center"/>
          </w:tcPr>
          <w:p w14:paraId="4095CE6E" w14:textId="3EFA376D" w:rsidR="00F71210" w:rsidRPr="00517C3D" w:rsidRDefault="00D3061C">
            <w:pPr>
              <w:jc w:val="center"/>
              <w:rPr>
                <w:sz w:val="20"/>
                <w:szCs w:val="20"/>
              </w:rPr>
            </w:pPr>
            <w:r w:rsidRPr="00517C3D">
              <w:rPr>
                <w:sz w:val="20"/>
                <w:szCs w:val="20"/>
              </w:rPr>
              <w:t>N/A</w:t>
            </w:r>
          </w:p>
        </w:tc>
      </w:tr>
      <w:tr w:rsidR="00F71210" w:rsidRPr="00517C3D" w14:paraId="1E9E00FB" w14:textId="77777777" w:rsidTr="00654133">
        <w:trPr>
          <w:trHeight w:val="484"/>
        </w:trPr>
        <w:tc>
          <w:tcPr>
            <w:tcW w:w="1809" w:type="dxa"/>
            <w:tcBorders>
              <w:top w:val="single" w:sz="4" w:space="0" w:color="000000"/>
              <w:left w:val="single" w:sz="4" w:space="0" w:color="000000"/>
              <w:bottom w:val="single" w:sz="4" w:space="0" w:color="000000"/>
              <w:right w:val="single" w:sz="4" w:space="0" w:color="000000"/>
            </w:tcBorders>
            <w:vAlign w:val="center"/>
          </w:tcPr>
          <w:p w14:paraId="4D7FC7AA" w14:textId="77777777" w:rsidR="00F71210" w:rsidRPr="00517C3D" w:rsidRDefault="009C6D12">
            <w:pPr>
              <w:pBdr>
                <w:top w:val="nil"/>
                <w:left w:val="nil"/>
                <w:bottom w:val="nil"/>
                <w:right w:val="nil"/>
                <w:between w:val="nil"/>
              </w:pBdr>
              <w:rPr>
                <w:color w:val="000000"/>
                <w:sz w:val="20"/>
                <w:szCs w:val="20"/>
              </w:rPr>
            </w:pPr>
            <m:oMath>
              <m:sSub>
                <m:sSubPr>
                  <m:ctrlPr>
                    <w:rPr>
                      <w:rFonts w:ascii="Cambria Math" w:eastAsia="Cambria Math" w:hAnsi="Cambria Math"/>
                      <w:color w:val="000000"/>
                      <w:sz w:val="20"/>
                      <w:szCs w:val="20"/>
                    </w:rPr>
                  </m:ctrlPr>
                </m:sSubPr>
                <m:e>
                  <m:r>
                    <w:rPr>
                      <w:rFonts w:ascii="Cambria Math" w:eastAsia="Cambria Math" w:hAnsi="Cambria Math"/>
                      <w:color w:val="000000"/>
                      <w:sz w:val="20"/>
                      <w:szCs w:val="20"/>
                    </w:rPr>
                    <m:t>ROAE</m:t>
                  </m:r>
                </m:e>
                <m:sub>
                  <m:r>
                    <w:rPr>
                      <w:rFonts w:ascii="Cambria Math" w:eastAsia="Cambria Math" w:hAnsi="Cambria Math"/>
                      <w:color w:val="000000"/>
                      <w:sz w:val="20"/>
                      <w:szCs w:val="20"/>
                    </w:rPr>
                    <m:t>it-1</m:t>
                  </m:r>
                </m:sub>
              </m:sSub>
            </m:oMath>
            <w:r w:rsidR="0004642E" w:rsidRPr="00517C3D">
              <w:rPr>
                <w:color w:val="000000"/>
                <w:sz w:val="20"/>
                <w:szCs w:val="20"/>
              </w:rPr>
              <w:t xml:space="preserve"> </w:t>
            </w:r>
          </w:p>
        </w:tc>
        <w:tc>
          <w:tcPr>
            <w:tcW w:w="5440" w:type="dxa"/>
            <w:tcBorders>
              <w:top w:val="single" w:sz="4" w:space="0" w:color="000000"/>
              <w:left w:val="single" w:sz="4" w:space="0" w:color="000000"/>
              <w:bottom w:val="single" w:sz="4" w:space="0" w:color="000000"/>
              <w:right w:val="single" w:sz="4" w:space="0" w:color="000000"/>
            </w:tcBorders>
            <w:vAlign w:val="center"/>
          </w:tcPr>
          <w:p w14:paraId="3A1BABA3" w14:textId="77777777" w:rsidR="00F71210" w:rsidRPr="00517C3D" w:rsidRDefault="0004642E">
            <w:pPr>
              <w:pBdr>
                <w:top w:val="nil"/>
                <w:left w:val="nil"/>
                <w:bottom w:val="nil"/>
                <w:right w:val="nil"/>
                <w:between w:val="nil"/>
              </w:pBdr>
              <w:rPr>
                <w:color w:val="000000"/>
                <w:sz w:val="20"/>
                <w:szCs w:val="20"/>
              </w:rPr>
            </w:pPr>
            <w:r w:rsidRPr="00517C3D">
              <w:rPr>
                <w:color w:val="000000"/>
                <w:sz w:val="20"/>
                <w:szCs w:val="20"/>
              </w:rPr>
              <w:t>Lagged values of ROAE</w:t>
            </w:r>
          </w:p>
        </w:tc>
        <w:tc>
          <w:tcPr>
            <w:tcW w:w="1533" w:type="dxa"/>
            <w:tcBorders>
              <w:top w:val="single" w:sz="4" w:space="0" w:color="000000"/>
              <w:left w:val="single" w:sz="4" w:space="0" w:color="000000"/>
              <w:bottom w:val="single" w:sz="4" w:space="0" w:color="000000"/>
              <w:right w:val="single" w:sz="4" w:space="0" w:color="000000"/>
            </w:tcBorders>
            <w:vAlign w:val="center"/>
          </w:tcPr>
          <w:p w14:paraId="52944EC0" w14:textId="77777777" w:rsidR="00F71210" w:rsidRPr="00517C3D" w:rsidRDefault="0004642E">
            <w:pPr>
              <w:pBdr>
                <w:top w:val="nil"/>
                <w:left w:val="nil"/>
                <w:bottom w:val="nil"/>
                <w:right w:val="nil"/>
                <w:between w:val="nil"/>
              </w:pBdr>
              <w:jc w:val="center"/>
              <w:rPr>
                <w:color w:val="000000"/>
                <w:sz w:val="20"/>
                <w:szCs w:val="20"/>
              </w:rPr>
            </w:pPr>
            <w:r w:rsidRPr="00517C3D">
              <w:rPr>
                <w:color w:val="000000"/>
                <w:sz w:val="20"/>
                <w:szCs w:val="20"/>
              </w:rPr>
              <w:t>Positive</w:t>
            </w:r>
          </w:p>
        </w:tc>
      </w:tr>
      <w:tr w:rsidR="00F71210" w:rsidRPr="00517C3D" w14:paraId="1843F189" w14:textId="77777777" w:rsidTr="00654133">
        <w:trPr>
          <w:trHeight w:val="484"/>
        </w:trPr>
        <w:tc>
          <w:tcPr>
            <w:tcW w:w="1809" w:type="dxa"/>
            <w:tcBorders>
              <w:top w:val="single" w:sz="4" w:space="0" w:color="000000"/>
              <w:left w:val="single" w:sz="4" w:space="0" w:color="000000"/>
              <w:bottom w:val="single" w:sz="4" w:space="0" w:color="000000"/>
              <w:right w:val="single" w:sz="4" w:space="0" w:color="000000"/>
            </w:tcBorders>
            <w:vAlign w:val="center"/>
          </w:tcPr>
          <w:p w14:paraId="764CEF93" w14:textId="135AA489" w:rsidR="00F71210" w:rsidRPr="00517C3D" w:rsidRDefault="00517C3D">
            <w:pPr>
              <w:pBdr>
                <w:top w:val="nil"/>
                <w:left w:val="nil"/>
                <w:bottom w:val="nil"/>
                <w:right w:val="nil"/>
                <w:between w:val="nil"/>
              </w:pBdr>
              <w:rPr>
                <w:color w:val="000000"/>
                <w:sz w:val="20"/>
                <w:szCs w:val="20"/>
              </w:rPr>
            </w:pPr>
            <w:r w:rsidRPr="00517C3D">
              <w:rPr>
                <w:color w:val="000000"/>
                <w:sz w:val="20"/>
                <w:szCs w:val="20"/>
              </w:rPr>
              <w:t>O</w:t>
            </w:r>
            <m:oMath>
              <m:r>
                <w:rPr>
                  <w:rFonts w:ascii="Cambria Math" w:eastAsia="Cambria Math" w:hAnsi="Cambria Math"/>
                  <w:color w:val="000000"/>
                  <w:sz w:val="20"/>
                  <w:szCs w:val="20"/>
                </w:rPr>
                <m:t>wnershipForgn</m:t>
              </m:r>
            </m:oMath>
          </w:p>
        </w:tc>
        <w:tc>
          <w:tcPr>
            <w:tcW w:w="5440" w:type="dxa"/>
            <w:tcBorders>
              <w:top w:val="single" w:sz="4" w:space="0" w:color="000000"/>
              <w:left w:val="single" w:sz="4" w:space="0" w:color="000000"/>
              <w:bottom w:val="single" w:sz="4" w:space="0" w:color="000000"/>
              <w:right w:val="single" w:sz="4" w:space="0" w:color="000000"/>
            </w:tcBorders>
            <w:vAlign w:val="center"/>
          </w:tcPr>
          <w:p w14:paraId="008FCB79" w14:textId="77777777" w:rsidR="00F71210" w:rsidRPr="00517C3D" w:rsidRDefault="0004642E">
            <w:pPr>
              <w:pBdr>
                <w:top w:val="nil"/>
                <w:left w:val="nil"/>
                <w:bottom w:val="nil"/>
                <w:right w:val="nil"/>
                <w:between w:val="nil"/>
              </w:pBdr>
              <w:rPr>
                <w:color w:val="000000"/>
                <w:sz w:val="20"/>
                <w:szCs w:val="20"/>
              </w:rPr>
            </w:pPr>
            <w:r w:rsidRPr="00517C3D">
              <w:rPr>
                <w:color w:val="000000"/>
                <w:sz w:val="20"/>
                <w:szCs w:val="20"/>
              </w:rPr>
              <w:t>Dummy Variable, takes value 1 for foreign banks and 0 otherwise</w:t>
            </w:r>
          </w:p>
        </w:tc>
        <w:tc>
          <w:tcPr>
            <w:tcW w:w="1533" w:type="dxa"/>
            <w:tcBorders>
              <w:top w:val="single" w:sz="4" w:space="0" w:color="000000"/>
              <w:left w:val="single" w:sz="4" w:space="0" w:color="000000"/>
              <w:bottom w:val="single" w:sz="4" w:space="0" w:color="000000"/>
              <w:right w:val="single" w:sz="4" w:space="0" w:color="000000"/>
            </w:tcBorders>
            <w:vAlign w:val="center"/>
          </w:tcPr>
          <w:p w14:paraId="277D982E" w14:textId="77777777" w:rsidR="00F71210" w:rsidRPr="00517C3D" w:rsidRDefault="0004642E">
            <w:pPr>
              <w:pBdr>
                <w:top w:val="nil"/>
                <w:left w:val="nil"/>
                <w:bottom w:val="nil"/>
                <w:right w:val="nil"/>
                <w:between w:val="nil"/>
              </w:pBdr>
              <w:jc w:val="center"/>
              <w:rPr>
                <w:color w:val="000000"/>
                <w:sz w:val="20"/>
                <w:szCs w:val="20"/>
              </w:rPr>
            </w:pPr>
            <w:r w:rsidRPr="00517C3D">
              <w:rPr>
                <w:color w:val="000000"/>
                <w:sz w:val="20"/>
                <w:szCs w:val="20"/>
              </w:rPr>
              <w:t>Positive/negative</w:t>
            </w:r>
          </w:p>
        </w:tc>
      </w:tr>
      <w:tr w:rsidR="00F71210" w:rsidRPr="00517C3D" w14:paraId="164D17B8" w14:textId="77777777" w:rsidTr="00654133">
        <w:trPr>
          <w:trHeight w:val="484"/>
        </w:trPr>
        <w:tc>
          <w:tcPr>
            <w:tcW w:w="1809" w:type="dxa"/>
            <w:tcBorders>
              <w:top w:val="single" w:sz="4" w:space="0" w:color="000000"/>
              <w:left w:val="single" w:sz="4" w:space="0" w:color="000000"/>
              <w:bottom w:val="single" w:sz="4" w:space="0" w:color="000000"/>
              <w:right w:val="single" w:sz="4" w:space="0" w:color="000000"/>
            </w:tcBorders>
            <w:vAlign w:val="center"/>
          </w:tcPr>
          <w:p w14:paraId="0195C511" w14:textId="646AEC7F" w:rsidR="00F71210" w:rsidRPr="00517C3D" w:rsidRDefault="00517C3D">
            <w:pPr>
              <w:pBdr>
                <w:top w:val="nil"/>
                <w:left w:val="nil"/>
                <w:bottom w:val="nil"/>
                <w:right w:val="nil"/>
                <w:between w:val="nil"/>
              </w:pBdr>
              <w:rPr>
                <w:color w:val="000000"/>
                <w:sz w:val="20"/>
                <w:szCs w:val="20"/>
              </w:rPr>
            </w:pPr>
            <m:oMathPara>
              <m:oMathParaPr>
                <m:jc m:val="left"/>
              </m:oMathParaPr>
              <m:oMath>
                <m:r>
                  <w:rPr>
                    <w:rFonts w:ascii="Cambria Math" w:eastAsia="Cambria Math" w:hAnsi="Cambria Math"/>
                    <w:color w:val="000000"/>
                    <w:sz w:val="20"/>
                    <w:szCs w:val="20"/>
                  </w:rPr>
                  <m:t>OwnershipListed</m:t>
                </m:r>
              </m:oMath>
            </m:oMathPara>
          </w:p>
        </w:tc>
        <w:tc>
          <w:tcPr>
            <w:tcW w:w="5440" w:type="dxa"/>
            <w:tcBorders>
              <w:top w:val="single" w:sz="4" w:space="0" w:color="000000"/>
              <w:left w:val="single" w:sz="4" w:space="0" w:color="000000"/>
              <w:bottom w:val="single" w:sz="4" w:space="0" w:color="000000"/>
              <w:right w:val="single" w:sz="4" w:space="0" w:color="000000"/>
            </w:tcBorders>
            <w:vAlign w:val="center"/>
          </w:tcPr>
          <w:p w14:paraId="69B5C00D" w14:textId="77777777" w:rsidR="00F71210" w:rsidRPr="00517C3D" w:rsidRDefault="0004642E">
            <w:pPr>
              <w:pBdr>
                <w:top w:val="nil"/>
                <w:left w:val="nil"/>
                <w:bottom w:val="nil"/>
                <w:right w:val="nil"/>
                <w:between w:val="nil"/>
              </w:pBdr>
              <w:rPr>
                <w:color w:val="000000"/>
                <w:sz w:val="20"/>
                <w:szCs w:val="20"/>
              </w:rPr>
            </w:pPr>
            <w:r w:rsidRPr="00517C3D">
              <w:rPr>
                <w:color w:val="000000"/>
                <w:sz w:val="20"/>
                <w:szCs w:val="20"/>
              </w:rPr>
              <w:t>Dummy Variable, takes value 1 for Listed banks and 0 otherwise</w:t>
            </w:r>
          </w:p>
        </w:tc>
        <w:tc>
          <w:tcPr>
            <w:tcW w:w="1533" w:type="dxa"/>
            <w:tcBorders>
              <w:top w:val="single" w:sz="4" w:space="0" w:color="000000"/>
              <w:left w:val="single" w:sz="4" w:space="0" w:color="000000"/>
              <w:bottom w:val="single" w:sz="4" w:space="0" w:color="000000"/>
              <w:right w:val="single" w:sz="4" w:space="0" w:color="000000"/>
            </w:tcBorders>
            <w:vAlign w:val="center"/>
          </w:tcPr>
          <w:p w14:paraId="7C95B4FC" w14:textId="77777777" w:rsidR="00F71210" w:rsidRPr="00517C3D" w:rsidRDefault="0004642E">
            <w:pPr>
              <w:pBdr>
                <w:top w:val="nil"/>
                <w:left w:val="nil"/>
                <w:bottom w:val="nil"/>
                <w:right w:val="nil"/>
                <w:between w:val="nil"/>
              </w:pBdr>
              <w:jc w:val="center"/>
              <w:rPr>
                <w:color w:val="000000"/>
                <w:sz w:val="20"/>
                <w:szCs w:val="20"/>
              </w:rPr>
            </w:pPr>
            <w:r w:rsidRPr="00517C3D">
              <w:rPr>
                <w:color w:val="000000"/>
                <w:sz w:val="20"/>
                <w:szCs w:val="20"/>
              </w:rPr>
              <w:t>Positive/negative</w:t>
            </w:r>
          </w:p>
        </w:tc>
      </w:tr>
      <w:tr w:rsidR="00F71210" w:rsidRPr="00517C3D" w14:paraId="312849B0" w14:textId="77777777" w:rsidTr="00654133">
        <w:trPr>
          <w:trHeight w:val="484"/>
        </w:trPr>
        <w:tc>
          <w:tcPr>
            <w:tcW w:w="1809" w:type="dxa"/>
            <w:tcBorders>
              <w:top w:val="single" w:sz="4" w:space="0" w:color="000000"/>
              <w:left w:val="single" w:sz="4" w:space="0" w:color="000000"/>
              <w:bottom w:val="single" w:sz="4" w:space="0" w:color="000000"/>
              <w:right w:val="single" w:sz="4" w:space="0" w:color="000000"/>
            </w:tcBorders>
            <w:vAlign w:val="center"/>
          </w:tcPr>
          <w:p w14:paraId="26939E2D" w14:textId="11F6DC79" w:rsidR="00F71210" w:rsidRPr="00517C3D" w:rsidRDefault="0004642E">
            <w:pPr>
              <w:pBdr>
                <w:top w:val="nil"/>
                <w:left w:val="nil"/>
                <w:bottom w:val="nil"/>
                <w:right w:val="nil"/>
                <w:between w:val="nil"/>
              </w:pBdr>
              <w:rPr>
                <w:color w:val="000000"/>
                <w:sz w:val="20"/>
                <w:szCs w:val="20"/>
              </w:rPr>
            </w:pPr>
            <w:r w:rsidRPr="00517C3D">
              <w:rPr>
                <w:rFonts w:eastAsia="Cambria Math"/>
                <w:i/>
                <w:color w:val="000000"/>
                <w:sz w:val="20"/>
                <w:szCs w:val="20"/>
              </w:rPr>
              <w:t>CostEffi</w:t>
            </w:r>
          </w:p>
        </w:tc>
        <w:tc>
          <w:tcPr>
            <w:tcW w:w="5440" w:type="dxa"/>
            <w:tcBorders>
              <w:top w:val="single" w:sz="4" w:space="0" w:color="000000"/>
              <w:left w:val="single" w:sz="4" w:space="0" w:color="000000"/>
              <w:bottom w:val="single" w:sz="4" w:space="0" w:color="000000"/>
              <w:right w:val="single" w:sz="4" w:space="0" w:color="000000"/>
            </w:tcBorders>
            <w:vAlign w:val="center"/>
          </w:tcPr>
          <w:p w14:paraId="0827DDE5" w14:textId="77777777" w:rsidR="00F71210" w:rsidRPr="00517C3D" w:rsidRDefault="0004642E">
            <w:pPr>
              <w:pBdr>
                <w:top w:val="nil"/>
                <w:left w:val="nil"/>
                <w:bottom w:val="nil"/>
                <w:right w:val="nil"/>
                <w:between w:val="nil"/>
              </w:pBdr>
              <w:rPr>
                <w:color w:val="000000"/>
                <w:sz w:val="20"/>
                <w:szCs w:val="20"/>
              </w:rPr>
            </w:pPr>
            <w:r w:rsidRPr="00517C3D">
              <w:rPr>
                <w:color w:val="000000"/>
                <w:sz w:val="20"/>
                <w:szCs w:val="20"/>
              </w:rPr>
              <w:t>Cost efficiency scores obtained using Stochastic Frontier Analysis</w:t>
            </w:r>
            <w:r w:rsidRPr="00517C3D">
              <w:rPr>
                <w:color w:val="000000"/>
                <w:sz w:val="20"/>
                <w:szCs w:val="20"/>
                <w:vertAlign w:val="superscript"/>
              </w:rPr>
              <w:footnoteReference w:id="1"/>
            </w:r>
          </w:p>
        </w:tc>
        <w:tc>
          <w:tcPr>
            <w:tcW w:w="1533" w:type="dxa"/>
            <w:tcBorders>
              <w:top w:val="single" w:sz="4" w:space="0" w:color="000000"/>
              <w:left w:val="single" w:sz="4" w:space="0" w:color="000000"/>
              <w:bottom w:val="single" w:sz="4" w:space="0" w:color="000000"/>
              <w:right w:val="single" w:sz="4" w:space="0" w:color="000000"/>
            </w:tcBorders>
            <w:vAlign w:val="center"/>
          </w:tcPr>
          <w:p w14:paraId="7C7860D8" w14:textId="77777777" w:rsidR="00F71210" w:rsidRPr="00517C3D" w:rsidRDefault="0004642E">
            <w:pPr>
              <w:pBdr>
                <w:top w:val="nil"/>
                <w:left w:val="nil"/>
                <w:bottom w:val="nil"/>
                <w:right w:val="nil"/>
                <w:between w:val="nil"/>
              </w:pBdr>
              <w:jc w:val="center"/>
              <w:rPr>
                <w:color w:val="000000"/>
                <w:sz w:val="20"/>
                <w:szCs w:val="20"/>
              </w:rPr>
            </w:pPr>
            <w:r w:rsidRPr="00517C3D">
              <w:rPr>
                <w:color w:val="000000"/>
                <w:sz w:val="20"/>
                <w:szCs w:val="20"/>
              </w:rPr>
              <w:t>Positive</w:t>
            </w:r>
          </w:p>
        </w:tc>
      </w:tr>
      <w:tr w:rsidR="004C5DF4" w:rsidRPr="00517C3D" w14:paraId="2BF090FB" w14:textId="77777777" w:rsidTr="00654133">
        <w:trPr>
          <w:trHeight w:val="484"/>
        </w:trPr>
        <w:tc>
          <w:tcPr>
            <w:tcW w:w="1809" w:type="dxa"/>
            <w:tcBorders>
              <w:top w:val="single" w:sz="4" w:space="0" w:color="000000"/>
              <w:left w:val="single" w:sz="4" w:space="0" w:color="000000"/>
              <w:bottom w:val="single" w:sz="4" w:space="0" w:color="000000"/>
              <w:right w:val="single" w:sz="4" w:space="0" w:color="000000"/>
            </w:tcBorders>
            <w:vAlign w:val="center"/>
          </w:tcPr>
          <w:p w14:paraId="0ACA449C" w14:textId="77777777" w:rsidR="004C5DF4" w:rsidRPr="00517C3D" w:rsidRDefault="004C5DF4" w:rsidP="007C21D0">
            <w:pPr>
              <w:pBdr>
                <w:top w:val="nil"/>
                <w:left w:val="nil"/>
                <w:bottom w:val="nil"/>
                <w:right w:val="nil"/>
                <w:between w:val="nil"/>
              </w:pBdr>
              <w:rPr>
                <w:color w:val="000000"/>
                <w:sz w:val="20"/>
                <w:szCs w:val="20"/>
              </w:rPr>
            </w:pPr>
            <w:r w:rsidRPr="00517C3D">
              <w:rPr>
                <w:color w:val="000000"/>
                <w:sz w:val="20"/>
                <w:szCs w:val="20"/>
              </w:rPr>
              <w:t xml:space="preserve">Commercial Banks </w:t>
            </w:r>
          </w:p>
        </w:tc>
        <w:tc>
          <w:tcPr>
            <w:tcW w:w="5440" w:type="dxa"/>
            <w:tcBorders>
              <w:top w:val="single" w:sz="4" w:space="0" w:color="000000"/>
              <w:left w:val="single" w:sz="4" w:space="0" w:color="000000"/>
              <w:bottom w:val="single" w:sz="4" w:space="0" w:color="000000"/>
              <w:right w:val="single" w:sz="4" w:space="0" w:color="000000"/>
            </w:tcBorders>
            <w:vAlign w:val="center"/>
          </w:tcPr>
          <w:p w14:paraId="0CB6CED2" w14:textId="77777777" w:rsidR="004C5DF4" w:rsidRPr="00517C3D" w:rsidRDefault="004C5DF4" w:rsidP="007C21D0">
            <w:pPr>
              <w:pBdr>
                <w:top w:val="nil"/>
                <w:left w:val="nil"/>
                <w:bottom w:val="nil"/>
                <w:right w:val="nil"/>
                <w:between w:val="nil"/>
              </w:pBdr>
              <w:rPr>
                <w:color w:val="000000"/>
                <w:sz w:val="20"/>
                <w:szCs w:val="20"/>
              </w:rPr>
            </w:pPr>
            <w:r w:rsidRPr="00517C3D">
              <w:rPr>
                <w:color w:val="000000"/>
                <w:sz w:val="20"/>
                <w:szCs w:val="20"/>
              </w:rPr>
              <w:t>Dummy Variable, takes value 1 for Commercial banks and 0 otherwise</w:t>
            </w:r>
          </w:p>
        </w:tc>
        <w:tc>
          <w:tcPr>
            <w:tcW w:w="1533" w:type="dxa"/>
            <w:tcBorders>
              <w:top w:val="single" w:sz="4" w:space="0" w:color="000000"/>
              <w:left w:val="single" w:sz="4" w:space="0" w:color="000000"/>
              <w:bottom w:val="single" w:sz="4" w:space="0" w:color="000000"/>
              <w:right w:val="single" w:sz="4" w:space="0" w:color="000000"/>
            </w:tcBorders>
            <w:vAlign w:val="center"/>
          </w:tcPr>
          <w:p w14:paraId="5C28FFF7" w14:textId="77777777" w:rsidR="004C5DF4" w:rsidRPr="00517C3D" w:rsidRDefault="004C5DF4" w:rsidP="007C21D0">
            <w:pPr>
              <w:pBdr>
                <w:top w:val="nil"/>
                <w:left w:val="nil"/>
                <w:bottom w:val="nil"/>
                <w:right w:val="nil"/>
                <w:between w:val="nil"/>
              </w:pBdr>
              <w:jc w:val="center"/>
              <w:rPr>
                <w:color w:val="000000"/>
                <w:sz w:val="20"/>
                <w:szCs w:val="20"/>
              </w:rPr>
            </w:pPr>
            <w:r w:rsidRPr="00517C3D">
              <w:rPr>
                <w:color w:val="000000"/>
                <w:sz w:val="20"/>
                <w:szCs w:val="20"/>
              </w:rPr>
              <w:t>Positive</w:t>
            </w:r>
          </w:p>
        </w:tc>
      </w:tr>
      <w:tr w:rsidR="00F71210" w:rsidRPr="00517C3D" w14:paraId="13E0B883" w14:textId="77777777" w:rsidTr="00654133">
        <w:trPr>
          <w:trHeight w:val="484"/>
        </w:trPr>
        <w:tc>
          <w:tcPr>
            <w:tcW w:w="1809" w:type="dxa"/>
            <w:tcBorders>
              <w:top w:val="single" w:sz="4" w:space="0" w:color="000000"/>
              <w:left w:val="single" w:sz="4" w:space="0" w:color="000000"/>
              <w:bottom w:val="single" w:sz="4" w:space="0" w:color="000000"/>
              <w:right w:val="single" w:sz="4" w:space="0" w:color="000000"/>
            </w:tcBorders>
            <w:vAlign w:val="center"/>
          </w:tcPr>
          <w:p w14:paraId="719FAB4B" w14:textId="77777777" w:rsidR="00F71210" w:rsidRPr="00517C3D" w:rsidRDefault="0004642E">
            <w:pPr>
              <w:pBdr>
                <w:top w:val="nil"/>
                <w:left w:val="nil"/>
                <w:bottom w:val="nil"/>
                <w:right w:val="nil"/>
                <w:between w:val="nil"/>
              </w:pBdr>
              <w:rPr>
                <w:color w:val="000000"/>
                <w:sz w:val="20"/>
                <w:szCs w:val="20"/>
              </w:rPr>
            </w:pPr>
            <w:r w:rsidRPr="00517C3D">
              <w:rPr>
                <w:color w:val="000000"/>
                <w:sz w:val="20"/>
                <w:szCs w:val="20"/>
              </w:rPr>
              <w:t xml:space="preserve">Crisis </w:t>
            </w:r>
          </w:p>
        </w:tc>
        <w:tc>
          <w:tcPr>
            <w:tcW w:w="5440" w:type="dxa"/>
            <w:tcBorders>
              <w:top w:val="single" w:sz="4" w:space="0" w:color="000000"/>
              <w:left w:val="single" w:sz="4" w:space="0" w:color="000000"/>
              <w:bottom w:val="single" w:sz="4" w:space="0" w:color="000000"/>
              <w:right w:val="single" w:sz="4" w:space="0" w:color="000000"/>
            </w:tcBorders>
            <w:vAlign w:val="center"/>
          </w:tcPr>
          <w:p w14:paraId="157B4B98" w14:textId="77777777" w:rsidR="00F71210" w:rsidRPr="00517C3D" w:rsidRDefault="0004642E">
            <w:pPr>
              <w:pBdr>
                <w:top w:val="nil"/>
                <w:left w:val="nil"/>
                <w:bottom w:val="nil"/>
                <w:right w:val="nil"/>
                <w:between w:val="nil"/>
              </w:pBdr>
              <w:rPr>
                <w:color w:val="000000"/>
                <w:sz w:val="20"/>
                <w:szCs w:val="20"/>
              </w:rPr>
            </w:pPr>
            <w:r w:rsidRPr="00517C3D">
              <w:rPr>
                <w:color w:val="000000"/>
                <w:sz w:val="20"/>
                <w:szCs w:val="20"/>
              </w:rPr>
              <w:t>Dummy Variable, takes value 1 for years 2007-2009 and 0 otherwise</w:t>
            </w:r>
          </w:p>
        </w:tc>
        <w:tc>
          <w:tcPr>
            <w:tcW w:w="1533" w:type="dxa"/>
            <w:tcBorders>
              <w:top w:val="single" w:sz="4" w:space="0" w:color="000000"/>
              <w:left w:val="single" w:sz="4" w:space="0" w:color="000000"/>
              <w:bottom w:val="single" w:sz="4" w:space="0" w:color="000000"/>
              <w:right w:val="single" w:sz="4" w:space="0" w:color="000000"/>
            </w:tcBorders>
            <w:vAlign w:val="center"/>
          </w:tcPr>
          <w:p w14:paraId="360FB6B3" w14:textId="77777777" w:rsidR="00F71210" w:rsidRPr="00517C3D" w:rsidRDefault="0004642E">
            <w:pPr>
              <w:pBdr>
                <w:top w:val="nil"/>
                <w:left w:val="nil"/>
                <w:bottom w:val="nil"/>
                <w:right w:val="nil"/>
                <w:between w:val="nil"/>
              </w:pBdr>
              <w:jc w:val="center"/>
              <w:rPr>
                <w:color w:val="000000"/>
                <w:sz w:val="20"/>
                <w:szCs w:val="20"/>
              </w:rPr>
            </w:pPr>
            <w:r w:rsidRPr="00517C3D">
              <w:rPr>
                <w:color w:val="000000"/>
                <w:sz w:val="20"/>
                <w:szCs w:val="20"/>
              </w:rPr>
              <w:t>Negative</w:t>
            </w:r>
          </w:p>
        </w:tc>
      </w:tr>
      <w:tr w:rsidR="00F71210" w:rsidRPr="00517C3D" w14:paraId="0F4B228A" w14:textId="77777777" w:rsidTr="00654133">
        <w:trPr>
          <w:trHeight w:val="506"/>
        </w:trPr>
        <w:tc>
          <w:tcPr>
            <w:tcW w:w="1809" w:type="dxa"/>
            <w:tcBorders>
              <w:top w:val="single" w:sz="4" w:space="0" w:color="000000"/>
              <w:left w:val="single" w:sz="4" w:space="0" w:color="000000"/>
              <w:bottom w:val="single" w:sz="4" w:space="0" w:color="000000"/>
              <w:right w:val="single" w:sz="4" w:space="0" w:color="000000"/>
            </w:tcBorders>
            <w:vAlign w:val="center"/>
          </w:tcPr>
          <w:p w14:paraId="2F133802" w14:textId="77777777" w:rsidR="00F71210" w:rsidRPr="00517C3D" w:rsidRDefault="0004642E">
            <w:pPr>
              <w:pBdr>
                <w:top w:val="nil"/>
                <w:left w:val="nil"/>
                <w:bottom w:val="nil"/>
                <w:right w:val="nil"/>
                <w:between w:val="nil"/>
              </w:pBdr>
              <w:rPr>
                <w:color w:val="000000"/>
                <w:sz w:val="20"/>
                <w:szCs w:val="20"/>
              </w:rPr>
            </w:pPr>
            <w:r w:rsidRPr="00517C3D">
              <w:rPr>
                <w:color w:val="000000"/>
                <w:sz w:val="20"/>
                <w:szCs w:val="20"/>
              </w:rPr>
              <w:t>Size</w:t>
            </w:r>
          </w:p>
        </w:tc>
        <w:tc>
          <w:tcPr>
            <w:tcW w:w="5440" w:type="dxa"/>
            <w:tcBorders>
              <w:top w:val="single" w:sz="4" w:space="0" w:color="000000"/>
              <w:left w:val="single" w:sz="4" w:space="0" w:color="000000"/>
              <w:bottom w:val="single" w:sz="4" w:space="0" w:color="000000"/>
              <w:right w:val="single" w:sz="4" w:space="0" w:color="000000"/>
            </w:tcBorders>
            <w:vAlign w:val="center"/>
          </w:tcPr>
          <w:p w14:paraId="0F5863F8" w14:textId="77777777" w:rsidR="00F71210" w:rsidRPr="00517C3D" w:rsidRDefault="0004642E">
            <w:pPr>
              <w:pBdr>
                <w:top w:val="nil"/>
                <w:left w:val="nil"/>
                <w:bottom w:val="nil"/>
                <w:right w:val="nil"/>
                <w:between w:val="nil"/>
              </w:pBdr>
              <w:rPr>
                <w:color w:val="000000"/>
                <w:sz w:val="20"/>
                <w:szCs w:val="20"/>
              </w:rPr>
            </w:pPr>
            <w:r w:rsidRPr="00517C3D">
              <w:rPr>
                <w:color w:val="000000"/>
                <w:sz w:val="20"/>
                <w:szCs w:val="20"/>
              </w:rPr>
              <w:t>Natural logarithm of the value of total assets</w:t>
            </w:r>
          </w:p>
        </w:tc>
        <w:tc>
          <w:tcPr>
            <w:tcW w:w="1533" w:type="dxa"/>
            <w:tcBorders>
              <w:top w:val="single" w:sz="4" w:space="0" w:color="000000"/>
              <w:left w:val="single" w:sz="4" w:space="0" w:color="000000"/>
              <w:bottom w:val="single" w:sz="4" w:space="0" w:color="000000"/>
              <w:right w:val="single" w:sz="4" w:space="0" w:color="000000"/>
            </w:tcBorders>
            <w:vAlign w:val="center"/>
          </w:tcPr>
          <w:p w14:paraId="4CFFE042" w14:textId="77777777" w:rsidR="00F71210" w:rsidRPr="00517C3D" w:rsidRDefault="0004642E">
            <w:pPr>
              <w:pBdr>
                <w:top w:val="nil"/>
                <w:left w:val="nil"/>
                <w:bottom w:val="nil"/>
                <w:right w:val="nil"/>
                <w:between w:val="nil"/>
              </w:pBdr>
              <w:jc w:val="center"/>
              <w:rPr>
                <w:color w:val="000000"/>
                <w:sz w:val="20"/>
                <w:szCs w:val="20"/>
              </w:rPr>
            </w:pPr>
            <w:r w:rsidRPr="00517C3D">
              <w:rPr>
                <w:color w:val="000000"/>
                <w:sz w:val="20"/>
                <w:szCs w:val="20"/>
              </w:rPr>
              <w:t>Positive</w:t>
            </w:r>
          </w:p>
        </w:tc>
      </w:tr>
      <w:tr w:rsidR="00F71210" w:rsidRPr="00517C3D" w14:paraId="31DBBD93" w14:textId="77777777" w:rsidTr="00654133">
        <w:trPr>
          <w:trHeight w:val="506"/>
        </w:trPr>
        <w:tc>
          <w:tcPr>
            <w:tcW w:w="1809" w:type="dxa"/>
            <w:tcBorders>
              <w:top w:val="single" w:sz="4" w:space="0" w:color="000000"/>
              <w:left w:val="single" w:sz="4" w:space="0" w:color="000000"/>
              <w:bottom w:val="single" w:sz="4" w:space="0" w:color="000000"/>
              <w:right w:val="single" w:sz="4" w:space="0" w:color="000000"/>
            </w:tcBorders>
            <w:vAlign w:val="center"/>
          </w:tcPr>
          <w:p w14:paraId="5078C473" w14:textId="77777777" w:rsidR="00F71210" w:rsidRPr="00517C3D" w:rsidRDefault="0004642E">
            <w:pPr>
              <w:pBdr>
                <w:top w:val="nil"/>
                <w:left w:val="nil"/>
                <w:bottom w:val="nil"/>
                <w:right w:val="nil"/>
                <w:between w:val="nil"/>
              </w:pBdr>
              <w:rPr>
                <w:color w:val="000000"/>
                <w:sz w:val="20"/>
                <w:szCs w:val="20"/>
              </w:rPr>
            </w:pPr>
            <w:r w:rsidRPr="00517C3D">
              <w:rPr>
                <w:color w:val="000000"/>
                <w:sz w:val="20"/>
                <w:szCs w:val="20"/>
              </w:rPr>
              <w:t>Credit Risk</w:t>
            </w:r>
          </w:p>
        </w:tc>
        <w:tc>
          <w:tcPr>
            <w:tcW w:w="5440" w:type="dxa"/>
            <w:tcBorders>
              <w:top w:val="single" w:sz="4" w:space="0" w:color="000000"/>
              <w:left w:val="single" w:sz="4" w:space="0" w:color="000000"/>
              <w:bottom w:val="single" w:sz="4" w:space="0" w:color="000000"/>
              <w:right w:val="single" w:sz="4" w:space="0" w:color="000000"/>
            </w:tcBorders>
            <w:vAlign w:val="center"/>
          </w:tcPr>
          <w:p w14:paraId="44155215" w14:textId="77777777" w:rsidR="00F71210" w:rsidRPr="00517C3D" w:rsidRDefault="0004642E">
            <w:pPr>
              <w:pBdr>
                <w:top w:val="nil"/>
                <w:left w:val="nil"/>
                <w:bottom w:val="nil"/>
                <w:right w:val="nil"/>
                <w:between w:val="nil"/>
              </w:pBdr>
              <w:rPr>
                <w:color w:val="000000"/>
                <w:sz w:val="20"/>
                <w:szCs w:val="20"/>
              </w:rPr>
            </w:pPr>
            <w:r w:rsidRPr="00517C3D">
              <w:rPr>
                <w:color w:val="000000"/>
                <w:sz w:val="20"/>
                <w:szCs w:val="20"/>
              </w:rPr>
              <w:t xml:space="preserve">Impaired Loans ÷ Gross Loans </w:t>
            </w:r>
          </w:p>
        </w:tc>
        <w:tc>
          <w:tcPr>
            <w:tcW w:w="1533" w:type="dxa"/>
            <w:tcBorders>
              <w:top w:val="single" w:sz="4" w:space="0" w:color="000000"/>
              <w:left w:val="single" w:sz="4" w:space="0" w:color="000000"/>
              <w:bottom w:val="single" w:sz="4" w:space="0" w:color="000000"/>
              <w:right w:val="single" w:sz="4" w:space="0" w:color="000000"/>
            </w:tcBorders>
            <w:vAlign w:val="center"/>
          </w:tcPr>
          <w:p w14:paraId="00FAD576" w14:textId="77777777" w:rsidR="00F71210" w:rsidRPr="00517C3D" w:rsidRDefault="0004642E">
            <w:pPr>
              <w:pBdr>
                <w:top w:val="nil"/>
                <w:left w:val="nil"/>
                <w:bottom w:val="nil"/>
                <w:right w:val="nil"/>
                <w:between w:val="nil"/>
              </w:pBdr>
              <w:jc w:val="center"/>
              <w:rPr>
                <w:color w:val="000000"/>
                <w:sz w:val="20"/>
                <w:szCs w:val="20"/>
              </w:rPr>
            </w:pPr>
            <w:r w:rsidRPr="00517C3D">
              <w:rPr>
                <w:color w:val="000000"/>
                <w:sz w:val="20"/>
                <w:szCs w:val="20"/>
              </w:rPr>
              <w:t>Negative</w:t>
            </w:r>
          </w:p>
        </w:tc>
      </w:tr>
      <w:tr w:rsidR="00F71210" w:rsidRPr="00517C3D" w14:paraId="382D7869" w14:textId="77777777" w:rsidTr="00654133">
        <w:trPr>
          <w:trHeight w:val="506"/>
        </w:trPr>
        <w:tc>
          <w:tcPr>
            <w:tcW w:w="1809" w:type="dxa"/>
            <w:tcBorders>
              <w:top w:val="single" w:sz="4" w:space="0" w:color="000000"/>
              <w:left w:val="single" w:sz="4" w:space="0" w:color="000000"/>
              <w:bottom w:val="single" w:sz="4" w:space="0" w:color="000000"/>
              <w:right w:val="single" w:sz="4" w:space="0" w:color="000000"/>
            </w:tcBorders>
            <w:vAlign w:val="center"/>
          </w:tcPr>
          <w:p w14:paraId="56048299" w14:textId="77777777" w:rsidR="00F71210" w:rsidRPr="00517C3D" w:rsidRDefault="0004642E">
            <w:pPr>
              <w:pBdr>
                <w:top w:val="nil"/>
                <w:left w:val="nil"/>
                <w:bottom w:val="nil"/>
                <w:right w:val="nil"/>
                <w:between w:val="nil"/>
              </w:pBdr>
              <w:rPr>
                <w:color w:val="000000"/>
                <w:sz w:val="20"/>
                <w:szCs w:val="20"/>
              </w:rPr>
            </w:pPr>
            <w:r w:rsidRPr="00517C3D">
              <w:rPr>
                <w:color w:val="000000"/>
                <w:sz w:val="20"/>
                <w:szCs w:val="20"/>
              </w:rPr>
              <w:t xml:space="preserve">Liquidity  </w:t>
            </w:r>
          </w:p>
        </w:tc>
        <w:tc>
          <w:tcPr>
            <w:tcW w:w="5440" w:type="dxa"/>
            <w:tcBorders>
              <w:top w:val="single" w:sz="4" w:space="0" w:color="000000"/>
              <w:left w:val="single" w:sz="4" w:space="0" w:color="000000"/>
              <w:bottom w:val="single" w:sz="4" w:space="0" w:color="000000"/>
              <w:right w:val="single" w:sz="4" w:space="0" w:color="000000"/>
            </w:tcBorders>
            <w:vAlign w:val="center"/>
          </w:tcPr>
          <w:p w14:paraId="061316E4" w14:textId="77777777" w:rsidR="00F71210" w:rsidRPr="00517C3D" w:rsidRDefault="0004642E">
            <w:pPr>
              <w:pBdr>
                <w:top w:val="nil"/>
                <w:left w:val="nil"/>
                <w:bottom w:val="nil"/>
                <w:right w:val="nil"/>
                <w:between w:val="nil"/>
              </w:pBdr>
              <w:rPr>
                <w:color w:val="000000"/>
                <w:sz w:val="20"/>
                <w:szCs w:val="20"/>
              </w:rPr>
            </w:pPr>
            <w:r w:rsidRPr="00517C3D">
              <w:rPr>
                <w:color w:val="000000"/>
                <w:sz w:val="20"/>
                <w:szCs w:val="20"/>
              </w:rPr>
              <w:t xml:space="preserve">Liquid Assets ÷ Deposits </w:t>
            </w:r>
          </w:p>
        </w:tc>
        <w:tc>
          <w:tcPr>
            <w:tcW w:w="1533" w:type="dxa"/>
            <w:tcBorders>
              <w:top w:val="single" w:sz="4" w:space="0" w:color="000000"/>
              <w:left w:val="single" w:sz="4" w:space="0" w:color="000000"/>
              <w:bottom w:val="single" w:sz="4" w:space="0" w:color="000000"/>
              <w:right w:val="single" w:sz="4" w:space="0" w:color="000000"/>
            </w:tcBorders>
            <w:vAlign w:val="center"/>
          </w:tcPr>
          <w:p w14:paraId="2561E8D2" w14:textId="77777777" w:rsidR="00F71210" w:rsidRPr="00517C3D" w:rsidRDefault="0004642E">
            <w:pPr>
              <w:pBdr>
                <w:top w:val="nil"/>
                <w:left w:val="nil"/>
                <w:bottom w:val="nil"/>
                <w:right w:val="nil"/>
                <w:between w:val="nil"/>
              </w:pBdr>
              <w:jc w:val="center"/>
              <w:rPr>
                <w:color w:val="000000"/>
                <w:sz w:val="20"/>
                <w:szCs w:val="20"/>
              </w:rPr>
            </w:pPr>
            <w:r w:rsidRPr="00517C3D">
              <w:rPr>
                <w:color w:val="000000"/>
                <w:sz w:val="20"/>
                <w:szCs w:val="20"/>
              </w:rPr>
              <w:t>Negative</w:t>
            </w:r>
          </w:p>
        </w:tc>
      </w:tr>
      <w:tr w:rsidR="00F71210" w:rsidRPr="00517C3D" w14:paraId="1C77D698" w14:textId="77777777" w:rsidTr="00654133">
        <w:trPr>
          <w:trHeight w:val="506"/>
        </w:trPr>
        <w:tc>
          <w:tcPr>
            <w:tcW w:w="1809" w:type="dxa"/>
            <w:tcBorders>
              <w:top w:val="single" w:sz="4" w:space="0" w:color="000000"/>
              <w:left w:val="single" w:sz="4" w:space="0" w:color="000000"/>
              <w:bottom w:val="single" w:sz="4" w:space="0" w:color="000000"/>
              <w:right w:val="single" w:sz="4" w:space="0" w:color="000000"/>
            </w:tcBorders>
            <w:vAlign w:val="center"/>
          </w:tcPr>
          <w:p w14:paraId="43712FDB" w14:textId="77777777" w:rsidR="00F71210" w:rsidRPr="00517C3D" w:rsidRDefault="0004642E">
            <w:pPr>
              <w:pBdr>
                <w:top w:val="nil"/>
                <w:left w:val="nil"/>
                <w:bottom w:val="nil"/>
                <w:right w:val="nil"/>
                <w:between w:val="nil"/>
              </w:pBdr>
              <w:rPr>
                <w:color w:val="000000"/>
                <w:sz w:val="20"/>
                <w:szCs w:val="20"/>
              </w:rPr>
            </w:pPr>
            <w:r w:rsidRPr="00517C3D">
              <w:rPr>
                <w:color w:val="000000"/>
                <w:sz w:val="20"/>
                <w:szCs w:val="20"/>
              </w:rPr>
              <w:t xml:space="preserve">Capitalization </w:t>
            </w:r>
          </w:p>
        </w:tc>
        <w:tc>
          <w:tcPr>
            <w:tcW w:w="5440" w:type="dxa"/>
            <w:tcBorders>
              <w:top w:val="single" w:sz="4" w:space="0" w:color="000000"/>
              <w:left w:val="single" w:sz="4" w:space="0" w:color="000000"/>
              <w:bottom w:val="single" w:sz="4" w:space="0" w:color="000000"/>
              <w:right w:val="single" w:sz="4" w:space="0" w:color="000000"/>
            </w:tcBorders>
            <w:vAlign w:val="center"/>
          </w:tcPr>
          <w:p w14:paraId="6845CAFC" w14:textId="77777777" w:rsidR="00F71210" w:rsidRPr="00517C3D" w:rsidRDefault="0004642E">
            <w:pPr>
              <w:pBdr>
                <w:top w:val="nil"/>
                <w:left w:val="nil"/>
                <w:bottom w:val="nil"/>
                <w:right w:val="nil"/>
                <w:between w:val="nil"/>
              </w:pBdr>
              <w:rPr>
                <w:color w:val="000000"/>
                <w:sz w:val="20"/>
                <w:szCs w:val="20"/>
              </w:rPr>
            </w:pPr>
            <w:r w:rsidRPr="00517C3D">
              <w:rPr>
                <w:color w:val="000000"/>
                <w:sz w:val="20"/>
                <w:szCs w:val="20"/>
              </w:rPr>
              <w:t xml:space="preserve">Total equity ÷ Total assets </w:t>
            </w:r>
          </w:p>
        </w:tc>
        <w:tc>
          <w:tcPr>
            <w:tcW w:w="1533" w:type="dxa"/>
            <w:tcBorders>
              <w:top w:val="single" w:sz="4" w:space="0" w:color="000000"/>
              <w:left w:val="single" w:sz="4" w:space="0" w:color="000000"/>
              <w:bottom w:val="single" w:sz="4" w:space="0" w:color="000000"/>
              <w:right w:val="single" w:sz="4" w:space="0" w:color="000000"/>
            </w:tcBorders>
            <w:vAlign w:val="center"/>
          </w:tcPr>
          <w:p w14:paraId="58890B00" w14:textId="77777777" w:rsidR="00F71210" w:rsidRPr="00517C3D" w:rsidRDefault="0004642E">
            <w:pPr>
              <w:pBdr>
                <w:top w:val="nil"/>
                <w:left w:val="nil"/>
                <w:bottom w:val="nil"/>
                <w:right w:val="nil"/>
                <w:between w:val="nil"/>
              </w:pBdr>
              <w:jc w:val="center"/>
              <w:rPr>
                <w:color w:val="000000"/>
                <w:sz w:val="20"/>
                <w:szCs w:val="20"/>
              </w:rPr>
            </w:pPr>
            <w:r w:rsidRPr="00517C3D">
              <w:rPr>
                <w:color w:val="000000"/>
                <w:sz w:val="20"/>
                <w:szCs w:val="20"/>
              </w:rPr>
              <w:t>Positive</w:t>
            </w:r>
          </w:p>
        </w:tc>
      </w:tr>
      <w:tr w:rsidR="00F71210" w:rsidRPr="00517C3D" w14:paraId="7DF19A27" w14:textId="77777777" w:rsidTr="00654133">
        <w:trPr>
          <w:trHeight w:val="537"/>
        </w:trPr>
        <w:tc>
          <w:tcPr>
            <w:tcW w:w="1809" w:type="dxa"/>
            <w:tcBorders>
              <w:top w:val="single" w:sz="4" w:space="0" w:color="000000"/>
              <w:left w:val="single" w:sz="4" w:space="0" w:color="000000"/>
              <w:bottom w:val="single" w:sz="4" w:space="0" w:color="000000"/>
              <w:right w:val="single" w:sz="4" w:space="0" w:color="000000"/>
            </w:tcBorders>
            <w:vAlign w:val="center"/>
          </w:tcPr>
          <w:p w14:paraId="3C7045A8" w14:textId="77777777" w:rsidR="00F71210" w:rsidRPr="00517C3D" w:rsidRDefault="0004642E">
            <w:pPr>
              <w:pBdr>
                <w:top w:val="nil"/>
                <w:left w:val="nil"/>
                <w:bottom w:val="nil"/>
                <w:right w:val="nil"/>
                <w:between w:val="nil"/>
              </w:pBdr>
              <w:rPr>
                <w:color w:val="000000"/>
                <w:sz w:val="20"/>
                <w:szCs w:val="20"/>
              </w:rPr>
            </w:pPr>
            <w:r w:rsidRPr="00517C3D">
              <w:rPr>
                <w:color w:val="000000"/>
                <w:sz w:val="20"/>
                <w:szCs w:val="20"/>
              </w:rPr>
              <w:t>Concentration</w:t>
            </w:r>
          </w:p>
        </w:tc>
        <w:tc>
          <w:tcPr>
            <w:tcW w:w="5440" w:type="dxa"/>
            <w:tcBorders>
              <w:top w:val="single" w:sz="4" w:space="0" w:color="000000"/>
              <w:left w:val="single" w:sz="4" w:space="0" w:color="000000"/>
              <w:bottom w:val="single" w:sz="4" w:space="0" w:color="000000"/>
              <w:right w:val="single" w:sz="4" w:space="0" w:color="000000"/>
            </w:tcBorders>
            <w:vAlign w:val="center"/>
          </w:tcPr>
          <w:p w14:paraId="3A2D1FF7" w14:textId="77777777" w:rsidR="00F71210" w:rsidRPr="00517C3D" w:rsidRDefault="0004642E">
            <w:pPr>
              <w:pBdr>
                <w:top w:val="nil"/>
                <w:left w:val="nil"/>
                <w:bottom w:val="nil"/>
                <w:right w:val="nil"/>
                <w:between w:val="nil"/>
              </w:pBdr>
              <w:rPr>
                <w:color w:val="000000"/>
                <w:sz w:val="20"/>
                <w:szCs w:val="20"/>
              </w:rPr>
            </w:pPr>
            <w:r w:rsidRPr="00517C3D">
              <w:rPr>
                <w:color w:val="000000"/>
                <w:sz w:val="20"/>
                <w:szCs w:val="20"/>
              </w:rPr>
              <w:t>Herfindahl-Hirschman Index (HHI)</w:t>
            </w:r>
          </w:p>
        </w:tc>
        <w:tc>
          <w:tcPr>
            <w:tcW w:w="1533" w:type="dxa"/>
            <w:tcBorders>
              <w:top w:val="single" w:sz="4" w:space="0" w:color="000000"/>
              <w:left w:val="single" w:sz="4" w:space="0" w:color="000000"/>
              <w:bottom w:val="single" w:sz="4" w:space="0" w:color="000000"/>
              <w:right w:val="single" w:sz="4" w:space="0" w:color="000000"/>
            </w:tcBorders>
            <w:vAlign w:val="center"/>
          </w:tcPr>
          <w:p w14:paraId="703009B7" w14:textId="77777777" w:rsidR="00F71210" w:rsidRPr="00517C3D" w:rsidRDefault="0004642E">
            <w:pPr>
              <w:pBdr>
                <w:top w:val="nil"/>
                <w:left w:val="nil"/>
                <w:bottom w:val="nil"/>
                <w:right w:val="nil"/>
                <w:between w:val="nil"/>
              </w:pBdr>
              <w:jc w:val="center"/>
              <w:rPr>
                <w:color w:val="000000"/>
                <w:sz w:val="20"/>
                <w:szCs w:val="20"/>
              </w:rPr>
            </w:pPr>
            <w:r w:rsidRPr="00517C3D">
              <w:rPr>
                <w:color w:val="000000"/>
                <w:sz w:val="20"/>
                <w:szCs w:val="20"/>
              </w:rPr>
              <w:t>Positive</w:t>
            </w:r>
          </w:p>
        </w:tc>
      </w:tr>
      <w:tr w:rsidR="00F71210" w:rsidRPr="00517C3D" w14:paraId="76CE57CB" w14:textId="77777777" w:rsidTr="00654133">
        <w:trPr>
          <w:trHeight w:val="600"/>
        </w:trPr>
        <w:tc>
          <w:tcPr>
            <w:tcW w:w="1809" w:type="dxa"/>
            <w:tcBorders>
              <w:top w:val="single" w:sz="4" w:space="0" w:color="000000"/>
              <w:left w:val="single" w:sz="4" w:space="0" w:color="000000"/>
              <w:bottom w:val="single" w:sz="4" w:space="0" w:color="000000"/>
              <w:right w:val="single" w:sz="4" w:space="0" w:color="000000"/>
            </w:tcBorders>
            <w:vAlign w:val="center"/>
          </w:tcPr>
          <w:p w14:paraId="38B3C0EE" w14:textId="77777777" w:rsidR="00F71210" w:rsidRPr="00517C3D" w:rsidRDefault="0004642E">
            <w:pPr>
              <w:pBdr>
                <w:top w:val="nil"/>
                <w:left w:val="nil"/>
                <w:bottom w:val="nil"/>
                <w:right w:val="nil"/>
                <w:between w:val="nil"/>
              </w:pBdr>
              <w:rPr>
                <w:color w:val="000000"/>
                <w:sz w:val="20"/>
                <w:szCs w:val="20"/>
              </w:rPr>
            </w:pPr>
            <w:r w:rsidRPr="00517C3D">
              <w:rPr>
                <w:color w:val="000000"/>
                <w:sz w:val="20"/>
                <w:szCs w:val="20"/>
              </w:rPr>
              <w:t>Market Capitalization</w:t>
            </w:r>
          </w:p>
        </w:tc>
        <w:tc>
          <w:tcPr>
            <w:tcW w:w="5440" w:type="dxa"/>
            <w:tcBorders>
              <w:top w:val="single" w:sz="4" w:space="0" w:color="000000"/>
              <w:left w:val="single" w:sz="4" w:space="0" w:color="000000"/>
              <w:bottom w:val="single" w:sz="4" w:space="0" w:color="000000"/>
              <w:right w:val="single" w:sz="4" w:space="0" w:color="000000"/>
            </w:tcBorders>
            <w:vAlign w:val="center"/>
          </w:tcPr>
          <w:p w14:paraId="62FD408D" w14:textId="77777777" w:rsidR="00F71210" w:rsidRPr="00517C3D" w:rsidRDefault="0004642E">
            <w:pPr>
              <w:pBdr>
                <w:top w:val="nil"/>
                <w:left w:val="nil"/>
                <w:bottom w:val="nil"/>
                <w:right w:val="nil"/>
                <w:between w:val="nil"/>
              </w:pBdr>
              <w:rPr>
                <w:color w:val="000000"/>
                <w:sz w:val="20"/>
                <w:szCs w:val="20"/>
              </w:rPr>
            </w:pPr>
            <w:r w:rsidRPr="00517C3D">
              <w:rPr>
                <w:color w:val="000000"/>
                <w:sz w:val="20"/>
                <w:szCs w:val="20"/>
              </w:rPr>
              <w:t>Market Capitalization of listed companies ÷ GDP</w:t>
            </w:r>
          </w:p>
        </w:tc>
        <w:tc>
          <w:tcPr>
            <w:tcW w:w="1533" w:type="dxa"/>
            <w:tcBorders>
              <w:top w:val="single" w:sz="4" w:space="0" w:color="000000"/>
              <w:left w:val="single" w:sz="4" w:space="0" w:color="000000"/>
              <w:bottom w:val="single" w:sz="4" w:space="0" w:color="000000"/>
              <w:right w:val="single" w:sz="4" w:space="0" w:color="000000"/>
            </w:tcBorders>
            <w:vAlign w:val="center"/>
          </w:tcPr>
          <w:p w14:paraId="28A2561D" w14:textId="77777777" w:rsidR="00F71210" w:rsidRPr="00517C3D" w:rsidRDefault="0004642E">
            <w:pPr>
              <w:pBdr>
                <w:top w:val="nil"/>
                <w:left w:val="nil"/>
                <w:bottom w:val="nil"/>
                <w:right w:val="nil"/>
                <w:between w:val="nil"/>
              </w:pBdr>
              <w:jc w:val="center"/>
              <w:rPr>
                <w:color w:val="000000"/>
                <w:sz w:val="20"/>
                <w:szCs w:val="20"/>
              </w:rPr>
            </w:pPr>
            <w:r w:rsidRPr="00517C3D">
              <w:rPr>
                <w:color w:val="000000"/>
                <w:sz w:val="20"/>
                <w:szCs w:val="20"/>
              </w:rPr>
              <w:t>Negative</w:t>
            </w:r>
          </w:p>
        </w:tc>
      </w:tr>
      <w:tr w:rsidR="00F71210" w:rsidRPr="00517C3D" w14:paraId="488D8FF9" w14:textId="77777777" w:rsidTr="00654133">
        <w:trPr>
          <w:trHeight w:val="600"/>
        </w:trPr>
        <w:tc>
          <w:tcPr>
            <w:tcW w:w="1809" w:type="dxa"/>
            <w:tcBorders>
              <w:top w:val="single" w:sz="4" w:space="0" w:color="000000"/>
              <w:left w:val="single" w:sz="4" w:space="0" w:color="000000"/>
              <w:bottom w:val="single" w:sz="4" w:space="0" w:color="000000"/>
              <w:right w:val="single" w:sz="4" w:space="0" w:color="000000"/>
            </w:tcBorders>
            <w:vAlign w:val="center"/>
          </w:tcPr>
          <w:p w14:paraId="650B0EF7" w14:textId="77777777" w:rsidR="00F71210" w:rsidRPr="00517C3D" w:rsidRDefault="0004642E">
            <w:pPr>
              <w:pBdr>
                <w:top w:val="nil"/>
                <w:left w:val="nil"/>
                <w:bottom w:val="nil"/>
                <w:right w:val="nil"/>
                <w:between w:val="nil"/>
              </w:pBdr>
              <w:rPr>
                <w:color w:val="000000"/>
                <w:sz w:val="20"/>
                <w:szCs w:val="20"/>
              </w:rPr>
            </w:pPr>
            <w:r w:rsidRPr="00517C3D">
              <w:rPr>
                <w:color w:val="000000"/>
                <w:sz w:val="20"/>
                <w:szCs w:val="20"/>
              </w:rPr>
              <w:t xml:space="preserve">Economic Growth </w:t>
            </w:r>
          </w:p>
        </w:tc>
        <w:tc>
          <w:tcPr>
            <w:tcW w:w="5440" w:type="dxa"/>
            <w:tcBorders>
              <w:top w:val="single" w:sz="4" w:space="0" w:color="000000"/>
              <w:left w:val="single" w:sz="4" w:space="0" w:color="000000"/>
              <w:bottom w:val="single" w:sz="4" w:space="0" w:color="000000"/>
              <w:right w:val="single" w:sz="4" w:space="0" w:color="000000"/>
            </w:tcBorders>
            <w:vAlign w:val="center"/>
          </w:tcPr>
          <w:p w14:paraId="7449FC42" w14:textId="77777777" w:rsidR="00F71210" w:rsidRPr="00517C3D" w:rsidRDefault="0004642E">
            <w:pPr>
              <w:pBdr>
                <w:top w:val="nil"/>
                <w:left w:val="nil"/>
                <w:bottom w:val="nil"/>
                <w:right w:val="nil"/>
                <w:between w:val="nil"/>
              </w:pBdr>
              <w:rPr>
                <w:color w:val="000000"/>
                <w:sz w:val="20"/>
                <w:szCs w:val="20"/>
              </w:rPr>
            </w:pPr>
            <w:r w:rsidRPr="00517C3D">
              <w:rPr>
                <w:color w:val="000000"/>
                <w:sz w:val="20"/>
                <w:szCs w:val="20"/>
              </w:rPr>
              <w:t xml:space="preserve">Growth rate of real GDP </w:t>
            </w:r>
          </w:p>
        </w:tc>
        <w:tc>
          <w:tcPr>
            <w:tcW w:w="1533" w:type="dxa"/>
            <w:tcBorders>
              <w:top w:val="single" w:sz="4" w:space="0" w:color="000000"/>
              <w:left w:val="single" w:sz="4" w:space="0" w:color="000000"/>
              <w:bottom w:val="single" w:sz="4" w:space="0" w:color="000000"/>
              <w:right w:val="single" w:sz="4" w:space="0" w:color="000000"/>
            </w:tcBorders>
            <w:vAlign w:val="center"/>
          </w:tcPr>
          <w:p w14:paraId="555F6AB5" w14:textId="77777777" w:rsidR="00F71210" w:rsidRPr="00517C3D" w:rsidRDefault="0004642E">
            <w:pPr>
              <w:jc w:val="center"/>
              <w:rPr>
                <w:sz w:val="20"/>
                <w:szCs w:val="20"/>
              </w:rPr>
            </w:pPr>
            <w:r w:rsidRPr="00517C3D">
              <w:rPr>
                <w:noProof/>
                <w:sz w:val="20"/>
                <w:szCs w:val="20"/>
              </w:rPr>
              <w:drawing>
                <wp:inline distT="0" distB="0" distL="0" distR="0" wp14:anchorId="5D99B2B8" wp14:editId="6C6A237E">
                  <wp:extent cx="17780" cy="17780"/>
                  <wp:effectExtent l="0" t="0" r="0" b="0"/>
                  <wp:docPr id="98" name="image1.png" descr="page7image3094400"/>
                  <wp:cNvGraphicFramePr/>
                  <a:graphic xmlns:a="http://schemas.openxmlformats.org/drawingml/2006/main">
                    <a:graphicData uri="http://schemas.openxmlformats.org/drawingml/2006/picture">
                      <pic:pic xmlns:pic="http://schemas.openxmlformats.org/drawingml/2006/picture">
                        <pic:nvPicPr>
                          <pic:cNvPr id="0" name="image1.png" descr="page7image3094400"/>
                          <pic:cNvPicPr preferRelativeResize="0"/>
                        </pic:nvPicPr>
                        <pic:blipFill>
                          <a:blip r:embed="rId8"/>
                          <a:srcRect/>
                          <a:stretch>
                            <a:fillRect/>
                          </a:stretch>
                        </pic:blipFill>
                        <pic:spPr>
                          <a:xfrm>
                            <a:off x="0" y="0"/>
                            <a:ext cx="17780" cy="17780"/>
                          </a:xfrm>
                          <a:prstGeom prst="rect">
                            <a:avLst/>
                          </a:prstGeom>
                          <a:ln/>
                        </pic:spPr>
                      </pic:pic>
                    </a:graphicData>
                  </a:graphic>
                </wp:inline>
              </w:drawing>
            </w:r>
            <w:r w:rsidRPr="00517C3D">
              <w:rPr>
                <w:sz w:val="20"/>
                <w:szCs w:val="20"/>
              </w:rPr>
              <w:t>Positive</w:t>
            </w:r>
          </w:p>
        </w:tc>
      </w:tr>
      <w:tr w:rsidR="00F71210" w:rsidRPr="00517C3D" w14:paraId="52781207" w14:textId="77777777" w:rsidTr="00654133">
        <w:trPr>
          <w:trHeight w:val="637"/>
        </w:trPr>
        <w:tc>
          <w:tcPr>
            <w:tcW w:w="1809" w:type="dxa"/>
            <w:tcBorders>
              <w:top w:val="single" w:sz="4" w:space="0" w:color="000000"/>
              <w:left w:val="single" w:sz="4" w:space="0" w:color="000000"/>
              <w:bottom w:val="single" w:sz="4" w:space="0" w:color="000000"/>
              <w:right w:val="single" w:sz="4" w:space="0" w:color="000000"/>
            </w:tcBorders>
            <w:vAlign w:val="center"/>
          </w:tcPr>
          <w:p w14:paraId="79D924B6" w14:textId="6D91581A" w:rsidR="00F71210" w:rsidRPr="00517C3D" w:rsidRDefault="0004642E">
            <w:pPr>
              <w:pBdr>
                <w:top w:val="nil"/>
                <w:left w:val="nil"/>
                <w:bottom w:val="nil"/>
                <w:right w:val="nil"/>
                <w:between w:val="nil"/>
              </w:pBdr>
              <w:rPr>
                <w:color w:val="000000"/>
                <w:sz w:val="20"/>
                <w:szCs w:val="20"/>
              </w:rPr>
            </w:pPr>
            <w:r w:rsidRPr="00517C3D">
              <w:rPr>
                <w:color w:val="000000"/>
                <w:sz w:val="20"/>
                <w:szCs w:val="20"/>
              </w:rPr>
              <w:t>Interest Rates</w:t>
            </w:r>
          </w:p>
        </w:tc>
        <w:tc>
          <w:tcPr>
            <w:tcW w:w="5440" w:type="dxa"/>
            <w:tcBorders>
              <w:top w:val="single" w:sz="4" w:space="0" w:color="000000"/>
              <w:left w:val="single" w:sz="4" w:space="0" w:color="000000"/>
              <w:bottom w:val="single" w:sz="4" w:space="0" w:color="000000"/>
              <w:right w:val="single" w:sz="4" w:space="0" w:color="000000"/>
            </w:tcBorders>
            <w:vAlign w:val="center"/>
          </w:tcPr>
          <w:p w14:paraId="1A62517B" w14:textId="77777777" w:rsidR="00F71210" w:rsidRPr="00517C3D" w:rsidRDefault="0004642E">
            <w:pPr>
              <w:pBdr>
                <w:top w:val="nil"/>
                <w:left w:val="nil"/>
                <w:bottom w:val="nil"/>
                <w:right w:val="nil"/>
                <w:between w:val="nil"/>
              </w:pBdr>
              <w:rPr>
                <w:color w:val="000000"/>
                <w:sz w:val="20"/>
                <w:szCs w:val="20"/>
              </w:rPr>
            </w:pPr>
            <w:r w:rsidRPr="00517C3D">
              <w:rPr>
                <w:color w:val="000000"/>
                <w:sz w:val="20"/>
                <w:szCs w:val="20"/>
              </w:rPr>
              <w:t>Prevailing Real interest rates during 2003-2018</w:t>
            </w:r>
          </w:p>
        </w:tc>
        <w:tc>
          <w:tcPr>
            <w:tcW w:w="1533" w:type="dxa"/>
            <w:tcBorders>
              <w:top w:val="single" w:sz="4" w:space="0" w:color="000000"/>
              <w:left w:val="single" w:sz="4" w:space="0" w:color="000000"/>
              <w:bottom w:val="single" w:sz="4" w:space="0" w:color="000000"/>
              <w:right w:val="single" w:sz="4" w:space="0" w:color="000000"/>
            </w:tcBorders>
            <w:vAlign w:val="center"/>
          </w:tcPr>
          <w:p w14:paraId="48DC9CCC" w14:textId="77777777" w:rsidR="00F71210" w:rsidRPr="00517C3D" w:rsidRDefault="0004642E">
            <w:pPr>
              <w:jc w:val="center"/>
              <w:rPr>
                <w:sz w:val="20"/>
                <w:szCs w:val="20"/>
              </w:rPr>
            </w:pPr>
            <w:r w:rsidRPr="00517C3D">
              <w:rPr>
                <w:sz w:val="20"/>
                <w:szCs w:val="20"/>
              </w:rPr>
              <w:t>Positive/negative</w:t>
            </w:r>
          </w:p>
        </w:tc>
      </w:tr>
      <w:tr w:rsidR="00F71210" w:rsidRPr="00517C3D" w14:paraId="7A402AEE" w14:textId="77777777" w:rsidTr="00654133">
        <w:trPr>
          <w:trHeight w:val="600"/>
        </w:trPr>
        <w:tc>
          <w:tcPr>
            <w:tcW w:w="1809" w:type="dxa"/>
            <w:tcBorders>
              <w:top w:val="single" w:sz="4" w:space="0" w:color="000000"/>
              <w:left w:val="single" w:sz="4" w:space="0" w:color="000000"/>
              <w:bottom w:val="single" w:sz="4" w:space="0" w:color="000000"/>
              <w:right w:val="single" w:sz="4" w:space="0" w:color="000000"/>
            </w:tcBorders>
            <w:vAlign w:val="center"/>
          </w:tcPr>
          <w:p w14:paraId="6358812A" w14:textId="77777777" w:rsidR="00F71210" w:rsidRPr="00517C3D" w:rsidRDefault="0004642E">
            <w:pPr>
              <w:pBdr>
                <w:top w:val="nil"/>
                <w:left w:val="nil"/>
                <w:bottom w:val="nil"/>
                <w:right w:val="nil"/>
                <w:between w:val="nil"/>
              </w:pBdr>
              <w:rPr>
                <w:color w:val="000000"/>
                <w:sz w:val="20"/>
                <w:szCs w:val="20"/>
              </w:rPr>
            </w:pPr>
            <w:r w:rsidRPr="00517C3D">
              <w:rPr>
                <w:color w:val="000000"/>
                <w:sz w:val="20"/>
                <w:szCs w:val="20"/>
              </w:rPr>
              <w:t>Inflation</w:t>
            </w:r>
          </w:p>
        </w:tc>
        <w:tc>
          <w:tcPr>
            <w:tcW w:w="5440" w:type="dxa"/>
            <w:tcBorders>
              <w:top w:val="single" w:sz="4" w:space="0" w:color="000000"/>
              <w:left w:val="single" w:sz="4" w:space="0" w:color="000000"/>
              <w:bottom w:val="single" w:sz="4" w:space="0" w:color="000000"/>
              <w:right w:val="single" w:sz="4" w:space="0" w:color="000000"/>
            </w:tcBorders>
            <w:vAlign w:val="center"/>
          </w:tcPr>
          <w:p w14:paraId="5560144E" w14:textId="77777777" w:rsidR="00F71210" w:rsidRPr="00517C3D" w:rsidRDefault="0004642E">
            <w:pPr>
              <w:pBdr>
                <w:top w:val="nil"/>
                <w:left w:val="nil"/>
                <w:bottom w:val="nil"/>
                <w:right w:val="nil"/>
                <w:between w:val="nil"/>
              </w:pBdr>
              <w:rPr>
                <w:color w:val="000000"/>
                <w:sz w:val="20"/>
                <w:szCs w:val="20"/>
              </w:rPr>
            </w:pPr>
            <w:r w:rsidRPr="00517C3D">
              <w:rPr>
                <w:color w:val="000000"/>
                <w:sz w:val="20"/>
                <w:szCs w:val="20"/>
              </w:rPr>
              <w:t xml:space="preserve">Annual percentage change in CPI </w:t>
            </w:r>
          </w:p>
        </w:tc>
        <w:tc>
          <w:tcPr>
            <w:tcW w:w="1533" w:type="dxa"/>
            <w:tcBorders>
              <w:top w:val="single" w:sz="4" w:space="0" w:color="000000"/>
              <w:left w:val="single" w:sz="4" w:space="0" w:color="000000"/>
              <w:bottom w:val="single" w:sz="4" w:space="0" w:color="000000"/>
              <w:right w:val="single" w:sz="4" w:space="0" w:color="000000"/>
            </w:tcBorders>
            <w:vAlign w:val="center"/>
          </w:tcPr>
          <w:p w14:paraId="61F7CB53" w14:textId="77777777" w:rsidR="00F71210" w:rsidRPr="00517C3D" w:rsidRDefault="0004642E">
            <w:pPr>
              <w:jc w:val="center"/>
              <w:rPr>
                <w:sz w:val="20"/>
                <w:szCs w:val="20"/>
              </w:rPr>
            </w:pPr>
            <w:r w:rsidRPr="00517C3D">
              <w:rPr>
                <w:sz w:val="20"/>
                <w:szCs w:val="20"/>
              </w:rPr>
              <w:t>Positive/negative</w:t>
            </w:r>
          </w:p>
        </w:tc>
      </w:tr>
      <w:tr w:rsidR="00F71210" w:rsidRPr="00517C3D" w14:paraId="49DD5C1C" w14:textId="77777777" w:rsidTr="00654133">
        <w:trPr>
          <w:trHeight w:val="506"/>
        </w:trPr>
        <w:tc>
          <w:tcPr>
            <w:tcW w:w="1809" w:type="dxa"/>
            <w:tcBorders>
              <w:top w:val="single" w:sz="4" w:space="0" w:color="000000"/>
              <w:left w:val="single" w:sz="4" w:space="0" w:color="000000"/>
              <w:bottom w:val="single" w:sz="4" w:space="0" w:color="000000"/>
              <w:right w:val="single" w:sz="4" w:space="0" w:color="000000"/>
            </w:tcBorders>
            <w:vAlign w:val="center"/>
          </w:tcPr>
          <w:p w14:paraId="0ABBEF5D" w14:textId="77777777" w:rsidR="00F71210" w:rsidRPr="00517C3D" w:rsidRDefault="0004642E">
            <w:pPr>
              <w:pBdr>
                <w:top w:val="nil"/>
                <w:left w:val="nil"/>
                <w:bottom w:val="nil"/>
                <w:right w:val="nil"/>
                <w:between w:val="nil"/>
              </w:pBdr>
              <w:rPr>
                <w:color w:val="000000"/>
                <w:sz w:val="20"/>
                <w:szCs w:val="20"/>
              </w:rPr>
            </w:pPr>
            <w:r w:rsidRPr="00517C3D">
              <w:rPr>
                <w:color w:val="000000"/>
                <w:sz w:val="20"/>
                <w:szCs w:val="20"/>
              </w:rPr>
              <w:t xml:space="preserve">Money Supply </w:t>
            </w:r>
          </w:p>
        </w:tc>
        <w:tc>
          <w:tcPr>
            <w:tcW w:w="5440" w:type="dxa"/>
            <w:tcBorders>
              <w:top w:val="single" w:sz="4" w:space="0" w:color="000000"/>
              <w:left w:val="single" w:sz="4" w:space="0" w:color="000000"/>
              <w:bottom w:val="single" w:sz="4" w:space="0" w:color="000000"/>
              <w:right w:val="single" w:sz="4" w:space="0" w:color="000000"/>
            </w:tcBorders>
            <w:vAlign w:val="center"/>
          </w:tcPr>
          <w:p w14:paraId="66DA82D9" w14:textId="77777777" w:rsidR="00F71210" w:rsidRPr="00517C3D" w:rsidRDefault="0004642E">
            <w:pPr>
              <w:pBdr>
                <w:top w:val="nil"/>
                <w:left w:val="nil"/>
                <w:bottom w:val="nil"/>
                <w:right w:val="nil"/>
                <w:between w:val="nil"/>
              </w:pBdr>
              <w:rPr>
                <w:color w:val="000000"/>
                <w:sz w:val="20"/>
                <w:szCs w:val="20"/>
              </w:rPr>
            </w:pPr>
            <w:r w:rsidRPr="00517C3D">
              <w:rPr>
                <w:color w:val="000000"/>
                <w:sz w:val="20"/>
                <w:szCs w:val="20"/>
              </w:rPr>
              <w:t xml:space="preserve">Growth rate of broad money supply (M3) </w:t>
            </w:r>
          </w:p>
        </w:tc>
        <w:tc>
          <w:tcPr>
            <w:tcW w:w="1533" w:type="dxa"/>
            <w:tcBorders>
              <w:top w:val="single" w:sz="4" w:space="0" w:color="000000"/>
              <w:left w:val="single" w:sz="4" w:space="0" w:color="000000"/>
              <w:bottom w:val="single" w:sz="4" w:space="0" w:color="000000"/>
              <w:right w:val="single" w:sz="4" w:space="0" w:color="000000"/>
            </w:tcBorders>
            <w:vAlign w:val="center"/>
          </w:tcPr>
          <w:p w14:paraId="67DAA448" w14:textId="77777777" w:rsidR="00F71210" w:rsidRPr="00517C3D" w:rsidRDefault="0004642E">
            <w:pPr>
              <w:pBdr>
                <w:top w:val="nil"/>
                <w:left w:val="nil"/>
                <w:bottom w:val="nil"/>
                <w:right w:val="nil"/>
                <w:between w:val="nil"/>
              </w:pBdr>
              <w:jc w:val="center"/>
              <w:rPr>
                <w:color w:val="000000"/>
                <w:sz w:val="20"/>
                <w:szCs w:val="20"/>
              </w:rPr>
            </w:pPr>
            <w:r w:rsidRPr="00517C3D">
              <w:rPr>
                <w:color w:val="000000"/>
                <w:sz w:val="20"/>
                <w:szCs w:val="20"/>
              </w:rPr>
              <w:t>Positive/ negative</w:t>
            </w:r>
          </w:p>
        </w:tc>
      </w:tr>
    </w:tbl>
    <w:p w14:paraId="53D6FE86" w14:textId="77777777" w:rsidR="00D83156" w:rsidRPr="00D83156" w:rsidRDefault="00D83156">
      <w:pPr>
        <w:pBdr>
          <w:top w:val="nil"/>
          <w:left w:val="nil"/>
          <w:bottom w:val="nil"/>
          <w:right w:val="nil"/>
          <w:between w:val="nil"/>
        </w:pBdr>
        <w:spacing w:before="120" w:line="360" w:lineRule="auto"/>
        <w:ind w:firstLine="720"/>
        <w:jc w:val="both"/>
        <w:rPr>
          <w:color w:val="000000"/>
          <w:sz w:val="12"/>
          <w:szCs w:val="12"/>
        </w:rPr>
      </w:pPr>
    </w:p>
    <w:p w14:paraId="02CFF297" w14:textId="598A1874" w:rsidR="00D83156" w:rsidRDefault="00D83156" w:rsidP="00D83156">
      <w:pPr>
        <w:pBdr>
          <w:top w:val="nil"/>
          <w:left w:val="nil"/>
          <w:bottom w:val="nil"/>
          <w:right w:val="nil"/>
          <w:between w:val="nil"/>
        </w:pBdr>
        <w:spacing w:before="120" w:line="360" w:lineRule="auto"/>
        <w:ind w:firstLine="720"/>
        <w:jc w:val="both"/>
        <w:rPr>
          <w:color w:val="000000"/>
        </w:rPr>
      </w:pPr>
      <w:r>
        <w:rPr>
          <w:color w:val="000000"/>
        </w:rPr>
        <w:t xml:space="preserve"> </w:t>
      </w:r>
    </w:p>
    <w:p w14:paraId="347AA9FF" w14:textId="77777777" w:rsidR="00D83156" w:rsidRDefault="00D83156" w:rsidP="00D83156">
      <w:pPr>
        <w:jc w:val="center"/>
        <w:rPr>
          <w:color w:val="000000"/>
        </w:rPr>
      </w:pPr>
    </w:p>
    <w:p w14:paraId="21DCC5DB" w14:textId="77777777" w:rsidR="00654133" w:rsidRDefault="00654133">
      <w:pPr>
        <w:rPr>
          <w:color w:val="000000"/>
        </w:rPr>
      </w:pPr>
      <w:r>
        <w:rPr>
          <w:color w:val="000000"/>
        </w:rPr>
        <w:br w:type="page"/>
      </w:r>
    </w:p>
    <w:p w14:paraId="51AC1EBD" w14:textId="77917259" w:rsidR="00F71210" w:rsidRDefault="0004642E" w:rsidP="00D83156">
      <w:pPr>
        <w:jc w:val="center"/>
        <w:rPr>
          <w:color w:val="000000"/>
        </w:rPr>
      </w:pPr>
      <w:r>
        <w:rPr>
          <w:color w:val="000000"/>
        </w:rPr>
        <w:lastRenderedPageBreak/>
        <w:t>Table 2: Summary Statistics</w:t>
      </w:r>
    </w:p>
    <w:p w14:paraId="7406AD58" w14:textId="77777777" w:rsidR="00D83156" w:rsidRPr="00D83156" w:rsidRDefault="00D83156" w:rsidP="00D83156">
      <w:pPr>
        <w:jc w:val="center"/>
        <w:rPr>
          <w:sz w:val="14"/>
          <w:szCs w:val="14"/>
        </w:rPr>
      </w:pPr>
    </w:p>
    <w:tbl>
      <w:tblPr>
        <w:tblStyle w:val="a0"/>
        <w:tblW w:w="9067" w:type="dxa"/>
        <w:tblLayout w:type="fixed"/>
        <w:tblLook w:val="0400" w:firstRow="0" w:lastRow="0" w:firstColumn="0" w:lastColumn="0" w:noHBand="0" w:noVBand="1"/>
      </w:tblPr>
      <w:tblGrid>
        <w:gridCol w:w="2972"/>
        <w:gridCol w:w="1418"/>
        <w:gridCol w:w="1024"/>
        <w:gridCol w:w="1244"/>
        <w:gridCol w:w="1134"/>
        <w:gridCol w:w="1275"/>
      </w:tblGrid>
      <w:tr w:rsidR="00F71210" w14:paraId="21AA4349" w14:textId="77777777" w:rsidTr="00D216D2">
        <w:trPr>
          <w:trHeight w:val="530"/>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4090F" w14:textId="77777777" w:rsidR="00F71210" w:rsidRDefault="0004642E">
            <w:pPr>
              <w:jc w:val="center"/>
              <w:rPr>
                <w:color w:val="000000"/>
                <w:sz w:val="22"/>
                <w:szCs w:val="22"/>
              </w:rPr>
            </w:pPr>
            <w:r>
              <w:rPr>
                <w:color w:val="000000"/>
                <w:sz w:val="22"/>
                <w:szCs w:val="22"/>
              </w:rPr>
              <w:t>Variables</w:t>
            </w:r>
          </w:p>
        </w:tc>
        <w:tc>
          <w:tcPr>
            <w:tcW w:w="1418" w:type="dxa"/>
            <w:tcBorders>
              <w:top w:val="single" w:sz="4" w:space="0" w:color="000000"/>
              <w:left w:val="nil"/>
              <w:bottom w:val="single" w:sz="4" w:space="0" w:color="000000"/>
              <w:right w:val="single" w:sz="4" w:space="0" w:color="000000"/>
            </w:tcBorders>
            <w:shd w:val="clear" w:color="auto" w:fill="auto"/>
            <w:vAlign w:val="center"/>
          </w:tcPr>
          <w:p w14:paraId="287C5A78" w14:textId="77777777" w:rsidR="00F71210" w:rsidRDefault="0004642E">
            <w:pPr>
              <w:jc w:val="center"/>
              <w:rPr>
                <w:color w:val="000000"/>
                <w:sz w:val="22"/>
                <w:szCs w:val="22"/>
              </w:rPr>
            </w:pPr>
            <w:r>
              <w:rPr>
                <w:color w:val="000000"/>
                <w:sz w:val="22"/>
                <w:szCs w:val="22"/>
              </w:rPr>
              <w:t>No. of Observations</w:t>
            </w:r>
          </w:p>
        </w:tc>
        <w:tc>
          <w:tcPr>
            <w:tcW w:w="1024" w:type="dxa"/>
            <w:tcBorders>
              <w:top w:val="single" w:sz="4" w:space="0" w:color="000000"/>
              <w:left w:val="nil"/>
              <w:bottom w:val="single" w:sz="4" w:space="0" w:color="000000"/>
              <w:right w:val="single" w:sz="4" w:space="0" w:color="000000"/>
            </w:tcBorders>
            <w:shd w:val="clear" w:color="auto" w:fill="auto"/>
            <w:vAlign w:val="center"/>
          </w:tcPr>
          <w:p w14:paraId="45A77526" w14:textId="77777777" w:rsidR="00F71210" w:rsidRDefault="0004642E">
            <w:pPr>
              <w:jc w:val="center"/>
              <w:rPr>
                <w:color w:val="000000"/>
                <w:sz w:val="22"/>
                <w:szCs w:val="22"/>
              </w:rPr>
            </w:pPr>
            <w:r>
              <w:rPr>
                <w:color w:val="000000"/>
                <w:sz w:val="22"/>
                <w:szCs w:val="22"/>
              </w:rPr>
              <w:t>Mean</w:t>
            </w:r>
          </w:p>
        </w:tc>
        <w:tc>
          <w:tcPr>
            <w:tcW w:w="1244" w:type="dxa"/>
            <w:tcBorders>
              <w:top w:val="single" w:sz="4" w:space="0" w:color="000000"/>
              <w:left w:val="nil"/>
              <w:bottom w:val="single" w:sz="4" w:space="0" w:color="000000"/>
              <w:right w:val="single" w:sz="4" w:space="0" w:color="000000"/>
            </w:tcBorders>
            <w:shd w:val="clear" w:color="auto" w:fill="auto"/>
            <w:vAlign w:val="center"/>
          </w:tcPr>
          <w:p w14:paraId="44461E8D" w14:textId="77777777" w:rsidR="00F71210" w:rsidRDefault="0004642E">
            <w:pPr>
              <w:jc w:val="center"/>
              <w:rPr>
                <w:color w:val="000000"/>
                <w:sz w:val="22"/>
                <w:szCs w:val="22"/>
              </w:rPr>
            </w:pPr>
            <w:r>
              <w:rPr>
                <w:color w:val="000000"/>
                <w:sz w:val="22"/>
                <w:szCs w:val="22"/>
              </w:rPr>
              <w:t>Std. Dev.</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510EE8B4" w14:textId="77777777" w:rsidR="00F71210" w:rsidRDefault="0004642E">
            <w:pPr>
              <w:jc w:val="center"/>
              <w:rPr>
                <w:color w:val="000000"/>
                <w:sz w:val="22"/>
                <w:szCs w:val="22"/>
              </w:rPr>
            </w:pPr>
            <w:r>
              <w:rPr>
                <w:color w:val="000000"/>
                <w:sz w:val="22"/>
                <w:szCs w:val="22"/>
              </w:rPr>
              <w:t>Min</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4402274B" w14:textId="77777777" w:rsidR="00F71210" w:rsidRDefault="0004642E">
            <w:pPr>
              <w:jc w:val="center"/>
              <w:rPr>
                <w:color w:val="000000"/>
                <w:sz w:val="22"/>
                <w:szCs w:val="22"/>
              </w:rPr>
            </w:pPr>
            <w:r>
              <w:rPr>
                <w:color w:val="000000"/>
                <w:sz w:val="22"/>
                <w:szCs w:val="22"/>
              </w:rPr>
              <w:t>Max</w:t>
            </w:r>
          </w:p>
        </w:tc>
      </w:tr>
      <w:tr w:rsidR="00310292" w14:paraId="694731FA" w14:textId="77777777" w:rsidTr="00D216D2">
        <w:trPr>
          <w:trHeight w:val="439"/>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41599" w14:textId="77777777" w:rsidR="00310292" w:rsidRDefault="00310292" w:rsidP="00310292">
            <w:pPr>
              <w:rPr>
                <w:color w:val="000000"/>
                <w:sz w:val="22"/>
                <w:szCs w:val="22"/>
              </w:rPr>
            </w:pPr>
            <w:r>
              <w:rPr>
                <w:color w:val="000000"/>
                <w:sz w:val="22"/>
                <w:szCs w:val="22"/>
              </w:rPr>
              <w:t>ROAE %</w:t>
            </w:r>
          </w:p>
        </w:tc>
        <w:tc>
          <w:tcPr>
            <w:tcW w:w="1418" w:type="dxa"/>
            <w:tcBorders>
              <w:top w:val="nil"/>
              <w:left w:val="nil"/>
              <w:bottom w:val="single" w:sz="4" w:space="0" w:color="000000"/>
              <w:right w:val="single" w:sz="4" w:space="0" w:color="000000"/>
            </w:tcBorders>
            <w:shd w:val="clear" w:color="auto" w:fill="auto"/>
            <w:vAlign w:val="center"/>
          </w:tcPr>
          <w:p w14:paraId="181D4C67" w14:textId="77777777" w:rsidR="00310292" w:rsidRDefault="00310292" w:rsidP="00310292">
            <w:pPr>
              <w:jc w:val="center"/>
              <w:rPr>
                <w:color w:val="000000"/>
                <w:sz w:val="22"/>
                <w:szCs w:val="22"/>
              </w:rPr>
            </w:pPr>
            <w:r>
              <w:rPr>
                <w:color w:val="000000"/>
                <w:sz w:val="22"/>
                <w:szCs w:val="22"/>
              </w:rPr>
              <w:t>5,819</w:t>
            </w:r>
          </w:p>
        </w:tc>
        <w:tc>
          <w:tcPr>
            <w:tcW w:w="1024" w:type="dxa"/>
            <w:tcBorders>
              <w:top w:val="nil"/>
              <w:left w:val="nil"/>
              <w:bottom w:val="single" w:sz="4" w:space="0" w:color="000000"/>
              <w:right w:val="single" w:sz="4" w:space="0" w:color="000000"/>
            </w:tcBorders>
            <w:shd w:val="clear" w:color="auto" w:fill="auto"/>
            <w:vAlign w:val="center"/>
          </w:tcPr>
          <w:p w14:paraId="3708B946" w14:textId="7DD216B9" w:rsidR="00310292" w:rsidRPr="00310292" w:rsidRDefault="00310292" w:rsidP="00310292">
            <w:pPr>
              <w:jc w:val="center"/>
              <w:rPr>
                <w:color w:val="000000"/>
                <w:sz w:val="20"/>
                <w:szCs w:val="20"/>
              </w:rPr>
            </w:pPr>
            <w:r w:rsidRPr="00310292">
              <w:rPr>
                <w:color w:val="000000"/>
                <w:sz w:val="20"/>
                <w:szCs w:val="20"/>
              </w:rPr>
              <w:t>11.2662</w:t>
            </w:r>
          </w:p>
        </w:tc>
        <w:tc>
          <w:tcPr>
            <w:tcW w:w="1244" w:type="dxa"/>
            <w:tcBorders>
              <w:top w:val="nil"/>
              <w:left w:val="nil"/>
              <w:bottom w:val="single" w:sz="4" w:space="0" w:color="000000"/>
              <w:right w:val="single" w:sz="4" w:space="0" w:color="000000"/>
            </w:tcBorders>
            <w:shd w:val="clear" w:color="auto" w:fill="auto"/>
            <w:vAlign w:val="center"/>
          </w:tcPr>
          <w:p w14:paraId="64B89290" w14:textId="50F11B83" w:rsidR="00310292" w:rsidRPr="00310292" w:rsidRDefault="00310292" w:rsidP="00310292">
            <w:pPr>
              <w:jc w:val="center"/>
              <w:rPr>
                <w:color w:val="000000"/>
                <w:sz w:val="20"/>
                <w:szCs w:val="20"/>
              </w:rPr>
            </w:pPr>
            <w:r w:rsidRPr="00310292">
              <w:rPr>
                <w:color w:val="000000"/>
                <w:sz w:val="20"/>
                <w:szCs w:val="20"/>
              </w:rPr>
              <w:t>8.7029</w:t>
            </w:r>
          </w:p>
        </w:tc>
        <w:tc>
          <w:tcPr>
            <w:tcW w:w="1134" w:type="dxa"/>
            <w:tcBorders>
              <w:top w:val="nil"/>
              <w:left w:val="nil"/>
              <w:bottom w:val="single" w:sz="4" w:space="0" w:color="000000"/>
              <w:right w:val="single" w:sz="4" w:space="0" w:color="000000"/>
            </w:tcBorders>
            <w:shd w:val="clear" w:color="auto" w:fill="auto"/>
            <w:vAlign w:val="center"/>
          </w:tcPr>
          <w:p w14:paraId="17DB79E1" w14:textId="7F180536" w:rsidR="00310292" w:rsidRPr="00310292" w:rsidRDefault="00310292" w:rsidP="00310292">
            <w:pPr>
              <w:jc w:val="center"/>
              <w:rPr>
                <w:color w:val="000000"/>
                <w:sz w:val="20"/>
                <w:szCs w:val="20"/>
              </w:rPr>
            </w:pPr>
            <w:r w:rsidRPr="00310292">
              <w:rPr>
                <w:color w:val="000000"/>
                <w:sz w:val="20"/>
                <w:szCs w:val="20"/>
              </w:rPr>
              <w:t>-8.8180</w:t>
            </w:r>
          </w:p>
        </w:tc>
        <w:tc>
          <w:tcPr>
            <w:tcW w:w="1275" w:type="dxa"/>
            <w:tcBorders>
              <w:top w:val="nil"/>
              <w:left w:val="nil"/>
              <w:bottom w:val="single" w:sz="4" w:space="0" w:color="000000"/>
              <w:right w:val="single" w:sz="4" w:space="0" w:color="000000"/>
            </w:tcBorders>
            <w:shd w:val="clear" w:color="auto" w:fill="auto"/>
            <w:vAlign w:val="center"/>
          </w:tcPr>
          <w:p w14:paraId="59DF5EDD" w14:textId="52626255" w:rsidR="00310292" w:rsidRPr="00310292" w:rsidRDefault="00310292" w:rsidP="00310292">
            <w:pPr>
              <w:jc w:val="center"/>
              <w:rPr>
                <w:color w:val="000000"/>
                <w:sz w:val="20"/>
                <w:szCs w:val="20"/>
              </w:rPr>
            </w:pPr>
            <w:r w:rsidRPr="00310292">
              <w:rPr>
                <w:color w:val="000000"/>
                <w:sz w:val="20"/>
                <w:szCs w:val="20"/>
              </w:rPr>
              <w:t>80.3530</w:t>
            </w:r>
          </w:p>
        </w:tc>
      </w:tr>
      <w:tr w:rsidR="00310292" w14:paraId="5F8D3564" w14:textId="77777777" w:rsidTr="00D216D2">
        <w:trPr>
          <w:trHeight w:val="439"/>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54106" w14:textId="77777777" w:rsidR="00310292" w:rsidRDefault="00310292" w:rsidP="00310292">
            <w:pPr>
              <w:rPr>
                <w:color w:val="000000"/>
                <w:sz w:val="22"/>
                <w:szCs w:val="22"/>
              </w:rPr>
            </w:pPr>
            <w:r>
              <w:rPr>
                <w:color w:val="000000"/>
                <w:sz w:val="22"/>
                <w:szCs w:val="22"/>
              </w:rPr>
              <w:t>Cost Efficiency %</w:t>
            </w:r>
          </w:p>
        </w:tc>
        <w:tc>
          <w:tcPr>
            <w:tcW w:w="1418" w:type="dxa"/>
            <w:tcBorders>
              <w:top w:val="nil"/>
              <w:left w:val="nil"/>
              <w:bottom w:val="single" w:sz="4" w:space="0" w:color="000000"/>
              <w:right w:val="single" w:sz="4" w:space="0" w:color="000000"/>
            </w:tcBorders>
            <w:shd w:val="clear" w:color="auto" w:fill="auto"/>
            <w:vAlign w:val="center"/>
          </w:tcPr>
          <w:p w14:paraId="40AC7106" w14:textId="77777777" w:rsidR="00310292" w:rsidRDefault="00310292" w:rsidP="00310292">
            <w:pPr>
              <w:jc w:val="center"/>
              <w:rPr>
                <w:color w:val="000000"/>
                <w:sz w:val="22"/>
                <w:szCs w:val="22"/>
              </w:rPr>
            </w:pPr>
            <w:r>
              <w:rPr>
                <w:color w:val="000000"/>
                <w:sz w:val="22"/>
                <w:szCs w:val="22"/>
              </w:rPr>
              <w:t>5,819</w:t>
            </w:r>
          </w:p>
        </w:tc>
        <w:tc>
          <w:tcPr>
            <w:tcW w:w="1024" w:type="dxa"/>
            <w:tcBorders>
              <w:top w:val="nil"/>
              <w:left w:val="nil"/>
              <w:bottom w:val="single" w:sz="4" w:space="0" w:color="000000"/>
              <w:right w:val="single" w:sz="4" w:space="0" w:color="000000"/>
            </w:tcBorders>
            <w:shd w:val="clear" w:color="auto" w:fill="auto"/>
            <w:vAlign w:val="center"/>
          </w:tcPr>
          <w:p w14:paraId="3278D81C" w14:textId="3417E572" w:rsidR="00310292" w:rsidRPr="00310292" w:rsidRDefault="00310292" w:rsidP="00310292">
            <w:pPr>
              <w:jc w:val="center"/>
              <w:rPr>
                <w:color w:val="000000"/>
                <w:sz w:val="20"/>
                <w:szCs w:val="20"/>
              </w:rPr>
            </w:pPr>
            <w:r w:rsidRPr="00310292">
              <w:rPr>
                <w:color w:val="000000"/>
                <w:sz w:val="20"/>
                <w:szCs w:val="20"/>
              </w:rPr>
              <w:t>92</w:t>
            </w:r>
            <w:r>
              <w:rPr>
                <w:color w:val="000000"/>
                <w:sz w:val="20"/>
                <w:szCs w:val="20"/>
              </w:rPr>
              <w:t>.</w:t>
            </w:r>
            <w:r w:rsidRPr="00310292">
              <w:rPr>
                <w:color w:val="000000"/>
                <w:sz w:val="20"/>
                <w:szCs w:val="20"/>
              </w:rPr>
              <w:t>10</w:t>
            </w:r>
          </w:p>
        </w:tc>
        <w:tc>
          <w:tcPr>
            <w:tcW w:w="1244" w:type="dxa"/>
            <w:tcBorders>
              <w:top w:val="nil"/>
              <w:left w:val="nil"/>
              <w:bottom w:val="single" w:sz="4" w:space="0" w:color="000000"/>
              <w:right w:val="single" w:sz="4" w:space="0" w:color="000000"/>
            </w:tcBorders>
            <w:shd w:val="clear" w:color="auto" w:fill="auto"/>
            <w:vAlign w:val="center"/>
          </w:tcPr>
          <w:p w14:paraId="61077759" w14:textId="72A4A509" w:rsidR="00310292" w:rsidRPr="00310292" w:rsidRDefault="00310292" w:rsidP="00310292">
            <w:pPr>
              <w:jc w:val="center"/>
              <w:rPr>
                <w:color w:val="000000"/>
                <w:sz w:val="20"/>
                <w:szCs w:val="20"/>
              </w:rPr>
            </w:pPr>
            <w:r w:rsidRPr="00310292">
              <w:rPr>
                <w:color w:val="000000"/>
                <w:sz w:val="20"/>
                <w:szCs w:val="20"/>
              </w:rPr>
              <w:t>19</w:t>
            </w:r>
            <w:r>
              <w:rPr>
                <w:color w:val="000000"/>
                <w:sz w:val="20"/>
                <w:szCs w:val="20"/>
              </w:rPr>
              <w:t>.</w:t>
            </w:r>
            <w:r w:rsidRPr="00310292">
              <w:rPr>
                <w:color w:val="000000"/>
                <w:sz w:val="20"/>
                <w:szCs w:val="20"/>
              </w:rPr>
              <w:t>54</w:t>
            </w:r>
          </w:p>
        </w:tc>
        <w:tc>
          <w:tcPr>
            <w:tcW w:w="1134" w:type="dxa"/>
            <w:tcBorders>
              <w:top w:val="nil"/>
              <w:left w:val="nil"/>
              <w:bottom w:val="single" w:sz="4" w:space="0" w:color="000000"/>
              <w:right w:val="single" w:sz="4" w:space="0" w:color="000000"/>
            </w:tcBorders>
            <w:shd w:val="clear" w:color="auto" w:fill="auto"/>
            <w:vAlign w:val="center"/>
          </w:tcPr>
          <w:p w14:paraId="767A6E9D" w14:textId="691C5E71" w:rsidR="00310292" w:rsidRPr="00310292" w:rsidRDefault="00310292" w:rsidP="00310292">
            <w:pPr>
              <w:jc w:val="center"/>
              <w:rPr>
                <w:color w:val="000000"/>
                <w:sz w:val="20"/>
                <w:szCs w:val="20"/>
              </w:rPr>
            </w:pPr>
            <w:r w:rsidRPr="00310292">
              <w:rPr>
                <w:color w:val="000000"/>
                <w:sz w:val="20"/>
                <w:szCs w:val="20"/>
              </w:rPr>
              <w:t>87</w:t>
            </w:r>
            <w:r>
              <w:rPr>
                <w:color w:val="000000"/>
                <w:sz w:val="20"/>
                <w:szCs w:val="20"/>
              </w:rPr>
              <w:t>.</w:t>
            </w:r>
            <w:r w:rsidRPr="00310292">
              <w:rPr>
                <w:color w:val="000000"/>
                <w:sz w:val="20"/>
                <w:szCs w:val="20"/>
              </w:rPr>
              <w:t>30</w:t>
            </w:r>
          </w:p>
        </w:tc>
        <w:tc>
          <w:tcPr>
            <w:tcW w:w="1275" w:type="dxa"/>
            <w:tcBorders>
              <w:top w:val="nil"/>
              <w:left w:val="nil"/>
              <w:bottom w:val="single" w:sz="4" w:space="0" w:color="000000"/>
              <w:right w:val="single" w:sz="4" w:space="0" w:color="000000"/>
            </w:tcBorders>
            <w:shd w:val="clear" w:color="auto" w:fill="auto"/>
            <w:vAlign w:val="center"/>
          </w:tcPr>
          <w:p w14:paraId="51F282B5" w14:textId="5B1986BF" w:rsidR="00310292" w:rsidRPr="00310292" w:rsidRDefault="00310292" w:rsidP="00310292">
            <w:pPr>
              <w:jc w:val="center"/>
              <w:rPr>
                <w:color w:val="000000"/>
                <w:sz w:val="20"/>
                <w:szCs w:val="20"/>
              </w:rPr>
            </w:pPr>
            <w:r w:rsidRPr="00310292">
              <w:rPr>
                <w:color w:val="000000"/>
                <w:sz w:val="20"/>
                <w:szCs w:val="20"/>
              </w:rPr>
              <w:t>99</w:t>
            </w:r>
            <w:r>
              <w:rPr>
                <w:color w:val="000000"/>
                <w:sz w:val="20"/>
                <w:szCs w:val="20"/>
              </w:rPr>
              <w:t>.</w:t>
            </w:r>
            <w:r w:rsidRPr="00310292">
              <w:rPr>
                <w:color w:val="000000"/>
                <w:sz w:val="20"/>
                <w:szCs w:val="20"/>
              </w:rPr>
              <w:t>70</w:t>
            </w:r>
          </w:p>
        </w:tc>
      </w:tr>
      <w:tr w:rsidR="00310292" w14:paraId="5F2FF111" w14:textId="77777777" w:rsidTr="00D216D2">
        <w:trPr>
          <w:trHeight w:val="548"/>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61CC9" w14:textId="77777777" w:rsidR="00310292" w:rsidRDefault="00310292" w:rsidP="00310292">
            <w:pPr>
              <w:rPr>
                <w:color w:val="000000"/>
                <w:sz w:val="22"/>
                <w:szCs w:val="22"/>
              </w:rPr>
            </w:pPr>
            <w:r>
              <w:rPr>
                <w:color w:val="000000"/>
                <w:sz w:val="22"/>
                <w:szCs w:val="22"/>
              </w:rPr>
              <w:t>Log of Equity</w:t>
            </w:r>
          </w:p>
        </w:tc>
        <w:tc>
          <w:tcPr>
            <w:tcW w:w="1418" w:type="dxa"/>
            <w:tcBorders>
              <w:top w:val="nil"/>
              <w:left w:val="nil"/>
              <w:bottom w:val="single" w:sz="4" w:space="0" w:color="000000"/>
              <w:right w:val="single" w:sz="4" w:space="0" w:color="000000"/>
            </w:tcBorders>
            <w:shd w:val="clear" w:color="auto" w:fill="auto"/>
            <w:vAlign w:val="center"/>
          </w:tcPr>
          <w:p w14:paraId="67CB3497" w14:textId="77777777" w:rsidR="00310292" w:rsidRDefault="00310292" w:rsidP="00310292">
            <w:pPr>
              <w:jc w:val="center"/>
              <w:rPr>
                <w:color w:val="000000"/>
                <w:sz w:val="22"/>
                <w:szCs w:val="22"/>
              </w:rPr>
            </w:pPr>
            <w:r>
              <w:rPr>
                <w:color w:val="000000"/>
                <w:sz w:val="22"/>
                <w:szCs w:val="22"/>
              </w:rPr>
              <w:t>5,819</w:t>
            </w:r>
          </w:p>
        </w:tc>
        <w:tc>
          <w:tcPr>
            <w:tcW w:w="1024" w:type="dxa"/>
            <w:tcBorders>
              <w:top w:val="nil"/>
              <w:left w:val="nil"/>
              <w:bottom w:val="single" w:sz="4" w:space="0" w:color="000000"/>
              <w:right w:val="single" w:sz="4" w:space="0" w:color="000000"/>
            </w:tcBorders>
            <w:shd w:val="clear" w:color="auto" w:fill="auto"/>
            <w:vAlign w:val="center"/>
          </w:tcPr>
          <w:p w14:paraId="79AD826F" w14:textId="4DBCC2BB" w:rsidR="00310292" w:rsidRPr="00310292" w:rsidRDefault="00310292" w:rsidP="00310292">
            <w:pPr>
              <w:jc w:val="center"/>
              <w:rPr>
                <w:color w:val="000000"/>
                <w:sz w:val="20"/>
                <w:szCs w:val="20"/>
              </w:rPr>
            </w:pPr>
            <w:r w:rsidRPr="00310292">
              <w:rPr>
                <w:color w:val="000000"/>
                <w:sz w:val="20"/>
                <w:szCs w:val="20"/>
              </w:rPr>
              <w:t>2.7426</w:t>
            </w:r>
          </w:p>
        </w:tc>
        <w:tc>
          <w:tcPr>
            <w:tcW w:w="1244" w:type="dxa"/>
            <w:tcBorders>
              <w:top w:val="nil"/>
              <w:left w:val="nil"/>
              <w:bottom w:val="single" w:sz="4" w:space="0" w:color="000000"/>
              <w:right w:val="single" w:sz="4" w:space="0" w:color="000000"/>
            </w:tcBorders>
            <w:shd w:val="clear" w:color="auto" w:fill="auto"/>
            <w:vAlign w:val="center"/>
          </w:tcPr>
          <w:p w14:paraId="1071C6A7" w14:textId="2FA24F0A" w:rsidR="00310292" w:rsidRPr="00310292" w:rsidRDefault="00310292" w:rsidP="00310292">
            <w:pPr>
              <w:jc w:val="center"/>
              <w:rPr>
                <w:color w:val="000000"/>
                <w:sz w:val="20"/>
                <w:szCs w:val="20"/>
              </w:rPr>
            </w:pPr>
            <w:r w:rsidRPr="00310292">
              <w:rPr>
                <w:color w:val="000000"/>
                <w:sz w:val="20"/>
                <w:szCs w:val="20"/>
              </w:rPr>
              <w:t>14.7325</w:t>
            </w:r>
          </w:p>
        </w:tc>
        <w:tc>
          <w:tcPr>
            <w:tcW w:w="1134" w:type="dxa"/>
            <w:tcBorders>
              <w:top w:val="nil"/>
              <w:left w:val="nil"/>
              <w:bottom w:val="single" w:sz="4" w:space="0" w:color="000000"/>
              <w:right w:val="single" w:sz="4" w:space="0" w:color="000000"/>
            </w:tcBorders>
            <w:shd w:val="clear" w:color="auto" w:fill="auto"/>
            <w:vAlign w:val="center"/>
          </w:tcPr>
          <w:p w14:paraId="77DE9E8D" w14:textId="3920D43B" w:rsidR="00310292" w:rsidRPr="00310292" w:rsidRDefault="00310292" w:rsidP="00310292">
            <w:pPr>
              <w:jc w:val="center"/>
              <w:rPr>
                <w:color w:val="000000"/>
                <w:sz w:val="20"/>
                <w:szCs w:val="20"/>
              </w:rPr>
            </w:pPr>
            <w:r w:rsidRPr="00310292">
              <w:rPr>
                <w:color w:val="000000"/>
                <w:sz w:val="20"/>
                <w:szCs w:val="20"/>
              </w:rPr>
              <w:t>0.0032</w:t>
            </w:r>
          </w:p>
        </w:tc>
        <w:tc>
          <w:tcPr>
            <w:tcW w:w="1275" w:type="dxa"/>
            <w:tcBorders>
              <w:top w:val="nil"/>
              <w:left w:val="nil"/>
              <w:bottom w:val="single" w:sz="4" w:space="0" w:color="000000"/>
              <w:right w:val="single" w:sz="4" w:space="0" w:color="000000"/>
            </w:tcBorders>
            <w:shd w:val="clear" w:color="auto" w:fill="auto"/>
            <w:vAlign w:val="center"/>
          </w:tcPr>
          <w:p w14:paraId="327575AB" w14:textId="6A05640B" w:rsidR="00310292" w:rsidRPr="00310292" w:rsidRDefault="00310292" w:rsidP="00310292">
            <w:pPr>
              <w:jc w:val="center"/>
              <w:rPr>
                <w:color w:val="000000"/>
                <w:sz w:val="20"/>
                <w:szCs w:val="20"/>
              </w:rPr>
            </w:pPr>
            <w:r w:rsidRPr="00310292">
              <w:rPr>
                <w:color w:val="000000"/>
                <w:sz w:val="20"/>
                <w:szCs w:val="20"/>
              </w:rPr>
              <w:t>214.3430</w:t>
            </w:r>
          </w:p>
        </w:tc>
      </w:tr>
      <w:tr w:rsidR="00310292" w14:paraId="243C83D0" w14:textId="77777777" w:rsidTr="00D216D2">
        <w:trPr>
          <w:trHeight w:val="485"/>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0121C" w14:textId="77777777" w:rsidR="00310292" w:rsidRDefault="00310292" w:rsidP="00310292">
            <w:pPr>
              <w:rPr>
                <w:color w:val="000000"/>
                <w:sz w:val="22"/>
                <w:szCs w:val="22"/>
              </w:rPr>
            </w:pPr>
            <w:r>
              <w:rPr>
                <w:color w:val="000000"/>
                <w:sz w:val="22"/>
                <w:szCs w:val="22"/>
              </w:rPr>
              <w:t>Log of Total Assets</w:t>
            </w:r>
          </w:p>
        </w:tc>
        <w:tc>
          <w:tcPr>
            <w:tcW w:w="1418" w:type="dxa"/>
            <w:tcBorders>
              <w:top w:val="nil"/>
              <w:left w:val="nil"/>
              <w:bottom w:val="single" w:sz="4" w:space="0" w:color="000000"/>
              <w:right w:val="single" w:sz="4" w:space="0" w:color="000000"/>
            </w:tcBorders>
            <w:shd w:val="clear" w:color="auto" w:fill="auto"/>
            <w:vAlign w:val="center"/>
          </w:tcPr>
          <w:p w14:paraId="2E039C75" w14:textId="77777777" w:rsidR="00310292" w:rsidRDefault="00310292" w:rsidP="00310292">
            <w:pPr>
              <w:jc w:val="center"/>
              <w:rPr>
                <w:color w:val="000000"/>
                <w:sz w:val="22"/>
                <w:szCs w:val="22"/>
              </w:rPr>
            </w:pPr>
            <w:r>
              <w:rPr>
                <w:color w:val="000000"/>
                <w:sz w:val="22"/>
                <w:szCs w:val="22"/>
              </w:rPr>
              <w:t>5,819</w:t>
            </w:r>
          </w:p>
        </w:tc>
        <w:tc>
          <w:tcPr>
            <w:tcW w:w="1024" w:type="dxa"/>
            <w:tcBorders>
              <w:top w:val="nil"/>
              <w:left w:val="nil"/>
              <w:bottom w:val="single" w:sz="4" w:space="0" w:color="000000"/>
              <w:right w:val="single" w:sz="4" w:space="0" w:color="000000"/>
            </w:tcBorders>
            <w:shd w:val="clear" w:color="auto" w:fill="auto"/>
            <w:vAlign w:val="center"/>
          </w:tcPr>
          <w:p w14:paraId="5B95F7A3" w14:textId="6DAAAFC5" w:rsidR="00310292" w:rsidRPr="00310292" w:rsidRDefault="00310292" w:rsidP="00310292">
            <w:pPr>
              <w:jc w:val="center"/>
              <w:rPr>
                <w:color w:val="000000"/>
                <w:sz w:val="20"/>
                <w:szCs w:val="20"/>
              </w:rPr>
            </w:pPr>
            <w:r w:rsidRPr="00310292">
              <w:rPr>
                <w:color w:val="000000"/>
                <w:sz w:val="20"/>
                <w:szCs w:val="20"/>
              </w:rPr>
              <w:t>25.8079</w:t>
            </w:r>
          </w:p>
        </w:tc>
        <w:tc>
          <w:tcPr>
            <w:tcW w:w="1244" w:type="dxa"/>
            <w:tcBorders>
              <w:top w:val="nil"/>
              <w:left w:val="nil"/>
              <w:bottom w:val="single" w:sz="4" w:space="0" w:color="000000"/>
              <w:right w:val="single" w:sz="4" w:space="0" w:color="000000"/>
            </w:tcBorders>
            <w:shd w:val="clear" w:color="auto" w:fill="auto"/>
            <w:vAlign w:val="center"/>
          </w:tcPr>
          <w:p w14:paraId="234A1ED4" w14:textId="77C2189F" w:rsidR="00310292" w:rsidRPr="00310292" w:rsidRDefault="00310292" w:rsidP="00310292">
            <w:pPr>
              <w:jc w:val="center"/>
              <w:rPr>
                <w:color w:val="000000"/>
                <w:sz w:val="20"/>
                <w:szCs w:val="20"/>
              </w:rPr>
            </w:pPr>
            <w:r w:rsidRPr="00310292">
              <w:rPr>
                <w:color w:val="000000"/>
                <w:sz w:val="20"/>
                <w:szCs w:val="20"/>
              </w:rPr>
              <w:t>145.9643</w:t>
            </w:r>
          </w:p>
        </w:tc>
        <w:tc>
          <w:tcPr>
            <w:tcW w:w="1134" w:type="dxa"/>
            <w:tcBorders>
              <w:top w:val="nil"/>
              <w:left w:val="nil"/>
              <w:bottom w:val="single" w:sz="4" w:space="0" w:color="000000"/>
              <w:right w:val="single" w:sz="4" w:space="0" w:color="000000"/>
            </w:tcBorders>
            <w:shd w:val="clear" w:color="auto" w:fill="auto"/>
            <w:vAlign w:val="center"/>
          </w:tcPr>
          <w:p w14:paraId="6D8D7318" w14:textId="29747AE4" w:rsidR="00310292" w:rsidRPr="00310292" w:rsidRDefault="00310292" w:rsidP="00310292">
            <w:pPr>
              <w:jc w:val="center"/>
              <w:rPr>
                <w:color w:val="000000"/>
                <w:sz w:val="20"/>
                <w:szCs w:val="20"/>
              </w:rPr>
            </w:pPr>
            <w:r w:rsidRPr="00310292">
              <w:rPr>
                <w:color w:val="000000"/>
                <w:sz w:val="20"/>
                <w:szCs w:val="20"/>
              </w:rPr>
              <w:t>0.0319</w:t>
            </w:r>
          </w:p>
        </w:tc>
        <w:tc>
          <w:tcPr>
            <w:tcW w:w="1275" w:type="dxa"/>
            <w:tcBorders>
              <w:top w:val="nil"/>
              <w:left w:val="nil"/>
              <w:bottom w:val="single" w:sz="4" w:space="0" w:color="000000"/>
              <w:right w:val="single" w:sz="4" w:space="0" w:color="000000"/>
            </w:tcBorders>
            <w:shd w:val="clear" w:color="auto" w:fill="auto"/>
            <w:vAlign w:val="center"/>
          </w:tcPr>
          <w:p w14:paraId="668555E1" w14:textId="04254925" w:rsidR="00310292" w:rsidRPr="00310292" w:rsidRDefault="00310292" w:rsidP="00310292">
            <w:pPr>
              <w:jc w:val="center"/>
              <w:rPr>
                <w:color w:val="000000"/>
                <w:sz w:val="20"/>
                <w:szCs w:val="20"/>
              </w:rPr>
            </w:pPr>
            <w:r w:rsidRPr="00310292">
              <w:rPr>
                <w:color w:val="000000"/>
                <w:sz w:val="20"/>
                <w:szCs w:val="20"/>
              </w:rPr>
              <w:t>2218.9600</w:t>
            </w:r>
          </w:p>
        </w:tc>
      </w:tr>
      <w:tr w:rsidR="00310292" w14:paraId="68569BDC" w14:textId="77777777" w:rsidTr="00D216D2">
        <w:trPr>
          <w:trHeight w:val="485"/>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98BB1" w14:textId="77777777" w:rsidR="00310292" w:rsidRDefault="00310292" w:rsidP="00310292">
            <w:pPr>
              <w:rPr>
                <w:color w:val="000000"/>
                <w:sz w:val="22"/>
                <w:szCs w:val="22"/>
              </w:rPr>
            </w:pPr>
            <w:r>
              <w:rPr>
                <w:color w:val="000000"/>
                <w:sz w:val="22"/>
                <w:szCs w:val="22"/>
              </w:rPr>
              <w:t>Equity to Total Assets %</w:t>
            </w:r>
          </w:p>
        </w:tc>
        <w:tc>
          <w:tcPr>
            <w:tcW w:w="1418" w:type="dxa"/>
            <w:tcBorders>
              <w:top w:val="nil"/>
              <w:left w:val="nil"/>
              <w:bottom w:val="single" w:sz="4" w:space="0" w:color="000000"/>
              <w:right w:val="single" w:sz="4" w:space="0" w:color="000000"/>
            </w:tcBorders>
            <w:shd w:val="clear" w:color="auto" w:fill="auto"/>
            <w:vAlign w:val="center"/>
          </w:tcPr>
          <w:p w14:paraId="5D90E9EE" w14:textId="77777777" w:rsidR="00310292" w:rsidRDefault="00310292" w:rsidP="00310292">
            <w:pPr>
              <w:jc w:val="center"/>
              <w:rPr>
                <w:color w:val="000000"/>
                <w:sz w:val="22"/>
                <w:szCs w:val="22"/>
              </w:rPr>
            </w:pPr>
            <w:r>
              <w:rPr>
                <w:color w:val="000000"/>
                <w:sz w:val="22"/>
                <w:szCs w:val="22"/>
              </w:rPr>
              <w:t>5,819</w:t>
            </w:r>
          </w:p>
        </w:tc>
        <w:tc>
          <w:tcPr>
            <w:tcW w:w="1024" w:type="dxa"/>
            <w:tcBorders>
              <w:top w:val="nil"/>
              <w:left w:val="nil"/>
              <w:bottom w:val="single" w:sz="4" w:space="0" w:color="000000"/>
              <w:right w:val="single" w:sz="4" w:space="0" w:color="000000"/>
            </w:tcBorders>
            <w:shd w:val="clear" w:color="auto" w:fill="auto"/>
            <w:vAlign w:val="center"/>
          </w:tcPr>
          <w:p w14:paraId="1B6B2721" w14:textId="6574DCF0" w:rsidR="00310292" w:rsidRPr="00310292" w:rsidRDefault="00310292" w:rsidP="00310292">
            <w:pPr>
              <w:jc w:val="center"/>
              <w:rPr>
                <w:color w:val="000000"/>
                <w:sz w:val="20"/>
                <w:szCs w:val="20"/>
              </w:rPr>
            </w:pPr>
            <w:r w:rsidRPr="00310292">
              <w:rPr>
                <w:color w:val="000000"/>
                <w:sz w:val="20"/>
                <w:szCs w:val="20"/>
              </w:rPr>
              <w:t>10.9918</w:t>
            </w:r>
          </w:p>
        </w:tc>
        <w:tc>
          <w:tcPr>
            <w:tcW w:w="1244" w:type="dxa"/>
            <w:tcBorders>
              <w:top w:val="nil"/>
              <w:left w:val="nil"/>
              <w:bottom w:val="single" w:sz="4" w:space="0" w:color="000000"/>
              <w:right w:val="single" w:sz="4" w:space="0" w:color="000000"/>
            </w:tcBorders>
            <w:shd w:val="clear" w:color="auto" w:fill="auto"/>
            <w:vAlign w:val="center"/>
          </w:tcPr>
          <w:p w14:paraId="78C8E464" w14:textId="50582C0E" w:rsidR="00310292" w:rsidRPr="00310292" w:rsidRDefault="00310292" w:rsidP="00310292">
            <w:pPr>
              <w:jc w:val="center"/>
              <w:rPr>
                <w:color w:val="000000"/>
                <w:sz w:val="20"/>
                <w:szCs w:val="20"/>
              </w:rPr>
            </w:pPr>
            <w:r w:rsidRPr="00310292">
              <w:rPr>
                <w:color w:val="000000"/>
                <w:sz w:val="20"/>
                <w:szCs w:val="20"/>
              </w:rPr>
              <w:t>3.9873</w:t>
            </w:r>
          </w:p>
        </w:tc>
        <w:tc>
          <w:tcPr>
            <w:tcW w:w="1134" w:type="dxa"/>
            <w:tcBorders>
              <w:top w:val="nil"/>
              <w:left w:val="nil"/>
              <w:bottom w:val="single" w:sz="4" w:space="0" w:color="000000"/>
              <w:right w:val="single" w:sz="4" w:space="0" w:color="000000"/>
            </w:tcBorders>
            <w:shd w:val="clear" w:color="auto" w:fill="auto"/>
            <w:vAlign w:val="center"/>
          </w:tcPr>
          <w:p w14:paraId="4DEED480" w14:textId="2BB92F52" w:rsidR="00310292" w:rsidRPr="00310292" w:rsidRDefault="00310292" w:rsidP="00310292">
            <w:pPr>
              <w:jc w:val="center"/>
              <w:rPr>
                <w:color w:val="000000"/>
                <w:sz w:val="20"/>
                <w:szCs w:val="20"/>
              </w:rPr>
            </w:pPr>
            <w:r w:rsidRPr="00310292">
              <w:rPr>
                <w:color w:val="000000"/>
                <w:sz w:val="20"/>
                <w:szCs w:val="20"/>
              </w:rPr>
              <w:t>4.0910</w:t>
            </w:r>
          </w:p>
        </w:tc>
        <w:tc>
          <w:tcPr>
            <w:tcW w:w="1275" w:type="dxa"/>
            <w:tcBorders>
              <w:top w:val="nil"/>
              <w:left w:val="nil"/>
              <w:bottom w:val="single" w:sz="4" w:space="0" w:color="000000"/>
              <w:right w:val="single" w:sz="4" w:space="0" w:color="000000"/>
            </w:tcBorders>
            <w:shd w:val="clear" w:color="auto" w:fill="auto"/>
            <w:vAlign w:val="center"/>
          </w:tcPr>
          <w:p w14:paraId="5E5B1C39" w14:textId="47DCFAD6" w:rsidR="00310292" w:rsidRPr="00310292" w:rsidRDefault="00310292" w:rsidP="00310292">
            <w:pPr>
              <w:jc w:val="center"/>
              <w:rPr>
                <w:color w:val="000000"/>
                <w:sz w:val="20"/>
                <w:szCs w:val="20"/>
              </w:rPr>
            </w:pPr>
            <w:r w:rsidRPr="00310292">
              <w:rPr>
                <w:color w:val="000000"/>
                <w:sz w:val="20"/>
                <w:szCs w:val="20"/>
              </w:rPr>
              <w:t>73.6320</w:t>
            </w:r>
          </w:p>
        </w:tc>
      </w:tr>
      <w:tr w:rsidR="00310292" w14:paraId="17E43C48" w14:textId="77777777" w:rsidTr="00D216D2">
        <w:trPr>
          <w:trHeight w:val="485"/>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62900" w14:textId="77777777" w:rsidR="00310292" w:rsidRDefault="00310292" w:rsidP="00310292">
            <w:pPr>
              <w:rPr>
                <w:color w:val="000000"/>
                <w:sz w:val="22"/>
                <w:szCs w:val="22"/>
              </w:rPr>
            </w:pPr>
            <w:r>
              <w:rPr>
                <w:color w:val="000000"/>
                <w:sz w:val="22"/>
                <w:szCs w:val="22"/>
              </w:rPr>
              <w:t>Non-performing loan Ratio %</w:t>
            </w:r>
          </w:p>
        </w:tc>
        <w:tc>
          <w:tcPr>
            <w:tcW w:w="1418" w:type="dxa"/>
            <w:tcBorders>
              <w:top w:val="nil"/>
              <w:left w:val="nil"/>
              <w:bottom w:val="single" w:sz="4" w:space="0" w:color="000000"/>
              <w:right w:val="single" w:sz="4" w:space="0" w:color="000000"/>
            </w:tcBorders>
            <w:shd w:val="clear" w:color="auto" w:fill="auto"/>
            <w:vAlign w:val="center"/>
          </w:tcPr>
          <w:p w14:paraId="4A7FDC49" w14:textId="77777777" w:rsidR="00310292" w:rsidRDefault="00310292" w:rsidP="00310292">
            <w:pPr>
              <w:jc w:val="center"/>
              <w:rPr>
                <w:color w:val="000000"/>
                <w:sz w:val="22"/>
                <w:szCs w:val="22"/>
              </w:rPr>
            </w:pPr>
            <w:r>
              <w:rPr>
                <w:color w:val="000000"/>
                <w:sz w:val="22"/>
                <w:szCs w:val="22"/>
              </w:rPr>
              <w:t>5,819</w:t>
            </w:r>
          </w:p>
        </w:tc>
        <w:tc>
          <w:tcPr>
            <w:tcW w:w="1024" w:type="dxa"/>
            <w:tcBorders>
              <w:top w:val="nil"/>
              <w:left w:val="nil"/>
              <w:bottom w:val="single" w:sz="4" w:space="0" w:color="000000"/>
              <w:right w:val="single" w:sz="4" w:space="0" w:color="000000"/>
            </w:tcBorders>
            <w:shd w:val="clear" w:color="auto" w:fill="auto"/>
            <w:vAlign w:val="center"/>
          </w:tcPr>
          <w:p w14:paraId="2632BCF4" w14:textId="3EECB1D5" w:rsidR="00310292" w:rsidRPr="00310292" w:rsidRDefault="00310292" w:rsidP="00310292">
            <w:pPr>
              <w:jc w:val="center"/>
              <w:rPr>
                <w:color w:val="000000"/>
                <w:sz w:val="20"/>
                <w:szCs w:val="20"/>
              </w:rPr>
            </w:pPr>
            <w:r w:rsidRPr="00310292">
              <w:rPr>
                <w:color w:val="000000"/>
                <w:sz w:val="20"/>
                <w:szCs w:val="20"/>
              </w:rPr>
              <w:t>1.4394</w:t>
            </w:r>
          </w:p>
        </w:tc>
        <w:tc>
          <w:tcPr>
            <w:tcW w:w="1244" w:type="dxa"/>
            <w:tcBorders>
              <w:top w:val="nil"/>
              <w:left w:val="nil"/>
              <w:bottom w:val="single" w:sz="4" w:space="0" w:color="000000"/>
              <w:right w:val="single" w:sz="4" w:space="0" w:color="000000"/>
            </w:tcBorders>
            <w:shd w:val="clear" w:color="auto" w:fill="auto"/>
            <w:vAlign w:val="center"/>
          </w:tcPr>
          <w:p w14:paraId="0387ADB8" w14:textId="54AD84EE" w:rsidR="00310292" w:rsidRPr="00310292" w:rsidRDefault="00310292" w:rsidP="00310292">
            <w:pPr>
              <w:jc w:val="center"/>
              <w:rPr>
                <w:color w:val="000000"/>
                <w:sz w:val="20"/>
                <w:szCs w:val="20"/>
              </w:rPr>
            </w:pPr>
            <w:r w:rsidRPr="00310292">
              <w:rPr>
                <w:color w:val="000000"/>
                <w:sz w:val="20"/>
                <w:szCs w:val="20"/>
              </w:rPr>
              <w:t>2.0967</w:t>
            </w:r>
          </w:p>
        </w:tc>
        <w:tc>
          <w:tcPr>
            <w:tcW w:w="1134" w:type="dxa"/>
            <w:tcBorders>
              <w:top w:val="nil"/>
              <w:left w:val="nil"/>
              <w:bottom w:val="single" w:sz="4" w:space="0" w:color="000000"/>
              <w:right w:val="single" w:sz="4" w:space="0" w:color="000000"/>
            </w:tcBorders>
            <w:shd w:val="clear" w:color="auto" w:fill="auto"/>
            <w:vAlign w:val="center"/>
          </w:tcPr>
          <w:p w14:paraId="07200D7E" w14:textId="42686EFD" w:rsidR="00310292" w:rsidRPr="00310292" w:rsidRDefault="00310292" w:rsidP="00310292">
            <w:pPr>
              <w:jc w:val="center"/>
              <w:rPr>
                <w:color w:val="000000"/>
                <w:sz w:val="20"/>
                <w:szCs w:val="20"/>
              </w:rPr>
            </w:pPr>
            <w:r w:rsidRPr="00310292">
              <w:rPr>
                <w:color w:val="000000"/>
                <w:sz w:val="20"/>
                <w:szCs w:val="20"/>
              </w:rPr>
              <w:t>0.0160</w:t>
            </w:r>
          </w:p>
        </w:tc>
        <w:tc>
          <w:tcPr>
            <w:tcW w:w="1275" w:type="dxa"/>
            <w:tcBorders>
              <w:top w:val="nil"/>
              <w:left w:val="nil"/>
              <w:bottom w:val="single" w:sz="4" w:space="0" w:color="000000"/>
              <w:right w:val="single" w:sz="4" w:space="0" w:color="000000"/>
            </w:tcBorders>
            <w:shd w:val="clear" w:color="auto" w:fill="auto"/>
            <w:vAlign w:val="center"/>
          </w:tcPr>
          <w:p w14:paraId="73B23D3D" w14:textId="55730467" w:rsidR="00310292" w:rsidRPr="00310292" w:rsidRDefault="00310292" w:rsidP="00310292">
            <w:pPr>
              <w:jc w:val="center"/>
              <w:rPr>
                <w:color w:val="000000"/>
                <w:sz w:val="20"/>
                <w:szCs w:val="20"/>
              </w:rPr>
            </w:pPr>
            <w:r w:rsidRPr="00310292">
              <w:rPr>
                <w:color w:val="000000"/>
                <w:sz w:val="20"/>
                <w:szCs w:val="20"/>
              </w:rPr>
              <w:t>100.0000</w:t>
            </w:r>
          </w:p>
        </w:tc>
      </w:tr>
      <w:tr w:rsidR="00310292" w14:paraId="7B7546EC" w14:textId="77777777" w:rsidTr="00D216D2">
        <w:trPr>
          <w:trHeight w:val="485"/>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95805" w14:textId="77777777" w:rsidR="00310292" w:rsidRDefault="00310292" w:rsidP="00310292">
            <w:pPr>
              <w:rPr>
                <w:color w:val="000000"/>
                <w:sz w:val="22"/>
                <w:szCs w:val="22"/>
              </w:rPr>
            </w:pPr>
            <w:r>
              <w:rPr>
                <w:color w:val="000000"/>
                <w:sz w:val="22"/>
                <w:szCs w:val="22"/>
              </w:rPr>
              <w:t>Liquidity %</w:t>
            </w:r>
          </w:p>
        </w:tc>
        <w:tc>
          <w:tcPr>
            <w:tcW w:w="1418" w:type="dxa"/>
            <w:tcBorders>
              <w:top w:val="nil"/>
              <w:left w:val="nil"/>
              <w:bottom w:val="single" w:sz="4" w:space="0" w:color="000000"/>
              <w:right w:val="single" w:sz="4" w:space="0" w:color="000000"/>
            </w:tcBorders>
            <w:shd w:val="clear" w:color="auto" w:fill="auto"/>
            <w:vAlign w:val="center"/>
          </w:tcPr>
          <w:p w14:paraId="77E284B1" w14:textId="77777777" w:rsidR="00310292" w:rsidRDefault="00310292" w:rsidP="00310292">
            <w:pPr>
              <w:jc w:val="center"/>
              <w:rPr>
                <w:color w:val="000000"/>
                <w:sz w:val="22"/>
                <w:szCs w:val="22"/>
              </w:rPr>
            </w:pPr>
            <w:r>
              <w:rPr>
                <w:color w:val="000000"/>
                <w:sz w:val="22"/>
                <w:szCs w:val="22"/>
              </w:rPr>
              <w:t>5,819</w:t>
            </w:r>
          </w:p>
        </w:tc>
        <w:tc>
          <w:tcPr>
            <w:tcW w:w="1024" w:type="dxa"/>
            <w:tcBorders>
              <w:top w:val="nil"/>
              <w:left w:val="nil"/>
              <w:bottom w:val="single" w:sz="4" w:space="0" w:color="000000"/>
              <w:right w:val="single" w:sz="4" w:space="0" w:color="000000"/>
            </w:tcBorders>
            <w:shd w:val="clear" w:color="auto" w:fill="auto"/>
            <w:vAlign w:val="center"/>
          </w:tcPr>
          <w:p w14:paraId="48096214" w14:textId="265848EC" w:rsidR="00310292" w:rsidRPr="00310292" w:rsidRDefault="00310292" w:rsidP="00310292">
            <w:pPr>
              <w:jc w:val="center"/>
              <w:rPr>
                <w:color w:val="000000"/>
                <w:sz w:val="20"/>
                <w:szCs w:val="20"/>
              </w:rPr>
            </w:pPr>
            <w:r w:rsidRPr="00310292">
              <w:rPr>
                <w:color w:val="000000"/>
                <w:sz w:val="20"/>
                <w:szCs w:val="20"/>
              </w:rPr>
              <w:t>8.0129</w:t>
            </w:r>
          </w:p>
        </w:tc>
        <w:tc>
          <w:tcPr>
            <w:tcW w:w="1244" w:type="dxa"/>
            <w:tcBorders>
              <w:top w:val="nil"/>
              <w:left w:val="nil"/>
              <w:bottom w:val="single" w:sz="4" w:space="0" w:color="000000"/>
              <w:right w:val="single" w:sz="4" w:space="0" w:color="000000"/>
            </w:tcBorders>
            <w:shd w:val="clear" w:color="auto" w:fill="auto"/>
            <w:vAlign w:val="center"/>
          </w:tcPr>
          <w:p w14:paraId="2B0462C6" w14:textId="23F31FF5" w:rsidR="00310292" w:rsidRPr="00310292" w:rsidRDefault="00310292" w:rsidP="00310292">
            <w:pPr>
              <w:jc w:val="center"/>
              <w:rPr>
                <w:color w:val="000000"/>
                <w:sz w:val="20"/>
                <w:szCs w:val="20"/>
              </w:rPr>
            </w:pPr>
            <w:r w:rsidRPr="00310292">
              <w:rPr>
                <w:color w:val="000000"/>
                <w:sz w:val="20"/>
                <w:szCs w:val="20"/>
              </w:rPr>
              <w:t>10.0567</w:t>
            </w:r>
          </w:p>
        </w:tc>
        <w:tc>
          <w:tcPr>
            <w:tcW w:w="1134" w:type="dxa"/>
            <w:tcBorders>
              <w:top w:val="nil"/>
              <w:left w:val="nil"/>
              <w:bottom w:val="single" w:sz="4" w:space="0" w:color="000000"/>
              <w:right w:val="single" w:sz="4" w:space="0" w:color="000000"/>
            </w:tcBorders>
            <w:shd w:val="clear" w:color="auto" w:fill="auto"/>
            <w:vAlign w:val="center"/>
          </w:tcPr>
          <w:p w14:paraId="624E00AC" w14:textId="2BCB8B64" w:rsidR="00310292" w:rsidRPr="00310292" w:rsidRDefault="00310292" w:rsidP="00310292">
            <w:pPr>
              <w:jc w:val="center"/>
              <w:rPr>
                <w:color w:val="000000"/>
                <w:sz w:val="20"/>
                <w:szCs w:val="20"/>
              </w:rPr>
            </w:pPr>
            <w:r w:rsidRPr="00310292">
              <w:rPr>
                <w:color w:val="000000"/>
                <w:sz w:val="20"/>
                <w:szCs w:val="20"/>
              </w:rPr>
              <w:t>0.2760</w:t>
            </w:r>
          </w:p>
        </w:tc>
        <w:tc>
          <w:tcPr>
            <w:tcW w:w="1275" w:type="dxa"/>
            <w:tcBorders>
              <w:top w:val="nil"/>
              <w:left w:val="nil"/>
              <w:bottom w:val="single" w:sz="4" w:space="0" w:color="000000"/>
              <w:right w:val="single" w:sz="4" w:space="0" w:color="000000"/>
            </w:tcBorders>
            <w:shd w:val="clear" w:color="auto" w:fill="auto"/>
            <w:vAlign w:val="center"/>
          </w:tcPr>
          <w:p w14:paraId="657CAFE8" w14:textId="6FDC8CE6" w:rsidR="00310292" w:rsidRPr="00310292" w:rsidRDefault="00310292" w:rsidP="00310292">
            <w:pPr>
              <w:jc w:val="center"/>
              <w:rPr>
                <w:color w:val="000000"/>
                <w:sz w:val="20"/>
                <w:szCs w:val="20"/>
              </w:rPr>
            </w:pPr>
            <w:r w:rsidRPr="00310292">
              <w:rPr>
                <w:color w:val="000000"/>
                <w:sz w:val="20"/>
                <w:szCs w:val="20"/>
              </w:rPr>
              <w:t>133.5760</w:t>
            </w:r>
          </w:p>
        </w:tc>
      </w:tr>
      <w:tr w:rsidR="00310292" w14:paraId="34B4035F" w14:textId="77777777" w:rsidTr="00D216D2">
        <w:trPr>
          <w:trHeight w:val="485"/>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EBE4C" w14:textId="77777777" w:rsidR="00310292" w:rsidRDefault="00310292" w:rsidP="00310292">
            <w:pPr>
              <w:rPr>
                <w:color w:val="000000"/>
                <w:sz w:val="22"/>
                <w:szCs w:val="22"/>
              </w:rPr>
            </w:pPr>
            <w:r>
              <w:rPr>
                <w:color w:val="000000"/>
                <w:sz w:val="22"/>
                <w:szCs w:val="22"/>
              </w:rPr>
              <w:t>Net Interest Margin %</w:t>
            </w:r>
          </w:p>
        </w:tc>
        <w:tc>
          <w:tcPr>
            <w:tcW w:w="1418" w:type="dxa"/>
            <w:tcBorders>
              <w:top w:val="nil"/>
              <w:left w:val="nil"/>
              <w:bottom w:val="single" w:sz="4" w:space="0" w:color="000000"/>
              <w:right w:val="single" w:sz="4" w:space="0" w:color="000000"/>
            </w:tcBorders>
            <w:shd w:val="clear" w:color="auto" w:fill="auto"/>
            <w:vAlign w:val="center"/>
          </w:tcPr>
          <w:p w14:paraId="65475F78" w14:textId="77777777" w:rsidR="00310292" w:rsidRDefault="00310292" w:rsidP="00310292">
            <w:pPr>
              <w:jc w:val="center"/>
              <w:rPr>
                <w:color w:val="000000"/>
                <w:sz w:val="22"/>
                <w:szCs w:val="22"/>
              </w:rPr>
            </w:pPr>
            <w:r>
              <w:rPr>
                <w:color w:val="000000"/>
                <w:sz w:val="22"/>
                <w:szCs w:val="22"/>
              </w:rPr>
              <w:t>5,819</w:t>
            </w:r>
          </w:p>
        </w:tc>
        <w:tc>
          <w:tcPr>
            <w:tcW w:w="1024" w:type="dxa"/>
            <w:tcBorders>
              <w:top w:val="nil"/>
              <w:left w:val="nil"/>
              <w:bottom w:val="single" w:sz="4" w:space="0" w:color="000000"/>
              <w:right w:val="single" w:sz="4" w:space="0" w:color="000000"/>
            </w:tcBorders>
            <w:shd w:val="clear" w:color="auto" w:fill="auto"/>
            <w:vAlign w:val="center"/>
          </w:tcPr>
          <w:p w14:paraId="7E267414" w14:textId="20FA1DD9" w:rsidR="00310292" w:rsidRPr="00310292" w:rsidRDefault="00310292" w:rsidP="00310292">
            <w:pPr>
              <w:jc w:val="center"/>
              <w:rPr>
                <w:color w:val="000000"/>
                <w:sz w:val="20"/>
                <w:szCs w:val="20"/>
              </w:rPr>
            </w:pPr>
            <w:r w:rsidRPr="00310292">
              <w:rPr>
                <w:color w:val="000000"/>
                <w:sz w:val="20"/>
                <w:szCs w:val="20"/>
              </w:rPr>
              <w:t>3.8668</w:t>
            </w:r>
          </w:p>
        </w:tc>
        <w:tc>
          <w:tcPr>
            <w:tcW w:w="1244" w:type="dxa"/>
            <w:tcBorders>
              <w:top w:val="nil"/>
              <w:left w:val="nil"/>
              <w:bottom w:val="single" w:sz="4" w:space="0" w:color="000000"/>
              <w:right w:val="single" w:sz="4" w:space="0" w:color="000000"/>
            </w:tcBorders>
            <w:shd w:val="clear" w:color="auto" w:fill="auto"/>
            <w:vAlign w:val="center"/>
          </w:tcPr>
          <w:p w14:paraId="24401C47" w14:textId="634E9AF3" w:rsidR="00310292" w:rsidRPr="00310292" w:rsidRDefault="00310292" w:rsidP="00310292">
            <w:pPr>
              <w:jc w:val="center"/>
              <w:rPr>
                <w:color w:val="000000"/>
                <w:sz w:val="20"/>
                <w:szCs w:val="20"/>
              </w:rPr>
            </w:pPr>
            <w:r w:rsidRPr="00310292">
              <w:rPr>
                <w:color w:val="000000"/>
                <w:sz w:val="20"/>
                <w:szCs w:val="20"/>
              </w:rPr>
              <w:t>1.7237</w:t>
            </w:r>
          </w:p>
        </w:tc>
        <w:tc>
          <w:tcPr>
            <w:tcW w:w="1134" w:type="dxa"/>
            <w:tcBorders>
              <w:top w:val="nil"/>
              <w:left w:val="nil"/>
              <w:bottom w:val="single" w:sz="4" w:space="0" w:color="000000"/>
              <w:right w:val="single" w:sz="4" w:space="0" w:color="000000"/>
            </w:tcBorders>
            <w:shd w:val="clear" w:color="auto" w:fill="auto"/>
            <w:vAlign w:val="center"/>
          </w:tcPr>
          <w:p w14:paraId="4A8990C1" w14:textId="36CD7CA7" w:rsidR="00310292" w:rsidRPr="00310292" w:rsidRDefault="00310292" w:rsidP="00310292">
            <w:pPr>
              <w:jc w:val="center"/>
              <w:rPr>
                <w:color w:val="000000"/>
                <w:sz w:val="20"/>
                <w:szCs w:val="20"/>
              </w:rPr>
            </w:pPr>
            <w:r w:rsidRPr="00310292">
              <w:rPr>
                <w:color w:val="000000"/>
                <w:sz w:val="20"/>
                <w:szCs w:val="20"/>
              </w:rPr>
              <w:t>-0.3440</w:t>
            </w:r>
          </w:p>
        </w:tc>
        <w:tc>
          <w:tcPr>
            <w:tcW w:w="1275" w:type="dxa"/>
            <w:tcBorders>
              <w:top w:val="nil"/>
              <w:left w:val="nil"/>
              <w:bottom w:val="single" w:sz="4" w:space="0" w:color="000000"/>
              <w:right w:val="single" w:sz="4" w:space="0" w:color="000000"/>
            </w:tcBorders>
            <w:shd w:val="clear" w:color="auto" w:fill="auto"/>
            <w:vAlign w:val="center"/>
          </w:tcPr>
          <w:p w14:paraId="1A832876" w14:textId="5447A874" w:rsidR="00310292" w:rsidRPr="00310292" w:rsidRDefault="00310292" w:rsidP="00310292">
            <w:pPr>
              <w:jc w:val="center"/>
              <w:rPr>
                <w:color w:val="000000"/>
                <w:sz w:val="20"/>
                <w:szCs w:val="20"/>
              </w:rPr>
            </w:pPr>
            <w:r w:rsidRPr="00310292">
              <w:rPr>
                <w:color w:val="000000"/>
                <w:sz w:val="20"/>
                <w:szCs w:val="20"/>
              </w:rPr>
              <w:t>34.9360</w:t>
            </w:r>
          </w:p>
        </w:tc>
      </w:tr>
      <w:tr w:rsidR="00310292" w14:paraId="701C1EB9" w14:textId="77777777" w:rsidTr="00D216D2">
        <w:trPr>
          <w:trHeight w:val="485"/>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21871" w14:textId="77777777" w:rsidR="00310292" w:rsidRDefault="00310292" w:rsidP="00310292">
            <w:pPr>
              <w:rPr>
                <w:color w:val="000000"/>
                <w:sz w:val="22"/>
                <w:szCs w:val="22"/>
              </w:rPr>
            </w:pPr>
            <w:r>
              <w:rPr>
                <w:color w:val="000000"/>
                <w:sz w:val="22"/>
                <w:szCs w:val="22"/>
              </w:rPr>
              <w:t>ROAA %</w:t>
            </w:r>
          </w:p>
        </w:tc>
        <w:tc>
          <w:tcPr>
            <w:tcW w:w="1418" w:type="dxa"/>
            <w:tcBorders>
              <w:top w:val="nil"/>
              <w:left w:val="nil"/>
              <w:bottom w:val="single" w:sz="4" w:space="0" w:color="000000"/>
              <w:right w:val="single" w:sz="4" w:space="0" w:color="000000"/>
            </w:tcBorders>
            <w:shd w:val="clear" w:color="auto" w:fill="auto"/>
            <w:vAlign w:val="center"/>
          </w:tcPr>
          <w:p w14:paraId="7AA0AB72" w14:textId="77777777" w:rsidR="00310292" w:rsidRDefault="00310292" w:rsidP="00310292">
            <w:pPr>
              <w:jc w:val="center"/>
              <w:rPr>
                <w:color w:val="000000"/>
                <w:sz w:val="22"/>
                <w:szCs w:val="22"/>
              </w:rPr>
            </w:pPr>
            <w:r>
              <w:rPr>
                <w:color w:val="000000"/>
                <w:sz w:val="22"/>
                <w:szCs w:val="22"/>
              </w:rPr>
              <w:t>5,819</w:t>
            </w:r>
          </w:p>
        </w:tc>
        <w:tc>
          <w:tcPr>
            <w:tcW w:w="1024" w:type="dxa"/>
            <w:tcBorders>
              <w:top w:val="nil"/>
              <w:left w:val="nil"/>
              <w:bottom w:val="single" w:sz="4" w:space="0" w:color="000000"/>
              <w:right w:val="single" w:sz="4" w:space="0" w:color="000000"/>
            </w:tcBorders>
            <w:shd w:val="clear" w:color="auto" w:fill="auto"/>
            <w:vAlign w:val="center"/>
          </w:tcPr>
          <w:p w14:paraId="00DE331F" w14:textId="5E5FF8AA" w:rsidR="00310292" w:rsidRPr="00310292" w:rsidRDefault="00310292" w:rsidP="00310292">
            <w:pPr>
              <w:jc w:val="center"/>
              <w:rPr>
                <w:color w:val="000000"/>
                <w:sz w:val="20"/>
                <w:szCs w:val="20"/>
              </w:rPr>
            </w:pPr>
            <w:r w:rsidRPr="00310292">
              <w:rPr>
                <w:color w:val="000000"/>
                <w:sz w:val="20"/>
                <w:szCs w:val="20"/>
              </w:rPr>
              <w:t>1.2355</w:t>
            </w:r>
          </w:p>
        </w:tc>
        <w:tc>
          <w:tcPr>
            <w:tcW w:w="1244" w:type="dxa"/>
            <w:tcBorders>
              <w:top w:val="nil"/>
              <w:left w:val="nil"/>
              <w:bottom w:val="single" w:sz="4" w:space="0" w:color="000000"/>
              <w:right w:val="single" w:sz="4" w:space="0" w:color="000000"/>
            </w:tcBorders>
            <w:shd w:val="clear" w:color="auto" w:fill="auto"/>
            <w:vAlign w:val="center"/>
          </w:tcPr>
          <w:p w14:paraId="675BE5BB" w14:textId="24019C30" w:rsidR="00310292" w:rsidRPr="00310292" w:rsidRDefault="00310292" w:rsidP="00310292">
            <w:pPr>
              <w:jc w:val="center"/>
              <w:rPr>
                <w:color w:val="000000"/>
                <w:sz w:val="20"/>
                <w:szCs w:val="20"/>
              </w:rPr>
            </w:pPr>
            <w:r w:rsidRPr="00310292">
              <w:rPr>
                <w:color w:val="000000"/>
                <w:sz w:val="20"/>
                <w:szCs w:val="20"/>
              </w:rPr>
              <w:t>2.0035</w:t>
            </w:r>
          </w:p>
        </w:tc>
        <w:tc>
          <w:tcPr>
            <w:tcW w:w="1134" w:type="dxa"/>
            <w:tcBorders>
              <w:top w:val="nil"/>
              <w:left w:val="nil"/>
              <w:bottom w:val="single" w:sz="4" w:space="0" w:color="000000"/>
              <w:right w:val="single" w:sz="4" w:space="0" w:color="000000"/>
            </w:tcBorders>
            <w:shd w:val="clear" w:color="auto" w:fill="auto"/>
            <w:vAlign w:val="center"/>
          </w:tcPr>
          <w:p w14:paraId="4B891CFD" w14:textId="403DE0D5" w:rsidR="00310292" w:rsidRPr="00310292" w:rsidRDefault="00310292" w:rsidP="00310292">
            <w:pPr>
              <w:jc w:val="center"/>
              <w:rPr>
                <w:color w:val="000000"/>
                <w:sz w:val="20"/>
                <w:szCs w:val="20"/>
              </w:rPr>
            </w:pPr>
            <w:r w:rsidRPr="00310292">
              <w:rPr>
                <w:color w:val="000000"/>
                <w:sz w:val="20"/>
                <w:szCs w:val="20"/>
              </w:rPr>
              <w:t>-1.7290</w:t>
            </w:r>
          </w:p>
        </w:tc>
        <w:tc>
          <w:tcPr>
            <w:tcW w:w="1275" w:type="dxa"/>
            <w:tcBorders>
              <w:top w:val="nil"/>
              <w:left w:val="nil"/>
              <w:bottom w:val="single" w:sz="4" w:space="0" w:color="000000"/>
              <w:right w:val="single" w:sz="4" w:space="0" w:color="000000"/>
            </w:tcBorders>
            <w:shd w:val="clear" w:color="auto" w:fill="auto"/>
            <w:vAlign w:val="center"/>
          </w:tcPr>
          <w:p w14:paraId="6629E3FC" w14:textId="5F7D1C27" w:rsidR="00310292" w:rsidRPr="00310292" w:rsidRDefault="00310292" w:rsidP="00310292">
            <w:pPr>
              <w:jc w:val="center"/>
              <w:rPr>
                <w:color w:val="000000"/>
                <w:sz w:val="20"/>
                <w:szCs w:val="20"/>
              </w:rPr>
            </w:pPr>
            <w:r w:rsidRPr="00310292">
              <w:rPr>
                <w:color w:val="000000"/>
                <w:sz w:val="20"/>
                <w:szCs w:val="20"/>
              </w:rPr>
              <w:t>76.0970</w:t>
            </w:r>
          </w:p>
        </w:tc>
      </w:tr>
      <w:tr w:rsidR="00310292" w14:paraId="2DFFCC2A" w14:textId="77777777" w:rsidTr="00D216D2">
        <w:trPr>
          <w:trHeight w:val="485"/>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399CB" w14:textId="77777777" w:rsidR="00310292" w:rsidRDefault="00310292" w:rsidP="00310292">
            <w:pPr>
              <w:rPr>
                <w:color w:val="000000"/>
                <w:sz w:val="22"/>
                <w:szCs w:val="22"/>
              </w:rPr>
            </w:pPr>
            <w:r>
              <w:rPr>
                <w:color w:val="000000"/>
                <w:sz w:val="22"/>
                <w:szCs w:val="22"/>
              </w:rPr>
              <w:t>Cost-to-Income Ratio %</w:t>
            </w:r>
          </w:p>
        </w:tc>
        <w:tc>
          <w:tcPr>
            <w:tcW w:w="1418" w:type="dxa"/>
            <w:tcBorders>
              <w:top w:val="nil"/>
              <w:left w:val="nil"/>
              <w:bottom w:val="single" w:sz="4" w:space="0" w:color="000000"/>
              <w:right w:val="single" w:sz="4" w:space="0" w:color="000000"/>
            </w:tcBorders>
            <w:shd w:val="clear" w:color="auto" w:fill="auto"/>
            <w:vAlign w:val="center"/>
          </w:tcPr>
          <w:p w14:paraId="2DBFBA84" w14:textId="77777777" w:rsidR="00310292" w:rsidRDefault="00310292" w:rsidP="00310292">
            <w:pPr>
              <w:jc w:val="center"/>
              <w:rPr>
                <w:color w:val="000000"/>
                <w:sz w:val="22"/>
                <w:szCs w:val="22"/>
              </w:rPr>
            </w:pPr>
            <w:r>
              <w:rPr>
                <w:color w:val="000000"/>
                <w:sz w:val="22"/>
                <w:szCs w:val="22"/>
              </w:rPr>
              <w:t>5,819</w:t>
            </w:r>
          </w:p>
        </w:tc>
        <w:tc>
          <w:tcPr>
            <w:tcW w:w="1024" w:type="dxa"/>
            <w:tcBorders>
              <w:top w:val="nil"/>
              <w:left w:val="nil"/>
              <w:bottom w:val="single" w:sz="4" w:space="0" w:color="000000"/>
              <w:right w:val="single" w:sz="4" w:space="0" w:color="000000"/>
            </w:tcBorders>
            <w:shd w:val="clear" w:color="auto" w:fill="auto"/>
            <w:vAlign w:val="center"/>
          </w:tcPr>
          <w:p w14:paraId="2F633585" w14:textId="71F706B9" w:rsidR="00310292" w:rsidRPr="00310292" w:rsidRDefault="00310292" w:rsidP="00310292">
            <w:pPr>
              <w:jc w:val="center"/>
              <w:rPr>
                <w:color w:val="000000"/>
                <w:sz w:val="20"/>
                <w:szCs w:val="20"/>
              </w:rPr>
            </w:pPr>
            <w:r w:rsidRPr="00310292">
              <w:rPr>
                <w:color w:val="000000"/>
                <w:sz w:val="20"/>
                <w:szCs w:val="20"/>
              </w:rPr>
              <w:t>63.5927</w:t>
            </w:r>
          </w:p>
        </w:tc>
        <w:tc>
          <w:tcPr>
            <w:tcW w:w="1244" w:type="dxa"/>
            <w:tcBorders>
              <w:top w:val="nil"/>
              <w:left w:val="nil"/>
              <w:bottom w:val="single" w:sz="4" w:space="0" w:color="000000"/>
              <w:right w:val="single" w:sz="4" w:space="0" w:color="000000"/>
            </w:tcBorders>
            <w:shd w:val="clear" w:color="auto" w:fill="auto"/>
            <w:vAlign w:val="center"/>
          </w:tcPr>
          <w:p w14:paraId="0C08F873" w14:textId="584C7E10" w:rsidR="00310292" w:rsidRPr="00310292" w:rsidRDefault="00310292" w:rsidP="00310292">
            <w:pPr>
              <w:jc w:val="center"/>
              <w:rPr>
                <w:color w:val="000000"/>
                <w:sz w:val="20"/>
                <w:szCs w:val="20"/>
              </w:rPr>
            </w:pPr>
            <w:r w:rsidRPr="00310292">
              <w:rPr>
                <w:color w:val="000000"/>
                <w:sz w:val="20"/>
                <w:szCs w:val="20"/>
              </w:rPr>
              <w:t>16.4332</w:t>
            </w:r>
          </w:p>
        </w:tc>
        <w:tc>
          <w:tcPr>
            <w:tcW w:w="1134" w:type="dxa"/>
            <w:tcBorders>
              <w:top w:val="nil"/>
              <w:left w:val="nil"/>
              <w:bottom w:val="single" w:sz="4" w:space="0" w:color="000000"/>
              <w:right w:val="single" w:sz="4" w:space="0" w:color="000000"/>
            </w:tcBorders>
            <w:shd w:val="clear" w:color="auto" w:fill="auto"/>
            <w:vAlign w:val="center"/>
          </w:tcPr>
          <w:p w14:paraId="4F30120B" w14:textId="04CDAA6F" w:rsidR="00310292" w:rsidRPr="00310292" w:rsidRDefault="00310292" w:rsidP="00310292">
            <w:pPr>
              <w:jc w:val="center"/>
              <w:rPr>
                <w:color w:val="000000"/>
                <w:sz w:val="20"/>
                <w:szCs w:val="20"/>
              </w:rPr>
            </w:pPr>
            <w:r w:rsidRPr="00310292">
              <w:rPr>
                <w:color w:val="000000"/>
                <w:sz w:val="20"/>
                <w:szCs w:val="20"/>
              </w:rPr>
              <w:t>9.8040</w:t>
            </w:r>
          </w:p>
        </w:tc>
        <w:tc>
          <w:tcPr>
            <w:tcW w:w="1275" w:type="dxa"/>
            <w:tcBorders>
              <w:top w:val="nil"/>
              <w:left w:val="nil"/>
              <w:bottom w:val="single" w:sz="4" w:space="0" w:color="000000"/>
              <w:right w:val="single" w:sz="4" w:space="0" w:color="000000"/>
            </w:tcBorders>
            <w:shd w:val="clear" w:color="auto" w:fill="auto"/>
            <w:vAlign w:val="center"/>
          </w:tcPr>
          <w:p w14:paraId="023107AB" w14:textId="433CB053" w:rsidR="00310292" w:rsidRPr="00310292" w:rsidRDefault="00310292" w:rsidP="00310292">
            <w:pPr>
              <w:jc w:val="center"/>
              <w:rPr>
                <w:color w:val="000000"/>
                <w:sz w:val="20"/>
                <w:szCs w:val="20"/>
              </w:rPr>
            </w:pPr>
            <w:r w:rsidRPr="00310292">
              <w:rPr>
                <w:color w:val="000000"/>
                <w:sz w:val="20"/>
                <w:szCs w:val="20"/>
              </w:rPr>
              <w:t>314.5750</w:t>
            </w:r>
          </w:p>
        </w:tc>
      </w:tr>
      <w:tr w:rsidR="00310292" w14:paraId="17FD085B" w14:textId="77777777" w:rsidTr="00D216D2">
        <w:trPr>
          <w:trHeight w:val="485"/>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84512" w14:textId="77777777" w:rsidR="00310292" w:rsidRDefault="00310292" w:rsidP="00310292">
            <w:pPr>
              <w:rPr>
                <w:color w:val="000000"/>
                <w:sz w:val="22"/>
                <w:szCs w:val="22"/>
              </w:rPr>
            </w:pPr>
            <w:r>
              <w:rPr>
                <w:color w:val="000000"/>
                <w:sz w:val="22"/>
                <w:szCs w:val="22"/>
              </w:rPr>
              <w:t>Market Capitalisation to GDP</w:t>
            </w:r>
          </w:p>
        </w:tc>
        <w:tc>
          <w:tcPr>
            <w:tcW w:w="1418" w:type="dxa"/>
            <w:tcBorders>
              <w:top w:val="nil"/>
              <w:left w:val="nil"/>
              <w:bottom w:val="single" w:sz="4" w:space="0" w:color="000000"/>
              <w:right w:val="single" w:sz="4" w:space="0" w:color="000000"/>
            </w:tcBorders>
            <w:shd w:val="clear" w:color="auto" w:fill="auto"/>
            <w:vAlign w:val="center"/>
          </w:tcPr>
          <w:p w14:paraId="748E9DE6" w14:textId="77777777" w:rsidR="00310292" w:rsidRDefault="00310292" w:rsidP="00310292">
            <w:pPr>
              <w:jc w:val="center"/>
              <w:rPr>
                <w:color w:val="000000"/>
                <w:sz w:val="22"/>
                <w:szCs w:val="22"/>
              </w:rPr>
            </w:pPr>
            <w:r>
              <w:rPr>
                <w:color w:val="000000"/>
                <w:sz w:val="22"/>
                <w:szCs w:val="22"/>
              </w:rPr>
              <w:t>5,819</w:t>
            </w:r>
          </w:p>
        </w:tc>
        <w:tc>
          <w:tcPr>
            <w:tcW w:w="1024" w:type="dxa"/>
            <w:tcBorders>
              <w:top w:val="nil"/>
              <w:left w:val="nil"/>
              <w:bottom w:val="single" w:sz="4" w:space="0" w:color="000000"/>
              <w:right w:val="single" w:sz="4" w:space="0" w:color="000000"/>
            </w:tcBorders>
            <w:shd w:val="clear" w:color="auto" w:fill="auto"/>
            <w:vAlign w:val="center"/>
          </w:tcPr>
          <w:p w14:paraId="1E4C8302" w14:textId="1B0B4B41" w:rsidR="00310292" w:rsidRPr="00310292" w:rsidRDefault="00310292" w:rsidP="00310292">
            <w:pPr>
              <w:jc w:val="center"/>
              <w:rPr>
                <w:color w:val="000000"/>
                <w:sz w:val="20"/>
                <w:szCs w:val="20"/>
              </w:rPr>
            </w:pPr>
            <w:r w:rsidRPr="00310292">
              <w:rPr>
                <w:color w:val="000000"/>
                <w:sz w:val="20"/>
                <w:szCs w:val="20"/>
              </w:rPr>
              <w:t>131.4930</w:t>
            </w:r>
          </w:p>
        </w:tc>
        <w:tc>
          <w:tcPr>
            <w:tcW w:w="1244" w:type="dxa"/>
            <w:tcBorders>
              <w:top w:val="nil"/>
              <w:left w:val="nil"/>
              <w:bottom w:val="single" w:sz="4" w:space="0" w:color="000000"/>
              <w:right w:val="single" w:sz="4" w:space="0" w:color="000000"/>
            </w:tcBorders>
            <w:shd w:val="clear" w:color="auto" w:fill="auto"/>
            <w:vAlign w:val="center"/>
          </w:tcPr>
          <w:p w14:paraId="784AA057" w14:textId="4D629DBA" w:rsidR="00310292" w:rsidRPr="00310292" w:rsidRDefault="00310292" w:rsidP="00310292">
            <w:pPr>
              <w:jc w:val="center"/>
              <w:rPr>
                <w:color w:val="000000"/>
                <w:sz w:val="20"/>
                <w:szCs w:val="20"/>
              </w:rPr>
            </w:pPr>
            <w:r w:rsidRPr="00310292">
              <w:rPr>
                <w:color w:val="000000"/>
                <w:sz w:val="20"/>
                <w:szCs w:val="20"/>
              </w:rPr>
              <w:t>20.4287</w:t>
            </w:r>
          </w:p>
        </w:tc>
        <w:tc>
          <w:tcPr>
            <w:tcW w:w="1134" w:type="dxa"/>
            <w:tcBorders>
              <w:top w:val="nil"/>
              <w:left w:val="nil"/>
              <w:bottom w:val="single" w:sz="4" w:space="0" w:color="000000"/>
              <w:right w:val="single" w:sz="4" w:space="0" w:color="000000"/>
            </w:tcBorders>
            <w:shd w:val="clear" w:color="auto" w:fill="auto"/>
            <w:vAlign w:val="center"/>
          </w:tcPr>
          <w:p w14:paraId="61F627C8" w14:textId="37F624D8" w:rsidR="00310292" w:rsidRPr="00310292" w:rsidRDefault="00310292" w:rsidP="00310292">
            <w:pPr>
              <w:jc w:val="center"/>
              <w:rPr>
                <w:color w:val="000000"/>
                <w:sz w:val="20"/>
                <w:szCs w:val="20"/>
              </w:rPr>
            </w:pPr>
            <w:r w:rsidRPr="00310292">
              <w:rPr>
                <w:color w:val="000000"/>
                <w:sz w:val="20"/>
                <w:szCs w:val="20"/>
              </w:rPr>
              <w:t>78.7800</w:t>
            </w:r>
          </w:p>
        </w:tc>
        <w:tc>
          <w:tcPr>
            <w:tcW w:w="1275" w:type="dxa"/>
            <w:tcBorders>
              <w:top w:val="nil"/>
              <w:left w:val="nil"/>
              <w:bottom w:val="single" w:sz="4" w:space="0" w:color="000000"/>
              <w:right w:val="single" w:sz="4" w:space="0" w:color="000000"/>
            </w:tcBorders>
            <w:shd w:val="clear" w:color="auto" w:fill="auto"/>
            <w:vAlign w:val="center"/>
          </w:tcPr>
          <w:p w14:paraId="3B611F5D" w14:textId="32E64451" w:rsidR="00310292" w:rsidRPr="00310292" w:rsidRDefault="00310292" w:rsidP="00310292">
            <w:pPr>
              <w:jc w:val="center"/>
              <w:rPr>
                <w:color w:val="000000"/>
                <w:sz w:val="20"/>
                <w:szCs w:val="20"/>
              </w:rPr>
            </w:pPr>
            <w:r w:rsidRPr="00310292">
              <w:rPr>
                <w:color w:val="000000"/>
                <w:sz w:val="20"/>
                <w:szCs w:val="20"/>
              </w:rPr>
              <w:t>164.8450</w:t>
            </w:r>
          </w:p>
        </w:tc>
      </w:tr>
      <w:tr w:rsidR="00310292" w14:paraId="256C25EF" w14:textId="77777777" w:rsidTr="00D216D2">
        <w:trPr>
          <w:trHeight w:val="485"/>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64F2B" w14:textId="77777777" w:rsidR="00310292" w:rsidRDefault="00310292" w:rsidP="00310292">
            <w:pPr>
              <w:rPr>
                <w:color w:val="000000"/>
                <w:sz w:val="22"/>
                <w:szCs w:val="22"/>
              </w:rPr>
            </w:pPr>
            <w:r>
              <w:rPr>
                <w:color w:val="000000"/>
                <w:sz w:val="22"/>
                <w:szCs w:val="22"/>
              </w:rPr>
              <w:t>Market Concentration (HHI)</w:t>
            </w:r>
          </w:p>
        </w:tc>
        <w:tc>
          <w:tcPr>
            <w:tcW w:w="1418" w:type="dxa"/>
            <w:tcBorders>
              <w:top w:val="nil"/>
              <w:left w:val="nil"/>
              <w:bottom w:val="single" w:sz="4" w:space="0" w:color="000000"/>
              <w:right w:val="single" w:sz="4" w:space="0" w:color="000000"/>
            </w:tcBorders>
            <w:shd w:val="clear" w:color="auto" w:fill="auto"/>
            <w:vAlign w:val="center"/>
          </w:tcPr>
          <w:p w14:paraId="7B8802BA" w14:textId="77777777" w:rsidR="00310292" w:rsidRDefault="00310292" w:rsidP="00310292">
            <w:pPr>
              <w:jc w:val="center"/>
              <w:rPr>
                <w:color w:val="000000"/>
                <w:sz w:val="22"/>
                <w:szCs w:val="22"/>
              </w:rPr>
            </w:pPr>
            <w:r>
              <w:rPr>
                <w:color w:val="000000"/>
                <w:sz w:val="22"/>
                <w:szCs w:val="22"/>
              </w:rPr>
              <w:t>5,819</w:t>
            </w:r>
          </w:p>
        </w:tc>
        <w:tc>
          <w:tcPr>
            <w:tcW w:w="1024" w:type="dxa"/>
            <w:tcBorders>
              <w:top w:val="nil"/>
              <w:left w:val="nil"/>
              <w:bottom w:val="single" w:sz="4" w:space="0" w:color="000000"/>
              <w:right w:val="single" w:sz="4" w:space="0" w:color="000000"/>
            </w:tcBorders>
            <w:shd w:val="clear" w:color="auto" w:fill="auto"/>
            <w:vAlign w:val="center"/>
          </w:tcPr>
          <w:p w14:paraId="2BDD9F2B" w14:textId="58FAEEEE" w:rsidR="00310292" w:rsidRPr="00310292" w:rsidRDefault="00310292" w:rsidP="00310292">
            <w:pPr>
              <w:jc w:val="center"/>
              <w:rPr>
                <w:color w:val="000000"/>
                <w:sz w:val="20"/>
                <w:szCs w:val="20"/>
              </w:rPr>
            </w:pPr>
            <w:r w:rsidRPr="00310292">
              <w:rPr>
                <w:color w:val="000000"/>
                <w:sz w:val="20"/>
                <w:szCs w:val="20"/>
              </w:rPr>
              <w:t>699.1410</w:t>
            </w:r>
          </w:p>
        </w:tc>
        <w:tc>
          <w:tcPr>
            <w:tcW w:w="1244" w:type="dxa"/>
            <w:tcBorders>
              <w:top w:val="nil"/>
              <w:left w:val="nil"/>
              <w:bottom w:val="single" w:sz="4" w:space="0" w:color="000000"/>
              <w:right w:val="single" w:sz="4" w:space="0" w:color="000000"/>
            </w:tcBorders>
            <w:shd w:val="clear" w:color="auto" w:fill="auto"/>
            <w:vAlign w:val="center"/>
          </w:tcPr>
          <w:p w14:paraId="7030095D" w14:textId="61306074" w:rsidR="00310292" w:rsidRPr="00310292" w:rsidRDefault="00310292" w:rsidP="00310292">
            <w:pPr>
              <w:jc w:val="center"/>
              <w:rPr>
                <w:color w:val="000000"/>
                <w:sz w:val="20"/>
                <w:szCs w:val="20"/>
              </w:rPr>
            </w:pPr>
            <w:r w:rsidRPr="00310292">
              <w:rPr>
                <w:color w:val="000000"/>
                <w:sz w:val="20"/>
                <w:szCs w:val="20"/>
              </w:rPr>
              <w:t>184.2082</w:t>
            </w:r>
          </w:p>
        </w:tc>
        <w:tc>
          <w:tcPr>
            <w:tcW w:w="1134" w:type="dxa"/>
            <w:tcBorders>
              <w:top w:val="nil"/>
              <w:left w:val="nil"/>
              <w:bottom w:val="single" w:sz="4" w:space="0" w:color="000000"/>
              <w:right w:val="single" w:sz="4" w:space="0" w:color="000000"/>
            </w:tcBorders>
            <w:shd w:val="clear" w:color="auto" w:fill="auto"/>
            <w:vAlign w:val="center"/>
          </w:tcPr>
          <w:p w14:paraId="7DE41F54" w14:textId="17F93BCA" w:rsidR="00310292" w:rsidRPr="00310292" w:rsidRDefault="00310292" w:rsidP="00310292">
            <w:pPr>
              <w:jc w:val="center"/>
              <w:rPr>
                <w:color w:val="000000"/>
                <w:sz w:val="20"/>
                <w:szCs w:val="20"/>
              </w:rPr>
            </w:pPr>
            <w:r w:rsidRPr="00310292">
              <w:rPr>
                <w:color w:val="000000"/>
                <w:sz w:val="20"/>
                <w:szCs w:val="20"/>
              </w:rPr>
              <w:t>451.9770</w:t>
            </w:r>
          </w:p>
        </w:tc>
        <w:tc>
          <w:tcPr>
            <w:tcW w:w="1275" w:type="dxa"/>
            <w:tcBorders>
              <w:top w:val="nil"/>
              <w:left w:val="nil"/>
              <w:bottom w:val="single" w:sz="4" w:space="0" w:color="000000"/>
              <w:right w:val="single" w:sz="4" w:space="0" w:color="000000"/>
            </w:tcBorders>
            <w:shd w:val="clear" w:color="auto" w:fill="auto"/>
            <w:vAlign w:val="center"/>
          </w:tcPr>
          <w:p w14:paraId="3392E51C" w14:textId="3464E2BF" w:rsidR="00310292" w:rsidRPr="00310292" w:rsidRDefault="00310292" w:rsidP="00310292">
            <w:pPr>
              <w:jc w:val="center"/>
              <w:rPr>
                <w:color w:val="000000"/>
                <w:sz w:val="20"/>
                <w:szCs w:val="20"/>
              </w:rPr>
            </w:pPr>
            <w:r w:rsidRPr="00310292">
              <w:rPr>
                <w:color w:val="000000"/>
                <w:sz w:val="20"/>
                <w:szCs w:val="20"/>
              </w:rPr>
              <w:t>949.1664</w:t>
            </w:r>
          </w:p>
        </w:tc>
      </w:tr>
      <w:tr w:rsidR="00310292" w14:paraId="00490F57" w14:textId="77777777" w:rsidTr="00D216D2">
        <w:trPr>
          <w:trHeight w:val="485"/>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81598" w14:textId="77777777" w:rsidR="00310292" w:rsidRDefault="00310292" w:rsidP="00310292">
            <w:pPr>
              <w:rPr>
                <w:color w:val="000000"/>
                <w:sz w:val="22"/>
                <w:szCs w:val="22"/>
              </w:rPr>
            </w:pPr>
            <w:r>
              <w:rPr>
                <w:color w:val="000000"/>
                <w:sz w:val="22"/>
                <w:szCs w:val="22"/>
              </w:rPr>
              <w:t>Money Supply Growth Rate %</w:t>
            </w:r>
          </w:p>
        </w:tc>
        <w:tc>
          <w:tcPr>
            <w:tcW w:w="1418" w:type="dxa"/>
            <w:tcBorders>
              <w:top w:val="nil"/>
              <w:left w:val="nil"/>
              <w:bottom w:val="single" w:sz="4" w:space="0" w:color="000000"/>
              <w:right w:val="single" w:sz="4" w:space="0" w:color="000000"/>
            </w:tcBorders>
            <w:shd w:val="clear" w:color="auto" w:fill="auto"/>
            <w:vAlign w:val="center"/>
          </w:tcPr>
          <w:p w14:paraId="086144E9" w14:textId="77777777" w:rsidR="00310292" w:rsidRDefault="00310292" w:rsidP="00310292">
            <w:pPr>
              <w:jc w:val="center"/>
              <w:rPr>
                <w:color w:val="000000"/>
                <w:sz w:val="22"/>
                <w:szCs w:val="22"/>
              </w:rPr>
            </w:pPr>
            <w:r>
              <w:rPr>
                <w:color w:val="000000"/>
                <w:sz w:val="22"/>
                <w:szCs w:val="22"/>
              </w:rPr>
              <w:t>5,819</w:t>
            </w:r>
          </w:p>
        </w:tc>
        <w:tc>
          <w:tcPr>
            <w:tcW w:w="1024" w:type="dxa"/>
            <w:tcBorders>
              <w:top w:val="nil"/>
              <w:left w:val="nil"/>
              <w:bottom w:val="single" w:sz="4" w:space="0" w:color="000000"/>
              <w:right w:val="single" w:sz="4" w:space="0" w:color="000000"/>
            </w:tcBorders>
            <w:shd w:val="clear" w:color="auto" w:fill="auto"/>
            <w:vAlign w:val="center"/>
          </w:tcPr>
          <w:p w14:paraId="169D4636" w14:textId="5E1D5EE1" w:rsidR="00310292" w:rsidRPr="00310292" w:rsidRDefault="00310292" w:rsidP="00310292">
            <w:pPr>
              <w:jc w:val="center"/>
              <w:rPr>
                <w:color w:val="000000"/>
                <w:sz w:val="20"/>
                <w:szCs w:val="20"/>
              </w:rPr>
            </w:pPr>
            <w:r w:rsidRPr="00310292">
              <w:rPr>
                <w:color w:val="000000"/>
                <w:sz w:val="20"/>
                <w:szCs w:val="20"/>
              </w:rPr>
              <w:t>5.3786</w:t>
            </w:r>
          </w:p>
        </w:tc>
        <w:tc>
          <w:tcPr>
            <w:tcW w:w="1244" w:type="dxa"/>
            <w:tcBorders>
              <w:top w:val="nil"/>
              <w:left w:val="nil"/>
              <w:bottom w:val="single" w:sz="4" w:space="0" w:color="000000"/>
              <w:right w:val="single" w:sz="4" w:space="0" w:color="000000"/>
            </w:tcBorders>
            <w:shd w:val="clear" w:color="auto" w:fill="auto"/>
            <w:vAlign w:val="center"/>
          </w:tcPr>
          <w:p w14:paraId="2A9B357F" w14:textId="19D4BCC5" w:rsidR="00310292" w:rsidRPr="00310292" w:rsidRDefault="00310292" w:rsidP="00310292">
            <w:pPr>
              <w:jc w:val="center"/>
              <w:rPr>
                <w:color w:val="000000"/>
                <w:sz w:val="20"/>
                <w:szCs w:val="20"/>
              </w:rPr>
            </w:pPr>
            <w:r w:rsidRPr="00310292">
              <w:rPr>
                <w:color w:val="000000"/>
                <w:sz w:val="20"/>
                <w:szCs w:val="20"/>
              </w:rPr>
              <w:t>2.9177</w:t>
            </w:r>
          </w:p>
        </w:tc>
        <w:tc>
          <w:tcPr>
            <w:tcW w:w="1134" w:type="dxa"/>
            <w:tcBorders>
              <w:top w:val="nil"/>
              <w:left w:val="nil"/>
              <w:bottom w:val="single" w:sz="4" w:space="0" w:color="000000"/>
              <w:right w:val="single" w:sz="4" w:space="0" w:color="000000"/>
            </w:tcBorders>
            <w:shd w:val="clear" w:color="auto" w:fill="auto"/>
            <w:vAlign w:val="center"/>
          </w:tcPr>
          <w:p w14:paraId="1F60259A" w14:textId="583BCDD7" w:rsidR="00310292" w:rsidRPr="00310292" w:rsidRDefault="00310292" w:rsidP="00310292">
            <w:pPr>
              <w:jc w:val="center"/>
              <w:rPr>
                <w:color w:val="000000"/>
                <w:sz w:val="20"/>
                <w:szCs w:val="20"/>
              </w:rPr>
            </w:pPr>
            <w:r w:rsidRPr="00310292">
              <w:rPr>
                <w:color w:val="000000"/>
                <w:sz w:val="20"/>
                <w:szCs w:val="20"/>
              </w:rPr>
              <w:t>-2.7412</w:t>
            </w:r>
          </w:p>
        </w:tc>
        <w:tc>
          <w:tcPr>
            <w:tcW w:w="1275" w:type="dxa"/>
            <w:tcBorders>
              <w:top w:val="nil"/>
              <w:left w:val="nil"/>
              <w:bottom w:val="single" w:sz="4" w:space="0" w:color="000000"/>
              <w:right w:val="single" w:sz="4" w:space="0" w:color="000000"/>
            </w:tcBorders>
            <w:shd w:val="clear" w:color="auto" w:fill="auto"/>
            <w:vAlign w:val="center"/>
          </w:tcPr>
          <w:p w14:paraId="468F3DF7" w14:textId="0D06E4B5" w:rsidR="00310292" w:rsidRPr="00310292" w:rsidRDefault="00310292" w:rsidP="00310292">
            <w:pPr>
              <w:jc w:val="center"/>
              <w:rPr>
                <w:color w:val="000000"/>
                <w:sz w:val="20"/>
                <w:szCs w:val="20"/>
              </w:rPr>
            </w:pPr>
            <w:r w:rsidRPr="00310292">
              <w:rPr>
                <w:color w:val="000000"/>
                <w:sz w:val="20"/>
                <w:szCs w:val="20"/>
              </w:rPr>
              <w:t>11.7135</w:t>
            </w:r>
          </w:p>
        </w:tc>
      </w:tr>
      <w:tr w:rsidR="00310292" w14:paraId="39EB3284" w14:textId="77777777" w:rsidTr="00D216D2">
        <w:trPr>
          <w:trHeight w:val="485"/>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E3195" w14:textId="77777777" w:rsidR="00310292" w:rsidRDefault="00310292" w:rsidP="00310292">
            <w:pPr>
              <w:rPr>
                <w:color w:val="000000"/>
                <w:sz w:val="22"/>
                <w:szCs w:val="22"/>
              </w:rPr>
            </w:pPr>
            <w:r>
              <w:rPr>
                <w:color w:val="000000"/>
                <w:sz w:val="22"/>
                <w:szCs w:val="22"/>
              </w:rPr>
              <w:t>GDP Growth Rate %</w:t>
            </w:r>
          </w:p>
        </w:tc>
        <w:tc>
          <w:tcPr>
            <w:tcW w:w="1418" w:type="dxa"/>
            <w:tcBorders>
              <w:top w:val="nil"/>
              <w:left w:val="nil"/>
              <w:bottom w:val="single" w:sz="4" w:space="0" w:color="000000"/>
              <w:right w:val="single" w:sz="4" w:space="0" w:color="000000"/>
            </w:tcBorders>
            <w:shd w:val="clear" w:color="auto" w:fill="auto"/>
            <w:vAlign w:val="center"/>
          </w:tcPr>
          <w:p w14:paraId="2020E4B8" w14:textId="77777777" w:rsidR="00310292" w:rsidRDefault="00310292" w:rsidP="00310292">
            <w:pPr>
              <w:jc w:val="center"/>
              <w:rPr>
                <w:color w:val="000000"/>
                <w:sz w:val="22"/>
                <w:szCs w:val="22"/>
              </w:rPr>
            </w:pPr>
            <w:r>
              <w:rPr>
                <w:color w:val="000000"/>
                <w:sz w:val="22"/>
                <w:szCs w:val="22"/>
              </w:rPr>
              <w:t>5,819</w:t>
            </w:r>
          </w:p>
        </w:tc>
        <w:tc>
          <w:tcPr>
            <w:tcW w:w="1024" w:type="dxa"/>
            <w:tcBorders>
              <w:top w:val="nil"/>
              <w:left w:val="nil"/>
              <w:bottom w:val="single" w:sz="4" w:space="0" w:color="000000"/>
              <w:right w:val="single" w:sz="4" w:space="0" w:color="000000"/>
            </w:tcBorders>
            <w:shd w:val="clear" w:color="auto" w:fill="auto"/>
            <w:vAlign w:val="center"/>
          </w:tcPr>
          <w:p w14:paraId="28F3228B" w14:textId="505CBFEE" w:rsidR="00310292" w:rsidRPr="00310292" w:rsidRDefault="00310292" w:rsidP="00310292">
            <w:pPr>
              <w:jc w:val="center"/>
              <w:rPr>
                <w:color w:val="000000"/>
                <w:sz w:val="20"/>
                <w:szCs w:val="20"/>
              </w:rPr>
            </w:pPr>
            <w:r w:rsidRPr="00310292">
              <w:rPr>
                <w:color w:val="000000"/>
                <w:sz w:val="20"/>
                <w:szCs w:val="20"/>
              </w:rPr>
              <w:t>2.1005</w:t>
            </w:r>
          </w:p>
        </w:tc>
        <w:tc>
          <w:tcPr>
            <w:tcW w:w="1244" w:type="dxa"/>
            <w:tcBorders>
              <w:top w:val="nil"/>
              <w:left w:val="nil"/>
              <w:bottom w:val="single" w:sz="4" w:space="0" w:color="000000"/>
              <w:right w:val="single" w:sz="4" w:space="0" w:color="000000"/>
            </w:tcBorders>
            <w:shd w:val="clear" w:color="auto" w:fill="auto"/>
            <w:vAlign w:val="center"/>
          </w:tcPr>
          <w:p w14:paraId="1281074A" w14:textId="43787762" w:rsidR="00310292" w:rsidRPr="00310292" w:rsidRDefault="00310292" w:rsidP="00310292">
            <w:pPr>
              <w:jc w:val="center"/>
              <w:rPr>
                <w:color w:val="000000"/>
                <w:sz w:val="20"/>
                <w:szCs w:val="20"/>
              </w:rPr>
            </w:pPr>
            <w:r w:rsidRPr="00310292">
              <w:rPr>
                <w:color w:val="000000"/>
                <w:sz w:val="20"/>
                <w:szCs w:val="20"/>
              </w:rPr>
              <w:t>1.3472</w:t>
            </w:r>
          </w:p>
        </w:tc>
        <w:tc>
          <w:tcPr>
            <w:tcW w:w="1134" w:type="dxa"/>
            <w:tcBorders>
              <w:top w:val="nil"/>
              <w:left w:val="nil"/>
              <w:bottom w:val="single" w:sz="4" w:space="0" w:color="000000"/>
              <w:right w:val="single" w:sz="4" w:space="0" w:color="000000"/>
            </w:tcBorders>
            <w:shd w:val="clear" w:color="auto" w:fill="auto"/>
            <w:vAlign w:val="center"/>
          </w:tcPr>
          <w:p w14:paraId="7B015EB9" w14:textId="3EB0E008" w:rsidR="00310292" w:rsidRPr="00310292" w:rsidRDefault="00310292" w:rsidP="00310292">
            <w:pPr>
              <w:jc w:val="center"/>
              <w:rPr>
                <w:color w:val="000000"/>
                <w:sz w:val="20"/>
                <w:szCs w:val="20"/>
              </w:rPr>
            </w:pPr>
            <w:r w:rsidRPr="00310292">
              <w:rPr>
                <w:color w:val="000000"/>
                <w:sz w:val="20"/>
                <w:szCs w:val="20"/>
              </w:rPr>
              <w:t>-2.7755</w:t>
            </w:r>
          </w:p>
        </w:tc>
        <w:tc>
          <w:tcPr>
            <w:tcW w:w="1275" w:type="dxa"/>
            <w:tcBorders>
              <w:top w:val="nil"/>
              <w:left w:val="nil"/>
              <w:bottom w:val="single" w:sz="4" w:space="0" w:color="000000"/>
              <w:right w:val="single" w:sz="4" w:space="0" w:color="000000"/>
            </w:tcBorders>
            <w:shd w:val="clear" w:color="auto" w:fill="auto"/>
            <w:vAlign w:val="center"/>
          </w:tcPr>
          <w:p w14:paraId="7E9BCBED" w14:textId="722C39FD" w:rsidR="00310292" w:rsidRPr="00310292" w:rsidRDefault="00310292" w:rsidP="00310292">
            <w:pPr>
              <w:jc w:val="center"/>
              <w:rPr>
                <w:color w:val="000000"/>
                <w:sz w:val="20"/>
                <w:szCs w:val="20"/>
              </w:rPr>
            </w:pPr>
            <w:r w:rsidRPr="00310292">
              <w:rPr>
                <w:color w:val="000000"/>
                <w:sz w:val="20"/>
                <w:szCs w:val="20"/>
              </w:rPr>
              <w:t>3.7857</w:t>
            </w:r>
          </w:p>
        </w:tc>
      </w:tr>
      <w:tr w:rsidR="00310292" w14:paraId="7CDEE719" w14:textId="77777777" w:rsidTr="00D216D2">
        <w:trPr>
          <w:trHeight w:val="485"/>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DCFB1" w14:textId="77777777" w:rsidR="00310292" w:rsidRDefault="00310292" w:rsidP="00310292">
            <w:pPr>
              <w:rPr>
                <w:color w:val="000000"/>
                <w:sz w:val="22"/>
                <w:szCs w:val="22"/>
              </w:rPr>
            </w:pPr>
            <w:r>
              <w:rPr>
                <w:color w:val="000000"/>
                <w:sz w:val="22"/>
                <w:szCs w:val="22"/>
              </w:rPr>
              <w:t>Unemployment %</w:t>
            </w:r>
          </w:p>
        </w:tc>
        <w:tc>
          <w:tcPr>
            <w:tcW w:w="1418" w:type="dxa"/>
            <w:tcBorders>
              <w:top w:val="nil"/>
              <w:left w:val="nil"/>
              <w:bottom w:val="single" w:sz="4" w:space="0" w:color="000000"/>
              <w:right w:val="single" w:sz="4" w:space="0" w:color="000000"/>
            </w:tcBorders>
            <w:shd w:val="clear" w:color="auto" w:fill="auto"/>
            <w:vAlign w:val="center"/>
          </w:tcPr>
          <w:p w14:paraId="3A1575B2" w14:textId="77777777" w:rsidR="00310292" w:rsidRDefault="00310292" w:rsidP="00310292">
            <w:pPr>
              <w:jc w:val="center"/>
              <w:rPr>
                <w:color w:val="000000"/>
                <w:sz w:val="22"/>
                <w:szCs w:val="22"/>
              </w:rPr>
            </w:pPr>
            <w:r>
              <w:rPr>
                <w:color w:val="000000"/>
                <w:sz w:val="22"/>
                <w:szCs w:val="22"/>
              </w:rPr>
              <w:t>5,819</w:t>
            </w:r>
          </w:p>
        </w:tc>
        <w:tc>
          <w:tcPr>
            <w:tcW w:w="1024" w:type="dxa"/>
            <w:tcBorders>
              <w:top w:val="nil"/>
              <w:left w:val="nil"/>
              <w:bottom w:val="single" w:sz="4" w:space="0" w:color="000000"/>
              <w:right w:val="single" w:sz="4" w:space="0" w:color="000000"/>
            </w:tcBorders>
            <w:shd w:val="clear" w:color="auto" w:fill="auto"/>
            <w:vAlign w:val="center"/>
          </w:tcPr>
          <w:p w14:paraId="6450F093" w14:textId="5B8D3F21" w:rsidR="00310292" w:rsidRPr="00310292" w:rsidRDefault="00310292" w:rsidP="00310292">
            <w:pPr>
              <w:jc w:val="center"/>
              <w:rPr>
                <w:color w:val="000000"/>
                <w:sz w:val="20"/>
                <w:szCs w:val="20"/>
              </w:rPr>
            </w:pPr>
            <w:r w:rsidRPr="00310292">
              <w:rPr>
                <w:color w:val="000000"/>
                <w:sz w:val="20"/>
                <w:szCs w:val="20"/>
              </w:rPr>
              <w:t>6.1022</w:t>
            </w:r>
          </w:p>
        </w:tc>
        <w:tc>
          <w:tcPr>
            <w:tcW w:w="1244" w:type="dxa"/>
            <w:tcBorders>
              <w:top w:val="nil"/>
              <w:left w:val="nil"/>
              <w:bottom w:val="single" w:sz="4" w:space="0" w:color="000000"/>
              <w:right w:val="single" w:sz="4" w:space="0" w:color="000000"/>
            </w:tcBorders>
            <w:shd w:val="clear" w:color="auto" w:fill="auto"/>
            <w:vAlign w:val="center"/>
          </w:tcPr>
          <w:p w14:paraId="102A191D" w14:textId="3F262D13" w:rsidR="00310292" w:rsidRPr="00310292" w:rsidRDefault="00310292" w:rsidP="00310292">
            <w:pPr>
              <w:jc w:val="center"/>
              <w:rPr>
                <w:color w:val="000000"/>
                <w:sz w:val="20"/>
                <w:szCs w:val="20"/>
              </w:rPr>
            </w:pPr>
            <w:r w:rsidRPr="00310292">
              <w:rPr>
                <w:color w:val="000000"/>
                <w:sz w:val="20"/>
                <w:szCs w:val="20"/>
              </w:rPr>
              <w:t>1.7243</w:t>
            </w:r>
          </w:p>
        </w:tc>
        <w:tc>
          <w:tcPr>
            <w:tcW w:w="1134" w:type="dxa"/>
            <w:tcBorders>
              <w:top w:val="nil"/>
              <w:left w:val="nil"/>
              <w:bottom w:val="single" w:sz="4" w:space="0" w:color="000000"/>
              <w:right w:val="single" w:sz="4" w:space="0" w:color="000000"/>
            </w:tcBorders>
            <w:shd w:val="clear" w:color="auto" w:fill="auto"/>
            <w:vAlign w:val="center"/>
          </w:tcPr>
          <w:p w14:paraId="3A121B9E" w14:textId="1D445523" w:rsidR="00310292" w:rsidRPr="00310292" w:rsidRDefault="00310292" w:rsidP="00310292">
            <w:pPr>
              <w:jc w:val="center"/>
              <w:rPr>
                <w:color w:val="000000"/>
                <w:sz w:val="20"/>
                <w:szCs w:val="20"/>
              </w:rPr>
            </w:pPr>
            <w:r w:rsidRPr="00310292">
              <w:rPr>
                <w:color w:val="000000"/>
                <w:sz w:val="20"/>
                <w:szCs w:val="20"/>
              </w:rPr>
              <w:t>3.8956</w:t>
            </w:r>
          </w:p>
        </w:tc>
        <w:tc>
          <w:tcPr>
            <w:tcW w:w="1275" w:type="dxa"/>
            <w:tcBorders>
              <w:top w:val="nil"/>
              <w:left w:val="nil"/>
              <w:bottom w:val="single" w:sz="4" w:space="0" w:color="000000"/>
              <w:right w:val="single" w:sz="4" w:space="0" w:color="000000"/>
            </w:tcBorders>
            <w:shd w:val="clear" w:color="auto" w:fill="auto"/>
            <w:vAlign w:val="center"/>
          </w:tcPr>
          <w:p w14:paraId="63BA4B12" w14:textId="7265B68C" w:rsidR="00310292" w:rsidRPr="00310292" w:rsidRDefault="00310292" w:rsidP="00310292">
            <w:pPr>
              <w:jc w:val="center"/>
              <w:rPr>
                <w:color w:val="000000"/>
                <w:sz w:val="20"/>
                <w:szCs w:val="20"/>
              </w:rPr>
            </w:pPr>
            <w:r w:rsidRPr="00310292">
              <w:rPr>
                <w:color w:val="000000"/>
                <w:sz w:val="20"/>
                <w:szCs w:val="20"/>
              </w:rPr>
              <w:t>9.6334</w:t>
            </w:r>
          </w:p>
        </w:tc>
      </w:tr>
      <w:tr w:rsidR="00310292" w14:paraId="0F21B8EA" w14:textId="77777777" w:rsidTr="00D216D2">
        <w:trPr>
          <w:trHeight w:val="485"/>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4AA10" w14:textId="77777777" w:rsidR="00310292" w:rsidRDefault="00310292" w:rsidP="00310292">
            <w:pPr>
              <w:rPr>
                <w:color w:val="000000"/>
                <w:sz w:val="22"/>
                <w:szCs w:val="22"/>
              </w:rPr>
            </w:pPr>
            <w:r>
              <w:rPr>
                <w:color w:val="000000"/>
                <w:sz w:val="22"/>
                <w:szCs w:val="22"/>
              </w:rPr>
              <w:t>Inflation %</w:t>
            </w:r>
          </w:p>
        </w:tc>
        <w:tc>
          <w:tcPr>
            <w:tcW w:w="1418" w:type="dxa"/>
            <w:tcBorders>
              <w:top w:val="nil"/>
              <w:left w:val="nil"/>
              <w:bottom w:val="single" w:sz="4" w:space="0" w:color="000000"/>
              <w:right w:val="single" w:sz="4" w:space="0" w:color="000000"/>
            </w:tcBorders>
            <w:shd w:val="clear" w:color="auto" w:fill="auto"/>
            <w:vAlign w:val="center"/>
          </w:tcPr>
          <w:p w14:paraId="610CE494" w14:textId="77777777" w:rsidR="00310292" w:rsidRDefault="00310292" w:rsidP="00310292">
            <w:pPr>
              <w:jc w:val="center"/>
              <w:rPr>
                <w:color w:val="000000"/>
                <w:sz w:val="22"/>
                <w:szCs w:val="22"/>
              </w:rPr>
            </w:pPr>
            <w:r>
              <w:rPr>
                <w:color w:val="000000"/>
                <w:sz w:val="22"/>
                <w:szCs w:val="22"/>
              </w:rPr>
              <w:t>5,819</w:t>
            </w:r>
          </w:p>
        </w:tc>
        <w:tc>
          <w:tcPr>
            <w:tcW w:w="1024" w:type="dxa"/>
            <w:tcBorders>
              <w:top w:val="nil"/>
              <w:left w:val="nil"/>
              <w:bottom w:val="single" w:sz="4" w:space="0" w:color="000000"/>
              <w:right w:val="single" w:sz="4" w:space="0" w:color="000000"/>
            </w:tcBorders>
            <w:shd w:val="clear" w:color="auto" w:fill="auto"/>
            <w:vAlign w:val="center"/>
          </w:tcPr>
          <w:p w14:paraId="46A9E785" w14:textId="3519EA2E" w:rsidR="00310292" w:rsidRPr="00310292" w:rsidRDefault="00310292" w:rsidP="00310292">
            <w:pPr>
              <w:jc w:val="center"/>
              <w:rPr>
                <w:color w:val="000000"/>
                <w:sz w:val="20"/>
                <w:szCs w:val="20"/>
              </w:rPr>
            </w:pPr>
            <w:r w:rsidRPr="00310292">
              <w:rPr>
                <w:color w:val="000000"/>
                <w:sz w:val="20"/>
                <w:szCs w:val="20"/>
              </w:rPr>
              <w:t>2.0794</w:t>
            </w:r>
          </w:p>
        </w:tc>
        <w:tc>
          <w:tcPr>
            <w:tcW w:w="1244" w:type="dxa"/>
            <w:tcBorders>
              <w:top w:val="nil"/>
              <w:left w:val="nil"/>
              <w:bottom w:val="single" w:sz="4" w:space="0" w:color="000000"/>
              <w:right w:val="single" w:sz="4" w:space="0" w:color="000000"/>
            </w:tcBorders>
            <w:shd w:val="clear" w:color="auto" w:fill="auto"/>
            <w:vAlign w:val="center"/>
          </w:tcPr>
          <w:p w14:paraId="7F23A66A" w14:textId="44A6008C" w:rsidR="00310292" w:rsidRPr="00310292" w:rsidRDefault="00310292" w:rsidP="00310292">
            <w:pPr>
              <w:jc w:val="center"/>
              <w:rPr>
                <w:color w:val="000000"/>
                <w:sz w:val="20"/>
                <w:szCs w:val="20"/>
              </w:rPr>
            </w:pPr>
            <w:r w:rsidRPr="00310292">
              <w:rPr>
                <w:color w:val="000000"/>
                <w:sz w:val="20"/>
                <w:szCs w:val="20"/>
              </w:rPr>
              <w:t>1.0503</w:t>
            </w:r>
          </w:p>
        </w:tc>
        <w:tc>
          <w:tcPr>
            <w:tcW w:w="1134" w:type="dxa"/>
            <w:tcBorders>
              <w:top w:val="nil"/>
              <w:left w:val="nil"/>
              <w:bottom w:val="single" w:sz="4" w:space="0" w:color="000000"/>
              <w:right w:val="single" w:sz="4" w:space="0" w:color="000000"/>
            </w:tcBorders>
            <w:shd w:val="clear" w:color="auto" w:fill="auto"/>
            <w:vAlign w:val="center"/>
          </w:tcPr>
          <w:p w14:paraId="15B42D31" w14:textId="6FB88EC6" w:rsidR="00310292" w:rsidRPr="00310292" w:rsidRDefault="00310292" w:rsidP="00310292">
            <w:pPr>
              <w:jc w:val="center"/>
              <w:rPr>
                <w:color w:val="000000"/>
                <w:sz w:val="20"/>
                <w:szCs w:val="20"/>
              </w:rPr>
            </w:pPr>
            <w:r w:rsidRPr="00310292">
              <w:rPr>
                <w:color w:val="000000"/>
                <w:sz w:val="20"/>
                <w:szCs w:val="20"/>
              </w:rPr>
              <w:t>-0.3556</w:t>
            </w:r>
          </w:p>
        </w:tc>
        <w:tc>
          <w:tcPr>
            <w:tcW w:w="1275" w:type="dxa"/>
            <w:tcBorders>
              <w:top w:val="nil"/>
              <w:left w:val="nil"/>
              <w:bottom w:val="single" w:sz="4" w:space="0" w:color="000000"/>
              <w:right w:val="single" w:sz="4" w:space="0" w:color="000000"/>
            </w:tcBorders>
            <w:shd w:val="clear" w:color="auto" w:fill="auto"/>
            <w:vAlign w:val="center"/>
          </w:tcPr>
          <w:p w14:paraId="3C366DDE" w14:textId="3A0E81B7" w:rsidR="00310292" w:rsidRPr="00310292" w:rsidRDefault="00310292" w:rsidP="00310292">
            <w:pPr>
              <w:jc w:val="center"/>
              <w:rPr>
                <w:color w:val="000000"/>
                <w:sz w:val="20"/>
                <w:szCs w:val="20"/>
              </w:rPr>
            </w:pPr>
            <w:r w:rsidRPr="00310292">
              <w:rPr>
                <w:color w:val="000000"/>
                <w:sz w:val="20"/>
                <w:szCs w:val="20"/>
              </w:rPr>
              <w:t>3.8391</w:t>
            </w:r>
          </w:p>
        </w:tc>
      </w:tr>
      <w:tr w:rsidR="00310292" w14:paraId="55008325" w14:textId="77777777" w:rsidTr="00D216D2">
        <w:trPr>
          <w:trHeight w:val="485"/>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FA5A1" w14:textId="77777777" w:rsidR="00310292" w:rsidRDefault="00310292" w:rsidP="00310292">
            <w:pPr>
              <w:rPr>
                <w:color w:val="000000"/>
                <w:sz w:val="22"/>
                <w:szCs w:val="22"/>
              </w:rPr>
            </w:pPr>
            <w:r>
              <w:rPr>
                <w:color w:val="000000"/>
                <w:sz w:val="22"/>
                <w:szCs w:val="22"/>
              </w:rPr>
              <w:t>Real-Interest Rates %</w:t>
            </w:r>
          </w:p>
        </w:tc>
        <w:tc>
          <w:tcPr>
            <w:tcW w:w="1418" w:type="dxa"/>
            <w:tcBorders>
              <w:top w:val="nil"/>
              <w:left w:val="nil"/>
              <w:bottom w:val="single" w:sz="4" w:space="0" w:color="000000"/>
              <w:right w:val="single" w:sz="4" w:space="0" w:color="000000"/>
            </w:tcBorders>
            <w:shd w:val="clear" w:color="auto" w:fill="auto"/>
            <w:vAlign w:val="center"/>
          </w:tcPr>
          <w:p w14:paraId="2241C2F1" w14:textId="77777777" w:rsidR="00310292" w:rsidRDefault="00310292" w:rsidP="00310292">
            <w:pPr>
              <w:jc w:val="center"/>
              <w:rPr>
                <w:color w:val="000000"/>
                <w:sz w:val="22"/>
                <w:szCs w:val="22"/>
              </w:rPr>
            </w:pPr>
            <w:r>
              <w:rPr>
                <w:color w:val="000000"/>
                <w:sz w:val="22"/>
                <w:szCs w:val="22"/>
              </w:rPr>
              <w:t>5,819</w:t>
            </w:r>
          </w:p>
        </w:tc>
        <w:tc>
          <w:tcPr>
            <w:tcW w:w="1024" w:type="dxa"/>
            <w:tcBorders>
              <w:top w:val="nil"/>
              <w:left w:val="nil"/>
              <w:bottom w:val="single" w:sz="4" w:space="0" w:color="000000"/>
              <w:right w:val="single" w:sz="4" w:space="0" w:color="000000"/>
            </w:tcBorders>
            <w:shd w:val="clear" w:color="auto" w:fill="auto"/>
            <w:vAlign w:val="center"/>
          </w:tcPr>
          <w:p w14:paraId="4FE06CE5" w14:textId="7E87DDE5" w:rsidR="00310292" w:rsidRPr="00310292" w:rsidRDefault="00310292" w:rsidP="00310292">
            <w:pPr>
              <w:jc w:val="center"/>
              <w:rPr>
                <w:color w:val="000000"/>
                <w:sz w:val="20"/>
                <w:szCs w:val="20"/>
              </w:rPr>
            </w:pPr>
            <w:r w:rsidRPr="00310292">
              <w:rPr>
                <w:color w:val="000000"/>
                <w:sz w:val="20"/>
                <w:szCs w:val="20"/>
              </w:rPr>
              <w:t>2.3209</w:t>
            </w:r>
          </w:p>
        </w:tc>
        <w:tc>
          <w:tcPr>
            <w:tcW w:w="1244" w:type="dxa"/>
            <w:tcBorders>
              <w:top w:val="nil"/>
              <w:left w:val="nil"/>
              <w:bottom w:val="single" w:sz="4" w:space="0" w:color="000000"/>
              <w:right w:val="single" w:sz="4" w:space="0" w:color="000000"/>
            </w:tcBorders>
            <w:shd w:val="clear" w:color="auto" w:fill="auto"/>
            <w:vAlign w:val="center"/>
          </w:tcPr>
          <w:p w14:paraId="6FBE62C2" w14:textId="0AA0CC72" w:rsidR="00310292" w:rsidRPr="00310292" w:rsidRDefault="00310292" w:rsidP="00310292">
            <w:pPr>
              <w:jc w:val="center"/>
              <w:rPr>
                <w:color w:val="000000"/>
                <w:sz w:val="20"/>
                <w:szCs w:val="20"/>
              </w:rPr>
            </w:pPr>
            <w:r w:rsidRPr="00310292">
              <w:rPr>
                <w:color w:val="000000"/>
                <w:sz w:val="20"/>
                <w:szCs w:val="20"/>
              </w:rPr>
              <w:t>1.1288</w:t>
            </w:r>
          </w:p>
        </w:tc>
        <w:tc>
          <w:tcPr>
            <w:tcW w:w="1134" w:type="dxa"/>
            <w:tcBorders>
              <w:top w:val="nil"/>
              <w:left w:val="nil"/>
              <w:bottom w:val="single" w:sz="4" w:space="0" w:color="000000"/>
              <w:right w:val="single" w:sz="4" w:space="0" w:color="000000"/>
            </w:tcBorders>
            <w:shd w:val="clear" w:color="auto" w:fill="auto"/>
            <w:vAlign w:val="center"/>
          </w:tcPr>
          <w:p w14:paraId="75DF96F2" w14:textId="23C36E0B" w:rsidR="00310292" w:rsidRPr="00310292" w:rsidRDefault="00310292" w:rsidP="00310292">
            <w:pPr>
              <w:jc w:val="center"/>
              <w:rPr>
                <w:color w:val="000000"/>
                <w:sz w:val="20"/>
                <w:szCs w:val="20"/>
              </w:rPr>
            </w:pPr>
            <w:r w:rsidRPr="00310292">
              <w:rPr>
                <w:color w:val="000000"/>
                <w:sz w:val="20"/>
                <w:szCs w:val="20"/>
              </w:rPr>
              <w:t>1.1373</w:t>
            </w:r>
          </w:p>
        </w:tc>
        <w:tc>
          <w:tcPr>
            <w:tcW w:w="1275" w:type="dxa"/>
            <w:tcBorders>
              <w:top w:val="nil"/>
              <w:left w:val="nil"/>
              <w:bottom w:val="single" w:sz="4" w:space="0" w:color="000000"/>
              <w:right w:val="single" w:sz="4" w:space="0" w:color="000000"/>
            </w:tcBorders>
            <w:shd w:val="clear" w:color="auto" w:fill="auto"/>
            <w:vAlign w:val="center"/>
          </w:tcPr>
          <w:p w14:paraId="1DAEC677" w14:textId="04A4C7E9" w:rsidR="00310292" w:rsidRPr="00310292" w:rsidRDefault="00310292" w:rsidP="00310292">
            <w:pPr>
              <w:keepNext/>
              <w:jc w:val="center"/>
              <w:rPr>
                <w:color w:val="000000"/>
                <w:sz w:val="20"/>
                <w:szCs w:val="20"/>
              </w:rPr>
            </w:pPr>
            <w:r w:rsidRPr="00310292">
              <w:rPr>
                <w:color w:val="000000"/>
                <w:sz w:val="20"/>
                <w:szCs w:val="20"/>
              </w:rPr>
              <w:t>5.2490</w:t>
            </w:r>
          </w:p>
        </w:tc>
      </w:tr>
    </w:tbl>
    <w:p w14:paraId="0FB3F9F6" w14:textId="77777777" w:rsidR="00F71210" w:rsidRDefault="00F71210">
      <w:pPr>
        <w:rPr>
          <w:b/>
        </w:rPr>
      </w:pPr>
    </w:p>
    <w:p w14:paraId="06890BD7" w14:textId="77777777" w:rsidR="00F71210" w:rsidRDefault="00F71210">
      <w:pPr>
        <w:rPr>
          <w:b/>
        </w:rPr>
      </w:pPr>
    </w:p>
    <w:p w14:paraId="5297F6CB" w14:textId="6F739FC0" w:rsidR="00F71210" w:rsidRDefault="002A6ADB">
      <w:pPr>
        <w:spacing w:after="120" w:line="360" w:lineRule="auto"/>
        <w:rPr>
          <w:b/>
        </w:rPr>
      </w:pPr>
      <w:r>
        <w:rPr>
          <w:b/>
        </w:rPr>
        <w:t>4</w:t>
      </w:r>
      <w:r w:rsidR="0004642E">
        <w:rPr>
          <w:b/>
        </w:rPr>
        <w:t>.0 Empirical Results</w:t>
      </w:r>
    </w:p>
    <w:p w14:paraId="2AE3B2B9" w14:textId="145D8FDB" w:rsidR="00F71210" w:rsidRDefault="0004642E">
      <w:pPr>
        <w:pBdr>
          <w:top w:val="nil"/>
          <w:left w:val="nil"/>
          <w:bottom w:val="nil"/>
          <w:right w:val="nil"/>
          <w:between w:val="nil"/>
        </w:pBdr>
        <w:spacing w:before="120" w:line="360" w:lineRule="auto"/>
        <w:ind w:firstLine="720"/>
        <w:jc w:val="both"/>
        <w:rPr>
          <w:color w:val="000000"/>
        </w:rPr>
      </w:pPr>
      <w:r>
        <w:rPr>
          <w:color w:val="000000"/>
        </w:rPr>
        <w:t>The results of the analysis are shown in Table 3. The value of the coefficient of the lagged dependant variable ROAEL1</w:t>
      </w:r>
      <m:oMath>
        <m:r>
          <w:rPr>
            <w:rFonts w:ascii="Cambria Math" w:eastAsia="Cambria Math" w:hAnsi="Cambria Math" w:cs="Cambria Math"/>
            <w:color w:val="000000"/>
          </w:rPr>
          <m:t xml:space="preserve"> </m:t>
        </m:r>
      </m:oMath>
      <w:r>
        <w:rPr>
          <w:color w:val="000000"/>
        </w:rPr>
        <w:t xml:space="preserve">from the SGMM model is lying between the coefficient of the </w:t>
      </w:r>
      <w:r w:rsidR="00C040B4">
        <w:rPr>
          <w:color w:val="000000"/>
        </w:rPr>
        <w:t xml:space="preserve">coefficient of the </w:t>
      </w:r>
      <w:r>
        <w:rPr>
          <w:color w:val="000000"/>
        </w:rPr>
        <w:t>lagged dependent variable from OLS and Fixed Effects Models. This means that in this case, the SGMM is most appropriate</w:t>
      </w:r>
      <w:r w:rsidR="00C040B4">
        <w:rPr>
          <w:color w:val="000000"/>
        </w:rPr>
        <w:t xml:space="preserve"> as OLS and Fixed Effects Models produce </w:t>
      </w:r>
      <w:r w:rsidR="00FF0894">
        <w:rPr>
          <w:color w:val="000000"/>
        </w:rPr>
        <w:t>over</w:t>
      </w:r>
      <w:r w:rsidR="00C040B4">
        <w:rPr>
          <w:color w:val="000000"/>
        </w:rPr>
        <w:t xml:space="preserve">stated and </w:t>
      </w:r>
      <w:r w:rsidR="00FF0894">
        <w:rPr>
          <w:color w:val="000000"/>
        </w:rPr>
        <w:t>und</w:t>
      </w:r>
      <w:r w:rsidR="00C040B4">
        <w:rPr>
          <w:color w:val="000000"/>
        </w:rPr>
        <w:t>erstated estimations respectively (Nick</w:t>
      </w:r>
      <w:r w:rsidR="00800542">
        <w:rPr>
          <w:color w:val="000000"/>
        </w:rPr>
        <w:t>ell</w:t>
      </w:r>
      <w:r w:rsidR="00C040B4">
        <w:rPr>
          <w:color w:val="000000"/>
        </w:rPr>
        <w:t>, 198</w:t>
      </w:r>
      <w:r w:rsidR="00800542">
        <w:rPr>
          <w:color w:val="000000"/>
        </w:rPr>
        <w:t>1</w:t>
      </w:r>
      <w:r w:rsidR="00C040B4">
        <w:rPr>
          <w:color w:val="000000"/>
        </w:rPr>
        <w:t>)</w:t>
      </w:r>
      <w:r>
        <w:rPr>
          <w:color w:val="000000"/>
        </w:rPr>
        <w:t>. The acceptance of Hansen J test shows no evidence of over-identifying restrictions and confirms the validity of the used instruments</w:t>
      </w:r>
      <w:r w:rsidR="00C040B4">
        <w:rPr>
          <w:color w:val="000000"/>
        </w:rPr>
        <w:t xml:space="preserve"> and there are less instruments than the number of groups (as suggested in Roodman, 2009)</w:t>
      </w:r>
      <w:r>
        <w:rPr>
          <w:color w:val="000000"/>
        </w:rPr>
        <w:t xml:space="preserve">. The rejection of AR (1) and acceptance of AR (2) tests indicate the presence of </w:t>
      </w:r>
      <w:r w:rsidR="00C040B4">
        <w:rPr>
          <w:color w:val="000000"/>
        </w:rPr>
        <w:t xml:space="preserve">first-order serial autocorrelation (as expected in SGMM method) and </w:t>
      </w:r>
      <w:r>
        <w:rPr>
          <w:color w:val="000000"/>
        </w:rPr>
        <w:t xml:space="preserve">no second-order serial </w:t>
      </w:r>
      <w:r w:rsidR="00C040B4">
        <w:rPr>
          <w:color w:val="000000"/>
        </w:rPr>
        <w:t>auto</w:t>
      </w:r>
      <w:r>
        <w:rPr>
          <w:color w:val="000000"/>
        </w:rPr>
        <w:t>correlation</w:t>
      </w:r>
      <w:r w:rsidR="00C040B4">
        <w:rPr>
          <w:color w:val="000000"/>
        </w:rPr>
        <w:t xml:space="preserve"> in the error terms</w:t>
      </w:r>
      <w:r>
        <w:rPr>
          <w:color w:val="000000"/>
        </w:rPr>
        <w:t xml:space="preserve">. The ROAEL.1 is very significant at 1% level, </w:t>
      </w:r>
      <w:r>
        <w:rPr>
          <w:color w:val="000000"/>
        </w:rPr>
        <w:lastRenderedPageBreak/>
        <w:t>meaning that a specific year’s profit is significantly influenced by the level of its previous year’s profit. The coefficient of ROAEL.1 between 0 and 1 reveals the dynamic characteristics of the specified model and the value of 0.528 indicates that the banking industry of the USA is a little competitive.</w:t>
      </w:r>
    </w:p>
    <w:p w14:paraId="632E1E78" w14:textId="6F1C8924" w:rsidR="00425C39" w:rsidRDefault="0004642E">
      <w:pPr>
        <w:pBdr>
          <w:top w:val="nil"/>
          <w:left w:val="nil"/>
          <w:bottom w:val="nil"/>
          <w:right w:val="nil"/>
          <w:between w:val="nil"/>
        </w:pBdr>
        <w:spacing w:before="120" w:line="360" w:lineRule="auto"/>
        <w:ind w:firstLine="720"/>
        <w:jc w:val="both"/>
        <w:rPr>
          <w:color w:val="000000"/>
        </w:rPr>
      </w:pPr>
      <w:r>
        <w:rPr>
          <w:color w:val="000000"/>
        </w:rPr>
        <w:t xml:space="preserve">Starting with our </w:t>
      </w:r>
      <w:r w:rsidR="00425C39">
        <w:rPr>
          <w:color w:val="000000"/>
        </w:rPr>
        <w:t>variables of interest, the results for foreign bank dummy variable with a negative coefficient indicate that they are less profitable than domestic banks as found by Staikouras and Wood (2003). In USA foreign banks, establish their representative offices rather than the entire bank, are highly regulated, and their activities are very restricted which limits their profitability. Furthermore, the listed banks are found to be more profitable than unlisted ones. The listed banks face greater pressure from their various stakeholders in terms of increased disclosure requirements, enhanced corporate governance and follow more regulations and restrictions. This increases the efficiency of those banks and eventually their profitability get improved (Dietrich and Wanzenried, 2011). Finally, the cost efficiency, measured by SFA, as a proxy of management efficiency, positively influences the profitability of US banks but insignificantly and conforms to the results of the previous studies (e.g., Kosmidou 2008; Berger 1995; and Garcia-Herrero 2009). The results are unsurprising as better expense management enhance the profitability of the banks as can be observed by the high coefficient. Demirgüç and Huizinga (1999) states that profit is directly and negatively influenced by operating costs.</w:t>
      </w:r>
    </w:p>
    <w:p w14:paraId="6989C393" w14:textId="4988ED18" w:rsidR="00125AB3" w:rsidRDefault="00425C39">
      <w:pPr>
        <w:pBdr>
          <w:top w:val="nil"/>
          <w:left w:val="nil"/>
          <w:bottom w:val="nil"/>
          <w:right w:val="nil"/>
          <w:between w:val="nil"/>
        </w:pBdr>
        <w:spacing w:before="120" w:line="360" w:lineRule="auto"/>
        <w:ind w:firstLine="720"/>
        <w:jc w:val="both"/>
        <w:rPr>
          <w:color w:val="000000"/>
        </w:rPr>
      </w:pPr>
      <w:r>
        <w:rPr>
          <w:color w:val="000000"/>
        </w:rPr>
        <w:t xml:space="preserve">Moving towards the controlled variables, </w:t>
      </w:r>
      <w:r w:rsidR="0004642E">
        <w:rPr>
          <w:color w:val="000000"/>
        </w:rPr>
        <w:t xml:space="preserve">the negative coefficient for the commercial dummy variable shows that commercial banks are less profitable than the savings banks in the USA as found by Koushik and Lopez (1996). The extent of competition in the commercial banking market and maintaining safety and soundness of savings banks by the regulators </w:t>
      </w:r>
      <w:r w:rsidR="00E16512">
        <w:rPr>
          <w:color w:val="000000"/>
        </w:rPr>
        <w:t>may be</w:t>
      </w:r>
      <w:r w:rsidR="0004642E">
        <w:rPr>
          <w:color w:val="000000"/>
        </w:rPr>
        <w:t xml:space="preserve"> the main reasons of this outcome. </w:t>
      </w:r>
      <w:r w:rsidR="006F7E4F">
        <w:rPr>
          <w:color w:val="000000"/>
        </w:rPr>
        <w:t>T</w:t>
      </w:r>
      <w:r w:rsidR="0004642E">
        <w:rPr>
          <w:color w:val="000000"/>
        </w:rPr>
        <w:t xml:space="preserve">he negative coefficient of </w:t>
      </w:r>
      <w:r w:rsidR="006F7E4F">
        <w:rPr>
          <w:color w:val="000000"/>
        </w:rPr>
        <w:t xml:space="preserve">the </w:t>
      </w:r>
      <w:r w:rsidR="0004642E">
        <w:rPr>
          <w:color w:val="000000"/>
        </w:rPr>
        <w:t xml:space="preserve">crisis variable confirms the reduced profitability of US banks during the crisis period because of the </w:t>
      </w:r>
      <w:r w:rsidR="006F7E4F">
        <w:rPr>
          <w:color w:val="000000"/>
        </w:rPr>
        <w:t xml:space="preserve">increased </w:t>
      </w:r>
      <w:r w:rsidR="0004642E">
        <w:rPr>
          <w:color w:val="000000"/>
        </w:rPr>
        <w:t>defaulted loans and economic recession. However, banks with higher core capital can enjoy higher returns during the financial crisis (Beltratti and Stulz, 2009).</w:t>
      </w:r>
      <w:r w:rsidR="006F7E4F">
        <w:rPr>
          <w:color w:val="000000"/>
        </w:rPr>
        <w:t xml:space="preserve"> Then bank size is found to be positively and significantly influencing the profitability of US banks during the studied period which is in line with the previous studies (e.g., Kosmidou, 2008; Boyd and Runkle, 1993; Pasiouras and Kosmidou, 2007). The size influences profitability positively as with the increased assets banks enjoy economies of scale because of the reduced costs of gathering and processing information (Boyd and Runkle, 1993; Altunbas, et al. 2001; and Berger and Humphrey, 1997). Therefore, the banks in the USA can increase their profitability by increasing assets. Furthermore, the ratio of impaired loans to gross loans, a proxy for credit </w:t>
      </w:r>
      <w:r w:rsidR="006F7E4F">
        <w:rPr>
          <w:color w:val="000000"/>
        </w:rPr>
        <w:lastRenderedPageBreak/>
        <w:t xml:space="preserve">risk and asset quality, measures the level of loan losses. The exposure to increased credit risk and increased non-performing loans reduce banks’ income as impaired loans are charged against accounting profits. Dietrich and Wanzenried (2014), Miller and Noulas (1997), and Athanasoglou et al. (2008) all have found a similarly negative association between credit risk or poor asset quality and bank profitability and predictably, this study has also found the same results. Thereafter, the result shows that liquidity has an insignificantly negative relationship with the profitability which is a usual case. The banks in the USA are obliged to maintain the Net Stable Funding Ratio (NSFR) at any cost since the implementation of BASEL III and the associated risk in meeting this liquidity requirement comes at the cost of reduced profitability.  Said (2014) indicated that NSFR increases cost of banks in terms of balance sheet adjustments and maturity mismatch. Moreover, more liquidity means more idle funds and reduced profitability. </w:t>
      </w:r>
      <w:r w:rsidR="00BD580B">
        <w:rPr>
          <w:color w:val="000000"/>
        </w:rPr>
        <w:t xml:space="preserve">Furthermore, </w:t>
      </w:r>
      <w:r w:rsidR="006F7E4F">
        <w:rPr>
          <w:color w:val="000000"/>
        </w:rPr>
        <w:t>capitalisation or equity to assets ratio, a proxy for banks’ capital adequacy</w:t>
      </w:r>
      <w:r w:rsidR="00BD580B">
        <w:rPr>
          <w:color w:val="000000"/>
        </w:rPr>
        <w:t xml:space="preserve"> which provides the </w:t>
      </w:r>
      <w:r w:rsidR="006F7E4F">
        <w:rPr>
          <w:color w:val="000000"/>
        </w:rPr>
        <w:t xml:space="preserve">banks with the ability to absorb shocks, </w:t>
      </w:r>
      <w:r w:rsidR="00BD580B">
        <w:rPr>
          <w:color w:val="000000"/>
        </w:rPr>
        <w:t>is expected to be positively related to profitability. However, this study found a negative but very significant relation like the results of Goddard, Molyneux, and Wilson (2004), and Athanasoglou (2008). Goddard, Molyneux, and Wilson (2004) emphasise that banks may ignore some good-return investment opportunities being more conservative with their high level of capital adequacy. Moreover, Demirgüç and Huizinga (1999), analysing the profitability of banks in developing countries, support the negative association between capitalisation and profitability stating that it can happen because of the inflationary environment.</w:t>
      </w:r>
    </w:p>
    <w:p w14:paraId="24FC9081" w14:textId="13439E0E" w:rsidR="00E14856" w:rsidRDefault="001C6AA1">
      <w:pPr>
        <w:pBdr>
          <w:top w:val="nil"/>
          <w:left w:val="nil"/>
          <w:bottom w:val="nil"/>
          <w:right w:val="nil"/>
          <w:between w:val="nil"/>
        </w:pBdr>
        <w:spacing w:before="120" w:line="360" w:lineRule="auto"/>
        <w:ind w:firstLine="720"/>
        <w:jc w:val="both"/>
        <w:rPr>
          <w:color w:val="000000"/>
        </w:rPr>
      </w:pPr>
      <w:r>
        <w:rPr>
          <w:color w:val="000000"/>
        </w:rPr>
        <w:t>Among the industry-specific factors</w:t>
      </w:r>
      <w:r w:rsidR="00273CD4">
        <w:rPr>
          <w:color w:val="000000"/>
        </w:rPr>
        <w:t xml:space="preserve">, </w:t>
      </w:r>
      <w:r w:rsidR="00E14856">
        <w:rPr>
          <w:color w:val="000000"/>
        </w:rPr>
        <w:t xml:space="preserve">concentration ratio measured by HHI, is positively associated with the profitability which </w:t>
      </w:r>
      <w:r w:rsidR="00273CD4">
        <w:rPr>
          <w:color w:val="000000"/>
        </w:rPr>
        <w:t xml:space="preserve">matches with </w:t>
      </w:r>
      <w:r w:rsidR="00E14856">
        <w:rPr>
          <w:color w:val="000000"/>
        </w:rPr>
        <w:t xml:space="preserve">the results of Short (1979), Gilbert (1984), and Brouke (1989). Gracia-Herrero et al. (2009) state that concentration propounds non-competitive pricing behaviour and adds to the bank profitability. According to Berger (1995), concentration increases profitability by increasing banks’ market share and efficiency gains. Tregenna (2009) emphasises that concentration of large banks in the USA not only improves profitability but also positively influence the rest of the banking sector. </w:t>
      </w:r>
      <w:r w:rsidR="000E2A42">
        <w:rPr>
          <w:color w:val="000000"/>
        </w:rPr>
        <w:t>Moreover</w:t>
      </w:r>
      <w:r w:rsidR="00E14856">
        <w:rPr>
          <w:color w:val="000000"/>
        </w:rPr>
        <w:t xml:space="preserve">, market capitalisation, an indicator of capital market development, is negatively and very significantly influencing US banks’ profitability. We know that the USA has </w:t>
      </w:r>
      <w:r w:rsidR="000E2A42">
        <w:rPr>
          <w:color w:val="000000"/>
        </w:rPr>
        <w:t xml:space="preserve">the </w:t>
      </w:r>
      <w:r w:rsidR="00E14856">
        <w:rPr>
          <w:color w:val="000000"/>
        </w:rPr>
        <w:t>most developed capital markets and hundreds of companies go public each year which reduces demand for bank provided capital and affects banks’ profitability negatively (Demirgüç and Huizinga, 1999).</w:t>
      </w:r>
    </w:p>
    <w:p w14:paraId="09D8AFD6" w14:textId="0240EC42" w:rsidR="00F80BB9" w:rsidRDefault="002D6F28" w:rsidP="002835D4">
      <w:pPr>
        <w:pBdr>
          <w:top w:val="nil"/>
          <w:left w:val="nil"/>
          <w:bottom w:val="nil"/>
          <w:right w:val="nil"/>
          <w:between w:val="nil"/>
        </w:pBdr>
        <w:spacing w:before="120" w:line="360" w:lineRule="auto"/>
        <w:ind w:firstLine="720"/>
        <w:jc w:val="both"/>
        <w:rPr>
          <w:color w:val="000000"/>
        </w:rPr>
      </w:pPr>
      <w:r>
        <w:rPr>
          <w:color w:val="000000"/>
        </w:rPr>
        <w:t xml:space="preserve">Finally, from the results of the macroeconomic controlled determinants, economic growth, measured by GDP growth rate is negatively influencing US banks’ profitability. The result is not as expected but is </w:t>
      </w:r>
      <w:proofErr w:type="gramStart"/>
      <w:r w:rsidR="00873F1A">
        <w:rPr>
          <w:color w:val="000000"/>
        </w:rPr>
        <w:t>similar to</w:t>
      </w:r>
      <w:proofErr w:type="gramEnd"/>
      <w:r w:rsidR="00873F1A">
        <w:rPr>
          <w:color w:val="000000"/>
        </w:rPr>
        <w:t xml:space="preserve"> the results</w:t>
      </w:r>
      <w:r>
        <w:rPr>
          <w:color w:val="000000"/>
        </w:rPr>
        <w:t xml:space="preserve"> found by Tan and Floros (2012) and Sufian </w:t>
      </w:r>
      <w:r>
        <w:rPr>
          <w:color w:val="000000"/>
        </w:rPr>
        <w:lastRenderedPageBreak/>
        <w:t xml:space="preserve">(2009). They argue that the favourable business environment and lower entry barriers intensify </w:t>
      </w:r>
      <w:r w:rsidR="002752C9">
        <w:rPr>
          <w:noProof/>
        </w:rPr>
        <mc:AlternateContent>
          <mc:Choice Requires="wps">
            <w:drawing>
              <wp:anchor distT="0" distB="0" distL="114300" distR="114300" simplePos="0" relativeHeight="251661312" behindDoc="0" locked="0" layoutInCell="1" allowOverlap="1" wp14:anchorId="09B2FDC5" wp14:editId="719579B4">
                <wp:simplePos x="0" y="0"/>
                <wp:positionH relativeFrom="column">
                  <wp:posOffset>28575</wp:posOffset>
                </wp:positionH>
                <wp:positionV relativeFrom="paragraph">
                  <wp:posOffset>8393430</wp:posOffset>
                </wp:positionV>
                <wp:extent cx="5534025" cy="44958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5534025" cy="449580"/>
                        </a:xfrm>
                        <a:prstGeom prst="rect">
                          <a:avLst/>
                        </a:prstGeom>
                        <a:noFill/>
                        <a:ln w="6350">
                          <a:noFill/>
                        </a:ln>
                      </wps:spPr>
                      <wps:txbx>
                        <w:txbxContent>
                          <w:p w14:paraId="467BF649" w14:textId="0A8FF361" w:rsidR="00E33453" w:rsidRDefault="005F03E4" w:rsidP="00E33453">
                            <w:pPr>
                              <w:jc w:val="center"/>
                              <w:rPr>
                                <w:i/>
                                <w:color w:val="000000"/>
                                <w:sz w:val="22"/>
                                <w:szCs w:val="22"/>
                              </w:rPr>
                            </w:pPr>
                            <w:r>
                              <w:rPr>
                                <w:i/>
                                <w:color w:val="000000"/>
                                <w:sz w:val="22"/>
                                <w:szCs w:val="22"/>
                              </w:rPr>
                              <w:t xml:space="preserve">Windmeijer Robust </w:t>
                            </w:r>
                            <w:r w:rsidR="00F80BB9">
                              <w:rPr>
                                <w:i/>
                                <w:color w:val="000000"/>
                                <w:sz w:val="22"/>
                                <w:szCs w:val="22"/>
                              </w:rPr>
                              <w:t>Standard errors</w:t>
                            </w:r>
                            <w:r w:rsidR="007A05C1">
                              <w:rPr>
                                <w:i/>
                                <w:color w:val="000000"/>
                                <w:sz w:val="22"/>
                                <w:szCs w:val="22"/>
                              </w:rPr>
                              <w:t xml:space="preserve"> (Windmeijer, 2005)</w:t>
                            </w:r>
                            <w:r w:rsidR="00F80BB9">
                              <w:rPr>
                                <w:i/>
                                <w:color w:val="000000"/>
                                <w:sz w:val="22"/>
                                <w:szCs w:val="22"/>
                              </w:rPr>
                              <w:t xml:space="preserve"> </w:t>
                            </w:r>
                            <w:r w:rsidR="00E33453">
                              <w:rPr>
                                <w:i/>
                                <w:color w:val="000000"/>
                                <w:sz w:val="22"/>
                                <w:szCs w:val="22"/>
                              </w:rPr>
                              <w:t xml:space="preserve">are reported </w:t>
                            </w:r>
                            <w:r w:rsidR="00F80BB9">
                              <w:rPr>
                                <w:i/>
                                <w:color w:val="000000"/>
                                <w:sz w:val="22"/>
                                <w:szCs w:val="22"/>
                              </w:rPr>
                              <w:t xml:space="preserve">in </w:t>
                            </w:r>
                            <w:r w:rsidR="00E33453">
                              <w:rPr>
                                <w:i/>
                                <w:color w:val="000000"/>
                                <w:sz w:val="22"/>
                                <w:szCs w:val="22"/>
                              </w:rPr>
                              <w:t>parentheses.</w:t>
                            </w:r>
                          </w:p>
                          <w:p w14:paraId="0C240274" w14:textId="10A5DF80" w:rsidR="00F80BB9" w:rsidRPr="00D5106F" w:rsidRDefault="00F80BB9" w:rsidP="00E33453">
                            <w:pPr>
                              <w:jc w:val="center"/>
                              <w:rPr>
                                <w:i/>
                                <w:color w:val="000000"/>
                                <w:sz w:val="22"/>
                                <w:szCs w:val="22"/>
                              </w:rPr>
                            </w:pPr>
                            <w:r>
                              <w:rPr>
                                <w:i/>
                                <w:color w:val="000000"/>
                                <w:sz w:val="22"/>
                                <w:szCs w:val="22"/>
                              </w:rPr>
                              <w:t>***p&lt;0.01, **p&lt;0.05, *p&lt;0.1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B2FDC5" id="_x0000_t202" coordsize="21600,21600" o:spt="202" path="m,l,21600r21600,l21600,xe">
                <v:stroke joinstyle="miter"/>
                <v:path gradientshapeok="t" o:connecttype="rect"/>
              </v:shapetype>
              <v:shape id="Text Box 12" o:spid="_x0000_s1026" type="#_x0000_t202" style="position:absolute;left:0;text-align:left;margin-left:2.25pt;margin-top:660.9pt;width:435.75pt;height:3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" filled="f" stroked="f" strokeweight=".5pt">
                <v:textbox>
                  <w:txbxContent>
                    <w:p w14:paraId="467BF649" w14:textId="0A8FF361" w:rsidR="00E33453" w:rsidRDefault="005F03E4" w:rsidP="00E33453">
                      <w:pPr>
                        <w:jc w:val="center"/>
                        <w:rPr>
                          <w:i/>
                          <w:color w:val="000000"/>
                          <w:sz w:val="22"/>
                          <w:szCs w:val="22"/>
                        </w:rPr>
                      </w:pPr>
                      <w:r>
                        <w:rPr>
                          <w:i/>
                          <w:color w:val="000000"/>
                          <w:sz w:val="22"/>
                          <w:szCs w:val="22"/>
                        </w:rPr>
                        <w:t xml:space="preserve">Windmeijer Robust </w:t>
                      </w:r>
                      <w:r w:rsidR="00F80BB9">
                        <w:rPr>
                          <w:i/>
                          <w:color w:val="000000"/>
                          <w:sz w:val="22"/>
                          <w:szCs w:val="22"/>
                        </w:rPr>
                        <w:t>Standard errors</w:t>
                      </w:r>
                      <w:r w:rsidR="007A05C1">
                        <w:rPr>
                          <w:i/>
                          <w:color w:val="000000"/>
                          <w:sz w:val="22"/>
                          <w:szCs w:val="22"/>
                        </w:rPr>
                        <w:t xml:space="preserve"> (Windmeijer, 2005)</w:t>
                      </w:r>
                      <w:r w:rsidR="00F80BB9">
                        <w:rPr>
                          <w:i/>
                          <w:color w:val="000000"/>
                          <w:sz w:val="22"/>
                          <w:szCs w:val="22"/>
                        </w:rPr>
                        <w:t xml:space="preserve"> </w:t>
                      </w:r>
                      <w:r w:rsidR="00E33453">
                        <w:rPr>
                          <w:i/>
                          <w:color w:val="000000"/>
                          <w:sz w:val="22"/>
                          <w:szCs w:val="22"/>
                        </w:rPr>
                        <w:t xml:space="preserve">are reported </w:t>
                      </w:r>
                      <w:r w:rsidR="00F80BB9">
                        <w:rPr>
                          <w:i/>
                          <w:color w:val="000000"/>
                          <w:sz w:val="22"/>
                          <w:szCs w:val="22"/>
                        </w:rPr>
                        <w:t xml:space="preserve">in </w:t>
                      </w:r>
                      <w:r w:rsidR="00E33453">
                        <w:rPr>
                          <w:i/>
                          <w:color w:val="000000"/>
                          <w:sz w:val="22"/>
                          <w:szCs w:val="22"/>
                        </w:rPr>
                        <w:t>parentheses.</w:t>
                      </w:r>
                    </w:p>
                    <w:p w14:paraId="0C240274" w14:textId="10A5DF80" w:rsidR="00F80BB9" w:rsidRPr="00D5106F" w:rsidRDefault="00F80BB9" w:rsidP="00E33453">
                      <w:pPr>
                        <w:jc w:val="center"/>
                        <w:rPr>
                          <w:i/>
                          <w:color w:val="000000"/>
                          <w:sz w:val="22"/>
                          <w:szCs w:val="22"/>
                        </w:rPr>
                      </w:pPr>
                      <w:r>
                        <w:rPr>
                          <w:i/>
                          <w:color w:val="000000"/>
                          <w:sz w:val="22"/>
                          <w:szCs w:val="22"/>
                        </w:rPr>
                        <w:t>***p&lt;0.01, **p&lt;0.05, *p&lt;0.1</w:t>
                      </w:r>
                    </w:p>
                  </w:txbxContent>
                </v:textbox>
                <w10:wrap type="square"/>
              </v:shape>
            </w:pict>
          </mc:Fallback>
        </mc:AlternateContent>
      </w:r>
      <w:r w:rsidR="002752C9">
        <w:rPr>
          <w:noProof/>
        </w:rPr>
        <mc:AlternateContent>
          <mc:Choice Requires="wps">
            <w:drawing>
              <wp:anchor distT="0" distB="0" distL="114300" distR="114300" simplePos="0" relativeHeight="251659264" behindDoc="0" locked="0" layoutInCell="1" allowOverlap="1" wp14:anchorId="2BE8A9F8" wp14:editId="79694011">
                <wp:simplePos x="0" y="0"/>
                <wp:positionH relativeFrom="column">
                  <wp:posOffset>-38100</wp:posOffset>
                </wp:positionH>
                <wp:positionV relativeFrom="paragraph">
                  <wp:posOffset>573182</wp:posOffset>
                </wp:positionV>
                <wp:extent cx="5686425" cy="27622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686425" cy="276225"/>
                        </a:xfrm>
                        <a:prstGeom prst="rect">
                          <a:avLst/>
                        </a:prstGeom>
                        <a:noFill/>
                        <a:ln w="6350">
                          <a:noFill/>
                        </a:ln>
                      </wps:spPr>
                      <wps:txbx>
                        <w:txbxContent>
                          <w:p w14:paraId="7E440815" w14:textId="77777777" w:rsidR="00F80BB9" w:rsidRPr="00411395" w:rsidRDefault="00F80BB9" w:rsidP="00F80BB9">
                            <w:pPr>
                              <w:pBdr>
                                <w:top w:val="nil"/>
                                <w:left w:val="nil"/>
                                <w:bottom w:val="nil"/>
                                <w:right w:val="nil"/>
                                <w:between w:val="nil"/>
                              </w:pBdr>
                              <w:ind w:firstLine="720"/>
                              <w:jc w:val="center"/>
                              <w:rPr>
                                <w:color w:val="000000"/>
                              </w:rPr>
                            </w:pPr>
                            <w:r>
                              <w:rPr>
                                <w:color w:val="000000"/>
                              </w:rPr>
                              <w:t>Table 3: Results of Bank Profitability Analysis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8A9F8" id="Text Box 1" o:spid="_x0000_s1027" type="#_x0000_t202" style="position:absolute;left:0;text-align:left;margin-left:-3pt;margin-top:45.15pt;width:447.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" filled="f" stroked="f" strokeweight=".5pt">
                <v:textbox>
                  <w:txbxContent>
                    <w:p w14:paraId="7E440815" w14:textId="77777777" w:rsidR="00F80BB9" w:rsidRPr="00411395" w:rsidRDefault="00F80BB9" w:rsidP="00F80BB9">
                      <w:pPr>
                        <w:pBdr>
                          <w:top w:val="nil"/>
                          <w:left w:val="nil"/>
                          <w:bottom w:val="nil"/>
                          <w:right w:val="nil"/>
                          <w:between w:val="nil"/>
                        </w:pBdr>
                        <w:ind w:firstLine="720"/>
                        <w:jc w:val="center"/>
                        <w:rPr>
                          <w:color w:val="000000"/>
                        </w:rPr>
                      </w:pPr>
                      <w:r>
                        <w:rPr>
                          <w:color w:val="000000"/>
                        </w:rPr>
                        <w:t>Table 3: Results of Bank Profitability Analysis</w:t>
                      </w:r>
                    </w:p>
                  </w:txbxContent>
                </v:textbox>
                <w10:wrap type="square"/>
              </v:shape>
            </w:pict>
          </mc:Fallback>
        </mc:AlternateContent>
      </w:r>
      <w:r>
        <w:rPr>
          <w:color w:val="000000"/>
        </w:rPr>
        <w:t xml:space="preserve">the competition among banks and lower their profitability. However, as we have seen that the </w:t>
      </w:r>
    </w:p>
    <w:tbl>
      <w:tblPr>
        <w:tblStyle w:val="a1"/>
        <w:tblpPr w:leftFromText="180" w:rightFromText="180" w:vertAnchor="text" w:horzAnchor="margin" w:tblpY="595"/>
        <w:tblW w:w="8784"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2405"/>
        <w:gridCol w:w="2552"/>
        <w:gridCol w:w="1275"/>
        <w:gridCol w:w="1276"/>
        <w:gridCol w:w="1276"/>
      </w:tblGrid>
      <w:tr w:rsidR="00F80BB9" w14:paraId="0C223803" w14:textId="77777777" w:rsidTr="00F80BB9">
        <w:trPr>
          <w:trHeight w:val="145"/>
        </w:trPr>
        <w:tc>
          <w:tcPr>
            <w:tcW w:w="4957" w:type="dxa"/>
            <w:gridSpan w:val="2"/>
            <w:tcBorders>
              <w:top w:val="single" w:sz="4" w:space="0" w:color="000000"/>
              <w:left w:val="single" w:sz="4" w:space="0" w:color="000000"/>
              <w:bottom w:val="single" w:sz="4" w:space="0" w:color="000000"/>
              <w:right w:val="single" w:sz="4" w:space="0" w:color="000000"/>
            </w:tcBorders>
            <w:vAlign w:val="center"/>
          </w:tcPr>
          <w:p w14:paraId="58DE4C74" w14:textId="0B7B2A62" w:rsidR="00F80BB9" w:rsidRDefault="00F80BB9" w:rsidP="00F80BB9">
            <w:pPr>
              <w:rPr>
                <w:b/>
                <w:color w:val="000000"/>
                <w:sz w:val="22"/>
                <w:szCs w:val="22"/>
              </w:rPr>
            </w:pPr>
            <w:r>
              <w:rPr>
                <w:b/>
                <w:color w:val="000000"/>
                <w:sz w:val="22"/>
                <w:szCs w:val="22"/>
              </w:rPr>
              <w:t>Dependant Variable ROAE</w:t>
            </w: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327E251" w14:textId="77777777" w:rsidR="00F80BB9" w:rsidRDefault="00F80BB9" w:rsidP="00F80BB9">
            <w:pPr>
              <w:jc w:val="center"/>
              <w:rPr>
                <w:b/>
                <w:color w:val="000000"/>
                <w:sz w:val="22"/>
                <w:szCs w:val="22"/>
              </w:rPr>
            </w:pPr>
            <w:r>
              <w:rPr>
                <w:b/>
                <w:color w:val="000000"/>
                <w:sz w:val="22"/>
                <w:szCs w:val="22"/>
              </w:rPr>
              <w:t>Profitability Models</w:t>
            </w:r>
          </w:p>
        </w:tc>
      </w:tr>
      <w:tr w:rsidR="00F80BB9" w14:paraId="5D14FB46" w14:textId="77777777" w:rsidTr="00F80BB9">
        <w:trPr>
          <w:trHeight w:val="145"/>
        </w:trPr>
        <w:tc>
          <w:tcPr>
            <w:tcW w:w="2405" w:type="dxa"/>
            <w:tcBorders>
              <w:top w:val="single" w:sz="4" w:space="0" w:color="000000"/>
              <w:left w:val="single" w:sz="4" w:space="0" w:color="000000"/>
              <w:bottom w:val="single" w:sz="4" w:space="0" w:color="000000"/>
              <w:right w:val="single" w:sz="4" w:space="0" w:color="000000"/>
            </w:tcBorders>
            <w:vAlign w:val="center"/>
          </w:tcPr>
          <w:p w14:paraId="17CB84DD" w14:textId="77777777" w:rsidR="00F80BB9" w:rsidRDefault="00F80BB9" w:rsidP="00F80BB9">
            <w:pPr>
              <w:jc w:val="center"/>
              <w:rPr>
                <w:b/>
                <w:color w:val="000000"/>
                <w:sz w:val="22"/>
                <w:szCs w:val="22"/>
              </w:rPr>
            </w:pPr>
            <w:r>
              <w:rPr>
                <w:b/>
                <w:color w:val="000000"/>
                <w:sz w:val="22"/>
                <w:szCs w:val="22"/>
              </w:rPr>
              <w:t>Categories of Determinants</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4C77B" w14:textId="2DE4F854" w:rsidR="00F80BB9" w:rsidRDefault="00F80BB9" w:rsidP="00F80BB9">
            <w:pPr>
              <w:rPr>
                <w:b/>
                <w:color w:val="000000"/>
                <w:sz w:val="22"/>
                <w:szCs w:val="22"/>
              </w:rPr>
            </w:pPr>
            <w:r>
              <w:rPr>
                <w:b/>
                <w:color w:val="000000"/>
                <w:sz w:val="22"/>
                <w:szCs w:val="22"/>
              </w:rPr>
              <w:t>Determinants</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5B88A" w14:textId="77777777" w:rsidR="00F80BB9" w:rsidRDefault="00F80BB9" w:rsidP="00F80BB9">
            <w:pPr>
              <w:jc w:val="center"/>
              <w:rPr>
                <w:b/>
                <w:color w:val="000000"/>
                <w:sz w:val="22"/>
                <w:szCs w:val="22"/>
              </w:rPr>
            </w:pPr>
            <w:r>
              <w:rPr>
                <w:b/>
                <w:color w:val="000000"/>
                <w:sz w:val="22"/>
                <w:szCs w:val="22"/>
              </w:rPr>
              <w:t>Pooled OLS</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54D89" w14:textId="77777777" w:rsidR="00F80BB9" w:rsidRDefault="00F80BB9" w:rsidP="00F80BB9">
            <w:pPr>
              <w:jc w:val="center"/>
              <w:rPr>
                <w:b/>
                <w:color w:val="000000"/>
                <w:sz w:val="22"/>
                <w:szCs w:val="22"/>
              </w:rPr>
            </w:pPr>
            <w:r>
              <w:rPr>
                <w:b/>
                <w:color w:val="000000"/>
                <w:sz w:val="22"/>
                <w:szCs w:val="22"/>
              </w:rPr>
              <w:t>Fixed Effects</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C84F1" w14:textId="77777777" w:rsidR="00F80BB9" w:rsidRDefault="00F80BB9" w:rsidP="00F80BB9">
            <w:pPr>
              <w:jc w:val="center"/>
              <w:rPr>
                <w:b/>
                <w:color w:val="000000"/>
                <w:sz w:val="22"/>
                <w:szCs w:val="22"/>
              </w:rPr>
            </w:pPr>
            <w:r>
              <w:rPr>
                <w:b/>
                <w:color w:val="000000"/>
                <w:sz w:val="22"/>
                <w:szCs w:val="22"/>
              </w:rPr>
              <w:t>System GMM</w:t>
            </w:r>
          </w:p>
        </w:tc>
      </w:tr>
      <w:tr w:rsidR="00F80BB9" w14:paraId="320AD0A9" w14:textId="77777777" w:rsidTr="00F80BB9">
        <w:trPr>
          <w:trHeight w:val="145"/>
        </w:trPr>
        <w:tc>
          <w:tcPr>
            <w:tcW w:w="2405" w:type="dxa"/>
            <w:tcBorders>
              <w:top w:val="single" w:sz="4" w:space="0" w:color="000000"/>
              <w:left w:val="single" w:sz="4" w:space="0" w:color="000000"/>
              <w:bottom w:val="single" w:sz="4" w:space="0" w:color="000000"/>
              <w:right w:val="single" w:sz="4" w:space="0" w:color="000000"/>
            </w:tcBorders>
            <w:vAlign w:val="center"/>
          </w:tcPr>
          <w:p w14:paraId="08F89196" w14:textId="6D4FB30A" w:rsidR="00F80BB9" w:rsidRDefault="00F80BB9" w:rsidP="00F80BB9">
            <w:pPr>
              <w:spacing w:line="276" w:lineRule="auto"/>
              <w:jc w:val="both"/>
              <w:rPr>
                <w:b/>
                <w:color w:val="000000"/>
                <w:sz w:val="22"/>
                <w:szCs w:val="22"/>
              </w:rPr>
            </w:pPr>
            <w:r>
              <w:rPr>
                <w:color w:val="000000"/>
                <w:sz w:val="22"/>
                <w:szCs w:val="22"/>
              </w:rPr>
              <w:t>Profitability Persistency</w:t>
            </w:r>
            <w:r>
              <w:rPr>
                <w:b/>
                <w:color w:val="000000"/>
                <w:sz w:val="22"/>
                <w:szCs w:val="22"/>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2F5E336" w14:textId="77777777" w:rsidR="00F80BB9" w:rsidRPr="00BA1DA0" w:rsidRDefault="009C6D12" w:rsidP="00F80BB9">
            <w:pPr>
              <w:spacing w:line="276" w:lineRule="auto"/>
              <w:rPr>
                <w:b/>
                <w:color w:val="000000"/>
                <w:sz w:val="22"/>
                <w:szCs w:val="22"/>
              </w:rPr>
            </w:pPr>
            <m:oMathPara>
              <m:oMathParaPr>
                <m:jc m:val="left"/>
              </m:oMathParaPr>
              <m:oMath>
                <m:sSub>
                  <m:sSubPr>
                    <m:ctrlPr>
                      <w:rPr>
                        <w:rFonts w:ascii="Cambria Math" w:hAnsi="Cambria Math"/>
                        <w:i/>
                        <w:color w:val="000000"/>
                        <w:sz w:val="22"/>
                        <w:szCs w:val="22"/>
                      </w:rPr>
                    </m:ctrlPr>
                  </m:sSubPr>
                  <m:e>
                    <m:r>
                      <w:rPr>
                        <w:rFonts w:ascii="Cambria Math" w:hAnsi="Cambria Math"/>
                        <w:color w:val="000000"/>
                        <w:sz w:val="22"/>
                        <w:szCs w:val="22"/>
                      </w:rPr>
                      <m:t>ROAE</m:t>
                    </m:r>
                  </m:e>
                  <m:sub>
                    <m:r>
                      <w:rPr>
                        <w:rFonts w:ascii="Cambria Math" w:hAnsi="Cambria Math"/>
                        <w:color w:val="000000"/>
                        <w:sz w:val="22"/>
                        <w:szCs w:val="22"/>
                      </w:rPr>
                      <m:t>t-1</m:t>
                    </m:r>
                  </m:sub>
                </m:sSub>
              </m:oMath>
            </m:oMathPara>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A5F8A" w14:textId="77777777" w:rsidR="00F80BB9" w:rsidRDefault="00F80BB9" w:rsidP="00F80BB9">
            <w:pPr>
              <w:spacing w:line="276" w:lineRule="auto"/>
              <w:jc w:val="center"/>
              <w:rPr>
                <w:color w:val="000000"/>
                <w:sz w:val="22"/>
                <w:szCs w:val="22"/>
              </w:rPr>
            </w:pPr>
            <w:r>
              <w:rPr>
                <w:color w:val="000000"/>
                <w:sz w:val="22"/>
                <w:szCs w:val="22"/>
              </w:rPr>
              <w:t>0.8576***</w:t>
            </w:r>
          </w:p>
          <w:p w14:paraId="04D01192" w14:textId="77777777" w:rsidR="00F80BB9" w:rsidRDefault="00F80BB9" w:rsidP="00F80BB9">
            <w:pPr>
              <w:jc w:val="center"/>
              <w:rPr>
                <w:b/>
                <w:color w:val="000000"/>
                <w:sz w:val="22"/>
                <w:szCs w:val="22"/>
              </w:rPr>
            </w:pPr>
            <w:r>
              <w:rPr>
                <w:color w:val="000000"/>
                <w:sz w:val="22"/>
                <w:szCs w:val="22"/>
              </w:rPr>
              <w:t>(0.102)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D3EB8D3" w14:textId="77777777" w:rsidR="00F80BB9" w:rsidRDefault="00F80BB9" w:rsidP="00F80BB9">
            <w:pPr>
              <w:spacing w:line="276" w:lineRule="auto"/>
              <w:jc w:val="center"/>
              <w:rPr>
                <w:color w:val="000000"/>
                <w:sz w:val="22"/>
                <w:szCs w:val="22"/>
              </w:rPr>
            </w:pPr>
            <w:r>
              <w:rPr>
                <w:color w:val="000000"/>
                <w:sz w:val="22"/>
                <w:szCs w:val="22"/>
              </w:rPr>
              <w:t>0.4191***</w:t>
            </w:r>
          </w:p>
          <w:p w14:paraId="2A4545A1" w14:textId="77777777" w:rsidR="00F80BB9" w:rsidRDefault="00F80BB9" w:rsidP="00F80BB9">
            <w:pPr>
              <w:jc w:val="center"/>
              <w:rPr>
                <w:b/>
                <w:color w:val="000000"/>
                <w:sz w:val="22"/>
                <w:szCs w:val="22"/>
              </w:rPr>
            </w:pPr>
            <w:r>
              <w:rPr>
                <w:color w:val="000000"/>
                <w:sz w:val="22"/>
                <w:szCs w:val="22"/>
              </w:rPr>
              <w:t>(0.103)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CF633" w14:textId="77777777" w:rsidR="00F80BB9" w:rsidRDefault="00F80BB9" w:rsidP="00F80BB9">
            <w:pPr>
              <w:spacing w:line="276" w:lineRule="auto"/>
              <w:jc w:val="center"/>
              <w:rPr>
                <w:color w:val="000000"/>
                <w:sz w:val="22"/>
                <w:szCs w:val="22"/>
              </w:rPr>
            </w:pPr>
            <w:r>
              <w:rPr>
                <w:color w:val="000000"/>
                <w:sz w:val="22"/>
                <w:szCs w:val="22"/>
              </w:rPr>
              <w:t>0.5280***</w:t>
            </w:r>
          </w:p>
          <w:p w14:paraId="40CDCBA8" w14:textId="77777777" w:rsidR="00F80BB9" w:rsidRDefault="00F80BB9" w:rsidP="00F80BB9">
            <w:pPr>
              <w:jc w:val="center"/>
              <w:rPr>
                <w:b/>
                <w:color w:val="000000"/>
                <w:sz w:val="22"/>
                <w:szCs w:val="22"/>
              </w:rPr>
            </w:pPr>
            <w:r>
              <w:rPr>
                <w:color w:val="000000"/>
                <w:sz w:val="22"/>
                <w:szCs w:val="22"/>
              </w:rPr>
              <w:t>(0.1618)</w:t>
            </w:r>
          </w:p>
        </w:tc>
      </w:tr>
      <w:tr w:rsidR="00F80BB9" w14:paraId="2B9BC8EA" w14:textId="77777777" w:rsidTr="00F80BB9">
        <w:trPr>
          <w:trHeight w:val="145"/>
        </w:trPr>
        <w:tc>
          <w:tcPr>
            <w:tcW w:w="2405" w:type="dxa"/>
            <w:vMerge w:val="restart"/>
            <w:tcBorders>
              <w:top w:val="single" w:sz="4" w:space="0" w:color="000000"/>
              <w:left w:val="single" w:sz="4" w:space="0" w:color="000000"/>
              <w:bottom w:val="single" w:sz="4" w:space="0" w:color="000000"/>
              <w:right w:val="single" w:sz="4" w:space="0" w:color="000000"/>
            </w:tcBorders>
            <w:vAlign w:val="center"/>
          </w:tcPr>
          <w:p w14:paraId="63F3BB0F" w14:textId="77777777" w:rsidR="00F80BB9" w:rsidRDefault="00F80BB9" w:rsidP="00F80BB9">
            <w:pPr>
              <w:pBdr>
                <w:top w:val="nil"/>
                <w:left w:val="nil"/>
                <w:bottom w:val="nil"/>
                <w:right w:val="nil"/>
                <w:between w:val="nil"/>
              </w:pBdr>
              <w:spacing w:before="120" w:after="40" w:line="360" w:lineRule="auto"/>
              <w:rPr>
                <w:color w:val="000000"/>
              </w:rPr>
            </w:pPr>
            <w:r>
              <w:rPr>
                <w:color w:val="000000"/>
                <w:sz w:val="22"/>
                <w:szCs w:val="22"/>
              </w:rPr>
              <w:t>Explanatory Variables</w:t>
            </w:r>
          </w:p>
          <w:p w14:paraId="185C1C39" w14:textId="3AA4F914" w:rsidR="00F80BB9" w:rsidRDefault="00F80BB9" w:rsidP="00F80BB9">
            <w:pPr>
              <w:jc w:val="right"/>
              <w:rPr>
                <w:color w:val="000000"/>
                <w:sz w:val="22"/>
                <w:szCs w:val="22"/>
              </w:rPr>
            </w:pPr>
          </w:p>
        </w:tc>
        <w:tc>
          <w:tcPr>
            <w:tcW w:w="2552" w:type="dxa"/>
            <w:tcBorders>
              <w:top w:val="nil"/>
              <w:left w:val="single" w:sz="4" w:space="0" w:color="000000"/>
              <w:bottom w:val="nil"/>
              <w:right w:val="single" w:sz="4" w:space="0" w:color="000000"/>
            </w:tcBorders>
            <w:shd w:val="clear" w:color="auto" w:fill="auto"/>
          </w:tcPr>
          <w:p w14:paraId="20B36E28" w14:textId="77777777" w:rsidR="00F80BB9" w:rsidRPr="00D3061C" w:rsidRDefault="009C6D12" w:rsidP="00F80BB9">
            <w:pPr>
              <w:spacing w:line="276" w:lineRule="auto"/>
              <w:jc w:val="both"/>
              <w:rPr>
                <w:color w:val="000000"/>
                <w:sz w:val="22"/>
                <w:szCs w:val="22"/>
              </w:rPr>
            </w:pPr>
            <m:oMathPara>
              <m:oMathParaPr>
                <m:jc m:val="left"/>
              </m:oMathParaPr>
              <m:oMath>
                <m:sSub>
                  <m:sSubPr>
                    <m:ctrlPr>
                      <w:rPr>
                        <w:rFonts w:ascii="Cambria Math" w:hAnsi="Cambria Math"/>
                        <w:i/>
                        <w:color w:val="000000"/>
                        <w:sz w:val="22"/>
                        <w:szCs w:val="22"/>
                      </w:rPr>
                    </m:ctrlPr>
                  </m:sSubPr>
                  <m:e>
                    <m:r>
                      <w:rPr>
                        <w:rFonts w:ascii="Cambria Math" w:hAnsi="Cambria Math"/>
                        <w:color w:val="000000"/>
                        <w:sz w:val="22"/>
                        <w:szCs w:val="22"/>
                      </w:rPr>
                      <m:t>Foreign Banks</m:t>
                    </m:r>
                  </m:e>
                  <m:sub>
                    <m:r>
                      <w:rPr>
                        <w:rFonts w:ascii="Cambria Math" w:hAnsi="Cambria Math"/>
                        <w:color w:val="000000"/>
                        <w:sz w:val="22"/>
                        <w:szCs w:val="22"/>
                      </w:rPr>
                      <m:t>it</m:t>
                    </m:r>
                  </m:sub>
                </m:sSub>
              </m:oMath>
            </m:oMathPara>
          </w:p>
        </w:tc>
        <w:tc>
          <w:tcPr>
            <w:tcW w:w="1275" w:type="dxa"/>
            <w:tcBorders>
              <w:top w:val="nil"/>
              <w:left w:val="single" w:sz="4" w:space="0" w:color="000000"/>
              <w:bottom w:val="nil"/>
              <w:right w:val="single" w:sz="4" w:space="0" w:color="000000"/>
            </w:tcBorders>
            <w:shd w:val="clear" w:color="auto" w:fill="auto"/>
            <w:vAlign w:val="center"/>
          </w:tcPr>
          <w:p w14:paraId="1E95B7E5" w14:textId="77777777" w:rsidR="00F80BB9" w:rsidRDefault="00F80BB9" w:rsidP="00F80BB9">
            <w:pPr>
              <w:spacing w:line="276" w:lineRule="auto"/>
              <w:jc w:val="center"/>
              <w:rPr>
                <w:color w:val="000000"/>
                <w:sz w:val="22"/>
                <w:szCs w:val="22"/>
              </w:rPr>
            </w:pPr>
            <w:r>
              <w:rPr>
                <w:color w:val="000000"/>
                <w:sz w:val="22"/>
                <w:szCs w:val="22"/>
              </w:rPr>
              <w:t>-0.34687</w:t>
            </w:r>
          </w:p>
          <w:p w14:paraId="70BC8AFB" w14:textId="77777777" w:rsidR="00F80BB9" w:rsidRDefault="00F80BB9" w:rsidP="00F80BB9">
            <w:pPr>
              <w:spacing w:line="276" w:lineRule="auto"/>
              <w:jc w:val="center"/>
              <w:rPr>
                <w:color w:val="000000"/>
                <w:sz w:val="22"/>
                <w:szCs w:val="22"/>
              </w:rPr>
            </w:pPr>
            <w:r>
              <w:rPr>
                <w:color w:val="000000"/>
                <w:sz w:val="22"/>
                <w:szCs w:val="22"/>
              </w:rPr>
              <w:t>(0.3916)</w:t>
            </w:r>
          </w:p>
        </w:tc>
        <w:tc>
          <w:tcPr>
            <w:tcW w:w="1276" w:type="dxa"/>
            <w:tcBorders>
              <w:top w:val="nil"/>
              <w:left w:val="single" w:sz="4" w:space="0" w:color="000000"/>
              <w:bottom w:val="nil"/>
              <w:right w:val="single" w:sz="4" w:space="0" w:color="000000"/>
            </w:tcBorders>
            <w:shd w:val="clear" w:color="auto" w:fill="auto"/>
          </w:tcPr>
          <w:p w14:paraId="0C2CA145" w14:textId="77777777" w:rsidR="00F80BB9" w:rsidRDefault="00F80BB9" w:rsidP="00F80BB9">
            <w:pPr>
              <w:spacing w:line="276" w:lineRule="auto"/>
              <w:jc w:val="center"/>
              <w:rPr>
                <w:color w:val="000000"/>
                <w:sz w:val="22"/>
                <w:szCs w:val="22"/>
              </w:rPr>
            </w:pPr>
            <w:r>
              <w:rPr>
                <w:sz w:val="22"/>
                <w:szCs w:val="22"/>
              </w:rPr>
              <w:t>Omitted</w:t>
            </w:r>
          </w:p>
        </w:tc>
        <w:tc>
          <w:tcPr>
            <w:tcW w:w="1276" w:type="dxa"/>
            <w:tcBorders>
              <w:top w:val="nil"/>
              <w:left w:val="single" w:sz="4" w:space="0" w:color="000000"/>
              <w:bottom w:val="nil"/>
              <w:right w:val="single" w:sz="4" w:space="0" w:color="000000"/>
            </w:tcBorders>
            <w:shd w:val="clear" w:color="auto" w:fill="auto"/>
            <w:vAlign w:val="center"/>
          </w:tcPr>
          <w:p w14:paraId="27337EB4" w14:textId="77777777" w:rsidR="00F80BB9" w:rsidRDefault="00F80BB9" w:rsidP="00F80BB9">
            <w:pPr>
              <w:spacing w:line="276" w:lineRule="auto"/>
              <w:jc w:val="center"/>
              <w:rPr>
                <w:color w:val="000000"/>
                <w:sz w:val="22"/>
                <w:szCs w:val="22"/>
              </w:rPr>
            </w:pPr>
            <w:r>
              <w:rPr>
                <w:color w:val="000000"/>
                <w:sz w:val="22"/>
                <w:szCs w:val="22"/>
              </w:rPr>
              <w:t>-7.2543</w:t>
            </w:r>
          </w:p>
          <w:p w14:paraId="7D90806D" w14:textId="77777777" w:rsidR="00F80BB9" w:rsidRDefault="00F80BB9" w:rsidP="00F80BB9">
            <w:pPr>
              <w:spacing w:line="276" w:lineRule="auto"/>
              <w:jc w:val="center"/>
              <w:rPr>
                <w:color w:val="000000"/>
                <w:sz w:val="22"/>
                <w:szCs w:val="22"/>
              </w:rPr>
            </w:pPr>
            <w:r>
              <w:rPr>
                <w:color w:val="000000"/>
                <w:sz w:val="22"/>
                <w:szCs w:val="22"/>
              </w:rPr>
              <w:t>(28.7897)</w:t>
            </w:r>
          </w:p>
        </w:tc>
      </w:tr>
      <w:tr w:rsidR="00F80BB9" w14:paraId="6B6139C9" w14:textId="77777777" w:rsidTr="00F80BB9">
        <w:trPr>
          <w:trHeight w:val="145"/>
        </w:trPr>
        <w:tc>
          <w:tcPr>
            <w:tcW w:w="2405" w:type="dxa"/>
            <w:vMerge/>
            <w:tcBorders>
              <w:top w:val="single" w:sz="4" w:space="0" w:color="000000"/>
              <w:left w:val="single" w:sz="4" w:space="0" w:color="000000"/>
              <w:bottom w:val="single" w:sz="4" w:space="0" w:color="000000"/>
              <w:right w:val="single" w:sz="4" w:space="0" w:color="000000"/>
            </w:tcBorders>
            <w:vAlign w:val="center"/>
          </w:tcPr>
          <w:p w14:paraId="12778177" w14:textId="77777777" w:rsidR="00F80BB9" w:rsidRDefault="00F80BB9" w:rsidP="00F80BB9">
            <w:pPr>
              <w:widowControl w:val="0"/>
              <w:pBdr>
                <w:top w:val="nil"/>
                <w:left w:val="nil"/>
                <w:bottom w:val="nil"/>
                <w:right w:val="nil"/>
                <w:between w:val="nil"/>
              </w:pBdr>
              <w:spacing w:line="276" w:lineRule="auto"/>
              <w:rPr>
                <w:color w:val="000000"/>
                <w:sz w:val="22"/>
                <w:szCs w:val="22"/>
              </w:rPr>
            </w:pPr>
          </w:p>
        </w:tc>
        <w:tc>
          <w:tcPr>
            <w:tcW w:w="2552" w:type="dxa"/>
            <w:tcBorders>
              <w:top w:val="nil"/>
              <w:left w:val="single" w:sz="4" w:space="0" w:color="000000"/>
              <w:bottom w:val="nil"/>
              <w:right w:val="single" w:sz="4" w:space="0" w:color="000000"/>
            </w:tcBorders>
            <w:shd w:val="clear" w:color="auto" w:fill="auto"/>
          </w:tcPr>
          <w:p w14:paraId="0DAE7E83" w14:textId="77777777" w:rsidR="00F80BB9" w:rsidRPr="00D3061C" w:rsidRDefault="009C6D12" w:rsidP="00F80BB9">
            <w:pPr>
              <w:spacing w:line="276" w:lineRule="auto"/>
              <w:jc w:val="both"/>
              <w:rPr>
                <w:color w:val="000000"/>
                <w:sz w:val="22"/>
                <w:szCs w:val="22"/>
              </w:rPr>
            </w:pPr>
            <m:oMathPara>
              <m:oMathParaPr>
                <m:jc m:val="left"/>
              </m:oMathParaPr>
              <m:oMath>
                <m:sSub>
                  <m:sSubPr>
                    <m:ctrlPr>
                      <w:rPr>
                        <w:rFonts w:ascii="Cambria Math" w:hAnsi="Cambria Math"/>
                        <w:i/>
                        <w:color w:val="000000"/>
                        <w:sz w:val="22"/>
                        <w:szCs w:val="22"/>
                      </w:rPr>
                    </m:ctrlPr>
                  </m:sSubPr>
                  <m:e>
                    <m:r>
                      <w:rPr>
                        <w:rFonts w:ascii="Cambria Math" w:hAnsi="Cambria Math"/>
                        <w:color w:val="000000"/>
                        <w:sz w:val="22"/>
                        <w:szCs w:val="22"/>
                      </w:rPr>
                      <m:t>Listed Banks</m:t>
                    </m:r>
                  </m:e>
                  <m:sub>
                    <m:r>
                      <w:rPr>
                        <w:rFonts w:ascii="Cambria Math" w:hAnsi="Cambria Math"/>
                        <w:color w:val="000000"/>
                        <w:sz w:val="22"/>
                        <w:szCs w:val="22"/>
                      </w:rPr>
                      <m:t>it</m:t>
                    </m:r>
                  </m:sub>
                </m:sSub>
              </m:oMath>
            </m:oMathPara>
          </w:p>
        </w:tc>
        <w:tc>
          <w:tcPr>
            <w:tcW w:w="1275" w:type="dxa"/>
            <w:tcBorders>
              <w:top w:val="nil"/>
              <w:left w:val="single" w:sz="4" w:space="0" w:color="000000"/>
              <w:bottom w:val="nil"/>
              <w:right w:val="single" w:sz="4" w:space="0" w:color="000000"/>
            </w:tcBorders>
            <w:shd w:val="clear" w:color="auto" w:fill="auto"/>
            <w:vAlign w:val="center"/>
          </w:tcPr>
          <w:p w14:paraId="7A38179E" w14:textId="77777777" w:rsidR="00F80BB9" w:rsidRDefault="00F80BB9" w:rsidP="00F80BB9">
            <w:pPr>
              <w:spacing w:line="276" w:lineRule="auto"/>
              <w:jc w:val="center"/>
              <w:rPr>
                <w:color w:val="000000"/>
                <w:sz w:val="22"/>
                <w:szCs w:val="22"/>
              </w:rPr>
            </w:pPr>
            <w:r>
              <w:rPr>
                <w:color w:val="000000"/>
                <w:sz w:val="22"/>
                <w:szCs w:val="22"/>
              </w:rPr>
              <w:t>0.0959</w:t>
            </w:r>
          </w:p>
          <w:p w14:paraId="54EEF2CC" w14:textId="77777777" w:rsidR="00F80BB9" w:rsidRDefault="00F80BB9" w:rsidP="00F80BB9">
            <w:pPr>
              <w:spacing w:line="276" w:lineRule="auto"/>
              <w:jc w:val="center"/>
              <w:rPr>
                <w:color w:val="000000"/>
                <w:sz w:val="22"/>
                <w:szCs w:val="22"/>
              </w:rPr>
            </w:pPr>
            <w:r>
              <w:rPr>
                <w:color w:val="000000"/>
                <w:sz w:val="22"/>
                <w:szCs w:val="22"/>
              </w:rPr>
              <w:t>(0.2896)</w:t>
            </w:r>
          </w:p>
        </w:tc>
        <w:tc>
          <w:tcPr>
            <w:tcW w:w="1276" w:type="dxa"/>
            <w:tcBorders>
              <w:top w:val="nil"/>
              <w:left w:val="single" w:sz="4" w:space="0" w:color="000000"/>
              <w:bottom w:val="nil"/>
              <w:right w:val="single" w:sz="4" w:space="0" w:color="000000"/>
            </w:tcBorders>
            <w:shd w:val="clear" w:color="auto" w:fill="auto"/>
          </w:tcPr>
          <w:p w14:paraId="6DE55340" w14:textId="77777777" w:rsidR="00F80BB9" w:rsidRDefault="00F80BB9" w:rsidP="00F80BB9">
            <w:pPr>
              <w:spacing w:line="276" w:lineRule="auto"/>
              <w:jc w:val="center"/>
              <w:rPr>
                <w:color w:val="000000"/>
                <w:sz w:val="22"/>
                <w:szCs w:val="22"/>
              </w:rPr>
            </w:pPr>
            <w:r>
              <w:rPr>
                <w:sz w:val="22"/>
                <w:szCs w:val="22"/>
              </w:rPr>
              <w:t>Omitted</w:t>
            </w:r>
          </w:p>
        </w:tc>
        <w:tc>
          <w:tcPr>
            <w:tcW w:w="1276" w:type="dxa"/>
            <w:tcBorders>
              <w:top w:val="nil"/>
              <w:left w:val="single" w:sz="4" w:space="0" w:color="000000"/>
              <w:bottom w:val="nil"/>
              <w:right w:val="single" w:sz="4" w:space="0" w:color="000000"/>
            </w:tcBorders>
            <w:shd w:val="clear" w:color="auto" w:fill="auto"/>
            <w:vAlign w:val="center"/>
          </w:tcPr>
          <w:p w14:paraId="11B7A19C" w14:textId="77777777" w:rsidR="00F80BB9" w:rsidRDefault="00F80BB9" w:rsidP="00F80BB9">
            <w:pPr>
              <w:spacing w:line="276" w:lineRule="auto"/>
              <w:jc w:val="center"/>
              <w:rPr>
                <w:color w:val="000000"/>
                <w:sz w:val="22"/>
                <w:szCs w:val="22"/>
              </w:rPr>
            </w:pPr>
            <w:r>
              <w:rPr>
                <w:color w:val="000000"/>
                <w:sz w:val="22"/>
                <w:szCs w:val="22"/>
              </w:rPr>
              <w:t>37.572</w:t>
            </w:r>
          </w:p>
          <w:p w14:paraId="4CBF8BC1" w14:textId="77777777" w:rsidR="00F80BB9" w:rsidRDefault="00F80BB9" w:rsidP="00F80BB9">
            <w:pPr>
              <w:spacing w:line="276" w:lineRule="auto"/>
              <w:jc w:val="center"/>
              <w:rPr>
                <w:color w:val="000000"/>
                <w:sz w:val="22"/>
                <w:szCs w:val="22"/>
              </w:rPr>
            </w:pPr>
            <w:r>
              <w:rPr>
                <w:color w:val="000000"/>
                <w:sz w:val="22"/>
                <w:szCs w:val="22"/>
              </w:rPr>
              <w:t>(38.8472)</w:t>
            </w:r>
          </w:p>
        </w:tc>
      </w:tr>
      <w:tr w:rsidR="00F80BB9" w14:paraId="51C42A4F" w14:textId="77777777" w:rsidTr="00F80BB9">
        <w:trPr>
          <w:trHeight w:val="145"/>
        </w:trPr>
        <w:tc>
          <w:tcPr>
            <w:tcW w:w="2405" w:type="dxa"/>
            <w:vMerge/>
            <w:tcBorders>
              <w:top w:val="single" w:sz="4" w:space="0" w:color="000000"/>
              <w:left w:val="single" w:sz="4" w:space="0" w:color="000000"/>
              <w:bottom w:val="single" w:sz="4" w:space="0" w:color="000000"/>
              <w:right w:val="single" w:sz="4" w:space="0" w:color="000000"/>
            </w:tcBorders>
            <w:vAlign w:val="center"/>
          </w:tcPr>
          <w:p w14:paraId="0BF2C996" w14:textId="77777777" w:rsidR="00F80BB9" w:rsidRDefault="00F80BB9" w:rsidP="00F80BB9">
            <w:pPr>
              <w:widowControl w:val="0"/>
              <w:pBdr>
                <w:top w:val="nil"/>
                <w:left w:val="nil"/>
                <w:bottom w:val="nil"/>
                <w:right w:val="nil"/>
                <w:between w:val="nil"/>
              </w:pBdr>
              <w:spacing w:line="276" w:lineRule="auto"/>
              <w:rPr>
                <w:color w:val="000000"/>
                <w:sz w:val="22"/>
                <w:szCs w:val="22"/>
              </w:rPr>
            </w:pPr>
          </w:p>
        </w:tc>
        <w:tc>
          <w:tcPr>
            <w:tcW w:w="2552" w:type="dxa"/>
            <w:tcBorders>
              <w:top w:val="nil"/>
              <w:left w:val="single" w:sz="4" w:space="0" w:color="000000"/>
              <w:bottom w:val="single" w:sz="4" w:space="0" w:color="000000"/>
              <w:right w:val="single" w:sz="4" w:space="0" w:color="000000"/>
            </w:tcBorders>
            <w:shd w:val="clear" w:color="auto" w:fill="auto"/>
          </w:tcPr>
          <w:p w14:paraId="7C2C32D1" w14:textId="77777777" w:rsidR="00F80BB9" w:rsidRPr="00D3061C" w:rsidRDefault="009C6D12" w:rsidP="00F80BB9">
            <w:pPr>
              <w:spacing w:line="276" w:lineRule="auto"/>
              <w:jc w:val="both"/>
              <w:rPr>
                <w:color w:val="000000"/>
                <w:sz w:val="22"/>
                <w:szCs w:val="22"/>
              </w:rPr>
            </w:pPr>
            <m:oMathPara>
              <m:oMathParaPr>
                <m:jc m:val="left"/>
              </m:oMathParaPr>
              <m:oMath>
                <m:sSub>
                  <m:sSubPr>
                    <m:ctrlPr>
                      <w:rPr>
                        <w:rFonts w:ascii="Cambria Math" w:hAnsi="Cambria Math"/>
                        <w:i/>
                        <w:color w:val="000000"/>
                        <w:sz w:val="22"/>
                        <w:szCs w:val="22"/>
                      </w:rPr>
                    </m:ctrlPr>
                  </m:sSubPr>
                  <m:e>
                    <m:r>
                      <w:rPr>
                        <w:rFonts w:ascii="Cambria Math" w:hAnsi="Cambria Math"/>
                        <w:color w:val="000000"/>
                        <w:sz w:val="22"/>
                        <w:szCs w:val="22"/>
                      </w:rPr>
                      <m:t>Cost Efficiency</m:t>
                    </m:r>
                  </m:e>
                  <m:sub>
                    <m:r>
                      <w:rPr>
                        <w:rFonts w:ascii="Cambria Math" w:hAnsi="Cambria Math"/>
                        <w:color w:val="000000"/>
                        <w:sz w:val="22"/>
                        <w:szCs w:val="22"/>
                      </w:rPr>
                      <m:t>it</m:t>
                    </m:r>
                  </m:sub>
                </m:sSub>
              </m:oMath>
            </m:oMathPara>
          </w:p>
        </w:tc>
        <w:tc>
          <w:tcPr>
            <w:tcW w:w="1275" w:type="dxa"/>
            <w:tcBorders>
              <w:top w:val="nil"/>
              <w:left w:val="single" w:sz="4" w:space="0" w:color="000000"/>
              <w:bottom w:val="single" w:sz="4" w:space="0" w:color="000000"/>
              <w:right w:val="single" w:sz="4" w:space="0" w:color="000000"/>
            </w:tcBorders>
            <w:shd w:val="clear" w:color="auto" w:fill="auto"/>
            <w:vAlign w:val="center"/>
          </w:tcPr>
          <w:p w14:paraId="46A66606" w14:textId="77777777" w:rsidR="00F80BB9" w:rsidRDefault="00F80BB9" w:rsidP="00F80BB9">
            <w:pPr>
              <w:spacing w:line="276" w:lineRule="auto"/>
              <w:jc w:val="center"/>
              <w:rPr>
                <w:color w:val="000000"/>
                <w:sz w:val="22"/>
                <w:szCs w:val="22"/>
              </w:rPr>
            </w:pPr>
            <w:r>
              <w:rPr>
                <w:color w:val="000000"/>
                <w:sz w:val="22"/>
                <w:szCs w:val="22"/>
              </w:rPr>
              <w:t>0.0272</w:t>
            </w:r>
          </w:p>
          <w:p w14:paraId="78A4D5CF" w14:textId="77777777" w:rsidR="00F80BB9" w:rsidRDefault="00F80BB9" w:rsidP="00F80BB9">
            <w:pPr>
              <w:spacing w:line="276" w:lineRule="auto"/>
              <w:jc w:val="center"/>
              <w:rPr>
                <w:color w:val="000000"/>
                <w:sz w:val="22"/>
                <w:szCs w:val="22"/>
              </w:rPr>
            </w:pPr>
            <w:r>
              <w:rPr>
                <w:color w:val="000000"/>
                <w:sz w:val="22"/>
                <w:szCs w:val="22"/>
              </w:rPr>
              <w:t>(0.027)</w:t>
            </w:r>
          </w:p>
        </w:tc>
        <w:tc>
          <w:tcPr>
            <w:tcW w:w="1276" w:type="dxa"/>
            <w:tcBorders>
              <w:top w:val="nil"/>
              <w:left w:val="single" w:sz="4" w:space="0" w:color="000000"/>
              <w:bottom w:val="single" w:sz="4" w:space="0" w:color="000000"/>
              <w:right w:val="single" w:sz="4" w:space="0" w:color="000000"/>
            </w:tcBorders>
            <w:shd w:val="clear" w:color="auto" w:fill="auto"/>
          </w:tcPr>
          <w:p w14:paraId="66AB5A09" w14:textId="77777777" w:rsidR="00F80BB9" w:rsidRDefault="00F80BB9" w:rsidP="00F80BB9">
            <w:pPr>
              <w:spacing w:line="276" w:lineRule="auto"/>
              <w:jc w:val="center"/>
              <w:rPr>
                <w:color w:val="000000"/>
                <w:sz w:val="22"/>
                <w:szCs w:val="22"/>
              </w:rPr>
            </w:pPr>
            <w:r>
              <w:rPr>
                <w:color w:val="000000"/>
                <w:sz w:val="22"/>
                <w:szCs w:val="22"/>
              </w:rPr>
              <w:t>0.007</w:t>
            </w:r>
          </w:p>
          <w:p w14:paraId="56AA0494" w14:textId="77777777" w:rsidR="00F80BB9" w:rsidRDefault="00F80BB9" w:rsidP="00F80BB9">
            <w:pPr>
              <w:spacing w:line="276" w:lineRule="auto"/>
              <w:jc w:val="center"/>
              <w:rPr>
                <w:color w:val="000000"/>
                <w:sz w:val="22"/>
                <w:szCs w:val="22"/>
              </w:rPr>
            </w:pPr>
            <w:r>
              <w:rPr>
                <w:color w:val="000000"/>
                <w:sz w:val="22"/>
                <w:szCs w:val="22"/>
              </w:rPr>
              <w:t>(0.057)</w:t>
            </w:r>
          </w:p>
        </w:tc>
        <w:tc>
          <w:tcPr>
            <w:tcW w:w="1276" w:type="dxa"/>
            <w:tcBorders>
              <w:top w:val="nil"/>
              <w:left w:val="single" w:sz="4" w:space="0" w:color="000000"/>
              <w:bottom w:val="single" w:sz="4" w:space="0" w:color="000000"/>
            </w:tcBorders>
            <w:shd w:val="clear" w:color="auto" w:fill="auto"/>
            <w:vAlign w:val="center"/>
          </w:tcPr>
          <w:p w14:paraId="537E7E87" w14:textId="77777777" w:rsidR="00F80BB9" w:rsidRDefault="00F80BB9" w:rsidP="00F80BB9">
            <w:pPr>
              <w:spacing w:line="276" w:lineRule="auto"/>
              <w:jc w:val="center"/>
              <w:rPr>
                <w:color w:val="000000"/>
                <w:sz w:val="22"/>
                <w:szCs w:val="22"/>
              </w:rPr>
            </w:pPr>
            <w:r>
              <w:rPr>
                <w:color w:val="000000"/>
                <w:sz w:val="22"/>
                <w:szCs w:val="22"/>
              </w:rPr>
              <w:t>0.6689</w:t>
            </w:r>
          </w:p>
          <w:p w14:paraId="36C8D5F0" w14:textId="77777777" w:rsidR="00F80BB9" w:rsidRDefault="00F80BB9" w:rsidP="00F80BB9">
            <w:pPr>
              <w:spacing w:line="276" w:lineRule="auto"/>
              <w:jc w:val="center"/>
              <w:rPr>
                <w:color w:val="000000"/>
                <w:sz w:val="22"/>
                <w:szCs w:val="22"/>
              </w:rPr>
            </w:pPr>
            <w:r>
              <w:rPr>
                <w:color w:val="000000"/>
                <w:sz w:val="22"/>
                <w:szCs w:val="22"/>
              </w:rPr>
              <w:t>(0.65202)</w:t>
            </w:r>
          </w:p>
        </w:tc>
      </w:tr>
      <w:tr w:rsidR="00F80BB9" w14:paraId="6F6C5B08" w14:textId="77777777" w:rsidTr="00F80BB9">
        <w:trPr>
          <w:trHeight w:val="145"/>
        </w:trPr>
        <w:tc>
          <w:tcPr>
            <w:tcW w:w="2405" w:type="dxa"/>
            <w:vMerge w:val="restart"/>
            <w:tcBorders>
              <w:top w:val="single" w:sz="4" w:space="0" w:color="000000"/>
              <w:left w:val="single" w:sz="4" w:space="0" w:color="000000"/>
              <w:right w:val="single" w:sz="4" w:space="0" w:color="000000"/>
            </w:tcBorders>
            <w:vAlign w:val="center"/>
          </w:tcPr>
          <w:p w14:paraId="6D97F588" w14:textId="0E9C00F0" w:rsidR="00F80BB9" w:rsidRDefault="00F80BB9" w:rsidP="00F80BB9">
            <w:pPr>
              <w:rPr>
                <w:color w:val="000000"/>
                <w:sz w:val="22"/>
                <w:szCs w:val="22"/>
              </w:rPr>
            </w:pPr>
            <w:r>
              <w:rPr>
                <w:color w:val="000000"/>
                <w:sz w:val="22"/>
                <w:szCs w:val="22"/>
              </w:rPr>
              <w:t>Bank-Specific, Industry-Specific, and Macroeconomic Control Variables influencing Bank Profitability</w:t>
            </w:r>
          </w:p>
        </w:tc>
        <w:tc>
          <w:tcPr>
            <w:tcW w:w="2552" w:type="dxa"/>
            <w:tcBorders>
              <w:top w:val="single" w:sz="4" w:space="0" w:color="000000"/>
              <w:bottom w:val="nil"/>
              <w:right w:val="single" w:sz="4" w:space="0" w:color="000000"/>
            </w:tcBorders>
            <w:shd w:val="clear" w:color="auto" w:fill="auto"/>
          </w:tcPr>
          <w:p w14:paraId="79B364A1" w14:textId="77777777" w:rsidR="00F80BB9" w:rsidRPr="00D3061C" w:rsidRDefault="009C6D12" w:rsidP="00F80BB9">
            <w:pPr>
              <w:spacing w:line="276" w:lineRule="auto"/>
              <w:jc w:val="both"/>
              <w:rPr>
                <w:color w:val="000000"/>
                <w:sz w:val="22"/>
                <w:szCs w:val="22"/>
              </w:rPr>
            </w:pPr>
            <m:oMathPara>
              <m:oMathParaPr>
                <m:jc m:val="left"/>
              </m:oMathParaPr>
              <m:oMath>
                <m:sSub>
                  <m:sSubPr>
                    <m:ctrlPr>
                      <w:rPr>
                        <w:rFonts w:ascii="Cambria Math" w:hAnsi="Cambria Math"/>
                        <w:i/>
                        <w:color w:val="000000"/>
                        <w:sz w:val="22"/>
                        <w:szCs w:val="22"/>
                      </w:rPr>
                    </m:ctrlPr>
                  </m:sSubPr>
                  <m:e>
                    <m:r>
                      <w:rPr>
                        <w:rFonts w:ascii="Cambria Math" w:hAnsi="Cambria Math"/>
                        <w:color w:val="000000"/>
                        <w:sz w:val="22"/>
                        <w:szCs w:val="22"/>
                      </w:rPr>
                      <m:t>Commercial Banks</m:t>
                    </m:r>
                  </m:e>
                  <m:sub>
                    <m:r>
                      <w:rPr>
                        <w:rFonts w:ascii="Cambria Math" w:hAnsi="Cambria Math"/>
                        <w:color w:val="000000"/>
                        <w:sz w:val="22"/>
                        <w:szCs w:val="22"/>
                      </w:rPr>
                      <m:t>it</m:t>
                    </m:r>
                  </m:sub>
                </m:sSub>
              </m:oMath>
            </m:oMathPara>
          </w:p>
        </w:tc>
        <w:tc>
          <w:tcPr>
            <w:tcW w:w="1275" w:type="dxa"/>
            <w:tcBorders>
              <w:top w:val="single" w:sz="4" w:space="0" w:color="000000"/>
              <w:left w:val="single" w:sz="4" w:space="0" w:color="000000"/>
              <w:bottom w:val="nil"/>
              <w:right w:val="single" w:sz="4" w:space="0" w:color="000000"/>
            </w:tcBorders>
            <w:shd w:val="clear" w:color="auto" w:fill="auto"/>
            <w:vAlign w:val="center"/>
          </w:tcPr>
          <w:p w14:paraId="72286900" w14:textId="77777777" w:rsidR="00F80BB9" w:rsidRDefault="00F80BB9" w:rsidP="00F80BB9">
            <w:pPr>
              <w:spacing w:line="276" w:lineRule="auto"/>
              <w:jc w:val="center"/>
              <w:rPr>
                <w:color w:val="000000"/>
                <w:sz w:val="22"/>
                <w:szCs w:val="22"/>
              </w:rPr>
            </w:pPr>
            <w:r>
              <w:rPr>
                <w:color w:val="000000"/>
                <w:sz w:val="22"/>
                <w:szCs w:val="22"/>
              </w:rPr>
              <w:t>-0.0998</w:t>
            </w:r>
          </w:p>
          <w:p w14:paraId="1351103A" w14:textId="77777777" w:rsidR="00F80BB9" w:rsidRDefault="00F80BB9" w:rsidP="00F80BB9">
            <w:pPr>
              <w:spacing w:line="276" w:lineRule="auto"/>
              <w:jc w:val="center"/>
              <w:rPr>
                <w:color w:val="000000"/>
                <w:sz w:val="22"/>
                <w:szCs w:val="22"/>
              </w:rPr>
            </w:pPr>
            <w:r>
              <w:rPr>
                <w:color w:val="000000"/>
                <w:sz w:val="22"/>
                <w:szCs w:val="22"/>
              </w:rPr>
              <w:t>(</w:t>
            </w:r>
            <w:r>
              <w:rPr>
                <w:sz w:val="22"/>
                <w:szCs w:val="22"/>
              </w:rPr>
              <w:t>0</w:t>
            </w:r>
            <w:r>
              <w:rPr>
                <w:color w:val="000000"/>
                <w:sz w:val="22"/>
                <w:szCs w:val="22"/>
              </w:rPr>
              <w:t>.291)</w:t>
            </w:r>
          </w:p>
        </w:tc>
        <w:tc>
          <w:tcPr>
            <w:tcW w:w="1276" w:type="dxa"/>
            <w:tcBorders>
              <w:top w:val="single" w:sz="4" w:space="0" w:color="000000"/>
              <w:left w:val="single" w:sz="4" w:space="0" w:color="000000"/>
              <w:bottom w:val="nil"/>
              <w:right w:val="single" w:sz="4" w:space="0" w:color="000000"/>
            </w:tcBorders>
            <w:shd w:val="clear" w:color="auto" w:fill="auto"/>
          </w:tcPr>
          <w:p w14:paraId="27E831DA" w14:textId="77777777" w:rsidR="00F80BB9" w:rsidRDefault="00F80BB9" w:rsidP="00F80BB9">
            <w:pPr>
              <w:spacing w:line="276" w:lineRule="auto"/>
              <w:jc w:val="center"/>
              <w:rPr>
                <w:sz w:val="22"/>
                <w:szCs w:val="22"/>
              </w:rPr>
            </w:pPr>
            <w:r>
              <w:rPr>
                <w:sz w:val="22"/>
                <w:szCs w:val="22"/>
              </w:rPr>
              <w:t>Omitted</w:t>
            </w:r>
          </w:p>
        </w:tc>
        <w:tc>
          <w:tcPr>
            <w:tcW w:w="1276" w:type="dxa"/>
            <w:tcBorders>
              <w:top w:val="single" w:sz="4" w:space="0" w:color="000000"/>
              <w:left w:val="single" w:sz="4" w:space="0" w:color="000000"/>
              <w:bottom w:val="nil"/>
            </w:tcBorders>
            <w:shd w:val="clear" w:color="auto" w:fill="auto"/>
            <w:vAlign w:val="center"/>
          </w:tcPr>
          <w:p w14:paraId="11CD3531" w14:textId="77777777" w:rsidR="00F80BB9" w:rsidRDefault="00F80BB9" w:rsidP="00F80BB9">
            <w:pPr>
              <w:spacing w:line="276" w:lineRule="auto"/>
              <w:jc w:val="center"/>
              <w:rPr>
                <w:color w:val="000000"/>
                <w:sz w:val="22"/>
                <w:szCs w:val="22"/>
              </w:rPr>
            </w:pPr>
            <w:r>
              <w:rPr>
                <w:color w:val="000000"/>
                <w:sz w:val="22"/>
                <w:szCs w:val="22"/>
              </w:rPr>
              <w:t>-3.2485</w:t>
            </w:r>
          </w:p>
          <w:p w14:paraId="087E46BC" w14:textId="77777777" w:rsidR="00F80BB9" w:rsidRDefault="00F80BB9" w:rsidP="00F80BB9">
            <w:pPr>
              <w:spacing w:line="276" w:lineRule="auto"/>
              <w:jc w:val="center"/>
              <w:rPr>
                <w:color w:val="000000"/>
                <w:sz w:val="22"/>
                <w:szCs w:val="22"/>
              </w:rPr>
            </w:pPr>
            <w:r>
              <w:rPr>
                <w:color w:val="000000"/>
                <w:sz w:val="22"/>
                <w:szCs w:val="22"/>
              </w:rPr>
              <w:t>(9.1462)</w:t>
            </w:r>
          </w:p>
        </w:tc>
      </w:tr>
      <w:tr w:rsidR="00F80BB9" w14:paraId="39EC6052" w14:textId="77777777" w:rsidTr="00F80BB9">
        <w:trPr>
          <w:trHeight w:val="145"/>
        </w:trPr>
        <w:tc>
          <w:tcPr>
            <w:tcW w:w="2405" w:type="dxa"/>
            <w:vMerge/>
            <w:tcBorders>
              <w:top w:val="single" w:sz="4" w:space="0" w:color="000000"/>
              <w:left w:val="single" w:sz="4" w:space="0" w:color="000000"/>
              <w:right w:val="single" w:sz="4" w:space="0" w:color="000000"/>
            </w:tcBorders>
            <w:vAlign w:val="center"/>
          </w:tcPr>
          <w:p w14:paraId="2AED3FB6" w14:textId="77777777" w:rsidR="00F80BB9" w:rsidRDefault="00F80BB9" w:rsidP="00F80BB9">
            <w:pPr>
              <w:widowControl w:val="0"/>
              <w:pBdr>
                <w:top w:val="nil"/>
                <w:left w:val="nil"/>
                <w:bottom w:val="nil"/>
                <w:right w:val="nil"/>
                <w:between w:val="nil"/>
              </w:pBdr>
              <w:spacing w:line="276" w:lineRule="auto"/>
              <w:rPr>
                <w:color w:val="000000"/>
                <w:sz w:val="22"/>
                <w:szCs w:val="22"/>
              </w:rPr>
            </w:pPr>
          </w:p>
        </w:tc>
        <w:tc>
          <w:tcPr>
            <w:tcW w:w="2552" w:type="dxa"/>
            <w:tcBorders>
              <w:top w:val="nil"/>
              <w:bottom w:val="nil"/>
              <w:right w:val="single" w:sz="4" w:space="0" w:color="000000"/>
            </w:tcBorders>
            <w:shd w:val="clear" w:color="auto" w:fill="auto"/>
          </w:tcPr>
          <w:p w14:paraId="6AB2020E" w14:textId="77777777" w:rsidR="00F80BB9" w:rsidRPr="00D3061C" w:rsidRDefault="009C6D12" w:rsidP="00F80BB9">
            <w:pPr>
              <w:spacing w:line="276" w:lineRule="auto"/>
              <w:jc w:val="both"/>
              <w:rPr>
                <w:color w:val="000000"/>
                <w:sz w:val="22"/>
                <w:szCs w:val="22"/>
              </w:rPr>
            </w:pPr>
            <m:oMathPara>
              <m:oMathParaPr>
                <m:jc m:val="left"/>
              </m:oMathParaPr>
              <m:oMath>
                <m:sSub>
                  <m:sSubPr>
                    <m:ctrlPr>
                      <w:rPr>
                        <w:rFonts w:ascii="Cambria Math" w:hAnsi="Cambria Math"/>
                        <w:i/>
                        <w:color w:val="000000"/>
                        <w:sz w:val="22"/>
                        <w:szCs w:val="22"/>
                      </w:rPr>
                    </m:ctrlPr>
                  </m:sSubPr>
                  <m:e>
                    <m:r>
                      <w:rPr>
                        <w:rFonts w:ascii="Cambria Math" w:hAnsi="Cambria Math"/>
                        <w:color w:val="000000"/>
                        <w:sz w:val="22"/>
                        <w:szCs w:val="22"/>
                      </w:rPr>
                      <m:t>Crisis</m:t>
                    </m:r>
                  </m:e>
                  <m:sub>
                    <m:r>
                      <w:rPr>
                        <w:rFonts w:ascii="Cambria Math" w:hAnsi="Cambria Math"/>
                        <w:color w:val="000000"/>
                        <w:sz w:val="22"/>
                        <w:szCs w:val="22"/>
                      </w:rPr>
                      <m:t>t</m:t>
                    </m:r>
                  </m:sub>
                </m:sSub>
              </m:oMath>
            </m:oMathPara>
          </w:p>
        </w:tc>
        <w:tc>
          <w:tcPr>
            <w:tcW w:w="1275" w:type="dxa"/>
            <w:tcBorders>
              <w:top w:val="nil"/>
              <w:left w:val="single" w:sz="4" w:space="0" w:color="000000"/>
              <w:bottom w:val="nil"/>
              <w:right w:val="single" w:sz="4" w:space="0" w:color="000000"/>
            </w:tcBorders>
            <w:shd w:val="clear" w:color="auto" w:fill="auto"/>
            <w:vAlign w:val="center"/>
          </w:tcPr>
          <w:p w14:paraId="4A05C43A" w14:textId="77777777" w:rsidR="00F80BB9" w:rsidRDefault="00F80BB9" w:rsidP="00F80BB9">
            <w:pPr>
              <w:spacing w:line="276" w:lineRule="auto"/>
              <w:jc w:val="center"/>
              <w:rPr>
                <w:color w:val="000000"/>
                <w:sz w:val="22"/>
                <w:szCs w:val="22"/>
              </w:rPr>
            </w:pPr>
            <w:r>
              <w:rPr>
                <w:color w:val="000000"/>
                <w:sz w:val="22"/>
                <w:szCs w:val="22"/>
              </w:rPr>
              <w:t>-1.771***</w:t>
            </w:r>
          </w:p>
          <w:p w14:paraId="5A45C98C" w14:textId="77777777" w:rsidR="00F80BB9" w:rsidRDefault="00F80BB9" w:rsidP="00F80BB9">
            <w:pPr>
              <w:spacing w:line="276" w:lineRule="auto"/>
              <w:jc w:val="center"/>
              <w:rPr>
                <w:color w:val="000000"/>
                <w:sz w:val="22"/>
                <w:szCs w:val="22"/>
              </w:rPr>
            </w:pPr>
            <w:r>
              <w:rPr>
                <w:color w:val="000000"/>
                <w:sz w:val="22"/>
                <w:szCs w:val="22"/>
              </w:rPr>
              <w:t>(0.3636)</w:t>
            </w:r>
          </w:p>
        </w:tc>
        <w:tc>
          <w:tcPr>
            <w:tcW w:w="1276" w:type="dxa"/>
            <w:tcBorders>
              <w:top w:val="nil"/>
              <w:left w:val="single" w:sz="4" w:space="0" w:color="000000"/>
              <w:bottom w:val="nil"/>
              <w:right w:val="single" w:sz="4" w:space="0" w:color="000000"/>
            </w:tcBorders>
            <w:shd w:val="clear" w:color="auto" w:fill="auto"/>
          </w:tcPr>
          <w:p w14:paraId="4251EFF4" w14:textId="77777777" w:rsidR="00F80BB9" w:rsidRDefault="00F80BB9" w:rsidP="00F80BB9">
            <w:pPr>
              <w:spacing w:line="276" w:lineRule="auto"/>
              <w:jc w:val="center"/>
              <w:rPr>
                <w:sz w:val="22"/>
                <w:szCs w:val="22"/>
              </w:rPr>
            </w:pPr>
            <w:r>
              <w:rPr>
                <w:sz w:val="22"/>
                <w:szCs w:val="22"/>
              </w:rPr>
              <w:t>Omitted</w:t>
            </w:r>
          </w:p>
        </w:tc>
        <w:tc>
          <w:tcPr>
            <w:tcW w:w="1276" w:type="dxa"/>
            <w:tcBorders>
              <w:top w:val="nil"/>
              <w:left w:val="single" w:sz="4" w:space="0" w:color="000000"/>
              <w:bottom w:val="nil"/>
            </w:tcBorders>
            <w:shd w:val="clear" w:color="auto" w:fill="auto"/>
            <w:vAlign w:val="center"/>
          </w:tcPr>
          <w:p w14:paraId="5C6F334A" w14:textId="77777777" w:rsidR="00F80BB9" w:rsidRDefault="00F80BB9" w:rsidP="00F80BB9">
            <w:pPr>
              <w:spacing w:line="276" w:lineRule="auto"/>
              <w:jc w:val="center"/>
              <w:rPr>
                <w:color w:val="000000"/>
                <w:sz w:val="22"/>
                <w:szCs w:val="22"/>
              </w:rPr>
            </w:pPr>
            <w:r>
              <w:rPr>
                <w:color w:val="000000"/>
                <w:sz w:val="22"/>
                <w:szCs w:val="22"/>
              </w:rPr>
              <w:t>-1.9345</w:t>
            </w:r>
          </w:p>
          <w:p w14:paraId="310F7AF2" w14:textId="77777777" w:rsidR="00F80BB9" w:rsidRDefault="00F80BB9" w:rsidP="00F80BB9">
            <w:pPr>
              <w:spacing w:line="276" w:lineRule="auto"/>
              <w:jc w:val="center"/>
              <w:rPr>
                <w:color w:val="000000"/>
                <w:sz w:val="22"/>
                <w:szCs w:val="22"/>
              </w:rPr>
            </w:pPr>
            <w:r>
              <w:rPr>
                <w:color w:val="000000"/>
                <w:sz w:val="22"/>
                <w:szCs w:val="22"/>
              </w:rPr>
              <w:t>(3.342)</w:t>
            </w:r>
          </w:p>
        </w:tc>
      </w:tr>
      <w:tr w:rsidR="00F80BB9" w14:paraId="1517F40F" w14:textId="77777777" w:rsidTr="00F80BB9">
        <w:trPr>
          <w:trHeight w:val="145"/>
        </w:trPr>
        <w:tc>
          <w:tcPr>
            <w:tcW w:w="2405" w:type="dxa"/>
            <w:vMerge/>
            <w:tcBorders>
              <w:top w:val="single" w:sz="4" w:space="0" w:color="000000"/>
              <w:left w:val="single" w:sz="4" w:space="0" w:color="000000"/>
              <w:right w:val="single" w:sz="4" w:space="0" w:color="000000"/>
            </w:tcBorders>
            <w:vAlign w:val="center"/>
          </w:tcPr>
          <w:p w14:paraId="3C37EB6D" w14:textId="77777777" w:rsidR="00F80BB9" w:rsidRDefault="00F80BB9" w:rsidP="00F80BB9">
            <w:pPr>
              <w:widowControl w:val="0"/>
              <w:pBdr>
                <w:top w:val="nil"/>
                <w:left w:val="nil"/>
                <w:bottom w:val="nil"/>
                <w:right w:val="nil"/>
                <w:between w:val="nil"/>
              </w:pBdr>
              <w:spacing w:line="276" w:lineRule="auto"/>
              <w:rPr>
                <w:color w:val="000000"/>
                <w:sz w:val="22"/>
                <w:szCs w:val="22"/>
              </w:rPr>
            </w:pPr>
          </w:p>
        </w:tc>
        <w:tc>
          <w:tcPr>
            <w:tcW w:w="2552" w:type="dxa"/>
            <w:tcBorders>
              <w:top w:val="nil"/>
              <w:bottom w:val="nil"/>
              <w:right w:val="single" w:sz="4" w:space="0" w:color="000000"/>
            </w:tcBorders>
            <w:shd w:val="clear" w:color="auto" w:fill="auto"/>
          </w:tcPr>
          <w:p w14:paraId="484F92EF" w14:textId="77777777" w:rsidR="00F80BB9" w:rsidRPr="00D3061C" w:rsidRDefault="009C6D12" w:rsidP="00F80BB9">
            <w:pPr>
              <w:spacing w:line="276" w:lineRule="auto"/>
              <w:jc w:val="both"/>
              <w:rPr>
                <w:color w:val="000000"/>
                <w:sz w:val="22"/>
                <w:szCs w:val="22"/>
              </w:rPr>
            </w:pPr>
            <m:oMathPara>
              <m:oMathParaPr>
                <m:jc m:val="left"/>
              </m:oMathParaPr>
              <m:oMath>
                <m:sSub>
                  <m:sSubPr>
                    <m:ctrlPr>
                      <w:rPr>
                        <w:rFonts w:ascii="Cambria Math" w:hAnsi="Cambria Math"/>
                        <w:i/>
                        <w:color w:val="000000"/>
                        <w:sz w:val="22"/>
                        <w:szCs w:val="22"/>
                      </w:rPr>
                    </m:ctrlPr>
                  </m:sSubPr>
                  <m:e>
                    <m:r>
                      <w:rPr>
                        <w:rFonts w:ascii="Cambria Math" w:hAnsi="Cambria Math"/>
                        <w:color w:val="000000"/>
                        <w:sz w:val="22"/>
                        <w:szCs w:val="22"/>
                      </w:rPr>
                      <m:t>Size</m:t>
                    </m:r>
                  </m:e>
                  <m:sub>
                    <m:r>
                      <w:rPr>
                        <w:rFonts w:ascii="Cambria Math" w:hAnsi="Cambria Math"/>
                        <w:color w:val="000000"/>
                        <w:sz w:val="22"/>
                        <w:szCs w:val="22"/>
                      </w:rPr>
                      <m:t>it</m:t>
                    </m:r>
                  </m:sub>
                </m:sSub>
              </m:oMath>
            </m:oMathPara>
          </w:p>
        </w:tc>
        <w:tc>
          <w:tcPr>
            <w:tcW w:w="1275" w:type="dxa"/>
            <w:tcBorders>
              <w:top w:val="nil"/>
              <w:left w:val="single" w:sz="4" w:space="0" w:color="000000"/>
              <w:bottom w:val="nil"/>
              <w:right w:val="single" w:sz="4" w:space="0" w:color="000000"/>
            </w:tcBorders>
            <w:shd w:val="clear" w:color="auto" w:fill="auto"/>
            <w:vAlign w:val="center"/>
          </w:tcPr>
          <w:p w14:paraId="2FC4A89A" w14:textId="77777777" w:rsidR="00F80BB9" w:rsidRDefault="00F80BB9" w:rsidP="00F80BB9">
            <w:pPr>
              <w:spacing w:line="276" w:lineRule="auto"/>
              <w:jc w:val="center"/>
              <w:rPr>
                <w:color w:val="000000"/>
                <w:sz w:val="22"/>
                <w:szCs w:val="22"/>
              </w:rPr>
            </w:pPr>
            <w:r>
              <w:rPr>
                <w:color w:val="000000"/>
                <w:sz w:val="22"/>
                <w:szCs w:val="22"/>
              </w:rPr>
              <w:t>-0.197***</w:t>
            </w:r>
          </w:p>
          <w:p w14:paraId="2684E441" w14:textId="77777777" w:rsidR="00F80BB9" w:rsidRDefault="00F80BB9" w:rsidP="00F80BB9">
            <w:pPr>
              <w:spacing w:line="276" w:lineRule="auto"/>
              <w:jc w:val="center"/>
              <w:rPr>
                <w:color w:val="000000"/>
                <w:sz w:val="22"/>
                <w:szCs w:val="22"/>
              </w:rPr>
            </w:pPr>
            <w:r>
              <w:rPr>
                <w:color w:val="000000"/>
                <w:sz w:val="22"/>
                <w:szCs w:val="22"/>
              </w:rPr>
              <w:t>(0.073)</w:t>
            </w:r>
          </w:p>
        </w:tc>
        <w:tc>
          <w:tcPr>
            <w:tcW w:w="1276" w:type="dxa"/>
            <w:tcBorders>
              <w:top w:val="nil"/>
              <w:left w:val="single" w:sz="4" w:space="0" w:color="000000"/>
              <w:bottom w:val="nil"/>
              <w:right w:val="single" w:sz="4" w:space="0" w:color="000000"/>
            </w:tcBorders>
            <w:shd w:val="clear" w:color="auto" w:fill="auto"/>
          </w:tcPr>
          <w:p w14:paraId="53354FF4" w14:textId="77777777" w:rsidR="00F80BB9" w:rsidRDefault="00F80BB9" w:rsidP="00F80BB9">
            <w:pPr>
              <w:spacing w:line="276" w:lineRule="auto"/>
              <w:jc w:val="center"/>
              <w:rPr>
                <w:color w:val="000000"/>
                <w:sz w:val="22"/>
                <w:szCs w:val="22"/>
              </w:rPr>
            </w:pPr>
            <w:r>
              <w:rPr>
                <w:color w:val="000000"/>
                <w:sz w:val="22"/>
                <w:szCs w:val="22"/>
              </w:rPr>
              <w:t>0.138</w:t>
            </w:r>
          </w:p>
          <w:p w14:paraId="3F492247" w14:textId="77777777" w:rsidR="00F80BB9" w:rsidRDefault="00F80BB9" w:rsidP="00F80BB9">
            <w:pPr>
              <w:spacing w:line="276" w:lineRule="auto"/>
              <w:jc w:val="center"/>
              <w:rPr>
                <w:color w:val="000000"/>
                <w:sz w:val="22"/>
                <w:szCs w:val="22"/>
              </w:rPr>
            </w:pPr>
            <w:r>
              <w:rPr>
                <w:color w:val="000000"/>
                <w:sz w:val="22"/>
                <w:szCs w:val="22"/>
              </w:rPr>
              <w:t>(0.346)</w:t>
            </w:r>
          </w:p>
        </w:tc>
        <w:tc>
          <w:tcPr>
            <w:tcW w:w="1276" w:type="dxa"/>
            <w:tcBorders>
              <w:top w:val="nil"/>
              <w:left w:val="single" w:sz="4" w:space="0" w:color="000000"/>
              <w:bottom w:val="nil"/>
            </w:tcBorders>
            <w:shd w:val="clear" w:color="auto" w:fill="auto"/>
            <w:vAlign w:val="center"/>
          </w:tcPr>
          <w:p w14:paraId="73B4C113" w14:textId="77777777" w:rsidR="00F80BB9" w:rsidRDefault="00F80BB9" w:rsidP="00F80BB9">
            <w:pPr>
              <w:spacing w:line="276" w:lineRule="auto"/>
              <w:jc w:val="center"/>
              <w:rPr>
                <w:color w:val="000000"/>
                <w:sz w:val="22"/>
                <w:szCs w:val="22"/>
              </w:rPr>
            </w:pPr>
            <w:r>
              <w:rPr>
                <w:color w:val="000000"/>
                <w:sz w:val="22"/>
                <w:szCs w:val="22"/>
              </w:rPr>
              <w:t>0.19611**</w:t>
            </w:r>
          </w:p>
          <w:p w14:paraId="785FFA73" w14:textId="77777777" w:rsidR="00F80BB9" w:rsidRDefault="00F80BB9" w:rsidP="00F80BB9">
            <w:pPr>
              <w:spacing w:line="276" w:lineRule="auto"/>
              <w:jc w:val="center"/>
              <w:rPr>
                <w:color w:val="000000"/>
                <w:sz w:val="22"/>
                <w:szCs w:val="22"/>
              </w:rPr>
            </w:pPr>
            <w:r>
              <w:rPr>
                <w:color w:val="000000"/>
                <w:sz w:val="22"/>
                <w:szCs w:val="22"/>
              </w:rPr>
              <w:t>(1.9685)</w:t>
            </w:r>
          </w:p>
        </w:tc>
      </w:tr>
      <w:tr w:rsidR="00F80BB9" w14:paraId="142A6657" w14:textId="77777777" w:rsidTr="00F80BB9">
        <w:trPr>
          <w:trHeight w:val="145"/>
        </w:trPr>
        <w:tc>
          <w:tcPr>
            <w:tcW w:w="2405" w:type="dxa"/>
            <w:vMerge/>
            <w:tcBorders>
              <w:top w:val="single" w:sz="4" w:space="0" w:color="000000"/>
              <w:left w:val="single" w:sz="4" w:space="0" w:color="000000"/>
              <w:right w:val="single" w:sz="4" w:space="0" w:color="000000"/>
            </w:tcBorders>
            <w:vAlign w:val="center"/>
          </w:tcPr>
          <w:p w14:paraId="52FA94AD" w14:textId="77777777" w:rsidR="00F80BB9" w:rsidRDefault="00F80BB9" w:rsidP="00F80BB9">
            <w:pPr>
              <w:widowControl w:val="0"/>
              <w:pBdr>
                <w:top w:val="nil"/>
                <w:left w:val="nil"/>
                <w:bottom w:val="nil"/>
                <w:right w:val="nil"/>
                <w:between w:val="nil"/>
              </w:pBdr>
              <w:spacing w:line="276" w:lineRule="auto"/>
              <w:rPr>
                <w:color w:val="000000"/>
                <w:sz w:val="22"/>
                <w:szCs w:val="22"/>
              </w:rPr>
            </w:pPr>
          </w:p>
        </w:tc>
        <w:tc>
          <w:tcPr>
            <w:tcW w:w="2552" w:type="dxa"/>
            <w:tcBorders>
              <w:top w:val="nil"/>
              <w:bottom w:val="nil"/>
              <w:right w:val="single" w:sz="4" w:space="0" w:color="000000"/>
            </w:tcBorders>
            <w:shd w:val="clear" w:color="auto" w:fill="auto"/>
          </w:tcPr>
          <w:p w14:paraId="722697A6" w14:textId="77777777" w:rsidR="00F80BB9" w:rsidRPr="00D3061C" w:rsidRDefault="009C6D12" w:rsidP="00F80BB9">
            <w:pPr>
              <w:spacing w:line="276" w:lineRule="auto"/>
              <w:jc w:val="both"/>
              <w:rPr>
                <w:color w:val="000000"/>
                <w:sz w:val="22"/>
                <w:szCs w:val="22"/>
              </w:rPr>
            </w:pPr>
            <m:oMathPara>
              <m:oMathParaPr>
                <m:jc m:val="left"/>
              </m:oMathParaPr>
              <m:oMath>
                <m:sSub>
                  <m:sSubPr>
                    <m:ctrlPr>
                      <w:rPr>
                        <w:rFonts w:ascii="Cambria Math" w:hAnsi="Cambria Math"/>
                        <w:i/>
                        <w:color w:val="000000"/>
                        <w:sz w:val="22"/>
                        <w:szCs w:val="22"/>
                      </w:rPr>
                    </m:ctrlPr>
                  </m:sSubPr>
                  <m:e>
                    <m:r>
                      <w:rPr>
                        <w:rFonts w:ascii="Cambria Math" w:hAnsi="Cambria Math"/>
                        <w:color w:val="000000"/>
                        <w:sz w:val="22"/>
                        <w:szCs w:val="22"/>
                      </w:rPr>
                      <m:t>Credit Risk</m:t>
                    </m:r>
                  </m:e>
                  <m:sub>
                    <m:r>
                      <w:rPr>
                        <w:rFonts w:ascii="Cambria Math" w:hAnsi="Cambria Math"/>
                        <w:color w:val="000000"/>
                        <w:sz w:val="22"/>
                        <w:szCs w:val="22"/>
                      </w:rPr>
                      <m:t>it</m:t>
                    </m:r>
                  </m:sub>
                </m:sSub>
              </m:oMath>
            </m:oMathPara>
          </w:p>
        </w:tc>
        <w:tc>
          <w:tcPr>
            <w:tcW w:w="1275" w:type="dxa"/>
            <w:tcBorders>
              <w:top w:val="nil"/>
              <w:left w:val="single" w:sz="4" w:space="0" w:color="000000"/>
              <w:right w:val="single" w:sz="4" w:space="0" w:color="000000"/>
            </w:tcBorders>
            <w:shd w:val="clear" w:color="auto" w:fill="auto"/>
            <w:vAlign w:val="center"/>
          </w:tcPr>
          <w:p w14:paraId="4D949D3C" w14:textId="77777777" w:rsidR="00F80BB9" w:rsidRDefault="00F80BB9" w:rsidP="00F80BB9">
            <w:pPr>
              <w:spacing w:line="276" w:lineRule="auto"/>
              <w:jc w:val="center"/>
              <w:rPr>
                <w:color w:val="000000"/>
                <w:sz w:val="22"/>
                <w:szCs w:val="22"/>
              </w:rPr>
            </w:pPr>
            <w:r>
              <w:rPr>
                <w:color w:val="000000"/>
                <w:sz w:val="22"/>
                <w:szCs w:val="22"/>
              </w:rPr>
              <w:t>0.1107</w:t>
            </w:r>
          </w:p>
          <w:p w14:paraId="5960F038" w14:textId="77777777" w:rsidR="00F80BB9" w:rsidRDefault="00F80BB9" w:rsidP="00F80BB9">
            <w:pPr>
              <w:spacing w:line="276" w:lineRule="auto"/>
              <w:jc w:val="center"/>
              <w:rPr>
                <w:color w:val="000000"/>
                <w:sz w:val="22"/>
                <w:szCs w:val="22"/>
              </w:rPr>
            </w:pPr>
            <w:r>
              <w:rPr>
                <w:color w:val="000000"/>
                <w:sz w:val="22"/>
                <w:szCs w:val="22"/>
              </w:rPr>
              <w:t>(0.093)</w:t>
            </w:r>
          </w:p>
        </w:tc>
        <w:tc>
          <w:tcPr>
            <w:tcW w:w="1276" w:type="dxa"/>
            <w:tcBorders>
              <w:top w:val="nil"/>
              <w:left w:val="single" w:sz="4" w:space="0" w:color="000000"/>
              <w:right w:val="single" w:sz="4" w:space="0" w:color="000000"/>
            </w:tcBorders>
            <w:shd w:val="clear" w:color="auto" w:fill="auto"/>
          </w:tcPr>
          <w:p w14:paraId="76EC83FC" w14:textId="77777777" w:rsidR="00F80BB9" w:rsidRDefault="00F80BB9" w:rsidP="00F80BB9">
            <w:pPr>
              <w:spacing w:line="276" w:lineRule="auto"/>
              <w:jc w:val="center"/>
              <w:rPr>
                <w:color w:val="000000"/>
                <w:sz w:val="22"/>
                <w:szCs w:val="22"/>
              </w:rPr>
            </w:pPr>
            <w:r>
              <w:rPr>
                <w:color w:val="000000"/>
                <w:sz w:val="22"/>
                <w:szCs w:val="22"/>
              </w:rPr>
              <w:t>0.0144</w:t>
            </w:r>
          </w:p>
          <w:p w14:paraId="6A904D1C" w14:textId="77777777" w:rsidR="00F80BB9" w:rsidRDefault="00F80BB9" w:rsidP="00F80BB9">
            <w:pPr>
              <w:spacing w:line="276" w:lineRule="auto"/>
              <w:jc w:val="center"/>
              <w:rPr>
                <w:color w:val="000000"/>
                <w:sz w:val="22"/>
                <w:szCs w:val="22"/>
              </w:rPr>
            </w:pPr>
            <w:r>
              <w:rPr>
                <w:color w:val="000000"/>
                <w:sz w:val="22"/>
                <w:szCs w:val="22"/>
              </w:rPr>
              <w:t>(0.060)</w:t>
            </w:r>
          </w:p>
        </w:tc>
        <w:tc>
          <w:tcPr>
            <w:tcW w:w="1276" w:type="dxa"/>
            <w:tcBorders>
              <w:top w:val="nil"/>
              <w:left w:val="single" w:sz="4" w:space="0" w:color="000000"/>
            </w:tcBorders>
            <w:shd w:val="clear" w:color="auto" w:fill="auto"/>
            <w:vAlign w:val="center"/>
          </w:tcPr>
          <w:p w14:paraId="3CEB2109" w14:textId="77777777" w:rsidR="00F80BB9" w:rsidRDefault="00F80BB9" w:rsidP="00F80BB9">
            <w:pPr>
              <w:spacing w:line="276" w:lineRule="auto"/>
              <w:jc w:val="center"/>
              <w:rPr>
                <w:color w:val="000000"/>
                <w:sz w:val="22"/>
                <w:szCs w:val="22"/>
              </w:rPr>
            </w:pPr>
            <w:r>
              <w:rPr>
                <w:color w:val="000000"/>
                <w:sz w:val="22"/>
                <w:szCs w:val="22"/>
              </w:rPr>
              <w:t>-2.2083</w:t>
            </w:r>
          </w:p>
          <w:p w14:paraId="235F2565" w14:textId="77777777" w:rsidR="00F80BB9" w:rsidRDefault="00F80BB9" w:rsidP="00F80BB9">
            <w:pPr>
              <w:spacing w:line="276" w:lineRule="auto"/>
              <w:jc w:val="center"/>
              <w:rPr>
                <w:color w:val="000000"/>
                <w:sz w:val="22"/>
                <w:szCs w:val="22"/>
              </w:rPr>
            </w:pPr>
            <w:r>
              <w:rPr>
                <w:color w:val="000000"/>
                <w:sz w:val="22"/>
                <w:szCs w:val="22"/>
              </w:rPr>
              <w:t>(1.5627)</w:t>
            </w:r>
          </w:p>
        </w:tc>
      </w:tr>
      <w:tr w:rsidR="00F80BB9" w14:paraId="6849E284" w14:textId="77777777" w:rsidTr="00F80BB9">
        <w:trPr>
          <w:trHeight w:val="145"/>
        </w:trPr>
        <w:tc>
          <w:tcPr>
            <w:tcW w:w="2405" w:type="dxa"/>
            <w:vMerge/>
            <w:tcBorders>
              <w:top w:val="single" w:sz="4" w:space="0" w:color="000000"/>
              <w:left w:val="single" w:sz="4" w:space="0" w:color="000000"/>
              <w:right w:val="single" w:sz="4" w:space="0" w:color="000000"/>
            </w:tcBorders>
            <w:vAlign w:val="center"/>
          </w:tcPr>
          <w:p w14:paraId="39A4D87E" w14:textId="77777777" w:rsidR="00F80BB9" w:rsidRDefault="00F80BB9" w:rsidP="00F80BB9">
            <w:pPr>
              <w:widowControl w:val="0"/>
              <w:pBdr>
                <w:top w:val="nil"/>
                <w:left w:val="nil"/>
                <w:bottom w:val="nil"/>
                <w:right w:val="nil"/>
                <w:between w:val="nil"/>
              </w:pBdr>
              <w:spacing w:line="276" w:lineRule="auto"/>
              <w:rPr>
                <w:color w:val="000000"/>
                <w:sz w:val="22"/>
                <w:szCs w:val="22"/>
              </w:rPr>
            </w:pPr>
          </w:p>
        </w:tc>
        <w:tc>
          <w:tcPr>
            <w:tcW w:w="2552" w:type="dxa"/>
            <w:tcBorders>
              <w:top w:val="nil"/>
              <w:bottom w:val="nil"/>
              <w:right w:val="single" w:sz="4" w:space="0" w:color="000000"/>
            </w:tcBorders>
            <w:shd w:val="clear" w:color="auto" w:fill="auto"/>
          </w:tcPr>
          <w:p w14:paraId="04123F28" w14:textId="77777777" w:rsidR="00F80BB9" w:rsidRPr="00D3061C" w:rsidRDefault="009C6D12" w:rsidP="00F80BB9">
            <w:pPr>
              <w:spacing w:line="276" w:lineRule="auto"/>
              <w:jc w:val="both"/>
              <w:rPr>
                <w:color w:val="000000"/>
                <w:sz w:val="22"/>
                <w:szCs w:val="22"/>
              </w:rPr>
            </w:pPr>
            <m:oMathPara>
              <m:oMathParaPr>
                <m:jc m:val="left"/>
              </m:oMathParaPr>
              <m:oMath>
                <m:sSub>
                  <m:sSubPr>
                    <m:ctrlPr>
                      <w:rPr>
                        <w:rFonts w:ascii="Cambria Math" w:hAnsi="Cambria Math"/>
                        <w:i/>
                        <w:color w:val="000000"/>
                        <w:sz w:val="22"/>
                        <w:szCs w:val="22"/>
                      </w:rPr>
                    </m:ctrlPr>
                  </m:sSubPr>
                  <m:e>
                    <m:r>
                      <w:rPr>
                        <w:rFonts w:ascii="Cambria Math" w:hAnsi="Cambria Math"/>
                        <w:color w:val="000000"/>
                        <w:sz w:val="22"/>
                        <w:szCs w:val="22"/>
                      </w:rPr>
                      <m:t>Liquidity</m:t>
                    </m:r>
                  </m:e>
                  <m:sub>
                    <m:r>
                      <w:rPr>
                        <w:rFonts w:ascii="Cambria Math" w:hAnsi="Cambria Math"/>
                        <w:color w:val="000000"/>
                        <w:sz w:val="22"/>
                        <w:szCs w:val="22"/>
                      </w:rPr>
                      <m:t>it</m:t>
                    </m:r>
                  </m:sub>
                </m:sSub>
              </m:oMath>
            </m:oMathPara>
          </w:p>
        </w:tc>
        <w:tc>
          <w:tcPr>
            <w:tcW w:w="1275" w:type="dxa"/>
            <w:tcBorders>
              <w:left w:val="single" w:sz="4" w:space="0" w:color="000000"/>
              <w:right w:val="single" w:sz="4" w:space="0" w:color="000000"/>
            </w:tcBorders>
            <w:shd w:val="clear" w:color="auto" w:fill="auto"/>
            <w:vAlign w:val="center"/>
          </w:tcPr>
          <w:p w14:paraId="4B0D8BCA" w14:textId="77777777" w:rsidR="00F80BB9" w:rsidRDefault="00F80BB9" w:rsidP="00F80BB9">
            <w:pPr>
              <w:spacing w:line="276" w:lineRule="auto"/>
              <w:jc w:val="center"/>
              <w:rPr>
                <w:color w:val="000000"/>
                <w:sz w:val="22"/>
                <w:szCs w:val="22"/>
              </w:rPr>
            </w:pPr>
            <w:r>
              <w:rPr>
                <w:color w:val="000000"/>
                <w:sz w:val="22"/>
                <w:szCs w:val="22"/>
              </w:rPr>
              <w:t>0.0697**</w:t>
            </w:r>
          </w:p>
          <w:p w14:paraId="61B8AF4E" w14:textId="77777777" w:rsidR="00F80BB9" w:rsidRDefault="00F80BB9" w:rsidP="00F80BB9">
            <w:pPr>
              <w:spacing w:line="276" w:lineRule="auto"/>
              <w:jc w:val="center"/>
              <w:rPr>
                <w:color w:val="000000"/>
                <w:sz w:val="22"/>
                <w:szCs w:val="22"/>
              </w:rPr>
            </w:pPr>
            <w:r>
              <w:rPr>
                <w:color w:val="000000"/>
                <w:sz w:val="22"/>
                <w:szCs w:val="22"/>
              </w:rPr>
              <w:t>(0.034)</w:t>
            </w:r>
          </w:p>
        </w:tc>
        <w:tc>
          <w:tcPr>
            <w:tcW w:w="1276" w:type="dxa"/>
            <w:tcBorders>
              <w:left w:val="single" w:sz="4" w:space="0" w:color="000000"/>
              <w:right w:val="single" w:sz="4" w:space="0" w:color="000000"/>
            </w:tcBorders>
            <w:shd w:val="clear" w:color="auto" w:fill="auto"/>
          </w:tcPr>
          <w:p w14:paraId="052A24E6" w14:textId="77777777" w:rsidR="00F80BB9" w:rsidRDefault="00F80BB9" w:rsidP="00F80BB9">
            <w:pPr>
              <w:spacing w:line="276" w:lineRule="auto"/>
              <w:jc w:val="center"/>
              <w:rPr>
                <w:color w:val="000000"/>
                <w:sz w:val="22"/>
                <w:szCs w:val="22"/>
              </w:rPr>
            </w:pPr>
            <w:r>
              <w:rPr>
                <w:color w:val="000000"/>
                <w:sz w:val="22"/>
                <w:szCs w:val="22"/>
              </w:rPr>
              <w:t>-0.073</w:t>
            </w:r>
          </w:p>
          <w:p w14:paraId="3CD62BB3" w14:textId="77777777" w:rsidR="00F80BB9" w:rsidRDefault="00F80BB9" w:rsidP="00F80BB9">
            <w:pPr>
              <w:spacing w:line="276" w:lineRule="auto"/>
              <w:jc w:val="center"/>
              <w:rPr>
                <w:color w:val="000000"/>
                <w:sz w:val="22"/>
                <w:szCs w:val="22"/>
              </w:rPr>
            </w:pPr>
            <w:r>
              <w:rPr>
                <w:color w:val="000000"/>
                <w:sz w:val="22"/>
                <w:szCs w:val="22"/>
              </w:rPr>
              <w:t>(0.063)</w:t>
            </w:r>
          </w:p>
        </w:tc>
        <w:tc>
          <w:tcPr>
            <w:tcW w:w="1276" w:type="dxa"/>
            <w:tcBorders>
              <w:left w:val="single" w:sz="4" w:space="0" w:color="000000"/>
            </w:tcBorders>
            <w:shd w:val="clear" w:color="auto" w:fill="auto"/>
            <w:vAlign w:val="center"/>
          </w:tcPr>
          <w:p w14:paraId="7F5748F1" w14:textId="77777777" w:rsidR="00F80BB9" w:rsidRDefault="00F80BB9" w:rsidP="00F80BB9">
            <w:pPr>
              <w:spacing w:line="276" w:lineRule="auto"/>
              <w:jc w:val="center"/>
              <w:rPr>
                <w:color w:val="000000"/>
                <w:sz w:val="22"/>
                <w:szCs w:val="22"/>
              </w:rPr>
            </w:pPr>
            <w:r>
              <w:rPr>
                <w:color w:val="000000"/>
                <w:sz w:val="22"/>
                <w:szCs w:val="22"/>
              </w:rPr>
              <w:t>-0.5897</w:t>
            </w:r>
          </w:p>
          <w:p w14:paraId="52963A5D" w14:textId="77777777" w:rsidR="00F80BB9" w:rsidRDefault="00F80BB9" w:rsidP="00F80BB9">
            <w:pPr>
              <w:spacing w:line="276" w:lineRule="auto"/>
              <w:jc w:val="center"/>
              <w:rPr>
                <w:color w:val="000000"/>
                <w:sz w:val="22"/>
                <w:szCs w:val="22"/>
              </w:rPr>
            </w:pPr>
            <w:r>
              <w:rPr>
                <w:color w:val="000000"/>
                <w:sz w:val="22"/>
                <w:szCs w:val="22"/>
              </w:rPr>
              <w:t>(0.4114)</w:t>
            </w:r>
          </w:p>
        </w:tc>
      </w:tr>
      <w:tr w:rsidR="00F80BB9" w14:paraId="1C3F99E9" w14:textId="77777777" w:rsidTr="00F80BB9">
        <w:trPr>
          <w:trHeight w:val="145"/>
        </w:trPr>
        <w:tc>
          <w:tcPr>
            <w:tcW w:w="2405" w:type="dxa"/>
            <w:vMerge/>
            <w:tcBorders>
              <w:top w:val="single" w:sz="4" w:space="0" w:color="000000"/>
              <w:left w:val="single" w:sz="4" w:space="0" w:color="000000"/>
              <w:right w:val="single" w:sz="4" w:space="0" w:color="000000"/>
            </w:tcBorders>
            <w:vAlign w:val="center"/>
          </w:tcPr>
          <w:p w14:paraId="7583CEE5" w14:textId="77777777" w:rsidR="00F80BB9" w:rsidRDefault="00F80BB9" w:rsidP="00F80BB9">
            <w:pPr>
              <w:widowControl w:val="0"/>
              <w:pBdr>
                <w:top w:val="nil"/>
                <w:left w:val="nil"/>
                <w:bottom w:val="nil"/>
                <w:right w:val="nil"/>
                <w:between w:val="nil"/>
              </w:pBdr>
              <w:spacing w:line="276" w:lineRule="auto"/>
              <w:rPr>
                <w:color w:val="000000"/>
                <w:sz w:val="22"/>
                <w:szCs w:val="22"/>
              </w:rPr>
            </w:pPr>
          </w:p>
        </w:tc>
        <w:tc>
          <w:tcPr>
            <w:tcW w:w="2552" w:type="dxa"/>
            <w:tcBorders>
              <w:top w:val="nil"/>
              <w:bottom w:val="nil"/>
              <w:right w:val="single" w:sz="4" w:space="0" w:color="000000"/>
            </w:tcBorders>
            <w:shd w:val="clear" w:color="auto" w:fill="auto"/>
          </w:tcPr>
          <w:p w14:paraId="5CA52B70" w14:textId="77777777" w:rsidR="00F80BB9" w:rsidRPr="00D3061C" w:rsidRDefault="009C6D12" w:rsidP="00F80BB9">
            <w:pPr>
              <w:spacing w:line="276" w:lineRule="auto"/>
              <w:jc w:val="both"/>
              <w:rPr>
                <w:color w:val="000000"/>
                <w:sz w:val="22"/>
                <w:szCs w:val="22"/>
              </w:rPr>
            </w:pPr>
            <m:oMathPara>
              <m:oMathParaPr>
                <m:jc m:val="left"/>
              </m:oMathParaPr>
              <m:oMath>
                <m:sSub>
                  <m:sSubPr>
                    <m:ctrlPr>
                      <w:rPr>
                        <w:rFonts w:ascii="Cambria Math" w:hAnsi="Cambria Math"/>
                        <w:i/>
                        <w:color w:val="000000"/>
                        <w:sz w:val="22"/>
                        <w:szCs w:val="22"/>
                      </w:rPr>
                    </m:ctrlPr>
                  </m:sSubPr>
                  <m:e>
                    <m:r>
                      <w:rPr>
                        <w:rFonts w:ascii="Cambria Math" w:hAnsi="Cambria Math"/>
                        <w:color w:val="000000"/>
                        <w:sz w:val="22"/>
                        <w:szCs w:val="22"/>
                      </w:rPr>
                      <m:t>Capitalization</m:t>
                    </m:r>
                  </m:e>
                  <m:sub>
                    <m:r>
                      <w:rPr>
                        <w:rFonts w:ascii="Cambria Math" w:hAnsi="Cambria Math"/>
                        <w:color w:val="000000"/>
                        <w:sz w:val="22"/>
                        <w:szCs w:val="22"/>
                      </w:rPr>
                      <m:t>it</m:t>
                    </m:r>
                  </m:sub>
                </m:sSub>
              </m:oMath>
            </m:oMathPara>
          </w:p>
        </w:tc>
        <w:tc>
          <w:tcPr>
            <w:tcW w:w="1275" w:type="dxa"/>
            <w:tcBorders>
              <w:left w:val="single" w:sz="4" w:space="0" w:color="000000"/>
              <w:right w:val="single" w:sz="4" w:space="0" w:color="000000"/>
            </w:tcBorders>
            <w:shd w:val="clear" w:color="auto" w:fill="auto"/>
            <w:vAlign w:val="center"/>
          </w:tcPr>
          <w:p w14:paraId="47805874" w14:textId="77777777" w:rsidR="00F80BB9" w:rsidRDefault="00F80BB9" w:rsidP="00F80BB9">
            <w:pPr>
              <w:spacing w:line="276" w:lineRule="auto"/>
              <w:jc w:val="center"/>
              <w:rPr>
                <w:color w:val="000000"/>
                <w:sz w:val="22"/>
                <w:szCs w:val="22"/>
              </w:rPr>
            </w:pPr>
            <w:r>
              <w:rPr>
                <w:color w:val="000000"/>
                <w:sz w:val="22"/>
                <w:szCs w:val="22"/>
              </w:rPr>
              <w:t>-0.045</w:t>
            </w:r>
          </w:p>
          <w:p w14:paraId="21CE4225" w14:textId="77777777" w:rsidR="00F80BB9" w:rsidRDefault="00F80BB9" w:rsidP="00F80BB9">
            <w:pPr>
              <w:spacing w:line="276" w:lineRule="auto"/>
              <w:jc w:val="center"/>
              <w:rPr>
                <w:color w:val="000000"/>
                <w:sz w:val="22"/>
                <w:szCs w:val="22"/>
              </w:rPr>
            </w:pPr>
            <w:r>
              <w:rPr>
                <w:color w:val="000000"/>
                <w:sz w:val="22"/>
                <w:szCs w:val="22"/>
              </w:rPr>
              <w:t>(0.030)</w:t>
            </w:r>
          </w:p>
        </w:tc>
        <w:tc>
          <w:tcPr>
            <w:tcW w:w="1276" w:type="dxa"/>
            <w:tcBorders>
              <w:left w:val="single" w:sz="4" w:space="0" w:color="000000"/>
              <w:right w:val="single" w:sz="4" w:space="0" w:color="000000"/>
            </w:tcBorders>
            <w:shd w:val="clear" w:color="auto" w:fill="auto"/>
          </w:tcPr>
          <w:p w14:paraId="00CC3D6B" w14:textId="77777777" w:rsidR="00F80BB9" w:rsidRDefault="00F80BB9" w:rsidP="00F80BB9">
            <w:pPr>
              <w:spacing w:line="276" w:lineRule="auto"/>
              <w:jc w:val="center"/>
              <w:rPr>
                <w:color w:val="000000"/>
                <w:sz w:val="22"/>
                <w:szCs w:val="22"/>
              </w:rPr>
            </w:pPr>
            <w:r>
              <w:rPr>
                <w:color w:val="000000"/>
                <w:sz w:val="22"/>
                <w:szCs w:val="22"/>
              </w:rPr>
              <w:t>-0.417***</w:t>
            </w:r>
          </w:p>
          <w:p w14:paraId="365CD949" w14:textId="77777777" w:rsidR="00F80BB9" w:rsidRDefault="00F80BB9" w:rsidP="00F80BB9">
            <w:pPr>
              <w:spacing w:line="276" w:lineRule="auto"/>
              <w:jc w:val="center"/>
              <w:rPr>
                <w:color w:val="000000"/>
                <w:sz w:val="22"/>
                <w:szCs w:val="22"/>
              </w:rPr>
            </w:pPr>
            <w:r>
              <w:rPr>
                <w:color w:val="000000"/>
                <w:sz w:val="22"/>
                <w:szCs w:val="22"/>
              </w:rPr>
              <w:t>(0.150)</w:t>
            </w:r>
          </w:p>
        </w:tc>
        <w:tc>
          <w:tcPr>
            <w:tcW w:w="1276" w:type="dxa"/>
            <w:tcBorders>
              <w:left w:val="single" w:sz="4" w:space="0" w:color="000000"/>
            </w:tcBorders>
            <w:shd w:val="clear" w:color="auto" w:fill="auto"/>
            <w:vAlign w:val="center"/>
          </w:tcPr>
          <w:p w14:paraId="23088DD4" w14:textId="77777777" w:rsidR="00F80BB9" w:rsidRDefault="00F80BB9" w:rsidP="00F80BB9">
            <w:pPr>
              <w:spacing w:line="276" w:lineRule="auto"/>
              <w:jc w:val="center"/>
              <w:rPr>
                <w:color w:val="000000"/>
                <w:sz w:val="22"/>
                <w:szCs w:val="22"/>
              </w:rPr>
            </w:pPr>
            <w:r>
              <w:rPr>
                <w:color w:val="000000"/>
                <w:sz w:val="22"/>
                <w:szCs w:val="22"/>
              </w:rPr>
              <w:t>-1.3222***</w:t>
            </w:r>
          </w:p>
          <w:p w14:paraId="1A35C7D3" w14:textId="77777777" w:rsidR="00F80BB9" w:rsidRDefault="00F80BB9" w:rsidP="00F80BB9">
            <w:pPr>
              <w:spacing w:line="276" w:lineRule="auto"/>
              <w:jc w:val="center"/>
              <w:rPr>
                <w:color w:val="000000"/>
                <w:sz w:val="22"/>
                <w:szCs w:val="22"/>
              </w:rPr>
            </w:pPr>
            <w:r>
              <w:rPr>
                <w:color w:val="000000"/>
                <w:sz w:val="22"/>
                <w:szCs w:val="22"/>
              </w:rPr>
              <w:t>(0.4555)</w:t>
            </w:r>
          </w:p>
        </w:tc>
      </w:tr>
      <w:tr w:rsidR="00F80BB9" w14:paraId="2E059D8D" w14:textId="77777777" w:rsidTr="00F80BB9">
        <w:trPr>
          <w:trHeight w:val="145"/>
        </w:trPr>
        <w:tc>
          <w:tcPr>
            <w:tcW w:w="2405" w:type="dxa"/>
            <w:vMerge/>
            <w:tcBorders>
              <w:top w:val="single" w:sz="4" w:space="0" w:color="000000"/>
              <w:left w:val="single" w:sz="4" w:space="0" w:color="000000"/>
              <w:right w:val="single" w:sz="4" w:space="0" w:color="000000"/>
            </w:tcBorders>
            <w:vAlign w:val="center"/>
          </w:tcPr>
          <w:p w14:paraId="4F003238" w14:textId="77777777" w:rsidR="00F80BB9" w:rsidRDefault="00F80BB9" w:rsidP="00F80BB9">
            <w:pPr>
              <w:widowControl w:val="0"/>
              <w:pBdr>
                <w:top w:val="nil"/>
                <w:left w:val="nil"/>
                <w:bottom w:val="nil"/>
                <w:right w:val="nil"/>
                <w:between w:val="nil"/>
              </w:pBdr>
              <w:spacing w:line="276" w:lineRule="auto"/>
              <w:rPr>
                <w:color w:val="000000"/>
                <w:sz w:val="22"/>
                <w:szCs w:val="22"/>
              </w:rPr>
            </w:pPr>
          </w:p>
        </w:tc>
        <w:tc>
          <w:tcPr>
            <w:tcW w:w="2552" w:type="dxa"/>
            <w:tcBorders>
              <w:top w:val="nil"/>
              <w:bottom w:val="nil"/>
              <w:right w:val="single" w:sz="4" w:space="0" w:color="000000"/>
            </w:tcBorders>
            <w:shd w:val="clear" w:color="auto" w:fill="auto"/>
          </w:tcPr>
          <w:p w14:paraId="55937F7C" w14:textId="77777777" w:rsidR="00F80BB9" w:rsidRPr="00D3061C" w:rsidRDefault="009C6D12" w:rsidP="00F80BB9">
            <w:pPr>
              <w:spacing w:line="276" w:lineRule="auto"/>
              <w:jc w:val="both"/>
              <w:rPr>
                <w:color w:val="000000"/>
                <w:sz w:val="22"/>
                <w:szCs w:val="22"/>
              </w:rPr>
            </w:pPr>
            <m:oMathPara>
              <m:oMathParaPr>
                <m:jc m:val="left"/>
              </m:oMathParaPr>
              <m:oMath>
                <m:sSub>
                  <m:sSubPr>
                    <m:ctrlPr>
                      <w:rPr>
                        <w:rFonts w:ascii="Cambria Math" w:hAnsi="Cambria Math"/>
                        <w:i/>
                        <w:color w:val="000000"/>
                        <w:sz w:val="22"/>
                        <w:szCs w:val="22"/>
                      </w:rPr>
                    </m:ctrlPr>
                  </m:sSubPr>
                  <m:e>
                    <m:r>
                      <w:rPr>
                        <w:rFonts w:ascii="Cambria Math" w:hAnsi="Cambria Math"/>
                        <w:color w:val="000000"/>
                        <w:sz w:val="22"/>
                        <w:szCs w:val="22"/>
                      </w:rPr>
                      <m:t>Concentration</m:t>
                    </m:r>
                  </m:e>
                  <m:sub>
                    <m:r>
                      <w:rPr>
                        <w:rFonts w:ascii="Cambria Math" w:hAnsi="Cambria Math"/>
                        <w:color w:val="000000"/>
                        <w:sz w:val="22"/>
                        <w:szCs w:val="22"/>
                      </w:rPr>
                      <m:t>t</m:t>
                    </m:r>
                  </m:sub>
                </m:sSub>
              </m:oMath>
            </m:oMathPara>
          </w:p>
        </w:tc>
        <w:tc>
          <w:tcPr>
            <w:tcW w:w="1275" w:type="dxa"/>
            <w:tcBorders>
              <w:left w:val="single" w:sz="4" w:space="0" w:color="000000"/>
              <w:right w:val="single" w:sz="4" w:space="0" w:color="000000"/>
            </w:tcBorders>
            <w:shd w:val="clear" w:color="auto" w:fill="auto"/>
            <w:vAlign w:val="center"/>
          </w:tcPr>
          <w:p w14:paraId="168E9C87" w14:textId="77777777" w:rsidR="00F80BB9" w:rsidRDefault="00F80BB9" w:rsidP="00F80BB9">
            <w:pPr>
              <w:spacing w:line="276" w:lineRule="auto"/>
              <w:jc w:val="center"/>
              <w:rPr>
                <w:color w:val="000000"/>
                <w:sz w:val="22"/>
                <w:szCs w:val="22"/>
              </w:rPr>
            </w:pPr>
            <w:r>
              <w:rPr>
                <w:color w:val="000000"/>
                <w:sz w:val="22"/>
                <w:szCs w:val="22"/>
              </w:rPr>
              <w:t>-0.0007</w:t>
            </w:r>
          </w:p>
          <w:p w14:paraId="7817B0C5" w14:textId="77777777" w:rsidR="00F80BB9" w:rsidRDefault="00F80BB9" w:rsidP="00F80BB9">
            <w:pPr>
              <w:spacing w:line="276" w:lineRule="auto"/>
              <w:jc w:val="center"/>
              <w:rPr>
                <w:color w:val="000000"/>
                <w:sz w:val="22"/>
                <w:szCs w:val="22"/>
              </w:rPr>
            </w:pPr>
            <w:r>
              <w:rPr>
                <w:color w:val="000000"/>
                <w:sz w:val="22"/>
                <w:szCs w:val="22"/>
              </w:rPr>
              <w:t>(0.002)</w:t>
            </w:r>
          </w:p>
        </w:tc>
        <w:tc>
          <w:tcPr>
            <w:tcW w:w="1276" w:type="dxa"/>
            <w:tcBorders>
              <w:left w:val="single" w:sz="4" w:space="0" w:color="000000"/>
              <w:right w:val="single" w:sz="4" w:space="0" w:color="000000"/>
            </w:tcBorders>
            <w:shd w:val="clear" w:color="auto" w:fill="auto"/>
          </w:tcPr>
          <w:p w14:paraId="3FE56B94" w14:textId="77777777" w:rsidR="00F80BB9" w:rsidRDefault="00F80BB9" w:rsidP="00F80BB9">
            <w:pPr>
              <w:spacing w:line="276" w:lineRule="auto"/>
              <w:jc w:val="center"/>
              <w:rPr>
                <w:color w:val="000000"/>
                <w:sz w:val="22"/>
                <w:szCs w:val="22"/>
              </w:rPr>
            </w:pPr>
            <w:r>
              <w:rPr>
                <w:color w:val="000000"/>
                <w:sz w:val="22"/>
                <w:szCs w:val="22"/>
              </w:rPr>
              <w:t>0.003</w:t>
            </w:r>
          </w:p>
          <w:p w14:paraId="5F5CE9E6" w14:textId="77777777" w:rsidR="00F80BB9" w:rsidRDefault="00F80BB9" w:rsidP="00F80BB9">
            <w:pPr>
              <w:spacing w:line="276" w:lineRule="auto"/>
              <w:jc w:val="center"/>
              <w:rPr>
                <w:color w:val="000000"/>
                <w:sz w:val="22"/>
                <w:szCs w:val="22"/>
              </w:rPr>
            </w:pPr>
            <w:r>
              <w:rPr>
                <w:color w:val="000000"/>
                <w:sz w:val="22"/>
                <w:szCs w:val="22"/>
              </w:rPr>
              <w:t>(0.002)</w:t>
            </w:r>
          </w:p>
        </w:tc>
        <w:tc>
          <w:tcPr>
            <w:tcW w:w="1276" w:type="dxa"/>
            <w:tcBorders>
              <w:left w:val="single" w:sz="4" w:space="0" w:color="000000"/>
            </w:tcBorders>
            <w:shd w:val="clear" w:color="auto" w:fill="auto"/>
            <w:vAlign w:val="center"/>
          </w:tcPr>
          <w:p w14:paraId="0A86144B" w14:textId="77777777" w:rsidR="00F80BB9" w:rsidRDefault="00F80BB9" w:rsidP="00F80BB9">
            <w:pPr>
              <w:spacing w:line="276" w:lineRule="auto"/>
              <w:jc w:val="center"/>
              <w:rPr>
                <w:color w:val="000000"/>
                <w:sz w:val="22"/>
                <w:szCs w:val="22"/>
              </w:rPr>
            </w:pPr>
            <w:r>
              <w:rPr>
                <w:color w:val="000000"/>
                <w:sz w:val="22"/>
                <w:szCs w:val="22"/>
              </w:rPr>
              <w:t>0.0339**</w:t>
            </w:r>
          </w:p>
          <w:p w14:paraId="54C53EC3" w14:textId="77777777" w:rsidR="00F80BB9" w:rsidRDefault="00F80BB9" w:rsidP="00F80BB9">
            <w:pPr>
              <w:spacing w:line="276" w:lineRule="auto"/>
              <w:jc w:val="center"/>
              <w:rPr>
                <w:color w:val="000000"/>
                <w:sz w:val="22"/>
                <w:szCs w:val="22"/>
              </w:rPr>
            </w:pPr>
            <w:r>
              <w:rPr>
                <w:color w:val="000000"/>
                <w:sz w:val="22"/>
                <w:szCs w:val="22"/>
              </w:rPr>
              <w:t>(0.0159)</w:t>
            </w:r>
          </w:p>
        </w:tc>
      </w:tr>
      <w:tr w:rsidR="00F80BB9" w14:paraId="40D9D031" w14:textId="77777777" w:rsidTr="00F80BB9">
        <w:trPr>
          <w:trHeight w:val="145"/>
        </w:trPr>
        <w:tc>
          <w:tcPr>
            <w:tcW w:w="2405" w:type="dxa"/>
            <w:vMerge/>
            <w:tcBorders>
              <w:top w:val="single" w:sz="4" w:space="0" w:color="000000"/>
              <w:left w:val="single" w:sz="4" w:space="0" w:color="000000"/>
              <w:right w:val="single" w:sz="4" w:space="0" w:color="000000"/>
            </w:tcBorders>
            <w:vAlign w:val="center"/>
          </w:tcPr>
          <w:p w14:paraId="2879F47A" w14:textId="77777777" w:rsidR="00F80BB9" w:rsidRDefault="00F80BB9" w:rsidP="00F80BB9">
            <w:pPr>
              <w:widowControl w:val="0"/>
              <w:pBdr>
                <w:top w:val="nil"/>
                <w:left w:val="nil"/>
                <w:bottom w:val="nil"/>
                <w:right w:val="nil"/>
                <w:between w:val="nil"/>
              </w:pBdr>
              <w:spacing w:line="276" w:lineRule="auto"/>
              <w:rPr>
                <w:color w:val="000000"/>
                <w:sz w:val="22"/>
                <w:szCs w:val="22"/>
              </w:rPr>
            </w:pPr>
          </w:p>
        </w:tc>
        <w:tc>
          <w:tcPr>
            <w:tcW w:w="2552" w:type="dxa"/>
            <w:tcBorders>
              <w:top w:val="nil"/>
              <w:bottom w:val="nil"/>
              <w:right w:val="single" w:sz="4" w:space="0" w:color="000000"/>
            </w:tcBorders>
            <w:shd w:val="clear" w:color="auto" w:fill="auto"/>
          </w:tcPr>
          <w:p w14:paraId="69A4C662" w14:textId="77777777" w:rsidR="00F80BB9" w:rsidRPr="00D3061C" w:rsidRDefault="009C6D12" w:rsidP="00F80BB9">
            <w:pPr>
              <w:spacing w:line="276" w:lineRule="auto"/>
              <w:jc w:val="both"/>
              <w:rPr>
                <w:color w:val="000000"/>
                <w:sz w:val="22"/>
                <w:szCs w:val="22"/>
              </w:rPr>
            </w:pPr>
            <m:oMathPara>
              <m:oMathParaPr>
                <m:jc m:val="left"/>
              </m:oMathParaPr>
              <m:oMath>
                <m:sSub>
                  <m:sSubPr>
                    <m:ctrlPr>
                      <w:rPr>
                        <w:rFonts w:ascii="Cambria Math" w:hAnsi="Cambria Math"/>
                        <w:i/>
                        <w:color w:val="000000"/>
                        <w:sz w:val="22"/>
                        <w:szCs w:val="22"/>
                      </w:rPr>
                    </m:ctrlPr>
                  </m:sSubPr>
                  <m:e>
                    <m:r>
                      <w:rPr>
                        <w:rFonts w:ascii="Cambria Math" w:hAnsi="Cambria Math"/>
                        <w:color w:val="000000"/>
                        <w:sz w:val="22"/>
                        <w:szCs w:val="22"/>
                      </w:rPr>
                      <m:t>Market Capitalization</m:t>
                    </m:r>
                  </m:e>
                  <m:sub>
                    <m:r>
                      <w:rPr>
                        <w:rFonts w:ascii="Cambria Math" w:hAnsi="Cambria Math"/>
                        <w:color w:val="000000"/>
                        <w:sz w:val="22"/>
                        <w:szCs w:val="22"/>
                      </w:rPr>
                      <m:t>t</m:t>
                    </m:r>
                  </m:sub>
                </m:sSub>
              </m:oMath>
            </m:oMathPara>
          </w:p>
        </w:tc>
        <w:tc>
          <w:tcPr>
            <w:tcW w:w="1275" w:type="dxa"/>
            <w:tcBorders>
              <w:left w:val="single" w:sz="4" w:space="0" w:color="000000"/>
              <w:right w:val="single" w:sz="4" w:space="0" w:color="000000"/>
            </w:tcBorders>
            <w:shd w:val="clear" w:color="auto" w:fill="auto"/>
            <w:vAlign w:val="center"/>
          </w:tcPr>
          <w:p w14:paraId="715B842D" w14:textId="77777777" w:rsidR="00F80BB9" w:rsidRDefault="00F80BB9" w:rsidP="00F80BB9">
            <w:pPr>
              <w:spacing w:line="276" w:lineRule="auto"/>
              <w:jc w:val="center"/>
              <w:rPr>
                <w:color w:val="000000"/>
                <w:sz w:val="22"/>
                <w:szCs w:val="22"/>
              </w:rPr>
            </w:pPr>
            <w:r>
              <w:rPr>
                <w:color w:val="000000"/>
                <w:sz w:val="22"/>
                <w:szCs w:val="22"/>
              </w:rPr>
              <w:t>-0.005</w:t>
            </w:r>
          </w:p>
          <w:p w14:paraId="5EEAA5BC" w14:textId="77777777" w:rsidR="00F80BB9" w:rsidRDefault="00F80BB9" w:rsidP="00F80BB9">
            <w:pPr>
              <w:spacing w:line="276" w:lineRule="auto"/>
              <w:jc w:val="center"/>
              <w:rPr>
                <w:color w:val="000000"/>
                <w:sz w:val="22"/>
                <w:szCs w:val="22"/>
              </w:rPr>
            </w:pPr>
            <w:r>
              <w:rPr>
                <w:color w:val="000000"/>
                <w:sz w:val="22"/>
                <w:szCs w:val="22"/>
              </w:rPr>
              <w:t>(0.009)</w:t>
            </w:r>
          </w:p>
        </w:tc>
        <w:tc>
          <w:tcPr>
            <w:tcW w:w="1276" w:type="dxa"/>
            <w:tcBorders>
              <w:left w:val="single" w:sz="4" w:space="0" w:color="000000"/>
              <w:right w:val="single" w:sz="4" w:space="0" w:color="000000"/>
            </w:tcBorders>
            <w:shd w:val="clear" w:color="auto" w:fill="auto"/>
          </w:tcPr>
          <w:p w14:paraId="6AE51302" w14:textId="77777777" w:rsidR="00F80BB9" w:rsidRDefault="00F80BB9" w:rsidP="00F80BB9">
            <w:pPr>
              <w:spacing w:line="276" w:lineRule="auto"/>
              <w:jc w:val="center"/>
              <w:rPr>
                <w:color w:val="000000"/>
                <w:sz w:val="22"/>
                <w:szCs w:val="22"/>
              </w:rPr>
            </w:pPr>
            <w:r>
              <w:rPr>
                <w:color w:val="000000"/>
                <w:sz w:val="22"/>
                <w:szCs w:val="22"/>
              </w:rPr>
              <w:t>0.008*</w:t>
            </w:r>
          </w:p>
          <w:p w14:paraId="71171B46" w14:textId="77777777" w:rsidR="00F80BB9" w:rsidRDefault="00F80BB9" w:rsidP="00F80BB9">
            <w:pPr>
              <w:spacing w:line="276" w:lineRule="auto"/>
              <w:jc w:val="center"/>
              <w:rPr>
                <w:color w:val="000000"/>
                <w:sz w:val="22"/>
                <w:szCs w:val="22"/>
              </w:rPr>
            </w:pPr>
            <w:r>
              <w:rPr>
                <w:color w:val="000000"/>
                <w:sz w:val="22"/>
                <w:szCs w:val="22"/>
              </w:rPr>
              <w:t>(0.009)</w:t>
            </w:r>
          </w:p>
        </w:tc>
        <w:tc>
          <w:tcPr>
            <w:tcW w:w="1276" w:type="dxa"/>
            <w:tcBorders>
              <w:left w:val="single" w:sz="4" w:space="0" w:color="000000"/>
            </w:tcBorders>
            <w:shd w:val="clear" w:color="auto" w:fill="auto"/>
            <w:vAlign w:val="center"/>
          </w:tcPr>
          <w:p w14:paraId="1E7E4DD5" w14:textId="77777777" w:rsidR="00F80BB9" w:rsidRDefault="00F80BB9" w:rsidP="00F80BB9">
            <w:pPr>
              <w:spacing w:line="276" w:lineRule="auto"/>
              <w:jc w:val="center"/>
              <w:rPr>
                <w:color w:val="000000"/>
                <w:sz w:val="22"/>
                <w:szCs w:val="22"/>
              </w:rPr>
            </w:pPr>
            <w:r>
              <w:rPr>
                <w:color w:val="000000"/>
                <w:sz w:val="22"/>
                <w:szCs w:val="22"/>
              </w:rPr>
              <w:t>-0.1199***</w:t>
            </w:r>
          </w:p>
          <w:p w14:paraId="6E7CB287" w14:textId="77777777" w:rsidR="00F80BB9" w:rsidRDefault="00F80BB9" w:rsidP="00F80BB9">
            <w:pPr>
              <w:spacing w:line="276" w:lineRule="auto"/>
              <w:jc w:val="center"/>
              <w:rPr>
                <w:color w:val="000000"/>
                <w:sz w:val="22"/>
                <w:szCs w:val="22"/>
              </w:rPr>
            </w:pPr>
            <w:r>
              <w:rPr>
                <w:color w:val="000000"/>
                <w:sz w:val="22"/>
                <w:szCs w:val="22"/>
              </w:rPr>
              <w:t>(0.0459)</w:t>
            </w:r>
          </w:p>
        </w:tc>
      </w:tr>
      <w:tr w:rsidR="00F80BB9" w14:paraId="6077357D" w14:textId="77777777" w:rsidTr="00F80BB9">
        <w:trPr>
          <w:trHeight w:val="145"/>
        </w:trPr>
        <w:tc>
          <w:tcPr>
            <w:tcW w:w="2405" w:type="dxa"/>
            <w:vMerge/>
            <w:tcBorders>
              <w:top w:val="single" w:sz="4" w:space="0" w:color="000000"/>
              <w:left w:val="single" w:sz="4" w:space="0" w:color="000000"/>
              <w:right w:val="single" w:sz="4" w:space="0" w:color="000000"/>
            </w:tcBorders>
            <w:vAlign w:val="center"/>
          </w:tcPr>
          <w:p w14:paraId="7F14B80C" w14:textId="77777777" w:rsidR="00F80BB9" w:rsidRDefault="00F80BB9" w:rsidP="00F80BB9">
            <w:pPr>
              <w:widowControl w:val="0"/>
              <w:pBdr>
                <w:top w:val="nil"/>
                <w:left w:val="nil"/>
                <w:bottom w:val="nil"/>
                <w:right w:val="nil"/>
                <w:between w:val="nil"/>
              </w:pBdr>
              <w:spacing w:line="276" w:lineRule="auto"/>
              <w:rPr>
                <w:color w:val="000000"/>
                <w:sz w:val="22"/>
                <w:szCs w:val="22"/>
              </w:rPr>
            </w:pPr>
          </w:p>
        </w:tc>
        <w:tc>
          <w:tcPr>
            <w:tcW w:w="2552" w:type="dxa"/>
            <w:tcBorders>
              <w:top w:val="nil"/>
              <w:bottom w:val="nil"/>
              <w:right w:val="single" w:sz="4" w:space="0" w:color="000000"/>
            </w:tcBorders>
            <w:shd w:val="clear" w:color="auto" w:fill="auto"/>
          </w:tcPr>
          <w:p w14:paraId="58E592CD" w14:textId="77777777" w:rsidR="00F80BB9" w:rsidRPr="00D3061C" w:rsidRDefault="009C6D12" w:rsidP="00F80BB9">
            <w:pPr>
              <w:spacing w:line="276" w:lineRule="auto"/>
              <w:jc w:val="both"/>
              <w:rPr>
                <w:color w:val="000000"/>
                <w:sz w:val="22"/>
                <w:szCs w:val="22"/>
              </w:rPr>
            </w:pPr>
            <m:oMathPara>
              <m:oMathParaPr>
                <m:jc m:val="left"/>
              </m:oMathParaPr>
              <m:oMath>
                <m:sSub>
                  <m:sSubPr>
                    <m:ctrlPr>
                      <w:rPr>
                        <w:rFonts w:ascii="Cambria Math" w:hAnsi="Cambria Math"/>
                        <w:i/>
                        <w:color w:val="000000"/>
                        <w:sz w:val="22"/>
                        <w:szCs w:val="22"/>
                      </w:rPr>
                    </m:ctrlPr>
                  </m:sSubPr>
                  <m:e>
                    <m:r>
                      <w:rPr>
                        <w:rFonts w:ascii="Cambria Math" w:hAnsi="Cambria Math"/>
                        <w:color w:val="000000"/>
                        <w:sz w:val="22"/>
                        <w:szCs w:val="22"/>
                      </w:rPr>
                      <m:t>Economic Growth</m:t>
                    </m:r>
                  </m:e>
                  <m:sub>
                    <m:r>
                      <w:rPr>
                        <w:rFonts w:ascii="Cambria Math" w:hAnsi="Cambria Math"/>
                        <w:color w:val="000000"/>
                        <w:sz w:val="22"/>
                        <w:szCs w:val="22"/>
                      </w:rPr>
                      <m:t>t</m:t>
                    </m:r>
                  </m:sub>
                </m:sSub>
              </m:oMath>
            </m:oMathPara>
          </w:p>
        </w:tc>
        <w:tc>
          <w:tcPr>
            <w:tcW w:w="1275" w:type="dxa"/>
            <w:tcBorders>
              <w:left w:val="single" w:sz="4" w:space="0" w:color="000000"/>
              <w:right w:val="single" w:sz="4" w:space="0" w:color="000000"/>
            </w:tcBorders>
            <w:shd w:val="clear" w:color="auto" w:fill="auto"/>
            <w:vAlign w:val="center"/>
          </w:tcPr>
          <w:p w14:paraId="7A3DB8C8" w14:textId="77777777" w:rsidR="00F80BB9" w:rsidRDefault="00F80BB9" w:rsidP="00F80BB9">
            <w:pPr>
              <w:spacing w:line="276" w:lineRule="auto"/>
              <w:jc w:val="center"/>
              <w:rPr>
                <w:color w:val="000000"/>
                <w:sz w:val="22"/>
                <w:szCs w:val="22"/>
              </w:rPr>
            </w:pPr>
            <w:r>
              <w:rPr>
                <w:color w:val="000000"/>
                <w:sz w:val="22"/>
                <w:szCs w:val="22"/>
              </w:rPr>
              <w:t>0.090</w:t>
            </w:r>
          </w:p>
          <w:p w14:paraId="2CE6C998" w14:textId="77777777" w:rsidR="00F80BB9" w:rsidRDefault="00F80BB9" w:rsidP="00F80BB9">
            <w:pPr>
              <w:spacing w:line="276" w:lineRule="auto"/>
              <w:jc w:val="center"/>
              <w:rPr>
                <w:color w:val="000000"/>
                <w:sz w:val="22"/>
                <w:szCs w:val="22"/>
              </w:rPr>
            </w:pPr>
            <w:r>
              <w:rPr>
                <w:color w:val="000000"/>
                <w:sz w:val="22"/>
                <w:szCs w:val="22"/>
              </w:rPr>
              <w:t>(0.130)</w:t>
            </w:r>
          </w:p>
        </w:tc>
        <w:tc>
          <w:tcPr>
            <w:tcW w:w="1276" w:type="dxa"/>
            <w:tcBorders>
              <w:left w:val="single" w:sz="4" w:space="0" w:color="000000"/>
              <w:right w:val="single" w:sz="4" w:space="0" w:color="000000"/>
            </w:tcBorders>
            <w:shd w:val="clear" w:color="auto" w:fill="auto"/>
          </w:tcPr>
          <w:p w14:paraId="2CD0864A" w14:textId="77777777" w:rsidR="00F80BB9" w:rsidRDefault="00F80BB9" w:rsidP="00F80BB9">
            <w:pPr>
              <w:spacing w:line="276" w:lineRule="auto"/>
              <w:jc w:val="center"/>
              <w:rPr>
                <w:color w:val="000000"/>
                <w:sz w:val="22"/>
                <w:szCs w:val="22"/>
              </w:rPr>
            </w:pPr>
            <w:r>
              <w:rPr>
                <w:color w:val="000000"/>
                <w:sz w:val="22"/>
                <w:szCs w:val="22"/>
              </w:rPr>
              <w:t>0.241**</w:t>
            </w:r>
          </w:p>
          <w:p w14:paraId="56BC95F4" w14:textId="77777777" w:rsidR="00F80BB9" w:rsidRDefault="00F80BB9" w:rsidP="00F80BB9">
            <w:pPr>
              <w:spacing w:line="276" w:lineRule="auto"/>
              <w:jc w:val="center"/>
              <w:rPr>
                <w:color w:val="000000"/>
                <w:sz w:val="22"/>
                <w:szCs w:val="22"/>
              </w:rPr>
            </w:pPr>
            <w:r>
              <w:rPr>
                <w:color w:val="000000"/>
                <w:sz w:val="22"/>
                <w:szCs w:val="22"/>
              </w:rPr>
              <w:t>(0.098)</w:t>
            </w:r>
          </w:p>
        </w:tc>
        <w:tc>
          <w:tcPr>
            <w:tcW w:w="1276" w:type="dxa"/>
            <w:tcBorders>
              <w:left w:val="single" w:sz="4" w:space="0" w:color="000000"/>
            </w:tcBorders>
            <w:shd w:val="clear" w:color="auto" w:fill="auto"/>
            <w:vAlign w:val="center"/>
          </w:tcPr>
          <w:p w14:paraId="1BD1A003" w14:textId="77777777" w:rsidR="00F80BB9" w:rsidRDefault="00F80BB9" w:rsidP="00F80BB9">
            <w:pPr>
              <w:spacing w:line="276" w:lineRule="auto"/>
              <w:jc w:val="center"/>
              <w:rPr>
                <w:color w:val="000000"/>
                <w:sz w:val="22"/>
                <w:szCs w:val="22"/>
              </w:rPr>
            </w:pPr>
            <w:r>
              <w:rPr>
                <w:color w:val="000000"/>
                <w:sz w:val="22"/>
                <w:szCs w:val="22"/>
              </w:rPr>
              <w:t>-0.0629</w:t>
            </w:r>
          </w:p>
          <w:p w14:paraId="53F45BEB" w14:textId="77777777" w:rsidR="00F80BB9" w:rsidRDefault="00F80BB9" w:rsidP="00F80BB9">
            <w:pPr>
              <w:spacing w:line="276" w:lineRule="auto"/>
              <w:jc w:val="center"/>
              <w:rPr>
                <w:color w:val="000000"/>
                <w:sz w:val="22"/>
                <w:szCs w:val="22"/>
              </w:rPr>
            </w:pPr>
            <w:r>
              <w:rPr>
                <w:color w:val="000000"/>
                <w:sz w:val="22"/>
                <w:szCs w:val="22"/>
              </w:rPr>
              <w:t>(0.4401)</w:t>
            </w:r>
          </w:p>
        </w:tc>
      </w:tr>
      <w:tr w:rsidR="00F80BB9" w14:paraId="5C11F60F" w14:textId="77777777" w:rsidTr="00F80BB9">
        <w:trPr>
          <w:trHeight w:val="145"/>
        </w:trPr>
        <w:tc>
          <w:tcPr>
            <w:tcW w:w="2405" w:type="dxa"/>
            <w:vMerge/>
            <w:tcBorders>
              <w:top w:val="single" w:sz="4" w:space="0" w:color="000000"/>
              <w:left w:val="single" w:sz="4" w:space="0" w:color="000000"/>
              <w:right w:val="single" w:sz="4" w:space="0" w:color="000000"/>
            </w:tcBorders>
            <w:vAlign w:val="center"/>
          </w:tcPr>
          <w:p w14:paraId="584BE48F" w14:textId="77777777" w:rsidR="00F80BB9" w:rsidRDefault="00F80BB9" w:rsidP="00F80BB9">
            <w:pPr>
              <w:widowControl w:val="0"/>
              <w:pBdr>
                <w:top w:val="nil"/>
                <w:left w:val="nil"/>
                <w:bottom w:val="nil"/>
                <w:right w:val="nil"/>
                <w:between w:val="nil"/>
              </w:pBdr>
              <w:spacing w:line="276" w:lineRule="auto"/>
              <w:rPr>
                <w:color w:val="000000"/>
                <w:sz w:val="22"/>
                <w:szCs w:val="22"/>
              </w:rPr>
            </w:pPr>
          </w:p>
        </w:tc>
        <w:tc>
          <w:tcPr>
            <w:tcW w:w="2552" w:type="dxa"/>
            <w:tcBorders>
              <w:top w:val="nil"/>
              <w:bottom w:val="nil"/>
              <w:right w:val="single" w:sz="4" w:space="0" w:color="000000"/>
            </w:tcBorders>
            <w:shd w:val="clear" w:color="auto" w:fill="auto"/>
          </w:tcPr>
          <w:p w14:paraId="728C2E38" w14:textId="77777777" w:rsidR="00F80BB9" w:rsidRPr="00D3061C" w:rsidRDefault="009C6D12" w:rsidP="00F80BB9">
            <w:pPr>
              <w:spacing w:line="276" w:lineRule="auto"/>
              <w:jc w:val="both"/>
              <w:rPr>
                <w:color w:val="000000"/>
                <w:sz w:val="22"/>
                <w:szCs w:val="22"/>
              </w:rPr>
            </w:pPr>
            <m:oMathPara>
              <m:oMathParaPr>
                <m:jc m:val="left"/>
              </m:oMathParaPr>
              <m:oMath>
                <m:sSub>
                  <m:sSubPr>
                    <m:ctrlPr>
                      <w:rPr>
                        <w:rFonts w:ascii="Cambria Math" w:hAnsi="Cambria Math"/>
                        <w:i/>
                        <w:color w:val="000000"/>
                        <w:sz w:val="22"/>
                        <w:szCs w:val="22"/>
                      </w:rPr>
                    </m:ctrlPr>
                  </m:sSubPr>
                  <m:e>
                    <m:r>
                      <w:rPr>
                        <w:rFonts w:ascii="Cambria Math" w:hAnsi="Cambria Math"/>
                        <w:color w:val="000000"/>
                        <w:sz w:val="22"/>
                        <w:szCs w:val="22"/>
                      </w:rPr>
                      <m:t>Money Supply</m:t>
                    </m:r>
                  </m:e>
                  <m:sub>
                    <m:r>
                      <w:rPr>
                        <w:rFonts w:ascii="Cambria Math" w:hAnsi="Cambria Math"/>
                        <w:color w:val="000000"/>
                        <w:sz w:val="22"/>
                        <w:szCs w:val="22"/>
                      </w:rPr>
                      <m:t>t</m:t>
                    </m:r>
                  </m:sub>
                </m:sSub>
              </m:oMath>
            </m:oMathPara>
          </w:p>
        </w:tc>
        <w:tc>
          <w:tcPr>
            <w:tcW w:w="1275" w:type="dxa"/>
            <w:tcBorders>
              <w:left w:val="single" w:sz="4" w:space="0" w:color="000000"/>
              <w:right w:val="single" w:sz="4" w:space="0" w:color="000000"/>
            </w:tcBorders>
            <w:shd w:val="clear" w:color="auto" w:fill="auto"/>
            <w:vAlign w:val="center"/>
          </w:tcPr>
          <w:p w14:paraId="06D6063F" w14:textId="77777777" w:rsidR="00F80BB9" w:rsidRDefault="00F80BB9" w:rsidP="00F80BB9">
            <w:pPr>
              <w:spacing w:line="276" w:lineRule="auto"/>
              <w:jc w:val="center"/>
              <w:rPr>
                <w:color w:val="000000"/>
                <w:sz w:val="22"/>
                <w:szCs w:val="22"/>
              </w:rPr>
            </w:pPr>
            <w:r>
              <w:rPr>
                <w:color w:val="000000"/>
                <w:sz w:val="22"/>
                <w:szCs w:val="22"/>
              </w:rPr>
              <w:t>-0.010</w:t>
            </w:r>
          </w:p>
          <w:p w14:paraId="5BBA4194" w14:textId="77777777" w:rsidR="00F80BB9" w:rsidRDefault="00F80BB9" w:rsidP="00F80BB9">
            <w:pPr>
              <w:spacing w:line="276" w:lineRule="auto"/>
              <w:jc w:val="center"/>
              <w:rPr>
                <w:color w:val="000000"/>
                <w:sz w:val="22"/>
                <w:szCs w:val="22"/>
              </w:rPr>
            </w:pPr>
            <w:r>
              <w:rPr>
                <w:color w:val="000000"/>
                <w:sz w:val="22"/>
                <w:szCs w:val="22"/>
              </w:rPr>
              <w:t>(0.059)</w:t>
            </w:r>
          </w:p>
        </w:tc>
        <w:tc>
          <w:tcPr>
            <w:tcW w:w="1276" w:type="dxa"/>
            <w:tcBorders>
              <w:left w:val="single" w:sz="4" w:space="0" w:color="000000"/>
              <w:right w:val="single" w:sz="4" w:space="0" w:color="000000"/>
            </w:tcBorders>
            <w:shd w:val="clear" w:color="auto" w:fill="auto"/>
          </w:tcPr>
          <w:p w14:paraId="1372A86E" w14:textId="77777777" w:rsidR="00F80BB9" w:rsidRDefault="00F80BB9" w:rsidP="00F80BB9">
            <w:pPr>
              <w:spacing w:line="276" w:lineRule="auto"/>
              <w:jc w:val="center"/>
              <w:rPr>
                <w:color w:val="000000"/>
                <w:sz w:val="22"/>
                <w:szCs w:val="22"/>
              </w:rPr>
            </w:pPr>
            <w:r>
              <w:rPr>
                <w:color w:val="000000"/>
                <w:sz w:val="22"/>
                <w:szCs w:val="22"/>
              </w:rPr>
              <w:t>0.109**</w:t>
            </w:r>
          </w:p>
          <w:p w14:paraId="30B43963" w14:textId="77777777" w:rsidR="00F80BB9" w:rsidRDefault="00F80BB9" w:rsidP="00F80BB9">
            <w:pPr>
              <w:spacing w:line="276" w:lineRule="auto"/>
              <w:jc w:val="center"/>
              <w:rPr>
                <w:color w:val="000000"/>
                <w:sz w:val="22"/>
                <w:szCs w:val="22"/>
              </w:rPr>
            </w:pPr>
            <w:r>
              <w:rPr>
                <w:color w:val="000000"/>
                <w:sz w:val="22"/>
                <w:szCs w:val="22"/>
              </w:rPr>
              <w:t>(0.054)</w:t>
            </w:r>
          </w:p>
        </w:tc>
        <w:tc>
          <w:tcPr>
            <w:tcW w:w="1276" w:type="dxa"/>
            <w:tcBorders>
              <w:left w:val="single" w:sz="4" w:space="0" w:color="000000"/>
            </w:tcBorders>
            <w:shd w:val="clear" w:color="auto" w:fill="auto"/>
            <w:vAlign w:val="center"/>
          </w:tcPr>
          <w:p w14:paraId="0D0A5200" w14:textId="77777777" w:rsidR="00F80BB9" w:rsidRDefault="00F80BB9" w:rsidP="00F80BB9">
            <w:pPr>
              <w:spacing w:line="276" w:lineRule="auto"/>
              <w:jc w:val="center"/>
              <w:rPr>
                <w:color w:val="000000"/>
                <w:sz w:val="22"/>
                <w:szCs w:val="22"/>
              </w:rPr>
            </w:pPr>
            <w:r>
              <w:rPr>
                <w:color w:val="000000"/>
                <w:sz w:val="22"/>
                <w:szCs w:val="22"/>
              </w:rPr>
              <w:t>-0.1973**</w:t>
            </w:r>
          </w:p>
          <w:p w14:paraId="5FF884F8" w14:textId="77777777" w:rsidR="00F80BB9" w:rsidRDefault="00F80BB9" w:rsidP="00F80BB9">
            <w:pPr>
              <w:spacing w:line="276" w:lineRule="auto"/>
              <w:jc w:val="center"/>
              <w:rPr>
                <w:color w:val="000000"/>
                <w:sz w:val="22"/>
                <w:szCs w:val="22"/>
              </w:rPr>
            </w:pPr>
            <w:r>
              <w:rPr>
                <w:color w:val="000000"/>
                <w:sz w:val="22"/>
                <w:szCs w:val="22"/>
              </w:rPr>
              <w:t>(0.8851)</w:t>
            </w:r>
          </w:p>
        </w:tc>
      </w:tr>
      <w:tr w:rsidR="00F80BB9" w14:paraId="1F285FF5" w14:textId="77777777" w:rsidTr="00F80BB9">
        <w:trPr>
          <w:trHeight w:val="145"/>
        </w:trPr>
        <w:tc>
          <w:tcPr>
            <w:tcW w:w="2405" w:type="dxa"/>
            <w:vMerge/>
            <w:tcBorders>
              <w:top w:val="single" w:sz="4" w:space="0" w:color="000000"/>
              <w:left w:val="single" w:sz="4" w:space="0" w:color="000000"/>
              <w:right w:val="single" w:sz="4" w:space="0" w:color="000000"/>
            </w:tcBorders>
            <w:vAlign w:val="center"/>
          </w:tcPr>
          <w:p w14:paraId="381980BB" w14:textId="77777777" w:rsidR="00F80BB9" w:rsidRDefault="00F80BB9" w:rsidP="00F80BB9">
            <w:pPr>
              <w:widowControl w:val="0"/>
              <w:pBdr>
                <w:top w:val="nil"/>
                <w:left w:val="nil"/>
                <w:bottom w:val="nil"/>
                <w:right w:val="nil"/>
                <w:between w:val="nil"/>
              </w:pBdr>
              <w:spacing w:line="276" w:lineRule="auto"/>
              <w:rPr>
                <w:color w:val="000000"/>
                <w:sz w:val="22"/>
                <w:szCs w:val="22"/>
              </w:rPr>
            </w:pPr>
          </w:p>
        </w:tc>
        <w:tc>
          <w:tcPr>
            <w:tcW w:w="2552" w:type="dxa"/>
            <w:tcBorders>
              <w:top w:val="nil"/>
              <w:bottom w:val="nil"/>
              <w:right w:val="single" w:sz="4" w:space="0" w:color="000000"/>
            </w:tcBorders>
            <w:shd w:val="clear" w:color="auto" w:fill="auto"/>
          </w:tcPr>
          <w:p w14:paraId="456C5342" w14:textId="77777777" w:rsidR="00F80BB9" w:rsidRPr="00D3061C" w:rsidRDefault="009C6D12" w:rsidP="00F80BB9">
            <w:pPr>
              <w:spacing w:line="276" w:lineRule="auto"/>
              <w:jc w:val="both"/>
              <w:rPr>
                <w:color w:val="000000"/>
                <w:sz w:val="22"/>
                <w:szCs w:val="22"/>
              </w:rPr>
            </w:pPr>
            <m:oMathPara>
              <m:oMathParaPr>
                <m:jc m:val="left"/>
              </m:oMathParaPr>
              <m:oMath>
                <m:sSub>
                  <m:sSubPr>
                    <m:ctrlPr>
                      <w:rPr>
                        <w:rFonts w:ascii="Cambria Math" w:hAnsi="Cambria Math"/>
                        <w:i/>
                        <w:color w:val="000000"/>
                        <w:sz w:val="22"/>
                        <w:szCs w:val="22"/>
                      </w:rPr>
                    </m:ctrlPr>
                  </m:sSubPr>
                  <m:e>
                    <m:r>
                      <w:rPr>
                        <w:rFonts w:ascii="Cambria Math" w:hAnsi="Cambria Math"/>
                        <w:color w:val="000000"/>
                        <w:sz w:val="22"/>
                        <w:szCs w:val="22"/>
                      </w:rPr>
                      <m:t>Inflation</m:t>
                    </m:r>
                  </m:e>
                  <m:sub>
                    <m:r>
                      <w:rPr>
                        <w:rFonts w:ascii="Cambria Math" w:hAnsi="Cambria Math"/>
                        <w:color w:val="000000"/>
                        <w:sz w:val="22"/>
                        <w:szCs w:val="22"/>
                      </w:rPr>
                      <m:t>t</m:t>
                    </m:r>
                  </m:sub>
                </m:sSub>
              </m:oMath>
            </m:oMathPara>
          </w:p>
        </w:tc>
        <w:tc>
          <w:tcPr>
            <w:tcW w:w="1275" w:type="dxa"/>
            <w:tcBorders>
              <w:left w:val="single" w:sz="4" w:space="0" w:color="000000"/>
              <w:right w:val="single" w:sz="4" w:space="0" w:color="000000"/>
            </w:tcBorders>
            <w:shd w:val="clear" w:color="auto" w:fill="auto"/>
            <w:vAlign w:val="center"/>
          </w:tcPr>
          <w:p w14:paraId="67C2F632" w14:textId="77777777" w:rsidR="00F80BB9" w:rsidRDefault="00F80BB9" w:rsidP="00F80BB9">
            <w:pPr>
              <w:spacing w:line="276" w:lineRule="auto"/>
              <w:jc w:val="center"/>
              <w:rPr>
                <w:color w:val="000000"/>
                <w:sz w:val="22"/>
                <w:szCs w:val="22"/>
              </w:rPr>
            </w:pPr>
            <w:r>
              <w:rPr>
                <w:color w:val="000000"/>
                <w:sz w:val="22"/>
                <w:szCs w:val="22"/>
              </w:rPr>
              <w:t>-0.148</w:t>
            </w:r>
          </w:p>
          <w:p w14:paraId="3D6BD998" w14:textId="77777777" w:rsidR="00F80BB9" w:rsidRDefault="00F80BB9" w:rsidP="00F80BB9">
            <w:pPr>
              <w:spacing w:line="276" w:lineRule="auto"/>
              <w:jc w:val="center"/>
              <w:rPr>
                <w:color w:val="000000"/>
                <w:sz w:val="22"/>
                <w:szCs w:val="22"/>
              </w:rPr>
            </w:pPr>
            <w:r>
              <w:rPr>
                <w:color w:val="000000"/>
                <w:sz w:val="22"/>
                <w:szCs w:val="22"/>
              </w:rPr>
              <w:t>(0.129)</w:t>
            </w:r>
          </w:p>
        </w:tc>
        <w:tc>
          <w:tcPr>
            <w:tcW w:w="1276" w:type="dxa"/>
            <w:tcBorders>
              <w:left w:val="single" w:sz="4" w:space="0" w:color="000000"/>
              <w:right w:val="single" w:sz="4" w:space="0" w:color="000000"/>
            </w:tcBorders>
            <w:shd w:val="clear" w:color="auto" w:fill="auto"/>
          </w:tcPr>
          <w:p w14:paraId="6D87789A" w14:textId="77777777" w:rsidR="00F80BB9" w:rsidRDefault="00F80BB9" w:rsidP="00F80BB9">
            <w:pPr>
              <w:spacing w:line="276" w:lineRule="auto"/>
              <w:jc w:val="center"/>
              <w:rPr>
                <w:color w:val="000000"/>
                <w:sz w:val="22"/>
                <w:szCs w:val="22"/>
              </w:rPr>
            </w:pPr>
            <w:r>
              <w:rPr>
                <w:color w:val="000000"/>
                <w:sz w:val="22"/>
                <w:szCs w:val="22"/>
              </w:rPr>
              <w:t>-0.176</w:t>
            </w:r>
          </w:p>
          <w:p w14:paraId="012AAABA" w14:textId="77777777" w:rsidR="00F80BB9" w:rsidRDefault="00F80BB9" w:rsidP="00F80BB9">
            <w:pPr>
              <w:spacing w:line="276" w:lineRule="auto"/>
              <w:jc w:val="center"/>
              <w:rPr>
                <w:color w:val="000000"/>
                <w:sz w:val="22"/>
                <w:szCs w:val="22"/>
              </w:rPr>
            </w:pPr>
            <w:r>
              <w:rPr>
                <w:color w:val="000000"/>
                <w:sz w:val="22"/>
                <w:szCs w:val="22"/>
              </w:rPr>
              <w:t>(0.100)</w:t>
            </w:r>
          </w:p>
        </w:tc>
        <w:tc>
          <w:tcPr>
            <w:tcW w:w="1276" w:type="dxa"/>
            <w:tcBorders>
              <w:left w:val="single" w:sz="4" w:space="0" w:color="000000"/>
            </w:tcBorders>
            <w:shd w:val="clear" w:color="auto" w:fill="auto"/>
            <w:vAlign w:val="center"/>
          </w:tcPr>
          <w:p w14:paraId="5CE461EF" w14:textId="77777777" w:rsidR="00F80BB9" w:rsidRDefault="00F80BB9" w:rsidP="00F80BB9">
            <w:pPr>
              <w:spacing w:line="276" w:lineRule="auto"/>
              <w:jc w:val="center"/>
              <w:rPr>
                <w:color w:val="000000"/>
                <w:sz w:val="22"/>
                <w:szCs w:val="22"/>
              </w:rPr>
            </w:pPr>
            <w:r>
              <w:rPr>
                <w:color w:val="000000"/>
                <w:sz w:val="22"/>
                <w:szCs w:val="22"/>
              </w:rPr>
              <w:t>1.1484***</w:t>
            </w:r>
          </w:p>
          <w:p w14:paraId="408DE8CA" w14:textId="77777777" w:rsidR="00F80BB9" w:rsidRDefault="00F80BB9" w:rsidP="00F80BB9">
            <w:pPr>
              <w:spacing w:line="276" w:lineRule="auto"/>
              <w:jc w:val="center"/>
              <w:rPr>
                <w:color w:val="000000"/>
                <w:sz w:val="22"/>
                <w:szCs w:val="22"/>
              </w:rPr>
            </w:pPr>
            <w:r>
              <w:rPr>
                <w:color w:val="000000"/>
                <w:sz w:val="22"/>
                <w:szCs w:val="22"/>
              </w:rPr>
              <w:t>(0.3121)</w:t>
            </w:r>
          </w:p>
        </w:tc>
      </w:tr>
      <w:tr w:rsidR="00F80BB9" w14:paraId="13F78A8D" w14:textId="77777777" w:rsidTr="00F80BB9">
        <w:trPr>
          <w:trHeight w:val="145"/>
        </w:trPr>
        <w:tc>
          <w:tcPr>
            <w:tcW w:w="2405" w:type="dxa"/>
            <w:vMerge/>
            <w:tcBorders>
              <w:top w:val="single" w:sz="4" w:space="0" w:color="000000"/>
              <w:left w:val="single" w:sz="4" w:space="0" w:color="000000"/>
              <w:right w:val="single" w:sz="4" w:space="0" w:color="000000"/>
            </w:tcBorders>
            <w:vAlign w:val="center"/>
          </w:tcPr>
          <w:p w14:paraId="6AF5F3EC" w14:textId="77777777" w:rsidR="00F80BB9" w:rsidRDefault="00F80BB9" w:rsidP="00F80BB9">
            <w:pPr>
              <w:widowControl w:val="0"/>
              <w:pBdr>
                <w:top w:val="nil"/>
                <w:left w:val="nil"/>
                <w:bottom w:val="nil"/>
                <w:right w:val="nil"/>
                <w:between w:val="nil"/>
              </w:pBdr>
              <w:spacing w:line="276" w:lineRule="auto"/>
              <w:rPr>
                <w:color w:val="000000"/>
                <w:sz w:val="22"/>
                <w:szCs w:val="22"/>
              </w:rPr>
            </w:pPr>
          </w:p>
        </w:tc>
        <w:tc>
          <w:tcPr>
            <w:tcW w:w="2552" w:type="dxa"/>
            <w:tcBorders>
              <w:top w:val="nil"/>
              <w:bottom w:val="single" w:sz="4" w:space="0" w:color="000000"/>
              <w:right w:val="single" w:sz="4" w:space="0" w:color="000000"/>
            </w:tcBorders>
            <w:shd w:val="clear" w:color="auto" w:fill="auto"/>
          </w:tcPr>
          <w:p w14:paraId="789B8E3B" w14:textId="77777777" w:rsidR="00F80BB9" w:rsidRPr="00D3061C" w:rsidRDefault="009C6D12" w:rsidP="00F80BB9">
            <w:pPr>
              <w:spacing w:line="276" w:lineRule="auto"/>
              <w:jc w:val="both"/>
              <w:rPr>
                <w:color w:val="000000"/>
                <w:sz w:val="22"/>
                <w:szCs w:val="22"/>
              </w:rPr>
            </w:pPr>
            <m:oMathPara>
              <m:oMathParaPr>
                <m:jc m:val="left"/>
              </m:oMathParaPr>
              <m:oMath>
                <m:sSub>
                  <m:sSubPr>
                    <m:ctrlPr>
                      <w:rPr>
                        <w:rFonts w:ascii="Cambria Math" w:hAnsi="Cambria Math"/>
                        <w:i/>
                        <w:color w:val="000000"/>
                        <w:sz w:val="22"/>
                        <w:szCs w:val="22"/>
                      </w:rPr>
                    </m:ctrlPr>
                  </m:sSubPr>
                  <m:e>
                    <m:r>
                      <w:rPr>
                        <w:rFonts w:ascii="Cambria Math" w:hAnsi="Cambria Math"/>
                        <w:color w:val="000000"/>
                        <w:sz w:val="22"/>
                        <w:szCs w:val="22"/>
                      </w:rPr>
                      <m:t>Interest Rate</m:t>
                    </m:r>
                  </m:e>
                  <m:sub>
                    <m:r>
                      <w:rPr>
                        <w:rFonts w:ascii="Cambria Math" w:hAnsi="Cambria Math"/>
                        <w:color w:val="000000"/>
                        <w:sz w:val="22"/>
                        <w:szCs w:val="22"/>
                      </w:rPr>
                      <m:t>t</m:t>
                    </m:r>
                  </m:sub>
                </m:sSub>
              </m:oMath>
            </m:oMathPara>
          </w:p>
        </w:tc>
        <w:tc>
          <w:tcPr>
            <w:tcW w:w="1275" w:type="dxa"/>
            <w:tcBorders>
              <w:left w:val="single" w:sz="4" w:space="0" w:color="000000"/>
              <w:bottom w:val="single" w:sz="4" w:space="0" w:color="000000"/>
              <w:right w:val="single" w:sz="4" w:space="0" w:color="000000"/>
            </w:tcBorders>
            <w:shd w:val="clear" w:color="auto" w:fill="auto"/>
            <w:vAlign w:val="center"/>
          </w:tcPr>
          <w:p w14:paraId="02AC640D" w14:textId="77777777" w:rsidR="00F80BB9" w:rsidRDefault="00F80BB9" w:rsidP="00F80BB9">
            <w:pPr>
              <w:spacing w:line="276" w:lineRule="auto"/>
              <w:jc w:val="center"/>
              <w:rPr>
                <w:color w:val="000000"/>
                <w:sz w:val="22"/>
                <w:szCs w:val="22"/>
              </w:rPr>
            </w:pPr>
            <w:r>
              <w:rPr>
                <w:color w:val="000000"/>
                <w:sz w:val="22"/>
                <w:szCs w:val="22"/>
              </w:rPr>
              <w:t>0.121</w:t>
            </w:r>
          </w:p>
          <w:p w14:paraId="2A86E884" w14:textId="77777777" w:rsidR="00F80BB9" w:rsidRDefault="00F80BB9" w:rsidP="00F80BB9">
            <w:pPr>
              <w:spacing w:line="276" w:lineRule="auto"/>
              <w:jc w:val="center"/>
              <w:rPr>
                <w:color w:val="000000"/>
                <w:sz w:val="22"/>
                <w:szCs w:val="22"/>
              </w:rPr>
            </w:pPr>
            <w:r>
              <w:rPr>
                <w:color w:val="000000"/>
                <w:sz w:val="22"/>
                <w:szCs w:val="22"/>
              </w:rPr>
              <w:t>(0.146)</w:t>
            </w:r>
          </w:p>
        </w:tc>
        <w:tc>
          <w:tcPr>
            <w:tcW w:w="1276" w:type="dxa"/>
            <w:tcBorders>
              <w:left w:val="single" w:sz="4" w:space="0" w:color="000000"/>
              <w:bottom w:val="single" w:sz="4" w:space="0" w:color="000000"/>
              <w:right w:val="single" w:sz="4" w:space="0" w:color="000000"/>
            </w:tcBorders>
            <w:shd w:val="clear" w:color="auto" w:fill="auto"/>
          </w:tcPr>
          <w:p w14:paraId="1492E6BA" w14:textId="77777777" w:rsidR="00F80BB9" w:rsidRDefault="00F80BB9" w:rsidP="00F80BB9">
            <w:pPr>
              <w:spacing w:line="276" w:lineRule="auto"/>
              <w:jc w:val="center"/>
              <w:rPr>
                <w:color w:val="000000"/>
                <w:sz w:val="22"/>
                <w:szCs w:val="22"/>
              </w:rPr>
            </w:pPr>
            <w:r>
              <w:rPr>
                <w:color w:val="000000"/>
                <w:sz w:val="22"/>
                <w:szCs w:val="22"/>
              </w:rPr>
              <w:t>-0.047</w:t>
            </w:r>
          </w:p>
          <w:p w14:paraId="62AA1EB9" w14:textId="77777777" w:rsidR="00F80BB9" w:rsidRDefault="00F80BB9" w:rsidP="00F80BB9">
            <w:pPr>
              <w:spacing w:line="276" w:lineRule="auto"/>
              <w:jc w:val="center"/>
              <w:rPr>
                <w:color w:val="000000"/>
                <w:sz w:val="22"/>
                <w:szCs w:val="22"/>
              </w:rPr>
            </w:pPr>
            <w:r>
              <w:rPr>
                <w:color w:val="000000"/>
                <w:sz w:val="22"/>
                <w:szCs w:val="22"/>
              </w:rPr>
              <w:t>(0.107)</w:t>
            </w:r>
          </w:p>
        </w:tc>
        <w:tc>
          <w:tcPr>
            <w:tcW w:w="1276" w:type="dxa"/>
            <w:tcBorders>
              <w:left w:val="single" w:sz="4" w:space="0" w:color="000000"/>
              <w:bottom w:val="single" w:sz="4" w:space="0" w:color="000000"/>
            </w:tcBorders>
            <w:shd w:val="clear" w:color="auto" w:fill="auto"/>
            <w:vAlign w:val="center"/>
          </w:tcPr>
          <w:p w14:paraId="33697F0B" w14:textId="77777777" w:rsidR="00F80BB9" w:rsidRDefault="00F80BB9" w:rsidP="00F80BB9">
            <w:pPr>
              <w:spacing w:line="276" w:lineRule="auto"/>
              <w:jc w:val="center"/>
              <w:rPr>
                <w:color w:val="000000"/>
                <w:sz w:val="22"/>
                <w:szCs w:val="22"/>
              </w:rPr>
            </w:pPr>
            <w:r>
              <w:rPr>
                <w:color w:val="000000"/>
                <w:sz w:val="22"/>
                <w:szCs w:val="22"/>
              </w:rPr>
              <w:t>2.0376</w:t>
            </w:r>
          </w:p>
          <w:p w14:paraId="713B88AF" w14:textId="77777777" w:rsidR="00F80BB9" w:rsidRDefault="00F80BB9" w:rsidP="00F80BB9">
            <w:pPr>
              <w:spacing w:line="276" w:lineRule="auto"/>
              <w:jc w:val="center"/>
              <w:rPr>
                <w:color w:val="000000"/>
                <w:sz w:val="22"/>
                <w:szCs w:val="22"/>
              </w:rPr>
            </w:pPr>
            <w:r>
              <w:rPr>
                <w:color w:val="000000"/>
                <w:sz w:val="22"/>
                <w:szCs w:val="22"/>
              </w:rPr>
              <w:t>(0.6413)</w:t>
            </w:r>
          </w:p>
        </w:tc>
      </w:tr>
      <w:tr w:rsidR="00F80BB9" w14:paraId="4B492785" w14:textId="77777777" w:rsidTr="00F80BB9">
        <w:trPr>
          <w:trHeight w:val="145"/>
        </w:trPr>
        <w:tc>
          <w:tcPr>
            <w:tcW w:w="7508" w:type="dxa"/>
            <w:gridSpan w:val="4"/>
            <w:tcBorders>
              <w:top w:val="single" w:sz="4" w:space="0" w:color="000000"/>
              <w:bottom w:val="single" w:sz="4" w:space="0" w:color="000000"/>
              <w:right w:val="single" w:sz="4" w:space="0" w:color="000000"/>
            </w:tcBorders>
            <w:vAlign w:val="center"/>
          </w:tcPr>
          <w:p w14:paraId="1A8B0922" w14:textId="5B6DA04B" w:rsidR="00F80BB9" w:rsidRDefault="00F80BB9" w:rsidP="00F80BB9">
            <w:pPr>
              <w:rPr>
                <w:sz w:val="22"/>
                <w:szCs w:val="22"/>
              </w:rPr>
            </w:pPr>
            <w:r>
              <w:rPr>
                <w:color w:val="000000"/>
                <w:sz w:val="22"/>
                <w:szCs w:val="22"/>
              </w:rPr>
              <w:t>AR (1)</w:t>
            </w:r>
          </w:p>
        </w:tc>
        <w:tc>
          <w:tcPr>
            <w:tcW w:w="1276" w:type="dxa"/>
            <w:tcBorders>
              <w:top w:val="single" w:sz="4" w:space="0" w:color="000000"/>
              <w:left w:val="single" w:sz="4" w:space="0" w:color="000000"/>
              <w:bottom w:val="single" w:sz="4" w:space="0" w:color="000000"/>
            </w:tcBorders>
            <w:shd w:val="clear" w:color="auto" w:fill="auto"/>
            <w:vAlign w:val="center"/>
          </w:tcPr>
          <w:p w14:paraId="62EA22E2" w14:textId="77777777" w:rsidR="00F80BB9" w:rsidRDefault="00F80BB9" w:rsidP="00F80BB9">
            <w:pPr>
              <w:jc w:val="center"/>
              <w:rPr>
                <w:color w:val="000000"/>
                <w:sz w:val="22"/>
                <w:szCs w:val="22"/>
              </w:rPr>
            </w:pPr>
            <w:r>
              <w:rPr>
                <w:color w:val="000000"/>
                <w:sz w:val="22"/>
                <w:szCs w:val="22"/>
              </w:rPr>
              <w:t>0.001</w:t>
            </w:r>
          </w:p>
        </w:tc>
      </w:tr>
      <w:tr w:rsidR="00F80BB9" w14:paraId="301C17B5" w14:textId="77777777" w:rsidTr="00F80BB9">
        <w:trPr>
          <w:trHeight w:val="153"/>
        </w:trPr>
        <w:tc>
          <w:tcPr>
            <w:tcW w:w="7508" w:type="dxa"/>
            <w:gridSpan w:val="4"/>
            <w:tcBorders>
              <w:top w:val="single" w:sz="4" w:space="0" w:color="000000"/>
              <w:bottom w:val="single" w:sz="4" w:space="0" w:color="000000"/>
              <w:right w:val="single" w:sz="4" w:space="0" w:color="000000"/>
            </w:tcBorders>
            <w:vAlign w:val="center"/>
          </w:tcPr>
          <w:p w14:paraId="507DF6FA" w14:textId="77777777" w:rsidR="00F80BB9" w:rsidRDefault="00F80BB9" w:rsidP="00F80BB9">
            <w:pPr>
              <w:rPr>
                <w:sz w:val="22"/>
                <w:szCs w:val="22"/>
              </w:rPr>
            </w:pPr>
            <w:r>
              <w:rPr>
                <w:color w:val="000000"/>
                <w:sz w:val="22"/>
                <w:szCs w:val="22"/>
              </w:rPr>
              <w:t>AR (2)</w:t>
            </w:r>
          </w:p>
        </w:tc>
        <w:tc>
          <w:tcPr>
            <w:tcW w:w="1276" w:type="dxa"/>
            <w:tcBorders>
              <w:top w:val="single" w:sz="4" w:space="0" w:color="000000"/>
              <w:left w:val="single" w:sz="4" w:space="0" w:color="000000"/>
              <w:bottom w:val="single" w:sz="4" w:space="0" w:color="000000"/>
            </w:tcBorders>
            <w:shd w:val="clear" w:color="auto" w:fill="auto"/>
            <w:vAlign w:val="center"/>
          </w:tcPr>
          <w:p w14:paraId="0B78B09C" w14:textId="77777777" w:rsidR="00F80BB9" w:rsidRDefault="00F80BB9" w:rsidP="00F80BB9">
            <w:pPr>
              <w:jc w:val="center"/>
              <w:rPr>
                <w:color w:val="000000"/>
                <w:sz w:val="22"/>
                <w:szCs w:val="22"/>
              </w:rPr>
            </w:pPr>
            <w:r>
              <w:rPr>
                <w:color w:val="000000"/>
                <w:sz w:val="22"/>
                <w:szCs w:val="22"/>
              </w:rPr>
              <w:t>0.192</w:t>
            </w:r>
          </w:p>
        </w:tc>
      </w:tr>
      <w:tr w:rsidR="00F80BB9" w14:paraId="3A16C544" w14:textId="77777777" w:rsidTr="00F80BB9">
        <w:trPr>
          <w:trHeight w:val="145"/>
        </w:trPr>
        <w:tc>
          <w:tcPr>
            <w:tcW w:w="7508" w:type="dxa"/>
            <w:gridSpan w:val="4"/>
            <w:tcBorders>
              <w:top w:val="single" w:sz="4" w:space="0" w:color="000000"/>
              <w:bottom w:val="single" w:sz="4" w:space="0" w:color="000000"/>
              <w:right w:val="single" w:sz="4" w:space="0" w:color="000000"/>
            </w:tcBorders>
            <w:vAlign w:val="center"/>
          </w:tcPr>
          <w:p w14:paraId="40C635B9" w14:textId="03D2AF23" w:rsidR="00F80BB9" w:rsidRDefault="00F80BB9" w:rsidP="00F80BB9">
            <w:pPr>
              <w:rPr>
                <w:color w:val="000000"/>
                <w:sz w:val="22"/>
                <w:szCs w:val="22"/>
              </w:rPr>
            </w:pPr>
            <w:r>
              <w:rPr>
                <w:color w:val="000000"/>
                <w:sz w:val="22"/>
                <w:szCs w:val="22"/>
              </w:rPr>
              <w:t>Hansen J p-value</w:t>
            </w:r>
          </w:p>
        </w:tc>
        <w:tc>
          <w:tcPr>
            <w:tcW w:w="1276" w:type="dxa"/>
            <w:tcBorders>
              <w:top w:val="single" w:sz="4" w:space="0" w:color="000000"/>
              <w:left w:val="single" w:sz="4" w:space="0" w:color="000000"/>
              <w:bottom w:val="single" w:sz="4" w:space="0" w:color="000000"/>
            </w:tcBorders>
            <w:shd w:val="clear" w:color="auto" w:fill="auto"/>
            <w:vAlign w:val="center"/>
          </w:tcPr>
          <w:p w14:paraId="0F07D22D" w14:textId="77777777" w:rsidR="00F80BB9" w:rsidRDefault="00F80BB9" w:rsidP="00F80BB9">
            <w:pPr>
              <w:jc w:val="center"/>
              <w:rPr>
                <w:color w:val="000000"/>
                <w:sz w:val="22"/>
                <w:szCs w:val="22"/>
              </w:rPr>
            </w:pPr>
            <w:r>
              <w:rPr>
                <w:color w:val="000000"/>
                <w:sz w:val="22"/>
                <w:szCs w:val="22"/>
              </w:rPr>
              <w:t>0.221</w:t>
            </w:r>
          </w:p>
        </w:tc>
      </w:tr>
      <w:tr w:rsidR="00F80BB9" w14:paraId="0DD43846" w14:textId="77777777" w:rsidTr="00F80BB9">
        <w:trPr>
          <w:trHeight w:val="145"/>
        </w:trPr>
        <w:tc>
          <w:tcPr>
            <w:tcW w:w="7508" w:type="dxa"/>
            <w:gridSpan w:val="4"/>
            <w:tcBorders>
              <w:top w:val="single" w:sz="4" w:space="0" w:color="000000"/>
              <w:bottom w:val="single" w:sz="4" w:space="0" w:color="000000"/>
              <w:right w:val="single" w:sz="4" w:space="0" w:color="000000"/>
            </w:tcBorders>
            <w:vAlign w:val="center"/>
          </w:tcPr>
          <w:p w14:paraId="169A8F08" w14:textId="0611F2BF" w:rsidR="00F80BB9" w:rsidRDefault="00F80BB9" w:rsidP="00F80BB9">
            <w:pPr>
              <w:rPr>
                <w:color w:val="000000"/>
                <w:sz w:val="22"/>
                <w:szCs w:val="22"/>
              </w:rPr>
            </w:pPr>
            <w:r>
              <w:rPr>
                <w:color w:val="000000"/>
                <w:sz w:val="22"/>
                <w:szCs w:val="22"/>
              </w:rPr>
              <w:t>No. of Instruments</w:t>
            </w:r>
          </w:p>
        </w:tc>
        <w:tc>
          <w:tcPr>
            <w:tcW w:w="1276" w:type="dxa"/>
            <w:tcBorders>
              <w:top w:val="single" w:sz="4" w:space="0" w:color="000000"/>
              <w:left w:val="single" w:sz="4" w:space="0" w:color="000000"/>
              <w:bottom w:val="single" w:sz="4" w:space="0" w:color="000000"/>
            </w:tcBorders>
            <w:shd w:val="clear" w:color="auto" w:fill="auto"/>
            <w:vAlign w:val="center"/>
          </w:tcPr>
          <w:p w14:paraId="426DEAC4" w14:textId="77777777" w:rsidR="00F80BB9" w:rsidRDefault="00F80BB9" w:rsidP="00F80BB9">
            <w:pPr>
              <w:jc w:val="center"/>
              <w:rPr>
                <w:color w:val="000000"/>
                <w:sz w:val="22"/>
                <w:szCs w:val="22"/>
              </w:rPr>
            </w:pPr>
            <w:r>
              <w:rPr>
                <w:color w:val="000000"/>
                <w:sz w:val="22"/>
                <w:szCs w:val="22"/>
              </w:rPr>
              <w:t>185</w:t>
            </w:r>
          </w:p>
        </w:tc>
      </w:tr>
      <w:tr w:rsidR="00F80BB9" w14:paraId="1D7C6351" w14:textId="77777777" w:rsidTr="00F80BB9">
        <w:trPr>
          <w:trHeight w:val="32"/>
        </w:trPr>
        <w:tc>
          <w:tcPr>
            <w:tcW w:w="7508" w:type="dxa"/>
            <w:gridSpan w:val="4"/>
            <w:tcBorders>
              <w:top w:val="single" w:sz="4" w:space="0" w:color="000000"/>
              <w:bottom w:val="single" w:sz="4" w:space="0" w:color="000000"/>
              <w:right w:val="single" w:sz="4" w:space="0" w:color="000000"/>
            </w:tcBorders>
            <w:vAlign w:val="center"/>
          </w:tcPr>
          <w:p w14:paraId="217F8B75" w14:textId="735F42B6" w:rsidR="00F80BB9" w:rsidRDefault="00F80BB9" w:rsidP="00F80BB9">
            <w:pPr>
              <w:rPr>
                <w:color w:val="000000"/>
                <w:sz w:val="22"/>
                <w:szCs w:val="22"/>
              </w:rPr>
            </w:pPr>
            <w:r>
              <w:rPr>
                <w:color w:val="000000"/>
                <w:sz w:val="22"/>
                <w:szCs w:val="22"/>
              </w:rPr>
              <w:t>No. of Observations</w:t>
            </w:r>
          </w:p>
        </w:tc>
        <w:tc>
          <w:tcPr>
            <w:tcW w:w="1276" w:type="dxa"/>
            <w:tcBorders>
              <w:top w:val="single" w:sz="4" w:space="0" w:color="000000"/>
              <w:left w:val="single" w:sz="4" w:space="0" w:color="000000"/>
              <w:bottom w:val="single" w:sz="4" w:space="0" w:color="000000"/>
            </w:tcBorders>
            <w:shd w:val="clear" w:color="auto" w:fill="auto"/>
            <w:vAlign w:val="center"/>
          </w:tcPr>
          <w:p w14:paraId="3515B98F" w14:textId="77777777" w:rsidR="00F80BB9" w:rsidRDefault="00F80BB9" w:rsidP="00F80BB9">
            <w:pPr>
              <w:jc w:val="center"/>
              <w:rPr>
                <w:color w:val="000000"/>
                <w:sz w:val="22"/>
                <w:szCs w:val="22"/>
              </w:rPr>
            </w:pPr>
            <w:r>
              <w:rPr>
                <w:color w:val="000000"/>
                <w:sz w:val="22"/>
                <w:szCs w:val="22"/>
              </w:rPr>
              <w:t>5174</w:t>
            </w:r>
          </w:p>
        </w:tc>
      </w:tr>
      <w:tr w:rsidR="00F80BB9" w14:paraId="1C3CF69B" w14:textId="77777777" w:rsidTr="00F80BB9">
        <w:trPr>
          <w:trHeight w:val="32"/>
        </w:trPr>
        <w:tc>
          <w:tcPr>
            <w:tcW w:w="7508" w:type="dxa"/>
            <w:gridSpan w:val="4"/>
            <w:tcBorders>
              <w:top w:val="single" w:sz="4" w:space="0" w:color="000000"/>
              <w:bottom w:val="single" w:sz="4" w:space="0" w:color="000000"/>
              <w:right w:val="single" w:sz="4" w:space="0" w:color="000000"/>
            </w:tcBorders>
            <w:vAlign w:val="center"/>
          </w:tcPr>
          <w:p w14:paraId="47FACF06" w14:textId="753DA4C3" w:rsidR="00F80BB9" w:rsidRDefault="00F80BB9" w:rsidP="00F80BB9">
            <w:pPr>
              <w:rPr>
                <w:color w:val="000000"/>
                <w:sz w:val="22"/>
                <w:szCs w:val="22"/>
              </w:rPr>
            </w:pPr>
            <w:r>
              <w:rPr>
                <w:color w:val="000000"/>
                <w:sz w:val="22"/>
                <w:szCs w:val="22"/>
              </w:rPr>
              <w:t>No. of Banks/groups</w:t>
            </w:r>
          </w:p>
        </w:tc>
        <w:tc>
          <w:tcPr>
            <w:tcW w:w="1276" w:type="dxa"/>
            <w:tcBorders>
              <w:top w:val="single" w:sz="4" w:space="0" w:color="000000"/>
              <w:left w:val="single" w:sz="4" w:space="0" w:color="000000"/>
              <w:bottom w:val="single" w:sz="4" w:space="0" w:color="000000"/>
            </w:tcBorders>
            <w:shd w:val="clear" w:color="auto" w:fill="auto"/>
            <w:vAlign w:val="center"/>
          </w:tcPr>
          <w:p w14:paraId="7BE506A6" w14:textId="77777777" w:rsidR="00F80BB9" w:rsidRDefault="00F80BB9" w:rsidP="00F80BB9">
            <w:pPr>
              <w:jc w:val="center"/>
              <w:rPr>
                <w:color w:val="000000"/>
                <w:sz w:val="22"/>
                <w:szCs w:val="22"/>
              </w:rPr>
            </w:pPr>
            <w:r>
              <w:rPr>
                <w:color w:val="000000"/>
                <w:sz w:val="22"/>
                <w:szCs w:val="22"/>
              </w:rPr>
              <w:t>454</w:t>
            </w:r>
          </w:p>
        </w:tc>
      </w:tr>
    </w:tbl>
    <w:p w14:paraId="41638D30" w14:textId="63EC790A" w:rsidR="00F71210" w:rsidRPr="00366A4B" w:rsidRDefault="002D6F28" w:rsidP="00366A4B">
      <w:pPr>
        <w:pBdr>
          <w:top w:val="nil"/>
          <w:left w:val="nil"/>
          <w:bottom w:val="nil"/>
          <w:right w:val="nil"/>
          <w:between w:val="nil"/>
        </w:pBdr>
        <w:spacing w:before="120" w:line="360" w:lineRule="auto"/>
        <w:jc w:val="both"/>
        <w:rPr>
          <w:color w:val="000000"/>
        </w:rPr>
      </w:pPr>
      <w:r>
        <w:rPr>
          <w:color w:val="000000"/>
        </w:rPr>
        <w:lastRenderedPageBreak/>
        <w:t xml:space="preserve">banking sector of USA is not very competitive, the result can be due to the overflowing loans during the economic boom and a large amount of non-performing loans before, during and after the global financial crisis. </w:t>
      </w:r>
      <w:r w:rsidR="00F80BB9">
        <w:rPr>
          <w:color w:val="000000"/>
        </w:rPr>
        <w:t>This reason is also confirmed by Shen and Liu (2008) and Sufian (2009).</w:t>
      </w:r>
      <w:r w:rsidR="00F80BB9" w:rsidRPr="009B7779">
        <w:rPr>
          <w:color w:val="000000"/>
        </w:rPr>
        <w:t xml:space="preserve"> </w:t>
      </w:r>
      <w:r w:rsidR="00F80BB9">
        <w:rPr>
          <w:color w:val="000000"/>
        </w:rPr>
        <w:t>Similarly, the money supply growth rate is also significantly and negatively influencing the profitability of US banks. Kosmidou (2008), Mamatzakis and Remoundos (2003), and Sufian and Habibullah (2009) all f</w:t>
      </w:r>
      <w:r w:rsidR="005521DF">
        <w:rPr>
          <w:color w:val="000000"/>
        </w:rPr>
        <w:t>i</w:t>
      </w:r>
      <w:r w:rsidR="00F80BB9">
        <w:rPr>
          <w:color w:val="000000"/>
        </w:rPr>
        <w:t xml:space="preserve">nd a positive relationship between money supply and profitability. The reason of such negative relationship can be the case of reduced demand for bank loans and advances due to increased money supply in the economy and the US banks may not be able to reduce the funding cost that much as they are mostly </w:t>
      </w:r>
      <w:r w:rsidR="00F80BB9">
        <w:t>dependent</w:t>
      </w:r>
      <w:r w:rsidR="00F80BB9">
        <w:rPr>
          <w:color w:val="000000"/>
        </w:rPr>
        <w:t xml:space="preserve"> on the wholesale source of funding</w:t>
      </w:r>
      <w:r w:rsidR="00873F1A">
        <w:rPr>
          <w:color w:val="000000"/>
        </w:rPr>
        <w:t xml:space="preserve">. </w:t>
      </w:r>
      <w:r w:rsidR="0004642E">
        <w:rPr>
          <w:color w:val="000000"/>
        </w:rPr>
        <w:t xml:space="preserve">On the other hand, inflation and interest rate are positively influencing the profitability of US banks and the impact of inflation is very significant. The positive relation between inflation and profitability indicates that banks in the USA could anticipate the inflation </w:t>
      </w:r>
      <w:r w:rsidR="00366A4B">
        <w:rPr>
          <w:color w:val="000000"/>
        </w:rPr>
        <w:t>beforehand</w:t>
      </w:r>
      <w:r w:rsidR="0004642E">
        <w:rPr>
          <w:color w:val="000000"/>
        </w:rPr>
        <w:t xml:space="preserve"> and adjust the interest rate to stabilise profit as USA experienced a fluctuating interest rate during the studied period. The increased inflation increases the nominal interest rate charged on loans (Fisher’s theory) and increase the interest income for banks. Further, if inflation is predicted by households, their current demand for consumption and hence the demand for banks’ money for example use of credit cards, which again increases the bank profitability.</w:t>
      </w:r>
      <w:r w:rsidR="0004642E" w:rsidRPr="00366A4B">
        <w:rPr>
          <w:color w:val="000000"/>
        </w:rPr>
        <w:t xml:space="preserve"> </w:t>
      </w:r>
      <w:r w:rsidR="00366A4B">
        <w:rPr>
          <w:color w:val="000000"/>
        </w:rPr>
        <w:t xml:space="preserve">Overall, the results for the controlled variables are matching with our expected results.    </w:t>
      </w:r>
    </w:p>
    <w:p w14:paraId="10AF67B2" w14:textId="77777777" w:rsidR="00366A4B" w:rsidRDefault="00366A4B">
      <w:pPr>
        <w:pBdr>
          <w:top w:val="nil"/>
          <w:left w:val="nil"/>
          <w:bottom w:val="nil"/>
          <w:right w:val="nil"/>
          <w:between w:val="nil"/>
        </w:pBdr>
        <w:spacing w:before="120" w:after="40" w:line="360" w:lineRule="auto"/>
        <w:jc w:val="both"/>
        <w:rPr>
          <w:b/>
          <w:color w:val="000000"/>
        </w:rPr>
      </w:pPr>
    </w:p>
    <w:p w14:paraId="232C3AD6" w14:textId="76903E61" w:rsidR="00F71210" w:rsidRDefault="002A6ADB">
      <w:pPr>
        <w:pBdr>
          <w:top w:val="nil"/>
          <w:left w:val="nil"/>
          <w:bottom w:val="nil"/>
          <w:right w:val="nil"/>
          <w:between w:val="nil"/>
        </w:pBdr>
        <w:spacing w:before="120" w:after="40" w:line="360" w:lineRule="auto"/>
        <w:jc w:val="both"/>
        <w:rPr>
          <w:b/>
          <w:color w:val="000000"/>
        </w:rPr>
      </w:pPr>
      <w:r>
        <w:rPr>
          <w:b/>
          <w:color w:val="000000"/>
        </w:rPr>
        <w:t>5</w:t>
      </w:r>
      <w:r w:rsidR="0004642E">
        <w:rPr>
          <w:b/>
          <w:color w:val="000000"/>
        </w:rPr>
        <w:t>.0 Conclusion</w:t>
      </w:r>
    </w:p>
    <w:p w14:paraId="2F4F7566" w14:textId="7682DCB3" w:rsidR="00F71210" w:rsidRDefault="0004642E" w:rsidP="003A3C73">
      <w:pPr>
        <w:pBdr>
          <w:top w:val="nil"/>
          <w:left w:val="nil"/>
          <w:bottom w:val="nil"/>
          <w:right w:val="nil"/>
          <w:between w:val="nil"/>
        </w:pBdr>
        <w:spacing w:before="120" w:line="360" w:lineRule="auto"/>
        <w:ind w:firstLine="720"/>
        <w:jc w:val="both"/>
        <w:rPr>
          <w:color w:val="000000"/>
        </w:rPr>
      </w:pPr>
      <w:r>
        <w:rPr>
          <w:color w:val="000000"/>
        </w:rPr>
        <w:t xml:space="preserve">The objective of this study was to examine the </w:t>
      </w:r>
      <w:r w:rsidR="003A3C73">
        <w:rPr>
          <w:color w:val="000000"/>
        </w:rPr>
        <w:t>impact of</w:t>
      </w:r>
      <w:r>
        <w:rPr>
          <w:color w:val="000000"/>
        </w:rPr>
        <w:t xml:space="preserve"> ownership structure and cost efficiency </w:t>
      </w:r>
      <w:r w:rsidR="003A3C73">
        <w:rPr>
          <w:color w:val="000000"/>
        </w:rPr>
        <w:t xml:space="preserve">on </w:t>
      </w:r>
      <w:r>
        <w:rPr>
          <w:color w:val="000000"/>
        </w:rPr>
        <w:t>profitability of US commercial and savings banks. This analysis has used a total of 5,174 observations from a total of 454 banks and 16 years’ annual data from 2003 to 2018</w:t>
      </w:r>
      <w:r w:rsidR="003A3C73">
        <w:rPr>
          <w:color w:val="000000"/>
        </w:rPr>
        <w:t xml:space="preserve">. We find that the foreign banks are not very much dominant in the commercial banking sector of USA. </w:t>
      </w:r>
      <w:r>
        <w:rPr>
          <w:color w:val="000000"/>
        </w:rPr>
        <w:t xml:space="preserve">The econometric investigation reveals that the profitability of foreign banks is less than the domestic banks, the profitability of the listed banks are higher than the unlisted or privately-owned banks, and that the profitability of the US banks increase with the increase in cost efficiency. Moreover, the profitability of the US banks is significantly positively influenced by the previous years’ ROAE, bank size and inflation when banks’ capital level, market capitalisation and growth rate of money supply in the economy found to be having significantly negative impact on the profitability. Finally, the </w:t>
      </w:r>
      <w:r w:rsidR="003A3C73">
        <w:rPr>
          <w:color w:val="000000"/>
        </w:rPr>
        <w:t>analysis</w:t>
      </w:r>
      <w:r>
        <w:rPr>
          <w:color w:val="000000"/>
        </w:rPr>
        <w:t xml:space="preserve"> also uncovers that the commercial banks are more profitable than their savings counterparts in the USA and that the banks have experienced a lower profitability during the crisis period </w:t>
      </w:r>
      <w:r>
        <w:t>of the GFC</w:t>
      </w:r>
      <w:r>
        <w:rPr>
          <w:color w:val="000000"/>
        </w:rPr>
        <w:t xml:space="preserve">. </w:t>
      </w:r>
    </w:p>
    <w:p w14:paraId="16578F84" w14:textId="1F5D49BD" w:rsidR="00F71210" w:rsidRDefault="0004642E">
      <w:pPr>
        <w:pBdr>
          <w:top w:val="nil"/>
          <w:left w:val="nil"/>
          <w:bottom w:val="nil"/>
          <w:right w:val="nil"/>
          <w:between w:val="nil"/>
        </w:pBdr>
        <w:spacing w:before="120" w:line="360" w:lineRule="auto"/>
        <w:ind w:firstLine="720"/>
        <w:jc w:val="both"/>
        <w:rPr>
          <w:color w:val="000000"/>
        </w:rPr>
      </w:pPr>
      <w:r>
        <w:rPr>
          <w:color w:val="000000"/>
        </w:rPr>
        <w:lastRenderedPageBreak/>
        <w:t xml:space="preserve">The findings of the study have some important implications. From the bank managers’ perspective, </w:t>
      </w:r>
      <w:r w:rsidR="00555703">
        <w:rPr>
          <w:color w:val="000000"/>
        </w:rPr>
        <w:t xml:space="preserve">to be profitable, </w:t>
      </w:r>
      <w:r>
        <w:rPr>
          <w:color w:val="000000"/>
        </w:rPr>
        <w:t xml:space="preserve">the banks should be well capitalised, of decent sized, less aggressive in risky investments, more concerned in underwriting, monitoring, and controlling lending, and with a perfect amount of liquidity level. The regulators, on the other hand, although enacted a great number of one-size-fits-all laws and regulations after the GFC to Silverline the banking industry of the USA, </w:t>
      </w:r>
      <w:r w:rsidR="00555703">
        <w:rPr>
          <w:color w:val="000000"/>
        </w:rPr>
        <w:t xml:space="preserve">should come up with </w:t>
      </w:r>
      <w:r>
        <w:rPr>
          <w:color w:val="000000"/>
        </w:rPr>
        <w:t>more customised and classified policies to bring back the confidence of the people on the banking sector.</w:t>
      </w:r>
    </w:p>
    <w:p w14:paraId="38297D0A" w14:textId="136283B6" w:rsidR="00F71210" w:rsidRDefault="0004642E">
      <w:pPr>
        <w:pBdr>
          <w:top w:val="nil"/>
          <w:left w:val="nil"/>
          <w:bottom w:val="nil"/>
          <w:right w:val="nil"/>
          <w:between w:val="nil"/>
        </w:pBdr>
        <w:spacing w:before="120" w:line="360" w:lineRule="auto"/>
        <w:ind w:firstLine="720"/>
        <w:jc w:val="both"/>
        <w:rPr>
          <w:color w:val="000000"/>
        </w:rPr>
      </w:pPr>
      <w:r>
        <w:rPr>
          <w:color w:val="000000"/>
        </w:rPr>
        <w:t xml:space="preserve">The main limitation of the study is the sample selection bias because the banks are selected merely based on the availability of the required information and forms only approximately 8.7% and 15.23% of the currently active commercial and savings banks respectively. A further investigation with a larger sample is therefore required. Finally, there may be some effects of </w:t>
      </w:r>
      <w:r w:rsidR="00555703">
        <w:rPr>
          <w:color w:val="000000"/>
        </w:rPr>
        <w:t>extreme values</w:t>
      </w:r>
      <w:r>
        <w:rPr>
          <w:color w:val="000000"/>
        </w:rPr>
        <w:t xml:space="preserve"> on the estimates </w:t>
      </w:r>
      <w:r w:rsidR="004548AA">
        <w:rPr>
          <w:color w:val="000000"/>
        </w:rPr>
        <w:t>and</w:t>
      </w:r>
      <w:r w:rsidR="00555703">
        <w:rPr>
          <w:color w:val="000000"/>
        </w:rPr>
        <w:t xml:space="preserve"> </w:t>
      </w:r>
      <w:r>
        <w:rPr>
          <w:color w:val="000000"/>
        </w:rPr>
        <w:t xml:space="preserve">differences </w:t>
      </w:r>
      <w:r w:rsidR="00555703">
        <w:rPr>
          <w:color w:val="000000"/>
        </w:rPr>
        <w:t xml:space="preserve">in </w:t>
      </w:r>
      <w:r>
        <w:rPr>
          <w:color w:val="000000"/>
        </w:rPr>
        <w:t>inter-state regulations</w:t>
      </w:r>
      <w:r w:rsidR="00555703">
        <w:rPr>
          <w:color w:val="000000"/>
        </w:rPr>
        <w:t xml:space="preserve"> and characteristics have not been taken into consideration</w:t>
      </w:r>
      <w:r>
        <w:rPr>
          <w:color w:val="000000"/>
        </w:rPr>
        <w:t xml:space="preserve">. </w:t>
      </w:r>
    </w:p>
    <w:p w14:paraId="2AAECA6A" w14:textId="77777777" w:rsidR="00F71210" w:rsidRDefault="0004642E">
      <w:pPr>
        <w:jc w:val="both"/>
      </w:pPr>
      <w:r>
        <w:t xml:space="preserve">       </w:t>
      </w:r>
    </w:p>
    <w:p w14:paraId="0E981FEC" w14:textId="77777777" w:rsidR="00F71210" w:rsidRDefault="0004642E">
      <w:pPr>
        <w:rPr>
          <w:color w:val="000000"/>
        </w:rPr>
      </w:pPr>
      <w:r>
        <w:rPr>
          <w:color w:val="000000"/>
        </w:rPr>
        <w:t xml:space="preserve"> </w:t>
      </w:r>
    </w:p>
    <w:p w14:paraId="3480A23D" w14:textId="019172EF" w:rsidR="00F71210" w:rsidRDefault="00F71210" w:rsidP="004548AA">
      <w:pPr>
        <w:jc w:val="center"/>
        <w:rPr>
          <w:color w:val="000000"/>
        </w:rPr>
      </w:pPr>
    </w:p>
    <w:sectPr w:rsidR="00F71210">
      <w:pgSz w:w="11900" w:h="16840"/>
      <w:pgMar w:top="1440" w:right="1440" w:bottom="907"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50CEE" w14:textId="77777777" w:rsidR="009C6D12" w:rsidRDefault="009C6D12">
      <w:r>
        <w:separator/>
      </w:r>
    </w:p>
  </w:endnote>
  <w:endnote w:type="continuationSeparator" w:id="0">
    <w:p w14:paraId="2E2AF595" w14:textId="77777777" w:rsidR="009C6D12" w:rsidRDefault="009C6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0E017" w14:textId="77777777" w:rsidR="009C6D12" w:rsidRDefault="009C6D12">
      <w:r>
        <w:separator/>
      </w:r>
    </w:p>
  </w:footnote>
  <w:footnote w:type="continuationSeparator" w:id="0">
    <w:p w14:paraId="6584864A" w14:textId="77777777" w:rsidR="009C6D12" w:rsidRDefault="009C6D12">
      <w:r>
        <w:continuationSeparator/>
      </w:r>
    </w:p>
  </w:footnote>
  <w:footnote w:id="1">
    <w:p w14:paraId="5EF17409" w14:textId="33D20E6C" w:rsidR="00F71210" w:rsidRPr="002547C9" w:rsidRDefault="0004642E" w:rsidP="002547C9">
      <w:pPr>
        <w:pBdr>
          <w:top w:val="nil"/>
          <w:left w:val="nil"/>
          <w:bottom w:val="nil"/>
          <w:right w:val="nil"/>
          <w:between w:val="nil"/>
        </w:pBdr>
        <w:tabs>
          <w:tab w:val="left" w:pos="1134"/>
          <w:tab w:val="left" w:pos="2835"/>
        </w:tabs>
        <w:jc w:val="both"/>
        <w:rPr>
          <w:color w:val="000000"/>
          <w:sz w:val="20"/>
          <w:szCs w:val="20"/>
        </w:rPr>
      </w:pPr>
      <w:r>
        <w:rPr>
          <w:rStyle w:val="FootnoteReference"/>
        </w:rPr>
        <w:footnoteRef/>
      </w:r>
      <w:r>
        <w:rPr>
          <w:color w:val="000000"/>
        </w:rPr>
        <w:t xml:space="preserve"> </w:t>
      </w:r>
      <w:r>
        <w:rPr>
          <w:color w:val="000000"/>
          <w:sz w:val="20"/>
          <w:szCs w:val="20"/>
        </w:rPr>
        <w:t>The value of the cost efficiency is measured with the help of single step Stochastic Frontier Analysis</w:t>
      </w:r>
      <w:r w:rsidR="002547C9">
        <w:rPr>
          <w:color w:val="000000"/>
          <w:sz w:val="20"/>
          <w:szCs w:val="20"/>
        </w:rPr>
        <w:t xml:space="preserve"> model, </w:t>
      </w:r>
      <w:r>
        <w:rPr>
          <w:color w:val="000000"/>
          <w:sz w:val="20"/>
          <w:szCs w:val="20"/>
        </w:rPr>
        <w:t>Battese and Coelli (1995).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210"/>
    <w:rsid w:val="00000D65"/>
    <w:rsid w:val="00003328"/>
    <w:rsid w:val="0004642E"/>
    <w:rsid w:val="000B14B0"/>
    <w:rsid w:val="000E2A42"/>
    <w:rsid w:val="000E5316"/>
    <w:rsid w:val="00110FDB"/>
    <w:rsid w:val="00125AB3"/>
    <w:rsid w:val="00195850"/>
    <w:rsid w:val="001C6AA1"/>
    <w:rsid w:val="001D7421"/>
    <w:rsid w:val="001F4D42"/>
    <w:rsid w:val="001F5D66"/>
    <w:rsid w:val="0020124E"/>
    <w:rsid w:val="00206F18"/>
    <w:rsid w:val="002262F3"/>
    <w:rsid w:val="00241B1A"/>
    <w:rsid w:val="002547C9"/>
    <w:rsid w:val="002570AD"/>
    <w:rsid w:val="00270102"/>
    <w:rsid w:val="00273CD4"/>
    <w:rsid w:val="00274D2C"/>
    <w:rsid w:val="002752C9"/>
    <w:rsid w:val="002835D4"/>
    <w:rsid w:val="00291E25"/>
    <w:rsid w:val="002A3EC7"/>
    <w:rsid w:val="002A6ADB"/>
    <w:rsid w:val="002D4061"/>
    <w:rsid w:val="002D6F28"/>
    <w:rsid w:val="00307890"/>
    <w:rsid w:val="00310292"/>
    <w:rsid w:val="00366A4B"/>
    <w:rsid w:val="003A3C73"/>
    <w:rsid w:val="003C3C24"/>
    <w:rsid w:val="003E7E2A"/>
    <w:rsid w:val="00425C39"/>
    <w:rsid w:val="00443F97"/>
    <w:rsid w:val="004548AA"/>
    <w:rsid w:val="0048514A"/>
    <w:rsid w:val="004B42DE"/>
    <w:rsid w:val="004C5DF4"/>
    <w:rsid w:val="004D21AE"/>
    <w:rsid w:val="00517C3D"/>
    <w:rsid w:val="005379FC"/>
    <w:rsid w:val="00551121"/>
    <w:rsid w:val="005521DF"/>
    <w:rsid w:val="00555703"/>
    <w:rsid w:val="005E4DFD"/>
    <w:rsid w:val="005F03E4"/>
    <w:rsid w:val="00654133"/>
    <w:rsid w:val="006B412B"/>
    <w:rsid w:val="006E67A1"/>
    <w:rsid w:val="006F7E4F"/>
    <w:rsid w:val="00734F18"/>
    <w:rsid w:val="00772463"/>
    <w:rsid w:val="00790489"/>
    <w:rsid w:val="00791822"/>
    <w:rsid w:val="0079799C"/>
    <w:rsid w:val="007A05C1"/>
    <w:rsid w:val="007A52B9"/>
    <w:rsid w:val="00800542"/>
    <w:rsid w:val="00855DA6"/>
    <w:rsid w:val="0085611A"/>
    <w:rsid w:val="00873F1A"/>
    <w:rsid w:val="008A1DC4"/>
    <w:rsid w:val="008A2248"/>
    <w:rsid w:val="008E3132"/>
    <w:rsid w:val="008E48BC"/>
    <w:rsid w:val="00922113"/>
    <w:rsid w:val="0095121D"/>
    <w:rsid w:val="009B14B1"/>
    <w:rsid w:val="009B7779"/>
    <w:rsid w:val="009C4213"/>
    <w:rsid w:val="009C6D12"/>
    <w:rsid w:val="00A44ECB"/>
    <w:rsid w:val="00A76462"/>
    <w:rsid w:val="00AA0212"/>
    <w:rsid w:val="00AF6F33"/>
    <w:rsid w:val="00B51EB3"/>
    <w:rsid w:val="00B6688F"/>
    <w:rsid w:val="00B83AAC"/>
    <w:rsid w:val="00BA1DA0"/>
    <w:rsid w:val="00BB3065"/>
    <w:rsid w:val="00BC0580"/>
    <w:rsid w:val="00BD580B"/>
    <w:rsid w:val="00C040B4"/>
    <w:rsid w:val="00C3565F"/>
    <w:rsid w:val="00C76775"/>
    <w:rsid w:val="00CB6E57"/>
    <w:rsid w:val="00CC7D91"/>
    <w:rsid w:val="00CF4EF3"/>
    <w:rsid w:val="00D06B8A"/>
    <w:rsid w:val="00D216D2"/>
    <w:rsid w:val="00D3061C"/>
    <w:rsid w:val="00D328FE"/>
    <w:rsid w:val="00D636B7"/>
    <w:rsid w:val="00D73C5A"/>
    <w:rsid w:val="00D8075F"/>
    <w:rsid w:val="00D83156"/>
    <w:rsid w:val="00D96E6C"/>
    <w:rsid w:val="00DC463A"/>
    <w:rsid w:val="00E14856"/>
    <w:rsid w:val="00E16512"/>
    <w:rsid w:val="00E214CC"/>
    <w:rsid w:val="00E3021C"/>
    <w:rsid w:val="00E33453"/>
    <w:rsid w:val="00E77A4B"/>
    <w:rsid w:val="00E838B8"/>
    <w:rsid w:val="00E97128"/>
    <w:rsid w:val="00EB755E"/>
    <w:rsid w:val="00EC3DDE"/>
    <w:rsid w:val="00F71210"/>
    <w:rsid w:val="00F80BB9"/>
    <w:rsid w:val="00F82EDA"/>
    <w:rsid w:val="00F8412F"/>
    <w:rsid w:val="00F8422C"/>
    <w:rsid w:val="00F867DB"/>
    <w:rsid w:val="00F94DAE"/>
    <w:rsid w:val="00FB1034"/>
    <w:rsid w:val="00FF0894"/>
    <w:rsid w:val="00FF2783"/>
  </w:rsids>
  <m:mathPr>
    <m:mathFont m:val="Cambria Math"/>
    <m:brkBin m:val="before"/>
    <m:brkBinSub m:val="--"/>
    <m:smallFrac m:val="0"/>
    <m:dispDef/>
    <m:lMargin m:val="0"/>
    <m:rMargin m:val="0"/>
    <m:defJc m:val="centerGroup"/>
    <m:wrapIndent m:val="1440"/>
    <m:intLim m:val="subSup"/>
    <m:naryLim m:val="undOvr"/>
  </m:mathPr>
  <w:themeFontLang w:val="en-BD"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A3188"/>
  <w15:docId w15:val="{38C1AEB9-7B0B-BB40-8639-787DB3885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bn-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68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465684"/>
    <w:pPr>
      <w:spacing w:before="100" w:beforeAutospacing="1" w:after="100" w:afterAutospacing="1"/>
      <w:outlineLvl w:val="1"/>
    </w:pPr>
    <w:rPr>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A320A9"/>
    <w:pPr>
      <w:spacing w:before="100" w:beforeAutospacing="1" w:after="100" w:afterAutospacing="1"/>
    </w:pPr>
    <w:rPr>
      <w:lang w:eastAsia="en-US"/>
    </w:rPr>
  </w:style>
  <w:style w:type="paragraph" w:styleId="FootnoteText">
    <w:name w:val="footnote text"/>
    <w:basedOn w:val="Normal"/>
    <w:link w:val="FootnoteTextChar"/>
    <w:uiPriority w:val="99"/>
    <w:semiHidden/>
    <w:unhideWhenUsed/>
    <w:rsid w:val="00A320A9"/>
    <w:rPr>
      <w:sz w:val="20"/>
      <w:szCs w:val="20"/>
      <w:lang w:eastAsia="en-US"/>
    </w:rPr>
  </w:style>
  <w:style w:type="character" w:customStyle="1" w:styleId="FootnoteTextChar">
    <w:name w:val="Footnote Text Char"/>
    <w:basedOn w:val="DefaultParagraphFont"/>
    <w:link w:val="FootnoteText"/>
    <w:uiPriority w:val="99"/>
    <w:semiHidden/>
    <w:rsid w:val="00A320A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20A9"/>
    <w:rPr>
      <w:vertAlign w:val="superscript"/>
    </w:rPr>
  </w:style>
  <w:style w:type="paragraph" w:styleId="ListParagraph">
    <w:name w:val="List Paragraph"/>
    <w:basedOn w:val="Normal"/>
    <w:uiPriority w:val="34"/>
    <w:qFormat/>
    <w:rsid w:val="0044285C"/>
    <w:pPr>
      <w:ind w:left="720"/>
      <w:contextualSpacing/>
    </w:pPr>
  </w:style>
  <w:style w:type="paragraph" w:styleId="Caption">
    <w:name w:val="caption"/>
    <w:basedOn w:val="Normal"/>
    <w:next w:val="Normal"/>
    <w:uiPriority w:val="35"/>
    <w:unhideWhenUsed/>
    <w:qFormat/>
    <w:rsid w:val="002F42DA"/>
    <w:pPr>
      <w:spacing w:after="200"/>
    </w:pPr>
    <w:rPr>
      <w:i/>
      <w:iCs/>
      <w:color w:val="44546A" w:themeColor="text2"/>
      <w:sz w:val="18"/>
      <w:szCs w:val="18"/>
      <w:lang w:eastAsia="en-US"/>
    </w:rPr>
  </w:style>
  <w:style w:type="character" w:styleId="Hyperlink">
    <w:name w:val="Hyperlink"/>
    <w:basedOn w:val="DefaultParagraphFont"/>
    <w:uiPriority w:val="99"/>
    <w:unhideWhenUsed/>
    <w:rsid w:val="00540780"/>
    <w:rPr>
      <w:color w:val="0000FF"/>
      <w:u w:val="single"/>
    </w:rPr>
  </w:style>
  <w:style w:type="character" w:styleId="Emphasis">
    <w:name w:val="Emphasis"/>
    <w:basedOn w:val="DefaultParagraphFont"/>
    <w:uiPriority w:val="20"/>
    <w:qFormat/>
    <w:rsid w:val="00465684"/>
    <w:rPr>
      <w:i/>
      <w:iCs/>
    </w:rPr>
  </w:style>
  <w:style w:type="character" w:customStyle="1" w:styleId="Heading2Char">
    <w:name w:val="Heading 2 Char"/>
    <w:basedOn w:val="DefaultParagraphFont"/>
    <w:link w:val="Heading2"/>
    <w:uiPriority w:val="9"/>
    <w:rsid w:val="00465684"/>
    <w:rPr>
      <w:rFonts w:ascii="Times New Roman" w:eastAsia="Times New Roman" w:hAnsi="Times New Roman" w:cs="Times New Roman"/>
      <w:b/>
      <w:bCs/>
      <w:sz w:val="36"/>
      <w:szCs w:val="36"/>
      <w:lang w:eastAsia="en-GB"/>
    </w:rPr>
  </w:style>
  <w:style w:type="character" w:styleId="FollowedHyperlink">
    <w:name w:val="FollowedHyperlink"/>
    <w:basedOn w:val="DefaultParagraphFont"/>
    <w:uiPriority w:val="99"/>
    <w:semiHidden/>
    <w:unhideWhenUsed/>
    <w:rsid w:val="00224084"/>
    <w:rPr>
      <w:color w:val="954F72" w:themeColor="followedHyperlink"/>
      <w:u w:val="single"/>
    </w:rPr>
  </w:style>
  <w:style w:type="character" w:customStyle="1" w:styleId="referencemixed-citation">
    <w:name w:val="reference__mixed-citation"/>
    <w:basedOn w:val="DefaultParagraphFont"/>
    <w:rsid w:val="00871B80"/>
  </w:style>
  <w:style w:type="character" w:customStyle="1" w:styleId="referencestring-name">
    <w:name w:val="reference__string-name"/>
    <w:basedOn w:val="DefaultParagraphFont"/>
    <w:rsid w:val="00871B80"/>
  </w:style>
  <w:style w:type="character" w:customStyle="1" w:styleId="referencesurname">
    <w:name w:val="reference__surname"/>
    <w:basedOn w:val="DefaultParagraphFont"/>
    <w:rsid w:val="00871B80"/>
  </w:style>
  <w:style w:type="character" w:customStyle="1" w:styleId="referencegiven-names">
    <w:name w:val="reference__given-names"/>
    <w:basedOn w:val="DefaultParagraphFont"/>
    <w:rsid w:val="00871B80"/>
  </w:style>
  <w:style w:type="character" w:customStyle="1" w:styleId="referenceyear">
    <w:name w:val="reference__year"/>
    <w:basedOn w:val="DefaultParagraphFont"/>
    <w:rsid w:val="00871B80"/>
  </w:style>
  <w:style w:type="character" w:customStyle="1" w:styleId="referencevolume">
    <w:name w:val="reference__volume"/>
    <w:basedOn w:val="DefaultParagraphFont"/>
    <w:rsid w:val="00871B80"/>
  </w:style>
  <w:style w:type="character" w:customStyle="1" w:styleId="referencefpage">
    <w:name w:val="reference__fpage"/>
    <w:basedOn w:val="DefaultParagraphFont"/>
    <w:rsid w:val="00871B80"/>
  </w:style>
  <w:style w:type="character" w:customStyle="1" w:styleId="referencex">
    <w:name w:val="reference__x"/>
    <w:basedOn w:val="DefaultParagraphFont"/>
    <w:rsid w:val="00871B80"/>
  </w:style>
  <w:style w:type="character" w:customStyle="1" w:styleId="referencelpage">
    <w:name w:val="reference__lpage"/>
    <w:basedOn w:val="DefaultParagraphFont"/>
    <w:rsid w:val="00871B80"/>
  </w:style>
  <w:style w:type="character" w:customStyle="1" w:styleId="referencepublisher-name">
    <w:name w:val="reference__publisher-name"/>
    <w:basedOn w:val="DefaultParagraphFont"/>
    <w:rsid w:val="00871B80"/>
  </w:style>
  <w:style w:type="character" w:customStyle="1" w:styleId="referencepublisher-loc">
    <w:name w:val="reference__publisher-loc"/>
    <w:basedOn w:val="DefaultParagraphFont"/>
    <w:rsid w:val="00871B8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HTMLPreformatted">
    <w:name w:val="HTML Preformatted"/>
    <w:basedOn w:val="Normal"/>
    <w:link w:val="HTMLPreformattedChar"/>
    <w:uiPriority w:val="99"/>
    <w:semiHidden/>
    <w:unhideWhenUsed/>
    <w:rsid w:val="0077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BD"/>
    </w:rPr>
  </w:style>
  <w:style w:type="character" w:customStyle="1" w:styleId="HTMLPreformattedChar">
    <w:name w:val="HTML Preformatted Char"/>
    <w:basedOn w:val="DefaultParagraphFont"/>
    <w:link w:val="HTMLPreformatted"/>
    <w:uiPriority w:val="99"/>
    <w:semiHidden/>
    <w:rsid w:val="00772463"/>
    <w:rPr>
      <w:rFonts w:ascii="Courier New" w:hAnsi="Courier New" w:cs="Courier New"/>
      <w:sz w:val="20"/>
      <w:szCs w:val="20"/>
      <w:lang w:val="en-BD"/>
    </w:rPr>
  </w:style>
  <w:style w:type="character" w:customStyle="1" w:styleId="word">
    <w:name w:val="word"/>
    <w:basedOn w:val="DefaultParagraphFont"/>
    <w:rsid w:val="00772463"/>
  </w:style>
  <w:style w:type="character" w:customStyle="1" w:styleId="space">
    <w:name w:val="space"/>
    <w:basedOn w:val="DefaultParagraphFont"/>
    <w:rsid w:val="00772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19230">
      <w:bodyDiv w:val="1"/>
      <w:marLeft w:val="0"/>
      <w:marRight w:val="0"/>
      <w:marTop w:val="0"/>
      <w:marBottom w:val="0"/>
      <w:divBdr>
        <w:top w:val="none" w:sz="0" w:space="0" w:color="auto"/>
        <w:left w:val="none" w:sz="0" w:space="0" w:color="auto"/>
        <w:bottom w:val="none" w:sz="0" w:space="0" w:color="auto"/>
        <w:right w:val="none" w:sz="0" w:space="0" w:color="auto"/>
      </w:divBdr>
    </w:div>
    <w:div w:id="323508548">
      <w:bodyDiv w:val="1"/>
      <w:marLeft w:val="0"/>
      <w:marRight w:val="0"/>
      <w:marTop w:val="0"/>
      <w:marBottom w:val="0"/>
      <w:divBdr>
        <w:top w:val="none" w:sz="0" w:space="0" w:color="auto"/>
        <w:left w:val="none" w:sz="0" w:space="0" w:color="auto"/>
        <w:bottom w:val="none" w:sz="0" w:space="0" w:color="auto"/>
        <w:right w:val="none" w:sz="0" w:space="0" w:color="auto"/>
      </w:divBdr>
    </w:div>
    <w:div w:id="421755423">
      <w:bodyDiv w:val="1"/>
      <w:marLeft w:val="0"/>
      <w:marRight w:val="0"/>
      <w:marTop w:val="0"/>
      <w:marBottom w:val="0"/>
      <w:divBdr>
        <w:top w:val="none" w:sz="0" w:space="0" w:color="auto"/>
        <w:left w:val="none" w:sz="0" w:space="0" w:color="auto"/>
        <w:bottom w:val="none" w:sz="0" w:space="0" w:color="auto"/>
        <w:right w:val="none" w:sz="0" w:space="0" w:color="auto"/>
      </w:divBdr>
    </w:div>
    <w:div w:id="441073417">
      <w:bodyDiv w:val="1"/>
      <w:marLeft w:val="0"/>
      <w:marRight w:val="0"/>
      <w:marTop w:val="0"/>
      <w:marBottom w:val="0"/>
      <w:divBdr>
        <w:top w:val="none" w:sz="0" w:space="0" w:color="auto"/>
        <w:left w:val="none" w:sz="0" w:space="0" w:color="auto"/>
        <w:bottom w:val="none" w:sz="0" w:space="0" w:color="auto"/>
        <w:right w:val="none" w:sz="0" w:space="0" w:color="auto"/>
      </w:divBdr>
    </w:div>
    <w:div w:id="549994269">
      <w:bodyDiv w:val="1"/>
      <w:marLeft w:val="0"/>
      <w:marRight w:val="0"/>
      <w:marTop w:val="0"/>
      <w:marBottom w:val="0"/>
      <w:divBdr>
        <w:top w:val="none" w:sz="0" w:space="0" w:color="auto"/>
        <w:left w:val="none" w:sz="0" w:space="0" w:color="auto"/>
        <w:bottom w:val="none" w:sz="0" w:space="0" w:color="auto"/>
        <w:right w:val="none" w:sz="0" w:space="0" w:color="auto"/>
      </w:divBdr>
    </w:div>
    <w:div w:id="1070075214">
      <w:bodyDiv w:val="1"/>
      <w:marLeft w:val="0"/>
      <w:marRight w:val="0"/>
      <w:marTop w:val="0"/>
      <w:marBottom w:val="0"/>
      <w:divBdr>
        <w:top w:val="none" w:sz="0" w:space="0" w:color="auto"/>
        <w:left w:val="none" w:sz="0" w:space="0" w:color="auto"/>
        <w:bottom w:val="none" w:sz="0" w:space="0" w:color="auto"/>
        <w:right w:val="none" w:sz="0" w:space="0" w:color="auto"/>
      </w:divBdr>
    </w:div>
    <w:div w:id="1185166066">
      <w:bodyDiv w:val="1"/>
      <w:marLeft w:val="0"/>
      <w:marRight w:val="0"/>
      <w:marTop w:val="0"/>
      <w:marBottom w:val="0"/>
      <w:divBdr>
        <w:top w:val="none" w:sz="0" w:space="0" w:color="auto"/>
        <w:left w:val="none" w:sz="0" w:space="0" w:color="auto"/>
        <w:bottom w:val="none" w:sz="0" w:space="0" w:color="auto"/>
        <w:right w:val="none" w:sz="0" w:space="0" w:color="auto"/>
      </w:divBdr>
    </w:div>
    <w:div w:id="1283657923">
      <w:bodyDiv w:val="1"/>
      <w:marLeft w:val="0"/>
      <w:marRight w:val="0"/>
      <w:marTop w:val="0"/>
      <w:marBottom w:val="0"/>
      <w:divBdr>
        <w:top w:val="none" w:sz="0" w:space="0" w:color="auto"/>
        <w:left w:val="none" w:sz="0" w:space="0" w:color="auto"/>
        <w:bottom w:val="none" w:sz="0" w:space="0" w:color="auto"/>
        <w:right w:val="none" w:sz="0" w:space="0" w:color="auto"/>
      </w:divBdr>
    </w:div>
    <w:div w:id="1325009597">
      <w:bodyDiv w:val="1"/>
      <w:marLeft w:val="0"/>
      <w:marRight w:val="0"/>
      <w:marTop w:val="0"/>
      <w:marBottom w:val="0"/>
      <w:divBdr>
        <w:top w:val="none" w:sz="0" w:space="0" w:color="auto"/>
        <w:left w:val="none" w:sz="0" w:space="0" w:color="auto"/>
        <w:bottom w:val="none" w:sz="0" w:space="0" w:color="auto"/>
        <w:right w:val="none" w:sz="0" w:space="0" w:color="auto"/>
      </w:divBdr>
    </w:div>
    <w:div w:id="1476600715">
      <w:bodyDiv w:val="1"/>
      <w:marLeft w:val="0"/>
      <w:marRight w:val="0"/>
      <w:marTop w:val="0"/>
      <w:marBottom w:val="0"/>
      <w:divBdr>
        <w:top w:val="none" w:sz="0" w:space="0" w:color="auto"/>
        <w:left w:val="none" w:sz="0" w:space="0" w:color="auto"/>
        <w:bottom w:val="none" w:sz="0" w:space="0" w:color="auto"/>
        <w:right w:val="none" w:sz="0" w:space="0" w:color="auto"/>
      </w:divBdr>
    </w:div>
    <w:div w:id="1673022942">
      <w:bodyDiv w:val="1"/>
      <w:marLeft w:val="0"/>
      <w:marRight w:val="0"/>
      <w:marTop w:val="0"/>
      <w:marBottom w:val="0"/>
      <w:divBdr>
        <w:top w:val="none" w:sz="0" w:space="0" w:color="auto"/>
        <w:left w:val="none" w:sz="0" w:space="0" w:color="auto"/>
        <w:bottom w:val="none" w:sz="0" w:space="0" w:color="auto"/>
        <w:right w:val="none" w:sz="0" w:space="0" w:color="auto"/>
      </w:divBdr>
    </w:div>
    <w:div w:id="1895000626">
      <w:bodyDiv w:val="1"/>
      <w:marLeft w:val="0"/>
      <w:marRight w:val="0"/>
      <w:marTop w:val="0"/>
      <w:marBottom w:val="0"/>
      <w:divBdr>
        <w:top w:val="none" w:sz="0" w:space="0" w:color="auto"/>
        <w:left w:val="none" w:sz="0" w:space="0" w:color="auto"/>
        <w:bottom w:val="none" w:sz="0" w:space="0" w:color="auto"/>
        <w:right w:val="none" w:sz="0" w:space="0" w:color="auto"/>
      </w:divBdr>
    </w:div>
    <w:div w:id="1900827616">
      <w:bodyDiv w:val="1"/>
      <w:marLeft w:val="0"/>
      <w:marRight w:val="0"/>
      <w:marTop w:val="0"/>
      <w:marBottom w:val="0"/>
      <w:divBdr>
        <w:top w:val="none" w:sz="0" w:space="0" w:color="auto"/>
        <w:left w:val="none" w:sz="0" w:space="0" w:color="auto"/>
        <w:bottom w:val="none" w:sz="0" w:space="0" w:color="auto"/>
        <w:right w:val="none" w:sz="0" w:space="0" w:color="auto"/>
      </w:divBdr>
    </w:div>
    <w:div w:id="1932204026">
      <w:bodyDiv w:val="1"/>
      <w:marLeft w:val="0"/>
      <w:marRight w:val="0"/>
      <w:marTop w:val="0"/>
      <w:marBottom w:val="0"/>
      <w:divBdr>
        <w:top w:val="none" w:sz="0" w:space="0" w:color="auto"/>
        <w:left w:val="none" w:sz="0" w:space="0" w:color="auto"/>
        <w:bottom w:val="none" w:sz="0" w:space="0" w:color="auto"/>
        <w:right w:val="none" w:sz="0" w:space="0" w:color="auto"/>
      </w:divBdr>
    </w:div>
    <w:div w:id="1966420973">
      <w:bodyDiv w:val="1"/>
      <w:marLeft w:val="0"/>
      <w:marRight w:val="0"/>
      <w:marTop w:val="0"/>
      <w:marBottom w:val="0"/>
      <w:divBdr>
        <w:top w:val="none" w:sz="0" w:space="0" w:color="auto"/>
        <w:left w:val="none" w:sz="0" w:space="0" w:color="auto"/>
        <w:bottom w:val="none" w:sz="0" w:space="0" w:color="auto"/>
        <w:right w:val="none" w:sz="0" w:space="0" w:color="auto"/>
      </w:divBdr>
    </w:div>
    <w:div w:id="1972323323">
      <w:bodyDiv w:val="1"/>
      <w:marLeft w:val="0"/>
      <w:marRight w:val="0"/>
      <w:marTop w:val="0"/>
      <w:marBottom w:val="0"/>
      <w:divBdr>
        <w:top w:val="none" w:sz="0" w:space="0" w:color="auto"/>
        <w:left w:val="none" w:sz="0" w:space="0" w:color="auto"/>
        <w:bottom w:val="none" w:sz="0" w:space="0" w:color="auto"/>
        <w:right w:val="none" w:sz="0" w:space="0" w:color="auto"/>
      </w:divBdr>
    </w:div>
    <w:div w:id="2120638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U0MBU7ZnDpO78r13PQ7dR27H2dA==">AMUW2mWQkIevOfHmzanmrdw3QnFi26Hm02jp70FcY2Xe76vrFkQ1eu+hk7yU/nj98MY43XJYkdgXxmK5gtzJnorfufvxLYCoVEDDi3obFeQVTsrDfUjKczP3ZQ5KiIVXOYnL2BStR2rL</go:docsCustomData>
</go:gDocsCustomXmlDataStorage>
</file>

<file path=customXml/itemProps1.xml><?xml version="1.0" encoding="utf-8"?>
<ds:datastoreItem xmlns:ds="http://schemas.openxmlformats.org/officeDocument/2006/customXml" ds:itemID="{A3A9F318-31C0-B043-B394-3425CC2BE47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15</Pages>
  <Words>5593</Words>
  <Characters>31885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Nawaz</dc:creator>
  <cp:lastModifiedBy>Md. Nawaz</cp:lastModifiedBy>
  <cp:revision>64</cp:revision>
  <dcterms:created xsi:type="dcterms:W3CDTF">2022-03-06T00:44:00Z</dcterms:created>
  <dcterms:modified xsi:type="dcterms:W3CDTF">2022-03-07T19:08:00Z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ies>
</file>