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178F" w14:textId="1019D027" w:rsidR="00DD6790" w:rsidRPr="003C2770" w:rsidRDefault="003C2770" w:rsidP="003C2770">
      <w:pPr>
        <w:spacing w:before="360" w:line="560" w:lineRule="exact"/>
        <w:rPr>
          <w:spacing w:val="-2"/>
          <w:sz w:val="36"/>
          <w:szCs w:val="28"/>
        </w:rPr>
      </w:pPr>
      <w:r w:rsidRPr="003C2770">
        <w:rPr>
          <w:spacing w:val="-2"/>
          <w:sz w:val="36"/>
          <w:szCs w:val="28"/>
        </w:rPr>
        <w:t>Asymmetric Market Risk,</w:t>
      </w:r>
      <w:r>
        <w:rPr>
          <w:spacing w:val="-2"/>
          <w:sz w:val="36"/>
          <w:szCs w:val="28"/>
        </w:rPr>
        <w:t xml:space="preserve"> </w:t>
      </w:r>
      <w:r w:rsidRPr="003C2770">
        <w:rPr>
          <w:spacing w:val="-2"/>
          <w:sz w:val="36"/>
          <w:szCs w:val="28"/>
        </w:rPr>
        <w:t>Accounting Quality and the Cost of Capital:</w:t>
      </w:r>
      <w:r>
        <w:rPr>
          <w:spacing w:val="-2"/>
          <w:sz w:val="36"/>
          <w:szCs w:val="28"/>
        </w:rPr>
        <w:t xml:space="preserve"> </w:t>
      </w:r>
      <w:r w:rsidRPr="003C2770">
        <w:rPr>
          <w:spacing w:val="-2"/>
          <w:sz w:val="36"/>
          <w:szCs w:val="28"/>
        </w:rPr>
        <w:t>Evidence from Taiwan Capital Market</w:t>
      </w:r>
    </w:p>
    <w:p w14:paraId="0A6A2A11" w14:textId="0AFC1AE4" w:rsidR="00D76C9E" w:rsidRDefault="008346CD" w:rsidP="00AF483B">
      <w:pPr>
        <w:spacing w:before="240" w:line="360" w:lineRule="auto"/>
        <w:jc w:val="both"/>
        <w:rPr>
          <w:szCs w:val="28"/>
        </w:rPr>
      </w:pPr>
      <w:r w:rsidRPr="008346CD">
        <w:rPr>
          <w:szCs w:val="28"/>
        </w:rPr>
        <w:t>Tsung-Yu Hsieh</w:t>
      </w:r>
      <w:proofErr w:type="gramStart"/>
      <w:r w:rsidRPr="008346CD">
        <w:rPr>
          <w:szCs w:val="28"/>
          <w:vertAlign w:val="superscript"/>
        </w:rPr>
        <w:t>1</w:t>
      </w:r>
      <w:r w:rsidRPr="008346CD">
        <w:rPr>
          <w:szCs w:val="28"/>
        </w:rPr>
        <w:t>,Yung</w:t>
      </w:r>
      <w:proofErr w:type="gramEnd"/>
      <w:r w:rsidRPr="008346CD">
        <w:rPr>
          <w:szCs w:val="28"/>
        </w:rPr>
        <w:t>-Ming Shiu</w:t>
      </w:r>
      <w:r w:rsidRPr="008346CD">
        <w:rPr>
          <w:szCs w:val="28"/>
          <w:vertAlign w:val="superscript"/>
        </w:rPr>
        <w:t>2</w:t>
      </w:r>
      <w:r w:rsidRPr="008346CD">
        <w:rPr>
          <w:szCs w:val="28"/>
        </w:rPr>
        <w:t>,Chih-Ling Lin</w:t>
      </w:r>
      <w:r w:rsidRPr="008346CD">
        <w:rPr>
          <w:szCs w:val="28"/>
          <w:vertAlign w:val="superscript"/>
        </w:rPr>
        <w:t>3*</w:t>
      </w:r>
    </w:p>
    <w:p w14:paraId="3A9CA6E6" w14:textId="77777777" w:rsidR="00FC0FE8" w:rsidRPr="00FC0FE8" w:rsidRDefault="00A1750C" w:rsidP="00FC0FE8">
      <w:pPr>
        <w:pStyle w:val="afb"/>
        <w:numPr>
          <w:ilvl w:val="0"/>
          <w:numId w:val="8"/>
        </w:numPr>
        <w:ind w:leftChars="0"/>
        <w:jc w:val="both"/>
        <w:rPr>
          <w:rFonts w:ascii="Times New Roman" w:hAnsi="Times New Roman"/>
          <w:szCs w:val="28"/>
        </w:rPr>
      </w:pPr>
      <w:r w:rsidRPr="00A1750C">
        <w:rPr>
          <w:rFonts w:ascii="Times New Roman" w:hAnsi="Times New Roman"/>
          <w:szCs w:val="28"/>
        </w:rPr>
        <w:t xml:space="preserve">PhD., Associate Professor, </w:t>
      </w:r>
      <w:r w:rsidR="00FC0FE8" w:rsidRPr="00FC0FE8">
        <w:rPr>
          <w:rFonts w:ascii="Times New Roman" w:hAnsi="Times New Roman"/>
          <w:szCs w:val="28"/>
        </w:rPr>
        <w:t>Economics and Management College</w:t>
      </w:r>
    </w:p>
    <w:p w14:paraId="04A06357" w14:textId="40288318" w:rsidR="008346CD" w:rsidRPr="00FC0FE8" w:rsidRDefault="00FC0FE8" w:rsidP="00FC0FE8">
      <w:pPr>
        <w:pStyle w:val="afb"/>
        <w:ind w:leftChars="0"/>
        <w:jc w:val="both"/>
        <w:rPr>
          <w:rFonts w:ascii="Times New Roman" w:hAnsi="Times New Roman"/>
          <w:szCs w:val="28"/>
        </w:rPr>
      </w:pPr>
      <w:proofErr w:type="spellStart"/>
      <w:r w:rsidRPr="00FC0FE8">
        <w:rPr>
          <w:rFonts w:ascii="Times New Roman" w:hAnsi="Times New Roman"/>
          <w:szCs w:val="28"/>
        </w:rPr>
        <w:t>Zhaoqing</w:t>
      </w:r>
      <w:proofErr w:type="spellEnd"/>
      <w:r w:rsidRPr="00FC0FE8">
        <w:rPr>
          <w:rFonts w:ascii="Times New Roman" w:hAnsi="Times New Roman"/>
          <w:szCs w:val="28"/>
        </w:rPr>
        <w:t xml:space="preserve"> University</w:t>
      </w:r>
      <w:r w:rsidRPr="00FC0FE8">
        <w:rPr>
          <w:rFonts w:ascii="Times New Roman" w:hAnsi="Times New Roman" w:hint="eastAsia"/>
          <w:szCs w:val="28"/>
        </w:rPr>
        <w:t xml:space="preserve"> </w:t>
      </w:r>
      <w:proofErr w:type="spellStart"/>
      <w:r w:rsidRPr="00FC0FE8">
        <w:rPr>
          <w:rFonts w:ascii="Times New Roman" w:hAnsi="Times New Roman"/>
          <w:szCs w:val="28"/>
        </w:rPr>
        <w:t>Duanzhou</w:t>
      </w:r>
      <w:proofErr w:type="spellEnd"/>
      <w:r w:rsidRPr="00FC0FE8">
        <w:rPr>
          <w:rFonts w:ascii="Times New Roman" w:hAnsi="Times New Roman"/>
          <w:szCs w:val="28"/>
        </w:rPr>
        <w:t xml:space="preserve"> District, </w:t>
      </w:r>
      <w:proofErr w:type="spellStart"/>
      <w:r w:rsidRPr="00FC0FE8">
        <w:rPr>
          <w:rFonts w:ascii="Times New Roman" w:hAnsi="Times New Roman"/>
          <w:szCs w:val="28"/>
        </w:rPr>
        <w:t>Zhaoqing</w:t>
      </w:r>
      <w:proofErr w:type="spellEnd"/>
      <w:r w:rsidRPr="00FC0FE8">
        <w:rPr>
          <w:rFonts w:ascii="Times New Roman" w:hAnsi="Times New Roman"/>
          <w:szCs w:val="28"/>
        </w:rPr>
        <w:t xml:space="preserve"> 526061</w:t>
      </w:r>
      <w:r>
        <w:rPr>
          <w:rFonts w:ascii="Times New Roman" w:hAnsi="Times New Roman" w:hint="eastAsia"/>
          <w:szCs w:val="28"/>
        </w:rPr>
        <w:t xml:space="preserve"> </w:t>
      </w:r>
      <w:r w:rsidRPr="00FC0FE8">
        <w:rPr>
          <w:rFonts w:ascii="Times New Roman" w:hAnsi="Times New Roman"/>
          <w:szCs w:val="28"/>
        </w:rPr>
        <w:t>Guangdong, P. R. of China</w:t>
      </w:r>
    </w:p>
    <w:p w14:paraId="7DB790AB" w14:textId="4E98E1AD" w:rsidR="008346CD" w:rsidRPr="00A1750C" w:rsidRDefault="00A1750C" w:rsidP="00A1750C">
      <w:pPr>
        <w:pStyle w:val="afb"/>
        <w:numPr>
          <w:ilvl w:val="0"/>
          <w:numId w:val="8"/>
        </w:numPr>
        <w:ind w:leftChars="0"/>
        <w:jc w:val="both"/>
        <w:rPr>
          <w:rFonts w:ascii="Times New Roman" w:hAnsi="Times New Roman"/>
          <w:szCs w:val="28"/>
        </w:rPr>
      </w:pPr>
      <w:r w:rsidRPr="00A1750C">
        <w:rPr>
          <w:rFonts w:ascii="Times New Roman" w:hAnsi="Times New Roman"/>
          <w:szCs w:val="28"/>
        </w:rPr>
        <w:t xml:space="preserve">PhD., Professor, </w:t>
      </w:r>
      <w:r w:rsidR="008346CD" w:rsidRPr="00A1750C">
        <w:rPr>
          <w:rFonts w:ascii="Times New Roman" w:hAnsi="Times New Roman"/>
          <w:szCs w:val="28"/>
        </w:rPr>
        <w:t>Departm</w:t>
      </w:r>
      <w:r w:rsidRPr="00A1750C">
        <w:rPr>
          <w:rFonts w:ascii="Times New Roman" w:hAnsi="Times New Roman"/>
          <w:szCs w:val="28"/>
        </w:rPr>
        <w:t xml:space="preserve">ent of Risk Management and Insurance, National </w:t>
      </w:r>
      <w:proofErr w:type="spellStart"/>
      <w:r w:rsidRPr="00A1750C">
        <w:rPr>
          <w:rFonts w:ascii="Times New Roman" w:hAnsi="Times New Roman"/>
          <w:szCs w:val="28"/>
        </w:rPr>
        <w:t>ChengChi</w:t>
      </w:r>
      <w:proofErr w:type="spellEnd"/>
      <w:r w:rsidRPr="00A1750C">
        <w:rPr>
          <w:rFonts w:ascii="Times New Roman" w:hAnsi="Times New Roman"/>
          <w:szCs w:val="28"/>
        </w:rPr>
        <w:t xml:space="preserve"> University, Taipei, Taiwan.</w:t>
      </w:r>
      <w:bookmarkStart w:id="0" w:name="_GoBack"/>
      <w:bookmarkEnd w:id="0"/>
    </w:p>
    <w:p w14:paraId="1B4D104C" w14:textId="70646125" w:rsidR="008346CD" w:rsidRPr="00A1750C" w:rsidRDefault="00A1750C" w:rsidP="00A1750C">
      <w:pPr>
        <w:pStyle w:val="afb"/>
        <w:numPr>
          <w:ilvl w:val="0"/>
          <w:numId w:val="8"/>
        </w:numPr>
        <w:ind w:leftChars="0"/>
        <w:jc w:val="both"/>
        <w:rPr>
          <w:szCs w:val="28"/>
        </w:rPr>
      </w:pPr>
      <w:r w:rsidRPr="00A1750C">
        <w:rPr>
          <w:rFonts w:ascii="Times New Roman" w:hAnsi="Times New Roman"/>
          <w:szCs w:val="28"/>
        </w:rPr>
        <w:t>PhD., Assistant Professor, Department of Business and Management, Central Taiwan Univers</w:t>
      </w:r>
      <w:r w:rsidRPr="00A1750C">
        <w:rPr>
          <w:szCs w:val="28"/>
        </w:rPr>
        <w:t xml:space="preserve">ity of Science and Technology, Taichung, Taiwan. </w:t>
      </w:r>
    </w:p>
    <w:p w14:paraId="3BD5A230" w14:textId="58A5B0AA" w:rsidR="008346CD" w:rsidRPr="008346CD" w:rsidRDefault="008346CD" w:rsidP="00A1750C">
      <w:pPr>
        <w:jc w:val="both"/>
        <w:rPr>
          <w:szCs w:val="28"/>
        </w:rPr>
      </w:pPr>
      <w:r>
        <w:rPr>
          <w:szCs w:val="28"/>
        </w:rPr>
        <w:t>*</w:t>
      </w:r>
      <w:r w:rsidR="003859CB" w:rsidRPr="003859CB">
        <w:t xml:space="preserve"> </w:t>
      </w:r>
      <w:r w:rsidR="003859CB" w:rsidRPr="003859CB">
        <w:rPr>
          <w:szCs w:val="28"/>
        </w:rPr>
        <w:t>Correspondence: cllin101938@ctust.edu.tw; Tel.: +886-4-22391647 (ext. 7266)</w:t>
      </w:r>
    </w:p>
    <w:p w14:paraId="25DC7DAF" w14:textId="77777777" w:rsidR="00A337D5" w:rsidRPr="005C28E7" w:rsidRDefault="00AC4B96" w:rsidP="00E02DA7">
      <w:pPr>
        <w:jc w:val="both"/>
      </w:pPr>
      <w:r w:rsidRPr="005C28E7">
        <w:t>________________________________________</w:t>
      </w:r>
      <w:r w:rsidR="00877E08" w:rsidRPr="005C28E7">
        <w:t>____________________________</w:t>
      </w:r>
    </w:p>
    <w:p w14:paraId="16CE5C32" w14:textId="77777777" w:rsidR="00350872" w:rsidRPr="005C28E7" w:rsidRDefault="00D76C9E" w:rsidP="00D50845">
      <w:pPr>
        <w:spacing w:before="300" w:line="480" w:lineRule="auto"/>
        <w:jc w:val="both"/>
        <w:rPr>
          <w:sz w:val="28"/>
          <w:szCs w:val="28"/>
        </w:rPr>
      </w:pPr>
      <w:r w:rsidRPr="005C28E7">
        <w:rPr>
          <w:sz w:val="28"/>
          <w:szCs w:val="28"/>
        </w:rPr>
        <w:t>ABSTRACT</w:t>
      </w:r>
    </w:p>
    <w:p w14:paraId="01B9733F" w14:textId="2A1CADB8" w:rsidR="00DD6790" w:rsidRPr="005C28E7" w:rsidRDefault="00F411EF" w:rsidP="002228D3">
      <w:pPr>
        <w:spacing w:line="360" w:lineRule="auto"/>
        <w:jc w:val="both"/>
      </w:pPr>
      <w:bookmarkStart w:id="1" w:name="OLE_LINK15"/>
      <w:bookmarkStart w:id="2" w:name="OLE_LINK16"/>
      <w:r w:rsidRPr="005C28E7">
        <w:t>Financing decisions have always been regarded as important to company operations. The capital structure of a company has always been an important issue of financial research. This research mainly attempts to answer the previous literature on the inconsistency of the relationship between</w:t>
      </w:r>
      <w:r w:rsidR="009C5420">
        <w:t xml:space="preserve"> accounting quality and </w:t>
      </w:r>
      <w:r w:rsidRPr="005C28E7">
        <w:t>cost</w:t>
      </w:r>
      <w:r w:rsidR="009C5420">
        <w:t xml:space="preserve"> of capital</w:t>
      </w:r>
      <w:r w:rsidRPr="005C28E7">
        <w:t>.</w:t>
      </w:r>
      <w:r w:rsidR="004F2F44">
        <w:t xml:space="preserve"> T</w:t>
      </w:r>
      <w:r w:rsidR="00D50845" w:rsidRPr="005C28E7">
        <w:t>h</w:t>
      </w:r>
      <w:r w:rsidR="002228D3" w:rsidRPr="005C28E7">
        <w:t xml:space="preserve">is study </w:t>
      </w:r>
      <w:r w:rsidR="00D50845" w:rsidRPr="005C28E7">
        <w:t>examine</w:t>
      </w:r>
      <w:r w:rsidR="002228D3" w:rsidRPr="005C28E7">
        <w:t>s</w:t>
      </w:r>
      <w:r w:rsidR="00D50845" w:rsidRPr="005C28E7">
        <w:t xml:space="preserve"> the ways in which accounting quality can affect the cost of capital through asymmetric market risk. </w:t>
      </w:r>
      <w:r w:rsidR="004F2F44" w:rsidRPr="004F2F44">
        <w:t xml:space="preserve">In order to study the </w:t>
      </w:r>
      <w:r w:rsidR="004F2F44">
        <w:t>issue</w:t>
      </w:r>
      <w:r w:rsidR="001E1EEE">
        <w:t>, a regression model i</w:t>
      </w:r>
      <w:r w:rsidR="004F2F44" w:rsidRPr="004F2F44">
        <w:t>s used</w:t>
      </w:r>
      <w:r w:rsidR="001E1EEE">
        <w:t>. The d</w:t>
      </w:r>
      <w:r w:rsidR="004F2F44" w:rsidRPr="004F2F44">
        <w:t>ataset consisting of companies listed on the Taiwan Stock Exchange</w:t>
      </w:r>
      <w:r w:rsidR="001E1EEE">
        <w:t xml:space="preserve"> includes</w:t>
      </w:r>
      <w:r w:rsidR="004F2F44" w:rsidRPr="004F2F44">
        <w:t xml:space="preserve"> 317 companies as a sample, providing a total of 7,731 company-year observations</w:t>
      </w:r>
      <w:r w:rsidR="004F2F44">
        <w:t xml:space="preserve">. </w:t>
      </w:r>
      <w:r w:rsidR="002228D3" w:rsidRPr="005C28E7">
        <w:t xml:space="preserve">The </w:t>
      </w:r>
      <w:r w:rsidR="00D50845" w:rsidRPr="005C28E7">
        <w:t xml:space="preserve">findings reveal that the cost of capital </w:t>
      </w:r>
      <w:r w:rsidR="00BE6258" w:rsidRPr="005C28E7">
        <w:t>has a</w:t>
      </w:r>
      <w:r w:rsidR="00D50845" w:rsidRPr="005C28E7">
        <w:t xml:space="preserve"> positive correlat</w:t>
      </w:r>
      <w:r w:rsidR="00BE6258" w:rsidRPr="005C28E7">
        <w:t>ion</w:t>
      </w:r>
      <w:r w:rsidR="00D50845" w:rsidRPr="005C28E7">
        <w:t xml:space="preserve"> with asymmetric market risk, and that asymmetric market risk </w:t>
      </w:r>
      <w:r w:rsidR="00034397" w:rsidRPr="005C28E7">
        <w:t>is</w:t>
      </w:r>
      <w:r w:rsidR="00BE6258" w:rsidRPr="005C28E7">
        <w:t xml:space="preserve"> </w:t>
      </w:r>
      <w:r w:rsidR="00034397" w:rsidRPr="005C28E7">
        <w:t>found to have</w:t>
      </w:r>
      <w:r w:rsidR="00D50845" w:rsidRPr="005C28E7">
        <w:t xml:space="preserve"> a </w:t>
      </w:r>
      <w:r w:rsidR="001E1DDD" w:rsidRPr="005C28E7">
        <w:t xml:space="preserve">corresponding </w:t>
      </w:r>
      <w:r w:rsidR="00D50845" w:rsidRPr="005C28E7">
        <w:t xml:space="preserve">positive association with accounting quality. The results provide support for the </w:t>
      </w:r>
      <w:r w:rsidR="00F04292" w:rsidRPr="005C28E7">
        <w:t xml:space="preserve">general </w:t>
      </w:r>
      <w:r w:rsidR="00D50845" w:rsidRPr="005C28E7">
        <w:t xml:space="preserve">view that </w:t>
      </w:r>
      <w:r w:rsidR="00BE6258" w:rsidRPr="005C28E7">
        <w:t xml:space="preserve">asymmetric market risk would appear to be a more appropriate measure than symmetric market risk </w:t>
      </w:r>
      <w:r w:rsidR="00D50845" w:rsidRPr="005C28E7">
        <w:t>when linking accounting quality to the cost of capital</w:t>
      </w:r>
      <w:r w:rsidR="00DD6790" w:rsidRPr="005C28E7">
        <w:t>.</w:t>
      </w:r>
    </w:p>
    <w:bookmarkEnd w:id="1"/>
    <w:bookmarkEnd w:id="2"/>
    <w:p w14:paraId="094A8C2F" w14:textId="25810510" w:rsidR="0004772E" w:rsidRPr="005C28E7" w:rsidRDefault="0004772E" w:rsidP="004F2F44">
      <w:pPr>
        <w:spacing w:before="180" w:line="480" w:lineRule="exact"/>
        <w:ind w:left="1426" w:hanging="1426"/>
        <w:rPr>
          <w:kern w:val="0"/>
        </w:rPr>
      </w:pPr>
      <w:r w:rsidRPr="005C28E7">
        <w:rPr>
          <w:b/>
          <w:kern w:val="0"/>
        </w:rPr>
        <w:lastRenderedPageBreak/>
        <w:t>Keywords</w:t>
      </w:r>
      <w:r w:rsidRPr="005C28E7">
        <w:rPr>
          <w:kern w:val="0"/>
        </w:rPr>
        <w:t xml:space="preserve"> </w:t>
      </w:r>
      <w:r w:rsidR="004F2F44">
        <w:rPr>
          <w:kern w:val="0"/>
        </w:rPr>
        <w:t>E</w:t>
      </w:r>
      <w:r w:rsidR="004F2F44" w:rsidRPr="004F2F44">
        <w:rPr>
          <w:kern w:val="0"/>
        </w:rPr>
        <w:t>xcess risk premium</w:t>
      </w:r>
      <w:r w:rsidR="004F2F44">
        <w:rPr>
          <w:kern w:val="0"/>
        </w:rPr>
        <w:t>, F</w:t>
      </w:r>
      <w:r w:rsidR="004F2F44" w:rsidRPr="004F2F44">
        <w:rPr>
          <w:kern w:val="0"/>
        </w:rPr>
        <w:t>inancial statement</w:t>
      </w:r>
      <w:proofErr w:type="gramStart"/>
      <w:r w:rsidR="004F2F44">
        <w:rPr>
          <w:kern w:val="0"/>
        </w:rPr>
        <w:t>,</w:t>
      </w:r>
      <w:r w:rsidR="004F2F44" w:rsidRPr="004F2F44">
        <w:rPr>
          <w:kern w:val="0"/>
        </w:rPr>
        <w:t xml:space="preserve"> </w:t>
      </w:r>
      <w:r w:rsidR="004F2F44">
        <w:rPr>
          <w:kern w:val="0"/>
        </w:rPr>
        <w:t>,</w:t>
      </w:r>
      <w:r w:rsidR="002228D3" w:rsidRPr="005C28E7">
        <w:rPr>
          <w:rStyle w:val="aff9"/>
          <w:rFonts w:cs="Times New Roman"/>
          <w:lang w:val="en-GB"/>
        </w:rPr>
        <w:t>Downside</w:t>
      </w:r>
      <w:proofErr w:type="gramEnd"/>
      <w:r w:rsidR="002228D3" w:rsidRPr="005C28E7">
        <w:rPr>
          <w:rStyle w:val="aff9"/>
          <w:rFonts w:cs="Times New Roman"/>
          <w:lang w:val="en-GB"/>
        </w:rPr>
        <w:t xml:space="preserve"> risk, </w:t>
      </w:r>
      <w:r w:rsidR="004F2F44">
        <w:rPr>
          <w:rStyle w:val="aff9"/>
          <w:rFonts w:cs="Times New Roman"/>
          <w:lang w:val="en-GB"/>
        </w:rPr>
        <w:t>CAPM</w:t>
      </w:r>
    </w:p>
    <w:p w14:paraId="480C5BBE" w14:textId="09E77220" w:rsidR="002228D3" w:rsidRPr="005C28E7" w:rsidRDefault="002228D3" w:rsidP="002228D3">
      <w:pPr>
        <w:spacing w:before="180" w:line="480" w:lineRule="exact"/>
        <w:ind w:left="1426" w:hanging="1426"/>
      </w:pPr>
      <w:r w:rsidRPr="005C28E7">
        <w:rPr>
          <w:b/>
          <w:kern w:val="0"/>
        </w:rPr>
        <w:t xml:space="preserve">JEL Classification </w:t>
      </w:r>
      <w:r w:rsidR="006847C0" w:rsidRPr="005C28E7">
        <w:rPr>
          <w:kern w:val="0"/>
        </w:rPr>
        <w:t>C32, D84</w:t>
      </w:r>
    </w:p>
    <w:p w14:paraId="76155DD4" w14:textId="610559C7" w:rsidR="00536B7D" w:rsidRPr="005C28E7" w:rsidRDefault="00A233E8" w:rsidP="00E02DA7">
      <w:pPr>
        <w:spacing w:line="480" w:lineRule="auto"/>
        <w:jc w:val="both"/>
        <w:rPr>
          <w:sz w:val="28"/>
          <w:szCs w:val="28"/>
        </w:rPr>
      </w:pPr>
      <w:r w:rsidRPr="005C28E7">
        <w:rPr>
          <w:sz w:val="28"/>
          <w:szCs w:val="28"/>
        </w:rPr>
        <w:br w:type="page"/>
      </w:r>
      <w:r w:rsidR="00D76C9E" w:rsidRPr="005C28E7">
        <w:rPr>
          <w:sz w:val="28"/>
          <w:szCs w:val="28"/>
        </w:rPr>
        <w:lastRenderedPageBreak/>
        <w:t>INTRODUCTION</w:t>
      </w:r>
    </w:p>
    <w:p w14:paraId="1285E828" w14:textId="238EBAC2" w:rsidR="00317CA4" w:rsidRPr="005C28E7" w:rsidRDefault="00317CA4" w:rsidP="00622459">
      <w:pPr>
        <w:autoSpaceDE w:val="0"/>
        <w:autoSpaceDN w:val="0"/>
        <w:adjustRightInd w:val="0"/>
        <w:spacing w:before="240" w:line="480" w:lineRule="auto"/>
        <w:ind w:firstLineChars="150" w:firstLine="360"/>
        <w:jc w:val="both"/>
      </w:pPr>
      <w:r w:rsidRPr="005C28E7">
        <w:t>The cost of capital is the basis for evaluating the business performance of a company. When the supply of funds in the market is insufficient and the internal funds of the enterprise are limited, if the enterprise has to face a higher cost of capital, it is not conducive to the performance of net profit. That is to say, in a highly competitive business environment, if a company can have a lower cost of capital, it is also the key to a company's success. Therefore, the decision on the cost of capital has always been an important issue in financial management.</w:t>
      </w:r>
    </w:p>
    <w:p w14:paraId="72CCFA72" w14:textId="77777777" w:rsidR="006A4C62" w:rsidRPr="005C28E7" w:rsidRDefault="00622459" w:rsidP="006A4C62">
      <w:pPr>
        <w:autoSpaceDE w:val="0"/>
        <w:autoSpaceDN w:val="0"/>
        <w:adjustRightInd w:val="0"/>
        <w:spacing w:before="240" w:line="480" w:lineRule="auto"/>
        <w:ind w:firstLineChars="150" w:firstLine="360"/>
        <w:jc w:val="both"/>
      </w:pPr>
      <w:r w:rsidRPr="005C28E7">
        <w:t xml:space="preserve">Many recent studies have explored the relationship between the cost of capital and accounting quality, unfortunately, there have been wide variations in the empirical evidence presented in these studies (Francis, </w:t>
      </w:r>
      <w:proofErr w:type="spellStart"/>
      <w:r w:rsidRPr="005C28E7">
        <w:t>LaFond</w:t>
      </w:r>
      <w:proofErr w:type="spellEnd"/>
      <w:r w:rsidRPr="005C28E7">
        <w:t xml:space="preserve">, </w:t>
      </w:r>
      <w:proofErr w:type="spellStart"/>
      <w:r w:rsidRPr="005C28E7">
        <w:t>Ollson</w:t>
      </w:r>
      <w:proofErr w:type="spellEnd"/>
      <w:r w:rsidRPr="005C28E7">
        <w:t xml:space="preserve"> &amp; </w:t>
      </w:r>
      <w:proofErr w:type="gramStart"/>
      <w:r w:rsidRPr="005C28E7">
        <w:t>Schipper(</w:t>
      </w:r>
      <w:proofErr w:type="gramEnd"/>
      <w:r w:rsidRPr="005C28E7">
        <w:t xml:space="preserve">2005); Cohen, (2008); Barth, </w:t>
      </w:r>
      <w:proofErr w:type="spellStart"/>
      <w:r w:rsidRPr="005C28E7">
        <w:t>Konchitchki</w:t>
      </w:r>
      <w:proofErr w:type="spellEnd"/>
      <w:r w:rsidRPr="005C28E7">
        <w:t xml:space="preserve"> &amp; Landsman, (2011); Ng, (2011)). For example, both Francis et al. (2005) and Barth, </w:t>
      </w:r>
      <w:proofErr w:type="spellStart"/>
      <w:r w:rsidRPr="005C28E7">
        <w:t>Konchitchki</w:t>
      </w:r>
      <w:proofErr w:type="spellEnd"/>
      <w:r w:rsidRPr="005C28E7">
        <w:t xml:space="preserve"> and Landsman (2011) documented a negative relationship between the cost of capital and accounting quality, whereas Cohen (2008) could find no discernible relationship; and indeed, Ng (2011) even suggested that the cost of capital was increased with better accounting quality.</w:t>
      </w:r>
    </w:p>
    <w:p w14:paraId="028B696E" w14:textId="753F38D7" w:rsidR="00622459" w:rsidRPr="005C28E7" w:rsidRDefault="00622459" w:rsidP="00622459">
      <w:pPr>
        <w:autoSpaceDE w:val="0"/>
        <w:autoSpaceDN w:val="0"/>
        <w:adjustRightInd w:val="0"/>
        <w:spacing w:before="240" w:line="480" w:lineRule="auto"/>
        <w:ind w:firstLineChars="150" w:firstLine="360"/>
        <w:jc w:val="both"/>
      </w:pPr>
      <w:r w:rsidRPr="005C28E7">
        <w:t xml:space="preserve"> </w:t>
      </w:r>
      <w:r w:rsidR="006A4C62" w:rsidRPr="005C28E7">
        <w:t xml:space="preserve">Many literatures have studied the relationship between accounting quality and capital cost, but few studies have analyzed the relationship between accounting quality </w:t>
      </w:r>
      <w:r w:rsidR="006A4C62" w:rsidRPr="005C28E7">
        <w:lastRenderedPageBreak/>
        <w:t xml:space="preserve">and capital cost and asymmetric risk. </w:t>
      </w:r>
      <w:r w:rsidR="006847C0" w:rsidRPr="005C28E7">
        <w:t xml:space="preserve">This study mainly attempts to answer the previous question about the inconsistency between accounting quality and </w:t>
      </w:r>
      <w:r w:rsidR="00D00E44" w:rsidRPr="005C28E7">
        <w:t xml:space="preserve">cost </w:t>
      </w:r>
      <w:r w:rsidR="00D00E44">
        <w:t xml:space="preserve">of </w:t>
      </w:r>
      <w:r w:rsidR="006847C0" w:rsidRPr="005C28E7">
        <w:t>capital. The paper provides different perspectives of the relationship between accounting quality and cost</w:t>
      </w:r>
      <w:r w:rsidR="00D00E44">
        <w:t xml:space="preserve"> of capital</w:t>
      </w:r>
      <w:r w:rsidR="006847C0" w:rsidRPr="005C28E7">
        <w:t>, that is, the impact of market risk on the relationship between the two, and it is divided into upside risk and downside risk. The uncertainty of the relationship between accounting quality and capital cost through regression model is mainly caused by not considering market upside and downside risks. The results show that the quality of accounting affects the cost of capital through the downside risks.</w:t>
      </w:r>
    </w:p>
    <w:p w14:paraId="2551FEE3" w14:textId="77777777" w:rsidR="00622459" w:rsidRPr="005C28E7" w:rsidRDefault="00622459" w:rsidP="00E02DA7">
      <w:pPr>
        <w:spacing w:line="480" w:lineRule="auto"/>
        <w:jc w:val="both"/>
        <w:rPr>
          <w:sz w:val="28"/>
          <w:szCs w:val="28"/>
        </w:rPr>
      </w:pPr>
    </w:p>
    <w:p w14:paraId="7F973520" w14:textId="0A7F8DEA" w:rsidR="00536B7D" w:rsidRPr="005C28E7" w:rsidRDefault="00536B7D" w:rsidP="00536B7D">
      <w:pPr>
        <w:pStyle w:val="afb"/>
        <w:numPr>
          <w:ilvl w:val="0"/>
          <w:numId w:val="7"/>
        </w:numPr>
        <w:spacing w:line="480" w:lineRule="auto"/>
        <w:ind w:leftChars="0"/>
        <w:jc w:val="both"/>
        <w:rPr>
          <w:rFonts w:ascii="Times New Roman" w:hAnsi="Times New Roman"/>
          <w:sz w:val="28"/>
          <w:szCs w:val="28"/>
        </w:rPr>
      </w:pPr>
      <w:r w:rsidRPr="005C28E7">
        <w:rPr>
          <w:rFonts w:ascii="Times New Roman" w:hAnsi="Times New Roman"/>
          <w:sz w:val="28"/>
          <w:szCs w:val="28"/>
        </w:rPr>
        <w:t>LITERATURE REVIEW</w:t>
      </w:r>
    </w:p>
    <w:p w14:paraId="31E7C32E" w14:textId="36F88E7D" w:rsidR="006A4C62" w:rsidRPr="005C28E7" w:rsidRDefault="006A4C62" w:rsidP="006A4C62">
      <w:pPr>
        <w:pStyle w:val="afb"/>
        <w:spacing w:line="480" w:lineRule="auto"/>
        <w:ind w:leftChars="0" w:left="0" w:firstLineChars="300" w:firstLine="720"/>
        <w:jc w:val="both"/>
        <w:rPr>
          <w:rFonts w:ascii="Times New Roman" w:hAnsi="Times New Roman"/>
        </w:rPr>
      </w:pPr>
      <w:r w:rsidRPr="005C28E7">
        <w:rPr>
          <w:rFonts w:ascii="Times New Roman" w:hAnsi="Times New Roman"/>
        </w:rPr>
        <w:t xml:space="preserve">The traditional capital asset pricing theory (CAPM) is based on a perfectly competitive market. The price of assets is equal to the discount of future expected returns. The returns of all investment portfolios are only related to systemic risks. When using CAPM, the investment portfolio should be diversified, that is, include a basket of stocks and/or bonds to eliminate the non-systematic risks of individual securities. The research of Lambert, </w:t>
      </w:r>
      <w:proofErr w:type="spellStart"/>
      <w:r w:rsidRPr="005C28E7">
        <w:rPr>
          <w:rFonts w:ascii="Times New Roman" w:hAnsi="Times New Roman"/>
        </w:rPr>
        <w:t>Leuz</w:t>
      </w:r>
      <w:proofErr w:type="spellEnd"/>
      <w:r w:rsidRPr="005C28E7">
        <w:rPr>
          <w:rFonts w:ascii="Times New Roman" w:hAnsi="Times New Roman"/>
        </w:rPr>
        <w:t xml:space="preserve">, and </w:t>
      </w:r>
      <w:proofErr w:type="spellStart"/>
      <w:r w:rsidRPr="005C28E7">
        <w:rPr>
          <w:rFonts w:ascii="Times New Roman" w:hAnsi="Times New Roman"/>
        </w:rPr>
        <w:t>Verrecchia</w:t>
      </w:r>
      <w:proofErr w:type="spellEnd"/>
      <w:r w:rsidRPr="005C28E7">
        <w:rPr>
          <w:rFonts w:ascii="Times New Roman" w:hAnsi="Times New Roman"/>
        </w:rPr>
        <w:t xml:space="preserve"> (2007) pointed out that in the traditional capital asset pricing model (CAPM), when the information quality of the market is good, the company's cost of capital can be reduced through non-dispersible market risk. However, whether heterogeneous risk is related to the future return rate of stocks, there are some </w:t>
      </w:r>
      <w:r w:rsidRPr="005C28E7">
        <w:rPr>
          <w:rFonts w:ascii="Times New Roman" w:hAnsi="Times New Roman"/>
        </w:rPr>
        <w:lastRenderedPageBreak/>
        <w:t>recent related studies on the inverse relationship between heterogeneous volatility and future stock returns.</w:t>
      </w:r>
      <w:r w:rsidRPr="005C28E7">
        <w:t xml:space="preserve"> </w:t>
      </w:r>
      <w:r w:rsidRPr="005C28E7">
        <w:rPr>
          <w:rFonts w:ascii="Times New Roman" w:hAnsi="Times New Roman"/>
        </w:rPr>
        <w:t xml:space="preserve">Goyal and Santa-Clara (2003) re-examined the predictability of stock market returns and risk measures. Taking the US stock market as the research object, they found that there is a significant positive correlation between the average stock variance and market returns, that is to say </w:t>
      </w:r>
      <w:proofErr w:type="gramStart"/>
      <w:r w:rsidRPr="005C28E7">
        <w:rPr>
          <w:rFonts w:ascii="Times New Roman" w:hAnsi="Times New Roman"/>
        </w:rPr>
        <w:t>The</w:t>
      </w:r>
      <w:proofErr w:type="gramEnd"/>
      <w:r w:rsidRPr="005C28E7">
        <w:rPr>
          <w:rFonts w:ascii="Times New Roman" w:hAnsi="Times New Roman"/>
        </w:rPr>
        <w:t xml:space="preserve"> average variance of US stock returns is an important market combination of value-weighted returns. In order to avoid research bias, the predictive ability of the average variance after correction for small sample deviations remains unchanged and cannot be attributed to business cycle variables. This evidence is clearly inconsistent with asset pricing theory.</w:t>
      </w:r>
    </w:p>
    <w:p w14:paraId="787F161E" w14:textId="4B58F2B5" w:rsidR="006A4C62" w:rsidRPr="005C28E7" w:rsidRDefault="006A4C62" w:rsidP="006A4C62">
      <w:pPr>
        <w:pStyle w:val="afb"/>
        <w:spacing w:line="480" w:lineRule="auto"/>
        <w:ind w:leftChars="0" w:left="0" w:firstLineChars="300" w:firstLine="720"/>
        <w:jc w:val="both"/>
        <w:rPr>
          <w:rFonts w:ascii="Times New Roman" w:hAnsi="Times New Roman"/>
        </w:rPr>
      </w:pPr>
      <w:r w:rsidRPr="005C28E7">
        <w:rPr>
          <w:rFonts w:ascii="Times New Roman" w:hAnsi="Times New Roman"/>
        </w:rPr>
        <w:t xml:space="preserve">Ang, </w:t>
      </w:r>
      <w:proofErr w:type="spellStart"/>
      <w:r w:rsidRPr="005C28E7">
        <w:rPr>
          <w:rFonts w:ascii="Times New Roman" w:hAnsi="Times New Roman"/>
        </w:rPr>
        <w:t>Hodrick</w:t>
      </w:r>
      <w:proofErr w:type="spellEnd"/>
      <w:r w:rsidRPr="005C28E7">
        <w:rPr>
          <w:rFonts w:ascii="Times New Roman" w:hAnsi="Times New Roman"/>
        </w:rPr>
        <w:t>, Xing, and Zhang (2006) examined the impact of the inclusion of aggregate volatility risk in stock return pricing, and found that stocks that are more sensitive to aggregate volatility innovation have lower average returns, and this phenomenon cannot be used. The total volatility risk is higher to explain. Taking into account the size, book-to-market value ratio, stock momentum and liquidity effects, it cannot explain the low average return of stocks with high systemic volatility risk, nor can it explain the low average return of stocks with high heterogeneous volatility.</w:t>
      </w:r>
    </w:p>
    <w:p w14:paraId="565DCFF2" w14:textId="44050874" w:rsidR="006A4C62" w:rsidRPr="005C28E7" w:rsidRDefault="006A4C62" w:rsidP="006A4C62">
      <w:pPr>
        <w:pStyle w:val="afb"/>
        <w:spacing w:line="480" w:lineRule="auto"/>
        <w:ind w:leftChars="0" w:left="0" w:firstLineChars="300" w:firstLine="720"/>
        <w:jc w:val="both"/>
        <w:rPr>
          <w:rFonts w:ascii="Times New Roman" w:hAnsi="Times New Roman"/>
        </w:rPr>
      </w:pPr>
      <w:r w:rsidRPr="005C28E7">
        <w:rPr>
          <w:rFonts w:ascii="Times New Roman" w:hAnsi="Times New Roman"/>
        </w:rPr>
        <w:t xml:space="preserve">There are also many related studies on the quality of accounting information and the cost of capital. According to the Financial Accounting Standards Board (FASB) and the International Accounting Standards Board (IASB), the main purpose of financial </w:t>
      </w:r>
      <w:r w:rsidRPr="005C28E7">
        <w:rPr>
          <w:rFonts w:ascii="Times New Roman" w:hAnsi="Times New Roman"/>
        </w:rPr>
        <w:lastRenderedPageBreak/>
        <w:t xml:space="preserve">statements is to improve the reference of investors and other capital providers to make decisions. If the company can provide more transparent financial statements, the uncertainty about the value of its equity may be lower, and therefore it will be able to enjoy a lower cost of capital. Barth, </w:t>
      </w:r>
      <w:proofErr w:type="spellStart"/>
      <w:r w:rsidRPr="005C28E7">
        <w:rPr>
          <w:rFonts w:ascii="Times New Roman" w:hAnsi="Times New Roman"/>
        </w:rPr>
        <w:t>Konchitchki</w:t>
      </w:r>
      <w:proofErr w:type="spellEnd"/>
      <w:r w:rsidRPr="005C28E7">
        <w:rPr>
          <w:rFonts w:ascii="Times New Roman" w:hAnsi="Times New Roman"/>
        </w:rPr>
        <w:t xml:space="preserve"> and Landsman (2011) studied the correlation between income transparency and capital cost and the correlation between income transparency and information asymmetry based on the confirmed positive correlation between information asymmetry and capital cost. Their research found that income </w:t>
      </w:r>
      <w:r w:rsidR="00D00E44" w:rsidRPr="005C28E7">
        <w:rPr>
          <w:rFonts w:ascii="Times New Roman" w:hAnsi="Times New Roman"/>
        </w:rPr>
        <w:t>transparency.</w:t>
      </w:r>
      <w:r w:rsidR="00D00E44">
        <w:rPr>
          <w:rFonts w:ascii="Times New Roman" w:hAnsi="Times New Roman"/>
        </w:rPr>
        <w:t xml:space="preserve"> </w:t>
      </w:r>
      <w:r w:rsidRPr="005C28E7">
        <w:rPr>
          <w:rFonts w:ascii="Times New Roman" w:hAnsi="Times New Roman"/>
        </w:rPr>
        <w:t>The indicator is significantly negatively correlated with subsequent excess returns and the average return of the investment portfolio, and the return transparency indicator is significantly negatively correlated with our expected cost of capital agency. In short, higher return transparency is consistent with lower cost of capital. The transparency measures are negatively correlated with the information asymmetry measures used in previous studies, which is consistent with the negative correlation between revenue transparency and information asymmetry.</w:t>
      </w:r>
    </w:p>
    <w:p w14:paraId="2E63F9A0" w14:textId="7C5FFAA3" w:rsidR="006A4C62" w:rsidRPr="005C28E7" w:rsidRDefault="006A4C62" w:rsidP="006A4C62">
      <w:pPr>
        <w:pStyle w:val="afb"/>
        <w:spacing w:line="480" w:lineRule="auto"/>
        <w:ind w:leftChars="0" w:left="0" w:firstLineChars="300" w:firstLine="720"/>
        <w:jc w:val="both"/>
        <w:rPr>
          <w:rFonts w:ascii="Times New Roman" w:hAnsi="Times New Roman"/>
        </w:rPr>
      </w:pPr>
      <w:r w:rsidRPr="005C28E7">
        <w:rPr>
          <w:rFonts w:ascii="Times New Roman" w:hAnsi="Times New Roman"/>
        </w:rPr>
        <w:t xml:space="preserve">Bhattacharya, </w:t>
      </w:r>
      <w:proofErr w:type="spellStart"/>
      <w:r w:rsidRPr="005C28E7">
        <w:rPr>
          <w:rFonts w:ascii="Times New Roman" w:hAnsi="Times New Roman"/>
        </w:rPr>
        <w:t>Daouk</w:t>
      </w:r>
      <w:proofErr w:type="spellEnd"/>
      <w:r w:rsidRPr="005C28E7">
        <w:rPr>
          <w:rFonts w:ascii="Times New Roman" w:hAnsi="Times New Roman"/>
        </w:rPr>
        <w:t xml:space="preserve"> &amp; Welker (2003) focused on the relationship between accounting transparency and publicly traded equity. The results of the study found that accounting opacity publicly traded equity capital costs would be higher.</w:t>
      </w:r>
    </w:p>
    <w:p w14:paraId="10C7C571" w14:textId="06958A50" w:rsidR="00622459" w:rsidRPr="005C28E7" w:rsidRDefault="00622459" w:rsidP="006A4C62">
      <w:pPr>
        <w:pStyle w:val="afb"/>
        <w:spacing w:line="480" w:lineRule="auto"/>
        <w:ind w:leftChars="0" w:left="0" w:firstLineChars="300" w:firstLine="720"/>
        <w:jc w:val="both"/>
        <w:rPr>
          <w:rFonts w:ascii="Times New Roman" w:hAnsi="Times New Roman"/>
        </w:rPr>
      </w:pPr>
      <w:r w:rsidRPr="005C28E7">
        <w:rPr>
          <w:rFonts w:ascii="Times New Roman" w:hAnsi="Times New Roman"/>
        </w:rPr>
        <w:t xml:space="preserve">Attempts have therefore been made in several related studies to explain the ways in which accounting quality is linked to the cost of capital, with three possible linkages, </w:t>
      </w:r>
      <w:r w:rsidRPr="005C28E7">
        <w:rPr>
          <w:rFonts w:ascii="Times New Roman" w:hAnsi="Times New Roman"/>
        </w:rPr>
        <w:lastRenderedPageBreak/>
        <w:t xml:space="preserve">market risk (Lambert, </w:t>
      </w:r>
      <w:proofErr w:type="spellStart"/>
      <w:r w:rsidRPr="005C28E7">
        <w:rPr>
          <w:rFonts w:ascii="Times New Roman" w:hAnsi="Times New Roman"/>
        </w:rPr>
        <w:t>Leuz</w:t>
      </w:r>
      <w:proofErr w:type="spellEnd"/>
      <w:r w:rsidRPr="005C28E7">
        <w:rPr>
          <w:rFonts w:ascii="Times New Roman" w:hAnsi="Times New Roman"/>
        </w:rPr>
        <w:t xml:space="preserve"> &amp; </w:t>
      </w:r>
      <w:proofErr w:type="spellStart"/>
      <w:r w:rsidRPr="005C28E7">
        <w:rPr>
          <w:rFonts w:ascii="Times New Roman" w:hAnsi="Times New Roman"/>
        </w:rPr>
        <w:t>Verrecchia</w:t>
      </w:r>
      <w:proofErr w:type="spellEnd"/>
      <w:r w:rsidRPr="005C28E7">
        <w:rPr>
          <w:rFonts w:ascii="Times New Roman" w:hAnsi="Times New Roman"/>
        </w:rPr>
        <w:t xml:space="preserve">, (2007); Armstrong, Banerjee &amp; Corona, (2013); Kim &amp; Qi, (2010)), liquidity risk (Hughes, Liu &amp; Liu, (2007); Ng, (2011)) and information asymmetry (Easley &amp; O’Hara, (2004)). Each of these studies is closely connected to the issues examined in the present study, although there are some major differences, as described below. </w:t>
      </w:r>
    </w:p>
    <w:p w14:paraId="5AEE461B" w14:textId="77777777" w:rsidR="00622459" w:rsidRPr="005C28E7" w:rsidRDefault="00622459" w:rsidP="006A4C62">
      <w:pPr>
        <w:pStyle w:val="afb"/>
        <w:spacing w:line="480" w:lineRule="auto"/>
        <w:ind w:leftChars="0" w:left="0" w:firstLineChars="200" w:firstLine="480"/>
        <w:jc w:val="both"/>
        <w:rPr>
          <w:rFonts w:ascii="Times New Roman" w:hAnsi="Times New Roman"/>
          <w:spacing w:val="-2"/>
        </w:rPr>
      </w:pPr>
      <w:r w:rsidRPr="005C28E7">
        <w:rPr>
          <w:rFonts w:ascii="Times New Roman" w:hAnsi="Times New Roman"/>
        </w:rPr>
        <w:t>Firstly,</w:t>
      </w:r>
      <w:r w:rsidRPr="005C28E7">
        <w:rPr>
          <w:rFonts w:ascii="Times New Roman" w:eastAsia="AdvP4DF60E" w:hAnsi="Times New Roman"/>
        </w:rPr>
        <w:t xml:space="preserve"> all</w:t>
      </w:r>
      <w:r w:rsidRPr="005C28E7">
        <w:rPr>
          <w:rFonts w:ascii="Times New Roman" w:hAnsi="Times New Roman"/>
        </w:rPr>
        <w:t xml:space="preserve"> three prior studies focused only on those firms listed on the </w:t>
      </w:r>
      <w:r w:rsidRPr="005C28E7">
        <w:rPr>
          <w:rFonts w:ascii="Times New Roman" w:eastAsia="AdvP4DF60E" w:hAnsi="Times New Roman"/>
        </w:rPr>
        <w:t>NYSE, AMEX or NASDAQ</w:t>
      </w:r>
      <w:r w:rsidRPr="005C28E7">
        <w:rPr>
          <w:rFonts w:ascii="Times New Roman" w:hAnsi="Times New Roman"/>
        </w:rPr>
        <w:t xml:space="preserve">, which </w:t>
      </w:r>
      <w:r w:rsidRPr="005C28E7">
        <w:rPr>
          <w:rFonts w:ascii="Times New Roman" w:hAnsi="Times New Roman"/>
          <w:spacing w:val="-2"/>
        </w:rPr>
        <w:t xml:space="preserve">institutional investors are the major participants, </w:t>
      </w:r>
      <w:r w:rsidRPr="005C28E7">
        <w:rPr>
          <w:rFonts w:ascii="Times New Roman" w:hAnsi="Times New Roman"/>
        </w:rPr>
        <w:t>whereas the present study is on firms listed on the Taiwan Stock Exchange (TSE)</w:t>
      </w:r>
      <w:r w:rsidRPr="005C28E7">
        <w:rPr>
          <w:rFonts w:ascii="Times New Roman" w:hAnsi="Times New Roman"/>
          <w:spacing w:val="-2"/>
        </w:rPr>
        <w:t xml:space="preserve"> with particular focus being placed on individual investors.</w:t>
      </w:r>
      <w:r w:rsidRPr="005C28E7">
        <w:rPr>
          <w:rFonts w:ascii="Times New Roman" w:hAnsi="Times New Roman"/>
        </w:rPr>
        <w:t xml:space="preserve"> </w:t>
      </w:r>
      <w:r w:rsidRPr="005C28E7">
        <w:rPr>
          <w:rFonts w:ascii="Times New Roman" w:eastAsia="AdvP4DF60E" w:hAnsi="Times New Roman"/>
        </w:rPr>
        <w:t xml:space="preserve">Secondly, </w:t>
      </w:r>
      <w:r w:rsidRPr="005C28E7">
        <w:rPr>
          <w:rFonts w:ascii="Times New Roman" w:hAnsi="Times New Roman"/>
        </w:rPr>
        <w:t>Lambert et al. (2007) provided only a theoretical argument that accounting quality could reduce the cost of capital for a firm through market risk, with no empirical evidence being presented to support their argument. Thirdly, although Armstrong et al. (2013) argued that the cost of capital was affected by accounting quality through market risk, they provided no discussion on the ways in which this actually occurred. Finally, i</w:t>
      </w:r>
      <w:r w:rsidRPr="005C28E7">
        <w:rPr>
          <w:rFonts w:ascii="Times New Roman" w:eastAsia="AdvP4DF60E" w:hAnsi="Times New Roman"/>
        </w:rPr>
        <w:t xml:space="preserve">n contrast to the Ng (2011), this study </w:t>
      </w:r>
      <w:proofErr w:type="gramStart"/>
      <w:r w:rsidRPr="005C28E7">
        <w:rPr>
          <w:rFonts w:ascii="Times New Roman" w:eastAsia="AdvP4DF60E" w:hAnsi="Times New Roman"/>
        </w:rPr>
        <w:t>focus</w:t>
      </w:r>
      <w:proofErr w:type="gramEnd"/>
      <w:r w:rsidRPr="005C28E7">
        <w:rPr>
          <w:rFonts w:ascii="Times New Roman" w:eastAsia="AdvP4DF60E" w:hAnsi="Times New Roman"/>
        </w:rPr>
        <w:t xml:space="preserve"> solely on asymmetric market risk as the linkage between the cost of capital and accounting quality.</w:t>
      </w:r>
    </w:p>
    <w:p w14:paraId="020473A5" w14:textId="77777777" w:rsidR="00622459" w:rsidRPr="005C28E7" w:rsidRDefault="00622459" w:rsidP="006A4C62">
      <w:pPr>
        <w:pStyle w:val="afb"/>
        <w:spacing w:line="480" w:lineRule="auto"/>
        <w:ind w:leftChars="0" w:left="0" w:firstLineChars="200" w:firstLine="480"/>
        <w:jc w:val="both"/>
        <w:rPr>
          <w:rFonts w:ascii="Times New Roman" w:hAnsi="Times New Roman"/>
        </w:rPr>
      </w:pPr>
      <w:r w:rsidRPr="005C28E7">
        <w:rPr>
          <w:rFonts w:ascii="Times New Roman" w:hAnsi="Times New Roman"/>
        </w:rPr>
        <w:t>Following</w:t>
      </w:r>
      <w:r w:rsidRPr="005C28E7">
        <w:rPr>
          <w:rFonts w:ascii="Times New Roman" w:eastAsia="CMR12" w:hAnsi="Times New Roman"/>
        </w:rPr>
        <w:t xml:space="preserve"> the intuitive theoretical argument of Lambert et al. (2007), whilst also allowing investors to update firm-specific cash flow betas, </w:t>
      </w:r>
      <w:r w:rsidRPr="005C28E7">
        <w:rPr>
          <w:rFonts w:ascii="Times New Roman" w:hAnsi="Times New Roman"/>
        </w:rPr>
        <w:t xml:space="preserve">Armstrong et al. </w:t>
      </w:r>
      <w:r w:rsidRPr="005C28E7">
        <w:rPr>
          <w:rFonts w:ascii="Times New Roman" w:hAnsi="Times New Roman"/>
          <w:spacing w:val="-4"/>
        </w:rPr>
        <w:t>(2013) subsequently demonstrated that certain differences in the impacts of</w:t>
      </w:r>
      <w:r w:rsidRPr="005C28E7">
        <w:rPr>
          <w:rFonts w:ascii="Times New Roman" w:hAnsi="Times New Roman"/>
        </w:rPr>
        <w:t xml:space="preserve"> accounting quality on </w:t>
      </w:r>
      <w:r w:rsidRPr="005C28E7">
        <w:rPr>
          <w:rFonts w:ascii="Times New Roman" w:hAnsi="Times New Roman"/>
        </w:rPr>
        <w:lastRenderedPageBreak/>
        <w:t xml:space="preserve">the cost of capital were attributable to market risk; that is, they found that when the market risk, </w:t>
      </w:r>
      <w:r w:rsidRPr="005C28E7">
        <w:rPr>
          <w:rFonts w:ascii="Times New Roman" w:hAnsi="Times New Roman"/>
          <w:i/>
        </w:rPr>
        <w:t>β</w:t>
      </w:r>
      <w:r w:rsidRPr="005C28E7">
        <w:rPr>
          <w:rFonts w:ascii="Times New Roman" w:hAnsi="Times New Roman"/>
        </w:rPr>
        <w:t>, was positive (negative), accounting quality would have the effect of reducing (increasing) the cost of capital. Prospect theory, as proposed by Kahneman and Tversky (1979), suggests that gains and losses are seen differently by economic agents. Low (2004) therefore investigated the relationship between the risk perceptions of option traders and the contemporaneous market conditions based upon a sample of S&amp;P100 firms, with the empirical results showing that the risk-return relationship was asymmetric and non-linear. It would therefore seem that when attempting to explain the relationship between the cost of capital and accounting quality, asymmetric market risk is more appropriate than symmetric risk.</w:t>
      </w:r>
    </w:p>
    <w:p w14:paraId="7FD541C0" w14:textId="67FBAF14" w:rsidR="00622459" w:rsidRPr="005C28E7" w:rsidRDefault="00622459" w:rsidP="006A4C62">
      <w:pPr>
        <w:pStyle w:val="afb"/>
        <w:spacing w:line="480" w:lineRule="auto"/>
        <w:ind w:leftChars="0" w:left="0" w:firstLineChars="200" w:firstLine="480"/>
        <w:jc w:val="both"/>
        <w:rPr>
          <w:rFonts w:ascii="Times New Roman" w:hAnsi="Times New Roman"/>
          <w:spacing w:val="-2"/>
        </w:rPr>
      </w:pPr>
      <w:r w:rsidRPr="005C28E7">
        <w:rPr>
          <w:rFonts w:ascii="Times New Roman" w:hAnsi="Times New Roman"/>
        </w:rPr>
        <w:t>This study undertakes with</w:t>
      </w:r>
      <w:r w:rsidRPr="005C28E7" w:rsidDel="008C124F">
        <w:rPr>
          <w:rFonts w:ascii="Times New Roman" w:hAnsi="Times New Roman"/>
        </w:rPr>
        <w:t xml:space="preserve"> the aim of examining whether the cost of capital is similarly affected by accounting quality </w:t>
      </w:r>
      <w:r w:rsidRPr="005C28E7">
        <w:rPr>
          <w:rFonts w:ascii="Times New Roman" w:hAnsi="Times New Roman"/>
        </w:rPr>
        <w:t>with a particular focus on asymmetric market risk</w:t>
      </w:r>
      <w:r w:rsidRPr="005C28E7" w:rsidDel="008C124F">
        <w:rPr>
          <w:rFonts w:ascii="Times New Roman" w:hAnsi="Times New Roman"/>
        </w:rPr>
        <w:t xml:space="preserve"> </w:t>
      </w:r>
      <w:r w:rsidRPr="005C28E7">
        <w:rPr>
          <w:rFonts w:ascii="Times New Roman" w:hAnsi="Times New Roman"/>
        </w:rPr>
        <w:t xml:space="preserve">using firms listed on the TSE over the periods, January 1995 and December 2009. The prior related studies focus solely on the US market, which institutional investors are the major investors (Francis et al., (2005); Ang, Chen &amp; Xing, (2006); Cohen, (2008); Barth et al., (2011); Ng, (2011)). The institutional investors are usually regarded as the ‘experts’, in terms of their sound understanding of accounting information, they are, nevertheless, easily deterred from using discretionary accruals to manipulate earnings (Chung, Firth and Kim, (2002)). Generally, individual investors are often considered the </w:t>
      </w:r>
      <w:r w:rsidRPr="005C28E7">
        <w:rPr>
          <w:rFonts w:ascii="Times New Roman" w:hAnsi="Times New Roman"/>
        </w:rPr>
        <w:lastRenderedPageBreak/>
        <w:t>least informed users of financial statements. Empirical evidence suggests that i</w:t>
      </w:r>
      <w:r w:rsidRPr="005C28E7">
        <w:rPr>
          <w:rFonts w:ascii="Times New Roman" w:hAnsi="Times New Roman"/>
          <w:kern w:val="0"/>
        </w:rPr>
        <w:t xml:space="preserve">ndividual investors’ perceptions of firm value are influenced by their peers’ beliefs through “word of mouth” and in most cases depend on popular, socially shared models (De </w:t>
      </w:r>
      <w:proofErr w:type="spellStart"/>
      <w:r w:rsidRPr="005C28E7">
        <w:rPr>
          <w:rFonts w:ascii="Times New Roman" w:hAnsi="Times New Roman"/>
          <w:kern w:val="0"/>
        </w:rPr>
        <w:t>Bondt</w:t>
      </w:r>
      <w:proofErr w:type="spellEnd"/>
      <w:r w:rsidRPr="005C28E7">
        <w:rPr>
          <w:rFonts w:ascii="Times New Roman" w:hAnsi="Times New Roman"/>
          <w:kern w:val="0"/>
        </w:rPr>
        <w:t xml:space="preserve">, (1998); Hong et al., (2005); Ng and Wu, (2010)). </w:t>
      </w:r>
      <w:r w:rsidRPr="005C28E7">
        <w:rPr>
          <w:rFonts w:ascii="Times New Roman" w:hAnsi="Times New Roman"/>
        </w:rPr>
        <w:t>This study tries to provide evidence on how the cost of capital varies with accounting quality in a market with individual investors being the major parts.</w:t>
      </w:r>
    </w:p>
    <w:p w14:paraId="33486787" w14:textId="335E7197" w:rsidR="00622459" w:rsidRPr="005C28E7" w:rsidRDefault="004B45DC" w:rsidP="006A4C62">
      <w:pPr>
        <w:pStyle w:val="afb"/>
        <w:spacing w:line="480" w:lineRule="auto"/>
        <w:ind w:leftChars="0" w:left="0" w:firstLineChars="200" w:firstLine="480"/>
        <w:jc w:val="both"/>
        <w:rPr>
          <w:rFonts w:ascii="Times New Roman" w:hAnsi="Times New Roman"/>
          <w:spacing w:val="-2"/>
        </w:rPr>
      </w:pPr>
      <w:r w:rsidRPr="005C28E7">
        <w:rPr>
          <w:rFonts w:ascii="Times New Roman" w:hAnsi="Times New Roman"/>
        </w:rPr>
        <w:t>The results of this paper</w:t>
      </w:r>
      <w:r w:rsidR="00622459" w:rsidRPr="005C28E7">
        <w:rPr>
          <w:rFonts w:ascii="Times New Roman" w:hAnsi="Times New Roman"/>
        </w:rPr>
        <w:t xml:space="preserve"> show that accounting quality has a positive correlation with market risk, regardless of whether the risk is symmetric or asymmetric. This paper also explores that the cost of capital has a positive correlation with asymmetric market risk. Finally, the results reveal that the cost of capital based upon accounting quality originates mainly from downside risk.</w:t>
      </w:r>
    </w:p>
    <w:p w14:paraId="7BB86B80" w14:textId="437192B3" w:rsidR="00622459" w:rsidRPr="005C28E7" w:rsidRDefault="00622459" w:rsidP="006A4C62">
      <w:pPr>
        <w:pStyle w:val="afb"/>
        <w:spacing w:line="480" w:lineRule="auto"/>
        <w:ind w:leftChars="0" w:left="0" w:firstLineChars="200" w:firstLine="480"/>
        <w:jc w:val="both"/>
        <w:rPr>
          <w:rFonts w:ascii="Times New Roman" w:eastAsia="標楷體" w:hAnsi="Times New Roman"/>
          <w:spacing w:val="-4"/>
        </w:rPr>
      </w:pPr>
      <w:r w:rsidRPr="005C28E7">
        <w:rPr>
          <w:rFonts w:ascii="Times New Roman" w:eastAsia="標楷體" w:hAnsi="Times New Roman"/>
        </w:rPr>
        <w:t>The remainder of this paper is organized as follows. In Section 2 by a description of the</w:t>
      </w:r>
      <w:r w:rsidRPr="005C28E7">
        <w:rPr>
          <w:rFonts w:ascii="Times New Roman" w:hAnsi="Times New Roman"/>
        </w:rPr>
        <w:t xml:space="preserve"> d</w:t>
      </w:r>
      <w:r w:rsidRPr="005C28E7">
        <w:rPr>
          <w:rFonts w:ascii="Times New Roman" w:eastAsia="標楷體" w:hAnsi="Times New Roman"/>
        </w:rPr>
        <w:t xml:space="preserve">ata used for </w:t>
      </w:r>
      <w:r w:rsidR="004B45DC" w:rsidRPr="005C28E7">
        <w:rPr>
          <w:rFonts w:ascii="Times New Roman" w:eastAsia="標楷體" w:hAnsi="Times New Roman"/>
        </w:rPr>
        <w:t xml:space="preserve">the </w:t>
      </w:r>
      <w:r w:rsidRPr="005C28E7">
        <w:rPr>
          <w:rFonts w:ascii="Times New Roman" w:eastAsia="標楷體" w:hAnsi="Times New Roman"/>
        </w:rPr>
        <w:t>study, along with a description of the variables. The empirical results are subsequently presented in Section 3.</w:t>
      </w:r>
      <w:r w:rsidRPr="005C28E7">
        <w:rPr>
          <w:rFonts w:ascii="Times New Roman" w:hAnsi="Times New Roman"/>
        </w:rPr>
        <w:t xml:space="preserve"> </w:t>
      </w:r>
      <w:r w:rsidRPr="005C28E7">
        <w:rPr>
          <w:rFonts w:ascii="Times New Roman" w:eastAsia="標楷體" w:hAnsi="Times New Roman"/>
        </w:rPr>
        <w:t>Finally, the conclusions of this research will be described in Section 4.</w:t>
      </w:r>
    </w:p>
    <w:p w14:paraId="5A73FA2F" w14:textId="77777777" w:rsidR="00622459" w:rsidRPr="005C28E7" w:rsidRDefault="00622459" w:rsidP="00622459">
      <w:pPr>
        <w:pStyle w:val="afb"/>
        <w:spacing w:line="480" w:lineRule="auto"/>
        <w:ind w:leftChars="0" w:left="360"/>
        <w:jc w:val="both"/>
        <w:rPr>
          <w:rFonts w:ascii="Times New Roman" w:hAnsi="Times New Roman"/>
          <w:sz w:val="28"/>
          <w:szCs w:val="28"/>
        </w:rPr>
      </w:pPr>
    </w:p>
    <w:p w14:paraId="53E76801" w14:textId="5CD6512E" w:rsidR="00536B7D" w:rsidRPr="005C28E7" w:rsidRDefault="00536B7D" w:rsidP="00536B7D">
      <w:pPr>
        <w:pStyle w:val="afb"/>
        <w:numPr>
          <w:ilvl w:val="0"/>
          <w:numId w:val="7"/>
        </w:numPr>
        <w:spacing w:line="480" w:lineRule="auto"/>
        <w:ind w:leftChars="0"/>
        <w:jc w:val="both"/>
        <w:rPr>
          <w:rFonts w:ascii="Times New Roman" w:hAnsi="Times New Roman"/>
          <w:sz w:val="28"/>
          <w:szCs w:val="28"/>
        </w:rPr>
      </w:pPr>
      <w:r w:rsidRPr="005C28E7">
        <w:rPr>
          <w:rFonts w:ascii="Times New Roman" w:hAnsi="Times New Roman"/>
          <w:sz w:val="28"/>
          <w:szCs w:val="28"/>
        </w:rPr>
        <w:t>METHOD AND DATA</w:t>
      </w:r>
    </w:p>
    <w:p w14:paraId="798B5741" w14:textId="77777777" w:rsidR="00622459" w:rsidRPr="005C28E7" w:rsidRDefault="00622459" w:rsidP="00622459">
      <w:pPr>
        <w:pStyle w:val="afb"/>
        <w:spacing w:line="480" w:lineRule="auto"/>
        <w:ind w:leftChars="0" w:left="360"/>
        <w:jc w:val="both"/>
        <w:rPr>
          <w:rFonts w:ascii="Times New Roman" w:hAnsi="Times New Roman"/>
          <w:b/>
          <w:sz w:val="26"/>
          <w:szCs w:val="26"/>
        </w:rPr>
      </w:pPr>
      <w:r w:rsidRPr="005C28E7">
        <w:rPr>
          <w:rFonts w:ascii="Times New Roman" w:hAnsi="Times New Roman"/>
          <w:b/>
          <w:sz w:val="26"/>
          <w:szCs w:val="26"/>
        </w:rPr>
        <w:t>2.1</w:t>
      </w:r>
      <w:r w:rsidRPr="005C28E7">
        <w:rPr>
          <w:rFonts w:ascii="Times New Roman" w:hAnsi="Times New Roman"/>
          <w:b/>
          <w:sz w:val="26"/>
          <w:szCs w:val="26"/>
        </w:rPr>
        <w:tab/>
        <w:t>Data</w:t>
      </w:r>
    </w:p>
    <w:p w14:paraId="719F45C8" w14:textId="77777777" w:rsidR="00622459" w:rsidRPr="005C28E7" w:rsidRDefault="00622459" w:rsidP="00622459">
      <w:pPr>
        <w:pStyle w:val="afb"/>
        <w:spacing w:line="480" w:lineRule="auto"/>
        <w:ind w:leftChars="0" w:left="357" w:firstLineChars="200" w:firstLine="480"/>
        <w:jc w:val="both"/>
        <w:rPr>
          <w:rFonts w:ascii="Times New Roman" w:hAnsi="Times New Roman"/>
          <w:bCs/>
        </w:rPr>
      </w:pPr>
      <w:r w:rsidRPr="005C28E7">
        <w:rPr>
          <w:rFonts w:ascii="Times New Roman" w:hAnsi="Times New Roman"/>
          <w:bCs/>
        </w:rPr>
        <w:t xml:space="preserve">In support of our analysis in the present study, two sets of data were obtained </w:t>
      </w:r>
      <w:r w:rsidRPr="005C28E7">
        <w:rPr>
          <w:rFonts w:ascii="Times New Roman" w:hAnsi="Times New Roman"/>
          <w:bCs/>
        </w:rPr>
        <w:lastRenderedPageBreak/>
        <w:t xml:space="preserve">from the Taiwan Economic Journal (TEJ) database; the data on the daily excess risk premium, excess market risk premium, </w:t>
      </w:r>
      <w:r w:rsidRPr="005C28E7">
        <w:rPr>
          <w:rFonts w:ascii="Times New Roman" w:hAnsi="Times New Roman"/>
          <w:bCs/>
          <w:i/>
        </w:rPr>
        <w:t>SMB</w:t>
      </w:r>
      <w:r w:rsidRPr="005C28E7">
        <w:rPr>
          <w:rFonts w:ascii="Times New Roman" w:hAnsi="Times New Roman"/>
          <w:bCs/>
        </w:rPr>
        <w:t xml:space="preserve"> and </w:t>
      </w:r>
      <w:r w:rsidRPr="005C28E7">
        <w:rPr>
          <w:rFonts w:ascii="Times New Roman" w:hAnsi="Times New Roman"/>
          <w:bCs/>
          <w:i/>
        </w:rPr>
        <w:t>HML</w:t>
      </w:r>
      <w:r w:rsidRPr="005C28E7">
        <w:rPr>
          <w:rFonts w:ascii="Times New Roman" w:hAnsi="Times New Roman"/>
          <w:bCs/>
        </w:rPr>
        <w:t xml:space="preserve"> were collected from the TEJ ‘equity database’, whilst the accounting information on our sample of firms was obtained from the TEJ ‘public database’. Our sample period runs from January 1995 to December 2009, providing a total of fifteen years of observations. </w:t>
      </w:r>
    </w:p>
    <w:p w14:paraId="0644FC86" w14:textId="6973409F" w:rsidR="00622459" w:rsidRPr="005C28E7" w:rsidRDefault="00622459" w:rsidP="00622459">
      <w:pPr>
        <w:pStyle w:val="afb"/>
        <w:spacing w:line="480" w:lineRule="auto"/>
        <w:ind w:leftChars="0" w:left="357" w:firstLineChars="200" w:firstLine="480"/>
        <w:jc w:val="both"/>
        <w:rPr>
          <w:rFonts w:ascii="Times New Roman" w:hAnsi="Times New Roman"/>
        </w:rPr>
      </w:pPr>
      <w:r w:rsidRPr="005C28E7">
        <w:rPr>
          <w:rFonts w:ascii="Times New Roman" w:hAnsi="Times New Roman"/>
          <w:bCs/>
        </w:rPr>
        <w:t xml:space="preserve">Following the approach in many of the prior studies, all firms with less than 200 trading days in each year were excluded from the sample, as were those firms whose stock prices or trading volume were less than zero (He &amp; Wu, (2005)); </w:t>
      </w:r>
      <w:r w:rsidR="004B45DC" w:rsidRPr="005C28E7">
        <w:rPr>
          <w:rFonts w:ascii="Times New Roman" w:hAnsi="Times New Roman"/>
          <w:bCs/>
        </w:rPr>
        <w:t>finally,</w:t>
      </w:r>
      <w:r w:rsidRPr="005C28E7">
        <w:rPr>
          <w:rFonts w:ascii="Times New Roman" w:hAnsi="Times New Roman"/>
          <w:bCs/>
        </w:rPr>
        <w:t xml:space="preserve"> all firms within the financial industry were also excluded. The resultant sample comprised of </w:t>
      </w:r>
      <w:r w:rsidRPr="005C28E7">
        <w:rPr>
          <w:rFonts w:ascii="Times New Roman" w:hAnsi="Times New Roman"/>
        </w:rPr>
        <w:t xml:space="preserve">317 firms providing </w:t>
      </w:r>
      <w:r w:rsidRPr="005C28E7">
        <w:rPr>
          <w:rFonts w:ascii="Times New Roman" w:hAnsi="Times New Roman"/>
          <w:bCs/>
        </w:rPr>
        <w:t xml:space="preserve">a total of </w:t>
      </w:r>
      <w:r w:rsidRPr="005C28E7">
        <w:rPr>
          <w:rFonts w:ascii="Times New Roman" w:hAnsi="Times New Roman"/>
        </w:rPr>
        <w:t>7,731 firm-year observations.</w:t>
      </w:r>
    </w:p>
    <w:p w14:paraId="1F9865B1" w14:textId="77777777" w:rsidR="00622459" w:rsidRPr="005C28E7" w:rsidRDefault="00622459" w:rsidP="00622459">
      <w:pPr>
        <w:pStyle w:val="afb"/>
        <w:spacing w:before="120" w:line="480" w:lineRule="auto"/>
        <w:ind w:leftChars="0" w:left="360"/>
        <w:jc w:val="both"/>
        <w:rPr>
          <w:rFonts w:ascii="Times New Roman" w:hAnsi="Times New Roman"/>
        </w:rPr>
      </w:pPr>
      <w:r w:rsidRPr="005C28E7">
        <w:rPr>
          <w:rFonts w:ascii="Times New Roman" w:hAnsi="Times New Roman"/>
          <w:b/>
          <w:sz w:val="26"/>
          <w:szCs w:val="26"/>
        </w:rPr>
        <w:t>2.2</w:t>
      </w:r>
      <w:r w:rsidRPr="005C28E7">
        <w:rPr>
          <w:rFonts w:ascii="Times New Roman" w:hAnsi="Times New Roman"/>
          <w:b/>
          <w:bCs/>
          <w:sz w:val="26"/>
          <w:szCs w:val="26"/>
        </w:rPr>
        <w:tab/>
        <w:t>Variables</w:t>
      </w:r>
    </w:p>
    <w:p w14:paraId="3481F5F1" w14:textId="513C3346" w:rsidR="00622459" w:rsidRPr="005C28E7" w:rsidRDefault="00622459" w:rsidP="00622459">
      <w:pPr>
        <w:pStyle w:val="afb"/>
        <w:spacing w:line="480" w:lineRule="auto"/>
        <w:ind w:leftChars="0" w:left="357" w:firstLineChars="200" w:firstLine="480"/>
        <w:jc w:val="both"/>
        <w:rPr>
          <w:rFonts w:ascii="Times New Roman" w:hAnsi="Times New Roman"/>
          <w:bCs/>
        </w:rPr>
      </w:pPr>
      <w:r w:rsidRPr="005C28E7">
        <w:rPr>
          <w:rFonts w:ascii="Times New Roman" w:hAnsi="Times New Roman"/>
        </w:rPr>
        <w:t>Since it is noted that betas are time-varying (Ang and Chen, (2007)) and noisy within a short estimation period (Lewellen and Nagel, (2006)), follow</w:t>
      </w:r>
      <w:r w:rsidR="004B45DC" w:rsidRPr="005C28E7">
        <w:rPr>
          <w:rFonts w:ascii="Times New Roman" w:hAnsi="Times New Roman"/>
        </w:rPr>
        <w:t>ing</w:t>
      </w:r>
      <w:r w:rsidRPr="005C28E7">
        <w:rPr>
          <w:rFonts w:ascii="Times New Roman" w:hAnsi="Times New Roman"/>
        </w:rPr>
        <w:t xml:space="preserve"> </w:t>
      </w:r>
      <w:proofErr w:type="spellStart"/>
      <w:r w:rsidRPr="005C28E7">
        <w:rPr>
          <w:rFonts w:ascii="Times New Roman" w:hAnsi="Times New Roman"/>
        </w:rPr>
        <w:t>Fama</w:t>
      </w:r>
      <w:proofErr w:type="spellEnd"/>
      <w:r w:rsidRPr="005C28E7">
        <w:rPr>
          <w:rFonts w:ascii="Times New Roman" w:hAnsi="Times New Roman"/>
        </w:rPr>
        <w:t xml:space="preserve"> and French (2006) to use </w:t>
      </w:r>
      <w:r w:rsidRPr="005C28E7">
        <w:rPr>
          <w:rFonts w:ascii="Times New Roman" w:hAnsi="Times New Roman"/>
          <w:bCs/>
        </w:rPr>
        <w:t xml:space="preserve">daily data within an </w:t>
      </w:r>
      <w:r w:rsidRPr="005C28E7">
        <w:rPr>
          <w:rFonts w:ascii="Times New Roman" w:hAnsi="Times New Roman"/>
        </w:rPr>
        <w:t>annual horizon for our estimation of market risk. By so doing, our</w:t>
      </w:r>
      <w:r w:rsidRPr="005C28E7">
        <w:rPr>
          <w:rFonts w:ascii="Times New Roman" w:hAnsi="Times New Roman"/>
          <w:bCs/>
        </w:rPr>
        <w:t xml:space="preserve"> estimations will have greater statistical power in those cases where the betas may be time-varying (</w:t>
      </w:r>
      <w:proofErr w:type="spellStart"/>
      <w:r w:rsidRPr="005C28E7">
        <w:rPr>
          <w:rFonts w:ascii="Times New Roman" w:hAnsi="Times New Roman"/>
          <w:bCs/>
        </w:rPr>
        <w:t>Fama</w:t>
      </w:r>
      <w:proofErr w:type="spellEnd"/>
      <w:r w:rsidRPr="005C28E7">
        <w:rPr>
          <w:rFonts w:ascii="Times New Roman" w:hAnsi="Times New Roman"/>
          <w:bCs/>
        </w:rPr>
        <w:t xml:space="preserve"> and French,</w:t>
      </w:r>
      <w:r w:rsidRPr="005C28E7">
        <w:rPr>
          <w:rFonts w:ascii="Times New Roman" w:hAnsi="Times New Roman"/>
        </w:rPr>
        <w:t xml:space="preserve"> (2006)</w:t>
      </w:r>
      <w:r w:rsidRPr="005C28E7">
        <w:rPr>
          <w:rFonts w:ascii="Times New Roman" w:hAnsi="Times New Roman"/>
          <w:bCs/>
        </w:rPr>
        <w:t>).</w:t>
      </w:r>
    </w:p>
    <w:p w14:paraId="78C4F2B1" w14:textId="77777777" w:rsidR="00622459" w:rsidRPr="005C28E7" w:rsidRDefault="00622459" w:rsidP="00622459">
      <w:pPr>
        <w:pStyle w:val="afb"/>
        <w:spacing w:before="120" w:line="480" w:lineRule="auto"/>
        <w:ind w:leftChars="0" w:left="360"/>
        <w:jc w:val="both"/>
        <w:rPr>
          <w:rFonts w:ascii="Times New Roman" w:hAnsi="Times New Roman"/>
          <w:b/>
          <w:bCs/>
        </w:rPr>
      </w:pPr>
      <w:proofErr w:type="gramStart"/>
      <w:r w:rsidRPr="005C28E7">
        <w:rPr>
          <w:rFonts w:ascii="Times New Roman" w:hAnsi="Times New Roman"/>
          <w:b/>
          <w:bCs/>
        </w:rPr>
        <w:t>2.2.1</w:t>
      </w:r>
      <w:r w:rsidRPr="005C28E7">
        <w:rPr>
          <w:rFonts w:ascii="Times New Roman" w:hAnsi="Times New Roman"/>
          <w:b/>
          <w:bCs/>
          <w:sz w:val="16"/>
        </w:rPr>
        <w:t xml:space="preserve">  </w:t>
      </w:r>
      <w:r w:rsidRPr="005C28E7">
        <w:rPr>
          <w:rFonts w:ascii="Times New Roman" w:hAnsi="Times New Roman"/>
          <w:b/>
          <w:bCs/>
        </w:rPr>
        <w:t>Downside</w:t>
      </w:r>
      <w:proofErr w:type="gramEnd"/>
      <w:r w:rsidRPr="005C28E7">
        <w:rPr>
          <w:rFonts w:ascii="Times New Roman" w:hAnsi="Times New Roman"/>
          <w:b/>
          <w:bCs/>
        </w:rPr>
        <w:t xml:space="preserve"> and upside risk</w:t>
      </w:r>
    </w:p>
    <w:p w14:paraId="369F6FD4" w14:textId="48B98597" w:rsidR="00622459" w:rsidRPr="005C28E7" w:rsidRDefault="004B45DC" w:rsidP="00622459">
      <w:pPr>
        <w:pStyle w:val="afb"/>
        <w:spacing w:line="480" w:lineRule="auto"/>
        <w:ind w:leftChars="0" w:left="357" w:firstLineChars="200" w:firstLine="480"/>
        <w:jc w:val="both"/>
        <w:rPr>
          <w:rFonts w:ascii="Times New Roman" w:hAnsi="Times New Roman"/>
          <w:bCs/>
        </w:rPr>
      </w:pPr>
      <w:r w:rsidRPr="005C28E7">
        <w:rPr>
          <w:rFonts w:ascii="Times New Roman" w:hAnsi="Times New Roman"/>
        </w:rPr>
        <w:t>The paper follows</w:t>
      </w:r>
      <w:r w:rsidR="00622459" w:rsidRPr="005C28E7">
        <w:rPr>
          <w:rFonts w:ascii="Times New Roman" w:hAnsi="Times New Roman"/>
        </w:rPr>
        <w:t xml:space="preserve"> Ang et al. ((2006)) to decompose market risk into downside and upside risk, with a value of 0 being used as the cut-off point for the determination </w:t>
      </w:r>
      <w:r w:rsidR="00622459" w:rsidRPr="005C28E7">
        <w:rPr>
          <w:rFonts w:ascii="Times New Roman" w:hAnsi="Times New Roman"/>
        </w:rPr>
        <w:lastRenderedPageBreak/>
        <w:t>of the downside and upside risk (Kim &amp; Zumwalt, (1979); Ang et al., (2006)).</w:t>
      </w:r>
      <w:r w:rsidR="00622459" w:rsidRPr="005C28E7">
        <w:rPr>
          <w:rFonts w:ascii="Times New Roman" w:hAnsi="Times New Roman"/>
          <w:sz w:val="20"/>
          <w:szCs w:val="20"/>
        </w:rPr>
        <w:t xml:space="preserve"> </w:t>
      </w:r>
      <w:r w:rsidR="00622459" w:rsidRPr="005C28E7">
        <w:rPr>
          <w:rFonts w:ascii="Times New Roman" w:hAnsi="Times New Roman"/>
        </w:rPr>
        <w:t xml:space="preserve">Further, </w:t>
      </w:r>
      <w:r w:rsidR="00622459" w:rsidRPr="005C28E7">
        <w:rPr>
          <w:rFonts w:ascii="Times New Roman" w:eastAsia="標楷體" w:hAnsi="Times New Roman"/>
          <w:bCs/>
        </w:rPr>
        <w:t>the common</w:t>
      </w:r>
      <w:r w:rsidR="00622459" w:rsidRPr="005C28E7">
        <w:rPr>
          <w:rFonts w:ascii="Times New Roman" w:eastAsia="標楷體" w:hAnsi="Times New Roman"/>
        </w:rPr>
        <w:t xml:space="preserve"> unconditional market risk (</w:t>
      </w:r>
      <w:proofErr w:type="gramStart"/>
      <w:r w:rsidR="00622459" w:rsidRPr="005C28E7">
        <w:rPr>
          <w:rFonts w:ascii="Times New Roman" w:hAnsi="Times New Roman"/>
          <w:bCs/>
          <w:i/>
          <w:sz w:val="26"/>
          <w:szCs w:val="26"/>
        </w:rPr>
        <w:t>β</w:t>
      </w:r>
      <w:r w:rsidR="00622459" w:rsidRPr="005C28E7">
        <w:rPr>
          <w:rFonts w:ascii="Times New Roman" w:hAnsi="Times New Roman"/>
          <w:bCs/>
          <w:i/>
          <w:sz w:val="12"/>
          <w:szCs w:val="26"/>
        </w:rPr>
        <w:t xml:space="preserve"> </w:t>
      </w:r>
      <w:r w:rsidR="00622459" w:rsidRPr="005C28E7">
        <w:rPr>
          <w:rFonts w:ascii="Times New Roman" w:eastAsia="標楷體" w:hAnsi="Times New Roman"/>
        </w:rPr>
        <w:t>)</w:t>
      </w:r>
      <w:proofErr w:type="gramEnd"/>
      <w:r w:rsidR="00622459" w:rsidRPr="005C28E7">
        <w:rPr>
          <w:rFonts w:ascii="Times New Roman" w:eastAsia="標楷體" w:hAnsi="Times New Roman"/>
        </w:rPr>
        <w:t xml:space="preserve"> obtained from the CAPM as a benchmark </w:t>
      </w:r>
      <w:r w:rsidR="00622459" w:rsidRPr="005C28E7">
        <w:rPr>
          <w:rFonts w:ascii="Times New Roman" w:hAnsi="Times New Roman"/>
          <w:bCs/>
        </w:rPr>
        <w:t>(Ang et al., (2006))</w:t>
      </w:r>
      <w:r w:rsidR="00622459" w:rsidRPr="005C28E7">
        <w:rPr>
          <w:rFonts w:ascii="Times New Roman" w:eastAsia="標楷體" w:hAnsi="Times New Roman"/>
        </w:rPr>
        <w:t>, and</w:t>
      </w:r>
      <w:r w:rsidR="00622459" w:rsidRPr="005C28E7">
        <w:rPr>
          <w:rFonts w:ascii="Times New Roman" w:eastAsia="標楷體" w:hAnsi="Times New Roman"/>
          <w:bCs/>
        </w:rPr>
        <w:t xml:space="preserve"> then define the asymmetric market risk for stock </w:t>
      </w:r>
      <w:proofErr w:type="spellStart"/>
      <w:r w:rsidR="00622459" w:rsidRPr="005C28E7">
        <w:rPr>
          <w:rFonts w:ascii="Times New Roman" w:eastAsia="標楷體" w:hAnsi="Times New Roman"/>
          <w:bCs/>
          <w:i/>
        </w:rPr>
        <w:t>i</w:t>
      </w:r>
      <w:proofErr w:type="spellEnd"/>
      <w:r w:rsidR="00622459" w:rsidRPr="005C28E7">
        <w:rPr>
          <w:rFonts w:ascii="Times New Roman" w:eastAsia="標楷體" w:hAnsi="Times New Roman"/>
          <w:bCs/>
        </w:rPr>
        <w:t xml:space="preserve"> (</w:t>
      </w:r>
      <w:proofErr w:type="spellStart"/>
      <w:r w:rsidR="00622459" w:rsidRPr="005C28E7">
        <w:rPr>
          <w:rFonts w:ascii="Times New Roman" w:eastAsia="標楷體" w:hAnsi="Times New Roman"/>
          <w:bCs/>
          <w:i/>
        </w:rPr>
        <w:t>Asy</w:t>
      </w:r>
      <w:proofErr w:type="spellEnd"/>
      <w:r w:rsidR="00622459" w:rsidRPr="005C28E7">
        <w:rPr>
          <w:rFonts w:ascii="Times New Roman" w:hAnsi="Times New Roman"/>
          <w:bCs/>
          <w:i/>
          <w:sz w:val="26"/>
          <w:szCs w:val="26"/>
        </w:rPr>
        <w:t>β</w:t>
      </w:r>
      <w:r w:rsidR="00622459" w:rsidRPr="005C28E7">
        <w:rPr>
          <w:rFonts w:ascii="Times New Roman" w:hAnsi="Times New Roman"/>
          <w:bCs/>
          <w:i/>
          <w:vertAlign w:val="subscript"/>
        </w:rPr>
        <w:t>i</w:t>
      </w:r>
      <w:r w:rsidR="00622459" w:rsidRPr="005C28E7">
        <w:rPr>
          <w:rFonts w:ascii="Times New Roman" w:eastAsia="標楷體" w:hAnsi="Times New Roman"/>
          <w:bCs/>
          <w:sz w:val="20"/>
        </w:rPr>
        <w:t xml:space="preserve"> = </w:t>
      </w:r>
      <w:r w:rsidR="00622459" w:rsidRPr="005C28E7">
        <w:rPr>
          <w:rFonts w:ascii="Times New Roman" w:hAnsi="Times New Roman"/>
          <w:bCs/>
          <w:i/>
          <w:sz w:val="26"/>
          <w:szCs w:val="26"/>
        </w:rPr>
        <w:t>β</w:t>
      </w:r>
      <w:r w:rsidR="00622459" w:rsidRPr="005C28E7">
        <w:rPr>
          <w:rFonts w:ascii="Times New Roman" w:hAnsi="Times New Roman"/>
          <w:bCs/>
          <w:i/>
          <w:spacing w:val="-40"/>
          <w:vertAlign w:val="subscript"/>
        </w:rPr>
        <w:t xml:space="preserve"> </w:t>
      </w:r>
      <w:proofErr w:type="spellStart"/>
      <w:r w:rsidR="00622459" w:rsidRPr="005C28E7">
        <w:rPr>
          <w:rFonts w:ascii="Times New Roman" w:hAnsi="Times New Roman"/>
          <w:bCs/>
          <w:i/>
          <w:spacing w:val="-40"/>
          <w:vertAlign w:val="subscript"/>
        </w:rPr>
        <w:t>i</w:t>
      </w:r>
      <w:proofErr w:type="spellEnd"/>
      <w:r w:rsidR="00622459" w:rsidRPr="005C28E7">
        <w:rPr>
          <w:rFonts w:ascii="Times New Roman" w:hAnsi="Times New Roman"/>
          <w:bCs/>
          <w:spacing w:val="-40"/>
          <w:position w:val="6"/>
          <w:sz w:val="22"/>
          <w:vertAlign w:val="superscript"/>
        </w:rPr>
        <w:t>–</w:t>
      </w:r>
      <w:r w:rsidR="00622459" w:rsidRPr="005C28E7">
        <w:rPr>
          <w:rFonts w:ascii="Times New Roman" w:hAnsi="Times New Roman"/>
          <w:bCs/>
        </w:rPr>
        <w:t xml:space="preserve"> </w:t>
      </w:r>
      <w:r w:rsidR="00622459" w:rsidRPr="005C28E7">
        <w:rPr>
          <w:rFonts w:ascii="Times New Roman" w:eastAsia="標楷體" w:hAnsi="Times New Roman"/>
          <w:bCs/>
          <w:position w:val="2"/>
          <w:sz w:val="16"/>
        </w:rPr>
        <w:t xml:space="preserve">– </w:t>
      </w:r>
      <w:r w:rsidR="00622459" w:rsidRPr="005C28E7">
        <w:rPr>
          <w:rFonts w:ascii="Times New Roman" w:hAnsi="Times New Roman"/>
          <w:bCs/>
          <w:i/>
          <w:sz w:val="26"/>
          <w:szCs w:val="26"/>
        </w:rPr>
        <w:t>β</w:t>
      </w:r>
      <w:r w:rsidR="00622459" w:rsidRPr="005C28E7">
        <w:rPr>
          <w:rFonts w:ascii="Times New Roman" w:hAnsi="Times New Roman"/>
          <w:bCs/>
          <w:i/>
          <w:spacing w:val="-30"/>
          <w:sz w:val="16"/>
          <w:vertAlign w:val="subscript"/>
        </w:rPr>
        <w:t xml:space="preserve"> </w:t>
      </w:r>
      <w:proofErr w:type="spellStart"/>
      <w:r w:rsidR="00622459" w:rsidRPr="005C28E7">
        <w:rPr>
          <w:rFonts w:ascii="Times New Roman" w:hAnsi="Times New Roman"/>
          <w:bCs/>
          <w:i/>
          <w:spacing w:val="-30"/>
          <w:vertAlign w:val="subscript"/>
        </w:rPr>
        <w:t>i</w:t>
      </w:r>
      <w:proofErr w:type="spellEnd"/>
      <w:r w:rsidR="00622459" w:rsidRPr="005C28E7">
        <w:rPr>
          <w:rFonts w:ascii="Times New Roman" w:hAnsi="Times New Roman"/>
          <w:bCs/>
          <w:spacing w:val="-30"/>
          <w:position w:val="4"/>
          <w:sz w:val="22"/>
          <w:vertAlign w:val="superscript"/>
        </w:rPr>
        <w:t>+</w:t>
      </w:r>
      <w:r w:rsidR="00622459" w:rsidRPr="005C28E7">
        <w:rPr>
          <w:rFonts w:ascii="Times New Roman" w:hAnsi="Times New Roman"/>
          <w:bCs/>
          <w:spacing w:val="-30"/>
          <w:position w:val="4"/>
          <w:sz w:val="16"/>
        </w:rPr>
        <w:t xml:space="preserve"> </w:t>
      </w:r>
      <w:r w:rsidR="00622459" w:rsidRPr="005C28E7">
        <w:rPr>
          <w:rFonts w:ascii="Times New Roman" w:eastAsia="標楷體" w:hAnsi="Times New Roman"/>
          <w:bCs/>
        </w:rPr>
        <w:t>) as the difference between the downside and</w:t>
      </w:r>
      <w:r w:rsidR="00622459" w:rsidRPr="005C28E7">
        <w:rPr>
          <w:rFonts w:ascii="Times New Roman" w:hAnsi="Times New Roman"/>
          <w:bCs/>
        </w:rPr>
        <w:t xml:space="preserve"> the upside risk (Ang et al., (2006)).</w:t>
      </w:r>
    </w:p>
    <w:p w14:paraId="1D91F7DA" w14:textId="77777777" w:rsidR="00622459" w:rsidRPr="005C28E7" w:rsidRDefault="00622459" w:rsidP="00622459">
      <w:pPr>
        <w:pStyle w:val="afb"/>
        <w:spacing w:line="480" w:lineRule="auto"/>
        <w:ind w:leftChars="0" w:left="357" w:firstLineChars="200" w:firstLine="480"/>
        <w:jc w:val="both"/>
        <w:rPr>
          <w:rFonts w:ascii="Times New Roman" w:hAnsi="Times New Roman"/>
          <w:bCs/>
        </w:rPr>
      </w:pPr>
      <w:r w:rsidRPr="005C28E7">
        <w:rPr>
          <w:rFonts w:ascii="Times New Roman" w:hAnsi="Times New Roman"/>
        </w:rPr>
        <w:t>Downside and upside risk are</w:t>
      </w:r>
      <w:r w:rsidRPr="005C28E7">
        <w:rPr>
          <w:rFonts w:ascii="Times New Roman" w:hAnsi="Times New Roman"/>
          <w:bCs/>
        </w:rPr>
        <w:t xml:space="preserve"> respectively estimated as follows:</w:t>
      </w:r>
      <w:bookmarkStart w:id="3" w:name="OLE_LINK2"/>
      <w:r w:rsidRPr="005C28E7">
        <w:rPr>
          <w:rFonts w:ascii="Times New Roman" w:hAnsi="Times New Roman"/>
          <w:noProof/>
          <w:spacing w:val="-2"/>
          <w:kern w:val="0"/>
          <w:lang w:eastAsia="en-US"/>
        </w:rPr>
        <w:t xml:space="preserve"> </w:t>
      </w:r>
    </w:p>
    <w:p w14:paraId="03DE25E3" w14:textId="77777777" w:rsidR="00622459" w:rsidRPr="005C28E7" w:rsidRDefault="00622459" w:rsidP="00622459">
      <w:pPr>
        <w:pStyle w:val="afb"/>
        <w:spacing w:before="180" w:after="120"/>
        <w:ind w:leftChars="0" w:left="360" w:right="240"/>
        <w:jc w:val="right"/>
        <w:rPr>
          <w:rFonts w:ascii="Times New Roman" w:hAnsi="Times New Roman"/>
          <w:bCs/>
        </w:rPr>
      </w:pPr>
      <w:r w:rsidRPr="005C28E7">
        <w:rPr>
          <w:rFonts w:ascii="Times New Roman" w:hAnsi="Times New Roman"/>
          <w:noProof/>
          <w:position w:val="-32"/>
        </w:rPr>
        <w:drawing>
          <wp:inline distT="0" distB="0" distL="0" distR="0" wp14:anchorId="06545AA5" wp14:editId="6D262F26">
            <wp:extent cx="2438400" cy="469526"/>
            <wp:effectExtent l="0" t="0" r="0" b="698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8889"/>
                    <a:stretch/>
                  </pic:blipFill>
                  <pic:spPr bwMode="auto">
                    <a:xfrm>
                      <a:off x="0" y="0"/>
                      <a:ext cx="2437045" cy="469265"/>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sidRPr="005C28E7">
        <w:rPr>
          <w:rFonts w:ascii="Times New Roman" w:hAnsi="Times New Roman"/>
          <w:bCs/>
        </w:rPr>
        <w:t xml:space="preserve">                (2.1)</w:t>
      </w:r>
    </w:p>
    <w:p w14:paraId="7C603813" w14:textId="77777777" w:rsidR="00622459" w:rsidRPr="005C28E7" w:rsidRDefault="00622459" w:rsidP="00622459">
      <w:pPr>
        <w:pStyle w:val="afb"/>
        <w:ind w:leftChars="0" w:left="360" w:right="240"/>
        <w:jc w:val="right"/>
        <w:rPr>
          <w:rFonts w:ascii="Times New Roman" w:hAnsi="Times New Roman"/>
          <w:bCs/>
        </w:rPr>
      </w:pPr>
      <w:r w:rsidRPr="005C28E7">
        <w:rPr>
          <w:rFonts w:ascii="Times New Roman" w:hAnsi="Times New Roman"/>
          <w:noProof/>
          <w:position w:val="-32"/>
        </w:rPr>
        <w:drawing>
          <wp:inline distT="0" distB="0" distL="0" distR="0" wp14:anchorId="6CEBC262" wp14:editId="2B8D13ED">
            <wp:extent cx="2680855" cy="460690"/>
            <wp:effectExtent l="0" t="0" r="571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1342"/>
                    <a:stretch/>
                  </pic:blipFill>
                  <pic:spPr bwMode="auto">
                    <a:xfrm>
                      <a:off x="0" y="0"/>
                      <a:ext cx="2682717" cy="46101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sidRPr="005C28E7">
        <w:rPr>
          <w:rFonts w:ascii="Times New Roman" w:hAnsi="Times New Roman"/>
          <w:bCs/>
        </w:rPr>
        <w:t xml:space="preserve">              (2.2)</w:t>
      </w:r>
    </w:p>
    <w:p w14:paraId="12541D1A" w14:textId="77777777" w:rsidR="00622459" w:rsidRPr="005C28E7" w:rsidRDefault="00622459" w:rsidP="00622459">
      <w:pPr>
        <w:pStyle w:val="afb"/>
        <w:autoSpaceDE w:val="0"/>
        <w:spacing w:before="120" w:line="480" w:lineRule="auto"/>
        <w:ind w:leftChars="0" w:left="360"/>
        <w:jc w:val="both"/>
        <w:rPr>
          <w:rFonts w:ascii="Times New Roman" w:hAnsi="Times New Roman"/>
          <w:bCs/>
        </w:rPr>
      </w:pPr>
      <w:r w:rsidRPr="005C28E7">
        <w:rPr>
          <w:rFonts w:ascii="Times New Roman" w:hAnsi="Times New Roman"/>
          <w:bCs/>
        </w:rPr>
        <w:t xml:space="preserve">where </w:t>
      </w:r>
      <w:r w:rsidRPr="005C28E7">
        <w:rPr>
          <w:rFonts w:ascii="Times New Roman" w:hAnsi="Times New Roman"/>
          <w:bCs/>
          <w:i/>
          <w:sz w:val="26"/>
          <w:szCs w:val="26"/>
        </w:rPr>
        <w:t>β</w:t>
      </w:r>
      <w:r w:rsidRPr="005C28E7">
        <w:rPr>
          <w:rFonts w:ascii="Times New Roman" w:hAnsi="Times New Roman"/>
          <w:bCs/>
          <w:i/>
          <w:spacing w:val="-40"/>
          <w:vertAlign w:val="subscript"/>
        </w:rPr>
        <w:t xml:space="preserve"> </w:t>
      </w:r>
      <w:proofErr w:type="spellStart"/>
      <w:r w:rsidRPr="005C28E7">
        <w:rPr>
          <w:rFonts w:ascii="Times New Roman" w:hAnsi="Times New Roman"/>
          <w:bCs/>
          <w:i/>
          <w:spacing w:val="-40"/>
          <w:vertAlign w:val="subscript"/>
        </w:rPr>
        <w:t>i</w:t>
      </w:r>
      <w:proofErr w:type="spellEnd"/>
      <w:r w:rsidRPr="005C28E7">
        <w:rPr>
          <w:rFonts w:ascii="Times New Roman" w:hAnsi="Times New Roman"/>
          <w:bCs/>
          <w:spacing w:val="-40"/>
          <w:position w:val="6"/>
          <w:sz w:val="22"/>
          <w:vertAlign w:val="superscript"/>
        </w:rPr>
        <w:t>–</w:t>
      </w:r>
      <w:r w:rsidRPr="005C28E7">
        <w:rPr>
          <w:rFonts w:ascii="Times New Roman" w:hAnsi="Times New Roman"/>
          <w:bCs/>
        </w:rPr>
        <w:t xml:space="preserve"> and </w:t>
      </w:r>
      <w:r w:rsidRPr="005C28E7">
        <w:rPr>
          <w:rFonts w:ascii="Times New Roman" w:hAnsi="Times New Roman"/>
          <w:bCs/>
          <w:i/>
          <w:sz w:val="26"/>
          <w:szCs w:val="26"/>
        </w:rPr>
        <w:t>β</w:t>
      </w:r>
      <w:r w:rsidRPr="005C28E7">
        <w:rPr>
          <w:rFonts w:ascii="Times New Roman" w:hAnsi="Times New Roman"/>
          <w:bCs/>
          <w:i/>
          <w:spacing w:val="-40"/>
          <w:vertAlign w:val="subscript"/>
        </w:rPr>
        <w:t xml:space="preserve"> </w:t>
      </w:r>
      <w:proofErr w:type="spellStart"/>
      <w:r w:rsidRPr="005C28E7">
        <w:rPr>
          <w:rFonts w:ascii="Times New Roman" w:hAnsi="Times New Roman"/>
          <w:bCs/>
          <w:i/>
          <w:spacing w:val="-40"/>
          <w:vertAlign w:val="subscript"/>
        </w:rPr>
        <w:t>i</w:t>
      </w:r>
      <w:proofErr w:type="spellEnd"/>
      <w:r w:rsidRPr="005C28E7">
        <w:rPr>
          <w:rFonts w:ascii="Times New Roman" w:hAnsi="Times New Roman"/>
          <w:bCs/>
          <w:spacing w:val="-40"/>
          <w:position w:val="4"/>
          <w:sz w:val="22"/>
          <w:vertAlign w:val="superscript"/>
        </w:rPr>
        <w:t>+</w:t>
      </w:r>
      <w:r w:rsidRPr="005C28E7">
        <w:rPr>
          <w:rFonts w:ascii="Times New Roman" w:hAnsi="Times New Roman"/>
          <w:bCs/>
        </w:rPr>
        <w:t xml:space="preserve"> respectively represent downside and upside risk; </w:t>
      </w:r>
      <w:proofErr w:type="spellStart"/>
      <w:proofErr w:type="gramStart"/>
      <w:r w:rsidRPr="005C28E7">
        <w:rPr>
          <w:rFonts w:ascii="Times New Roman" w:hAnsi="Times New Roman"/>
          <w:bCs/>
          <w:i/>
          <w:sz w:val="26"/>
          <w:szCs w:val="26"/>
        </w:rPr>
        <w:t>r</w:t>
      </w:r>
      <w:r w:rsidRPr="005C28E7">
        <w:rPr>
          <w:rFonts w:ascii="Times New Roman" w:hAnsi="Times New Roman"/>
          <w:bCs/>
          <w:i/>
          <w:vertAlign w:val="subscript"/>
        </w:rPr>
        <w:t>i</w:t>
      </w:r>
      <w:r w:rsidRPr="005C28E7">
        <w:rPr>
          <w:rFonts w:ascii="Times New Roman" w:hAnsi="Times New Roman"/>
          <w:bCs/>
          <w:vertAlign w:val="subscript"/>
        </w:rPr>
        <w:t>,</w:t>
      </w:r>
      <w:r w:rsidRPr="005C28E7">
        <w:rPr>
          <w:rFonts w:ascii="Times New Roman" w:hAnsi="Times New Roman"/>
          <w:bCs/>
          <w:i/>
          <w:vertAlign w:val="subscript"/>
        </w:rPr>
        <w:t>t</w:t>
      </w:r>
      <w:proofErr w:type="spellEnd"/>
      <w:proofErr w:type="gramEnd"/>
      <w:r w:rsidRPr="005C28E7">
        <w:rPr>
          <w:rFonts w:ascii="Times New Roman" w:hAnsi="Times New Roman"/>
          <w:bCs/>
        </w:rPr>
        <w:t xml:space="preserve"> denotes the return of stock </w:t>
      </w:r>
      <w:proofErr w:type="spellStart"/>
      <w:r w:rsidRPr="005C28E7">
        <w:rPr>
          <w:rFonts w:ascii="Times New Roman" w:hAnsi="Times New Roman"/>
          <w:bCs/>
          <w:i/>
        </w:rPr>
        <w:t>i</w:t>
      </w:r>
      <w:proofErr w:type="spellEnd"/>
      <w:r w:rsidRPr="005C28E7">
        <w:rPr>
          <w:rFonts w:ascii="Times New Roman" w:hAnsi="Times New Roman"/>
          <w:bCs/>
        </w:rPr>
        <w:t xml:space="preserve"> on day </w:t>
      </w:r>
      <w:r w:rsidRPr="005C28E7">
        <w:rPr>
          <w:rFonts w:ascii="Times New Roman" w:hAnsi="Times New Roman"/>
          <w:bCs/>
          <w:i/>
        </w:rPr>
        <w:t>t</w:t>
      </w:r>
      <w:r w:rsidRPr="005C28E7">
        <w:rPr>
          <w:rFonts w:ascii="Times New Roman" w:hAnsi="Times New Roman"/>
          <w:bCs/>
        </w:rPr>
        <w:t xml:space="preserve">; </w:t>
      </w:r>
      <w:proofErr w:type="spellStart"/>
      <w:r w:rsidRPr="005C28E7">
        <w:rPr>
          <w:rFonts w:ascii="Times New Roman" w:hAnsi="Times New Roman"/>
          <w:bCs/>
          <w:i/>
          <w:sz w:val="26"/>
          <w:szCs w:val="26"/>
        </w:rPr>
        <w:t>r</w:t>
      </w:r>
      <w:r w:rsidRPr="005C28E7">
        <w:rPr>
          <w:rFonts w:ascii="Times New Roman" w:hAnsi="Times New Roman"/>
          <w:bCs/>
          <w:i/>
          <w:vertAlign w:val="subscript"/>
        </w:rPr>
        <w:t>m</w:t>
      </w:r>
      <w:r w:rsidRPr="005C28E7">
        <w:rPr>
          <w:rFonts w:ascii="Times New Roman" w:hAnsi="Times New Roman"/>
          <w:bCs/>
          <w:vertAlign w:val="subscript"/>
        </w:rPr>
        <w:t>,</w:t>
      </w:r>
      <w:r w:rsidRPr="005C28E7">
        <w:rPr>
          <w:rFonts w:ascii="Times New Roman" w:hAnsi="Times New Roman"/>
          <w:bCs/>
          <w:i/>
          <w:vertAlign w:val="subscript"/>
        </w:rPr>
        <w:t>t</w:t>
      </w:r>
      <w:proofErr w:type="spellEnd"/>
      <w:r w:rsidRPr="005C28E7">
        <w:rPr>
          <w:rFonts w:ascii="Times New Roman" w:hAnsi="Times New Roman"/>
          <w:bCs/>
        </w:rPr>
        <w:t xml:space="preserve"> refers to the market return on day </w:t>
      </w:r>
      <w:r w:rsidRPr="005C28E7">
        <w:rPr>
          <w:rFonts w:ascii="Times New Roman" w:hAnsi="Times New Roman"/>
          <w:bCs/>
          <w:i/>
          <w:iCs/>
        </w:rPr>
        <w:t>t</w:t>
      </w:r>
      <w:r w:rsidRPr="005C28E7">
        <w:rPr>
          <w:rFonts w:ascii="Times New Roman" w:hAnsi="Times New Roman"/>
          <w:bCs/>
        </w:rPr>
        <w:t xml:space="preserve">; and </w:t>
      </w:r>
      <w:proofErr w:type="spellStart"/>
      <w:r w:rsidRPr="005C28E7">
        <w:rPr>
          <w:rFonts w:ascii="Times New Roman" w:hAnsi="Times New Roman"/>
          <w:bCs/>
          <w:i/>
          <w:sz w:val="26"/>
          <w:szCs w:val="26"/>
        </w:rPr>
        <w:t>r</w:t>
      </w:r>
      <w:r w:rsidRPr="005C28E7">
        <w:rPr>
          <w:rFonts w:ascii="Times New Roman" w:hAnsi="Times New Roman"/>
          <w:bCs/>
          <w:i/>
          <w:vertAlign w:val="subscript"/>
        </w:rPr>
        <w:t>f</w:t>
      </w:r>
      <w:r w:rsidRPr="005C28E7">
        <w:rPr>
          <w:rFonts w:ascii="Times New Roman" w:hAnsi="Times New Roman"/>
          <w:bCs/>
          <w:vertAlign w:val="subscript"/>
        </w:rPr>
        <w:t>,</w:t>
      </w:r>
      <w:r w:rsidRPr="005C28E7">
        <w:rPr>
          <w:rFonts w:ascii="Times New Roman" w:hAnsi="Times New Roman"/>
          <w:bCs/>
          <w:i/>
          <w:vertAlign w:val="subscript"/>
        </w:rPr>
        <w:t>t</w:t>
      </w:r>
      <w:proofErr w:type="spellEnd"/>
      <w:r w:rsidRPr="005C28E7">
        <w:rPr>
          <w:rFonts w:ascii="Times New Roman" w:hAnsi="Times New Roman"/>
          <w:bCs/>
        </w:rPr>
        <w:t xml:space="preserve"> is the daily risk-free rate on day </w:t>
      </w:r>
      <w:r w:rsidRPr="005C28E7">
        <w:rPr>
          <w:rFonts w:ascii="Times New Roman" w:hAnsi="Times New Roman"/>
          <w:bCs/>
          <w:i/>
        </w:rPr>
        <w:t>t</w:t>
      </w:r>
      <w:r w:rsidRPr="005C28E7">
        <w:rPr>
          <w:rFonts w:ascii="Times New Roman" w:hAnsi="Times New Roman"/>
          <w:bCs/>
        </w:rPr>
        <w:t xml:space="preserve">, which is </w:t>
      </w:r>
      <w:r w:rsidRPr="005C28E7">
        <w:rPr>
          <w:rFonts w:ascii="Times New Roman" w:hAnsi="Times New Roman"/>
        </w:rPr>
        <w:t>proxied by the one-year time deposit interest rate of the Bank of Taiwan, divided by 365</w:t>
      </w:r>
      <w:bookmarkEnd w:id="3"/>
      <w:r w:rsidRPr="005C28E7">
        <w:rPr>
          <w:rFonts w:ascii="Times New Roman" w:hAnsi="Times New Roman"/>
        </w:rPr>
        <w:t>.</w:t>
      </w:r>
      <w:r w:rsidRPr="005C28E7">
        <w:rPr>
          <w:rFonts w:ascii="Times New Roman" w:hAnsi="Times New Roman"/>
        </w:rPr>
        <w:tab/>
      </w:r>
    </w:p>
    <w:p w14:paraId="3FED2D03" w14:textId="77777777" w:rsidR="00622459" w:rsidRPr="005C28E7" w:rsidRDefault="00622459" w:rsidP="00622459">
      <w:pPr>
        <w:pStyle w:val="afb"/>
        <w:autoSpaceDE w:val="0"/>
        <w:spacing w:before="120" w:line="480" w:lineRule="auto"/>
        <w:ind w:leftChars="0" w:left="360"/>
        <w:jc w:val="both"/>
        <w:rPr>
          <w:rFonts w:ascii="Times New Roman" w:hAnsi="Times New Roman"/>
          <w:b/>
          <w:bCs/>
        </w:rPr>
      </w:pPr>
      <w:proofErr w:type="gramStart"/>
      <w:r w:rsidRPr="005C28E7">
        <w:rPr>
          <w:rFonts w:ascii="Times New Roman" w:hAnsi="Times New Roman"/>
          <w:b/>
          <w:bCs/>
        </w:rPr>
        <w:t>2.2.3</w:t>
      </w:r>
      <w:r w:rsidRPr="005C28E7">
        <w:rPr>
          <w:rFonts w:ascii="Times New Roman" w:hAnsi="Times New Roman"/>
          <w:b/>
          <w:bCs/>
          <w:sz w:val="16"/>
        </w:rPr>
        <w:t xml:space="preserve">  </w:t>
      </w:r>
      <w:r w:rsidRPr="005C28E7">
        <w:rPr>
          <w:rFonts w:ascii="Times New Roman" w:hAnsi="Times New Roman"/>
          <w:b/>
          <w:bCs/>
        </w:rPr>
        <w:t>Accounting</w:t>
      </w:r>
      <w:proofErr w:type="gramEnd"/>
      <w:r w:rsidRPr="005C28E7">
        <w:rPr>
          <w:rFonts w:ascii="Times New Roman" w:hAnsi="Times New Roman"/>
          <w:b/>
          <w:bCs/>
        </w:rPr>
        <w:t xml:space="preserve"> quality</w:t>
      </w:r>
    </w:p>
    <w:p w14:paraId="08E49945" w14:textId="77777777" w:rsidR="00622459" w:rsidRPr="005C28E7" w:rsidRDefault="00622459" w:rsidP="00622459">
      <w:pPr>
        <w:pStyle w:val="afb"/>
        <w:spacing w:line="480" w:lineRule="auto"/>
        <w:ind w:leftChars="0" w:left="357" w:firstLineChars="200" w:firstLine="480"/>
        <w:jc w:val="both"/>
        <w:rPr>
          <w:rFonts w:ascii="Times New Roman" w:hAnsi="Times New Roman"/>
        </w:rPr>
      </w:pPr>
      <w:r w:rsidRPr="005C28E7">
        <w:rPr>
          <w:rFonts w:ascii="Times New Roman" w:hAnsi="Times New Roman"/>
        </w:rPr>
        <w:t>There is no consensus on the definition of accounting quality, but many proxy variables are proposed to measure accounting quality in the current studies (</w:t>
      </w:r>
      <w:proofErr w:type="spellStart"/>
      <w:r w:rsidRPr="005C28E7">
        <w:rPr>
          <w:rFonts w:ascii="Times New Roman" w:hAnsi="Times New Roman"/>
        </w:rPr>
        <w:t>Dechow</w:t>
      </w:r>
      <w:proofErr w:type="spellEnd"/>
      <w:r w:rsidRPr="005C28E7">
        <w:rPr>
          <w:rFonts w:ascii="Times New Roman" w:hAnsi="Times New Roman"/>
        </w:rPr>
        <w:t xml:space="preserve"> &amp; </w:t>
      </w:r>
      <w:proofErr w:type="spellStart"/>
      <w:r w:rsidRPr="005C28E7">
        <w:rPr>
          <w:rFonts w:ascii="Times New Roman" w:hAnsi="Times New Roman"/>
        </w:rPr>
        <w:t>Dichev</w:t>
      </w:r>
      <w:proofErr w:type="spellEnd"/>
      <w:r w:rsidRPr="005C28E7">
        <w:rPr>
          <w:rFonts w:ascii="Times New Roman" w:hAnsi="Times New Roman"/>
        </w:rPr>
        <w:t xml:space="preserve">, (2002); </w:t>
      </w:r>
      <w:proofErr w:type="spellStart"/>
      <w:r w:rsidRPr="005C28E7">
        <w:rPr>
          <w:rFonts w:ascii="Times New Roman" w:hAnsi="Times New Roman"/>
        </w:rPr>
        <w:t>Leuz</w:t>
      </w:r>
      <w:proofErr w:type="spellEnd"/>
      <w:r w:rsidRPr="005C28E7">
        <w:rPr>
          <w:rFonts w:ascii="Times New Roman" w:hAnsi="Times New Roman"/>
        </w:rPr>
        <w:t xml:space="preserve"> et al., (2003); Francis et al., (2005); Kothari, Leone &amp; </w:t>
      </w:r>
      <w:proofErr w:type="spellStart"/>
      <w:r w:rsidRPr="005C28E7">
        <w:rPr>
          <w:rFonts w:ascii="Times New Roman" w:hAnsi="Times New Roman"/>
        </w:rPr>
        <w:t>Wasley</w:t>
      </w:r>
      <w:proofErr w:type="spellEnd"/>
      <w:r w:rsidRPr="005C28E7">
        <w:rPr>
          <w:rFonts w:ascii="Times New Roman" w:hAnsi="Times New Roman"/>
        </w:rPr>
        <w:t xml:space="preserve">, (2005); Lang, </w:t>
      </w:r>
      <w:proofErr w:type="spellStart"/>
      <w:r w:rsidRPr="005C28E7">
        <w:rPr>
          <w:rFonts w:ascii="Times New Roman" w:hAnsi="Times New Roman"/>
        </w:rPr>
        <w:t>Raedy</w:t>
      </w:r>
      <w:proofErr w:type="spellEnd"/>
      <w:r w:rsidRPr="005C28E7">
        <w:rPr>
          <w:rFonts w:ascii="Times New Roman" w:hAnsi="Times New Roman"/>
        </w:rPr>
        <w:t xml:space="preserve"> &amp; Wilson, (2006); Ball, Robin &amp; </w:t>
      </w:r>
      <w:proofErr w:type="spellStart"/>
      <w:r w:rsidRPr="005C28E7">
        <w:rPr>
          <w:rFonts w:ascii="Times New Roman" w:hAnsi="Times New Roman"/>
        </w:rPr>
        <w:t>Sadka</w:t>
      </w:r>
      <w:proofErr w:type="spellEnd"/>
      <w:r w:rsidRPr="005C28E7">
        <w:rPr>
          <w:rFonts w:ascii="Times New Roman" w:hAnsi="Times New Roman"/>
        </w:rPr>
        <w:t xml:space="preserve">, (2008)). The </w:t>
      </w:r>
      <w:r w:rsidRPr="005C28E7">
        <w:rPr>
          <w:rFonts w:ascii="Times New Roman" w:hAnsi="Times New Roman"/>
        </w:rPr>
        <w:lastRenderedPageBreak/>
        <w:t xml:space="preserve">most commonly used measurement variables in these studies are ‘discretionary estimation errors’(Francis et al., (2005); Core, </w:t>
      </w:r>
      <w:proofErr w:type="spellStart"/>
      <w:r w:rsidRPr="005C28E7">
        <w:rPr>
          <w:rFonts w:ascii="Times New Roman" w:hAnsi="Times New Roman"/>
        </w:rPr>
        <w:t>Guay</w:t>
      </w:r>
      <w:proofErr w:type="spellEnd"/>
      <w:r w:rsidRPr="005C28E7">
        <w:rPr>
          <w:rFonts w:ascii="Times New Roman" w:hAnsi="Times New Roman"/>
        </w:rPr>
        <w:t xml:space="preserve"> &amp; Verdi, (2008)), ‘earnings response coefficients’ (Ali &amp; Hwang, (2000)), ‘smoothness’ (Lang et al., (2006)), ‘accruals and discretionary accruals’ (Hung, (2000); Pincus, </w:t>
      </w:r>
      <w:proofErr w:type="spellStart"/>
      <w:r w:rsidRPr="005C28E7">
        <w:rPr>
          <w:rFonts w:ascii="Times New Roman" w:hAnsi="Times New Roman"/>
        </w:rPr>
        <w:t>Rajgopal</w:t>
      </w:r>
      <w:proofErr w:type="spellEnd"/>
      <w:r w:rsidRPr="005C28E7">
        <w:rPr>
          <w:rFonts w:ascii="Times New Roman" w:hAnsi="Times New Roman"/>
        </w:rPr>
        <w:t xml:space="preserve"> &amp; Venkatachalam, (2007)), ‘timely loss recognition’ (Ball et al., (2008)), ‘small positive profits’ (Lang et al., (2006)) and scores based upon a ‘combination of quality measures’ (</w:t>
      </w:r>
      <w:proofErr w:type="spellStart"/>
      <w:r w:rsidRPr="005C28E7">
        <w:rPr>
          <w:rFonts w:ascii="Times New Roman" w:hAnsi="Times New Roman"/>
        </w:rPr>
        <w:t>Leuz</w:t>
      </w:r>
      <w:proofErr w:type="spellEnd"/>
      <w:r w:rsidRPr="005C28E7">
        <w:rPr>
          <w:rFonts w:ascii="Times New Roman" w:hAnsi="Times New Roman"/>
        </w:rPr>
        <w:t>, Nanda &amp; Wysocki, (2003)).</w:t>
      </w:r>
    </w:p>
    <w:p w14:paraId="44D8A2FD" w14:textId="5DC6F698" w:rsidR="00622459" w:rsidRPr="005C28E7" w:rsidRDefault="00622459" w:rsidP="00622459">
      <w:pPr>
        <w:pStyle w:val="afb"/>
        <w:spacing w:line="480" w:lineRule="auto"/>
        <w:ind w:leftChars="0" w:left="357" w:firstLineChars="200" w:firstLine="480"/>
        <w:jc w:val="both"/>
        <w:rPr>
          <w:rFonts w:ascii="Times New Roman" w:eastAsia="標楷體" w:hAnsi="Times New Roman"/>
        </w:rPr>
      </w:pPr>
      <w:r w:rsidRPr="005C28E7">
        <w:rPr>
          <w:rFonts w:ascii="Times New Roman" w:hAnsi="Times New Roman"/>
        </w:rPr>
        <w:t xml:space="preserve">Based on the data availability and samples size, </w:t>
      </w:r>
      <w:r w:rsidR="004B45DC" w:rsidRPr="005C28E7">
        <w:rPr>
          <w:rFonts w:ascii="Times New Roman" w:hAnsi="Times New Roman"/>
        </w:rPr>
        <w:t>the paper</w:t>
      </w:r>
      <w:r w:rsidRPr="005C28E7">
        <w:rPr>
          <w:rFonts w:ascii="Times New Roman" w:hAnsi="Times New Roman"/>
        </w:rPr>
        <w:t xml:space="preserve"> use “discrete estimation errors” as the proxy variable of accounting quality (</w:t>
      </w:r>
      <w:r w:rsidRPr="005C28E7">
        <w:rPr>
          <w:rFonts w:ascii="Times New Roman" w:hAnsi="Times New Roman"/>
          <w:bCs/>
        </w:rPr>
        <w:t xml:space="preserve">Francis et al., (2005); </w:t>
      </w:r>
      <w:r w:rsidRPr="005C28E7">
        <w:rPr>
          <w:rFonts w:ascii="Times New Roman" w:eastAsia="標楷體" w:hAnsi="Times New Roman"/>
        </w:rPr>
        <w:t xml:space="preserve">Core et al., </w:t>
      </w:r>
      <w:r w:rsidRPr="005C28E7">
        <w:rPr>
          <w:rFonts w:ascii="Times New Roman" w:hAnsi="Times New Roman"/>
        </w:rPr>
        <w:t>(2008)</w:t>
      </w:r>
      <w:r w:rsidRPr="005C28E7">
        <w:rPr>
          <w:rFonts w:ascii="Times New Roman" w:eastAsia="標楷體" w:hAnsi="Times New Roman"/>
        </w:rPr>
        <w:t xml:space="preserve">). </w:t>
      </w:r>
    </w:p>
    <w:p w14:paraId="45F1A338" w14:textId="7AC62100" w:rsidR="00622459" w:rsidRPr="005C28E7" w:rsidRDefault="00622459" w:rsidP="00622459">
      <w:pPr>
        <w:pStyle w:val="afb"/>
        <w:spacing w:line="480" w:lineRule="auto"/>
        <w:ind w:leftChars="0" w:left="357" w:firstLineChars="200" w:firstLine="480"/>
        <w:jc w:val="both"/>
        <w:rPr>
          <w:rFonts w:ascii="Times New Roman" w:eastAsia="標楷體" w:hAnsi="Times New Roman"/>
        </w:rPr>
      </w:pPr>
      <w:r w:rsidRPr="005C28E7">
        <w:rPr>
          <w:rFonts w:ascii="Times New Roman" w:eastAsia="標楷體" w:hAnsi="Times New Roman"/>
        </w:rPr>
        <w:t xml:space="preserve">As shown in Equation (3), </w:t>
      </w:r>
      <w:r w:rsidR="004B45DC" w:rsidRPr="005C28E7">
        <w:rPr>
          <w:rFonts w:ascii="Times New Roman" w:eastAsia="標楷體" w:hAnsi="Times New Roman"/>
        </w:rPr>
        <w:t>this study</w:t>
      </w:r>
      <w:r w:rsidRPr="005C28E7">
        <w:rPr>
          <w:rFonts w:ascii="Times New Roman" w:eastAsia="標楷體" w:hAnsi="Times New Roman"/>
        </w:rPr>
        <w:t xml:space="preserve"> regress the ‘total current accruals’ (</w:t>
      </w:r>
      <w:proofErr w:type="spellStart"/>
      <w:r w:rsidRPr="005C28E7">
        <w:rPr>
          <w:rFonts w:ascii="Times New Roman" w:eastAsia="標楷體" w:hAnsi="Times New Roman"/>
          <w:i/>
        </w:rPr>
        <w:t>TCA</w:t>
      </w:r>
      <w:r w:rsidRPr="005C28E7">
        <w:rPr>
          <w:rFonts w:ascii="Times New Roman" w:eastAsia="標楷體" w:hAnsi="Times New Roman"/>
          <w:i/>
          <w:vertAlign w:val="subscript"/>
        </w:rPr>
        <w:t>i,τ</w:t>
      </w:r>
      <w:proofErr w:type="spellEnd"/>
      <w:r w:rsidRPr="005C28E7">
        <w:rPr>
          <w:rFonts w:ascii="Times New Roman" w:eastAsia="標楷體" w:hAnsi="Times New Roman"/>
        </w:rPr>
        <w:t>) on ‘prior year cash flows’ (</w:t>
      </w:r>
      <w:r w:rsidRPr="005C28E7">
        <w:rPr>
          <w:rFonts w:ascii="Times New Roman" w:eastAsia="標楷體" w:hAnsi="Times New Roman"/>
          <w:i/>
        </w:rPr>
        <w:t>CFO</w:t>
      </w:r>
      <w:r w:rsidRPr="005C28E7">
        <w:rPr>
          <w:rFonts w:ascii="Times New Roman" w:eastAsia="標楷體" w:hAnsi="Times New Roman"/>
          <w:i/>
          <w:vertAlign w:val="subscript"/>
        </w:rPr>
        <w:t>i,τ</w:t>
      </w:r>
      <w:r w:rsidRPr="005C28E7">
        <w:rPr>
          <w:rFonts w:ascii="Times New Roman" w:eastAsia="標楷體" w:hAnsi="Times New Roman"/>
          <w:vertAlign w:val="subscript"/>
        </w:rPr>
        <w:t>-1</w:t>
      </w:r>
      <w:r w:rsidRPr="005C28E7">
        <w:rPr>
          <w:rFonts w:ascii="Times New Roman" w:eastAsia="標楷體" w:hAnsi="Times New Roman"/>
        </w:rPr>
        <w:t>), ‘current cash flows’ (</w:t>
      </w:r>
      <w:proofErr w:type="spellStart"/>
      <w:r w:rsidRPr="005C28E7">
        <w:rPr>
          <w:rFonts w:ascii="Times New Roman" w:eastAsia="標楷體" w:hAnsi="Times New Roman"/>
          <w:i/>
        </w:rPr>
        <w:t>CFO</w:t>
      </w:r>
      <w:r w:rsidRPr="005C28E7">
        <w:rPr>
          <w:rFonts w:ascii="Times New Roman" w:eastAsia="標楷體" w:hAnsi="Times New Roman"/>
          <w:i/>
          <w:vertAlign w:val="subscript"/>
        </w:rPr>
        <w:t>i,τ</w:t>
      </w:r>
      <w:proofErr w:type="spellEnd"/>
      <w:r w:rsidRPr="005C28E7">
        <w:rPr>
          <w:rFonts w:ascii="Times New Roman" w:eastAsia="標楷體" w:hAnsi="Times New Roman"/>
        </w:rPr>
        <w:t>), ‘cash flows next year’ (</w:t>
      </w:r>
      <w:r w:rsidRPr="005C28E7">
        <w:rPr>
          <w:rFonts w:ascii="Times New Roman" w:eastAsia="標楷體" w:hAnsi="Times New Roman"/>
          <w:i/>
        </w:rPr>
        <w:t>CFO</w:t>
      </w:r>
      <w:r w:rsidRPr="005C28E7">
        <w:rPr>
          <w:rFonts w:ascii="Times New Roman" w:eastAsia="標楷體" w:hAnsi="Times New Roman"/>
          <w:i/>
          <w:vertAlign w:val="subscript"/>
        </w:rPr>
        <w:t>i,τ</w:t>
      </w:r>
      <w:r w:rsidRPr="005C28E7">
        <w:rPr>
          <w:rFonts w:ascii="Times New Roman" w:eastAsia="標楷體" w:hAnsi="Times New Roman"/>
          <w:i/>
          <w:sz w:val="20"/>
          <w:vertAlign w:val="subscript"/>
        </w:rPr>
        <w:t>+</w:t>
      </w:r>
      <w:r w:rsidRPr="005C28E7">
        <w:rPr>
          <w:rFonts w:ascii="Times New Roman" w:eastAsia="標楷體" w:hAnsi="Times New Roman"/>
          <w:vertAlign w:val="subscript"/>
        </w:rPr>
        <w:t>1</w:t>
      </w:r>
      <w:r w:rsidRPr="005C28E7">
        <w:rPr>
          <w:rFonts w:ascii="Times New Roman" w:eastAsia="標楷體" w:hAnsi="Times New Roman"/>
        </w:rPr>
        <w:t>), ‘change in revenue’ (</w:t>
      </w:r>
      <w:r w:rsidRPr="005C28E7">
        <w:rPr>
          <w:rFonts w:ascii="Times New Roman" w:eastAsia="SymbolMT" w:hAnsi="Times New Roman"/>
        </w:rPr>
        <w:t>∆</w:t>
      </w:r>
      <w:proofErr w:type="spellStart"/>
      <w:r w:rsidRPr="005C28E7">
        <w:rPr>
          <w:rFonts w:ascii="Times New Roman" w:eastAsia="標楷體" w:hAnsi="Times New Roman"/>
          <w:i/>
          <w:iCs/>
        </w:rPr>
        <w:t>Rev</w:t>
      </w:r>
      <w:r w:rsidRPr="005C28E7">
        <w:rPr>
          <w:rFonts w:ascii="Times New Roman" w:eastAsia="標楷體" w:hAnsi="Times New Roman"/>
          <w:i/>
          <w:vertAlign w:val="subscript"/>
        </w:rPr>
        <w:t>i,τ</w:t>
      </w:r>
      <w:proofErr w:type="spellEnd"/>
      <w:r w:rsidRPr="005C28E7">
        <w:rPr>
          <w:rFonts w:ascii="Times New Roman" w:eastAsia="標楷體" w:hAnsi="Times New Roman"/>
          <w:iCs/>
        </w:rPr>
        <w:t>)</w:t>
      </w:r>
      <w:r w:rsidRPr="005C28E7">
        <w:rPr>
          <w:rFonts w:ascii="Times New Roman" w:eastAsia="標楷體" w:hAnsi="Times New Roman"/>
        </w:rPr>
        <w:t xml:space="preserve"> and the gross value of the ‘sum of property, plant and equipment’ (</w:t>
      </w:r>
      <w:proofErr w:type="spellStart"/>
      <w:r w:rsidRPr="005C28E7">
        <w:rPr>
          <w:rFonts w:ascii="Times New Roman" w:eastAsia="標楷體" w:hAnsi="Times New Roman"/>
          <w:i/>
        </w:rPr>
        <w:t>PPE</w:t>
      </w:r>
      <w:r w:rsidRPr="005C28E7">
        <w:rPr>
          <w:rFonts w:ascii="Times New Roman" w:eastAsia="標楷體" w:hAnsi="Times New Roman"/>
          <w:i/>
          <w:vertAlign w:val="subscript"/>
        </w:rPr>
        <w:t>i,τ</w:t>
      </w:r>
      <w:proofErr w:type="spellEnd"/>
      <w:r w:rsidRPr="005C28E7">
        <w:rPr>
          <w:rFonts w:ascii="Times New Roman" w:eastAsia="標楷體" w:hAnsi="Times New Roman"/>
        </w:rPr>
        <w:t>). All of these variables are scaled by ‘total assets’ (</w:t>
      </w:r>
      <w:proofErr w:type="spellStart"/>
      <w:proofErr w:type="gramStart"/>
      <w:r w:rsidRPr="005C28E7">
        <w:rPr>
          <w:rFonts w:ascii="Times New Roman" w:eastAsia="標楷體" w:hAnsi="Times New Roman"/>
          <w:i/>
        </w:rPr>
        <w:t>Asset</w:t>
      </w:r>
      <w:r w:rsidRPr="005C28E7">
        <w:rPr>
          <w:rFonts w:ascii="Times New Roman" w:eastAsia="標楷體" w:hAnsi="Times New Roman"/>
          <w:i/>
          <w:vertAlign w:val="subscript"/>
        </w:rPr>
        <w:t>i,τ</w:t>
      </w:r>
      <w:proofErr w:type="spellEnd"/>
      <w:proofErr w:type="gramEnd"/>
      <w:r w:rsidRPr="005C28E7">
        <w:rPr>
          <w:rFonts w:ascii="Times New Roman" w:eastAsia="標楷體" w:hAnsi="Times New Roman"/>
        </w:rPr>
        <w:t xml:space="preserve">). Using annual financial statement data based upon a nine-year rolling estimation window, we obtain the annual residuals for each company by estimating the regression. The standard deviation of the residuals obtained by regression will be used as a proxy variable for accounting quality. The higher the standard deviation, the worse the accounting quality (i.e., the standard deviation </w:t>
      </w:r>
      <w:r w:rsidRPr="005C28E7">
        <w:rPr>
          <w:rFonts w:ascii="Times New Roman" w:eastAsia="標楷體" w:hAnsi="Times New Roman"/>
        </w:rPr>
        <w:lastRenderedPageBreak/>
        <w:t>during the nine-year period from 1989 to 1997 is used as the proxy for accounting quality in the year 1997).</w:t>
      </w:r>
    </w:p>
    <w:p w14:paraId="620F76FB" w14:textId="77777777" w:rsidR="00622459" w:rsidRPr="005C28E7" w:rsidRDefault="00622459" w:rsidP="00622459">
      <w:pPr>
        <w:pStyle w:val="afb"/>
        <w:autoSpaceDE w:val="0"/>
        <w:spacing w:before="120" w:line="480" w:lineRule="auto"/>
        <w:ind w:leftChars="0" w:left="142" w:right="240"/>
        <w:jc w:val="right"/>
        <w:rPr>
          <w:rFonts w:ascii="Times New Roman" w:eastAsia="標楷體" w:hAnsi="Times New Roman"/>
        </w:rPr>
      </w:pPr>
      <w:r w:rsidRPr="005C28E7">
        <w:rPr>
          <w:rFonts w:ascii="Times New Roman" w:hAnsi="Times New Roman"/>
          <w:noProof/>
          <w:position w:val="-14"/>
        </w:rPr>
        <w:drawing>
          <wp:inline distT="0" distB="0" distL="0" distR="0" wp14:anchorId="5E423B58" wp14:editId="2DEB8D6A">
            <wp:extent cx="4505960" cy="255270"/>
            <wp:effectExtent l="0" t="0" r="889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5960" cy="255270"/>
                    </a:xfrm>
                    <a:prstGeom prst="rect">
                      <a:avLst/>
                    </a:prstGeom>
                    <a:solidFill>
                      <a:srgbClr val="FFFFFF"/>
                    </a:solidFill>
                    <a:ln>
                      <a:noFill/>
                    </a:ln>
                  </pic:spPr>
                </pic:pic>
              </a:graphicData>
            </a:graphic>
          </wp:inline>
        </w:drawing>
      </w:r>
      <w:r w:rsidRPr="005C28E7">
        <w:rPr>
          <w:rFonts w:ascii="Times New Roman" w:eastAsia="標楷體" w:hAnsi="Times New Roman"/>
        </w:rPr>
        <w:t xml:space="preserve">  (2.3)</w:t>
      </w:r>
    </w:p>
    <w:p w14:paraId="24F53272" w14:textId="77777777" w:rsidR="00622459" w:rsidRPr="005C28E7" w:rsidRDefault="00622459" w:rsidP="00622459">
      <w:pPr>
        <w:pStyle w:val="afb"/>
        <w:spacing w:line="480" w:lineRule="auto"/>
        <w:ind w:leftChars="0" w:left="360"/>
        <w:jc w:val="both"/>
        <w:rPr>
          <w:rFonts w:ascii="Times New Roman" w:hAnsi="Times New Roman"/>
          <w:sz w:val="28"/>
          <w:szCs w:val="28"/>
        </w:rPr>
      </w:pPr>
    </w:p>
    <w:p w14:paraId="5686BB54" w14:textId="64DF2936" w:rsidR="00536B7D" w:rsidRPr="005C28E7" w:rsidRDefault="00536B7D" w:rsidP="00536B7D">
      <w:pPr>
        <w:pStyle w:val="afb"/>
        <w:numPr>
          <w:ilvl w:val="0"/>
          <w:numId w:val="7"/>
        </w:numPr>
        <w:spacing w:line="480" w:lineRule="auto"/>
        <w:ind w:leftChars="0"/>
        <w:jc w:val="both"/>
        <w:rPr>
          <w:rFonts w:ascii="Times New Roman" w:hAnsi="Times New Roman"/>
          <w:sz w:val="28"/>
          <w:szCs w:val="28"/>
        </w:rPr>
      </w:pPr>
      <w:r w:rsidRPr="005C28E7">
        <w:rPr>
          <w:rFonts w:ascii="Times New Roman" w:hAnsi="Times New Roman"/>
          <w:sz w:val="28"/>
          <w:szCs w:val="28"/>
        </w:rPr>
        <w:t>RESULTS</w:t>
      </w:r>
    </w:p>
    <w:p w14:paraId="62FFD178" w14:textId="77777777" w:rsidR="004D5170" w:rsidRPr="005C28E7" w:rsidRDefault="004D5170" w:rsidP="004D5170">
      <w:pPr>
        <w:pStyle w:val="afb"/>
        <w:autoSpaceDE w:val="0"/>
        <w:spacing w:line="480" w:lineRule="auto"/>
        <w:ind w:leftChars="0" w:left="360"/>
        <w:jc w:val="both"/>
        <w:rPr>
          <w:rFonts w:ascii="Times New Roman" w:eastAsia="標楷體" w:hAnsi="Times New Roman"/>
          <w:b/>
        </w:rPr>
      </w:pPr>
      <w:bookmarkStart w:id="4" w:name="_Toc357457530"/>
      <w:bookmarkStart w:id="5" w:name="_Toc357458131"/>
      <w:r w:rsidRPr="005C28E7">
        <w:rPr>
          <w:rFonts w:ascii="Times New Roman" w:hAnsi="Times New Roman"/>
          <w:b/>
          <w:spacing w:val="-2"/>
        </w:rPr>
        <w:t>3.1</w:t>
      </w:r>
      <w:r w:rsidRPr="005C28E7">
        <w:rPr>
          <w:rFonts w:ascii="Times New Roman" w:hAnsi="Times New Roman"/>
          <w:b/>
          <w:spacing w:val="-2"/>
        </w:rPr>
        <w:tab/>
      </w:r>
      <w:r w:rsidRPr="005C28E7">
        <w:rPr>
          <w:rFonts w:ascii="Times New Roman" w:eastAsia="標楷體" w:hAnsi="Times New Roman"/>
          <w:b/>
        </w:rPr>
        <w:t>Univariate Results</w:t>
      </w:r>
    </w:p>
    <w:p w14:paraId="0B13CB47" w14:textId="399A06E9" w:rsidR="004D5170" w:rsidRPr="005C28E7" w:rsidRDefault="004D5170" w:rsidP="004D5170">
      <w:pPr>
        <w:pStyle w:val="afb"/>
        <w:autoSpaceDE w:val="0"/>
        <w:spacing w:line="480" w:lineRule="auto"/>
        <w:ind w:leftChars="0" w:left="357" w:firstLineChars="200" w:firstLine="480"/>
        <w:jc w:val="both"/>
        <w:rPr>
          <w:rFonts w:ascii="Times New Roman" w:hAnsi="Times New Roman"/>
        </w:rPr>
      </w:pPr>
      <w:r w:rsidRPr="005C28E7">
        <w:rPr>
          <w:rFonts w:ascii="Times New Roman" w:hAnsi="Times New Roman"/>
        </w:rPr>
        <w:t xml:space="preserve">Table 1 presents the descriptive statistics of the research variables used in this study, from which </w:t>
      </w:r>
      <w:r w:rsidR="004B45DC" w:rsidRPr="005C28E7">
        <w:rPr>
          <w:rFonts w:ascii="Times New Roman" w:hAnsi="Times New Roman"/>
        </w:rPr>
        <w:t>one</w:t>
      </w:r>
      <w:r w:rsidRPr="005C28E7">
        <w:rPr>
          <w:rFonts w:ascii="Times New Roman" w:hAnsi="Times New Roman"/>
        </w:rPr>
        <w:t xml:space="preserve"> can see that the excess risk premium has a mean value of 0.0349 (S.D.</w:t>
      </w:r>
      <w:r w:rsidRPr="005C28E7">
        <w:rPr>
          <w:rFonts w:ascii="Times New Roman" w:hAnsi="Times New Roman"/>
          <w:sz w:val="20"/>
          <w:vertAlign w:val="subscript"/>
        </w:rPr>
        <w:t xml:space="preserve"> </w:t>
      </w:r>
      <w:r w:rsidRPr="005C28E7">
        <w:rPr>
          <w:rFonts w:ascii="Times New Roman" w:hAnsi="Times New Roman"/>
          <w:sz w:val="22"/>
        </w:rPr>
        <w:t>=</w:t>
      </w:r>
      <w:r w:rsidRPr="005C28E7">
        <w:rPr>
          <w:rFonts w:ascii="Times New Roman" w:hAnsi="Times New Roman"/>
          <w:sz w:val="20"/>
          <w:vertAlign w:val="subscript"/>
        </w:rPr>
        <w:t xml:space="preserve"> </w:t>
      </w:r>
      <w:r w:rsidRPr="005C28E7">
        <w:rPr>
          <w:rFonts w:ascii="Times New Roman" w:hAnsi="Times New Roman"/>
        </w:rPr>
        <w:t xml:space="preserve">0.2049), whereas the mean value of </w:t>
      </w:r>
      <w:proofErr w:type="spellStart"/>
      <w:r w:rsidRPr="005C28E7">
        <w:rPr>
          <w:rFonts w:ascii="Times New Roman" w:hAnsi="Times New Roman"/>
        </w:rPr>
        <w:t>of</w:t>
      </w:r>
      <w:proofErr w:type="spellEnd"/>
      <w:r w:rsidRPr="005C28E7">
        <w:rPr>
          <w:rFonts w:ascii="Times New Roman" w:hAnsi="Times New Roman"/>
        </w:rPr>
        <w:t xml:space="preserve"> excess market risk premium is </w:t>
      </w:r>
      <w:r w:rsidRPr="005C28E7">
        <w:rPr>
          <w:rFonts w:ascii="Times New Roman" w:hAnsi="Times New Roman"/>
          <w:position w:val="2"/>
          <w:sz w:val="16"/>
        </w:rPr>
        <w:t>–</w:t>
      </w:r>
      <w:r w:rsidRPr="005C28E7">
        <w:rPr>
          <w:rFonts w:ascii="Times New Roman" w:hAnsi="Times New Roman"/>
        </w:rPr>
        <w:t>0.0247 (S.D.</w:t>
      </w:r>
      <w:r w:rsidRPr="005C28E7">
        <w:rPr>
          <w:rFonts w:ascii="Times New Roman" w:hAnsi="Times New Roman"/>
          <w:sz w:val="20"/>
          <w:vertAlign w:val="subscript"/>
        </w:rPr>
        <w:t xml:space="preserve"> </w:t>
      </w:r>
      <w:r w:rsidRPr="005C28E7">
        <w:rPr>
          <w:rFonts w:ascii="Times New Roman" w:hAnsi="Times New Roman"/>
          <w:sz w:val="22"/>
        </w:rPr>
        <w:t>=</w:t>
      </w:r>
      <w:r w:rsidRPr="005C28E7">
        <w:rPr>
          <w:rFonts w:ascii="Times New Roman" w:hAnsi="Times New Roman"/>
          <w:sz w:val="20"/>
          <w:vertAlign w:val="subscript"/>
        </w:rPr>
        <w:t xml:space="preserve"> </w:t>
      </w:r>
      <w:r w:rsidRPr="005C28E7">
        <w:rPr>
          <w:rFonts w:ascii="Times New Roman" w:hAnsi="Times New Roman"/>
        </w:rPr>
        <w:t>0.3422). The mean value for accounting quality is 0.0345, which is slightly higher than the mean of 0.0332 reported by Ng (2010) relating to stocks listed on the NYSE, AMEX and NASDAQ.</w:t>
      </w:r>
    </w:p>
    <w:p w14:paraId="116A1EBD" w14:textId="77777777" w:rsidR="004D5170" w:rsidRPr="005C28E7" w:rsidRDefault="004D5170" w:rsidP="004D5170">
      <w:pPr>
        <w:pStyle w:val="afb"/>
        <w:autoSpaceDE w:val="0"/>
        <w:spacing w:line="480" w:lineRule="auto"/>
        <w:ind w:leftChars="0" w:left="360"/>
        <w:rPr>
          <w:rFonts w:ascii="Times New Roman" w:hAnsi="Times New Roman"/>
          <w:spacing w:val="-2"/>
        </w:rPr>
      </w:pPr>
      <w:r w:rsidRPr="005C28E7">
        <w:rPr>
          <w:rFonts w:ascii="Times New Roman" w:hAnsi="Times New Roman"/>
        </w:rPr>
        <w:t>&lt;Table 1 is inserted about here&gt;</w:t>
      </w:r>
    </w:p>
    <w:p w14:paraId="2F29F820" w14:textId="1F72FBC7" w:rsidR="004D5170" w:rsidRPr="005C28E7" w:rsidRDefault="004D5170" w:rsidP="004D5170">
      <w:pPr>
        <w:pStyle w:val="afb"/>
        <w:autoSpaceDE w:val="0"/>
        <w:spacing w:line="480" w:lineRule="auto"/>
        <w:ind w:leftChars="0" w:left="357" w:firstLineChars="200" w:firstLine="480"/>
        <w:jc w:val="both"/>
        <w:rPr>
          <w:rFonts w:ascii="Times New Roman" w:hAnsi="Times New Roman"/>
        </w:rPr>
      </w:pPr>
      <w:r w:rsidRPr="005C28E7">
        <w:rPr>
          <w:rFonts w:ascii="Times New Roman" w:hAnsi="Times New Roman"/>
        </w:rPr>
        <w:t>The downside risk in the present study is found to have a mean value of 1.2337 (S.D.</w:t>
      </w:r>
      <w:r w:rsidRPr="005C28E7">
        <w:rPr>
          <w:rFonts w:ascii="Times New Roman" w:hAnsi="Times New Roman"/>
          <w:sz w:val="20"/>
          <w:vertAlign w:val="subscript"/>
        </w:rPr>
        <w:t xml:space="preserve"> </w:t>
      </w:r>
      <w:r w:rsidRPr="005C28E7">
        <w:rPr>
          <w:rFonts w:ascii="Times New Roman" w:hAnsi="Times New Roman"/>
          <w:sz w:val="22"/>
        </w:rPr>
        <w:t>=</w:t>
      </w:r>
      <w:r w:rsidRPr="005C28E7">
        <w:rPr>
          <w:rFonts w:ascii="Times New Roman" w:hAnsi="Times New Roman"/>
          <w:sz w:val="20"/>
          <w:vertAlign w:val="subscript"/>
        </w:rPr>
        <w:t xml:space="preserve"> </w:t>
      </w:r>
      <w:r w:rsidRPr="005C28E7">
        <w:rPr>
          <w:rFonts w:ascii="Times New Roman" w:hAnsi="Times New Roman"/>
        </w:rPr>
        <w:t>0.3336), whereas the upside risk is found to have a mean value of 1.1271 (S.D.</w:t>
      </w:r>
      <w:r w:rsidRPr="005C28E7">
        <w:rPr>
          <w:rFonts w:ascii="Times New Roman" w:hAnsi="Times New Roman"/>
          <w:sz w:val="20"/>
          <w:vertAlign w:val="subscript"/>
        </w:rPr>
        <w:t xml:space="preserve"> </w:t>
      </w:r>
      <w:r w:rsidRPr="005C28E7">
        <w:rPr>
          <w:rFonts w:ascii="Times New Roman" w:hAnsi="Times New Roman"/>
          <w:sz w:val="22"/>
        </w:rPr>
        <w:t>=</w:t>
      </w:r>
      <w:r w:rsidRPr="005C28E7">
        <w:rPr>
          <w:rFonts w:ascii="Times New Roman" w:hAnsi="Times New Roman"/>
          <w:sz w:val="20"/>
          <w:vertAlign w:val="subscript"/>
        </w:rPr>
        <w:t xml:space="preserve"> </w:t>
      </w:r>
      <w:r w:rsidRPr="005C28E7">
        <w:rPr>
          <w:rFonts w:ascii="Times New Roman" w:hAnsi="Times New Roman"/>
        </w:rPr>
        <w:t xml:space="preserve">0.3287). Given that the mean value of downside risk is higher than that of upside risk, this clearly indicates that investors accept a discount when holding stocks with higher upside risk. </w:t>
      </w:r>
    </w:p>
    <w:p w14:paraId="7820B7B1" w14:textId="77777777" w:rsidR="004D5170" w:rsidRPr="005C28E7" w:rsidRDefault="004D5170" w:rsidP="004D5170">
      <w:pPr>
        <w:pStyle w:val="afb"/>
        <w:autoSpaceDE w:val="0"/>
        <w:spacing w:line="480" w:lineRule="auto"/>
        <w:ind w:leftChars="0" w:left="357" w:firstLineChars="200" w:firstLine="480"/>
        <w:jc w:val="both"/>
        <w:rPr>
          <w:rFonts w:ascii="Times New Roman" w:hAnsi="Times New Roman"/>
          <w:spacing w:val="-2"/>
        </w:rPr>
      </w:pPr>
      <w:r w:rsidRPr="005C28E7">
        <w:rPr>
          <w:rFonts w:ascii="Times New Roman" w:hAnsi="Times New Roman"/>
        </w:rPr>
        <w:t xml:space="preserve">Another interesting finding from our analysis is that the standard deviations of </w:t>
      </w:r>
      <w:r w:rsidRPr="005C28E7">
        <w:rPr>
          <w:rFonts w:ascii="Times New Roman" w:hAnsi="Times New Roman"/>
        </w:rPr>
        <w:lastRenderedPageBreak/>
        <w:t xml:space="preserve">both the upside risk and the downside risk are found to be higher than the standard deviation of market risk, thereby implying that market risk may be offset when ignoring asymmetric effect. The mean value of asymmetric market risk is found to be 0.1066 with a median value of 0.1016, significantly different from 0 at the 1 per cent level using the </w:t>
      </w:r>
      <w:r w:rsidRPr="005C28E7">
        <w:rPr>
          <w:rFonts w:ascii="Times New Roman" w:hAnsi="Times New Roman"/>
          <w:i/>
          <w:iCs/>
        </w:rPr>
        <w:t>t</w:t>
      </w:r>
      <w:r w:rsidRPr="005C28E7">
        <w:rPr>
          <w:rFonts w:ascii="Times New Roman" w:hAnsi="Times New Roman"/>
        </w:rPr>
        <w:t>-test (Wilcoxon signed-rank test) and clearly indicating the existence of an asymmetric effect.</w:t>
      </w:r>
    </w:p>
    <w:p w14:paraId="1A33F9DD" w14:textId="5B92DCAA" w:rsidR="004D5170" w:rsidRPr="005C28E7" w:rsidRDefault="00E35845" w:rsidP="004D5170">
      <w:pPr>
        <w:pStyle w:val="afb"/>
        <w:autoSpaceDE w:val="0"/>
        <w:spacing w:line="480" w:lineRule="auto"/>
        <w:ind w:leftChars="0" w:left="357" w:firstLineChars="200" w:firstLine="480"/>
        <w:jc w:val="both"/>
        <w:rPr>
          <w:rFonts w:ascii="Times New Roman" w:hAnsi="Times New Roman"/>
          <w:bCs/>
        </w:rPr>
      </w:pPr>
      <w:r w:rsidRPr="005C28E7">
        <w:rPr>
          <w:rFonts w:ascii="Times New Roman" w:hAnsi="Times New Roman"/>
          <w:bCs/>
        </w:rPr>
        <w:t>T</w:t>
      </w:r>
      <w:r w:rsidR="004D5170" w:rsidRPr="005C28E7">
        <w:rPr>
          <w:rFonts w:ascii="Times New Roman" w:hAnsi="Times New Roman"/>
          <w:bCs/>
        </w:rPr>
        <w:t>en portfolios</w:t>
      </w:r>
      <w:r w:rsidRPr="005C28E7">
        <w:rPr>
          <w:rFonts w:ascii="Times New Roman" w:hAnsi="Times New Roman"/>
          <w:bCs/>
        </w:rPr>
        <w:t xml:space="preserve"> </w:t>
      </w:r>
      <w:proofErr w:type="gramStart"/>
      <w:r w:rsidRPr="005C28E7">
        <w:rPr>
          <w:rFonts w:ascii="Times New Roman" w:hAnsi="Times New Roman"/>
          <w:bCs/>
        </w:rPr>
        <w:t>was</w:t>
      </w:r>
      <w:proofErr w:type="gramEnd"/>
      <w:r w:rsidRPr="005C28E7">
        <w:rPr>
          <w:rFonts w:ascii="Times New Roman" w:hAnsi="Times New Roman"/>
          <w:bCs/>
        </w:rPr>
        <w:t xml:space="preserve"> formed</w:t>
      </w:r>
      <w:r w:rsidR="004D5170" w:rsidRPr="005C28E7">
        <w:rPr>
          <w:rFonts w:ascii="Times New Roman" w:hAnsi="Times New Roman"/>
          <w:bCs/>
        </w:rPr>
        <w:t xml:space="preserve"> to analyze whether there were differences in the level of risk between stocks with diverse characteristics. The portfolios (0 to 9) were equally distributed such that each contained 10 per cent of the total sample of firms, ranked </w:t>
      </w:r>
      <w:r w:rsidR="004D5170" w:rsidRPr="005C28E7">
        <w:rPr>
          <w:rFonts w:ascii="Times New Roman" w:hAnsi="Times New Roman"/>
          <w:bCs/>
          <w:spacing w:val="-2"/>
        </w:rPr>
        <w:t>according to their stock characteristics, with the first ‘0’ (last ‘9’) portfolio containing</w:t>
      </w:r>
      <w:r w:rsidR="004D5170" w:rsidRPr="005C28E7">
        <w:rPr>
          <w:rFonts w:ascii="Times New Roman" w:hAnsi="Times New Roman"/>
          <w:bCs/>
        </w:rPr>
        <w:t xml:space="preserve"> those firms with the lowest (highest) level of focal stock characteristics. </w:t>
      </w:r>
    </w:p>
    <w:p w14:paraId="570550CD" w14:textId="0D0B728A" w:rsidR="004D5170" w:rsidRPr="005C28E7" w:rsidRDefault="004D5170" w:rsidP="004D5170">
      <w:pPr>
        <w:pStyle w:val="afb"/>
        <w:autoSpaceDE w:val="0"/>
        <w:spacing w:line="480" w:lineRule="auto"/>
        <w:ind w:leftChars="0" w:left="360"/>
        <w:jc w:val="both"/>
        <w:rPr>
          <w:rFonts w:ascii="Times New Roman" w:hAnsi="Times New Roman"/>
          <w:bCs/>
          <w:spacing w:val="-2"/>
        </w:rPr>
      </w:pPr>
      <w:r w:rsidRPr="005C28E7">
        <w:rPr>
          <w:rFonts w:ascii="Times New Roman" w:hAnsi="Times New Roman"/>
          <w:bCs/>
          <w:spacing w:val="-2"/>
        </w:rPr>
        <w:t>The difference between portfolio 9 and portfolio 0 is used to determine whether there are differences in the level of risk across stocks with diverse characteristics, and if so, whether there are linear changes in such risk. The results are reported in Table 2, which shows that the risk does indeed vary linearly with stock characteristics, and that such risk may be affected only by market size and accounting quality.</w:t>
      </w:r>
    </w:p>
    <w:p w14:paraId="01F9A730" w14:textId="77777777" w:rsidR="004D5170" w:rsidRPr="005C28E7" w:rsidRDefault="004D5170" w:rsidP="004D5170">
      <w:pPr>
        <w:pStyle w:val="afb"/>
        <w:autoSpaceDE w:val="0"/>
        <w:spacing w:line="480" w:lineRule="auto"/>
        <w:ind w:leftChars="0" w:left="360"/>
        <w:rPr>
          <w:rFonts w:ascii="Times New Roman" w:hAnsi="Times New Roman"/>
          <w:spacing w:val="-2"/>
        </w:rPr>
      </w:pPr>
      <w:r w:rsidRPr="005C28E7">
        <w:rPr>
          <w:rFonts w:ascii="Times New Roman" w:hAnsi="Times New Roman"/>
        </w:rPr>
        <w:t>&lt;Table 2 is inserted about here&gt;</w:t>
      </w:r>
    </w:p>
    <w:p w14:paraId="618F8054" w14:textId="77777777" w:rsidR="004D5170" w:rsidRPr="005C28E7" w:rsidRDefault="004D5170" w:rsidP="004D5170">
      <w:pPr>
        <w:pStyle w:val="afb"/>
        <w:autoSpaceDE w:val="0"/>
        <w:spacing w:before="120" w:line="480" w:lineRule="auto"/>
        <w:ind w:leftChars="0" w:left="360"/>
        <w:jc w:val="both"/>
        <w:rPr>
          <w:rFonts w:ascii="Times New Roman" w:hAnsi="Times New Roman"/>
          <w:spacing w:val="-2"/>
          <w:sz w:val="26"/>
          <w:szCs w:val="26"/>
        </w:rPr>
      </w:pPr>
      <w:r w:rsidRPr="005C28E7">
        <w:rPr>
          <w:rFonts w:ascii="Times New Roman" w:hAnsi="Times New Roman"/>
          <w:b/>
          <w:sz w:val="26"/>
          <w:szCs w:val="26"/>
        </w:rPr>
        <w:t>3.2</w:t>
      </w:r>
      <w:r w:rsidRPr="005C28E7">
        <w:rPr>
          <w:rFonts w:ascii="Times New Roman" w:hAnsi="Times New Roman"/>
          <w:b/>
          <w:sz w:val="26"/>
          <w:szCs w:val="26"/>
        </w:rPr>
        <w:tab/>
        <w:t>Two-Stage Analysis</w:t>
      </w:r>
    </w:p>
    <w:p w14:paraId="593AF095" w14:textId="77777777" w:rsidR="004D5170" w:rsidRPr="005C28E7" w:rsidRDefault="004D5170" w:rsidP="004D5170">
      <w:pPr>
        <w:pStyle w:val="afb"/>
        <w:autoSpaceDE w:val="0"/>
        <w:spacing w:before="120" w:line="480" w:lineRule="auto"/>
        <w:ind w:leftChars="0" w:left="360"/>
        <w:jc w:val="both"/>
        <w:rPr>
          <w:rFonts w:ascii="Times New Roman" w:hAnsi="Times New Roman"/>
          <w:b/>
          <w:spacing w:val="-2"/>
        </w:rPr>
      </w:pPr>
      <w:proofErr w:type="gramStart"/>
      <w:r w:rsidRPr="005C28E7">
        <w:rPr>
          <w:rFonts w:ascii="Times New Roman" w:hAnsi="Times New Roman"/>
          <w:b/>
        </w:rPr>
        <w:t>3.2.1</w:t>
      </w:r>
      <w:r w:rsidRPr="005C28E7">
        <w:rPr>
          <w:rFonts w:ascii="Times New Roman" w:hAnsi="Times New Roman"/>
          <w:b/>
          <w:sz w:val="16"/>
        </w:rPr>
        <w:t xml:space="preserve">  </w:t>
      </w:r>
      <w:r w:rsidRPr="005C28E7">
        <w:rPr>
          <w:rFonts w:ascii="Times New Roman" w:hAnsi="Times New Roman"/>
          <w:b/>
        </w:rPr>
        <w:t>The</w:t>
      </w:r>
      <w:proofErr w:type="gramEnd"/>
      <w:r w:rsidRPr="005C28E7">
        <w:rPr>
          <w:rFonts w:ascii="Times New Roman" w:hAnsi="Times New Roman"/>
          <w:b/>
        </w:rPr>
        <w:t xml:space="preserve"> effects of accounting quality on risk</w:t>
      </w:r>
    </w:p>
    <w:p w14:paraId="452C5B58" w14:textId="4C9614E2" w:rsidR="004D5170" w:rsidRPr="005C28E7" w:rsidRDefault="00E35845" w:rsidP="004D5170">
      <w:pPr>
        <w:pStyle w:val="afb"/>
        <w:autoSpaceDE w:val="0"/>
        <w:spacing w:line="480" w:lineRule="auto"/>
        <w:ind w:leftChars="0" w:left="357" w:firstLineChars="200" w:firstLine="480"/>
        <w:jc w:val="both"/>
        <w:rPr>
          <w:rFonts w:ascii="Times New Roman" w:hAnsi="Times New Roman"/>
          <w:spacing w:val="-2"/>
        </w:rPr>
      </w:pPr>
      <w:r w:rsidRPr="005C28E7">
        <w:rPr>
          <w:rFonts w:ascii="Times New Roman" w:hAnsi="Times New Roman"/>
        </w:rPr>
        <w:lastRenderedPageBreak/>
        <w:t xml:space="preserve">The </w:t>
      </w:r>
      <w:proofErr w:type="spellStart"/>
      <w:r w:rsidR="004D5170" w:rsidRPr="005C28E7">
        <w:rPr>
          <w:rFonts w:ascii="Times New Roman" w:hAnsi="Times New Roman"/>
        </w:rPr>
        <w:t>examine</w:t>
      </w:r>
      <w:proofErr w:type="spellEnd"/>
      <w:r w:rsidR="004D5170" w:rsidRPr="005C28E7">
        <w:rPr>
          <w:rFonts w:ascii="Times New Roman" w:hAnsi="Times New Roman"/>
        </w:rPr>
        <w:t xml:space="preserve"> </w:t>
      </w:r>
      <w:r w:rsidRPr="005C28E7">
        <w:rPr>
          <w:rFonts w:ascii="Times New Roman" w:hAnsi="Times New Roman"/>
        </w:rPr>
        <w:t xml:space="preserve">of </w:t>
      </w:r>
      <w:r w:rsidR="004D5170" w:rsidRPr="005C28E7">
        <w:rPr>
          <w:rFonts w:ascii="Times New Roman" w:hAnsi="Times New Roman"/>
        </w:rPr>
        <w:t>the effect of accounting quality on risk, with the regression model being specified as follows:</w:t>
      </w:r>
    </w:p>
    <w:p w14:paraId="51B9294B" w14:textId="77777777" w:rsidR="004D5170" w:rsidRPr="005C28E7" w:rsidRDefault="004D5170" w:rsidP="004D5170">
      <w:pPr>
        <w:pStyle w:val="afb"/>
        <w:autoSpaceDE w:val="0"/>
        <w:spacing w:before="60" w:after="60"/>
        <w:ind w:leftChars="0" w:left="360" w:right="240"/>
        <w:jc w:val="right"/>
        <w:rPr>
          <w:rFonts w:ascii="Times New Roman" w:eastAsia="標楷體" w:hAnsi="Times New Roman"/>
        </w:rPr>
      </w:pPr>
      <w:r w:rsidRPr="005C28E7">
        <w:rPr>
          <w:rFonts w:ascii="Times New Roman" w:hAnsi="Times New Roman"/>
          <w:noProof/>
          <w:position w:val="-14"/>
        </w:rPr>
        <w:drawing>
          <wp:inline distT="0" distB="0" distL="0" distR="0" wp14:anchorId="61EC225F" wp14:editId="3AEF7FC7">
            <wp:extent cx="3530592" cy="246184"/>
            <wp:effectExtent l="0" t="0" r="0" b="190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2881" b="-969"/>
                    <a:stretch/>
                  </pic:blipFill>
                  <pic:spPr bwMode="auto">
                    <a:xfrm>
                      <a:off x="0" y="0"/>
                      <a:ext cx="3576857" cy="249410"/>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5C28E7">
        <w:rPr>
          <w:rFonts w:ascii="Times New Roman" w:eastAsia="標楷體" w:hAnsi="Times New Roman"/>
        </w:rPr>
        <w:t xml:space="preserve">,   </w:t>
      </w:r>
      <w:proofErr w:type="gramEnd"/>
      <w:r w:rsidRPr="005C28E7">
        <w:rPr>
          <w:rFonts w:ascii="Times New Roman" w:eastAsia="標楷體" w:hAnsi="Times New Roman"/>
        </w:rPr>
        <w:t xml:space="preserve">     (3.2)</w:t>
      </w:r>
    </w:p>
    <w:p w14:paraId="4771F26B" w14:textId="77777777" w:rsidR="004D5170" w:rsidRPr="005C28E7" w:rsidRDefault="004D5170" w:rsidP="004D5170">
      <w:pPr>
        <w:pStyle w:val="afb"/>
        <w:autoSpaceDE w:val="0"/>
        <w:spacing w:line="480" w:lineRule="auto"/>
        <w:ind w:leftChars="0" w:left="360"/>
        <w:jc w:val="both"/>
        <w:rPr>
          <w:rFonts w:ascii="Times New Roman" w:eastAsia="標楷體" w:hAnsi="Times New Roman"/>
        </w:rPr>
      </w:pPr>
      <w:r w:rsidRPr="005C28E7">
        <w:rPr>
          <w:rFonts w:ascii="Times New Roman" w:eastAsia="標楷體" w:hAnsi="Times New Roman"/>
        </w:rPr>
        <w:t xml:space="preserve">where </w:t>
      </w:r>
      <w:proofErr w:type="spellStart"/>
      <w:proofErr w:type="gramStart"/>
      <w:r w:rsidRPr="005C28E7">
        <w:rPr>
          <w:rFonts w:ascii="Times New Roman" w:hAnsi="Times New Roman"/>
          <w:bCs/>
          <w:i/>
          <w:sz w:val="26"/>
          <w:szCs w:val="26"/>
        </w:rPr>
        <w:t>Y</w:t>
      </w:r>
      <w:r w:rsidRPr="005C28E7">
        <w:rPr>
          <w:rFonts w:ascii="Times New Roman" w:hAnsi="Times New Roman"/>
          <w:bCs/>
          <w:i/>
          <w:vertAlign w:val="subscript"/>
        </w:rPr>
        <w:t>i</w:t>
      </w:r>
      <w:r w:rsidRPr="005C28E7">
        <w:rPr>
          <w:rFonts w:ascii="Times New Roman" w:hAnsi="Times New Roman"/>
          <w:bCs/>
          <w:vertAlign w:val="subscript"/>
        </w:rPr>
        <w:t>,</w:t>
      </w:r>
      <w:r w:rsidRPr="005C28E7">
        <w:rPr>
          <w:rFonts w:ascii="Times New Roman" w:hAnsi="Times New Roman"/>
          <w:bCs/>
          <w:i/>
          <w:vertAlign w:val="subscript"/>
        </w:rPr>
        <w:t>τ</w:t>
      </w:r>
      <w:proofErr w:type="spellEnd"/>
      <w:proofErr w:type="gramEnd"/>
      <w:r w:rsidRPr="005C28E7">
        <w:rPr>
          <w:rFonts w:ascii="Times New Roman" w:eastAsia="標楷體" w:hAnsi="Times New Roman"/>
        </w:rPr>
        <w:t xml:space="preserve"> denotes the risk; and </w:t>
      </w:r>
      <w:proofErr w:type="spellStart"/>
      <w:r w:rsidRPr="005C28E7">
        <w:rPr>
          <w:rFonts w:ascii="Times New Roman" w:hAnsi="Times New Roman"/>
          <w:bCs/>
          <w:i/>
          <w:sz w:val="26"/>
          <w:szCs w:val="26"/>
        </w:rPr>
        <w:t>AQ</w:t>
      </w:r>
      <w:r w:rsidRPr="005C28E7">
        <w:rPr>
          <w:rFonts w:ascii="Times New Roman" w:hAnsi="Times New Roman"/>
          <w:bCs/>
          <w:i/>
          <w:vertAlign w:val="subscript"/>
        </w:rPr>
        <w:t>i</w:t>
      </w:r>
      <w:r w:rsidRPr="005C28E7">
        <w:rPr>
          <w:rFonts w:ascii="Times New Roman" w:hAnsi="Times New Roman"/>
          <w:bCs/>
          <w:vertAlign w:val="subscript"/>
        </w:rPr>
        <w:t>,</w:t>
      </w:r>
      <w:r w:rsidRPr="005C28E7">
        <w:rPr>
          <w:rFonts w:ascii="Times New Roman" w:hAnsi="Times New Roman"/>
          <w:bCs/>
          <w:i/>
          <w:vertAlign w:val="subscript"/>
        </w:rPr>
        <w:t>τ</w:t>
      </w:r>
      <w:proofErr w:type="spellEnd"/>
      <w:r w:rsidRPr="005C28E7">
        <w:rPr>
          <w:rFonts w:ascii="Times New Roman" w:eastAsia="標楷體" w:hAnsi="Times New Roman"/>
        </w:rPr>
        <w:t xml:space="preserve"> is the accounting quality for firm </w:t>
      </w:r>
      <w:proofErr w:type="spellStart"/>
      <w:r w:rsidRPr="005C28E7">
        <w:rPr>
          <w:rFonts w:ascii="Times New Roman" w:eastAsia="標楷體" w:hAnsi="Times New Roman"/>
          <w:i/>
        </w:rPr>
        <w:t>i</w:t>
      </w:r>
      <w:proofErr w:type="spellEnd"/>
      <w:r w:rsidRPr="005C28E7">
        <w:rPr>
          <w:rFonts w:ascii="Times New Roman" w:eastAsia="標楷體" w:hAnsi="Times New Roman"/>
        </w:rPr>
        <w:t xml:space="preserve"> in year</w:t>
      </w:r>
      <w:r w:rsidRPr="005C28E7">
        <w:rPr>
          <w:rFonts w:ascii="Times New Roman" w:hAnsi="Times New Roman"/>
          <w:bCs/>
          <w:i/>
          <w:vertAlign w:val="subscript"/>
        </w:rPr>
        <w:t xml:space="preserve"> </w:t>
      </w:r>
      <w:r w:rsidRPr="005C28E7">
        <w:rPr>
          <w:rFonts w:ascii="Times New Roman" w:hAnsi="Times New Roman"/>
          <w:bCs/>
          <w:i/>
          <w:sz w:val="26"/>
          <w:szCs w:val="26"/>
        </w:rPr>
        <w:t>τ</w:t>
      </w:r>
      <w:r w:rsidRPr="005C28E7">
        <w:rPr>
          <w:rFonts w:ascii="Times New Roman" w:eastAsia="標楷體" w:hAnsi="Times New Roman"/>
        </w:rPr>
        <w:t xml:space="preserve">. </w:t>
      </w:r>
    </w:p>
    <w:p w14:paraId="796DDA58" w14:textId="19C34B50" w:rsidR="004D5170" w:rsidRPr="005C28E7" w:rsidRDefault="004D5170" w:rsidP="004D5170">
      <w:pPr>
        <w:pStyle w:val="afb"/>
        <w:autoSpaceDE w:val="0"/>
        <w:spacing w:line="480" w:lineRule="auto"/>
        <w:ind w:leftChars="0" w:left="357" w:firstLineChars="200" w:firstLine="480"/>
        <w:jc w:val="both"/>
        <w:rPr>
          <w:rFonts w:ascii="Times New Roman" w:eastAsia="標楷體" w:hAnsi="Times New Roman"/>
        </w:rPr>
      </w:pPr>
      <w:r w:rsidRPr="005C28E7">
        <w:rPr>
          <w:rFonts w:ascii="Times New Roman" w:eastAsia="標楷體" w:hAnsi="Times New Roman"/>
        </w:rPr>
        <w:t>Drawing on the prior literature, financial leverage (</w:t>
      </w:r>
      <w:r w:rsidRPr="005C28E7">
        <w:rPr>
          <w:rFonts w:ascii="Times New Roman" w:eastAsia="標楷體" w:hAnsi="Times New Roman"/>
          <w:i/>
        </w:rPr>
        <w:t>FL</w:t>
      </w:r>
      <w:r w:rsidRPr="005C28E7">
        <w:rPr>
          <w:rFonts w:ascii="Times New Roman" w:eastAsia="標楷體" w:hAnsi="Times New Roman"/>
        </w:rPr>
        <w:t>), operating leverage (</w:t>
      </w:r>
      <w:r w:rsidRPr="005C28E7">
        <w:rPr>
          <w:rFonts w:ascii="Times New Roman" w:eastAsia="標楷體" w:hAnsi="Times New Roman"/>
          <w:i/>
        </w:rPr>
        <w:t>OL</w:t>
      </w:r>
      <w:r w:rsidRPr="005C28E7">
        <w:rPr>
          <w:rFonts w:ascii="Times New Roman" w:eastAsia="標楷體" w:hAnsi="Times New Roman"/>
        </w:rPr>
        <w:t>) and market value (</w:t>
      </w:r>
      <w:r w:rsidRPr="005C28E7">
        <w:rPr>
          <w:rFonts w:ascii="Times New Roman" w:eastAsia="標楷體" w:hAnsi="Times New Roman"/>
          <w:i/>
        </w:rPr>
        <w:t>Size</w:t>
      </w:r>
      <w:r w:rsidRPr="005C28E7">
        <w:rPr>
          <w:rFonts w:ascii="Times New Roman" w:eastAsia="標楷體" w:hAnsi="Times New Roman"/>
        </w:rPr>
        <w:t xml:space="preserve">) </w:t>
      </w:r>
      <w:r w:rsidR="00E35845" w:rsidRPr="005C28E7">
        <w:rPr>
          <w:rFonts w:ascii="Times New Roman" w:eastAsia="標楷體" w:hAnsi="Times New Roman"/>
        </w:rPr>
        <w:t xml:space="preserve">is used </w:t>
      </w:r>
      <w:r w:rsidRPr="005C28E7">
        <w:rPr>
          <w:rFonts w:ascii="Times New Roman" w:eastAsia="標楷體" w:hAnsi="Times New Roman"/>
        </w:rPr>
        <w:t>as the control variables. The ratio of the difference between financial liabilities and assets to market equity at the end of year</w:t>
      </w:r>
      <w:r w:rsidRPr="005C28E7">
        <w:rPr>
          <w:rFonts w:ascii="Times New Roman" w:eastAsia="標楷體" w:hAnsi="Times New Roman"/>
          <w:noProof/>
          <w:position w:val="-6"/>
          <w:lang w:eastAsia="en-US"/>
        </w:rPr>
        <w:t xml:space="preserve"> </w:t>
      </w:r>
      <w:r w:rsidRPr="005C28E7">
        <w:rPr>
          <w:rFonts w:ascii="Times New Roman" w:hAnsi="Times New Roman"/>
          <w:bCs/>
          <w:i/>
          <w:sz w:val="26"/>
          <w:szCs w:val="26"/>
        </w:rPr>
        <w:t>τ</w:t>
      </w:r>
      <w:r w:rsidRPr="005C28E7">
        <w:rPr>
          <w:rFonts w:ascii="Times New Roman" w:eastAsia="標楷體" w:hAnsi="Times New Roman"/>
        </w:rPr>
        <w:t xml:space="preserve"> is used as the proxy for financial leverage; the book value of assets divided by the market value of assets at the end of year</w:t>
      </w:r>
      <w:r w:rsidRPr="005C28E7">
        <w:rPr>
          <w:rFonts w:ascii="Times New Roman" w:eastAsia="標楷體" w:hAnsi="Times New Roman"/>
          <w:noProof/>
          <w:position w:val="-6"/>
          <w:lang w:eastAsia="en-US"/>
        </w:rPr>
        <w:t xml:space="preserve"> </w:t>
      </w:r>
      <w:r w:rsidRPr="005C28E7">
        <w:rPr>
          <w:rFonts w:ascii="Times New Roman" w:hAnsi="Times New Roman"/>
          <w:bCs/>
          <w:i/>
          <w:sz w:val="26"/>
          <w:szCs w:val="26"/>
        </w:rPr>
        <w:t xml:space="preserve">τ </w:t>
      </w:r>
      <w:r w:rsidRPr="005C28E7">
        <w:rPr>
          <w:rFonts w:ascii="Times New Roman" w:eastAsia="標楷體" w:hAnsi="Times New Roman"/>
        </w:rPr>
        <w:t>is used as the proxy for operating leverage; and the total market value at the end of year</w:t>
      </w:r>
      <w:r w:rsidRPr="005C28E7">
        <w:rPr>
          <w:rFonts w:ascii="Times New Roman" w:hAnsi="Times New Roman"/>
          <w:bCs/>
          <w:i/>
          <w:sz w:val="26"/>
          <w:szCs w:val="26"/>
        </w:rPr>
        <w:t xml:space="preserve"> τ</w:t>
      </w:r>
      <w:r w:rsidRPr="005C28E7">
        <w:rPr>
          <w:rFonts w:ascii="Times New Roman" w:eastAsia="標楷體" w:hAnsi="Times New Roman"/>
          <w:noProof/>
          <w:position w:val="-6"/>
          <w:lang w:eastAsia="en-US"/>
        </w:rPr>
        <w:t xml:space="preserve"> </w:t>
      </w:r>
      <w:r w:rsidRPr="005C28E7">
        <w:rPr>
          <w:rFonts w:ascii="Times New Roman" w:eastAsia="標楷體" w:hAnsi="Times New Roman"/>
        </w:rPr>
        <w:t>is used as the proxy for firm size. In order to ensure that all investors have access to information at any time to enable them to assess risk, the explanatory variables are lagged by one year (Ng, (2011)).</w:t>
      </w:r>
    </w:p>
    <w:p w14:paraId="065E5C41" w14:textId="1566948D" w:rsidR="004D5170" w:rsidRPr="005C28E7" w:rsidRDefault="004D5170" w:rsidP="004D5170">
      <w:pPr>
        <w:pStyle w:val="afb"/>
        <w:autoSpaceDE w:val="0"/>
        <w:spacing w:line="480" w:lineRule="auto"/>
        <w:ind w:leftChars="0" w:left="357" w:firstLineChars="200" w:firstLine="480"/>
        <w:jc w:val="both"/>
        <w:rPr>
          <w:rFonts w:ascii="Times New Roman" w:eastAsia="標楷體" w:hAnsi="Times New Roman"/>
        </w:rPr>
      </w:pPr>
      <w:r w:rsidRPr="005C28E7">
        <w:rPr>
          <w:rFonts w:ascii="Times New Roman" w:eastAsia="標楷體" w:hAnsi="Times New Roman"/>
        </w:rPr>
        <w:t xml:space="preserve">The downside risk per unit of accounting quality, with a coefficient of 28.03 per cent, is larger than the market risk per unit of accounting quality, with a coefficient of 24.81 per cent, thereby providing support for our supposition that the effects of accounting quality on risk will be undervalued when ignoring the asymmetric effect in market risk. </w:t>
      </w:r>
    </w:p>
    <w:p w14:paraId="6D05EDDF" w14:textId="77777777" w:rsidR="004D5170" w:rsidRPr="005C28E7" w:rsidRDefault="004D5170" w:rsidP="004D5170">
      <w:pPr>
        <w:pStyle w:val="afb"/>
        <w:autoSpaceDE w:val="0"/>
        <w:spacing w:line="480" w:lineRule="auto"/>
        <w:ind w:leftChars="0" w:left="360"/>
        <w:rPr>
          <w:rFonts w:ascii="Times New Roman" w:hAnsi="Times New Roman"/>
          <w:spacing w:val="-2"/>
        </w:rPr>
      </w:pPr>
      <w:r w:rsidRPr="005C28E7">
        <w:rPr>
          <w:rFonts w:ascii="Times New Roman" w:hAnsi="Times New Roman"/>
        </w:rPr>
        <w:t>&lt;Table 3 is inserted about here&gt;</w:t>
      </w:r>
    </w:p>
    <w:p w14:paraId="17837010" w14:textId="661B4BD3" w:rsidR="004D5170" w:rsidRPr="005C28E7" w:rsidRDefault="004D5170" w:rsidP="004D5170">
      <w:pPr>
        <w:pStyle w:val="afb"/>
        <w:autoSpaceDE w:val="0"/>
        <w:spacing w:line="480" w:lineRule="auto"/>
        <w:ind w:leftChars="0" w:left="357" w:firstLineChars="200" w:firstLine="480"/>
        <w:jc w:val="both"/>
        <w:rPr>
          <w:rFonts w:ascii="Times New Roman" w:hAnsi="Times New Roman"/>
        </w:rPr>
      </w:pPr>
      <w:r w:rsidRPr="005C28E7">
        <w:rPr>
          <w:rFonts w:ascii="Times New Roman" w:hAnsi="Times New Roman"/>
        </w:rPr>
        <w:t xml:space="preserve">Furthermore, asymmetric market risk is found to have a significantly positive </w:t>
      </w:r>
      <w:r w:rsidRPr="005C28E7">
        <w:rPr>
          <w:rFonts w:ascii="Times New Roman" w:hAnsi="Times New Roman"/>
        </w:rPr>
        <w:lastRenderedPageBreak/>
        <w:t>correlation with accounting quality, with a coefficient of 16.63 per cent, thereby indicating that the primary effect of total market risk on accounting quality may originate from downside risk; this also suggests that it plays a crucial role in the financial reporting decisions of managers. Although all of the control variables are found to be insignificantly different from 0, their signs are consistent with the prior studies (Mandelker &amp; Rhee, (1984); Mandelbrot &amp; Hudson, (2004); Penman et al., (2007)).</w:t>
      </w:r>
    </w:p>
    <w:p w14:paraId="286EC698" w14:textId="77777777" w:rsidR="004D5170" w:rsidRPr="005C28E7" w:rsidRDefault="004D5170" w:rsidP="004D5170">
      <w:pPr>
        <w:pStyle w:val="afb"/>
        <w:autoSpaceDE w:val="0"/>
        <w:spacing w:before="120" w:line="480" w:lineRule="auto"/>
        <w:ind w:leftChars="0" w:left="360"/>
        <w:jc w:val="both"/>
        <w:rPr>
          <w:rFonts w:ascii="Times New Roman" w:hAnsi="Times New Roman"/>
          <w:b/>
          <w:spacing w:val="-2"/>
        </w:rPr>
      </w:pPr>
      <w:proofErr w:type="gramStart"/>
      <w:r w:rsidRPr="005C28E7">
        <w:rPr>
          <w:rFonts w:ascii="Times New Roman" w:hAnsi="Times New Roman"/>
          <w:b/>
        </w:rPr>
        <w:t>3.2.2</w:t>
      </w:r>
      <w:r w:rsidRPr="005C28E7">
        <w:rPr>
          <w:rFonts w:ascii="Times New Roman" w:hAnsi="Times New Roman"/>
          <w:b/>
          <w:sz w:val="16"/>
        </w:rPr>
        <w:t xml:space="preserve">  </w:t>
      </w:r>
      <w:r w:rsidRPr="005C28E7">
        <w:rPr>
          <w:rFonts w:ascii="Times New Roman" w:hAnsi="Times New Roman"/>
          <w:b/>
        </w:rPr>
        <w:t>The</w:t>
      </w:r>
      <w:proofErr w:type="gramEnd"/>
      <w:r w:rsidRPr="005C28E7">
        <w:rPr>
          <w:rFonts w:ascii="Times New Roman" w:hAnsi="Times New Roman"/>
          <w:b/>
        </w:rPr>
        <w:t xml:space="preserve"> effects of accounting quality on the cost of capital</w:t>
      </w:r>
    </w:p>
    <w:p w14:paraId="3CC57236" w14:textId="77777777" w:rsidR="004D5170" w:rsidRPr="005C28E7" w:rsidRDefault="004D5170" w:rsidP="004D5170">
      <w:pPr>
        <w:pStyle w:val="afb"/>
        <w:autoSpaceDE w:val="0"/>
        <w:spacing w:line="480" w:lineRule="auto"/>
        <w:ind w:leftChars="0" w:left="357" w:firstLineChars="200" w:firstLine="480"/>
        <w:jc w:val="both"/>
        <w:rPr>
          <w:rFonts w:ascii="Times New Roman" w:hAnsi="Times New Roman"/>
          <w:bCs/>
        </w:rPr>
      </w:pPr>
      <w:r w:rsidRPr="005C28E7">
        <w:rPr>
          <w:rFonts w:ascii="Times New Roman" w:eastAsia="標楷體" w:hAnsi="Times New Roman"/>
        </w:rPr>
        <w:t xml:space="preserve">Following </w:t>
      </w:r>
      <w:proofErr w:type="spellStart"/>
      <w:r w:rsidRPr="005C28E7">
        <w:rPr>
          <w:rFonts w:ascii="Times New Roman" w:hAnsi="Times New Roman"/>
        </w:rPr>
        <w:t>Fama</w:t>
      </w:r>
      <w:proofErr w:type="spellEnd"/>
      <w:r w:rsidRPr="005C28E7">
        <w:rPr>
          <w:rFonts w:ascii="Times New Roman" w:hAnsi="Times New Roman"/>
        </w:rPr>
        <w:t xml:space="preserve"> and French (1993)</w:t>
      </w:r>
      <w:r w:rsidRPr="005C28E7">
        <w:rPr>
          <w:rFonts w:ascii="Times New Roman" w:eastAsia="標楷體" w:hAnsi="Times New Roman"/>
        </w:rPr>
        <w:t xml:space="preserve">, we examine the </w:t>
      </w:r>
      <w:r w:rsidRPr="005C28E7">
        <w:rPr>
          <w:rFonts w:ascii="Times New Roman" w:hAnsi="Times New Roman"/>
          <w:bCs/>
        </w:rPr>
        <w:t>influence of risk on the cost of capital using the following regression:</w:t>
      </w:r>
    </w:p>
    <w:p w14:paraId="7DBB55E8" w14:textId="77777777" w:rsidR="004D5170" w:rsidRPr="005C28E7" w:rsidRDefault="004D5170" w:rsidP="004D5170">
      <w:pPr>
        <w:autoSpaceDE w:val="0"/>
        <w:spacing w:line="480" w:lineRule="auto"/>
        <w:jc w:val="right"/>
        <w:rPr>
          <w:bCs/>
        </w:rPr>
      </w:pPr>
      <w:r w:rsidRPr="005C28E7">
        <w:rPr>
          <w:noProof/>
        </w:rPr>
        <w:drawing>
          <wp:anchor distT="0" distB="0" distL="114935" distR="114935" simplePos="0" relativeHeight="251659264" behindDoc="0" locked="0" layoutInCell="1" allowOverlap="1" wp14:anchorId="1105C7B8" wp14:editId="25CB89D4">
            <wp:simplePos x="0" y="0"/>
            <wp:positionH relativeFrom="column">
              <wp:posOffset>1149350</wp:posOffset>
            </wp:positionH>
            <wp:positionV relativeFrom="paragraph">
              <wp:posOffset>109220</wp:posOffset>
            </wp:positionV>
            <wp:extent cx="3262630" cy="255905"/>
            <wp:effectExtent l="0" t="0" r="0" b="0"/>
            <wp:wrapSquare wrapText="right"/>
            <wp:docPr id="28"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4398" b="-1106"/>
                    <a:stretch/>
                  </pic:blipFill>
                  <pic:spPr bwMode="auto">
                    <a:xfrm>
                      <a:off x="0" y="0"/>
                      <a:ext cx="3262630" cy="25590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C28E7">
        <w:rPr>
          <w:spacing w:val="-2"/>
        </w:rPr>
        <w:t xml:space="preserve">(3.3) </w:t>
      </w:r>
    </w:p>
    <w:p w14:paraId="16DBB2C0" w14:textId="77777777" w:rsidR="004D5170" w:rsidRPr="005C28E7" w:rsidRDefault="004D5170" w:rsidP="004D5170">
      <w:pPr>
        <w:pStyle w:val="afb"/>
        <w:spacing w:line="480" w:lineRule="auto"/>
        <w:ind w:leftChars="0" w:left="360"/>
        <w:jc w:val="both"/>
        <w:rPr>
          <w:rFonts w:ascii="Times New Roman" w:hAnsi="Times New Roman"/>
        </w:rPr>
      </w:pPr>
      <w:r w:rsidRPr="005C28E7">
        <w:rPr>
          <w:rFonts w:ascii="Times New Roman" w:hAnsi="Times New Roman"/>
          <w:bCs/>
        </w:rPr>
        <w:t xml:space="preserve">where </w:t>
      </w:r>
      <w:proofErr w:type="spellStart"/>
      <w:r w:rsidRPr="005C28E7">
        <w:rPr>
          <w:rFonts w:ascii="Times New Roman" w:hAnsi="Times New Roman"/>
          <w:bCs/>
          <w:i/>
          <w:sz w:val="26"/>
          <w:szCs w:val="26"/>
        </w:rPr>
        <w:t>r</w:t>
      </w:r>
      <w:r w:rsidRPr="005C28E7">
        <w:rPr>
          <w:rFonts w:ascii="Times New Roman" w:hAnsi="Times New Roman"/>
          <w:bCs/>
          <w:i/>
          <w:vertAlign w:val="subscript"/>
        </w:rPr>
        <w:t>i</w:t>
      </w:r>
      <w:r w:rsidRPr="005C28E7">
        <w:rPr>
          <w:rFonts w:ascii="Times New Roman" w:hAnsi="Times New Roman"/>
          <w:bCs/>
          <w:vertAlign w:val="subscript"/>
        </w:rPr>
        <w:t>,</w:t>
      </w:r>
      <w:r w:rsidRPr="005C28E7">
        <w:rPr>
          <w:rFonts w:ascii="Times New Roman" w:hAnsi="Times New Roman"/>
          <w:bCs/>
          <w:i/>
          <w:vertAlign w:val="subscript"/>
        </w:rPr>
        <w:t>t</w:t>
      </w:r>
      <w:proofErr w:type="spellEnd"/>
      <w:r w:rsidRPr="005C28E7">
        <w:rPr>
          <w:rFonts w:ascii="Times New Roman" w:hAnsi="Times New Roman"/>
          <w:bCs/>
        </w:rPr>
        <w:t xml:space="preserve"> is the stock return for firm </w:t>
      </w:r>
      <w:proofErr w:type="spellStart"/>
      <w:r w:rsidRPr="005C28E7">
        <w:rPr>
          <w:rFonts w:ascii="Times New Roman" w:hAnsi="Times New Roman"/>
          <w:bCs/>
          <w:i/>
          <w:iCs/>
        </w:rPr>
        <w:t>i</w:t>
      </w:r>
      <w:proofErr w:type="spellEnd"/>
      <w:r w:rsidRPr="005C28E7">
        <w:rPr>
          <w:rFonts w:ascii="Times New Roman" w:hAnsi="Times New Roman"/>
          <w:bCs/>
        </w:rPr>
        <w:t xml:space="preserve"> in year </w:t>
      </w:r>
      <w:r w:rsidRPr="005C28E7">
        <w:rPr>
          <w:rFonts w:ascii="Times New Roman" w:hAnsi="Times New Roman"/>
          <w:bCs/>
          <w:i/>
          <w:sz w:val="26"/>
          <w:szCs w:val="26"/>
        </w:rPr>
        <w:t>τ</w:t>
      </w:r>
      <w:r w:rsidRPr="005C28E7">
        <w:rPr>
          <w:rFonts w:ascii="Times New Roman" w:hAnsi="Times New Roman"/>
        </w:rPr>
        <w:t xml:space="preserve">; </w:t>
      </w:r>
      <w:proofErr w:type="spellStart"/>
      <w:r w:rsidRPr="005C28E7">
        <w:rPr>
          <w:rFonts w:ascii="Times New Roman" w:hAnsi="Times New Roman"/>
          <w:bCs/>
          <w:i/>
          <w:sz w:val="26"/>
          <w:szCs w:val="26"/>
        </w:rPr>
        <w:t>r</w:t>
      </w:r>
      <w:r w:rsidRPr="005C28E7">
        <w:rPr>
          <w:rFonts w:ascii="Times New Roman" w:hAnsi="Times New Roman"/>
          <w:bCs/>
          <w:i/>
          <w:vertAlign w:val="subscript"/>
        </w:rPr>
        <w:t>f</w:t>
      </w:r>
      <w:r w:rsidRPr="005C28E7">
        <w:rPr>
          <w:rFonts w:ascii="Times New Roman" w:hAnsi="Times New Roman"/>
          <w:bCs/>
          <w:vertAlign w:val="subscript"/>
        </w:rPr>
        <w:t>,</w:t>
      </w:r>
      <w:r w:rsidRPr="005C28E7">
        <w:rPr>
          <w:rFonts w:ascii="Times New Roman" w:hAnsi="Times New Roman"/>
          <w:bCs/>
          <w:i/>
          <w:vertAlign w:val="subscript"/>
        </w:rPr>
        <w:t>t</w:t>
      </w:r>
      <w:proofErr w:type="spellEnd"/>
      <w:r w:rsidRPr="005C28E7">
        <w:rPr>
          <w:rFonts w:ascii="Times New Roman" w:hAnsi="Times New Roman"/>
          <w:bCs/>
        </w:rPr>
        <w:t xml:space="preserve"> denotes the annual risk-free rate in year </w:t>
      </w:r>
      <w:r w:rsidRPr="005C28E7">
        <w:rPr>
          <w:rFonts w:ascii="Times New Roman" w:hAnsi="Times New Roman"/>
          <w:bCs/>
          <w:i/>
          <w:sz w:val="26"/>
          <w:szCs w:val="26"/>
        </w:rPr>
        <w:t>τ</w:t>
      </w:r>
      <w:r w:rsidRPr="005C28E7">
        <w:rPr>
          <w:rFonts w:ascii="Times New Roman" w:hAnsi="Times New Roman"/>
          <w:bCs/>
        </w:rPr>
        <w:t xml:space="preserve">, </w:t>
      </w:r>
      <w:r w:rsidRPr="005C28E7">
        <w:rPr>
          <w:rFonts w:ascii="Times New Roman" w:hAnsi="Times New Roman"/>
        </w:rPr>
        <w:t>proxied by the one-year time deposit interest rate of the Bank of Taiwan</w:t>
      </w:r>
      <w:r w:rsidRPr="005C28E7">
        <w:rPr>
          <w:rFonts w:ascii="Times New Roman" w:hAnsi="Times New Roman"/>
          <w:bCs/>
        </w:rPr>
        <w:t xml:space="preserve">; and </w:t>
      </w:r>
      <w:r w:rsidRPr="005C28E7">
        <w:rPr>
          <w:rFonts w:ascii="Times New Roman" w:hAnsi="Times New Roman"/>
          <w:bCs/>
          <w:i/>
        </w:rPr>
        <w:t>Risk</w:t>
      </w:r>
      <w:r w:rsidRPr="005C28E7">
        <w:rPr>
          <w:rFonts w:ascii="Times New Roman" w:hAnsi="Times New Roman"/>
          <w:bCs/>
        </w:rPr>
        <w:t xml:space="preserve"> is the market risk, which comprises of upside market risk (</w:t>
      </w:r>
      <w:r w:rsidRPr="005C28E7">
        <w:rPr>
          <w:rFonts w:ascii="Times New Roman" w:hAnsi="Times New Roman"/>
          <w:bCs/>
          <w:i/>
          <w:sz w:val="26"/>
          <w:szCs w:val="26"/>
        </w:rPr>
        <w:t>β</w:t>
      </w:r>
      <w:r w:rsidRPr="005C28E7">
        <w:rPr>
          <w:rFonts w:ascii="Times New Roman" w:hAnsi="Times New Roman"/>
          <w:bCs/>
          <w:i/>
          <w:spacing w:val="-40"/>
          <w:vertAlign w:val="subscript"/>
        </w:rPr>
        <w:t xml:space="preserve"> </w:t>
      </w:r>
      <w:proofErr w:type="spellStart"/>
      <w:r w:rsidRPr="005C28E7">
        <w:rPr>
          <w:rFonts w:ascii="Times New Roman" w:hAnsi="Times New Roman"/>
          <w:bCs/>
          <w:i/>
          <w:spacing w:val="-40"/>
          <w:vertAlign w:val="subscript"/>
        </w:rPr>
        <w:t>i</w:t>
      </w:r>
      <w:proofErr w:type="spellEnd"/>
      <w:r w:rsidRPr="005C28E7">
        <w:rPr>
          <w:rFonts w:ascii="Times New Roman" w:hAnsi="Times New Roman"/>
          <w:bCs/>
          <w:spacing w:val="-40"/>
          <w:position w:val="4"/>
          <w:sz w:val="22"/>
          <w:vertAlign w:val="superscript"/>
        </w:rPr>
        <w:t>+</w:t>
      </w:r>
      <w:r w:rsidRPr="005C28E7">
        <w:rPr>
          <w:rFonts w:ascii="Times New Roman" w:hAnsi="Times New Roman"/>
          <w:bCs/>
          <w:sz w:val="12"/>
        </w:rPr>
        <w:t xml:space="preserve"> </w:t>
      </w:r>
      <w:r w:rsidRPr="005C28E7">
        <w:rPr>
          <w:rFonts w:ascii="Times New Roman" w:hAnsi="Times New Roman"/>
          <w:bCs/>
        </w:rPr>
        <w:t>), downside market risk (</w:t>
      </w:r>
      <w:r w:rsidRPr="005C28E7">
        <w:rPr>
          <w:rFonts w:ascii="Times New Roman" w:hAnsi="Times New Roman"/>
          <w:bCs/>
          <w:i/>
          <w:sz w:val="26"/>
          <w:szCs w:val="26"/>
        </w:rPr>
        <w:t>β</w:t>
      </w:r>
      <w:r w:rsidRPr="005C28E7">
        <w:rPr>
          <w:rFonts w:ascii="Times New Roman" w:hAnsi="Times New Roman"/>
          <w:bCs/>
          <w:i/>
          <w:spacing w:val="-40"/>
          <w:vertAlign w:val="subscript"/>
        </w:rPr>
        <w:t xml:space="preserve"> </w:t>
      </w:r>
      <w:proofErr w:type="spellStart"/>
      <w:r w:rsidRPr="005C28E7">
        <w:rPr>
          <w:rFonts w:ascii="Times New Roman" w:hAnsi="Times New Roman"/>
          <w:bCs/>
          <w:i/>
          <w:spacing w:val="-40"/>
          <w:vertAlign w:val="subscript"/>
        </w:rPr>
        <w:t>i</w:t>
      </w:r>
      <w:proofErr w:type="spellEnd"/>
      <w:r w:rsidRPr="005C28E7">
        <w:rPr>
          <w:rFonts w:ascii="Times New Roman" w:hAnsi="Times New Roman"/>
          <w:bCs/>
          <w:spacing w:val="-40"/>
          <w:position w:val="6"/>
          <w:sz w:val="22"/>
          <w:vertAlign w:val="superscript"/>
        </w:rPr>
        <w:t>–</w:t>
      </w:r>
      <w:r w:rsidRPr="005C28E7">
        <w:rPr>
          <w:rFonts w:ascii="Times New Roman" w:hAnsi="Times New Roman"/>
          <w:bCs/>
          <w:sz w:val="12"/>
        </w:rPr>
        <w:t xml:space="preserve"> </w:t>
      </w:r>
      <w:r w:rsidRPr="005C28E7">
        <w:rPr>
          <w:rFonts w:ascii="Times New Roman" w:hAnsi="Times New Roman"/>
          <w:bCs/>
        </w:rPr>
        <w:t>), systematic market risk (</w:t>
      </w:r>
      <w:r w:rsidRPr="005C28E7">
        <w:rPr>
          <w:rFonts w:ascii="Times New Roman" w:hAnsi="Times New Roman"/>
          <w:bCs/>
          <w:i/>
          <w:sz w:val="26"/>
          <w:szCs w:val="26"/>
        </w:rPr>
        <w:t>β</w:t>
      </w:r>
      <w:r w:rsidRPr="005C28E7">
        <w:rPr>
          <w:rFonts w:ascii="Times New Roman" w:hAnsi="Times New Roman"/>
          <w:bCs/>
        </w:rPr>
        <w:t>) and asymmetric market risk (</w:t>
      </w:r>
      <w:proofErr w:type="spellStart"/>
      <w:r w:rsidRPr="005C28E7">
        <w:rPr>
          <w:rFonts w:ascii="Times New Roman" w:hAnsi="Times New Roman"/>
          <w:bCs/>
          <w:i/>
        </w:rPr>
        <w:t>Asy</w:t>
      </w:r>
      <w:proofErr w:type="spellEnd"/>
      <w:r w:rsidRPr="005C28E7">
        <w:rPr>
          <w:rFonts w:ascii="Times New Roman" w:hAnsi="Times New Roman"/>
          <w:bCs/>
          <w:i/>
          <w:sz w:val="26"/>
          <w:szCs w:val="26"/>
        </w:rPr>
        <w:t>β</w:t>
      </w:r>
      <w:r w:rsidRPr="005C28E7">
        <w:rPr>
          <w:rFonts w:ascii="Times New Roman" w:hAnsi="Times New Roman"/>
          <w:bCs/>
        </w:rPr>
        <w:t xml:space="preserve">). The </w:t>
      </w:r>
      <w:proofErr w:type="spellStart"/>
      <w:r w:rsidRPr="005C28E7">
        <w:rPr>
          <w:rFonts w:ascii="Times New Roman" w:hAnsi="Times New Roman"/>
          <w:bCs/>
        </w:rPr>
        <w:t>Fama</w:t>
      </w:r>
      <w:proofErr w:type="spellEnd"/>
      <w:r w:rsidRPr="005C28E7">
        <w:rPr>
          <w:rFonts w:ascii="Times New Roman" w:hAnsi="Times New Roman"/>
          <w:bCs/>
        </w:rPr>
        <w:t>-French factors of market size (</w:t>
      </w:r>
      <w:r w:rsidRPr="005C28E7">
        <w:rPr>
          <w:rFonts w:ascii="Times New Roman" w:hAnsi="Times New Roman"/>
          <w:bCs/>
          <w:i/>
        </w:rPr>
        <w:t>SMB</w:t>
      </w:r>
      <w:r w:rsidRPr="005C28E7">
        <w:rPr>
          <w:rFonts w:ascii="Times New Roman" w:hAnsi="Times New Roman"/>
          <w:bCs/>
        </w:rPr>
        <w:t>) and book-to-market value (</w:t>
      </w:r>
      <w:r w:rsidRPr="005C28E7">
        <w:rPr>
          <w:rFonts w:ascii="Times New Roman" w:hAnsi="Times New Roman"/>
          <w:bCs/>
          <w:i/>
        </w:rPr>
        <w:t>HML</w:t>
      </w:r>
      <w:r w:rsidRPr="005C28E7">
        <w:rPr>
          <w:rFonts w:ascii="Times New Roman" w:hAnsi="Times New Roman"/>
          <w:bCs/>
        </w:rPr>
        <w:t>) ar</w:t>
      </w:r>
      <w:r w:rsidRPr="005C28E7">
        <w:rPr>
          <w:rFonts w:ascii="Times New Roman" w:eastAsia="標楷體" w:hAnsi="Times New Roman"/>
        </w:rPr>
        <w:t xml:space="preserve">e included as the control variables, with their definitions being consistent with those described in </w:t>
      </w:r>
      <w:proofErr w:type="spellStart"/>
      <w:r w:rsidRPr="005C28E7">
        <w:rPr>
          <w:rFonts w:ascii="Times New Roman" w:hAnsi="Times New Roman"/>
        </w:rPr>
        <w:t>Fama</w:t>
      </w:r>
      <w:proofErr w:type="spellEnd"/>
      <w:r w:rsidRPr="005C28E7">
        <w:rPr>
          <w:rFonts w:ascii="Times New Roman" w:hAnsi="Times New Roman"/>
        </w:rPr>
        <w:t xml:space="preserve"> and French (1993). </w:t>
      </w:r>
    </w:p>
    <w:p w14:paraId="056520D5" w14:textId="3B5791EA" w:rsidR="004D5170" w:rsidRPr="005C28E7" w:rsidRDefault="004D5170" w:rsidP="004D5170">
      <w:pPr>
        <w:pStyle w:val="afb"/>
        <w:autoSpaceDE w:val="0"/>
        <w:spacing w:line="480" w:lineRule="auto"/>
        <w:ind w:leftChars="0" w:left="357" w:firstLineChars="200" w:firstLine="480"/>
        <w:jc w:val="both"/>
        <w:rPr>
          <w:rFonts w:ascii="Times New Roman" w:hAnsi="Times New Roman"/>
        </w:rPr>
      </w:pPr>
      <w:r w:rsidRPr="005C28E7">
        <w:rPr>
          <w:rFonts w:ascii="Times New Roman" w:hAnsi="Times New Roman"/>
        </w:rPr>
        <w:t xml:space="preserve">The coefficients, which are reported in Table 4, are found to be 31.03 per cent </w:t>
      </w:r>
      <w:r w:rsidRPr="005C28E7">
        <w:rPr>
          <w:rFonts w:ascii="Times New Roman" w:hAnsi="Times New Roman"/>
        </w:rPr>
        <w:lastRenderedPageBreak/>
        <w:t xml:space="preserve">for downside risk, </w:t>
      </w:r>
      <w:r w:rsidRPr="005C28E7">
        <w:rPr>
          <w:rFonts w:ascii="Times New Roman" w:hAnsi="Times New Roman"/>
          <w:position w:val="2"/>
          <w:sz w:val="16"/>
        </w:rPr>
        <w:t>–</w:t>
      </w:r>
      <w:r w:rsidRPr="005C28E7">
        <w:rPr>
          <w:rFonts w:ascii="Times New Roman" w:hAnsi="Times New Roman"/>
        </w:rPr>
        <w:t xml:space="preserve">29.71 per cent for upside risk, 27.65 per cent for asymmetric risk and 6.68 per cent for market risk. With the exception of upside risk, which is found to be significantly negative, all of the remaining coefficients are found to be significantly and positively different from zero. These results are consistent with the findings of Ang et al. (2006), in which it was suggested that investors will tend to trade at a discount when holding stocks with higher upside risk, whilst demanding a greater risk premium when faced with higher downside risk. </w:t>
      </w:r>
    </w:p>
    <w:p w14:paraId="13A93DE2" w14:textId="77777777" w:rsidR="004D5170" w:rsidRPr="005C28E7" w:rsidRDefault="004D5170" w:rsidP="004D5170">
      <w:pPr>
        <w:pStyle w:val="afb"/>
        <w:autoSpaceDE w:val="0"/>
        <w:spacing w:line="480" w:lineRule="auto"/>
        <w:ind w:leftChars="0" w:left="360"/>
        <w:rPr>
          <w:rFonts w:ascii="Times New Roman" w:hAnsi="Times New Roman"/>
          <w:spacing w:val="-2"/>
        </w:rPr>
      </w:pPr>
      <w:r w:rsidRPr="005C28E7">
        <w:rPr>
          <w:rFonts w:ascii="Times New Roman" w:hAnsi="Times New Roman"/>
        </w:rPr>
        <w:t>&lt;Table 4 is inserted about here&gt;</w:t>
      </w:r>
    </w:p>
    <w:p w14:paraId="5EB7CAE9" w14:textId="189E6E2C" w:rsidR="004D5170" w:rsidRPr="005C28E7" w:rsidRDefault="004D5170" w:rsidP="004D5170">
      <w:pPr>
        <w:pStyle w:val="afb"/>
        <w:autoSpaceDE w:val="0"/>
        <w:spacing w:line="480" w:lineRule="auto"/>
        <w:ind w:leftChars="0" w:left="357" w:firstLineChars="200" w:firstLine="480"/>
        <w:jc w:val="both"/>
        <w:rPr>
          <w:rFonts w:ascii="Times New Roman" w:hAnsi="Times New Roman"/>
        </w:rPr>
      </w:pPr>
      <w:r w:rsidRPr="005C28E7">
        <w:rPr>
          <w:rFonts w:ascii="Times New Roman" w:hAnsi="Times New Roman"/>
        </w:rPr>
        <w:t xml:space="preserve">The results confirm the general supposition that the downside element of risk may well be regarded by investors as the only ‘real’ risk, essentially because most ‘normal’ investors are not punished when faced with potential upside risk. Both </w:t>
      </w:r>
      <w:r w:rsidRPr="005C28E7">
        <w:rPr>
          <w:rFonts w:ascii="Times New Roman" w:hAnsi="Times New Roman"/>
          <w:i/>
        </w:rPr>
        <w:t>SMB</w:t>
      </w:r>
      <w:r w:rsidRPr="005C28E7">
        <w:rPr>
          <w:rFonts w:ascii="Times New Roman" w:hAnsi="Times New Roman"/>
        </w:rPr>
        <w:t xml:space="preserve"> and </w:t>
      </w:r>
      <w:r w:rsidRPr="005C28E7">
        <w:rPr>
          <w:rFonts w:ascii="Times New Roman" w:hAnsi="Times New Roman"/>
          <w:i/>
        </w:rPr>
        <w:t>HML</w:t>
      </w:r>
      <w:r w:rsidRPr="005C28E7">
        <w:rPr>
          <w:rFonts w:ascii="Times New Roman" w:hAnsi="Times New Roman"/>
        </w:rPr>
        <w:t xml:space="preserve"> are also found to have positive correlations with the cost of capital, which is consistent with the findings of </w:t>
      </w:r>
      <w:proofErr w:type="spellStart"/>
      <w:r w:rsidRPr="005C28E7">
        <w:rPr>
          <w:rFonts w:ascii="Times New Roman" w:hAnsi="Times New Roman"/>
        </w:rPr>
        <w:t>Fama</w:t>
      </w:r>
      <w:proofErr w:type="spellEnd"/>
      <w:r w:rsidRPr="005C28E7">
        <w:rPr>
          <w:rFonts w:ascii="Times New Roman" w:hAnsi="Times New Roman"/>
        </w:rPr>
        <w:t xml:space="preserve"> and French (1993).</w:t>
      </w:r>
    </w:p>
    <w:p w14:paraId="4BF0353E" w14:textId="77777777" w:rsidR="004D5170" w:rsidRPr="005C28E7" w:rsidRDefault="004D5170" w:rsidP="004D5170">
      <w:pPr>
        <w:spacing w:before="120" w:line="480" w:lineRule="auto"/>
        <w:jc w:val="both"/>
        <w:rPr>
          <w:b/>
          <w:spacing w:val="-2"/>
          <w:sz w:val="26"/>
          <w:szCs w:val="26"/>
        </w:rPr>
      </w:pPr>
      <w:r w:rsidRPr="005C28E7">
        <w:rPr>
          <w:rFonts w:eastAsia="標楷體"/>
          <w:b/>
          <w:spacing w:val="-2"/>
          <w:sz w:val="26"/>
          <w:szCs w:val="26"/>
        </w:rPr>
        <w:t>3.3</w:t>
      </w:r>
      <w:r w:rsidRPr="005C28E7">
        <w:rPr>
          <w:rFonts w:eastAsia="標楷體"/>
          <w:b/>
          <w:spacing w:val="-2"/>
          <w:sz w:val="26"/>
          <w:szCs w:val="26"/>
        </w:rPr>
        <w:tab/>
        <w:t>The Effects of Accounting Quality on the Cost of Capital through Risk</w:t>
      </w:r>
    </w:p>
    <w:p w14:paraId="59377B3E" w14:textId="77777777" w:rsidR="004D5170" w:rsidRPr="005C28E7" w:rsidRDefault="004D5170" w:rsidP="004D5170">
      <w:pPr>
        <w:autoSpaceDE w:val="0"/>
        <w:spacing w:line="480" w:lineRule="auto"/>
        <w:ind w:left="357" w:firstLineChars="200" w:firstLine="480"/>
        <w:jc w:val="both"/>
      </w:pPr>
      <w:r w:rsidRPr="005C28E7">
        <w:rPr>
          <w:rFonts w:eastAsia="標楷體"/>
        </w:rPr>
        <w:t xml:space="preserve">The regression coefficient on </w:t>
      </w:r>
      <w:r w:rsidRPr="005C28E7">
        <w:rPr>
          <w:rFonts w:eastAsia="標楷體"/>
          <w:i/>
        </w:rPr>
        <w:t>AQ</w:t>
      </w:r>
      <w:r w:rsidRPr="005C28E7">
        <w:rPr>
          <w:rFonts w:eastAsia="標楷體"/>
        </w:rPr>
        <w:t>(</w:t>
      </w:r>
      <w:r w:rsidRPr="005C28E7">
        <w:rPr>
          <w:rFonts w:eastAsia="標楷體"/>
          <w:i/>
          <w:sz w:val="26"/>
          <w:szCs w:val="26"/>
        </w:rPr>
        <w:t>δ</w:t>
      </w:r>
      <w:r w:rsidRPr="005C28E7">
        <w:rPr>
          <w:noProof/>
          <w:vertAlign w:val="subscript"/>
          <w:lang w:eastAsia="en-US"/>
        </w:rPr>
        <w:t>1</w:t>
      </w:r>
      <w:r w:rsidRPr="005C28E7">
        <w:t>)</w:t>
      </w:r>
      <w:r w:rsidRPr="005C28E7">
        <w:rPr>
          <w:rFonts w:eastAsia="標楷體"/>
        </w:rPr>
        <w:t xml:space="preserve"> for each firm is used to evaluate the risk per unit of accounting quality, with the results having been shown earlier in Table 4. Similarly, the regression coefficient, </w:t>
      </w:r>
      <w:r w:rsidRPr="005C28E7">
        <w:rPr>
          <w:rFonts w:eastAsia="標楷體"/>
          <w:i/>
          <w:sz w:val="26"/>
          <w:szCs w:val="26"/>
        </w:rPr>
        <w:t>μ</w:t>
      </w:r>
      <w:r w:rsidRPr="005C28E7">
        <w:rPr>
          <w:noProof/>
          <w:vertAlign w:val="subscript"/>
          <w:lang w:eastAsia="en-US"/>
        </w:rPr>
        <w:t>1</w:t>
      </w:r>
      <w:r w:rsidRPr="005C28E7">
        <w:t xml:space="preserve">, </w:t>
      </w:r>
      <w:r w:rsidRPr="005C28E7">
        <w:rPr>
          <w:rFonts w:eastAsia="標楷體"/>
        </w:rPr>
        <w:t>is used to evaluate the cost of capital per unit of risk, as shown earlier in Table 5. The averag</w:t>
      </w:r>
      <w:r w:rsidRPr="005C28E7">
        <w:t xml:space="preserve">e risk per unit of accounting quality is found to be 28.03 per cent for downside risk, 11.63 per cent for upside risk, </w:t>
      </w:r>
      <w:r w:rsidRPr="005C28E7">
        <w:lastRenderedPageBreak/>
        <w:t xml:space="preserve">16.63 per cent for asymmetric risk and 24.81 per cent for market risk. </w:t>
      </w:r>
    </w:p>
    <w:p w14:paraId="407FCCB2" w14:textId="42D22A4B" w:rsidR="004D5170" w:rsidRPr="005C28E7" w:rsidRDefault="004D5170" w:rsidP="00E35845">
      <w:pPr>
        <w:spacing w:line="480" w:lineRule="auto"/>
        <w:ind w:leftChars="177" w:left="425" w:firstLineChars="200" w:firstLine="480"/>
        <w:jc w:val="both"/>
        <w:rPr>
          <w:bCs/>
        </w:rPr>
      </w:pPr>
      <w:r w:rsidRPr="005C28E7">
        <w:t>Furthermore, the annual average cost of capital is found to be 31.03 per cent for downside risk, –29.71 per cent for upside risk, 27.65 per cent for asymmetric market risk and 6.68 per cent for market risk. F</w:t>
      </w:r>
      <w:r w:rsidRPr="005C28E7">
        <w:rPr>
          <w:bCs/>
        </w:rPr>
        <w:t xml:space="preserve">ollowing Ng (2011), the cost of capital for firm </w:t>
      </w:r>
      <w:proofErr w:type="spellStart"/>
      <w:r w:rsidRPr="005C28E7">
        <w:rPr>
          <w:bCs/>
          <w:i/>
          <w:iCs/>
        </w:rPr>
        <w:t>i</w:t>
      </w:r>
      <w:proofErr w:type="spellEnd"/>
      <w:r w:rsidRPr="005C28E7">
        <w:rPr>
          <w:bCs/>
        </w:rPr>
        <w:t>, based upon accounting quality through risk</w:t>
      </w:r>
      <w:r w:rsidRPr="005C28E7">
        <w:rPr>
          <w:bCs/>
          <w:iCs/>
        </w:rPr>
        <w:t xml:space="preserve">, </w:t>
      </w:r>
      <w:r w:rsidRPr="005C28E7">
        <w:rPr>
          <w:bCs/>
        </w:rPr>
        <w:t xml:space="preserve">is defined as the product of the risk per unit of accounting quality, </w:t>
      </w:r>
      <w:r w:rsidRPr="005C28E7">
        <w:rPr>
          <w:rFonts w:eastAsia="標楷體"/>
          <w:i/>
          <w:sz w:val="26"/>
          <w:szCs w:val="26"/>
        </w:rPr>
        <w:t>δ</w:t>
      </w:r>
      <w:r w:rsidRPr="005C28E7">
        <w:rPr>
          <w:noProof/>
          <w:vertAlign w:val="subscript"/>
          <w:lang w:eastAsia="en-US"/>
        </w:rPr>
        <w:t>1</w:t>
      </w:r>
      <w:r w:rsidRPr="005C28E7">
        <w:t xml:space="preserve"> in Equation (4), </w:t>
      </w:r>
      <w:r w:rsidRPr="005C28E7">
        <w:rPr>
          <w:bCs/>
        </w:rPr>
        <w:t xml:space="preserve">multiplied by the cost of capital per unit of risk, </w:t>
      </w:r>
      <w:r w:rsidRPr="005C28E7">
        <w:rPr>
          <w:rFonts w:eastAsia="標楷體"/>
          <w:i/>
          <w:sz w:val="26"/>
          <w:szCs w:val="26"/>
        </w:rPr>
        <w:t>μ</w:t>
      </w:r>
      <w:r w:rsidRPr="005C28E7">
        <w:rPr>
          <w:noProof/>
          <w:vertAlign w:val="subscript"/>
          <w:lang w:eastAsia="en-US"/>
        </w:rPr>
        <w:t>1</w:t>
      </w:r>
      <w:r w:rsidRPr="005C28E7">
        <w:t xml:space="preserve"> in Equation (5),</w:t>
      </w:r>
      <w:r w:rsidRPr="005C28E7">
        <w:rPr>
          <w:bCs/>
        </w:rPr>
        <w:t xml:space="preserve"> in each firm; this is obtained from a two-stage analysis, the results of which are reported in Table 5. </w:t>
      </w:r>
    </w:p>
    <w:p w14:paraId="01DC93F9" w14:textId="77777777" w:rsidR="004D5170" w:rsidRPr="005C28E7" w:rsidRDefault="004D5170" w:rsidP="004D5170">
      <w:pPr>
        <w:pStyle w:val="afb"/>
        <w:spacing w:line="480" w:lineRule="auto"/>
        <w:ind w:leftChars="0" w:left="360"/>
        <w:rPr>
          <w:rFonts w:ascii="Times New Roman" w:hAnsi="Times New Roman"/>
        </w:rPr>
      </w:pPr>
      <w:r w:rsidRPr="005C28E7">
        <w:rPr>
          <w:rFonts w:ascii="Times New Roman" w:hAnsi="Times New Roman"/>
        </w:rPr>
        <w:t>&lt;Table 5 is inserted about here&gt;</w:t>
      </w:r>
    </w:p>
    <w:p w14:paraId="062559A1" w14:textId="2D9C93BD" w:rsidR="004D5170" w:rsidRPr="005C28E7" w:rsidRDefault="004D5170" w:rsidP="004D5170">
      <w:pPr>
        <w:pStyle w:val="afb"/>
        <w:autoSpaceDE w:val="0"/>
        <w:spacing w:line="480" w:lineRule="auto"/>
        <w:ind w:leftChars="0" w:left="357" w:firstLineChars="200" w:firstLine="480"/>
        <w:jc w:val="both"/>
        <w:rPr>
          <w:rFonts w:ascii="Times New Roman" w:hAnsi="Times New Roman"/>
        </w:rPr>
      </w:pPr>
      <w:r w:rsidRPr="005C28E7">
        <w:rPr>
          <w:rFonts w:ascii="Times New Roman" w:hAnsi="Times New Roman"/>
          <w:bCs/>
        </w:rPr>
        <w:t xml:space="preserve">As shown in Table 5, the values are found to be </w:t>
      </w:r>
      <w:r w:rsidRPr="005C28E7">
        <w:rPr>
          <w:rFonts w:ascii="Times New Roman" w:hAnsi="Times New Roman"/>
        </w:rPr>
        <w:t xml:space="preserve">8.69 per cent for downside risk, </w:t>
      </w:r>
      <w:r w:rsidRPr="005C28E7">
        <w:rPr>
          <w:rFonts w:ascii="Times New Roman" w:hAnsi="Times New Roman"/>
          <w:position w:val="2"/>
          <w:sz w:val="16"/>
        </w:rPr>
        <w:t>–</w:t>
      </w:r>
      <w:r w:rsidRPr="005C28E7">
        <w:rPr>
          <w:rFonts w:ascii="Times New Roman" w:hAnsi="Times New Roman"/>
        </w:rPr>
        <w:t>3.45 per cent for upside risk, 4.59 per cent for asymmetric risk and 1.65 per cent for market risk. These findings provide further evidence that when the impact of asymmetric risk is ignored, the effects of accounting quality on the cost of capital through risk will be underestimated.</w:t>
      </w:r>
    </w:p>
    <w:bookmarkEnd w:id="4"/>
    <w:bookmarkEnd w:id="5"/>
    <w:p w14:paraId="76539110" w14:textId="17BFAA11" w:rsidR="00536B7D" w:rsidRPr="009C5420" w:rsidRDefault="00536B7D" w:rsidP="009C5420">
      <w:pPr>
        <w:pStyle w:val="afb"/>
        <w:numPr>
          <w:ilvl w:val="0"/>
          <w:numId w:val="7"/>
        </w:numPr>
        <w:spacing w:line="480" w:lineRule="auto"/>
        <w:ind w:leftChars="0"/>
        <w:jc w:val="both"/>
        <w:rPr>
          <w:rFonts w:ascii="Times New Roman" w:hAnsi="Times New Roman"/>
          <w:sz w:val="28"/>
          <w:szCs w:val="28"/>
        </w:rPr>
      </w:pPr>
      <w:r w:rsidRPr="009C5420">
        <w:rPr>
          <w:rFonts w:ascii="Times New Roman" w:hAnsi="Times New Roman"/>
          <w:sz w:val="28"/>
          <w:szCs w:val="28"/>
        </w:rPr>
        <w:t>DISCUSSION</w:t>
      </w:r>
    </w:p>
    <w:p w14:paraId="278125CF" w14:textId="1962459E" w:rsidR="004D5170" w:rsidRPr="005C28E7" w:rsidRDefault="004D5170" w:rsidP="00E35845">
      <w:pPr>
        <w:spacing w:line="480" w:lineRule="auto"/>
        <w:ind w:firstLineChars="200" w:firstLine="504"/>
        <w:jc w:val="both"/>
        <w:rPr>
          <w:sz w:val="28"/>
          <w:szCs w:val="28"/>
        </w:rPr>
      </w:pPr>
      <w:r w:rsidRPr="005C28E7">
        <w:rPr>
          <w:rFonts w:eastAsia="CMR12"/>
        </w:rPr>
        <w:t xml:space="preserve">The theoretical studies of </w:t>
      </w:r>
      <w:r w:rsidRPr="005C28E7">
        <w:rPr>
          <w:kern w:val="0"/>
        </w:rPr>
        <w:t>Lambert et al. (2007)</w:t>
      </w:r>
      <w:r w:rsidRPr="005C28E7">
        <w:rPr>
          <w:rFonts w:eastAsia="CMR12"/>
        </w:rPr>
        <w:t xml:space="preserve"> and </w:t>
      </w:r>
      <w:r w:rsidRPr="005C28E7">
        <w:rPr>
          <w:kern w:val="0"/>
        </w:rPr>
        <w:t xml:space="preserve">Armstrong et al. (2013) </w:t>
      </w:r>
      <w:r w:rsidRPr="005C28E7">
        <w:rPr>
          <w:rFonts w:eastAsia="CMR12"/>
        </w:rPr>
        <w:t xml:space="preserve">indicate that an asymmetric effect may exist in the linkage between accounting quality and the cost of capital. Using data on </w:t>
      </w:r>
      <w:r w:rsidRPr="005C28E7">
        <w:t>firms listed on the TSE, this</w:t>
      </w:r>
      <w:r w:rsidRPr="005C28E7">
        <w:rPr>
          <w:rFonts w:eastAsia="CMR12"/>
        </w:rPr>
        <w:t xml:space="preserve"> study suggest that accounting quality has a positive association with asymmetric market risk, whilst </w:t>
      </w:r>
      <w:r w:rsidRPr="005C28E7">
        <w:rPr>
          <w:rFonts w:eastAsia="CMR12"/>
        </w:rPr>
        <w:lastRenderedPageBreak/>
        <w:t xml:space="preserve">asymmetric market risk is, in turn, found to be positively related to the cost of capital. </w:t>
      </w:r>
      <w:r w:rsidRPr="005C28E7">
        <w:rPr>
          <w:rFonts w:eastAsia="CMR12"/>
          <w:kern w:val="0"/>
        </w:rPr>
        <w:t>This effectively verifies the prior supposition that the effects of accounting quality on the cost of capital through risk will be undervalued when ignoring the asymmetric effects.</w:t>
      </w:r>
    </w:p>
    <w:p w14:paraId="1B576482" w14:textId="4350D899" w:rsidR="00536B7D" w:rsidRPr="005C28E7" w:rsidRDefault="00536B7D" w:rsidP="00536B7D">
      <w:pPr>
        <w:spacing w:line="480" w:lineRule="auto"/>
        <w:jc w:val="both"/>
        <w:rPr>
          <w:sz w:val="28"/>
          <w:szCs w:val="28"/>
        </w:rPr>
      </w:pPr>
      <w:r w:rsidRPr="005C28E7">
        <w:rPr>
          <w:sz w:val="28"/>
          <w:szCs w:val="28"/>
        </w:rPr>
        <w:t xml:space="preserve">CONCLUSION </w:t>
      </w:r>
    </w:p>
    <w:p w14:paraId="704EA01D" w14:textId="48684527" w:rsidR="00450734" w:rsidRPr="005C28E7" w:rsidRDefault="00450734" w:rsidP="00450734">
      <w:pPr>
        <w:spacing w:line="480" w:lineRule="auto"/>
        <w:jc w:val="both"/>
      </w:pPr>
      <w:r w:rsidRPr="005C28E7">
        <w:tab/>
      </w:r>
      <w:r w:rsidR="004D5170" w:rsidRPr="005C28E7">
        <w:rPr>
          <w:rFonts w:eastAsia="CMR12"/>
        </w:rPr>
        <w:t>T</w:t>
      </w:r>
      <w:r w:rsidR="004D5170" w:rsidRPr="005C28E7">
        <w:rPr>
          <w:rFonts w:eastAsia="微軟正黑體"/>
        </w:rPr>
        <w:t xml:space="preserve">he </w:t>
      </w:r>
      <w:r w:rsidR="00435941" w:rsidRPr="005C28E7">
        <w:rPr>
          <w:rFonts w:eastAsia="CMR12"/>
        </w:rPr>
        <w:t>findings have</w:t>
      </w:r>
      <w:r w:rsidRPr="005C28E7">
        <w:rPr>
          <w:rFonts w:eastAsia="CMR12"/>
        </w:rPr>
        <w:t xml:space="preserve"> the following implications for both investors and academic researchers</w:t>
      </w:r>
      <w:r w:rsidR="001E6DD6" w:rsidRPr="005C28E7">
        <w:rPr>
          <w:rFonts w:eastAsia="CMR12"/>
        </w:rPr>
        <w:t xml:space="preserve"> alike</w:t>
      </w:r>
      <w:r w:rsidRPr="005C28E7">
        <w:rPr>
          <w:rFonts w:eastAsia="CMR12"/>
        </w:rPr>
        <w:t>. First</w:t>
      </w:r>
      <w:r w:rsidR="00435941" w:rsidRPr="005C28E7">
        <w:rPr>
          <w:rFonts w:eastAsia="CMR12"/>
        </w:rPr>
        <w:t>ly</w:t>
      </w:r>
      <w:r w:rsidRPr="005C28E7">
        <w:rPr>
          <w:rFonts w:eastAsia="CMR12"/>
        </w:rPr>
        <w:t xml:space="preserve">, </w:t>
      </w:r>
      <w:r w:rsidR="007D0466" w:rsidRPr="005C28E7">
        <w:rPr>
          <w:rStyle w:val="ft5"/>
          <w:iCs/>
        </w:rPr>
        <w:t>in wealth and portfolio management,</w:t>
      </w:r>
      <w:r w:rsidR="007D0466" w:rsidRPr="005C28E7">
        <w:t xml:space="preserve"> </w:t>
      </w:r>
      <w:r w:rsidRPr="005C28E7">
        <w:t>a</w:t>
      </w:r>
      <w:r w:rsidRPr="005C28E7">
        <w:rPr>
          <w:rStyle w:val="ft5"/>
          <w:iCs/>
        </w:rPr>
        <w:t xml:space="preserve">symmetric market risk is an important concept for investors </w:t>
      </w:r>
      <w:r w:rsidR="007D0466" w:rsidRPr="005C28E7">
        <w:rPr>
          <w:rStyle w:val="ft5"/>
          <w:iCs/>
        </w:rPr>
        <w:t>with</w:t>
      </w:r>
      <w:r w:rsidRPr="005C28E7">
        <w:rPr>
          <w:rStyle w:val="ft5"/>
          <w:iCs/>
        </w:rPr>
        <w:t xml:space="preserve"> symmetric</w:t>
      </w:r>
      <w:r w:rsidR="007D0466" w:rsidRPr="005C28E7">
        <w:rPr>
          <w:rStyle w:val="ft5"/>
          <w:iCs/>
        </w:rPr>
        <w:t>al</w:t>
      </w:r>
      <w:r w:rsidRPr="005C28E7">
        <w:rPr>
          <w:rStyle w:val="ft5"/>
          <w:iCs/>
        </w:rPr>
        <w:t xml:space="preserve"> beliefs</w:t>
      </w:r>
      <w:r w:rsidR="007D0466" w:rsidRPr="005C28E7">
        <w:rPr>
          <w:rStyle w:val="ft5"/>
          <w:iCs/>
        </w:rPr>
        <w:t xml:space="preserve">; </w:t>
      </w:r>
      <w:r w:rsidR="001E6DD6" w:rsidRPr="005C28E7">
        <w:rPr>
          <w:rStyle w:val="ft5"/>
          <w:iCs/>
        </w:rPr>
        <w:t>based upon</w:t>
      </w:r>
      <w:r w:rsidRPr="005C28E7">
        <w:t xml:space="preserve"> asymmetric considerations</w:t>
      </w:r>
      <w:r w:rsidR="007D0466" w:rsidRPr="005C28E7">
        <w:t>,</w:t>
      </w:r>
      <w:r w:rsidRPr="005C28E7">
        <w:t xml:space="preserve"> when investors </w:t>
      </w:r>
      <w:r w:rsidR="007D0466" w:rsidRPr="005C28E7">
        <w:t xml:space="preserve">are </w:t>
      </w:r>
      <w:r w:rsidRPr="005C28E7">
        <w:t>face</w:t>
      </w:r>
      <w:r w:rsidR="007D0466" w:rsidRPr="005C28E7">
        <w:t>d with</w:t>
      </w:r>
      <w:r w:rsidRPr="005C28E7">
        <w:t xml:space="preserve"> risk, </w:t>
      </w:r>
      <w:r w:rsidRPr="005C28E7">
        <w:rPr>
          <w:rStyle w:val="ft5"/>
          <w:iCs/>
        </w:rPr>
        <w:t>the</w:t>
      </w:r>
      <w:r w:rsidR="007D0466" w:rsidRPr="005C28E7">
        <w:rPr>
          <w:rStyle w:val="ft5"/>
          <w:iCs/>
        </w:rPr>
        <w:t>y</w:t>
      </w:r>
      <w:r w:rsidRPr="005C28E7">
        <w:rPr>
          <w:rStyle w:val="ft5"/>
          <w:iCs/>
        </w:rPr>
        <w:t xml:space="preserve"> should </w:t>
      </w:r>
      <w:r w:rsidR="007D0466" w:rsidRPr="005C28E7">
        <w:rPr>
          <w:rStyle w:val="ft5"/>
          <w:iCs/>
        </w:rPr>
        <w:t xml:space="preserve">consider </w:t>
      </w:r>
      <w:r w:rsidRPr="005C28E7">
        <w:rPr>
          <w:rStyle w:val="ft5"/>
          <w:iCs/>
        </w:rPr>
        <w:t>switch</w:t>
      </w:r>
      <w:r w:rsidR="007D0466" w:rsidRPr="005C28E7">
        <w:rPr>
          <w:rStyle w:val="ft5"/>
          <w:iCs/>
        </w:rPr>
        <w:t>ing</w:t>
      </w:r>
      <w:r w:rsidRPr="005C28E7">
        <w:rPr>
          <w:rStyle w:val="ft5"/>
          <w:iCs/>
        </w:rPr>
        <w:t xml:space="preserve"> their securit</w:t>
      </w:r>
      <w:r w:rsidR="007D0466" w:rsidRPr="005C28E7">
        <w:rPr>
          <w:rStyle w:val="ft5"/>
          <w:iCs/>
        </w:rPr>
        <w:t>ies</w:t>
      </w:r>
      <w:r w:rsidRPr="005C28E7">
        <w:rPr>
          <w:rStyle w:val="ft5"/>
          <w:iCs/>
        </w:rPr>
        <w:t xml:space="preserve"> holdings </w:t>
      </w:r>
      <w:r w:rsidR="007B6644" w:rsidRPr="005C28E7">
        <w:rPr>
          <w:rStyle w:val="ft5"/>
          <w:iCs/>
        </w:rPr>
        <w:t>accord to</w:t>
      </w:r>
      <w:r w:rsidRPr="005C28E7">
        <w:rPr>
          <w:rStyle w:val="ft5"/>
          <w:iCs/>
        </w:rPr>
        <w:t xml:space="preserve"> their </w:t>
      </w:r>
      <w:r w:rsidR="007D0466" w:rsidRPr="005C28E7">
        <w:rPr>
          <w:rStyle w:val="ft5"/>
          <w:iCs/>
        </w:rPr>
        <w:t xml:space="preserve">attitude to such </w:t>
      </w:r>
      <w:r w:rsidRPr="005C28E7">
        <w:rPr>
          <w:rStyle w:val="ft5"/>
          <w:iCs/>
        </w:rPr>
        <w:t xml:space="preserve">risk. </w:t>
      </w:r>
      <w:r w:rsidR="00435941" w:rsidRPr="005C28E7">
        <w:t>Secondly</w:t>
      </w:r>
      <w:r w:rsidRPr="005C28E7">
        <w:t xml:space="preserve">, for academic researchers, </w:t>
      </w:r>
      <w:r w:rsidR="00E35845" w:rsidRPr="005C28E7">
        <w:t>the paper</w:t>
      </w:r>
      <w:r w:rsidRPr="005C28E7">
        <w:t xml:space="preserve"> provide</w:t>
      </w:r>
      <w:r w:rsidR="00E35845" w:rsidRPr="005C28E7">
        <w:t>s</w:t>
      </w:r>
      <w:r w:rsidRPr="005C28E7">
        <w:t xml:space="preserve"> </w:t>
      </w:r>
      <w:r w:rsidR="007D0466" w:rsidRPr="005C28E7">
        <w:t>early</w:t>
      </w:r>
      <w:r w:rsidRPr="005C28E7">
        <w:t xml:space="preserve"> evidence </w:t>
      </w:r>
      <w:r w:rsidR="007D0466" w:rsidRPr="005C28E7">
        <w:t xml:space="preserve">to show </w:t>
      </w:r>
      <w:r w:rsidRPr="005C28E7">
        <w:t>that the effect of risk on accounting quality is likely to originate from downside risk, rather than upside risk</w:t>
      </w:r>
      <w:r w:rsidR="007D0466" w:rsidRPr="005C28E7">
        <w:t xml:space="preserve">, with </w:t>
      </w:r>
      <w:r w:rsidRPr="005C28E7">
        <w:t xml:space="preserve">asymmetric market risk </w:t>
      </w:r>
      <w:r w:rsidR="007D0466" w:rsidRPr="005C28E7">
        <w:t>potentially</w:t>
      </w:r>
      <w:r w:rsidRPr="005C28E7">
        <w:t xml:space="preserve"> play</w:t>
      </w:r>
      <w:r w:rsidR="007D0466" w:rsidRPr="005C28E7">
        <w:t>ing</w:t>
      </w:r>
      <w:r w:rsidRPr="005C28E7">
        <w:t xml:space="preserve"> an important role in </w:t>
      </w:r>
      <w:r w:rsidR="007D0466" w:rsidRPr="005C28E7">
        <w:t xml:space="preserve">terms of </w:t>
      </w:r>
      <w:r w:rsidRPr="005C28E7">
        <w:t xml:space="preserve">shaping </w:t>
      </w:r>
      <w:r w:rsidR="007D0466" w:rsidRPr="005C28E7">
        <w:t xml:space="preserve">the </w:t>
      </w:r>
      <w:r w:rsidRPr="005C28E7">
        <w:t>financial reporting behavior</w:t>
      </w:r>
      <w:r w:rsidR="007D0466" w:rsidRPr="005C28E7">
        <w:t xml:space="preserve"> of managers</w:t>
      </w:r>
      <w:r w:rsidRPr="005C28E7">
        <w:t>.</w:t>
      </w:r>
    </w:p>
    <w:p w14:paraId="674ED55E" w14:textId="5680580C" w:rsidR="007D0466" w:rsidRPr="005C28E7" w:rsidRDefault="00450734" w:rsidP="007D0466">
      <w:pPr>
        <w:spacing w:line="480" w:lineRule="auto"/>
        <w:jc w:val="both"/>
        <w:rPr>
          <w:sz w:val="26"/>
          <w:szCs w:val="26"/>
        </w:rPr>
      </w:pPr>
      <w:r w:rsidRPr="005C28E7">
        <w:tab/>
      </w:r>
      <w:r w:rsidR="00E35845" w:rsidRPr="005C28E7">
        <w:rPr>
          <w:sz w:val="26"/>
          <w:szCs w:val="26"/>
        </w:rPr>
        <w:t>One of the limitations of this</w:t>
      </w:r>
      <w:r w:rsidR="00DB7007" w:rsidRPr="005C28E7">
        <w:rPr>
          <w:sz w:val="26"/>
          <w:szCs w:val="26"/>
        </w:rPr>
        <w:t xml:space="preserve"> research is that market risk is only one of many potential linkages between accounting quality and cost of capital</w:t>
      </w:r>
      <w:r w:rsidR="00684ABE" w:rsidRPr="005C28E7">
        <w:t>; thus, a</w:t>
      </w:r>
      <w:r w:rsidR="00435941" w:rsidRPr="005C28E7">
        <w:t xml:space="preserve">s </w:t>
      </w:r>
      <w:r w:rsidR="00684ABE" w:rsidRPr="005C28E7">
        <w:t>noted by</w:t>
      </w:r>
      <w:r w:rsidR="00F518E7" w:rsidRPr="005C28E7">
        <w:t xml:space="preserve"> Ng </w:t>
      </w:r>
      <w:r w:rsidR="00DD5AC1" w:rsidRPr="005C28E7">
        <w:t>(2011)</w:t>
      </w:r>
      <w:r w:rsidRPr="005C28E7">
        <w:t xml:space="preserve">, </w:t>
      </w:r>
      <w:r w:rsidR="007B6644" w:rsidRPr="005C28E7">
        <w:t>no attempt should be made</w:t>
      </w:r>
      <w:r w:rsidRPr="005C28E7">
        <w:t xml:space="preserve"> </w:t>
      </w:r>
      <w:r w:rsidR="007B6644" w:rsidRPr="005C28E7">
        <w:t>to</w:t>
      </w:r>
      <w:r w:rsidRPr="005C28E7">
        <w:t xml:space="preserve"> generalize</w:t>
      </w:r>
      <w:r w:rsidR="007B6644" w:rsidRPr="005C28E7">
        <w:t xml:space="preserve"> the results</w:t>
      </w:r>
      <w:r w:rsidRPr="005C28E7">
        <w:t xml:space="preserve"> to the relation</w:t>
      </w:r>
      <w:r w:rsidR="00684ABE" w:rsidRPr="005C28E7">
        <w:t>ship</w:t>
      </w:r>
      <w:r w:rsidRPr="005C28E7">
        <w:t xml:space="preserve"> between </w:t>
      </w:r>
      <w:r w:rsidR="00684ABE" w:rsidRPr="005C28E7">
        <w:t xml:space="preserve">accounting quality and the </w:t>
      </w:r>
      <w:r w:rsidRPr="005C28E7">
        <w:t xml:space="preserve">overall cost of capital, </w:t>
      </w:r>
      <w:r w:rsidR="00DB7007" w:rsidRPr="005C28E7">
        <w:rPr>
          <w:sz w:val="26"/>
          <w:szCs w:val="26"/>
        </w:rPr>
        <w:t>because there are many other factors that may affect the cost of capital</w:t>
      </w:r>
      <w:r w:rsidRPr="005C28E7">
        <w:t xml:space="preserve">. </w:t>
      </w:r>
      <w:r w:rsidR="00435941" w:rsidRPr="005C28E7">
        <w:t>Finally</w:t>
      </w:r>
      <w:r w:rsidRPr="005C28E7">
        <w:t xml:space="preserve">, </w:t>
      </w:r>
      <w:r w:rsidR="00435941" w:rsidRPr="005C28E7">
        <w:t xml:space="preserve">if appropriate data are </w:t>
      </w:r>
      <w:r w:rsidR="00435941" w:rsidRPr="005C28E7">
        <w:lastRenderedPageBreak/>
        <w:t xml:space="preserve">available, </w:t>
      </w:r>
      <w:r w:rsidRPr="005C28E7">
        <w:t xml:space="preserve">the use of other proxies </w:t>
      </w:r>
      <w:r w:rsidR="00435941" w:rsidRPr="005C28E7">
        <w:t>for</w:t>
      </w:r>
      <w:r w:rsidRPr="005C28E7">
        <w:t xml:space="preserve"> accounting quality is </w:t>
      </w:r>
      <w:r w:rsidR="007B6644" w:rsidRPr="005C28E7">
        <w:t xml:space="preserve">strongly </w:t>
      </w:r>
      <w:r w:rsidRPr="005C28E7">
        <w:t xml:space="preserve">encouraged </w:t>
      </w:r>
      <w:r w:rsidR="00435941" w:rsidRPr="005C28E7">
        <w:t xml:space="preserve">in order </w:t>
      </w:r>
      <w:r w:rsidRPr="005C28E7">
        <w:t>to strengthen the empirical results</w:t>
      </w:r>
      <w:r w:rsidR="00435941" w:rsidRPr="005C28E7">
        <w:t xml:space="preserve"> reported in this study</w:t>
      </w:r>
      <w:r w:rsidR="004C4CC1" w:rsidRPr="005C28E7">
        <w:t>.</w:t>
      </w:r>
      <w:r w:rsidR="004C4CC1" w:rsidRPr="005C28E7">
        <w:rPr>
          <w:sz w:val="26"/>
          <w:szCs w:val="26"/>
        </w:rPr>
        <w:t xml:space="preserve"> </w:t>
      </w:r>
      <w:r w:rsidR="007D0466" w:rsidRPr="005C28E7">
        <w:rPr>
          <w:sz w:val="26"/>
          <w:szCs w:val="26"/>
        </w:rPr>
        <w:br w:type="page"/>
      </w:r>
    </w:p>
    <w:p w14:paraId="30E28C93" w14:textId="7E37A51C" w:rsidR="00450734" w:rsidRPr="005C28E7" w:rsidRDefault="00450734" w:rsidP="00DD6790">
      <w:pPr>
        <w:spacing w:line="480" w:lineRule="auto"/>
        <w:jc w:val="both"/>
        <w:rPr>
          <w:sz w:val="28"/>
          <w:szCs w:val="26"/>
        </w:rPr>
      </w:pPr>
      <w:r w:rsidRPr="005C28E7">
        <w:rPr>
          <w:sz w:val="28"/>
          <w:szCs w:val="26"/>
        </w:rPr>
        <w:lastRenderedPageBreak/>
        <w:t>REFERENCES</w:t>
      </w:r>
    </w:p>
    <w:p w14:paraId="127718D6" w14:textId="29423BC8" w:rsidR="00450734" w:rsidRPr="005C28E7" w:rsidRDefault="00450734" w:rsidP="00F83CEF">
      <w:pPr>
        <w:pStyle w:val="afb"/>
        <w:numPr>
          <w:ilvl w:val="0"/>
          <w:numId w:val="6"/>
        </w:numPr>
        <w:spacing w:before="60" w:line="520" w:lineRule="exact"/>
        <w:ind w:leftChars="0"/>
        <w:jc w:val="both"/>
        <w:rPr>
          <w:rFonts w:ascii="Times New Roman" w:hAnsi="Times New Roman"/>
          <w:spacing w:val="-4"/>
        </w:rPr>
      </w:pPr>
      <w:r w:rsidRPr="005C28E7">
        <w:rPr>
          <w:rFonts w:ascii="Times New Roman" w:hAnsi="Times New Roman"/>
          <w:spacing w:val="-4"/>
        </w:rPr>
        <w:t>Ali, A.</w:t>
      </w:r>
      <w:r w:rsidR="00D26C75" w:rsidRPr="005C28E7">
        <w:rPr>
          <w:rFonts w:ascii="Times New Roman" w:hAnsi="Times New Roman"/>
          <w:spacing w:val="-4"/>
        </w:rPr>
        <w:t>,</w:t>
      </w:r>
      <w:r w:rsidRPr="005C28E7">
        <w:rPr>
          <w:rFonts w:ascii="Times New Roman" w:hAnsi="Times New Roman"/>
          <w:spacing w:val="-4"/>
        </w:rPr>
        <w:t xml:space="preserve"> and </w:t>
      </w:r>
      <w:r w:rsidR="00D26C75" w:rsidRPr="005C28E7">
        <w:rPr>
          <w:rFonts w:ascii="Times New Roman" w:hAnsi="Times New Roman"/>
          <w:spacing w:val="-4"/>
        </w:rPr>
        <w:t xml:space="preserve">Hwang, </w:t>
      </w:r>
      <w:r w:rsidRPr="005C28E7">
        <w:rPr>
          <w:rFonts w:ascii="Times New Roman" w:hAnsi="Times New Roman"/>
          <w:spacing w:val="-4"/>
        </w:rPr>
        <w:t xml:space="preserve">L. </w:t>
      </w:r>
      <w:r w:rsidR="00D26C75" w:rsidRPr="005C28E7">
        <w:rPr>
          <w:rFonts w:ascii="Times New Roman" w:hAnsi="Times New Roman"/>
          <w:spacing w:val="-4"/>
        </w:rPr>
        <w:t xml:space="preserve">(2000). </w:t>
      </w:r>
      <w:r w:rsidRPr="005C28E7">
        <w:rPr>
          <w:rFonts w:ascii="Times New Roman" w:hAnsi="Times New Roman"/>
          <w:spacing w:val="-4"/>
        </w:rPr>
        <w:t xml:space="preserve">Country-specific </w:t>
      </w:r>
      <w:r w:rsidR="00D26C75" w:rsidRPr="005C28E7">
        <w:rPr>
          <w:rFonts w:ascii="Times New Roman" w:hAnsi="Times New Roman"/>
          <w:spacing w:val="-4"/>
        </w:rPr>
        <w:t>f</w:t>
      </w:r>
      <w:r w:rsidRPr="005C28E7">
        <w:rPr>
          <w:rFonts w:ascii="Times New Roman" w:hAnsi="Times New Roman"/>
          <w:spacing w:val="-4"/>
        </w:rPr>
        <w:t xml:space="preserve">actors </w:t>
      </w:r>
      <w:r w:rsidR="00D26C75" w:rsidRPr="005C28E7">
        <w:rPr>
          <w:rFonts w:ascii="Times New Roman" w:hAnsi="Times New Roman"/>
          <w:spacing w:val="-4"/>
        </w:rPr>
        <w:t>r</w:t>
      </w:r>
      <w:r w:rsidRPr="005C28E7">
        <w:rPr>
          <w:rFonts w:ascii="Times New Roman" w:hAnsi="Times New Roman"/>
          <w:spacing w:val="-4"/>
        </w:rPr>
        <w:t xml:space="preserve">elated to </w:t>
      </w:r>
      <w:r w:rsidR="00D26C75" w:rsidRPr="005C28E7">
        <w:rPr>
          <w:rFonts w:ascii="Times New Roman" w:hAnsi="Times New Roman"/>
          <w:spacing w:val="-4"/>
        </w:rPr>
        <w:t>f</w:t>
      </w:r>
      <w:r w:rsidRPr="005C28E7">
        <w:rPr>
          <w:rFonts w:ascii="Times New Roman" w:hAnsi="Times New Roman"/>
          <w:spacing w:val="-4"/>
        </w:rPr>
        <w:t xml:space="preserve">inancial </w:t>
      </w:r>
      <w:r w:rsidR="00D26C75" w:rsidRPr="005C28E7">
        <w:rPr>
          <w:rFonts w:ascii="Times New Roman" w:hAnsi="Times New Roman"/>
          <w:spacing w:val="-4"/>
        </w:rPr>
        <w:t>r</w:t>
      </w:r>
      <w:r w:rsidRPr="005C28E7">
        <w:rPr>
          <w:rFonts w:ascii="Times New Roman" w:hAnsi="Times New Roman"/>
          <w:spacing w:val="-4"/>
        </w:rPr>
        <w:t xml:space="preserve">eporting and the </w:t>
      </w:r>
      <w:r w:rsidR="00D26C75" w:rsidRPr="005C28E7">
        <w:rPr>
          <w:rFonts w:ascii="Times New Roman" w:hAnsi="Times New Roman"/>
          <w:spacing w:val="-4"/>
        </w:rPr>
        <w:t>v</w:t>
      </w:r>
      <w:r w:rsidRPr="005C28E7">
        <w:rPr>
          <w:rFonts w:ascii="Times New Roman" w:hAnsi="Times New Roman"/>
          <w:spacing w:val="-4"/>
        </w:rPr>
        <w:t xml:space="preserve">alue </w:t>
      </w:r>
      <w:r w:rsidR="00D26C75" w:rsidRPr="005C28E7">
        <w:rPr>
          <w:rFonts w:ascii="Times New Roman" w:hAnsi="Times New Roman"/>
          <w:spacing w:val="-4"/>
        </w:rPr>
        <w:t>r</w:t>
      </w:r>
      <w:r w:rsidRPr="005C28E7">
        <w:rPr>
          <w:rFonts w:ascii="Times New Roman" w:hAnsi="Times New Roman"/>
          <w:spacing w:val="-4"/>
        </w:rPr>
        <w:t xml:space="preserve">elevance of </w:t>
      </w:r>
      <w:r w:rsidR="00D26C75" w:rsidRPr="005C28E7">
        <w:rPr>
          <w:rFonts w:ascii="Times New Roman" w:hAnsi="Times New Roman"/>
          <w:spacing w:val="-4"/>
        </w:rPr>
        <w:t>a</w:t>
      </w:r>
      <w:r w:rsidRPr="005C28E7">
        <w:rPr>
          <w:rFonts w:ascii="Times New Roman" w:hAnsi="Times New Roman"/>
          <w:spacing w:val="-4"/>
        </w:rPr>
        <w:t xml:space="preserve">ccounting </w:t>
      </w:r>
      <w:r w:rsidR="00D26C75" w:rsidRPr="005C28E7">
        <w:rPr>
          <w:rFonts w:ascii="Times New Roman" w:hAnsi="Times New Roman"/>
          <w:spacing w:val="-4"/>
        </w:rPr>
        <w:t>data</w:t>
      </w:r>
      <w:r w:rsidRPr="005C28E7">
        <w:rPr>
          <w:rFonts w:ascii="Times New Roman" w:hAnsi="Times New Roman"/>
          <w:spacing w:val="-4"/>
        </w:rPr>
        <w:t xml:space="preserve">, </w:t>
      </w:r>
      <w:r w:rsidRPr="005C28E7">
        <w:rPr>
          <w:rFonts w:ascii="Times New Roman" w:hAnsi="Times New Roman"/>
          <w:i/>
          <w:spacing w:val="-4"/>
        </w:rPr>
        <w:t>Journal of Accounting Research</w:t>
      </w:r>
      <w:r w:rsidRPr="005C28E7">
        <w:rPr>
          <w:rFonts w:ascii="Times New Roman" w:hAnsi="Times New Roman"/>
          <w:spacing w:val="-4"/>
        </w:rPr>
        <w:t>,</w:t>
      </w:r>
      <w:r w:rsidR="00D26C75" w:rsidRPr="005C28E7">
        <w:rPr>
          <w:rFonts w:ascii="Times New Roman" w:hAnsi="Times New Roman"/>
          <w:spacing w:val="-4"/>
        </w:rPr>
        <w:t xml:space="preserve"> </w:t>
      </w:r>
      <w:r w:rsidRPr="005C28E7">
        <w:rPr>
          <w:rFonts w:ascii="Times New Roman" w:hAnsi="Times New Roman"/>
          <w:spacing w:val="-4"/>
        </w:rPr>
        <w:t>38</w:t>
      </w:r>
      <w:r w:rsidR="009F19CC" w:rsidRPr="005C28E7">
        <w:rPr>
          <w:rFonts w:ascii="Times New Roman" w:hAnsi="Times New Roman"/>
          <w:spacing w:val="-4"/>
        </w:rPr>
        <w:t>(1)</w:t>
      </w:r>
      <w:r w:rsidR="00D26C75" w:rsidRPr="005C28E7">
        <w:rPr>
          <w:rFonts w:ascii="Times New Roman" w:hAnsi="Times New Roman"/>
          <w:spacing w:val="-4"/>
        </w:rPr>
        <w:t>,</w:t>
      </w:r>
      <w:r w:rsidR="00723FA0" w:rsidRPr="005C28E7">
        <w:rPr>
          <w:rFonts w:ascii="Times New Roman" w:hAnsi="Times New Roman"/>
          <w:spacing w:val="-4"/>
        </w:rPr>
        <w:t xml:space="preserve"> </w:t>
      </w:r>
      <w:r w:rsidR="002B460E" w:rsidRPr="005C28E7">
        <w:rPr>
          <w:rFonts w:ascii="Times New Roman" w:hAnsi="Times New Roman"/>
          <w:spacing w:val="-4"/>
        </w:rPr>
        <w:t>pp.</w:t>
      </w:r>
      <w:r w:rsidRPr="005C28E7">
        <w:rPr>
          <w:rFonts w:ascii="Times New Roman" w:hAnsi="Times New Roman"/>
          <w:spacing w:val="-4"/>
        </w:rPr>
        <w:t>1</w:t>
      </w:r>
      <w:r w:rsidR="00723FA0" w:rsidRPr="005C28E7">
        <w:rPr>
          <w:rFonts w:ascii="Times New Roman" w:hAnsi="Times New Roman"/>
          <w:spacing w:val="-4"/>
        </w:rPr>
        <w:t>-</w:t>
      </w:r>
      <w:r w:rsidRPr="005C28E7">
        <w:rPr>
          <w:rFonts w:ascii="Times New Roman" w:hAnsi="Times New Roman"/>
          <w:spacing w:val="-4"/>
        </w:rPr>
        <w:t>21.</w:t>
      </w:r>
      <w:r w:rsidR="009F19CC" w:rsidRPr="005C28E7">
        <w:rPr>
          <w:rFonts w:ascii="Times New Roman" w:hAnsi="Times New Roman"/>
        </w:rPr>
        <w:t xml:space="preserve"> </w:t>
      </w:r>
      <w:r w:rsidR="00030315" w:rsidRPr="005C28E7">
        <w:rPr>
          <w:rFonts w:ascii="Times New Roman" w:hAnsi="Times New Roman"/>
        </w:rPr>
        <w:t>https://doi.org/10.2307/2672920</w:t>
      </w:r>
    </w:p>
    <w:p w14:paraId="52289C2B" w14:textId="7BFE1279" w:rsidR="00450734" w:rsidRPr="005C28E7" w:rsidRDefault="00450734" w:rsidP="00F83CEF">
      <w:pPr>
        <w:pStyle w:val="afb"/>
        <w:numPr>
          <w:ilvl w:val="0"/>
          <w:numId w:val="6"/>
        </w:numPr>
        <w:spacing w:before="240" w:line="520" w:lineRule="exact"/>
        <w:ind w:leftChars="0"/>
        <w:jc w:val="both"/>
        <w:rPr>
          <w:rFonts w:ascii="Times New Roman" w:hAnsi="Times New Roman"/>
          <w:kern w:val="0"/>
        </w:rPr>
      </w:pPr>
      <w:r w:rsidRPr="005C28E7">
        <w:rPr>
          <w:rFonts w:ascii="Times New Roman" w:hAnsi="Times New Roman"/>
          <w:kern w:val="0"/>
        </w:rPr>
        <w:t>Ang, A.</w:t>
      </w:r>
      <w:r w:rsidR="00C018EC" w:rsidRPr="005C28E7">
        <w:rPr>
          <w:rFonts w:ascii="Times New Roman" w:hAnsi="Times New Roman"/>
          <w:kern w:val="0"/>
        </w:rPr>
        <w:t>,</w:t>
      </w:r>
      <w:r w:rsidRPr="005C28E7">
        <w:rPr>
          <w:rFonts w:ascii="Times New Roman" w:hAnsi="Times New Roman"/>
          <w:kern w:val="0"/>
        </w:rPr>
        <w:t xml:space="preserve"> and </w:t>
      </w:r>
      <w:r w:rsidR="00C018EC" w:rsidRPr="005C28E7">
        <w:rPr>
          <w:rFonts w:ascii="Times New Roman" w:hAnsi="Times New Roman"/>
          <w:kern w:val="0"/>
        </w:rPr>
        <w:t xml:space="preserve">Chen, </w:t>
      </w:r>
      <w:r w:rsidRPr="005C28E7">
        <w:rPr>
          <w:rFonts w:ascii="Times New Roman" w:hAnsi="Times New Roman"/>
          <w:kern w:val="0"/>
        </w:rPr>
        <w:t xml:space="preserve">J. </w:t>
      </w:r>
      <w:r w:rsidR="00C018EC" w:rsidRPr="005C28E7">
        <w:rPr>
          <w:rFonts w:ascii="Times New Roman" w:hAnsi="Times New Roman"/>
          <w:kern w:val="0"/>
        </w:rPr>
        <w:t xml:space="preserve">(2007). </w:t>
      </w:r>
      <w:r w:rsidRPr="005C28E7">
        <w:rPr>
          <w:rFonts w:ascii="Times New Roman" w:hAnsi="Times New Roman"/>
          <w:kern w:val="0"/>
        </w:rPr>
        <w:t xml:space="preserve">CAPM over the </w:t>
      </w:r>
      <w:r w:rsidR="00C018EC" w:rsidRPr="005C28E7">
        <w:rPr>
          <w:rFonts w:ascii="Times New Roman" w:hAnsi="Times New Roman"/>
          <w:kern w:val="0"/>
        </w:rPr>
        <w:t>l</w:t>
      </w:r>
      <w:r w:rsidRPr="005C28E7">
        <w:rPr>
          <w:rFonts w:ascii="Times New Roman" w:hAnsi="Times New Roman"/>
          <w:kern w:val="0"/>
        </w:rPr>
        <w:t>ong-run: 1926</w:t>
      </w:r>
      <w:r w:rsidR="00723FA0" w:rsidRPr="005C28E7">
        <w:rPr>
          <w:rFonts w:ascii="Times New Roman" w:hAnsi="Times New Roman"/>
          <w:kern w:val="0"/>
        </w:rPr>
        <w:t>-</w:t>
      </w:r>
      <w:r w:rsidR="00C018EC" w:rsidRPr="005C28E7">
        <w:rPr>
          <w:rFonts w:ascii="Times New Roman" w:hAnsi="Times New Roman"/>
          <w:kern w:val="0"/>
        </w:rPr>
        <w:t>2001</w:t>
      </w:r>
      <w:r w:rsidRPr="005C28E7">
        <w:rPr>
          <w:rFonts w:ascii="Times New Roman" w:hAnsi="Times New Roman"/>
          <w:kern w:val="0"/>
        </w:rPr>
        <w:t xml:space="preserve">, </w:t>
      </w:r>
      <w:r w:rsidRPr="005C28E7">
        <w:rPr>
          <w:rFonts w:ascii="Times New Roman" w:hAnsi="Times New Roman"/>
          <w:i/>
          <w:kern w:val="0"/>
        </w:rPr>
        <w:t>Journal of Empirical Finance</w:t>
      </w:r>
      <w:r w:rsidRPr="005C28E7">
        <w:rPr>
          <w:rFonts w:ascii="Times New Roman" w:hAnsi="Times New Roman"/>
          <w:kern w:val="0"/>
        </w:rPr>
        <w:t>,</w:t>
      </w:r>
      <w:r w:rsidR="00723FA0" w:rsidRPr="005C28E7">
        <w:rPr>
          <w:rFonts w:ascii="Times New Roman" w:hAnsi="Times New Roman"/>
          <w:kern w:val="0"/>
        </w:rPr>
        <w:t xml:space="preserve"> </w:t>
      </w:r>
      <w:r w:rsidRPr="005C28E7">
        <w:rPr>
          <w:rFonts w:ascii="Times New Roman" w:hAnsi="Times New Roman"/>
          <w:kern w:val="0"/>
        </w:rPr>
        <w:t>14</w:t>
      </w:r>
      <w:r w:rsidR="009F19CC" w:rsidRPr="005C28E7">
        <w:rPr>
          <w:rFonts w:ascii="Times New Roman" w:hAnsi="Times New Roman"/>
          <w:kern w:val="0"/>
        </w:rPr>
        <w:t>(1)</w:t>
      </w:r>
      <w:r w:rsidR="00C018EC" w:rsidRPr="005C28E7">
        <w:rPr>
          <w:rFonts w:ascii="Times New Roman" w:hAnsi="Times New Roman"/>
          <w:kern w:val="0"/>
        </w:rPr>
        <w:t>,</w:t>
      </w:r>
      <w:r w:rsidR="00723FA0" w:rsidRPr="005C28E7">
        <w:rPr>
          <w:rFonts w:ascii="Times New Roman" w:hAnsi="Times New Roman"/>
          <w:kern w:val="0"/>
        </w:rPr>
        <w:t xml:space="preserve"> </w:t>
      </w:r>
      <w:r w:rsidR="002B460E" w:rsidRPr="005C28E7">
        <w:rPr>
          <w:rFonts w:ascii="Times New Roman" w:hAnsi="Times New Roman"/>
          <w:spacing w:val="-4"/>
        </w:rPr>
        <w:t>pp.</w:t>
      </w:r>
      <w:r w:rsidRPr="005C28E7">
        <w:rPr>
          <w:rFonts w:ascii="Times New Roman" w:hAnsi="Times New Roman"/>
          <w:kern w:val="0"/>
        </w:rPr>
        <w:t>1-40.</w:t>
      </w:r>
      <w:r w:rsidR="009F19CC" w:rsidRPr="005C28E7">
        <w:rPr>
          <w:rFonts w:ascii="Times New Roman" w:hAnsi="Times New Roman"/>
        </w:rPr>
        <w:t xml:space="preserve"> </w:t>
      </w:r>
      <w:r w:rsidR="00030315" w:rsidRPr="005C28E7">
        <w:rPr>
          <w:rFonts w:ascii="Times New Roman" w:hAnsi="Times New Roman"/>
        </w:rPr>
        <w:t>https://doi.org/10.1016/j.jempfin.2005.12.001</w:t>
      </w:r>
    </w:p>
    <w:p w14:paraId="63CBA0C1" w14:textId="7E194D4E" w:rsidR="00030315" w:rsidRPr="005C28E7" w:rsidRDefault="00450734" w:rsidP="00F83CEF">
      <w:pPr>
        <w:pStyle w:val="afb"/>
        <w:numPr>
          <w:ilvl w:val="0"/>
          <w:numId w:val="6"/>
        </w:numPr>
        <w:spacing w:before="240" w:line="520" w:lineRule="exact"/>
        <w:ind w:leftChars="0"/>
        <w:jc w:val="both"/>
        <w:rPr>
          <w:rFonts w:ascii="Times New Roman" w:hAnsi="Times New Roman"/>
        </w:rPr>
      </w:pPr>
      <w:r w:rsidRPr="005C28E7">
        <w:rPr>
          <w:rFonts w:ascii="Times New Roman" w:hAnsi="Times New Roman"/>
          <w:kern w:val="0"/>
        </w:rPr>
        <w:t xml:space="preserve">Ang, A., </w:t>
      </w:r>
      <w:r w:rsidR="00C018EC" w:rsidRPr="005C28E7">
        <w:rPr>
          <w:rFonts w:ascii="Times New Roman" w:hAnsi="Times New Roman"/>
          <w:kern w:val="0"/>
        </w:rPr>
        <w:t xml:space="preserve">Chen, </w:t>
      </w:r>
      <w:r w:rsidRPr="005C28E7">
        <w:rPr>
          <w:rFonts w:ascii="Times New Roman" w:hAnsi="Times New Roman"/>
          <w:kern w:val="0"/>
        </w:rPr>
        <w:t xml:space="preserve">J. and </w:t>
      </w:r>
      <w:r w:rsidR="00C018EC" w:rsidRPr="005C28E7">
        <w:rPr>
          <w:rFonts w:ascii="Times New Roman" w:hAnsi="Times New Roman"/>
          <w:kern w:val="0"/>
        </w:rPr>
        <w:t xml:space="preserve">Xing, </w:t>
      </w:r>
      <w:r w:rsidRPr="005C28E7">
        <w:rPr>
          <w:rFonts w:ascii="Times New Roman" w:hAnsi="Times New Roman"/>
          <w:kern w:val="0"/>
        </w:rPr>
        <w:t xml:space="preserve">Y. </w:t>
      </w:r>
      <w:r w:rsidR="00C018EC" w:rsidRPr="005C28E7">
        <w:rPr>
          <w:rFonts w:ascii="Times New Roman" w:hAnsi="Times New Roman"/>
          <w:kern w:val="0"/>
        </w:rPr>
        <w:t xml:space="preserve">(2006). </w:t>
      </w:r>
      <w:r w:rsidRPr="005C28E7">
        <w:rPr>
          <w:rFonts w:ascii="Times New Roman" w:hAnsi="Times New Roman"/>
          <w:kern w:val="0"/>
        </w:rPr>
        <w:t xml:space="preserve">Downside </w:t>
      </w:r>
      <w:r w:rsidR="00C018EC" w:rsidRPr="005C28E7">
        <w:rPr>
          <w:rFonts w:ascii="Times New Roman" w:hAnsi="Times New Roman"/>
          <w:kern w:val="0"/>
        </w:rPr>
        <w:t>risk</w:t>
      </w:r>
      <w:r w:rsidRPr="005C28E7">
        <w:rPr>
          <w:rFonts w:ascii="Times New Roman" w:hAnsi="Times New Roman"/>
          <w:kern w:val="0"/>
        </w:rPr>
        <w:t xml:space="preserve">, </w:t>
      </w:r>
      <w:r w:rsidRPr="005C28E7">
        <w:rPr>
          <w:rFonts w:ascii="Times New Roman" w:hAnsi="Times New Roman"/>
          <w:i/>
          <w:iCs/>
          <w:kern w:val="0"/>
        </w:rPr>
        <w:t>Review of Financial Studies</w:t>
      </w:r>
      <w:r w:rsidRPr="005C28E7">
        <w:rPr>
          <w:rFonts w:ascii="Times New Roman" w:hAnsi="Times New Roman"/>
          <w:iCs/>
          <w:kern w:val="0"/>
        </w:rPr>
        <w:t>, 19</w:t>
      </w:r>
      <w:r w:rsidR="009F19CC" w:rsidRPr="005C28E7">
        <w:rPr>
          <w:rFonts w:ascii="Times New Roman" w:hAnsi="Times New Roman"/>
          <w:iCs/>
          <w:kern w:val="0"/>
        </w:rPr>
        <w:t>(4)</w:t>
      </w:r>
      <w:r w:rsidR="002D3AAE" w:rsidRPr="005C28E7">
        <w:rPr>
          <w:rFonts w:ascii="Times New Roman" w:hAnsi="Times New Roman"/>
          <w:iCs/>
          <w:kern w:val="0"/>
        </w:rPr>
        <w:t>,</w:t>
      </w:r>
      <w:r w:rsidRPr="005C28E7">
        <w:rPr>
          <w:rFonts w:ascii="Times New Roman" w:hAnsi="Times New Roman"/>
          <w:iCs/>
          <w:kern w:val="0"/>
        </w:rPr>
        <w:t xml:space="preserve"> </w:t>
      </w:r>
      <w:r w:rsidR="002B460E" w:rsidRPr="005C28E7">
        <w:rPr>
          <w:rFonts w:ascii="Times New Roman" w:hAnsi="Times New Roman"/>
          <w:spacing w:val="-4"/>
        </w:rPr>
        <w:t>pp.</w:t>
      </w:r>
      <w:r w:rsidRPr="005C28E7">
        <w:rPr>
          <w:rFonts w:ascii="Times New Roman" w:hAnsi="Times New Roman"/>
          <w:kern w:val="0"/>
        </w:rPr>
        <w:t>1191-1239.</w:t>
      </w:r>
      <w:r w:rsidR="009F19CC" w:rsidRPr="005C28E7">
        <w:rPr>
          <w:rFonts w:ascii="Times New Roman" w:hAnsi="Times New Roman"/>
          <w:sz w:val="26"/>
          <w:szCs w:val="26"/>
          <w:shd w:val="clear" w:color="auto" w:fill="FFFFFF"/>
        </w:rPr>
        <w:t xml:space="preserve">  </w:t>
      </w:r>
      <w:r w:rsidR="00030315" w:rsidRPr="005C28E7">
        <w:rPr>
          <w:rFonts w:ascii="Times New Roman" w:hAnsi="Times New Roman"/>
        </w:rPr>
        <w:t xml:space="preserve">https://doi.org/10.1093/rfs/hhj035 </w:t>
      </w:r>
    </w:p>
    <w:p w14:paraId="2BB79BE7" w14:textId="28A6F193" w:rsidR="00CB7401" w:rsidRPr="005C28E7" w:rsidRDefault="00CB7401" w:rsidP="00BA5AEC">
      <w:pPr>
        <w:pStyle w:val="afb"/>
        <w:numPr>
          <w:ilvl w:val="0"/>
          <w:numId w:val="6"/>
        </w:numPr>
        <w:autoSpaceDE w:val="0"/>
        <w:autoSpaceDN w:val="0"/>
        <w:adjustRightInd w:val="0"/>
        <w:spacing w:before="240" w:line="520" w:lineRule="exact"/>
        <w:ind w:leftChars="0"/>
        <w:jc w:val="both"/>
        <w:rPr>
          <w:rFonts w:ascii="Times New Roman" w:hAnsi="Times New Roman"/>
        </w:rPr>
      </w:pPr>
      <w:r w:rsidRPr="005C28E7">
        <w:rPr>
          <w:rFonts w:ascii="Times New Roman" w:hAnsi="Times New Roman"/>
        </w:rPr>
        <w:t>Ang, A</w:t>
      </w:r>
      <w:r w:rsidRPr="005C28E7">
        <w:rPr>
          <w:rFonts w:ascii="Times New Roman" w:hAnsi="Times New Roman"/>
        </w:rPr>
        <w:t>。</w:t>
      </w:r>
      <w:r w:rsidRPr="005C28E7">
        <w:rPr>
          <w:rFonts w:ascii="Times New Roman" w:hAnsi="Times New Roman"/>
        </w:rPr>
        <w:t xml:space="preserve">, </w:t>
      </w:r>
      <w:proofErr w:type="spellStart"/>
      <w:r w:rsidRPr="005C28E7">
        <w:rPr>
          <w:rFonts w:ascii="Times New Roman" w:hAnsi="Times New Roman"/>
        </w:rPr>
        <w:t>Hodrick</w:t>
      </w:r>
      <w:proofErr w:type="spellEnd"/>
      <w:r w:rsidRPr="005C28E7">
        <w:rPr>
          <w:rFonts w:ascii="Times New Roman" w:hAnsi="Times New Roman"/>
        </w:rPr>
        <w:t xml:space="preserve">, R.J., Xing Y., and Zhang X., (2006). The cross-section of volatility and expected returns, </w:t>
      </w:r>
      <w:r w:rsidRPr="005C28E7">
        <w:rPr>
          <w:rFonts w:ascii="Times New Roman" w:hAnsi="Times New Roman"/>
          <w:i/>
        </w:rPr>
        <w:t>Journal of Finance</w:t>
      </w:r>
      <w:r w:rsidRPr="005C28E7">
        <w:rPr>
          <w:rFonts w:ascii="Times New Roman" w:hAnsi="Times New Roman"/>
        </w:rPr>
        <w:t xml:space="preserve"> (61), pp.259-299.</w:t>
      </w:r>
      <w:r w:rsidR="00BA5AEC" w:rsidRPr="005C28E7">
        <w:t xml:space="preserve"> </w:t>
      </w:r>
      <w:r w:rsidR="00BA5AEC" w:rsidRPr="005C28E7">
        <w:rPr>
          <w:rFonts w:ascii="Times New Roman" w:hAnsi="Times New Roman"/>
        </w:rPr>
        <w:t>https://doi.org/10.1111/j.1540-6261.2006.00836.x</w:t>
      </w:r>
    </w:p>
    <w:p w14:paraId="1CFC859D" w14:textId="1D7B5620" w:rsidR="00BF78D7" w:rsidRPr="005C28E7" w:rsidRDefault="00450734" w:rsidP="00F83CEF">
      <w:pPr>
        <w:pStyle w:val="afb"/>
        <w:numPr>
          <w:ilvl w:val="0"/>
          <w:numId w:val="6"/>
        </w:numPr>
        <w:spacing w:before="240" w:line="520" w:lineRule="exact"/>
        <w:ind w:leftChars="0"/>
        <w:jc w:val="both"/>
        <w:rPr>
          <w:rFonts w:ascii="Times New Roman" w:hAnsi="Times New Roman"/>
        </w:rPr>
      </w:pPr>
      <w:r w:rsidRPr="005C28E7">
        <w:rPr>
          <w:rFonts w:ascii="Times New Roman" w:hAnsi="Times New Roman"/>
          <w:kern w:val="0"/>
        </w:rPr>
        <w:t xml:space="preserve">Armstrong, C., </w:t>
      </w:r>
      <w:r w:rsidR="00667836" w:rsidRPr="005C28E7">
        <w:rPr>
          <w:rFonts w:ascii="Times New Roman" w:hAnsi="Times New Roman"/>
          <w:kern w:val="0"/>
        </w:rPr>
        <w:t xml:space="preserve">Banerjee, </w:t>
      </w:r>
      <w:r w:rsidRPr="005C28E7">
        <w:rPr>
          <w:rFonts w:ascii="Times New Roman" w:hAnsi="Times New Roman"/>
          <w:kern w:val="0"/>
        </w:rPr>
        <w:t xml:space="preserve">S. and </w:t>
      </w:r>
      <w:r w:rsidR="00667836" w:rsidRPr="005C28E7">
        <w:rPr>
          <w:rFonts w:ascii="Times New Roman" w:hAnsi="Times New Roman"/>
          <w:kern w:val="0"/>
        </w:rPr>
        <w:t xml:space="preserve">Corona, </w:t>
      </w:r>
      <w:r w:rsidRPr="005C28E7">
        <w:rPr>
          <w:rFonts w:ascii="Times New Roman" w:hAnsi="Times New Roman"/>
          <w:kern w:val="0"/>
        </w:rPr>
        <w:t>C. (20</w:t>
      </w:r>
      <w:r w:rsidR="00BF78D7" w:rsidRPr="005C28E7">
        <w:rPr>
          <w:rFonts w:ascii="Times New Roman" w:hAnsi="Times New Roman"/>
          <w:kern w:val="0"/>
        </w:rPr>
        <w:t>13</w:t>
      </w:r>
      <w:r w:rsidR="00667836" w:rsidRPr="005C28E7">
        <w:rPr>
          <w:rFonts w:ascii="Times New Roman" w:hAnsi="Times New Roman"/>
          <w:kern w:val="0"/>
        </w:rPr>
        <w:t>). Factor-loading u</w:t>
      </w:r>
      <w:r w:rsidR="00BF78D7" w:rsidRPr="005C28E7">
        <w:rPr>
          <w:rFonts w:ascii="Times New Roman" w:hAnsi="Times New Roman"/>
          <w:kern w:val="0"/>
        </w:rPr>
        <w:t>ncertainty a</w:t>
      </w:r>
      <w:r w:rsidR="00667836" w:rsidRPr="005C28E7">
        <w:rPr>
          <w:rFonts w:ascii="Times New Roman" w:hAnsi="Times New Roman"/>
          <w:kern w:val="0"/>
        </w:rPr>
        <w:t>nd expected r</w:t>
      </w:r>
      <w:r w:rsidR="00BF78D7" w:rsidRPr="005C28E7">
        <w:rPr>
          <w:rFonts w:ascii="Times New Roman" w:hAnsi="Times New Roman"/>
          <w:kern w:val="0"/>
        </w:rPr>
        <w:t>eturns</w:t>
      </w:r>
      <w:r w:rsidRPr="005C28E7">
        <w:rPr>
          <w:rFonts w:ascii="Times New Roman" w:hAnsi="Times New Roman"/>
          <w:kern w:val="0"/>
        </w:rPr>
        <w:t xml:space="preserve">, </w:t>
      </w:r>
      <w:r w:rsidR="00BF78D7" w:rsidRPr="005C28E7">
        <w:rPr>
          <w:rFonts w:ascii="Times New Roman" w:hAnsi="Times New Roman"/>
          <w:i/>
          <w:iCs/>
          <w:kern w:val="0"/>
          <w:lang w:eastAsia="en-GB"/>
        </w:rPr>
        <w:t>The Review of Financial Studies</w:t>
      </w:r>
      <w:r w:rsidR="00030315" w:rsidRPr="005C28E7">
        <w:rPr>
          <w:rFonts w:ascii="Times New Roman" w:hAnsi="Times New Roman"/>
          <w:iCs/>
          <w:kern w:val="0"/>
          <w:lang w:eastAsia="en-GB"/>
        </w:rPr>
        <w:t xml:space="preserve">, </w:t>
      </w:r>
      <w:r w:rsidR="00BF78D7" w:rsidRPr="005C28E7">
        <w:rPr>
          <w:rFonts w:ascii="Times New Roman" w:hAnsi="Times New Roman"/>
          <w:kern w:val="0"/>
          <w:lang w:eastAsia="en-GB"/>
        </w:rPr>
        <w:t>26</w:t>
      </w:r>
      <w:r w:rsidR="00030315" w:rsidRPr="005C28E7">
        <w:rPr>
          <w:rFonts w:ascii="Times New Roman" w:hAnsi="Times New Roman"/>
          <w:kern w:val="0"/>
          <w:lang w:eastAsia="en-GB"/>
        </w:rPr>
        <w:t>(1)</w:t>
      </w:r>
      <w:r w:rsidR="004654DF" w:rsidRPr="005C28E7">
        <w:rPr>
          <w:rFonts w:ascii="Times New Roman" w:hAnsi="Times New Roman"/>
          <w:kern w:val="0"/>
          <w:lang w:eastAsia="en-GB"/>
        </w:rPr>
        <w:t>,</w:t>
      </w:r>
      <w:r w:rsidR="00667836" w:rsidRPr="005C28E7">
        <w:rPr>
          <w:rFonts w:ascii="Times New Roman" w:hAnsi="Times New Roman"/>
          <w:kern w:val="0"/>
          <w:lang w:eastAsia="en-GB"/>
        </w:rPr>
        <w:t xml:space="preserve"> </w:t>
      </w:r>
      <w:r w:rsidR="002B460E" w:rsidRPr="005C28E7">
        <w:rPr>
          <w:rFonts w:ascii="Times New Roman" w:hAnsi="Times New Roman"/>
          <w:spacing w:val="-4"/>
        </w:rPr>
        <w:t>pp.</w:t>
      </w:r>
      <w:r w:rsidR="00667836" w:rsidRPr="005C28E7">
        <w:rPr>
          <w:rFonts w:ascii="Times New Roman" w:hAnsi="Times New Roman"/>
          <w:kern w:val="0"/>
          <w:lang w:eastAsia="en-GB"/>
        </w:rPr>
        <w:t>158</w:t>
      </w:r>
      <w:r w:rsidR="00BF78D7" w:rsidRPr="005C28E7">
        <w:rPr>
          <w:rFonts w:ascii="Times New Roman" w:hAnsi="Times New Roman"/>
          <w:kern w:val="0"/>
          <w:lang w:eastAsia="en-GB"/>
        </w:rPr>
        <w:t>-207.</w:t>
      </w:r>
      <w:r w:rsidR="00030315" w:rsidRPr="005C28E7">
        <w:rPr>
          <w:rFonts w:ascii="Times New Roman" w:hAnsi="Times New Roman"/>
          <w:sz w:val="26"/>
          <w:szCs w:val="26"/>
          <w:shd w:val="clear" w:color="auto" w:fill="FFFFFF"/>
        </w:rPr>
        <w:t xml:space="preserve"> </w:t>
      </w:r>
      <w:r w:rsidR="00030315" w:rsidRPr="005C28E7">
        <w:rPr>
          <w:rFonts w:ascii="Times New Roman" w:hAnsi="Times New Roman"/>
        </w:rPr>
        <w:t>https://doi.org/10.1093/rfs/hhs102</w:t>
      </w:r>
    </w:p>
    <w:p w14:paraId="5C273657" w14:textId="2B9A85BD" w:rsidR="003D1EA0" w:rsidRPr="005C28E7" w:rsidRDefault="00450734" w:rsidP="00536B7D">
      <w:pPr>
        <w:pStyle w:val="afb"/>
        <w:numPr>
          <w:ilvl w:val="0"/>
          <w:numId w:val="6"/>
        </w:numPr>
        <w:spacing w:before="240" w:line="520" w:lineRule="exact"/>
        <w:ind w:leftChars="0"/>
        <w:jc w:val="both"/>
        <w:rPr>
          <w:rFonts w:ascii="Times New Roman" w:hAnsi="Times New Roman"/>
        </w:rPr>
      </w:pPr>
      <w:r w:rsidRPr="005C28E7">
        <w:rPr>
          <w:rFonts w:ascii="Times New Roman" w:hAnsi="Times New Roman"/>
          <w:spacing w:val="-4"/>
        </w:rPr>
        <w:t xml:space="preserve">Ball, R., </w:t>
      </w:r>
      <w:r w:rsidR="00706C7E" w:rsidRPr="005C28E7">
        <w:rPr>
          <w:rFonts w:ascii="Times New Roman" w:hAnsi="Times New Roman"/>
          <w:spacing w:val="-4"/>
        </w:rPr>
        <w:t xml:space="preserve">Robin, </w:t>
      </w:r>
      <w:r w:rsidRPr="005C28E7">
        <w:rPr>
          <w:rFonts w:ascii="Times New Roman" w:hAnsi="Times New Roman"/>
          <w:spacing w:val="-4"/>
        </w:rPr>
        <w:t xml:space="preserve">A. and </w:t>
      </w:r>
      <w:proofErr w:type="spellStart"/>
      <w:r w:rsidR="00706C7E" w:rsidRPr="005C28E7">
        <w:rPr>
          <w:rFonts w:ascii="Times New Roman" w:hAnsi="Times New Roman"/>
          <w:spacing w:val="-4"/>
        </w:rPr>
        <w:t>Sadka</w:t>
      </w:r>
      <w:proofErr w:type="spellEnd"/>
      <w:r w:rsidR="00706C7E" w:rsidRPr="005C28E7">
        <w:rPr>
          <w:rFonts w:ascii="Times New Roman" w:hAnsi="Times New Roman"/>
          <w:spacing w:val="-4"/>
        </w:rPr>
        <w:t xml:space="preserve">, </w:t>
      </w:r>
      <w:r w:rsidRPr="005C28E7">
        <w:rPr>
          <w:rFonts w:ascii="Times New Roman" w:hAnsi="Times New Roman"/>
          <w:spacing w:val="-4"/>
        </w:rPr>
        <w:t>G.</w:t>
      </w:r>
      <w:r w:rsidR="00723FA0" w:rsidRPr="005C28E7">
        <w:rPr>
          <w:rFonts w:ascii="Times New Roman" w:hAnsi="Times New Roman"/>
          <w:spacing w:val="-4"/>
        </w:rPr>
        <w:t xml:space="preserve"> </w:t>
      </w:r>
      <w:r w:rsidR="00706C7E" w:rsidRPr="005C28E7">
        <w:rPr>
          <w:rFonts w:ascii="Times New Roman" w:hAnsi="Times New Roman"/>
          <w:spacing w:val="-4"/>
        </w:rPr>
        <w:t xml:space="preserve">(2008). </w:t>
      </w:r>
      <w:r w:rsidRPr="005C28E7">
        <w:rPr>
          <w:rFonts w:ascii="Times New Roman" w:hAnsi="Times New Roman"/>
          <w:spacing w:val="-4"/>
        </w:rPr>
        <w:t xml:space="preserve">Is </w:t>
      </w:r>
      <w:r w:rsidR="00706C7E" w:rsidRPr="005C28E7">
        <w:rPr>
          <w:rFonts w:ascii="Times New Roman" w:hAnsi="Times New Roman"/>
          <w:spacing w:val="-4"/>
        </w:rPr>
        <w:t>f</w:t>
      </w:r>
      <w:r w:rsidRPr="005C28E7">
        <w:rPr>
          <w:rFonts w:ascii="Times New Roman" w:hAnsi="Times New Roman"/>
          <w:spacing w:val="-4"/>
        </w:rPr>
        <w:t xml:space="preserve">inancial </w:t>
      </w:r>
      <w:r w:rsidR="00706C7E" w:rsidRPr="005C28E7">
        <w:rPr>
          <w:rFonts w:ascii="Times New Roman" w:hAnsi="Times New Roman"/>
          <w:spacing w:val="-4"/>
        </w:rPr>
        <w:t>r</w:t>
      </w:r>
      <w:r w:rsidRPr="005C28E7">
        <w:rPr>
          <w:rFonts w:ascii="Times New Roman" w:hAnsi="Times New Roman"/>
          <w:spacing w:val="-4"/>
        </w:rPr>
        <w:t xml:space="preserve">eporting </w:t>
      </w:r>
      <w:r w:rsidR="00706C7E" w:rsidRPr="005C28E7">
        <w:rPr>
          <w:rFonts w:ascii="Times New Roman" w:hAnsi="Times New Roman"/>
          <w:spacing w:val="-4"/>
        </w:rPr>
        <w:t>s</w:t>
      </w:r>
      <w:r w:rsidRPr="005C28E7">
        <w:rPr>
          <w:rFonts w:ascii="Times New Roman" w:hAnsi="Times New Roman"/>
          <w:spacing w:val="-4"/>
        </w:rPr>
        <w:t xml:space="preserve">haped by </w:t>
      </w:r>
      <w:r w:rsidR="00706C7E" w:rsidRPr="005C28E7">
        <w:rPr>
          <w:rFonts w:ascii="Times New Roman" w:hAnsi="Times New Roman"/>
          <w:spacing w:val="-4"/>
        </w:rPr>
        <w:t>e</w:t>
      </w:r>
      <w:r w:rsidRPr="005C28E7">
        <w:rPr>
          <w:rFonts w:ascii="Times New Roman" w:hAnsi="Times New Roman"/>
          <w:spacing w:val="-4"/>
        </w:rPr>
        <w:t xml:space="preserve">quity </w:t>
      </w:r>
      <w:r w:rsidR="00706C7E" w:rsidRPr="005C28E7">
        <w:rPr>
          <w:rFonts w:ascii="Times New Roman" w:hAnsi="Times New Roman"/>
          <w:spacing w:val="-4"/>
        </w:rPr>
        <w:t>m</w:t>
      </w:r>
      <w:r w:rsidRPr="005C28E7">
        <w:rPr>
          <w:rFonts w:ascii="Times New Roman" w:hAnsi="Times New Roman"/>
          <w:spacing w:val="-4"/>
        </w:rPr>
        <w:t xml:space="preserve">arkets or </w:t>
      </w:r>
      <w:r w:rsidR="00706C7E" w:rsidRPr="005C28E7">
        <w:rPr>
          <w:rFonts w:ascii="Times New Roman" w:hAnsi="Times New Roman"/>
          <w:spacing w:val="-4"/>
        </w:rPr>
        <w:t>d</w:t>
      </w:r>
      <w:r w:rsidRPr="005C28E7">
        <w:rPr>
          <w:rFonts w:ascii="Times New Roman" w:hAnsi="Times New Roman"/>
          <w:spacing w:val="-4"/>
        </w:rPr>
        <w:t xml:space="preserve">ebt </w:t>
      </w:r>
      <w:r w:rsidR="00706C7E" w:rsidRPr="005C28E7">
        <w:rPr>
          <w:rFonts w:ascii="Times New Roman" w:hAnsi="Times New Roman"/>
          <w:spacing w:val="-4"/>
        </w:rPr>
        <w:t>m</w:t>
      </w:r>
      <w:r w:rsidRPr="005C28E7">
        <w:rPr>
          <w:rFonts w:ascii="Times New Roman" w:hAnsi="Times New Roman"/>
          <w:spacing w:val="-4"/>
        </w:rPr>
        <w:t xml:space="preserve">arkets? </w:t>
      </w:r>
      <w:r w:rsidRPr="005C28E7">
        <w:rPr>
          <w:rFonts w:ascii="Times New Roman" w:hAnsi="Times New Roman"/>
          <w:i/>
          <w:spacing w:val="-4"/>
        </w:rPr>
        <w:t xml:space="preserve">An </w:t>
      </w:r>
      <w:r w:rsidR="00706C7E" w:rsidRPr="005C28E7">
        <w:rPr>
          <w:rFonts w:ascii="Times New Roman" w:hAnsi="Times New Roman"/>
          <w:i/>
          <w:spacing w:val="-4"/>
        </w:rPr>
        <w:t>i</w:t>
      </w:r>
      <w:r w:rsidRPr="005C28E7">
        <w:rPr>
          <w:rFonts w:ascii="Times New Roman" w:hAnsi="Times New Roman"/>
          <w:i/>
          <w:spacing w:val="-4"/>
        </w:rPr>
        <w:t xml:space="preserve">nternational </w:t>
      </w:r>
      <w:r w:rsidR="00706C7E" w:rsidRPr="005C28E7">
        <w:rPr>
          <w:rFonts w:ascii="Times New Roman" w:hAnsi="Times New Roman"/>
          <w:i/>
          <w:spacing w:val="-4"/>
        </w:rPr>
        <w:t>s</w:t>
      </w:r>
      <w:r w:rsidRPr="005C28E7">
        <w:rPr>
          <w:rFonts w:ascii="Times New Roman" w:hAnsi="Times New Roman"/>
          <w:i/>
          <w:spacing w:val="-4"/>
        </w:rPr>
        <w:t xml:space="preserve">tudy of </w:t>
      </w:r>
      <w:r w:rsidR="00706C7E" w:rsidRPr="005C28E7">
        <w:rPr>
          <w:rFonts w:ascii="Times New Roman" w:hAnsi="Times New Roman"/>
          <w:i/>
          <w:spacing w:val="-4"/>
        </w:rPr>
        <w:t>t</w:t>
      </w:r>
      <w:r w:rsidRPr="005C28E7">
        <w:rPr>
          <w:rFonts w:ascii="Times New Roman" w:hAnsi="Times New Roman"/>
          <w:i/>
          <w:spacing w:val="-4"/>
        </w:rPr>
        <w:t xml:space="preserve">imeliness and </w:t>
      </w:r>
      <w:r w:rsidR="00706C7E" w:rsidRPr="005C28E7">
        <w:rPr>
          <w:rFonts w:ascii="Times New Roman" w:hAnsi="Times New Roman"/>
          <w:i/>
          <w:spacing w:val="-4"/>
        </w:rPr>
        <w:t>conservatism</w:t>
      </w:r>
      <w:r w:rsidRPr="005C28E7">
        <w:rPr>
          <w:rFonts w:ascii="Times New Roman" w:hAnsi="Times New Roman"/>
          <w:i/>
          <w:spacing w:val="-4"/>
        </w:rPr>
        <w:t>, Review of Accounting Studies</w:t>
      </w:r>
      <w:r w:rsidRPr="005C28E7">
        <w:rPr>
          <w:rFonts w:ascii="Times New Roman" w:hAnsi="Times New Roman"/>
          <w:spacing w:val="-4"/>
        </w:rPr>
        <w:t>, 13</w:t>
      </w:r>
      <w:r w:rsidR="004654DF" w:rsidRPr="005C28E7">
        <w:rPr>
          <w:rFonts w:ascii="Times New Roman" w:hAnsi="Times New Roman"/>
          <w:spacing w:val="-4"/>
        </w:rPr>
        <w:t>,</w:t>
      </w:r>
      <w:r w:rsidRPr="005C28E7">
        <w:rPr>
          <w:rFonts w:ascii="Times New Roman" w:hAnsi="Times New Roman"/>
          <w:spacing w:val="-4"/>
        </w:rPr>
        <w:t xml:space="preserve"> </w:t>
      </w:r>
      <w:r w:rsidR="002B460E" w:rsidRPr="005C28E7">
        <w:rPr>
          <w:rFonts w:ascii="Times New Roman" w:hAnsi="Times New Roman"/>
          <w:spacing w:val="-4"/>
        </w:rPr>
        <w:t>pp.</w:t>
      </w:r>
      <w:r w:rsidRPr="005C28E7">
        <w:rPr>
          <w:rFonts w:ascii="Times New Roman" w:hAnsi="Times New Roman"/>
          <w:spacing w:val="-4"/>
        </w:rPr>
        <w:t>168</w:t>
      </w:r>
      <w:r w:rsidR="00723FA0" w:rsidRPr="005C28E7">
        <w:rPr>
          <w:rFonts w:ascii="Times New Roman" w:hAnsi="Times New Roman"/>
          <w:spacing w:val="-4"/>
        </w:rPr>
        <w:t>-</w:t>
      </w:r>
      <w:r w:rsidRPr="005C28E7">
        <w:rPr>
          <w:rFonts w:ascii="Times New Roman" w:hAnsi="Times New Roman"/>
          <w:spacing w:val="-4"/>
        </w:rPr>
        <w:t>205.</w:t>
      </w:r>
      <w:r w:rsidR="00030315" w:rsidRPr="005C28E7">
        <w:rPr>
          <w:rFonts w:ascii="Times New Roman" w:hAnsi="Times New Roman"/>
        </w:rPr>
        <w:t xml:space="preserve"> </w:t>
      </w:r>
      <w:r w:rsidR="003D1EA0" w:rsidRPr="005C28E7">
        <w:rPr>
          <w:rFonts w:ascii="Times New Roman" w:hAnsi="Times New Roman"/>
        </w:rPr>
        <w:t>https://doi.org/10.1007/s11142-007-9064-x</w:t>
      </w:r>
    </w:p>
    <w:p w14:paraId="1CF6431B" w14:textId="31DF3557" w:rsidR="00450734" w:rsidRPr="005C28E7" w:rsidRDefault="00450734" w:rsidP="00536B7D">
      <w:pPr>
        <w:pStyle w:val="afb"/>
        <w:numPr>
          <w:ilvl w:val="0"/>
          <w:numId w:val="6"/>
        </w:numPr>
        <w:spacing w:before="240" w:line="520" w:lineRule="exact"/>
        <w:ind w:leftChars="0"/>
        <w:jc w:val="both"/>
        <w:rPr>
          <w:rFonts w:ascii="Times New Roman" w:hAnsi="Times New Roman"/>
        </w:rPr>
      </w:pPr>
      <w:r w:rsidRPr="005C28E7">
        <w:rPr>
          <w:rFonts w:ascii="Times New Roman" w:hAnsi="Times New Roman"/>
        </w:rPr>
        <w:t>Barth, M.</w:t>
      </w:r>
      <w:r w:rsidR="00860A3D" w:rsidRPr="005C28E7">
        <w:rPr>
          <w:rFonts w:ascii="Times New Roman" w:hAnsi="Times New Roman"/>
        </w:rPr>
        <w:t xml:space="preserve"> </w:t>
      </w:r>
      <w:r w:rsidRPr="005C28E7">
        <w:rPr>
          <w:rFonts w:ascii="Times New Roman" w:hAnsi="Times New Roman"/>
        </w:rPr>
        <w:t xml:space="preserve">E., </w:t>
      </w:r>
      <w:proofErr w:type="spellStart"/>
      <w:r w:rsidR="00860A3D" w:rsidRPr="005C28E7">
        <w:rPr>
          <w:rFonts w:ascii="Times New Roman" w:hAnsi="Times New Roman"/>
        </w:rPr>
        <w:t>Konchitchki</w:t>
      </w:r>
      <w:proofErr w:type="spellEnd"/>
      <w:r w:rsidR="00860A3D" w:rsidRPr="005C28E7">
        <w:rPr>
          <w:rFonts w:ascii="Times New Roman" w:hAnsi="Times New Roman"/>
        </w:rPr>
        <w:t xml:space="preserve">, </w:t>
      </w:r>
      <w:r w:rsidRPr="005C28E7">
        <w:rPr>
          <w:rFonts w:ascii="Times New Roman" w:hAnsi="Times New Roman"/>
        </w:rPr>
        <w:t xml:space="preserve">Y. and </w:t>
      </w:r>
      <w:r w:rsidR="00860A3D" w:rsidRPr="005C28E7">
        <w:rPr>
          <w:rFonts w:ascii="Times New Roman" w:hAnsi="Times New Roman"/>
        </w:rPr>
        <w:t xml:space="preserve">Landsman, </w:t>
      </w:r>
      <w:r w:rsidRPr="005C28E7">
        <w:rPr>
          <w:rFonts w:ascii="Times New Roman" w:hAnsi="Times New Roman"/>
        </w:rPr>
        <w:t>W.</w:t>
      </w:r>
      <w:r w:rsidR="00860A3D" w:rsidRPr="005C28E7">
        <w:rPr>
          <w:rFonts w:ascii="Times New Roman" w:hAnsi="Times New Roman"/>
        </w:rPr>
        <w:t xml:space="preserve"> </w:t>
      </w:r>
      <w:r w:rsidRPr="005C28E7">
        <w:rPr>
          <w:rFonts w:ascii="Times New Roman" w:hAnsi="Times New Roman"/>
        </w:rPr>
        <w:t xml:space="preserve">R. </w:t>
      </w:r>
      <w:r w:rsidR="00860A3D" w:rsidRPr="005C28E7">
        <w:rPr>
          <w:rFonts w:ascii="Times New Roman" w:hAnsi="Times New Roman"/>
        </w:rPr>
        <w:t xml:space="preserve">(2011). </w:t>
      </w:r>
      <w:r w:rsidRPr="005C28E7">
        <w:rPr>
          <w:rFonts w:ascii="Times New Roman" w:hAnsi="Times New Roman"/>
        </w:rPr>
        <w:t xml:space="preserve">Cost of </w:t>
      </w:r>
      <w:r w:rsidR="00144BBF" w:rsidRPr="005C28E7">
        <w:rPr>
          <w:rFonts w:ascii="Times New Roman" w:hAnsi="Times New Roman"/>
        </w:rPr>
        <w:t>c</w:t>
      </w:r>
      <w:r w:rsidRPr="005C28E7">
        <w:rPr>
          <w:rFonts w:ascii="Times New Roman" w:hAnsi="Times New Roman"/>
        </w:rPr>
        <w:t xml:space="preserve">apital and </w:t>
      </w:r>
      <w:r w:rsidR="00144BBF" w:rsidRPr="005C28E7">
        <w:rPr>
          <w:rFonts w:ascii="Times New Roman" w:hAnsi="Times New Roman"/>
        </w:rPr>
        <w:t>e</w:t>
      </w:r>
      <w:r w:rsidRPr="005C28E7">
        <w:rPr>
          <w:rFonts w:ascii="Times New Roman" w:hAnsi="Times New Roman"/>
        </w:rPr>
        <w:t xml:space="preserve">arnings </w:t>
      </w:r>
      <w:r w:rsidR="00144BBF" w:rsidRPr="005C28E7">
        <w:rPr>
          <w:rFonts w:ascii="Times New Roman" w:hAnsi="Times New Roman"/>
        </w:rPr>
        <w:t>t</w:t>
      </w:r>
      <w:r w:rsidR="00860A3D" w:rsidRPr="005C28E7">
        <w:rPr>
          <w:rFonts w:ascii="Times New Roman" w:hAnsi="Times New Roman"/>
        </w:rPr>
        <w:t>ransparency</w:t>
      </w:r>
      <w:r w:rsidRPr="005C28E7">
        <w:rPr>
          <w:rFonts w:ascii="Times New Roman" w:hAnsi="Times New Roman"/>
        </w:rPr>
        <w:t>,</w:t>
      </w:r>
      <w:r w:rsidR="00030315" w:rsidRPr="005C28E7">
        <w:rPr>
          <w:rFonts w:ascii="Times New Roman" w:hAnsi="Times New Roman"/>
          <w:i/>
        </w:rPr>
        <w:t xml:space="preserve"> Journal of Accounting and Economics</w:t>
      </w:r>
      <w:r w:rsidR="003D1EA0" w:rsidRPr="005C28E7">
        <w:rPr>
          <w:rFonts w:ascii="Times New Roman" w:hAnsi="Times New Roman"/>
        </w:rPr>
        <w:t>, 55(2-3</w:t>
      </w:r>
      <w:proofErr w:type="gramStart"/>
      <w:r w:rsidR="003D1EA0" w:rsidRPr="005C28E7">
        <w:rPr>
          <w:rFonts w:ascii="Times New Roman" w:hAnsi="Times New Roman"/>
        </w:rPr>
        <w:t>)</w:t>
      </w:r>
      <w:r w:rsidR="00030315" w:rsidRPr="005C28E7">
        <w:rPr>
          <w:rFonts w:ascii="Times New Roman" w:hAnsi="Times New Roman"/>
        </w:rPr>
        <w:t>,pp.</w:t>
      </w:r>
      <w:proofErr w:type="gramEnd"/>
      <w:r w:rsidR="00030315" w:rsidRPr="005C28E7">
        <w:rPr>
          <w:rFonts w:ascii="Times New Roman" w:hAnsi="Times New Roman"/>
        </w:rPr>
        <w:t xml:space="preserve">206-224. </w:t>
      </w:r>
      <w:r w:rsidR="006B646D" w:rsidRPr="005C28E7">
        <w:rPr>
          <w:rFonts w:ascii="Times New Roman" w:hAnsi="Times New Roman"/>
        </w:rPr>
        <w:t>https://doi.org/10.1016/j.jacceco.2013.01.004</w:t>
      </w:r>
    </w:p>
    <w:p w14:paraId="178D2E81" w14:textId="347FA878" w:rsidR="006B646D" w:rsidRPr="005C28E7" w:rsidRDefault="006B646D" w:rsidP="00BA5AEC">
      <w:pPr>
        <w:pStyle w:val="afb"/>
        <w:numPr>
          <w:ilvl w:val="0"/>
          <w:numId w:val="6"/>
        </w:numPr>
        <w:autoSpaceDE w:val="0"/>
        <w:autoSpaceDN w:val="0"/>
        <w:adjustRightInd w:val="0"/>
        <w:spacing w:before="240" w:line="520" w:lineRule="exact"/>
        <w:ind w:leftChars="0"/>
        <w:rPr>
          <w:rFonts w:ascii="Times New Roman" w:hAnsi="Times New Roman"/>
        </w:rPr>
      </w:pPr>
      <w:r w:rsidRPr="005C28E7">
        <w:rPr>
          <w:rFonts w:ascii="Times-Roman" w:hAnsi="Times-Roman" w:cs="Times-Roman"/>
          <w:kern w:val="0"/>
        </w:rPr>
        <w:t xml:space="preserve">Bhattacharya, U., </w:t>
      </w:r>
      <w:proofErr w:type="spellStart"/>
      <w:r w:rsidRPr="005C28E7">
        <w:rPr>
          <w:rFonts w:ascii="Times-Roman" w:hAnsi="Times-Roman" w:cs="Times-Roman"/>
          <w:kern w:val="0"/>
        </w:rPr>
        <w:t>Daouk</w:t>
      </w:r>
      <w:proofErr w:type="spellEnd"/>
      <w:r w:rsidRPr="005C28E7">
        <w:rPr>
          <w:rFonts w:ascii="Times-Roman" w:hAnsi="Times-Roman" w:cs="Times-Roman"/>
          <w:kern w:val="0"/>
        </w:rPr>
        <w:t xml:space="preserve">, H. and Welker, M., (2003). The world price of earnings </w:t>
      </w:r>
      <w:r w:rsidRPr="005C28E7">
        <w:rPr>
          <w:rFonts w:ascii="Times-Roman" w:hAnsi="Times-Roman" w:cs="Times-Roman"/>
          <w:kern w:val="0"/>
        </w:rPr>
        <w:lastRenderedPageBreak/>
        <w:t xml:space="preserve">opacity. </w:t>
      </w:r>
      <w:r w:rsidRPr="005C28E7">
        <w:rPr>
          <w:rFonts w:ascii="Times-Italic" w:hAnsi="Times-Italic" w:cs="Times-Italic"/>
          <w:i/>
          <w:iCs/>
          <w:kern w:val="0"/>
        </w:rPr>
        <w:t xml:space="preserve">The Accounting Review </w:t>
      </w:r>
      <w:r w:rsidRPr="005C28E7">
        <w:rPr>
          <w:rFonts w:ascii="Times-Roman" w:hAnsi="Times-Roman" w:cs="Times-Roman"/>
          <w:kern w:val="0"/>
        </w:rPr>
        <w:t xml:space="preserve">78(3), </w:t>
      </w:r>
      <w:r w:rsidRPr="005C28E7">
        <w:rPr>
          <w:rFonts w:ascii="Times-Roman" w:hAnsi="Times-Roman" w:cs="Times-Roman" w:hint="eastAsia"/>
          <w:kern w:val="0"/>
        </w:rPr>
        <w:t>p</w:t>
      </w:r>
      <w:r w:rsidRPr="005C28E7">
        <w:rPr>
          <w:rFonts w:ascii="Times-Roman" w:hAnsi="Times-Roman" w:cs="Times-Roman"/>
          <w:kern w:val="0"/>
        </w:rPr>
        <w:t>p.641-678.</w:t>
      </w:r>
      <w:r w:rsidR="00BA5AEC" w:rsidRPr="005C28E7">
        <w:rPr>
          <w:rFonts w:ascii="Times-Roman" w:hAnsi="Times-Roman" w:cs="Times-Roman" w:hint="eastAsia"/>
          <w:kern w:val="0"/>
        </w:rPr>
        <w:t xml:space="preserve"> </w:t>
      </w:r>
      <w:r w:rsidR="00BA5AEC" w:rsidRPr="005C28E7">
        <w:rPr>
          <w:rFonts w:ascii="Times-Roman" w:hAnsi="Times-Roman" w:cs="Times-Roman"/>
          <w:kern w:val="0"/>
        </w:rPr>
        <w:t>https://www.jstor.org/stable/3203220</w:t>
      </w:r>
    </w:p>
    <w:p w14:paraId="2559E637" w14:textId="7EB915D8" w:rsidR="00450734" w:rsidRPr="005C28E7" w:rsidRDefault="00450734" w:rsidP="00F83CEF">
      <w:pPr>
        <w:pStyle w:val="afb"/>
        <w:numPr>
          <w:ilvl w:val="0"/>
          <w:numId w:val="6"/>
        </w:numPr>
        <w:spacing w:before="280" w:line="560" w:lineRule="exact"/>
        <w:ind w:leftChars="0"/>
        <w:jc w:val="both"/>
        <w:rPr>
          <w:rFonts w:ascii="Times New Roman" w:hAnsi="Times New Roman"/>
        </w:rPr>
      </w:pPr>
      <w:r w:rsidRPr="005C28E7">
        <w:rPr>
          <w:rFonts w:ascii="Times New Roman" w:hAnsi="Times New Roman"/>
        </w:rPr>
        <w:t xml:space="preserve">Chung, R., </w:t>
      </w:r>
      <w:r w:rsidR="000A5AD6" w:rsidRPr="005C28E7">
        <w:rPr>
          <w:rFonts w:ascii="Times New Roman" w:hAnsi="Times New Roman"/>
        </w:rPr>
        <w:t xml:space="preserve">Firth, </w:t>
      </w:r>
      <w:r w:rsidRPr="005C28E7">
        <w:rPr>
          <w:rFonts w:ascii="Times New Roman" w:hAnsi="Times New Roman"/>
        </w:rPr>
        <w:t xml:space="preserve">M. and </w:t>
      </w:r>
      <w:r w:rsidR="000A5AD6" w:rsidRPr="005C28E7">
        <w:rPr>
          <w:rFonts w:ascii="Times New Roman" w:hAnsi="Times New Roman"/>
        </w:rPr>
        <w:t xml:space="preserve">Kim, </w:t>
      </w:r>
      <w:r w:rsidRPr="005C28E7">
        <w:rPr>
          <w:rFonts w:ascii="Times New Roman" w:hAnsi="Times New Roman"/>
        </w:rPr>
        <w:t xml:space="preserve">J. </w:t>
      </w:r>
      <w:r w:rsidR="000A5AD6" w:rsidRPr="005C28E7">
        <w:rPr>
          <w:rFonts w:ascii="Times New Roman" w:hAnsi="Times New Roman"/>
        </w:rPr>
        <w:t xml:space="preserve">(2002). </w:t>
      </w:r>
      <w:r w:rsidRPr="005C28E7">
        <w:rPr>
          <w:rFonts w:ascii="Times New Roman" w:hAnsi="Times New Roman"/>
        </w:rPr>
        <w:t xml:space="preserve">Institutional </w:t>
      </w:r>
      <w:r w:rsidR="000A5AD6" w:rsidRPr="005C28E7">
        <w:rPr>
          <w:rFonts w:ascii="Times New Roman" w:hAnsi="Times New Roman"/>
        </w:rPr>
        <w:t>m</w:t>
      </w:r>
      <w:r w:rsidRPr="005C28E7">
        <w:rPr>
          <w:rFonts w:ascii="Times New Roman" w:hAnsi="Times New Roman"/>
        </w:rPr>
        <w:t xml:space="preserve">onitoring and </w:t>
      </w:r>
      <w:r w:rsidR="000A5AD6" w:rsidRPr="005C28E7">
        <w:rPr>
          <w:rFonts w:ascii="Times New Roman" w:hAnsi="Times New Roman"/>
        </w:rPr>
        <w:t>o</w:t>
      </w:r>
      <w:r w:rsidRPr="005C28E7">
        <w:rPr>
          <w:rFonts w:ascii="Times New Roman" w:hAnsi="Times New Roman"/>
        </w:rPr>
        <w:t xml:space="preserve">pportunistic </w:t>
      </w:r>
      <w:r w:rsidR="000A5AD6" w:rsidRPr="005C28E7">
        <w:rPr>
          <w:rFonts w:ascii="Times New Roman" w:hAnsi="Times New Roman"/>
        </w:rPr>
        <w:t>e</w:t>
      </w:r>
      <w:r w:rsidRPr="005C28E7">
        <w:rPr>
          <w:rFonts w:ascii="Times New Roman" w:hAnsi="Times New Roman"/>
        </w:rPr>
        <w:t xml:space="preserve">arnings </w:t>
      </w:r>
      <w:r w:rsidR="000A5AD6" w:rsidRPr="005C28E7">
        <w:rPr>
          <w:rFonts w:ascii="Times New Roman" w:hAnsi="Times New Roman"/>
        </w:rPr>
        <w:t>m</w:t>
      </w:r>
      <w:r w:rsidRPr="005C28E7">
        <w:rPr>
          <w:rFonts w:ascii="Times New Roman" w:hAnsi="Times New Roman"/>
        </w:rPr>
        <w:t>anagem</w:t>
      </w:r>
      <w:r w:rsidR="000A5AD6" w:rsidRPr="005C28E7">
        <w:rPr>
          <w:rFonts w:ascii="Times New Roman" w:hAnsi="Times New Roman"/>
        </w:rPr>
        <w:t>ent</w:t>
      </w:r>
      <w:r w:rsidRPr="005C28E7">
        <w:rPr>
          <w:rFonts w:ascii="Times New Roman" w:hAnsi="Times New Roman"/>
        </w:rPr>
        <w:t xml:space="preserve">, </w:t>
      </w:r>
      <w:r w:rsidRPr="005C28E7">
        <w:rPr>
          <w:rFonts w:ascii="Times New Roman" w:hAnsi="Times New Roman"/>
          <w:i/>
        </w:rPr>
        <w:t>Journal of Corporate Finance</w:t>
      </w:r>
      <w:r w:rsidRPr="005C28E7">
        <w:rPr>
          <w:rFonts w:ascii="Times New Roman" w:hAnsi="Times New Roman"/>
        </w:rPr>
        <w:t>, 8</w:t>
      </w:r>
      <w:r w:rsidR="00030315" w:rsidRPr="005C28E7">
        <w:rPr>
          <w:rFonts w:ascii="Times New Roman" w:hAnsi="Times New Roman"/>
        </w:rPr>
        <w:t>(1)</w:t>
      </w:r>
      <w:r w:rsidR="004654DF" w:rsidRPr="005C28E7">
        <w:rPr>
          <w:rFonts w:ascii="Times New Roman" w:hAnsi="Times New Roman"/>
        </w:rPr>
        <w:t>,</w:t>
      </w:r>
      <w:r w:rsidR="009A3CB1" w:rsidRPr="005C28E7">
        <w:rPr>
          <w:rFonts w:ascii="Times New Roman" w:hAnsi="Times New Roman"/>
        </w:rPr>
        <w:t xml:space="preserve"> </w:t>
      </w:r>
      <w:r w:rsidR="002B460E" w:rsidRPr="005C28E7">
        <w:rPr>
          <w:rFonts w:ascii="Times New Roman" w:hAnsi="Times New Roman"/>
          <w:spacing w:val="-4"/>
        </w:rPr>
        <w:t>pp.</w:t>
      </w:r>
      <w:r w:rsidRPr="005C28E7">
        <w:rPr>
          <w:rFonts w:ascii="Times New Roman" w:hAnsi="Times New Roman"/>
        </w:rPr>
        <w:t>29</w:t>
      </w:r>
      <w:r w:rsidR="009A3CB1" w:rsidRPr="005C28E7">
        <w:rPr>
          <w:rFonts w:ascii="Times New Roman" w:hAnsi="Times New Roman"/>
        </w:rPr>
        <w:t>-</w:t>
      </w:r>
      <w:r w:rsidRPr="005C28E7">
        <w:rPr>
          <w:rFonts w:ascii="Times New Roman" w:hAnsi="Times New Roman"/>
        </w:rPr>
        <w:t>48.</w:t>
      </w:r>
      <w:r w:rsidR="00030315" w:rsidRPr="005C28E7">
        <w:rPr>
          <w:rFonts w:ascii="Times New Roman" w:hAnsi="Times New Roman"/>
        </w:rPr>
        <w:t xml:space="preserve"> https://doi.org/10.1016/S0929-1199(01)00039-6</w:t>
      </w:r>
    </w:p>
    <w:p w14:paraId="60BBAC0D" w14:textId="11D22B14" w:rsidR="00450734" w:rsidRPr="005C28E7" w:rsidRDefault="008576C7" w:rsidP="00F83CEF">
      <w:pPr>
        <w:pStyle w:val="afb"/>
        <w:numPr>
          <w:ilvl w:val="0"/>
          <w:numId w:val="6"/>
        </w:numPr>
        <w:spacing w:before="280" w:line="560" w:lineRule="exact"/>
        <w:ind w:leftChars="0"/>
        <w:jc w:val="both"/>
        <w:rPr>
          <w:rFonts w:ascii="Times New Roman" w:hAnsi="Times New Roman"/>
        </w:rPr>
      </w:pPr>
      <w:r w:rsidRPr="005C28E7">
        <w:rPr>
          <w:rFonts w:ascii="Times New Roman" w:hAnsi="Times New Roman"/>
        </w:rPr>
        <w:t xml:space="preserve">Cohen, D. (2008). </w:t>
      </w:r>
      <w:r w:rsidR="00450734" w:rsidRPr="005C28E7">
        <w:rPr>
          <w:rFonts w:ascii="Times New Roman" w:hAnsi="Times New Roman"/>
        </w:rPr>
        <w:t xml:space="preserve">Does </w:t>
      </w:r>
      <w:r w:rsidRPr="005C28E7">
        <w:rPr>
          <w:rFonts w:ascii="Times New Roman" w:hAnsi="Times New Roman"/>
        </w:rPr>
        <w:t>i</w:t>
      </w:r>
      <w:r w:rsidR="00450734" w:rsidRPr="005C28E7">
        <w:rPr>
          <w:rFonts w:ascii="Times New Roman" w:hAnsi="Times New Roman"/>
        </w:rPr>
        <w:t xml:space="preserve">nformation </w:t>
      </w:r>
      <w:r w:rsidRPr="005C28E7">
        <w:rPr>
          <w:rFonts w:ascii="Times New Roman" w:hAnsi="Times New Roman"/>
        </w:rPr>
        <w:t>r</w:t>
      </w:r>
      <w:r w:rsidR="00450734" w:rsidRPr="005C28E7">
        <w:rPr>
          <w:rFonts w:ascii="Times New Roman" w:hAnsi="Times New Roman"/>
        </w:rPr>
        <w:t xml:space="preserve">isk </w:t>
      </w:r>
      <w:r w:rsidRPr="005C28E7">
        <w:rPr>
          <w:rFonts w:ascii="Times New Roman" w:hAnsi="Times New Roman"/>
        </w:rPr>
        <w:t>really m</w:t>
      </w:r>
      <w:r w:rsidR="00450734" w:rsidRPr="005C28E7">
        <w:rPr>
          <w:rFonts w:ascii="Times New Roman" w:hAnsi="Times New Roman"/>
        </w:rPr>
        <w:t xml:space="preserve">atter? An </w:t>
      </w:r>
      <w:r w:rsidRPr="005C28E7">
        <w:rPr>
          <w:rFonts w:ascii="Times New Roman" w:hAnsi="Times New Roman"/>
        </w:rPr>
        <w:t>a</w:t>
      </w:r>
      <w:r w:rsidR="00450734" w:rsidRPr="005C28E7">
        <w:rPr>
          <w:rFonts w:ascii="Times New Roman" w:hAnsi="Times New Roman"/>
        </w:rPr>
        <w:t xml:space="preserve">nalysis of the </w:t>
      </w:r>
      <w:r w:rsidRPr="005C28E7">
        <w:rPr>
          <w:rFonts w:ascii="Times New Roman" w:hAnsi="Times New Roman"/>
        </w:rPr>
        <w:t>d</w:t>
      </w:r>
      <w:r w:rsidR="00450734" w:rsidRPr="005C28E7">
        <w:rPr>
          <w:rFonts w:ascii="Times New Roman" w:hAnsi="Times New Roman"/>
        </w:rPr>
        <w:t xml:space="preserve">eterminants and </w:t>
      </w:r>
      <w:r w:rsidRPr="005C28E7">
        <w:rPr>
          <w:rFonts w:ascii="Times New Roman" w:hAnsi="Times New Roman"/>
        </w:rPr>
        <w:t>e</w:t>
      </w:r>
      <w:r w:rsidR="00450734" w:rsidRPr="005C28E7">
        <w:rPr>
          <w:rFonts w:ascii="Times New Roman" w:hAnsi="Times New Roman"/>
        </w:rPr>
        <w:t xml:space="preserve">conomic </w:t>
      </w:r>
      <w:r w:rsidRPr="005C28E7">
        <w:rPr>
          <w:rFonts w:ascii="Times New Roman" w:hAnsi="Times New Roman"/>
        </w:rPr>
        <w:t>co</w:t>
      </w:r>
      <w:r w:rsidR="00450734" w:rsidRPr="005C28E7">
        <w:rPr>
          <w:rFonts w:ascii="Times New Roman" w:hAnsi="Times New Roman"/>
        </w:rPr>
        <w:t xml:space="preserve">nsequences of </w:t>
      </w:r>
      <w:r w:rsidRPr="005C28E7">
        <w:rPr>
          <w:rFonts w:ascii="Times New Roman" w:hAnsi="Times New Roman"/>
        </w:rPr>
        <w:t>f</w:t>
      </w:r>
      <w:r w:rsidR="00450734" w:rsidRPr="005C28E7">
        <w:rPr>
          <w:rFonts w:ascii="Times New Roman" w:hAnsi="Times New Roman"/>
        </w:rPr>
        <w:t xml:space="preserve">inancial </w:t>
      </w:r>
      <w:r w:rsidRPr="005C28E7">
        <w:rPr>
          <w:rFonts w:ascii="Times New Roman" w:hAnsi="Times New Roman"/>
        </w:rPr>
        <w:t>r</w:t>
      </w:r>
      <w:r w:rsidR="00450734" w:rsidRPr="005C28E7">
        <w:rPr>
          <w:rFonts w:ascii="Times New Roman" w:hAnsi="Times New Roman"/>
        </w:rPr>
        <w:t xml:space="preserve">eporting </w:t>
      </w:r>
      <w:r w:rsidRPr="005C28E7">
        <w:rPr>
          <w:rFonts w:ascii="Times New Roman" w:hAnsi="Times New Roman"/>
        </w:rPr>
        <w:t>quality</w:t>
      </w:r>
      <w:r w:rsidR="00450734" w:rsidRPr="005C28E7">
        <w:rPr>
          <w:rFonts w:ascii="Times New Roman" w:hAnsi="Times New Roman"/>
        </w:rPr>
        <w:t xml:space="preserve">, </w:t>
      </w:r>
      <w:r w:rsidR="00450734" w:rsidRPr="005C28E7">
        <w:rPr>
          <w:rFonts w:ascii="Times New Roman" w:hAnsi="Times New Roman"/>
          <w:i/>
        </w:rPr>
        <w:t>Asia-Pacific Journal of Accounting and Economics</w:t>
      </w:r>
      <w:r w:rsidR="00450734" w:rsidRPr="005C28E7">
        <w:rPr>
          <w:rFonts w:ascii="Times New Roman" w:hAnsi="Times New Roman"/>
        </w:rPr>
        <w:t>, 15</w:t>
      </w:r>
      <w:r w:rsidR="0024487B" w:rsidRPr="005C28E7">
        <w:rPr>
          <w:rFonts w:ascii="Times New Roman" w:hAnsi="Times New Roman"/>
        </w:rPr>
        <w:t>(2)</w:t>
      </w:r>
      <w:r w:rsidR="004654DF" w:rsidRPr="005C28E7">
        <w:rPr>
          <w:rFonts w:ascii="Times New Roman" w:hAnsi="Times New Roman"/>
        </w:rPr>
        <w:t>,</w:t>
      </w:r>
      <w:r w:rsidR="009A3CB1" w:rsidRPr="005C28E7">
        <w:rPr>
          <w:rFonts w:ascii="Times New Roman" w:hAnsi="Times New Roman"/>
        </w:rPr>
        <w:t xml:space="preserve"> </w:t>
      </w:r>
      <w:r w:rsidR="002B460E" w:rsidRPr="005C28E7">
        <w:rPr>
          <w:rFonts w:ascii="Times New Roman" w:hAnsi="Times New Roman"/>
          <w:spacing w:val="-4"/>
        </w:rPr>
        <w:t>pp.</w:t>
      </w:r>
      <w:r w:rsidR="00450734" w:rsidRPr="005C28E7">
        <w:rPr>
          <w:rFonts w:ascii="Times New Roman" w:hAnsi="Times New Roman"/>
        </w:rPr>
        <w:t>69-90.</w:t>
      </w:r>
      <w:r w:rsidR="0024487B" w:rsidRPr="005C28E7">
        <w:rPr>
          <w:rFonts w:ascii="Times New Roman" w:hAnsi="Times New Roman"/>
        </w:rPr>
        <w:t xml:space="preserve"> https://doi.org/10.1080/16081625.2008.9720812</w:t>
      </w:r>
    </w:p>
    <w:p w14:paraId="5A09AAD5" w14:textId="12F2916D" w:rsidR="00450734" w:rsidRPr="005C28E7" w:rsidRDefault="00450734" w:rsidP="00F83CEF">
      <w:pPr>
        <w:pStyle w:val="afb"/>
        <w:numPr>
          <w:ilvl w:val="0"/>
          <w:numId w:val="6"/>
        </w:numPr>
        <w:spacing w:before="280" w:line="560" w:lineRule="exact"/>
        <w:ind w:leftChars="0"/>
        <w:jc w:val="both"/>
        <w:rPr>
          <w:rFonts w:ascii="Times New Roman" w:hAnsi="Times New Roman"/>
          <w:iCs/>
        </w:rPr>
      </w:pPr>
      <w:r w:rsidRPr="005C28E7">
        <w:rPr>
          <w:rFonts w:ascii="Times New Roman" w:hAnsi="Times New Roman"/>
        </w:rPr>
        <w:t>Core, J.</w:t>
      </w:r>
      <w:r w:rsidR="0058134A" w:rsidRPr="005C28E7">
        <w:rPr>
          <w:rFonts w:ascii="Times New Roman" w:hAnsi="Times New Roman"/>
        </w:rPr>
        <w:t xml:space="preserve"> </w:t>
      </w:r>
      <w:r w:rsidRPr="005C28E7">
        <w:rPr>
          <w:rFonts w:ascii="Times New Roman" w:hAnsi="Times New Roman"/>
        </w:rPr>
        <w:t xml:space="preserve">E., </w:t>
      </w:r>
      <w:proofErr w:type="spellStart"/>
      <w:r w:rsidR="0058134A" w:rsidRPr="005C28E7">
        <w:rPr>
          <w:rFonts w:ascii="Times New Roman" w:hAnsi="Times New Roman"/>
        </w:rPr>
        <w:t>Guay</w:t>
      </w:r>
      <w:proofErr w:type="spellEnd"/>
      <w:r w:rsidR="0058134A" w:rsidRPr="005C28E7">
        <w:rPr>
          <w:rFonts w:ascii="Times New Roman" w:hAnsi="Times New Roman"/>
        </w:rPr>
        <w:t xml:space="preserve">, </w:t>
      </w:r>
      <w:r w:rsidRPr="005C28E7">
        <w:rPr>
          <w:rFonts w:ascii="Times New Roman" w:hAnsi="Times New Roman"/>
        </w:rPr>
        <w:t>W.</w:t>
      </w:r>
      <w:r w:rsidR="0058134A" w:rsidRPr="005C28E7">
        <w:rPr>
          <w:rFonts w:ascii="Times New Roman" w:hAnsi="Times New Roman"/>
        </w:rPr>
        <w:t xml:space="preserve"> </w:t>
      </w:r>
      <w:r w:rsidRPr="005C28E7">
        <w:rPr>
          <w:rFonts w:ascii="Times New Roman" w:hAnsi="Times New Roman"/>
        </w:rPr>
        <w:t xml:space="preserve">R. and </w:t>
      </w:r>
      <w:r w:rsidR="0058134A" w:rsidRPr="005C28E7">
        <w:rPr>
          <w:rFonts w:ascii="Times New Roman" w:hAnsi="Times New Roman"/>
        </w:rPr>
        <w:t xml:space="preserve">Verdi, </w:t>
      </w:r>
      <w:r w:rsidRPr="005C28E7">
        <w:rPr>
          <w:rFonts w:ascii="Times New Roman" w:hAnsi="Times New Roman"/>
        </w:rPr>
        <w:t>R. (2008)</w:t>
      </w:r>
      <w:r w:rsidR="0058134A" w:rsidRPr="005C28E7">
        <w:rPr>
          <w:rFonts w:ascii="Times New Roman" w:hAnsi="Times New Roman"/>
        </w:rPr>
        <w:t xml:space="preserve">. </w:t>
      </w:r>
      <w:r w:rsidRPr="005C28E7">
        <w:rPr>
          <w:rFonts w:ascii="Times New Roman" w:hAnsi="Times New Roman"/>
        </w:rPr>
        <w:t xml:space="preserve">Is </w:t>
      </w:r>
      <w:r w:rsidR="0058134A" w:rsidRPr="005C28E7">
        <w:rPr>
          <w:rFonts w:ascii="Times New Roman" w:hAnsi="Times New Roman"/>
        </w:rPr>
        <w:t>a</w:t>
      </w:r>
      <w:r w:rsidRPr="005C28E7">
        <w:rPr>
          <w:rFonts w:ascii="Times New Roman" w:hAnsi="Times New Roman"/>
        </w:rPr>
        <w:t xml:space="preserve">ccruals </w:t>
      </w:r>
      <w:r w:rsidR="0058134A" w:rsidRPr="005C28E7">
        <w:rPr>
          <w:rFonts w:ascii="Times New Roman" w:hAnsi="Times New Roman"/>
        </w:rPr>
        <w:t>q</w:t>
      </w:r>
      <w:r w:rsidRPr="005C28E7">
        <w:rPr>
          <w:rFonts w:ascii="Times New Roman" w:hAnsi="Times New Roman"/>
        </w:rPr>
        <w:t xml:space="preserve">uality a </w:t>
      </w:r>
      <w:r w:rsidR="0058134A" w:rsidRPr="005C28E7">
        <w:rPr>
          <w:rFonts w:ascii="Times New Roman" w:hAnsi="Times New Roman"/>
        </w:rPr>
        <w:t>p</w:t>
      </w:r>
      <w:r w:rsidRPr="005C28E7">
        <w:rPr>
          <w:rFonts w:ascii="Times New Roman" w:hAnsi="Times New Roman"/>
        </w:rPr>
        <w:t xml:space="preserve">riced </w:t>
      </w:r>
      <w:r w:rsidR="0058134A" w:rsidRPr="005C28E7">
        <w:rPr>
          <w:rFonts w:ascii="Times New Roman" w:hAnsi="Times New Roman"/>
        </w:rPr>
        <w:t xml:space="preserve">risk </w:t>
      </w:r>
      <w:proofErr w:type="gramStart"/>
      <w:r w:rsidR="0058134A" w:rsidRPr="005C28E7">
        <w:rPr>
          <w:rFonts w:ascii="Times New Roman" w:hAnsi="Times New Roman"/>
        </w:rPr>
        <w:t>factor?</w:t>
      </w:r>
      <w:r w:rsidRPr="005C28E7">
        <w:rPr>
          <w:rFonts w:ascii="Times New Roman" w:hAnsi="Times New Roman"/>
        </w:rPr>
        <w:t>,</w:t>
      </w:r>
      <w:proofErr w:type="gramEnd"/>
      <w:r w:rsidR="009A3CB1" w:rsidRPr="005C28E7">
        <w:rPr>
          <w:rFonts w:ascii="Times New Roman" w:hAnsi="Times New Roman"/>
        </w:rPr>
        <w:t xml:space="preserve"> </w:t>
      </w:r>
      <w:r w:rsidRPr="005C28E7">
        <w:rPr>
          <w:rFonts w:ascii="Times New Roman" w:hAnsi="Times New Roman"/>
          <w:i/>
          <w:iCs/>
        </w:rPr>
        <w:t>Journal of Accounting and Economics</w:t>
      </w:r>
      <w:r w:rsidRPr="005C28E7">
        <w:rPr>
          <w:rFonts w:ascii="Times New Roman" w:hAnsi="Times New Roman"/>
          <w:iCs/>
        </w:rPr>
        <w:t>, 46</w:t>
      </w:r>
      <w:r w:rsidR="0024487B" w:rsidRPr="005C28E7">
        <w:rPr>
          <w:rFonts w:ascii="Times New Roman" w:hAnsi="Times New Roman"/>
          <w:iCs/>
        </w:rPr>
        <w:t>(1)</w:t>
      </w:r>
      <w:r w:rsidR="004654DF" w:rsidRPr="005C28E7">
        <w:rPr>
          <w:rFonts w:ascii="Times New Roman" w:hAnsi="Times New Roman"/>
          <w:iCs/>
        </w:rPr>
        <w:t>,</w:t>
      </w:r>
      <w:r w:rsidRPr="005C28E7">
        <w:rPr>
          <w:rFonts w:ascii="Times New Roman" w:hAnsi="Times New Roman"/>
          <w:iCs/>
        </w:rPr>
        <w:t xml:space="preserve"> </w:t>
      </w:r>
      <w:r w:rsidR="002B460E" w:rsidRPr="005C28E7">
        <w:rPr>
          <w:rFonts w:ascii="Times New Roman" w:hAnsi="Times New Roman"/>
          <w:spacing w:val="-4"/>
        </w:rPr>
        <w:t>pp.</w:t>
      </w:r>
      <w:r w:rsidRPr="005C28E7">
        <w:rPr>
          <w:rFonts w:ascii="Times New Roman" w:hAnsi="Times New Roman"/>
          <w:iCs/>
        </w:rPr>
        <w:t>2-22.</w:t>
      </w:r>
      <w:r w:rsidR="0024487B" w:rsidRPr="005C28E7">
        <w:rPr>
          <w:rFonts w:ascii="Times New Roman" w:hAnsi="Times New Roman"/>
        </w:rPr>
        <w:t xml:space="preserve"> </w:t>
      </w:r>
      <w:r w:rsidR="0024487B" w:rsidRPr="005C28E7">
        <w:rPr>
          <w:rFonts w:ascii="Times New Roman" w:hAnsi="Times New Roman"/>
          <w:iCs/>
        </w:rPr>
        <w:t>https://doi.org/10.1016/j.jacceco.2007.08.001</w:t>
      </w:r>
    </w:p>
    <w:p w14:paraId="6414737D" w14:textId="3527016A" w:rsidR="00034C2A" w:rsidRPr="005C28E7" w:rsidRDefault="00D525DA" w:rsidP="00F83CEF">
      <w:pPr>
        <w:pStyle w:val="afb"/>
        <w:numPr>
          <w:ilvl w:val="0"/>
          <w:numId w:val="6"/>
        </w:numPr>
        <w:spacing w:before="280" w:line="560" w:lineRule="exact"/>
        <w:ind w:leftChars="0"/>
        <w:jc w:val="both"/>
        <w:rPr>
          <w:rFonts w:ascii="Times New Roman" w:hAnsi="Times New Roman"/>
        </w:rPr>
      </w:pPr>
      <w:r w:rsidRPr="005C28E7">
        <w:rPr>
          <w:rFonts w:ascii="Times New Roman" w:hAnsi="Times New Roman"/>
        </w:rPr>
        <w:t xml:space="preserve">De </w:t>
      </w:r>
      <w:proofErr w:type="spellStart"/>
      <w:r w:rsidRPr="005C28E7">
        <w:rPr>
          <w:rFonts w:ascii="Times New Roman" w:hAnsi="Times New Roman"/>
        </w:rPr>
        <w:t>Bondt</w:t>
      </w:r>
      <w:proofErr w:type="spellEnd"/>
      <w:r w:rsidRPr="005C28E7">
        <w:rPr>
          <w:rFonts w:ascii="Times New Roman" w:hAnsi="Times New Roman"/>
        </w:rPr>
        <w:t>, W.</w:t>
      </w:r>
      <w:r w:rsidR="000B7A5A" w:rsidRPr="005C28E7">
        <w:rPr>
          <w:rFonts w:ascii="Times New Roman" w:hAnsi="Times New Roman"/>
        </w:rPr>
        <w:t xml:space="preserve"> </w:t>
      </w:r>
      <w:r w:rsidRPr="005C28E7">
        <w:rPr>
          <w:rFonts w:ascii="Times New Roman" w:hAnsi="Times New Roman"/>
        </w:rPr>
        <w:t>F. (1998</w:t>
      </w:r>
      <w:r w:rsidR="000B7A5A" w:rsidRPr="005C28E7">
        <w:rPr>
          <w:rFonts w:ascii="Times New Roman" w:hAnsi="Times New Roman"/>
        </w:rPr>
        <w:t>).</w:t>
      </w:r>
      <w:r w:rsidRPr="005C28E7">
        <w:rPr>
          <w:rFonts w:ascii="Times New Roman" w:hAnsi="Times New Roman"/>
        </w:rPr>
        <w:t xml:space="preserve"> A </w:t>
      </w:r>
      <w:r w:rsidR="000B7A5A" w:rsidRPr="005C28E7">
        <w:rPr>
          <w:rFonts w:ascii="Times New Roman" w:hAnsi="Times New Roman"/>
        </w:rPr>
        <w:t>p</w:t>
      </w:r>
      <w:r w:rsidRPr="005C28E7">
        <w:rPr>
          <w:rFonts w:ascii="Times New Roman" w:hAnsi="Times New Roman"/>
        </w:rPr>
        <w:t xml:space="preserve">ortrait of the </w:t>
      </w:r>
      <w:r w:rsidR="000B7A5A" w:rsidRPr="005C28E7">
        <w:rPr>
          <w:rFonts w:ascii="Times New Roman" w:hAnsi="Times New Roman"/>
        </w:rPr>
        <w:t>i</w:t>
      </w:r>
      <w:r w:rsidRPr="005C28E7">
        <w:rPr>
          <w:rFonts w:ascii="Times New Roman" w:hAnsi="Times New Roman"/>
        </w:rPr>
        <w:t xml:space="preserve">ndividual </w:t>
      </w:r>
      <w:r w:rsidR="000B7A5A" w:rsidRPr="005C28E7">
        <w:rPr>
          <w:rFonts w:ascii="Times New Roman" w:hAnsi="Times New Roman"/>
        </w:rPr>
        <w:t>investor</w:t>
      </w:r>
      <w:r w:rsidRPr="005C28E7">
        <w:rPr>
          <w:rFonts w:ascii="Times New Roman" w:hAnsi="Times New Roman"/>
        </w:rPr>
        <w:t xml:space="preserve">, </w:t>
      </w:r>
      <w:r w:rsidRPr="005C28E7">
        <w:rPr>
          <w:rFonts w:ascii="Times New Roman" w:hAnsi="Times New Roman"/>
          <w:i/>
        </w:rPr>
        <w:t>European Economic Review</w:t>
      </w:r>
      <w:r w:rsidRPr="005C28E7">
        <w:rPr>
          <w:rFonts w:ascii="Times New Roman" w:hAnsi="Times New Roman"/>
        </w:rPr>
        <w:t xml:space="preserve">, </w:t>
      </w:r>
      <w:r w:rsidR="000B7A5A" w:rsidRPr="005C28E7">
        <w:rPr>
          <w:rFonts w:ascii="Times New Roman" w:hAnsi="Times New Roman"/>
        </w:rPr>
        <w:t>42</w:t>
      </w:r>
      <w:r w:rsidR="0024487B" w:rsidRPr="005C28E7">
        <w:rPr>
          <w:rFonts w:ascii="Times New Roman" w:hAnsi="Times New Roman"/>
        </w:rPr>
        <w:t>(3-5)</w:t>
      </w:r>
      <w:r w:rsidR="004654DF" w:rsidRPr="005C28E7">
        <w:rPr>
          <w:rFonts w:ascii="Times New Roman" w:hAnsi="Times New Roman"/>
        </w:rPr>
        <w:t>,</w:t>
      </w:r>
      <w:r w:rsidRPr="005C28E7">
        <w:rPr>
          <w:rFonts w:ascii="Times New Roman" w:hAnsi="Times New Roman"/>
        </w:rPr>
        <w:t xml:space="preserve"> </w:t>
      </w:r>
      <w:r w:rsidR="002B460E" w:rsidRPr="005C28E7">
        <w:rPr>
          <w:rFonts w:ascii="Times New Roman" w:hAnsi="Times New Roman"/>
          <w:spacing w:val="-4"/>
        </w:rPr>
        <w:t>pp.</w:t>
      </w:r>
      <w:r w:rsidRPr="005C28E7">
        <w:rPr>
          <w:rFonts w:ascii="Times New Roman" w:hAnsi="Times New Roman"/>
        </w:rPr>
        <w:t>831-844.</w:t>
      </w:r>
      <w:r w:rsidR="0024487B" w:rsidRPr="005C28E7">
        <w:rPr>
          <w:rFonts w:ascii="Times New Roman" w:hAnsi="Times New Roman"/>
        </w:rPr>
        <w:t xml:space="preserve"> https://doi.org/10.1016/S0014-2921(98)00009-9</w:t>
      </w:r>
    </w:p>
    <w:p w14:paraId="41555343" w14:textId="4F939F01" w:rsidR="00450734" w:rsidRPr="005C28E7" w:rsidRDefault="00450734" w:rsidP="00F83CEF">
      <w:pPr>
        <w:pStyle w:val="afb"/>
        <w:numPr>
          <w:ilvl w:val="0"/>
          <w:numId w:val="6"/>
        </w:numPr>
        <w:spacing w:before="280" w:line="560" w:lineRule="exact"/>
        <w:ind w:leftChars="0"/>
        <w:jc w:val="both"/>
        <w:rPr>
          <w:rFonts w:ascii="Times New Roman" w:hAnsi="Times New Roman"/>
        </w:rPr>
      </w:pPr>
      <w:proofErr w:type="spellStart"/>
      <w:r w:rsidRPr="005C28E7">
        <w:rPr>
          <w:rFonts w:ascii="Times New Roman" w:hAnsi="Times New Roman"/>
          <w:w w:val="103"/>
          <w:kern w:val="0"/>
        </w:rPr>
        <w:t>Dechow</w:t>
      </w:r>
      <w:proofErr w:type="spellEnd"/>
      <w:r w:rsidRPr="005C28E7">
        <w:rPr>
          <w:rFonts w:ascii="Times New Roman" w:hAnsi="Times New Roman"/>
          <w:w w:val="103"/>
          <w:kern w:val="0"/>
        </w:rPr>
        <w:t>, P.</w:t>
      </w:r>
      <w:r w:rsidR="00304B4A" w:rsidRPr="005C28E7">
        <w:rPr>
          <w:rFonts w:ascii="Times New Roman" w:hAnsi="Times New Roman"/>
          <w:w w:val="103"/>
          <w:kern w:val="0"/>
        </w:rPr>
        <w:t>,</w:t>
      </w:r>
      <w:r w:rsidRPr="005C28E7">
        <w:rPr>
          <w:rFonts w:ascii="Times New Roman" w:hAnsi="Times New Roman"/>
          <w:w w:val="103"/>
          <w:kern w:val="0"/>
        </w:rPr>
        <w:t xml:space="preserve"> and </w:t>
      </w:r>
      <w:proofErr w:type="spellStart"/>
      <w:r w:rsidR="00304B4A" w:rsidRPr="005C28E7">
        <w:rPr>
          <w:rFonts w:ascii="Times New Roman" w:hAnsi="Times New Roman"/>
          <w:w w:val="103"/>
          <w:kern w:val="0"/>
        </w:rPr>
        <w:t>Dichev</w:t>
      </w:r>
      <w:proofErr w:type="spellEnd"/>
      <w:r w:rsidR="00304B4A" w:rsidRPr="005C28E7">
        <w:rPr>
          <w:rFonts w:ascii="Times New Roman" w:hAnsi="Times New Roman"/>
          <w:w w:val="103"/>
          <w:kern w:val="0"/>
        </w:rPr>
        <w:t xml:space="preserve">, </w:t>
      </w:r>
      <w:r w:rsidRPr="005C28E7">
        <w:rPr>
          <w:rFonts w:ascii="Times New Roman" w:hAnsi="Times New Roman"/>
          <w:w w:val="103"/>
          <w:kern w:val="0"/>
        </w:rPr>
        <w:t>I.</w:t>
      </w:r>
      <w:r w:rsidR="00EC1460" w:rsidRPr="005C28E7">
        <w:rPr>
          <w:rFonts w:ascii="Times New Roman" w:hAnsi="Times New Roman"/>
          <w:w w:val="103"/>
          <w:kern w:val="0"/>
        </w:rPr>
        <w:t xml:space="preserve"> </w:t>
      </w:r>
      <w:r w:rsidRPr="005C28E7">
        <w:rPr>
          <w:rFonts w:ascii="Times New Roman" w:hAnsi="Times New Roman"/>
          <w:w w:val="103"/>
          <w:kern w:val="0"/>
        </w:rPr>
        <w:t>(2002)</w:t>
      </w:r>
      <w:r w:rsidR="009A3CB1" w:rsidRPr="005C28E7">
        <w:rPr>
          <w:rFonts w:ascii="Times New Roman" w:hAnsi="Times New Roman"/>
          <w:w w:val="103"/>
          <w:kern w:val="0"/>
        </w:rPr>
        <w:t>,</w:t>
      </w:r>
      <w:r w:rsidR="00304B4A" w:rsidRPr="005C28E7">
        <w:rPr>
          <w:rFonts w:ascii="Times New Roman" w:hAnsi="Times New Roman"/>
          <w:w w:val="103"/>
          <w:kern w:val="0"/>
        </w:rPr>
        <w:t xml:space="preserve"> </w:t>
      </w:r>
      <w:r w:rsidRPr="005C28E7">
        <w:rPr>
          <w:rFonts w:ascii="Times New Roman" w:hAnsi="Times New Roman"/>
          <w:w w:val="103"/>
          <w:kern w:val="0"/>
        </w:rPr>
        <w:t xml:space="preserve">The </w:t>
      </w:r>
      <w:r w:rsidR="00304B4A" w:rsidRPr="005C28E7">
        <w:rPr>
          <w:rFonts w:ascii="Times New Roman" w:hAnsi="Times New Roman"/>
          <w:w w:val="103"/>
          <w:kern w:val="0"/>
        </w:rPr>
        <w:t>q</w:t>
      </w:r>
      <w:r w:rsidRPr="005C28E7">
        <w:rPr>
          <w:rFonts w:ascii="Times New Roman" w:hAnsi="Times New Roman"/>
          <w:w w:val="103"/>
          <w:kern w:val="0"/>
        </w:rPr>
        <w:t xml:space="preserve">uality of </w:t>
      </w:r>
      <w:r w:rsidR="00304B4A" w:rsidRPr="005C28E7">
        <w:rPr>
          <w:rFonts w:ascii="Times New Roman" w:hAnsi="Times New Roman"/>
          <w:w w:val="103"/>
          <w:kern w:val="0"/>
        </w:rPr>
        <w:t>a</w:t>
      </w:r>
      <w:r w:rsidRPr="005C28E7">
        <w:rPr>
          <w:rFonts w:ascii="Times New Roman" w:hAnsi="Times New Roman"/>
          <w:w w:val="103"/>
          <w:kern w:val="0"/>
        </w:rPr>
        <w:t xml:space="preserve">ccruals and </w:t>
      </w:r>
      <w:r w:rsidR="00304B4A" w:rsidRPr="005C28E7">
        <w:rPr>
          <w:rFonts w:ascii="Times New Roman" w:hAnsi="Times New Roman"/>
          <w:w w:val="103"/>
          <w:kern w:val="0"/>
        </w:rPr>
        <w:t>e</w:t>
      </w:r>
      <w:r w:rsidRPr="005C28E7">
        <w:rPr>
          <w:rFonts w:ascii="Times New Roman" w:hAnsi="Times New Roman"/>
          <w:w w:val="103"/>
          <w:kern w:val="0"/>
        </w:rPr>
        <w:t xml:space="preserve">arnings: </w:t>
      </w:r>
      <w:r w:rsidR="00EC1460" w:rsidRPr="005C28E7">
        <w:rPr>
          <w:rFonts w:ascii="Times New Roman" w:hAnsi="Times New Roman"/>
          <w:w w:val="103"/>
          <w:kern w:val="0"/>
        </w:rPr>
        <w:t>T</w:t>
      </w:r>
      <w:r w:rsidRPr="005C28E7">
        <w:rPr>
          <w:rFonts w:ascii="Times New Roman" w:hAnsi="Times New Roman"/>
          <w:w w:val="103"/>
          <w:kern w:val="0"/>
        </w:rPr>
        <w:t xml:space="preserve">he </w:t>
      </w:r>
      <w:r w:rsidR="00304B4A" w:rsidRPr="005C28E7">
        <w:rPr>
          <w:rFonts w:ascii="Times New Roman" w:hAnsi="Times New Roman"/>
          <w:w w:val="103"/>
          <w:kern w:val="0"/>
        </w:rPr>
        <w:t>r</w:t>
      </w:r>
      <w:r w:rsidRPr="005C28E7">
        <w:rPr>
          <w:rFonts w:ascii="Times New Roman" w:hAnsi="Times New Roman"/>
          <w:w w:val="103"/>
          <w:kern w:val="0"/>
        </w:rPr>
        <w:t xml:space="preserve">ole of </w:t>
      </w:r>
      <w:r w:rsidR="00304B4A" w:rsidRPr="005C28E7">
        <w:rPr>
          <w:rFonts w:ascii="Times New Roman" w:hAnsi="Times New Roman"/>
          <w:w w:val="103"/>
          <w:kern w:val="0"/>
        </w:rPr>
        <w:t>a</w:t>
      </w:r>
      <w:r w:rsidRPr="005C28E7">
        <w:rPr>
          <w:rFonts w:ascii="Times New Roman" w:hAnsi="Times New Roman"/>
          <w:w w:val="103"/>
          <w:kern w:val="0"/>
        </w:rPr>
        <w:t xml:space="preserve">ccrual </w:t>
      </w:r>
      <w:r w:rsidR="00304B4A" w:rsidRPr="005C28E7">
        <w:rPr>
          <w:rFonts w:ascii="Times New Roman" w:hAnsi="Times New Roman"/>
          <w:w w:val="103"/>
          <w:kern w:val="0"/>
        </w:rPr>
        <w:t>e</w:t>
      </w:r>
      <w:r w:rsidRPr="005C28E7">
        <w:rPr>
          <w:rFonts w:ascii="Times New Roman" w:hAnsi="Times New Roman"/>
          <w:w w:val="103"/>
          <w:kern w:val="0"/>
        </w:rPr>
        <w:t xml:space="preserve">stimation </w:t>
      </w:r>
      <w:r w:rsidR="00304B4A" w:rsidRPr="005C28E7">
        <w:rPr>
          <w:rFonts w:ascii="Times New Roman" w:hAnsi="Times New Roman"/>
          <w:w w:val="103"/>
          <w:kern w:val="0"/>
        </w:rPr>
        <w:t>errors</w:t>
      </w:r>
      <w:r w:rsidR="00EC1460" w:rsidRPr="005C28E7">
        <w:rPr>
          <w:rFonts w:ascii="Times New Roman" w:hAnsi="Times New Roman"/>
          <w:w w:val="103"/>
          <w:kern w:val="0"/>
        </w:rPr>
        <w:t>,</w:t>
      </w:r>
      <w:r w:rsidRPr="005C28E7">
        <w:rPr>
          <w:rFonts w:ascii="Times New Roman" w:hAnsi="Times New Roman"/>
          <w:w w:val="103"/>
          <w:kern w:val="0"/>
        </w:rPr>
        <w:t xml:space="preserve"> </w:t>
      </w:r>
      <w:r w:rsidRPr="005C28E7">
        <w:rPr>
          <w:rFonts w:ascii="Times New Roman" w:hAnsi="Times New Roman"/>
          <w:i/>
          <w:w w:val="103"/>
          <w:kern w:val="0"/>
        </w:rPr>
        <w:t>Accounting Review</w:t>
      </w:r>
      <w:r w:rsidRPr="005C28E7">
        <w:rPr>
          <w:rFonts w:ascii="Times New Roman" w:hAnsi="Times New Roman"/>
          <w:w w:val="103"/>
          <w:kern w:val="0"/>
        </w:rPr>
        <w:t>, 77</w:t>
      </w:r>
      <w:r w:rsidR="004654DF" w:rsidRPr="005C28E7">
        <w:rPr>
          <w:rFonts w:ascii="Times New Roman" w:hAnsi="Times New Roman"/>
          <w:w w:val="103"/>
          <w:kern w:val="0"/>
        </w:rPr>
        <w:t>,</w:t>
      </w:r>
      <w:r w:rsidR="00EC1460" w:rsidRPr="005C28E7">
        <w:rPr>
          <w:rFonts w:ascii="Times New Roman" w:hAnsi="Times New Roman"/>
          <w:w w:val="103"/>
          <w:kern w:val="0"/>
        </w:rPr>
        <w:t xml:space="preserve"> </w:t>
      </w:r>
      <w:r w:rsidR="002B460E" w:rsidRPr="005C28E7">
        <w:rPr>
          <w:rFonts w:ascii="Times New Roman" w:hAnsi="Times New Roman"/>
          <w:spacing w:val="-4"/>
        </w:rPr>
        <w:t>pp.</w:t>
      </w:r>
      <w:r w:rsidRPr="005C28E7">
        <w:rPr>
          <w:rFonts w:ascii="Times New Roman" w:hAnsi="Times New Roman"/>
          <w:w w:val="103"/>
          <w:kern w:val="0"/>
        </w:rPr>
        <w:t>35</w:t>
      </w:r>
      <w:r w:rsidR="00EC1460" w:rsidRPr="005C28E7">
        <w:rPr>
          <w:rFonts w:ascii="Times New Roman" w:hAnsi="Times New Roman"/>
          <w:w w:val="103"/>
          <w:kern w:val="0"/>
        </w:rPr>
        <w:t>-</w:t>
      </w:r>
      <w:r w:rsidRPr="005C28E7">
        <w:rPr>
          <w:rFonts w:ascii="Times New Roman" w:hAnsi="Times New Roman"/>
          <w:w w:val="103"/>
          <w:kern w:val="0"/>
        </w:rPr>
        <w:t>59.</w:t>
      </w:r>
      <w:r w:rsidR="005A43FA" w:rsidRPr="005C28E7">
        <w:rPr>
          <w:rFonts w:ascii="Times New Roman" w:hAnsi="Times New Roman"/>
        </w:rPr>
        <w:t xml:space="preserve"> </w:t>
      </w:r>
      <w:r w:rsidR="005A43FA" w:rsidRPr="005C28E7">
        <w:rPr>
          <w:rFonts w:ascii="Times New Roman" w:hAnsi="Times New Roman"/>
          <w:w w:val="103"/>
          <w:kern w:val="0"/>
        </w:rPr>
        <w:t>https://www.jstor.org/stable/3203325</w:t>
      </w:r>
    </w:p>
    <w:p w14:paraId="636E5E38" w14:textId="58642419" w:rsidR="00450734" w:rsidRPr="005C28E7" w:rsidRDefault="00450734" w:rsidP="00F83CEF">
      <w:pPr>
        <w:pStyle w:val="afb"/>
        <w:numPr>
          <w:ilvl w:val="0"/>
          <w:numId w:val="6"/>
        </w:numPr>
        <w:spacing w:before="240" w:line="580" w:lineRule="exact"/>
        <w:ind w:leftChars="0"/>
        <w:jc w:val="both"/>
        <w:rPr>
          <w:rFonts w:ascii="Times New Roman" w:hAnsi="Times New Roman"/>
        </w:rPr>
      </w:pPr>
      <w:r w:rsidRPr="005C28E7">
        <w:rPr>
          <w:rFonts w:ascii="Times New Roman" w:hAnsi="Times New Roman"/>
          <w:kern w:val="0"/>
        </w:rPr>
        <w:t>Easley, D.</w:t>
      </w:r>
      <w:r w:rsidR="00CE1F64" w:rsidRPr="005C28E7">
        <w:rPr>
          <w:rFonts w:ascii="Times New Roman" w:hAnsi="Times New Roman"/>
          <w:kern w:val="0"/>
        </w:rPr>
        <w:t>,</w:t>
      </w:r>
      <w:r w:rsidRPr="005C28E7">
        <w:rPr>
          <w:rFonts w:ascii="Times New Roman" w:hAnsi="Times New Roman"/>
          <w:kern w:val="0"/>
        </w:rPr>
        <w:t xml:space="preserve"> and </w:t>
      </w:r>
      <w:r w:rsidR="00CE1F64" w:rsidRPr="005C28E7">
        <w:rPr>
          <w:rFonts w:ascii="Times New Roman" w:hAnsi="Times New Roman"/>
          <w:kern w:val="0"/>
        </w:rPr>
        <w:t xml:space="preserve">O’Hara, </w:t>
      </w:r>
      <w:r w:rsidRPr="005C28E7">
        <w:rPr>
          <w:rFonts w:ascii="Times New Roman" w:hAnsi="Times New Roman"/>
          <w:kern w:val="0"/>
        </w:rPr>
        <w:t xml:space="preserve">M. </w:t>
      </w:r>
      <w:r w:rsidR="00CE1F64" w:rsidRPr="005C28E7">
        <w:rPr>
          <w:rFonts w:ascii="Times New Roman" w:hAnsi="Times New Roman"/>
          <w:kern w:val="0"/>
        </w:rPr>
        <w:t>(2004).</w:t>
      </w:r>
      <w:r w:rsidR="009A3CB1" w:rsidRPr="005C28E7">
        <w:rPr>
          <w:rFonts w:ascii="Times New Roman" w:hAnsi="Times New Roman"/>
          <w:kern w:val="0"/>
        </w:rPr>
        <w:t xml:space="preserve"> </w:t>
      </w:r>
      <w:r w:rsidRPr="005C28E7">
        <w:rPr>
          <w:rFonts w:ascii="Times New Roman" w:hAnsi="Times New Roman"/>
          <w:kern w:val="0"/>
        </w:rPr>
        <w:t xml:space="preserve">Information and the </w:t>
      </w:r>
      <w:r w:rsidR="00CE1F64" w:rsidRPr="005C28E7">
        <w:rPr>
          <w:rFonts w:ascii="Times New Roman" w:hAnsi="Times New Roman"/>
          <w:kern w:val="0"/>
        </w:rPr>
        <w:t>c</w:t>
      </w:r>
      <w:r w:rsidRPr="005C28E7">
        <w:rPr>
          <w:rFonts w:ascii="Times New Roman" w:hAnsi="Times New Roman"/>
          <w:kern w:val="0"/>
        </w:rPr>
        <w:t xml:space="preserve">ost of </w:t>
      </w:r>
      <w:r w:rsidR="00CE1F64" w:rsidRPr="005C28E7">
        <w:rPr>
          <w:rFonts w:ascii="Times New Roman" w:hAnsi="Times New Roman"/>
          <w:kern w:val="0"/>
        </w:rPr>
        <w:t>capital</w:t>
      </w:r>
      <w:r w:rsidRPr="005C28E7">
        <w:rPr>
          <w:rFonts w:ascii="Times New Roman" w:hAnsi="Times New Roman"/>
          <w:kern w:val="0"/>
        </w:rPr>
        <w:t xml:space="preserve">, </w:t>
      </w:r>
      <w:r w:rsidRPr="005C28E7">
        <w:rPr>
          <w:rFonts w:ascii="Times New Roman" w:hAnsi="Times New Roman"/>
          <w:i/>
          <w:kern w:val="0"/>
        </w:rPr>
        <w:t>Journal of Finance</w:t>
      </w:r>
      <w:r w:rsidRPr="005C28E7">
        <w:rPr>
          <w:rFonts w:ascii="Times New Roman" w:hAnsi="Times New Roman"/>
          <w:kern w:val="0"/>
        </w:rPr>
        <w:t>, 59</w:t>
      </w:r>
      <w:r w:rsidR="005A43FA" w:rsidRPr="005C28E7">
        <w:rPr>
          <w:rFonts w:ascii="Times New Roman" w:hAnsi="Times New Roman"/>
          <w:kern w:val="0"/>
        </w:rPr>
        <w:t>(4)</w:t>
      </w:r>
      <w:r w:rsidR="004654DF" w:rsidRPr="005C28E7">
        <w:rPr>
          <w:rFonts w:ascii="Times New Roman" w:hAnsi="Times New Roman"/>
          <w:kern w:val="0"/>
        </w:rPr>
        <w:t>,</w:t>
      </w:r>
      <w:r w:rsidR="009A3CB1" w:rsidRPr="005C28E7">
        <w:rPr>
          <w:rFonts w:ascii="Times New Roman" w:hAnsi="Times New Roman"/>
          <w:kern w:val="0"/>
        </w:rPr>
        <w:t xml:space="preserve"> </w:t>
      </w:r>
      <w:r w:rsidR="002B460E" w:rsidRPr="005C28E7">
        <w:rPr>
          <w:rFonts w:ascii="Times New Roman" w:hAnsi="Times New Roman"/>
          <w:spacing w:val="-4"/>
        </w:rPr>
        <w:t>pp.</w:t>
      </w:r>
      <w:r w:rsidRPr="005C28E7">
        <w:rPr>
          <w:rFonts w:ascii="Times New Roman" w:hAnsi="Times New Roman"/>
          <w:kern w:val="0"/>
        </w:rPr>
        <w:t>1553-</w:t>
      </w:r>
      <w:r w:rsidR="00CE1F64" w:rsidRPr="005C28E7">
        <w:rPr>
          <w:rFonts w:ascii="Times New Roman" w:hAnsi="Times New Roman"/>
          <w:kern w:val="0"/>
        </w:rPr>
        <w:t>15</w:t>
      </w:r>
      <w:r w:rsidRPr="005C28E7">
        <w:rPr>
          <w:rFonts w:ascii="Times New Roman" w:hAnsi="Times New Roman"/>
          <w:kern w:val="0"/>
        </w:rPr>
        <w:t>83.</w:t>
      </w:r>
      <w:r w:rsidR="005A43FA" w:rsidRPr="005C28E7">
        <w:rPr>
          <w:rFonts w:ascii="Times New Roman" w:hAnsi="Times New Roman"/>
        </w:rPr>
        <w:t xml:space="preserve"> </w:t>
      </w:r>
      <w:r w:rsidR="005A43FA" w:rsidRPr="005C28E7">
        <w:rPr>
          <w:rFonts w:ascii="Times New Roman" w:hAnsi="Times New Roman"/>
          <w:kern w:val="0"/>
        </w:rPr>
        <w:t>https://doi.org/10.1111/j.1540-6261.2004.00672.x</w:t>
      </w:r>
    </w:p>
    <w:p w14:paraId="1E79A8AD" w14:textId="604D423E" w:rsidR="00450734" w:rsidRPr="005C28E7" w:rsidRDefault="00450734" w:rsidP="00F83CEF">
      <w:pPr>
        <w:pStyle w:val="afb"/>
        <w:numPr>
          <w:ilvl w:val="0"/>
          <w:numId w:val="6"/>
        </w:numPr>
        <w:spacing w:before="240" w:line="580" w:lineRule="exact"/>
        <w:ind w:leftChars="0"/>
        <w:rPr>
          <w:rFonts w:ascii="Times New Roman" w:hAnsi="Times New Roman"/>
        </w:rPr>
      </w:pPr>
      <w:proofErr w:type="spellStart"/>
      <w:r w:rsidRPr="005C28E7">
        <w:rPr>
          <w:rFonts w:ascii="Times New Roman" w:hAnsi="Times New Roman"/>
          <w:kern w:val="0"/>
        </w:rPr>
        <w:t>Fama</w:t>
      </w:r>
      <w:proofErr w:type="spellEnd"/>
      <w:r w:rsidRPr="005C28E7">
        <w:rPr>
          <w:rFonts w:ascii="Times New Roman" w:hAnsi="Times New Roman"/>
          <w:kern w:val="0"/>
        </w:rPr>
        <w:t>, E.</w:t>
      </w:r>
      <w:r w:rsidR="005332F7" w:rsidRPr="005C28E7">
        <w:rPr>
          <w:rFonts w:ascii="Times New Roman" w:hAnsi="Times New Roman"/>
          <w:kern w:val="0"/>
        </w:rPr>
        <w:t xml:space="preserve"> </w:t>
      </w:r>
      <w:r w:rsidRPr="005C28E7">
        <w:rPr>
          <w:rFonts w:ascii="Times New Roman" w:hAnsi="Times New Roman"/>
          <w:kern w:val="0"/>
        </w:rPr>
        <w:t>F.</w:t>
      </w:r>
      <w:r w:rsidR="00073F0A" w:rsidRPr="005C28E7">
        <w:rPr>
          <w:rFonts w:ascii="Times New Roman" w:hAnsi="Times New Roman"/>
          <w:kern w:val="0"/>
        </w:rPr>
        <w:t>,</w:t>
      </w:r>
      <w:r w:rsidRPr="005C28E7">
        <w:rPr>
          <w:rFonts w:ascii="Times New Roman" w:hAnsi="Times New Roman"/>
          <w:kern w:val="0"/>
        </w:rPr>
        <w:t xml:space="preserve"> and </w:t>
      </w:r>
      <w:r w:rsidR="005332F7" w:rsidRPr="005C28E7">
        <w:rPr>
          <w:rFonts w:ascii="Times New Roman" w:hAnsi="Times New Roman"/>
          <w:kern w:val="0"/>
        </w:rPr>
        <w:t xml:space="preserve">French, </w:t>
      </w:r>
      <w:r w:rsidRPr="005C28E7">
        <w:rPr>
          <w:rFonts w:ascii="Times New Roman" w:hAnsi="Times New Roman"/>
          <w:kern w:val="0"/>
        </w:rPr>
        <w:t>K.</w:t>
      </w:r>
      <w:r w:rsidR="005332F7" w:rsidRPr="005C28E7">
        <w:rPr>
          <w:rFonts w:ascii="Times New Roman" w:hAnsi="Times New Roman"/>
          <w:kern w:val="0"/>
        </w:rPr>
        <w:t xml:space="preserve"> </w:t>
      </w:r>
      <w:r w:rsidRPr="005C28E7">
        <w:rPr>
          <w:rFonts w:ascii="Times New Roman" w:hAnsi="Times New Roman"/>
          <w:kern w:val="0"/>
        </w:rPr>
        <w:t xml:space="preserve">R. </w:t>
      </w:r>
      <w:r w:rsidR="005332F7" w:rsidRPr="005C28E7">
        <w:rPr>
          <w:rFonts w:ascii="Times New Roman" w:hAnsi="Times New Roman"/>
          <w:kern w:val="0"/>
        </w:rPr>
        <w:t xml:space="preserve">(1993). </w:t>
      </w:r>
      <w:r w:rsidRPr="005C28E7">
        <w:rPr>
          <w:rFonts w:ascii="Times New Roman" w:hAnsi="Times New Roman"/>
          <w:kern w:val="0"/>
        </w:rPr>
        <w:t xml:space="preserve">Common </w:t>
      </w:r>
      <w:r w:rsidR="005332F7" w:rsidRPr="005C28E7">
        <w:rPr>
          <w:rFonts w:ascii="Times New Roman" w:hAnsi="Times New Roman"/>
          <w:kern w:val="0"/>
        </w:rPr>
        <w:t>r</w:t>
      </w:r>
      <w:r w:rsidRPr="005C28E7">
        <w:rPr>
          <w:rFonts w:ascii="Times New Roman" w:hAnsi="Times New Roman"/>
          <w:kern w:val="0"/>
        </w:rPr>
        <w:t xml:space="preserve">isk </w:t>
      </w:r>
      <w:r w:rsidR="005332F7" w:rsidRPr="005C28E7">
        <w:rPr>
          <w:rFonts w:ascii="Times New Roman" w:hAnsi="Times New Roman"/>
          <w:kern w:val="0"/>
        </w:rPr>
        <w:t>f</w:t>
      </w:r>
      <w:r w:rsidRPr="005C28E7">
        <w:rPr>
          <w:rFonts w:ascii="Times New Roman" w:hAnsi="Times New Roman"/>
          <w:kern w:val="0"/>
        </w:rPr>
        <w:t xml:space="preserve">actors in the </w:t>
      </w:r>
      <w:r w:rsidR="005332F7" w:rsidRPr="005C28E7">
        <w:rPr>
          <w:rFonts w:ascii="Times New Roman" w:hAnsi="Times New Roman"/>
          <w:kern w:val="0"/>
        </w:rPr>
        <w:t>r</w:t>
      </w:r>
      <w:r w:rsidRPr="005C28E7">
        <w:rPr>
          <w:rFonts w:ascii="Times New Roman" w:hAnsi="Times New Roman"/>
          <w:kern w:val="0"/>
        </w:rPr>
        <w:t xml:space="preserve">eturns on </w:t>
      </w:r>
      <w:r w:rsidR="005332F7" w:rsidRPr="005C28E7">
        <w:rPr>
          <w:rFonts w:ascii="Times New Roman" w:hAnsi="Times New Roman"/>
          <w:kern w:val="0"/>
        </w:rPr>
        <w:t>s</w:t>
      </w:r>
      <w:r w:rsidRPr="005C28E7">
        <w:rPr>
          <w:rFonts w:ascii="Times New Roman" w:hAnsi="Times New Roman"/>
          <w:kern w:val="0"/>
        </w:rPr>
        <w:t xml:space="preserve">tocks and </w:t>
      </w:r>
      <w:r w:rsidR="005332F7" w:rsidRPr="005C28E7">
        <w:rPr>
          <w:rFonts w:ascii="Times New Roman" w:hAnsi="Times New Roman"/>
          <w:kern w:val="0"/>
        </w:rPr>
        <w:t>bonds</w:t>
      </w:r>
      <w:r w:rsidRPr="005C28E7">
        <w:rPr>
          <w:rFonts w:ascii="Times New Roman" w:hAnsi="Times New Roman"/>
          <w:kern w:val="0"/>
        </w:rPr>
        <w:t xml:space="preserve">, </w:t>
      </w:r>
      <w:r w:rsidRPr="005C28E7">
        <w:rPr>
          <w:rFonts w:ascii="Times New Roman" w:hAnsi="Times New Roman"/>
          <w:i/>
          <w:kern w:val="0"/>
        </w:rPr>
        <w:t>Journal of Financial Economics</w:t>
      </w:r>
      <w:r w:rsidR="005A43FA" w:rsidRPr="005C28E7">
        <w:rPr>
          <w:rFonts w:ascii="Times New Roman" w:hAnsi="Times New Roman"/>
          <w:kern w:val="0"/>
        </w:rPr>
        <w:t xml:space="preserve">, </w:t>
      </w:r>
      <w:r w:rsidRPr="005C28E7">
        <w:rPr>
          <w:rFonts w:ascii="Times New Roman" w:hAnsi="Times New Roman"/>
          <w:kern w:val="0"/>
        </w:rPr>
        <w:t>33</w:t>
      </w:r>
      <w:r w:rsidR="005A43FA" w:rsidRPr="005C28E7">
        <w:rPr>
          <w:rFonts w:ascii="Times New Roman" w:hAnsi="Times New Roman"/>
          <w:kern w:val="0"/>
        </w:rPr>
        <w:t>(1)</w:t>
      </w:r>
      <w:r w:rsidR="004654DF" w:rsidRPr="005C28E7">
        <w:rPr>
          <w:rFonts w:ascii="Times New Roman" w:hAnsi="Times New Roman"/>
          <w:kern w:val="0"/>
        </w:rPr>
        <w:t>,</w:t>
      </w:r>
      <w:r w:rsidRPr="005C28E7">
        <w:rPr>
          <w:rFonts w:ascii="Times New Roman" w:hAnsi="Times New Roman"/>
          <w:kern w:val="0"/>
        </w:rPr>
        <w:t xml:space="preserve"> </w:t>
      </w:r>
      <w:r w:rsidR="002B460E" w:rsidRPr="005C28E7">
        <w:rPr>
          <w:rFonts w:ascii="Times New Roman" w:hAnsi="Times New Roman"/>
          <w:spacing w:val="-4"/>
        </w:rPr>
        <w:t>pp.</w:t>
      </w:r>
      <w:r w:rsidRPr="005C28E7">
        <w:rPr>
          <w:rFonts w:ascii="Times New Roman" w:hAnsi="Times New Roman"/>
          <w:kern w:val="0"/>
        </w:rPr>
        <w:t>3-56.</w:t>
      </w:r>
      <w:r w:rsidR="005A43FA" w:rsidRPr="005C28E7">
        <w:rPr>
          <w:rFonts w:ascii="Times New Roman" w:hAnsi="Times New Roman"/>
        </w:rPr>
        <w:t xml:space="preserve"> </w:t>
      </w:r>
      <w:r w:rsidR="005A43FA" w:rsidRPr="005C28E7">
        <w:rPr>
          <w:rFonts w:ascii="Times New Roman" w:hAnsi="Times New Roman"/>
          <w:kern w:val="0"/>
        </w:rPr>
        <w:lastRenderedPageBreak/>
        <w:t>https://doi.org/10.1016/0304-405X(93)90023-5</w:t>
      </w:r>
    </w:p>
    <w:p w14:paraId="5A8DCD4F" w14:textId="2796C8D3" w:rsidR="00450734" w:rsidRPr="005C28E7" w:rsidRDefault="00450734" w:rsidP="00F83CEF">
      <w:pPr>
        <w:pStyle w:val="afb"/>
        <w:numPr>
          <w:ilvl w:val="0"/>
          <w:numId w:val="6"/>
        </w:numPr>
        <w:spacing w:before="240" w:line="580" w:lineRule="exact"/>
        <w:ind w:leftChars="0"/>
        <w:jc w:val="both"/>
        <w:rPr>
          <w:rFonts w:ascii="Times New Roman" w:hAnsi="Times New Roman"/>
        </w:rPr>
      </w:pPr>
      <w:proofErr w:type="spellStart"/>
      <w:r w:rsidRPr="005C28E7">
        <w:rPr>
          <w:rFonts w:ascii="Times New Roman" w:hAnsi="Times New Roman"/>
          <w:kern w:val="0"/>
        </w:rPr>
        <w:t>Fama</w:t>
      </w:r>
      <w:proofErr w:type="spellEnd"/>
      <w:r w:rsidRPr="005C28E7">
        <w:rPr>
          <w:rFonts w:ascii="Times New Roman" w:hAnsi="Times New Roman"/>
          <w:kern w:val="0"/>
        </w:rPr>
        <w:t>, E.</w:t>
      </w:r>
      <w:r w:rsidR="00073F0A" w:rsidRPr="005C28E7">
        <w:rPr>
          <w:rFonts w:ascii="Times New Roman" w:hAnsi="Times New Roman"/>
          <w:kern w:val="0"/>
        </w:rPr>
        <w:t xml:space="preserve"> </w:t>
      </w:r>
      <w:r w:rsidRPr="005C28E7">
        <w:rPr>
          <w:rFonts w:ascii="Times New Roman" w:hAnsi="Times New Roman"/>
          <w:kern w:val="0"/>
        </w:rPr>
        <w:t>F.</w:t>
      </w:r>
      <w:r w:rsidR="00073F0A" w:rsidRPr="005C28E7">
        <w:rPr>
          <w:rFonts w:ascii="Times New Roman" w:hAnsi="Times New Roman"/>
          <w:kern w:val="0"/>
        </w:rPr>
        <w:t>,</w:t>
      </w:r>
      <w:r w:rsidRPr="005C28E7">
        <w:rPr>
          <w:rFonts w:ascii="Times New Roman" w:hAnsi="Times New Roman"/>
          <w:kern w:val="0"/>
        </w:rPr>
        <w:t xml:space="preserve"> and </w:t>
      </w:r>
      <w:r w:rsidR="00073F0A" w:rsidRPr="005C28E7">
        <w:rPr>
          <w:rFonts w:ascii="Times New Roman" w:hAnsi="Times New Roman"/>
          <w:kern w:val="0"/>
        </w:rPr>
        <w:t xml:space="preserve">French, </w:t>
      </w:r>
      <w:r w:rsidRPr="005C28E7">
        <w:rPr>
          <w:rFonts w:ascii="Times New Roman" w:hAnsi="Times New Roman"/>
          <w:kern w:val="0"/>
        </w:rPr>
        <w:t>K.</w:t>
      </w:r>
      <w:r w:rsidR="00073F0A" w:rsidRPr="005C28E7">
        <w:rPr>
          <w:rFonts w:ascii="Times New Roman" w:hAnsi="Times New Roman"/>
          <w:kern w:val="0"/>
        </w:rPr>
        <w:t xml:space="preserve"> </w:t>
      </w:r>
      <w:r w:rsidRPr="005C28E7">
        <w:rPr>
          <w:rFonts w:ascii="Times New Roman" w:hAnsi="Times New Roman"/>
          <w:kern w:val="0"/>
        </w:rPr>
        <w:t xml:space="preserve">R. </w:t>
      </w:r>
      <w:r w:rsidR="00073F0A" w:rsidRPr="005C28E7">
        <w:rPr>
          <w:rFonts w:ascii="Times New Roman" w:hAnsi="Times New Roman"/>
          <w:kern w:val="0"/>
        </w:rPr>
        <w:t xml:space="preserve">(2006). </w:t>
      </w:r>
      <w:r w:rsidRPr="005C28E7">
        <w:rPr>
          <w:rFonts w:ascii="Times New Roman" w:hAnsi="Times New Roman"/>
          <w:kern w:val="0"/>
        </w:rPr>
        <w:t xml:space="preserve">The </w:t>
      </w:r>
      <w:r w:rsidR="00073F0A" w:rsidRPr="005C28E7">
        <w:rPr>
          <w:rFonts w:ascii="Times New Roman" w:hAnsi="Times New Roman"/>
          <w:kern w:val="0"/>
        </w:rPr>
        <w:t>v</w:t>
      </w:r>
      <w:r w:rsidRPr="005C28E7">
        <w:rPr>
          <w:rFonts w:ascii="Times New Roman" w:hAnsi="Times New Roman"/>
          <w:kern w:val="0"/>
        </w:rPr>
        <w:t xml:space="preserve">alue </w:t>
      </w:r>
      <w:r w:rsidR="00073F0A" w:rsidRPr="005C28E7">
        <w:rPr>
          <w:rFonts w:ascii="Times New Roman" w:hAnsi="Times New Roman"/>
          <w:kern w:val="0"/>
        </w:rPr>
        <w:t>premium and the CAPM</w:t>
      </w:r>
      <w:r w:rsidRPr="005C28E7">
        <w:rPr>
          <w:rFonts w:ascii="Times New Roman" w:hAnsi="Times New Roman"/>
          <w:kern w:val="0"/>
        </w:rPr>
        <w:t xml:space="preserve">, </w:t>
      </w:r>
      <w:r w:rsidRPr="005C28E7">
        <w:rPr>
          <w:rFonts w:ascii="Times New Roman" w:hAnsi="Times New Roman"/>
          <w:i/>
          <w:kern w:val="0"/>
        </w:rPr>
        <w:t>Journal of Finance</w:t>
      </w:r>
      <w:r w:rsidRPr="005C28E7">
        <w:rPr>
          <w:rFonts w:ascii="Times New Roman" w:hAnsi="Times New Roman"/>
          <w:kern w:val="0"/>
        </w:rPr>
        <w:t>, 61</w:t>
      </w:r>
      <w:r w:rsidR="00FD4235" w:rsidRPr="005C28E7">
        <w:rPr>
          <w:rFonts w:ascii="Times New Roman" w:hAnsi="Times New Roman"/>
          <w:kern w:val="0"/>
        </w:rPr>
        <w:t>(5)</w:t>
      </w:r>
      <w:r w:rsidR="004654DF" w:rsidRPr="005C28E7">
        <w:rPr>
          <w:rFonts w:ascii="Times New Roman" w:hAnsi="Times New Roman"/>
          <w:kern w:val="0"/>
        </w:rPr>
        <w:t>,</w:t>
      </w:r>
      <w:r w:rsidRPr="005C28E7">
        <w:rPr>
          <w:rFonts w:ascii="Times New Roman" w:hAnsi="Times New Roman"/>
          <w:kern w:val="0"/>
        </w:rPr>
        <w:t xml:space="preserve"> </w:t>
      </w:r>
      <w:r w:rsidR="002B460E" w:rsidRPr="005C28E7">
        <w:rPr>
          <w:rFonts w:ascii="Times New Roman" w:hAnsi="Times New Roman"/>
          <w:spacing w:val="-4"/>
        </w:rPr>
        <w:t>pp.</w:t>
      </w:r>
      <w:r w:rsidRPr="005C28E7">
        <w:rPr>
          <w:rFonts w:ascii="Times New Roman" w:hAnsi="Times New Roman"/>
          <w:kern w:val="0"/>
        </w:rPr>
        <w:t>2163-</w:t>
      </w:r>
      <w:r w:rsidR="00073F0A" w:rsidRPr="005C28E7">
        <w:rPr>
          <w:rFonts w:ascii="Times New Roman" w:hAnsi="Times New Roman"/>
          <w:kern w:val="0"/>
        </w:rPr>
        <w:t>21</w:t>
      </w:r>
      <w:r w:rsidRPr="005C28E7">
        <w:rPr>
          <w:rFonts w:ascii="Times New Roman" w:hAnsi="Times New Roman"/>
          <w:kern w:val="0"/>
        </w:rPr>
        <w:t>85.</w:t>
      </w:r>
      <w:r w:rsidR="00FD4235" w:rsidRPr="005C28E7">
        <w:rPr>
          <w:rFonts w:ascii="Times New Roman" w:hAnsi="Times New Roman"/>
        </w:rPr>
        <w:t xml:space="preserve"> </w:t>
      </w:r>
      <w:r w:rsidR="00FD4235" w:rsidRPr="005C28E7">
        <w:rPr>
          <w:rFonts w:ascii="Times New Roman" w:hAnsi="Times New Roman"/>
          <w:kern w:val="0"/>
        </w:rPr>
        <w:t>https://www.jstor.org/stable/3874707</w:t>
      </w:r>
    </w:p>
    <w:p w14:paraId="77FDF5C9" w14:textId="13D874C4" w:rsidR="00450734" w:rsidRPr="005C28E7" w:rsidRDefault="00450734" w:rsidP="00F83CEF">
      <w:pPr>
        <w:pStyle w:val="afb"/>
        <w:numPr>
          <w:ilvl w:val="0"/>
          <w:numId w:val="6"/>
        </w:numPr>
        <w:spacing w:before="240" w:line="360" w:lineRule="auto"/>
        <w:ind w:leftChars="0"/>
        <w:jc w:val="both"/>
        <w:rPr>
          <w:rFonts w:ascii="Times New Roman" w:hAnsi="Times New Roman"/>
          <w:spacing w:val="-4"/>
        </w:rPr>
      </w:pPr>
      <w:r w:rsidRPr="005C28E7">
        <w:rPr>
          <w:rFonts w:ascii="Times New Roman" w:hAnsi="Times New Roman"/>
          <w:kern w:val="0"/>
        </w:rPr>
        <w:t xml:space="preserve">Francis, J., </w:t>
      </w:r>
      <w:proofErr w:type="spellStart"/>
      <w:r w:rsidR="00591C4D" w:rsidRPr="005C28E7">
        <w:rPr>
          <w:rFonts w:ascii="Times New Roman" w:hAnsi="Times New Roman"/>
          <w:kern w:val="0"/>
        </w:rPr>
        <w:t>LaFond</w:t>
      </w:r>
      <w:proofErr w:type="spellEnd"/>
      <w:r w:rsidR="00591C4D" w:rsidRPr="005C28E7">
        <w:rPr>
          <w:rFonts w:ascii="Times New Roman" w:hAnsi="Times New Roman"/>
          <w:kern w:val="0"/>
        </w:rPr>
        <w:t xml:space="preserve">, </w:t>
      </w:r>
      <w:r w:rsidRPr="005C28E7">
        <w:rPr>
          <w:rFonts w:ascii="Times New Roman" w:hAnsi="Times New Roman"/>
          <w:kern w:val="0"/>
        </w:rPr>
        <w:t xml:space="preserve">R. </w:t>
      </w:r>
      <w:proofErr w:type="spellStart"/>
      <w:r w:rsidR="00591C4D" w:rsidRPr="005C28E7">
        <w:rPr>
          <w:rFonts w:ascii="Times New Roman" w:hAnsi="Times New Roman"/>
          <w:kern w:val="0"/>
        </w:rPr>
        <w:t>Ollson</w:t>
      </w:r>
      <w:proofErr w:type="spellEnd"/>
      <w:r w:rsidR="00591C4D" w:rsidRPr="005C28E7">
        <w:rPr>
          <w:rFonts w:ascii="Times New Roman" w:hAnsi="Times New Roman"/>
          <w:kern w:val="0"/>
        </w:rPr>
        <w:t xml:space="preserve">, </w:t>
      </w:r>
      <w:r w:rsidRPr="005C28E7">
        <w:rPr>
          <w:rFonts w:ascii="Times New Roman" w:hAnsi="Times New Roman"/>
          <w:kern w:val="0"/>
        </w:rPr>
        <w:t>P.</w:t>
      </w:r>
      <w:r w:rsidR="00591C4D" w:rsidRPr="005C28E7">
        <w:rPr>
          <w:rFonts w:ascii="Times New Roman" w:hAnsi="Times New Roman"/>
          <w:kern w:val="0"/>
        </w:rPr>
        <w:t xml:space="preserve"> </w:t>
      </w:r>
      <w:r w:rsidRPr="005C28E7">
        <w:rPr>
          <w:rFonts w:ascii="Times New Roman" w:hAnsi="Times New Roman"/>
          <w:kern w:val="0"/>
        </w:rPr>
        <w:t xml:space="preserve">M. and </w:t>
      </w:r>
      <w:r w:rsidR="00591C4D" w:rsidRPr="005C28E7">
        <w:rPr>
          <w:rFonts w:ascii="Times New Roman" w:hAnsi="Times New Roman"/>
          <w:kern w:val="0"/>
        </w:rPr>
        <w:t xml:space="preserve">Schipper, </w:t>
      </w:r>
      <w:r w:rsidRPr="005C28E7">
        <w:rPr>
          <w:rFonts w:ascii="Times New Roman" w:hAnsi="Times New Roman"/>
          <w:kern w:val="0"/>
        </w:rPr>
        <w:t xml:space="preserve">K. </w:t>
      </w:r>
      <w:r w:rsidR="00591C4D" w:rsidRPr="005C28E7">
        <w:rPr>
          <w:rFonts w:ascii="Times New Roman" w:hAnsi="Times New Roman"/>
          <w:kern w:val="0"/>
        </w:rPr>
        <w:t xml:space="preserve">(2005). </w:t>
      </w:r>
      <w:r w:rsidRPr="005C28E7">
        <w:rPr>
          <w:rFonts w:ascii="Times New Roman" w:hAnsi="Times New Roman"/>
          <w:kern w:val="0"/>
        </w:rPr>
        <w:t xml:space="preserve">The </w:t>
      </w:r>
      <w:r w:rsidR="00591C4D" w:rsidRPr="005C28E7">
        <w:rPr>
          <w:rFonts w:ascii="Times New Roman" w:hAnsi="Times New Roman"/>
          <w:kern w:val="0"/>
        </w:rPr>
        <w:t>m</w:t>
      </w:r>
      <w:r w:rsidRPr="005C28E7">
        <w:rPr>
          <w:rFonts w:ascii="Times New Roman" w:hAnsi="Times New Roman"/>
          <w:kern w:val="0"/>
        </w:rPr>
        <w:t xml:space="preserve">arket </w:t>
      </w:r>
      <w:r w:rsidR="00591C4D" w:rsidRPr="005C28E7">
        <w:rPr>
          <w:rFonts w:ascii="Times New Roman" w:hAnsi="Times New Roman"/>
          <w:kern w:val="0"/>
        </w:rPr>
        <w:t>p</w:t>
      </w:r>
      <w:r w:rsidRPr="005C28E7">
        <w:rPr>
          <w:rFonts w:ascii="Times New Roman" w:hAnsi="Times New Roman"/>
          <w:kern w:val="0"/>
        </w:rPr>
        <w:t xml:space="preserve">ricing of </w:t>
      </w:r>
      <w:r w:rsidR="00591C4D" w:rsidRPr="005C28E7">
        <w:rPr>
          <w:rFonts w:ascii="Times New Roman" w:hAnsi="Times New Roman"/>
          <w:spacing w:val="-4"/>
          <w:kern w:val="0"/>
        </w:rPr>
        <w:t>a</w:t>
      </w:r>
      <w:r w:rsidRPr="005C28E7">
        <w:rPr>
          <w:rFonts w:ascii="Times New Roman" w:hAnsi="Times New Roman"/>
          <w:spacing w:val="-4"/>
          <w:kern w:val="0"/>
        </w:rPr>
        <w:t xml:space="preserve">ccruals </w:t>
      </w:r>
      <w:r w:rsidR="00591C4D" w:rsidRPr="005C28E7">
        <w:rPr>
          <w:rFonts w:ascii="Times New Roman" w:hAnsi="Times New Roman"/>
          <w:spacing w:val="-4"/>
          <w:kern w:val="0"/>
        </w:rPr>
        <w:t>quality</w:t>
      </w:r>
      <w:r w:rsidRPr="005C28E7">
        <w:rPr>
          <w:rFonts w:ascii="Times New Roman" w:hAnsi="Times New Roman"/>
          <w:spacing w:val="-4"/>
          <w:kern w:val="0"/>
        </w:rPr>
        <w:t>,</w:t>
      </w:r>
      <w:r w:rsidRPr="005C28E7">
        <w:rPr>
          <w:rFonts w:ascii="Times New Roman" w:hAnsi="Times New Roman"/>
          <w:i/>
          <w:spacing w:val="-4"/>
          <w:kern w:val="0"/>
        </w:rPr>
        <w:t xml:space="preserve"> Journal of Accounting and Economics</w:t>
      </w:r>
      <w:r w:rsidRPr="005C28E7">
        <w:rPr>
          <w:rFonts w:ascii="Times New Roman" w:hAnsi="Times New Roman"/>
          <w:spacing w:val="-4"/>
          <w:kern w:val="0"/>
        </w:rPr>
        <w:t>, 39</w:t>
      </w:r>
      <w:r w:rsidR="00FD4235" w:rsidRPr="005C28E7">
        <w:rPr>
          <w:rFonts w:ascii="Times New Roman" w:hAnsi="Times New Roman"/>
          <w:spacing w:val="-4"/>
          <w:kern w:val="0"/>
        </w:rPr>
        <w:t>(2)</w:t>
      </w:r>
      <w:r w:rsidR="004654DF" w:rsidRPr="005C28E7">
        <w:rPr>
          <w:rFonts w:ascii="Times New Roman" w:hAnsi="Times New Roman"/>
          <w:spacing w:val="-4"/>
          <w:kern w:val="0"/>
        </w:rPr>
        <w:t>,</w:t>
      </w:r>
      <w:r w:rsidRPr="005C28E7">
        <w:rPr>
          <w:rFonts w:ascii="Times New Roman" w:hAnsi="Times New Roman"/>
          <w:spacing w:val="-4"/>
          <w:kern w:val="0"/>
        </w:rPr>
        <w:t xml:space="preserve"> </w:t>
      </w:r>
      <w:r w:rsidR="002B460E" w:rsidRPr="005C28E7">
        <w:rPr>
          <w:rFonts w:ascii="Times New Roman" w:hAnsi="Times New Roman"/>
          <w:spacing w:val="-4"/>
        </w:rPr>
        <w:t>pp.</w:t>
      </w:r>
      <w:r w:rsidRPr="005C28E7">
        <w:rPr>
          <w:rFonts w:ascii="Times New Roman" w:hAnsi="Times New Roman"/>
          <w:spacing w:val="-4"/>
          <w:kern w:val="0"/>
        </w:rPr>
        <w:t>295-327.</w:t>
      </w:r>
      <w:r w:rsidR="00FD4235" w:rsidRPr="005C28E7">
        <w:rPr>
          <w:rFonts w:ascii="Times New Roman" w:hAnsi="Times New Roman"/>
        </w:rPr>
        <w:t xml:space="preserve"> </w:t>
      </w:r>
      <w:hyperlink r:id="rId13" w:history="1">
        <w:r w:rsidR="00A835CD" w:rsidRPr="005C28E7">
          <w:rPr>
            <w:rStyle w:val="a7"/>
            <w:rFonts w:ascii="Times New Roman" w:hAnsi="Times New Roman"/>
            <w:color w:val="auto"/>
            <w:spacing w:val="-4"/>
            <w:kern w:val="0"/>
          </w:rPr>
          <w:t>https://doi.org/10.1016/j.jacceco.2004.06.003</w:t>
        </w:r>
      </w:hyperlink>
    </w:p>
    <w:p w14:paraId="14BFD7F5" w14:textId="41DD07E2" w:rsidR="00A835CD" w:rsidRPr="005C28E7" w:rsidRDefault="00A835CD" w:rsidP="00F83CEF">
      <w:pPr>
        <w:pStyle w:val="afb"/>
        <w:numPr>
          <w:ilvl w:val="0"/>
          <w:numId w:val="6"/>
        </w:numPr>
        <w:spacing w:before="240" w:line="360" w:lineRule="auto"/>
        <w:ind w:leftChars="0"/>
        <w:jc w:val="both"/>
        <w:rPr>
          <w:rFonts w:ascii="Times New Roman" w:hAnsi="Times New Roman"/>
          <w:spacing w:val="-4"/>
        </w:rPr>
      </w:pPr>
      <w:r w:rsidRPr="005C28E7">
        <w:rPr>
          <w:rFonts w:ascii="Times New Roman" w:hAnsi="Times New Roman"/>
        </w:rPr>
        <w:t xml:space="preserve">Goyal, A., and Santa-Clara, P., (2003). Idiosyncratic Risk </w:t>
      </w:r>
      <w:proofErr w:type="gramStart"/>
      <w:r w:rsidRPr="005C28E7">
        <w:rPr>
          <w:rFonts w:ascii="Times New Roman" w:hAnsi="Times New Roman"/>
        </w:rPr>
        <w:t>Matters!,</w:t>
      </w:r>
      <w:proofErr w:type="gramEnd"/>
      <w:r w:rsidRPr="005C28E7">
        <w:rPr>
          <w:rFonts w:ascii="Times New Roman" w:hAnsi="Times New Roman"/>
        </w:rPr>
        <w:t xml:space="preserve"> </w:t>
      </w:r>
      <w:r w:rsidRPr="005C28E7">
        <w:rPr>
          <w:rFonts w:ascii="Times New Roman" w:hAnsi="Times New Roman"/>
          <w:i/>
        </w:rPr>
        <w:t>Journal of Finance</w:t>
      </w:r>
      <w:r w:rsidRPr="005C28E7">
        <w:rPr>
          <w:rFonts w:ascii="Times New Roman" w:hAnsi="Times New Roman"/>
        </w:rPr>
        <w:t xml:space="preserve">, 58(3), pp. 975-1007. </w:t>
      </w:r>
      <w:hyperlink r:id="rId14" w:history="1">
        <w:r w:rsidRPr="005C28E7">
          <w:rPr>
            <w:rStyle w:val="a7"/>
            <w:rFonts w:ascii="Times New Roman" w:hAnsi="Times New Roman"/>
            <w:color w:val="auto"/>
            <w:u w:val="none"/>
          </w:rPr>
          <w:t>https://doi.org/10.1111/1540-6261.00555</w:t>
        </w:r>
      </w:hyperlink>
    </w:p>
    <w:p w14:paraId="0C79B055" w14:textId="25D893D3" w:rsidR="00450734" w:rsidRPr="005C28E7" w:rsidRDefault="00450734" w:rsidP="00F83CEF">
      <w:pPr>
        <w:pStyle w:val="afb"/>
        <w:numPr>
          <w:ilvl w:val="0"/>
          <w:numId w:val="6"/>
        </w:numPr>
        <w:spacing w:before="240" w:line="360" w:lineRule="auto"/>
        <w:ind w:leftChars="0"/>
        <w:jc w:val="both"/>
        <w:rPr>
          <w:rFonts w:ascii="Times New Roman" w:hAnsi="Times New Roman"/>
          <w:kern w:val="0"/>
        </w:rPr>
      </w:pPr>
      <w:r w:rsidRPr="005C28E7">
        <w:rPr>
          <w:rFonts w:ascii="Times New Roman" w:hAnsi="Times New Roman"/>
          <w:kern w:val="0"/>
        </w:rPr>
        <w:t>He, Y.</w:t>
      </w:r>
      <w:r w:rsidR="00D81CC9" w:rsidRPr="005C28E7">
        <w:rPr>
          <w:rFonts w:ascii="Times New Roman" w:hAnsi="Times New Roman"/>
          <w:kern w:val="0"/>
        </w:rPr>
        <w:t>,</w:t>
      </w:r>
      <w:r w:rsidRPr="005C28E7">
        <w:rPr>
          <w:rFonts w:ascii="Times New Roman" w:hAnsi="Times New Roman"/>
          <w:kern w:val="0"/>
        </w:rPr>
        <w:t xml:space="preserve"> and </w:t>
      </w:r>
      <w:r w:rsidR="00D81CC9" w:rsidRPr="005C28E7">
        <w:rPr>
          <w:rFonts w:ascii="Times New Roman" w:hAnsi="Times New Roman"/>
          <w:kern w:val="0"/>
        </w:rPr>
        <w:t xml:space="preserve">Wu, </w:t>
      </w:r>
      <w:r w:rsidRPr="005C28E7">
        <w:rPr>
          <w:rFonts w:ascii="Times New Roman" w:hAnsi="Times New Roman"/>
          <w:kern w:val="0"/>
        </w:rPr>
        <w:t xml:space="preserve">C. </w:t>
      </w:r>
      <w:r w:rsidR="00D81CC9" w:rsidRPr="005C28E7">
        <w:rPr>
          <w:rFonts w:ascii="Times New Roman" w:hAnsi="Times New Roman"/>
          <w:kern w:val="0"/>
        </w:rPr>
        <w:t>(2005).</w:t>
      </w:r>
      <w:r w:rsidRPr="005C28E7">
        <w:rPr>
          <w:rFonts w:ascii="Times New Roman" w:hAnsi="Times New Roman"/>
          <w:kern w:val="0"/>
        </w:rPr>
        <w:t xml:space="preserve"> The </w:t>
      </w:r>
      <w:r w:rsidR="00D81CC9" w:rsidRPr="005C28E7">
        <w:rPr>
          <w:rFonts w:ascii="Times New Roman" w:hAnsi="Times New Roman"/>
          <w:kern w:val="0"/>
        </w:rPr>
        <w:t>e</w:t>
      </w:r>
      <w:r w:rsidRPr="005C28E7">
        <w:rPr>
          <w:rFonts w:ascii="Times New Roman" w:hAnsi="Times New Roman"/>
          <w:kern w:val="0"/>
        </w:rPr>
        <w:t xml:space="preserve">ffects of </w:t>
      </w:r>
      <w:r w:rsidR="00D81CC9" w:rsidRPr="005C28E7">
        <w:rPr>
          <w:rFonts w:ascii="Times New Roman" w:hAnsi="Times New Roman"/>
          <w:kern w:val="0"/>
        </w:rPr>
        <w:t>d</w:t>
      </w:r>
      <w:r w:rsidRPr="005C28E7">
        <w:rPr>
          <w:rFonts w:ascii="Times New Roman" w:hAnsi="Times New Roman"/>
          <w:kern w:val="0"/>
        </w:rPr>
        <w:t xml:space="preserve">ecimalization on </w:t>
      </w:r>
      <w:r w:rsidR="00D81CC9" w:rsidRPr="005C28E7">
        <w:rPr>
          <w:rFonts w:ascii="Times New Roman" w:hAnsi="Times New Roman"/>
          <w:kern w:val="0"/>
        </w:rPr>
        <w:t>r</w:t>
      </w:r>
      <w:r w:rsidRPr="005C28E7">
        <w:rPr>
          <w:rFonts w:ascii="Times New Roman" w:hAnsi="Times New Roman"/>
          <w:kern w:val="0"/>
        </w:rPr>
        <w:t xml:space="preserve">eturn </w:t>
      </w:r>
      <w:r w:rsidR="00D81CC9" w:rsidRPr="005C28E7">
        <w:rPr>
          <w:rFonts w:ascii="Times New Roman" w:hAnsi="Times New Roman"/>
          <w:kern w:val="0"/>
        </w:rPr>
        <w:t>v</w:t>
      </w:r>
      <w:r w:rsidRPr="005C28E7">
        <w:rPr>
          <w:rFonts w:ascii="Times New Roman" w:hAnsi="Times New Roman"/>
          <w:kern w:val="0"/>
        </w:rPr>
        <w:t xml:space="preserve">olatility </w:t>
      </w:r>
      <w:r w:rsidR="00D81CC9" w:rsidRPr="005C28E7">
        <w:rPr>
          <w:rFonts w:ascii="Times New Roman" w:hAnsi="Times New Roman"/>
          <w:kern w:val="0"/>
        </w:rPr>
        <w:t>c</w:t>
      </w:r>
      <w:r w:rsidRPr="005C28E7">
        <w:rPr>
          <w:rFonts w:ascii="Times New Roman" w:hAnsi="Times New Roman"/>
          <w:kern w:val="0"/>
        </w:rPr>
        <w:t xml:space="preserve">omponents, </w:t>
      </w:r>
      <w:r w:rsidR="00D81CC9" w:rsidRPr="005C28E7">
        <w:rPr>
          <w:rFonts w:ascii="Times New Roman" w:hAnsi="Times New Roman"/>
          <w:kern w:val="0"/>
        </w:rPr>
        <w:t>se</w:t>
      </w:r>
      <w:r w:rsidRPr="005C28E7">
        <w:rPr>
          <w:rFonts w:ascii="Times New Roman" w:hAnsi="Times New Roman"/>
          <w:kern w:val="0"/>
        </w:rPr>
        <w:t xml:space="preserve">rial </w:t>
      </w:r>
      <w:r w:rsidR="00D81CC9" w:rsidRPr="005C28E7">
        <w:rPr>
          <w:rFonts w:ascii="Times New Roman" w:hAnsi="Times New Roman"/>
          <w:kern w:val="0"/>
        </w:rPr>
        <w:t>c</w:t>
      </w:r>
      <w:r w:rsidRPr="005C28E7">
        <w:rPr>
          <w:rFonts w:ascii="Times New Roman" w:hAnsi="Times New Roman"/>
          <w:kern w:val="0"/>
        </w:rPr>
        <w:t xml:space="preserve">orrelation and </w:t>
      </w:r>
      <w:r w:rsidR="00D81CC9" w:rsidRPr="005C28E7">
        <w:rPr>
          <w:rFonts w:ascii="Times New Roman" w:hAnsi="Times New Roman"/>
          <w:kern w:val="0"/>
        </w:rPr>
        <w:t>t</w:t>
      </w:r>
      <w:r w:rsidRPr="005C28E7">
        <w:rPr>
          <w:rFonts w:ascii="Times New Roman" w:hAnsi="Times New Roman"/>
          <w:kern w:val="0"/>
        </w:rPr>
        <w:t xml:space="preserve">rading </w:t>
      </w:r>
      <w:r w:rsidR="00D81CC9" w:rsidRPr="005C28E7">
        <w:rPr>
          <w:rFonts w:ascii="Times New Roman" w:hAnsi="Times New Roman"/>
          <w:kern w:val="0"/>
        </w:rPr>
        <w:t>costs</w:t>
      </w:r>
      <w:r w:rsidRPr="005C28E7">
        <w:rPr>
          <w:rFonts w:ascii="Times New Roman" w:hAnsi="Times New Roman"/>
          <w:kern w:val="0"/>
        </w:rPr>
        <w:t xml:space="preserve">, </w:t>
      </w:r>
      <w:r w:rsidRPr="005C28E7">
        <w:rPr>
          <w:rFonts w:ascii="Times New Roman" w:hAnsi="Times New Roman"/>
          <w:i/>
          <w:kern w:val="0"/>
        </w:rPr>
        <w:t>Journal of Financial</w:t>
      </w:r>
      <w:r w:rsidRPr="005C28E7">
        <w:rPr>
          <w:rFonts w:ascii="Times New Roman" w:hAnsi="Times New Roman"/>
          <w:i/>
          <w:iCs/>
          <w:kern w:val="0"/>
        </w:rPr>
        <w:t xml:space="preserve"> Research</w:t>
      </w:r>
      <w:r w:rsidRPr="005C28E7">
        <w:rPr>
          <w:rFonts w:ascii="Times New Roman" w:hAnsi="Times New Roman"/>
          <w:kern w:val="0"/>
        </w:rPr>
        <w:t>, 28</w:t>
      </w:r>
      <w:r w:rsidR="00FD4235" w:rsidRPr="005C28E7">
        <w:rPr>
          <w:rFonts w:ascii="Times New Roman" w:hAnsi="Times New Roman"/>
          <w:kern w:val="0"/>
        </w:rPr>
        <w:t>(1)</w:t>
      </w:r>
      <w:r w:rsidR="004654DF" w:rsidRPr="005C28E7">
        <w:rPr>
          <w:rFonts w:ascii="Times New Roman" w:hAnsi="Times New Roman"/>
          <w:kern w:val="0"/>
        </w:rPr>
        <w:t>,</w:t>
      </w:r>
      <w:r w:rsidR="00546ADB" w:rsidRPr="005C28E7">
        <w:rPr>
          <w:rFonts w:ascii="Times New Roman" w:hAnsi="Times New Roman"/>
          <w:kern w:val="0"/>
        </w:rPr>
        <w:t xml:space="preserve"> </w:t>
      </w:r>
      <w:r w:rsidR="002B460E" w:rsidRPr="005C28E7">
        <w:rPr>
          <w:rFonts w:ascii="Times New Roman" w:hAnsi="Times New Roman"/>
          <w:spacing w:val="-4"/>
        </w:rPr>
        <w:t>pp.</w:t>
      </w:r>
      <w:r w:rsidRPr="005C28E7">
        <w:rPr>
          <w:rFonts w:ascii="Times New Roman" w:hAnsi="Times New Roman"/>
          <w:kern w:val="0"/>
        </w:rPr>
        <w:t>77-96.</w:t>
      </w:r>
      <w:r w:rsidR="00FD4235" w:rsidRPr="005C28E7">
        <w:rPr>
          <w:rFonts w:ascii="Times New Roman" w:hAnsi="Times New Roman"/>
        </w:rPr>
        <w:t xml:space="preserve"> </w:t>
      </w:r>
      <w:r w:rsidR="00FD4235" w:rsidRPr="005C28E7">
        <w:rPr>
          <w:rFonts w:ascii="Times New Roman" w:hAnsi="Times New Roman"/>
          <w:kern w:val="0"/>
        </w:rPr>
        <w:t>https://doi.org/10.1111/j.1475-6803.2005.00115.x</w:t>
      </w:r>
    </w:p>
    <w:p w14:paraId="3A90A194" w14:textId="6BC68974" w:rsidR="006D0F70" w:rsidRPr="005C28E7" w:rsidRDefault="00D525DA" w:rsidP="00F83CEF">
      <w:pPr>
        <w:pStyle w:val="afb"/>
        <w:numPr>
          <w:ilvl w:val="0"/>
          <w:numId w:val="6"/>
        </w:numPr>
        <w:spacing w:before="240" w:line="360" w:lineRule="auto"/>
        <w:ind w:leftChars="0"/>
        <w:jc w:val="both"/>
        <w:rPr>
          <w:rFonts w:ascii="Times New Roman" w:hAnsi="Times New Roman"/>
          <w:kern w:val="0"/>
        </w:rPr>
      </w:pPr>
      <w:r w:rsidRPr="005C28E7">
        <w:rPr>
          <w:rFonts w:ascii="Times New Roman" w:hAnsi="Times New Roman"/>
          <w:kern w:val="0"/>
        </w:rPr>
        <w:t xml:space="preserve">Hong, H., </w:t>
      </w:r>
      <w:proofErr w:type="spellStart"/>
      <w:r w:rsidR="00D81CC9" w:rsidRPr="005C28E7">
        <w:rPr>
          <w:rFonts w:ascii="Times New Roman" w:hAnsi="Times New Roman"/>
          <w:kern w:val="0"/>
        </w:rPr>
        <w:t>Kubik</w:t>
      </w:r>
      <w:proofErr w:type="spellEnd"/>
      <w:r w:rsidR="00D81CC9" w:rsidRPr="005C28E7">
        <w:rPr>
          <w:rFonts w:ascii="Times New Roman" w:hAnsi="Times New Roman"/>
          <w:kern w:val="0"/>
        </w:rPr>
        <w:t xml:space="preserve">, </w:t>
      </w:r>
      <w:r w:rsidRPr="005C28E7">
        <w:rPr>
          <w:rFonts w:ascii="Times New Roman" w:hAnsi="Times New Roman"/>
          <w:kern w:val="0"/>
        </w:rPr>
        <w:t>J.</w:t>
      </w:r>
      <w:r w:rsidR="00D81CC9" w:rsidRPr="005C28E7">
        <w:rPr>
          <w:rFonts w:ascii="Times New Roman" w:hAnsi="Times New Roman"/>
          <w:kern w:val="0"/>
        </w:rPr>
        <w:t xml:space="preserve"> </w:t>
      </w:r>
      <w:r w:rsidRPr="005C28E7">
        <w:rPr>
          <w:rFonts w:ascii="Times New Roman" w:hAnsi="Times New Roman"/>
          <w:kern w:val="0"/>
        </w:rPr>
        <w:t xml:space="preserve">D. and </w:t>
      </w:r>
      <w:r w:rsidR="00D81CC9" w:rsidRPr="005C28E7">
        <w:rPr>
          <w:rFonts w:ascii="Times New Roman" w:hAnsi="Times New Roman"/>
          <w:kern w:val="0"/>
        </w:rPr>
        <w:t xml:space="preserve">Stein, </w:t>
      </w:r>
      <w:r w:rsidRPr="005C28E7">
        <w:rPr>
          <w:rFonts w:ascii="Times New Roman" w:hAnsi="Times New Roman"/>
          <w:kern w:val="0"/>
        </w:rPr>
        <w:t>J.</w:t>
      </w:r>
      <w:r w:rsidR="00D81CC9" w:rsidRPr="005C28E7">
        <w:rPr>
          <w:rFonts w:ascii="Times New Roman" w:hAnsi="Times New Roman"/>
          <w:kern w:val="0"/>
        </w:rPr>
        <w:t xml:space="preserve"> </w:t>
      </w:r>
      <w:r w:rsidRPr="005C28E7">
        <w:rPr>
          <w:rFonts w:ascii="Times New Roman" w:hAnsi="Times New Roman"/>
          <w:kern w:val="0"/>
        </w:rPr>
        <w:t>C. (2005</w:t>
      </w:r>
      <w:r w:rsidR="00D81CC9" w:rsidRPr="005C28E7">
        <w:rPr>
          <w:rFonts w:ascii="Times New Roman" w:hAnsi="Times New Roman"/>
          <w:kern w:val="0"/>
        </w:rPr>
        <w:t>). Thy neighbor’s portfolio: word-of-mouth e</w:t>
      </w:r>
      <w:r w:rsidRPr="005C28E7">
        <w:rPr>
          <w:rFonts w:ascii="Times New Roman" w:hAnsi="Times New Roman"/>
          <w:kern w:val="0"/>
        </w:rPr>
        <w:t xml:space="preserve">ffects in the </w:t>
      </w:r>
      <w:r w:rsidR="00D81CC9" w:rsidRPr="005C28E7">
        <w:rPr>
          <w:rFonts w:ascii="Times New Roman" w:hAnsi="Times New Roman"/>
          <w:kern w:val="0"/>
        </w:rPr>
        <w:t>holdings and trades of money managers</w:t>
      </w:r>
      <w:r w:rsidRPr="005C28E7">
        <w:rPr>
          <w:rFonts w:ascii="Times New Roman" w:hAnsi="Times New Roman"/>
          <w:kern w:val="0"/>
        </w:rPr>
        <w:t xml:space="preserve">, </w:t>
      </w:r>
      <w:r w:rsidRPr="005C28E7">
        <w:rPr>
          <w:rFonts w:ascii="Times New Roman" w:hAnsi="Times New Roman"/>
          <w:i/>
          <w:kern w:val="0"/>
        </w:rPr>
        <w:t>The Journal of Finance</w:t>
      </w:r>
      <w:r w:rsidRPr="005C28E7">
        <w:rPr>
          <w:rFonts w:ascii="Times New Roman" w:hAnsi="Times New Roman"/>
          <w:kern w:val="0"/>
        </w:rPr>
        <w:t>, 6</w:t>
      </w:r>
      <w:r w:rsidR="00D81CC9" w:rsidRPr="005C28E7">
        <w:rPr>
          <w:rFonts w:ascii="Times New Roman" w:hAnsi="Times New Roman"/>
          <w:kern w:val="0"/>
        </w:rPr>
        <w:t>0</w:t>
      </w:r>
      <w:r w:rsidR="00FD4235" w:rsidRPr="005C28E7">
        <w:rPr>
          <w:rFonts w:ascii="Times New Roman" w:hAnsi="Times New Roman"/>
          <w:kern w:val="0"/>
        </w:rPr>
        <w:t>(6)</w:t>
      </w:r>
      <w:r w:rsidR="00D81CC9" w:rsidRPr="005C28E7">
        <w:rPr>
          <w:rFonts w:ascii="Times New Roman" w:hAnsi="Times New Roman"/>
          <w:kern w:val="0"/>
        </w:rPr>
        <w:t>,</w:t>
      </w:r>
      <w:r w:rsidRPr="005C28E7">
        <w:rPr>
          <w:rFonts w:ascii="Times New Roman" w:hAnsi="Times New Roman"/>
          <w:kern w:val="0"/>
        </w:rPr>
        <w:t xml:space="preserve"> </w:t>
      </w:r>
      <w:r w:rsidR="002B460E" w:rsidRPr="005C28E7">
        <w:rPr>
          <w:rFonts w:ascii="Times New Roman" w:hAnsi="Times New Roman"/>
          <w:spacing w:val="-4"/>
        </w:rPr>
        <w:t>pp.</w:t>
      </w:r>
      <w:r w:rsidRPr="005C28E7">
        <w:rPr>
          <w:rFonts w:ascii="Times New Roman" w:hAnsi="Times New Roman"/>
          <w:kern w:val="0"/>
        </w:rPr>
        <w:t>2801-2824.</w:t>
      </w:r>
      <w:r w:rsidR="00FD4235" w:rsidRPr="005C28E7">
        <w:rPr>
          <w:rFonts w:ascii="Times New Roman" w:hAnsi="Times New Roman"/>
        </w:rPr>
        <w:t xml:space="preserve"> </w:t>
      </w:r>
      <w:r w:rsidR="00FD4235" w:rsidRPr="005C28E7">
        <w:rPr>
          <w:rFonts w:ascii="Times New Roman" w:hAnsi="Times New Roman"/>
          <w:kern w:val="0"/>
        </w:rPr>
        <w:t>http://dx.doi.org/10.2139/ssrn.331140</w:t>
      </w:r>
    </w:p>
    <w:p w14:paraId="653B0F83" w14:textId="5725D839" w:rsidR="00450734" w:rsidRPr="005C28E7" w:rsidRDefault="00450734" w:rsidP="00F83CEF">
      <w:pPr>
        <w:pStyle w:val="afb"/>
        <w:numPr>
          <w:ilvl w:val="0"/>
          <w:numId w:val="6"/>
        </w:numPr>
        <w:spacing w:before="240" w:line="360" w:lineRule="auto"/>
        <w:ind w:leftChars="0"/>
        <w:jc w:val="both"/>
        <w:rPr>
          <w:rFonts w:ascii="Times New Roman" w:hAnsi="Times New Roman"/>
        </w:rPr>
      </w:pPr>
      <w:r w:rsidRPr="005C28E7">
        <w:rPr>
          <w:rFonts w:ascii="Times New Roman" w:hAnsi="Times New Roman"/>
        </w:rPr>
        <w:t xml:space="preserve">Hughes, J., </w:t>
      </w:r>
      <w:r w:rsidR="004654DF" w:rsidRPr="005C28E7">
        <w:rPr>
          <w:rFonts w:ascii="Times New Roman" w:hAnsi="Times New Roman"/>
        </w:rPr>
        <w:t xml:space="preserve">Liu, </w:t>
      </w:r>
      <w:r w:rsidRPr="005C28E7">
        <w:rPr>
          <w:rFonts w:ascii="Times New Roman" w:hAnsi="Times New Roman"/>
        </w:rPr>
        <w:t>J.</w:t>
      </w:r>
      <w:r w:rsidR="00546ADB" w:rsidRPr="005C28E7">
        <w:rPr>
          <w:rFonts w:ascii="Times New Roman" w:hAnsi="Times New Roman"/>
        </w:rPr>
        <w:t xml:space="preserve"> </w:t>
      </w:r>
      <w:r w:rsidRPr="005C28E7">
        <w:rPr>
          <w:rFonts w:ascii="Times New Roman" w:hAnsi="Times New Roman"/>
        </w:rPr>
        <w:t xml:space="preserve">and </w:t>
      </w:r>
      <w:r w:rsidR="004654DF" w:rsidRPr="005C28E7">
        <w:rPr>
          <w:rFonts w:ascii="Times New Roman" w:hAnsi="Times New Roman"/>
        </w:rPr>
        <w:t xml:space="preserve">Liu, </w:t>
      </w:r>
      <w:r w:rsidRPr="005C28E7">
        <w:rPr>
          <w:rFonts w:ascii="Times New Roman" w:hAnsi="Times New Roman"/>
        </w:rPr>
        <w:t xml:space="preserve">J. </w:t>
      </w:r>
      <w:r w:rsidR="004654DF" w:rsidRPr="005C28E7">
        <w:rPr>
          <w:rFonts w:ascii="Times New Roman" w:hAnsi="Times New Roman"/>
        </w:rPr>
        <w:t xml:space="preserve">(2007). </w:t>
      </w:r>
      <w:r w:rsidRPr="005C28E7">
        <w:rPr>
          <w:rFonts w:ascii="Times New Roman" w:hAnsi="Times New Roman"/>
        </w:rPr>
        <w:t xml:space="preserve">Information </w:t>
      </w:r>
      <w:r w:rsidR="004654DF" w:rsidRPr="005C28E7">
        <w:rPr>
          <w:rFonts w:ascii="Times New Roman" w:hAnsi="Times New Roman"/>
        </w:rPr>
        <w:t>a</w:t>
      </w:r>
      <w:r w:rsidRPr="005C28E7">
        <w:rPr>
          <w:rFonts w:ascii="Times New Roman" w:hAnsi="Times New Roman"/>
        </w:rPr>
        <w:t xml:space="preserve">symmetry, </w:t>
      </w:r>
      <w:r w:rsidR="004654DF" w:rsidRPr="005C28E7">
        <w:rPr>
          <w:rFonts w:ascii="Times New Roman" w:hAnsi="Times New Roman"/>
        </w:rPr>
        <w:t>d</w:t>
      </w:r>
      <w:r w:rsidRPr="005C28E7">
        <w:rPr>
          <w:rFonts w:ascii="Times New Roman" w:hAnsi="Times New Roman"/>
        </w:rPr>
        <w:t xml:space="preserve">iversification and </w:t>
      </w:r>
      <w:r w:rsidR="004654DF" w:rsidRPr="005C28E7">
        <w:rPr>
          <w:rFonts w:ascii="Times New Roman" w:hAnsi="Times New Roman"/>
        </w:rPr>
        <w:t>c</w:t>
      </w:r>
      <w:r w:rsidRPr="005C28E7">
        <w:rPr>
          <w:rFonts w:ascii="Times New Roman" w:hAnsi="Times New Roman"/>
        </w:rPr>
        <w:t xml:space="preserve">ost of </w:t>
      </w:r>
      <w:r w:rsidR="004654DF" w:rsidRPr="005C28E7">
        <w:rPr>
          <w:rFonts w:ascii="Times New Roman" w:hAnsi="Times New Roman"/>
        </w:rPr>
        <w:t>capital</w:t>
      </w:r>
      <w:r w:rsidRPr="005C28E7">
        <w:rPr>
          <w:rFonts w:ascii="Times New Roman" w:hAnsi="Times New Roman"/>
        </w:rPr>
        <w:t>,</w:t>
      </w:r>
      <w:r w:rsidRPr="005C28E7">
        <w:rPr>
          <w:rFonts w:ascii="Times New Roman" w:hAnsi="Times New Roman"/>
          <w:iCs/>
        </w:rPr>
        <w:t xml:space="preserve"> </w:t>
      </w:r>
      <w:r w:rsidRPr="005C28E7">
        <w:rPr>
          <w:rFonts w:ascii="Times New Roman" w:hAnsi="Times New Roman"/>
          <w:i/>
          <w:iCs/>
        </w:rPr>
        <w:t>Accounting Review</w:t>
      </w:r>
      <w:r w:rsidRPr="005C28E7">
        <w:rPr>
          <w:rFonts w:ascii="Times New Roman" w:hAnsi="Times New Roman"/>
          <w:iCs/>
        </w:rPr>
        <w:t xml:space="preserve">, </w:t>
      </w:r>
      <w:r w:rsidRPr="005C28E7">
        <w:rPr>
          <w:rFonts w:ascii="Times New Roman" w:hAnsi="Times New Roman"/>
        </w:rPr>
        <w:t>82</w:t>
      </w:r>
      <w:r w:rsidR="00FD4235" w:rsidRPr="005C28E7">
        <w:rPr>
          <w:rFonts w:ascii="Times New Roman" w:hAnsi="Times New Roman"/>
        </w:rPr>
        <w:t>(3)</w:t>
      </w:r>
      <w:r w:rsidR="004654DF" w:rsidRPr="005C28E7">
        <w:rPr>
          <w:rFonts w:ascii="Times New Roman" w:hAnsi="Times New Roman"/>
        </w:rPr>
        <w:t xml:space="preserve">, </w:t>
      </w:r>
      <w:r w:rsidR="002B460E" w:rsidRPr="005C28E7">
        <w:rPr>
          <w:rFonts w:ascii="Times New Roman" w:hAnsi="Times New Roman"/>
          <w:spacing w:val="-4"/>
        </w:rPr>
        <w:t>pp.</w:t>
      </w:r>
      <w:r w:rsidRPr="005C28E7">
        <w:rPr>
          <w:rFonts w:ascii="Times New Roman" w:hAnsi="Times New Roman"/>
        </w:rPr>
        <w:t>705-</w:t>
      </w:r>
      <w:r w:rsidR="004654DF" w:rsidRPr="005C28E7">
        <w:rPr>
          <w:rFonts w:ascii="Times New Roman" w:hAnsi="Times New Roman"/>
        </w:rPr>
        <w:t>7</w:t>
      </w:r>
      <w:r w:rsidRPr="005C28E7">
        <w:rPr>
          <w:rFonts w:ascii="Times New Roman" w:hAnsi="Times New Roman"/>
        </w:rPr>
        <w:t>29.</w:t>
      </w:r>
      <w:r w:rsidR="00FD4235" w:rsidRPr="005C28E7">
        <w:rPr>
          <w:rFonts w:ascii="Times New Roman" w:hAnsi="Times New Roman"/>
        </w:rPr>
        <w:t xml:space="preserve"> https://www.jstor.org/stable/30243794</w:t>
      </w:r>
    </w:p>
    <w:p w14:paraId="2D4C3726" w14:textId="11F1929F" w:rsidR="00450734" w:rsidRPr="005C28E7" w:rsidRDefault="004654DF" w:rsidP="00F83CEF">
      <w:pPr>
        <w:pStyle w:val="afb"/>
        <w:numPr>
          <w:ilvl w:val="0"/>
          <w:numId w:val="6"/>
        </w:numPr>
        <w:spacing w:before="240" w:line="360" w:lineRule="auto"/>
        <w:ind w:leftChars="0"/>
        <w:jc w:val="both"/>
        <w:rPr>
          <w:rFonts w:ascii="Times New Roman" w:hAnsi="Times New Roman"/>
        </w:rPr>
      </w:pPr>
      <w:r w:rsidRPr="005C28E7">
        <w:rPr>
          <w:rFonts w:ascii="Times New Roman" w:hAnsi="Times New Roman"/>
        </w:rPr>
        <w:t>Hung, M. (2000).</w:t>
      </w:r>
      <w:r w:rsidR="00546ADB" w:rsidRPr="005C28E7">
        <w:rPr>
          <w:rFonts w:ascii="Times New Roman" w:hAnsi="Times New Roman"/>
        </w:rPr>
        <w:t xml:space="preserve"> </w:t>
      </w:r>
      <w:r w:rsidR="00450734" w:rsidRPr="005C28E7">
        <w:rPr>
          <w:rFonts w:ascii="Times New Roman" w:hAnsi="Times New Roman"/>
        </w:rPr>
        <w:t xml:space="preserve">Accounting </w:t>
      </w:r>
      <w:r w:rsidRPr="005C28E7">
        <w:rPr>
          <w:rFonts w:ascii="Times New Roman" w:hAnsi="Times New Roman"/>
        </w:rPr>
        <w:t>s</w:t>
      </w:r>
      <w:r w:rsidR="00450734" w:rsidRPr="005C28E7">
        <w:rPr>
          <w:rFonts w:ascii="Times New Roman" w:hAnsi="Times New Roman"/>
        </w:rPr>
        <w:t xml:space="preserve">tandards and </w:t>
      </w:r>
      <w:r w:rsidRPr="005C28E7">
        <w:rPr>
          <w:rFonts w:ascii="Times New Roman" w:hAnsi="Times New Roman"/>
        </w:rPr>
        <w:t>v</w:t>
      </w:r>
      <w:r w:rsidR="00450734" w:rsidRPr="005C28E7">
        <w:rPr>
          <w:rFonts w:ascii="Times New Roman" w:hAnsi="Times New Roman"/>
        </w:rPr>
        <w:t xml:space="preserve">alue </w:t>
      </w:r>
      <w:r w:rsidRPr="005C28E7">
        <w:rPr>
          <w:rFonts w:ascii="Times New Roman" w:hAnsi="Times New Roman"/>
        </w:rPr>
        <w:t>r</w:t>
      </w:r>
      <w:r w:rsidR="00450734" w:rsidRPr="005C28E7">
        <w:rPr>
          <w:rFonts w:ascii="Times New Roman" w:hAnsi="Times New Roman"/>
        </w:rPr>
        <w:t xml:space="preserve">elevance of </w:t>
      </w:r>
      <w:r w:rsidRPr="005C28E7">
        <w:rPr>
          <w:rFonts w:ascii="Times New Roman" w:hAnsi="Times New Roman"/>
        </w:rPr>
        <w:t>f</w:t>
      </w:r>
      <w:r w:rsidR="00450734" w:rsidRPr="005C28E7">
        <w:rPr>
          <w:rFonts w:ascii="Times New Roman" w:hAnsi="Times New Roman"/>
        </w:rPr>
        <w:t xml:space="preserve">inancial </w:t>
      </w:r>
      <w:r w:rsidRPr="005C28E7">
        <w:rPr>
          <w:rFonts w:ascii="Times New Roman" w:hAnsi="Times New Roman"/>
        </w:rPr>
        <w:t>s</w:t>
      </w:r>
      <w:r w:rsidR="00450734" w:rsidRPr="005C28E7">
        <w:rPr>
          <w:rFonts w:ascii="Times New Roman" w:hAnsi="Times New Roman"/>
        </w:rPr>
        <w:t xml:space="preserve">tatements: </w:t>
      </w:r>
      <w:r w:rsidR="00546ADB" w:rsidRPr="005C28E7">
        <w:rPr>
          <w:rFonts w:ascii="Times New Roman" w:hAnsi="Times New Roman"/>
        </w:rPr>
        <w:t>A</w:t>
      </w:r>
      <w:r w:rsidR="00450734" w:rsidRPr="005C28E7">
        <w:rPr>
          <w:rFonts w:ascii="Times New Roman" w:hAnsi="Times New Roman"/>
        </w:rPr>
        <w:t xml:space="preserve">n </w:t>
      </w:r>
      <w:r w:rsidRPr="005C28E7">
        <w:rPr>
          <w:rFonts w:ascii="Times New Roman" w:hAnsi="Times New Roman"/>
        </w:rPr>
        <w:t>i</w:t>
      </w:r>
      <w:r w:rsidR="00450734" w:rsidRPr="005C28E7">
        <w:rPr>
          <w:rFonts w:ascii="Times New Roman" w:hAnsi="Times New Roman"/>
        </w:rPr>
        <w:t xml:space="preserve">nternational </w:t>
      </w:r>
      <w:r w:rsidRPr="005C28E7">
        <w:rPr>
          <w:rFonts w:ascii="Times New Roman" w:hAnsi="Times New Roman"/>
        </w:rPr>
        <w:t>a</w:t>
      </w:r>
      <w:r w:rsidR="00450734" w:rsidRPr="005C28E7">
        <w:rPr>
          <w:rFonts w:ascii="Times New Roman" w:hAnsi="Times New Roman"/>
        </w:rPr>
        <w:t xml:space="preserve">nalysis, </w:t>
      </w:r>
      <w:r w:rsidR="00450734" w:rsidRPr="005C28E7">
        <w:rPr>
          <w:rFonts w:ascii="Times New Roman" w:hAnsi="Times New Roman"/>
          <w:i/>
        </w:rPr>
        <w:t>Journal of Accounting and Economics</w:t>
      </w:r>
      <w:r w:rsidR="00450734" w:rsidRPr="005C28E7">
        <w:rPr>
          <w:rFonts w:ascii="Times New Roman" w:hAnsi="Times New Roman"/>
        </w:rPr>
        <w:t>, 30</w:t>
      </w:r>
      <w:r w:rsidR="00FD4235" w:rsidRPr="005C28E7">
        <w:rPr>
          <w:rFonts w:ascii="Times New Roman" w:hAnsi="Times New Roman"/>
        </w:rPr>
        <w:t>(3)</w:t>
      </w:r>
      <w:r w:rsidRPr="005C28E7">
        <w:rPr>
          <w:rFonts w:ascii="Times New Roman" w:hAnsi="Times New Roman"/>
          <w:b/>
        </w:rPr>
        <w:t>,</w:t>
      </w:r>
      <w:r w:rsidR="00450734" w:rsidRPr="005C28E7">
        <w:rPr>
          <w:rFonts w:ascii="Times New Roman" w:hAnsi="Times New Roman"/>
        </w:rPr>
        <w:t xml:space="preserve"> </w:t>
      </w:r>
      <w:r w:rsidR="002B460E" w:rsidRPr="005C28E7">
        <w:rPr>
          <w:rFonts w:ascii="Times New Roman" w:hAnsi="Times New Roman"/>
          <w:spacing w:val="-4"/>
        </w:rPr>
        <w:t>pp.</w:t>
      </w:r>
      <w:r w:rsidR="00450734" w:rsidRPr="005C28E7">
        <w:rPr>
          <w:rFonts w:ascii="Times New Roman" w:hAnsi="Times New Roman"/>
        </w:rPr>
        <w:t>401</w:t>
      </w:r>
      <w:r w:rsidR="00546ADB" w:rsidRPr="005C28E7">
        <w:rPr>
          <w:rFonts w:ascii="Times New Roman" w:hAnsi="Times New Roman"/>
        </w:rPr>
        <w:t>-</w:t>
      </w:r>
      <w:r w:rsidRPr="005C28E7">
        <w:rPr>
          <w:rFonts w:ascii="Times New Roman" w:hAnsi="Times New Roman"/>
        </w:rPr>
        <w:t>4</w:t>
      </w:r>
      <w:r w:rsidR="00450734" w:rsidRPr="005C28E7">
        <w:rPr>
          <w:rFonts w:ascii="Times New Roman" w:hAnsi="Times New Roman"/>
        </w:rPr>
        <w:t>20.</w:t>
      </w:r>
      <w:r w:rsidR="00FD4235" w:rsidRPr="005C28E7">
        <w:rPr>
          <w:rFonts w:ascii="Times New Roman" w:hAnsi="Times New Roman"/>
        </w:rPr>
        <w:t xml:space="preserve"> https://doi.org/10.1016/S0165-4101(01)00011-8</w:t>
      </w:r>
    </w:p>
    <w:p w14:paraId="284F1FC5" w14:textId="631A4CE1" w:rsidR="00450734" w:rsidRPr="005C28E7" w:rsidRDefault="00450734" w:rsidP="00F83CEF">
      <w:pPr>
        <w:pStyle w:val="afb"/>
        <w:numPr>
          <w:ilvl w:val="0"/>
          <w:numId w:val="6"/>
        </w:numPr>
        <w:spacing w:before="240" w:line="360" w:lineRule="auto"/>
        <w:ind w:leftChars="0"/>
        <w:jc w:val="both"/>
        <w:rPr>
          <w:rStyle w:val="citationjournal"/>
          <w:rFonts w:ascii="Times New Roman" w:hAnsi="Times New Roman"/>
        </w:rPr>
      </w:pPr>
      <w:r w:rsidRPr="005C28E7">
        <w:rPr>
          <w:rStyle w:val="citationjournal"/>
          <w:rFonts w:ascii="Times New Roman" w:hAnsi="Times New Roman"/>
        </w:rPr>
        <w:t>Kahneman, D.</w:t>
      </w:r>
      <w:r w:rsidR="00D7721E" w:rsidRPr="005C28E7">
        <w:rPr>
          <w:rStyle w:val="citationjournal"/>
          <w:rFonts w:ascii="Times New Roman" w:hAnsi="Times New Roman"/>
        </w:rPr>
        <w:t>,</w:t>
      </w:r>
      <w:r w:rsidRPr="005C28E7">
        <w:rPr>
          <w:rStyle w:val="citationjournal"/>
          <w:rFonts w:ascii="Times New Roman" w:hAnsi="Times New Roman"/>
        </w:rPr>
        <w:t xml:space="preserve"> and </w:t>
      </w:r>
      <w:r w:rsidR="00D7721E" w:rsidRPr="005C28E7">
        <w:rPr>
          <w:rStyle w:val="citationjournal"/>
          <w:rFonts w:ascii="Times New Roman" w:hAnsi="Times New Roman"/>
        </w:rPr>
        <w:t xml:space="preserve">Tversky, </w:t>
      </w:r>
      <w:r w:rsidRPr="005C28E7">
        <w:rPr>
          <w:rStyle w:val="citationjournal"/>
          <w:rFonts w:ascii="Times New Roman" w:hAnsi="Times New Roman"/>
        </w:rPr>
        <w:t xml:space="preserve">A. </w:t>
      </w:r>
      <w:r w:rsidR="00D7721E" w:rsidRPr="005C28E7">
        <w:rPr>
          <w:rStyle w:val="citationjournal"/>
          <w:rFonts w:ascii="Times New Roman" w:hAnsi="Times New Roman"/>
        </w:rPr>
        <w:t xml:space="preserve">(1979). </w:t>
      </w:r>
      <w:r w:rsidRPr="005C28E7">
        <w:rPr>
          <w:rStyle w:val="citationjournal"/>
          <w:rFonts w:ascii="Times New Roman" w:hAnsi="Times New Roman"/>
        </w:rPr>
        <w:t xml:space="preserve">Prospect </w:t>
      </w:r>
      <w:r w:rsidR="00D7721E" w:rsidRPr="005C28E7">
        <w:rPr>
          <w:rStyle w:val="citationjournal"/>
          <w:rFonts w:ascii="Times New Roman" w:hAnsi="Times New Roman"/>
        </w:rPr>
        <w:t>t</w:t>
      </w:r>
      <w:r w:rsidRPr="005C28E7">
        <w:rPr>
          <w:rStyle w:val="citationjournal"/>
          <w:rFonts w:ascii="Times New Roman" w:hAnsi="Times New Roman"/>
        </w:rPr>
        <w:t xml:space="preserve">heory: An </w:t>
      </w:r>
      <w:r w:rsidR="00D7721E" w:rsidRPr="005C28E7">
        <w:rPr>
          <w:rStyle w:val="citationjournal"/>
          <w:rFonts w:ascii="Times New Roman" w:hAnsi="Times New Roman"/>
        </w:rPr>
        <w:t>a</w:t>
      </w:r>
      <w:r w:rsidRPr="005C28E7">
        <w:rPr>
          <w:rStyle w:val="citationjournal"/>
          <w:rFonts w:ascii="Times New Roman" w:hAnsi="Times New Roman"/>
        </w:rPr>
        <w:t xml:space="preserve">nalysis of </w:t>
      </w:r>
      <w:r w:rsidR="00D7721E" w:rsidRPr="005C28E7">
        <w:rPr>
          <w:rStyle w:val="citationjournal"/>
          <w:rFonts w:ascii="Times New Roman" w:hAnsi="Times New Roman"/>
        </w:rPr>
        <w:t>d</w:t>
      </w:r>
      <w:r w:rsidRPr="005C28E7">
        <w:rPr>
          <w:rStyle w:val="citationjournal"/>
          <w:rFonts w:ascii="Times New Roman" w:hAnsi="Times New Roman"/>
        </w:rPr>
        <w:t xml:space="preserve">ecisions </w:t>
      </w:r>
      <w:r w:rsidR="00D7721E" w:rsidRPr="005C28E7">
        <w:rPr>
          <w:rStyle w:val="citationjournal"/>
          <w:rFonts w:ascii="Times New Roman" w:hAnsi="Times New Roman"/>
        </w:rPr>
        <w:t>u</w:t>
      </w:r>
      <w:r w:rsidRPr="005C28E7">
        <w:rPr>
          <w:rStyle w:val="citationjournal"/>
          <w:rFonts w:ascii="Times New Roman" w:hAnsi="Times New Roman"/>
        </w:rPr>
        <w:t xml:space="preserve">nder </w:t>
      </w:r>
      <w:r w:rsidR="00D7721E" w:rsidRPr="005C28E7">
        <w:rPr>
          <w:rStyle w:val="citationjournal"/>
          <w:rFonts w:ascii="Times New Roman" w:hAnsi="Times New Roman"/>
        </w:rPr>
        <w:t>risk</w:t>
      </w:r>
      <w:r w:rsidRPr="005C28E7">
        <w:rPr>
          <w:rStyle w:val="citationjournal"/>
          <w:rFonts w:ascii="Times New Roman" w:hAnsi="Times New Roman"/>
        </w:rPr>
        <w:t>,</w:t>
      </w:r>
      <w:r w:rsidR="00546ADB" w:rsidRPr="005C28E7">
        <w:rPr>
          <w:rStyle w:val="citationjournal"/>
          <w:rFonts w:ascii="Times New Roman" w:hAnsi="Times New Roman"/>
        </w:rPr>
        <w:t xml:space="preserve"> </w:t>
      </w:r>
      <w:proofErr w:type="spellStart"/>
      <w:r w:rsidRPr="005C28E7">
        <w:rPr>
          <w:rStyle w:val="citationjournal"/>
          <w:rFonts w:ascii="Times New Roman" w:hAnsi="Times New Roman"/>
          <w:i/>
          <w:iCs/>
        </w:rPr>
        <w:t>Econometrica</w:t>
      </w:r>
      <w:proofErr w:type="spellEnd"/>
      <w:r w:rsidRPr="005C28E7">
        <w:rPr>
          <w:rStyle w:val="citationjournal"/>
          <w:rFonts w:ascii="Times New Roman" w:hAnsi="Times New Roman"/>
          <w:iCs/>
        </w:rPr>
        <w:t>, 47</w:t>
      </w:r>
      <w:r w:rsidR="00FD4235" w:rsidRPr="005C28E7">
        <w:rPr>
          <w:rStyle w:val="citationjournal"/>
          <w:rFonts w:ascii="Times New Roman" w:hAnsi="Times New Roman"/>
          <w:iCs/>
        </w:rPr>
        <w:t>(2)</w:t>
      </w:r>
      <w:r w:rsidR="00D7721E" w:rsidRPr="005C28E7">
        <w:rPr>
          <w:rStyle w:val="citationjournal"/>
          <w:rFonts w:ascii="Times New Roman" w:hAnsi="Times New Roman"/>
          <w:iCs/>
        </w:rPr>
        <w:t>,</w:t>
      </w:r>
      <w:r w:rsidRPr="005C28E7">
        <w:rPr>
          <w:rStyle w:val="citationjournal"/>
          <w:rFonts w:ascii="Times New Roman" w:hAnsi="Times New Roman"/>
          <w:iCs/>
        </w:rPr>
        <w:t xml:space="preserve"> </w:t>
      </w:r>
      <w:r w:rsidR="002B460E" w:rsidRPr="005C28E7">
        <w:rPr>
          <w:rFonts w:ascii="Times New Roman" w:hAnsi="Times New Roman"/>
          <w:spacing w:val="-4"/>
        </w:rPr>
        <w:t>pp.</w:t>
      </w:r>
      <w:r w:rsidRPr="005C28E7">
        <w:rPr>
          <w:rStyle w:val="citationjournal"/>
          <w:rFonts w:ascii="Times New Roman" w:hAnsi="Times New Roman"/>
        </w:rPr>
        <w:t>263</w:t>
      </w:r>
      <w:r w:rsidR="00546ADB" w:rsidRPr="005C28E7">
        <w:rPr>
          <w:rStyle w:val="citationjournal"/>
          <w:rFonts w:ascii="Times New Roman" w:hAnsi="Times New Roman"/>
        </w:rPr>
        <w:t>-</w:t>
      </w:r>
      <w:r w:rsidR="00D7721E" w:rsidRPr="005C28E7">
        <w:rPr>
          <w:rStyle w:val="citationjournal"/>
          <w:rFonts w:ascii="Times New Roman" w:hAnsi="Times New Roman"/>
        </w:rPr>
        <w:t>2</w:t>
      </w:r>
      <w:r w:rsidRPr="005C28E7">
        <w:rPr>
          <w:rStyle w:val="citationjournal"/>
          <w:rFonts w:ascii="Times New Roman" w:hAnsi="Times New Roman"/>
        </w:rPr>
        <w:t>91.</w:t>
      </w:r>
      <w:r w:rsidR="00FD4235" w:rsidRPr="005C28E7">
        <w:rPr>
          <w:rFonts w:ascii="Times New Roman" w:hAnsi="Times New Roman"/>
        </w:rPr>
        <w:t xml:space="preserve"> </w:t>
      </w:r>
      <w:r w:rsidR="00FD4235" w:rsidRPr="005C28E7">
        <w:rPr>
          <w:rStyle w:val="citationjournal"/>
          <w:rFonts w:ascii="Times New Roman" w:hAnsi="Times New Roman"/>
        </w:rPr>
        <w:t>https://doi.org/10.2307/1914185</w:t>
      </w:r>
    </w:p>
    <w:p w14:paraId="28E21E66" w14:textId="1DAE2C54" w:rsidR="00450734" w:rsidRPr="005C28E7" w:rsidRDefault="00450734" w:rsidP="00F83CEF">
      <w:pPr>
        <w:pStyle w:val="afb"/>
        <w:numPr>
          <w:ilvl w:val="0"/>
          <w:numId w:val="6"/>
        </w:numPr>
        <w:spacing w:before="240" w:line="360" w:lineRule="auto"/>
        <w:ind w:leftChars="0"/>
        <w:jc w:val="both"/>
        <w:rPr>
          <w:rFonts w:ascii="Times New Roman" w:hAnsi="Times New Roman"/>
        </w:rPr>
      </w:pPr>
      <w:r w:rsidRPr="005C28E7">
        <w:rPr>
          <w:rFonts w:ascii="Times New Roman" w:hAnsi="Times New Roman"/>
          <w:bCs/>
          <w:iCs/>
        </w:rPr>
        <w:lastRenderedPageBreak/>
        <w:t>Kim, D.</w:t>
      </w:r>
      <w:r w:rsidR="00D7721E" w:rsidRPr="005C28E7">
        <w:rPr>
          <w:rFonts w:ascii="Times New Roman" w:hAnsi="Times New Roman"/>
          <w:bCs/>
          <w:iCs/>
        </w:rPr>
        <w:t>,</w:t>
      </w:r>
      <w:r w:rsidRPr="005C28E7">
        <w:rPr>
          <w:rFonts w:ascii="Times New Roman" w:hAnsi="Times New Roman"/>
          <w:bCs/>
          <w:iCs/>
        </w:rPr>
        <w:t xml:space="preserve"> and </w:t>
      </w:r>
      <w:r w:rsidR="00D7721E" w:rsidRPr="005C28E7">
        <w:rPr>
          <w:rFonts w:ascii="Times New Roman" w:hAnsi="Times New Roman"/>
          <w:bCs/>
          <w:iCs/>
        </w:rPr>
        <w:t xml:space="preserve">Qi, </w:t>
      </w:r>
      <w:r w:rsidRPr="005C28E7">
        <w:rPr>
          <w:rFonts w:ascii="Times New Roman" w:hAnsi="Times New Roman"/>
          <w:bCs/>
          <w:iCs/>
        </w:rPr>
        <w:t xml:space="preserve">Y. </w:t>
      </w:r>
      <w:r w:rsidR="00D7721E" w:rsidRPr="005C28E7">
        <w:rPr>
          <w:rFonts w:ascii="Times New Roman" w:hAnsi="Times New Roman"/>
          <w:bCs/>
          <w:iCs/>
        </w:rPr>
        <w:t xml:space="preserve">(2010). </w:t>
      </w:r>
      <w:r w:rsidRPr="005C28E7">
        <w:rPr>
          <w:rFonts w:ascii="Times New Roman" w:hAnsi="Times New Roman"/>
          <w:bCs/>
        </w:rPr>
        <w:t xml:space="preserve">Accruals </w:t>
      </w:r>
      <w:r w:rsidR="00D7721E" w:rsidRPr="005C28E7">
        <w:rPr>
          <w:rFonts w:ascii="Times New Roman" w:hAnsi="Times New Roman"/>
          <w:bCs/>
        </w:rPr>
        <w:t>q</w:t>
      </w:r>
      <w:r w:rsidRPr="005C28E7">
        <w:rPr>
          <w:rFonts w:ascii="Times New Roman" w:hAnsi="Times New Roman"/>
          <w:bCs/>
        </w:rPr>
        <w:t xml:space="preserve">uality, </w:t>
      </w:r>
      <w:r w:rsidR="00D7721E" w:rsidRPr="005C28E7">
        <w:rPr>
          <w:rFonts w:ascii="Times New Roman" w:hAnsi="Times New Roman"/>
          <w:bCs/>
        </w:rPr>
        <w:t>s</w:t>
      </w:r>
      <w:r w:rsidRPr="005C28E7">
        <w:rPr>
          <w:rFonts w:ascii="Times New Roman" w:hAnsi="Times New Roman"/>
          <w:bCs/>
        </w:rPr>
        <w:t xml:space="preserve">tock </w:t>
      </w:r>
      <w:r w:rsidR="00D7721E" w:rsidRPr="005C28E7">
        <w:rPr>
          <w:rFonts w:ascii="Times New Roman" w:hAnsi="Times New Roman"/>
          <w:bCs/>
        </w:rPr>
        <w:t>r</w:t>
      </w:r>
      <w:r w:rsidRPr="005C28E7">
        <w:rPr>
          <w:rFonts w:ascii="Times New Roman" w:hAnsi="Times New Roman"/>
          <w:bCs/>
        </w:rPr>
        <w:t xml:space="preserve">eturns and </w:t>
      </w:r>
      <w:r w:rsidR="00D7721E" w:rsidRPr="005C28E7">
        <w:rPr>
          <w:rFonts w:ascii="Times New Roman" w:hAnsi="Times New Roman"/>
          <w:bCs/>
        </w:rPr>
        <w:t>m</w:t>
      </w:r>
      <w:r w:rsidRPr="005C28E7">
        <w:rPr>
          <w:rFonts w:ascii="Times New Roman" w:hAnsi="Times New Roman"/>
          <w:bCs/>
        </w:rPr>
        <w:t xml:space="preserve">acroeconomic </w:t>
      </w:r>
      <w:r w:rsidR="00D7721E" w:rsidRPr="005C28E7">
        <w:rPr>
          <w:rFonts w:ascii="Times New Roman" w:hAnsi="Times New Roman"/>
          <w:bCs/>
        </w:rPr>
        <w:t>conditions</w:t>
      </w:r>
      <w:r w:rsidRPr="005C28E7">
        <w:rPr>
          <w:rFonts w:ascii="Times New Roman" w:hAnsi="Times New Roman"/>
          <w:bCs/>
        </w:rPr>
        <w:t xml:space="preserve">, </w:t>
      </w:r>
      <w:r w:rsidRPr="005C28E7">
        <w:rPr>
          <w:rFonts w:ascii="Times New Roman" w:eastAsia="標楷體" w:hAnsi="Times New Roman"/>
          <w:i/>
          <w:iCs/>
        </w:rPr>
        <w:t>Accounting Review</w:t>
      </w:r>
      <w:r w:rsidRPr="005C28E7">
        <w:rPr>
          <w:rFonts w:ascii="Times New Roman" w:hAnsi="Times New Roman"/>
          <w:bCs/>
        </w:rPr>
        <w:t>, 85</w:t>
      </w:r>
      <w:r w:rsidR="00FD4235" w:rsidRPr="005C28E7">
        <w:rPr>
          <w:rFonts w:ascii="Times New Roman" w:hAnsi="Times New Roman"/>
          <w:bCs/>
        </w:rPr>
        <w:t>(3)</w:t>
      </w:r>
      <w:r w:rsidR="00D7721E" w:rsidRPr="005C28E7">
        <w:rPr>
          <w:rFonts w:ascii="Times New Roman" w:hAnsi="Times New Roman"/>
          <w:bCs/>
        </w:rPr>
        <w:t>,</w:t>
      </w:r>
      <w:r w:rsidRPr="005C28E7">
        <w:rPr>
          <w:rFonts w:ascii="Times New Roman" w:hAnsi="Times New Roman"/>
          <w:bCs/>
          <w:iCs/>
        </w:rPr>
        <w:t xml:space="preserve"> </w:t>
      </w:r>
      <w:r w:rsidR="002B460E" w:rsidRPr="005C28E7">
        <w:rPr>
          <w:rFonts w:ascii="Times New Roman" w:hAnsi="Times New Roman"/>
          <w:spacing w:val="-4"/>
        </w:rPr>
        <w:t>pp.</w:t>
      </w:r>
      <w:r w:rsidRPr="005C28E7">
        <w:rPr>
          <w:rFonts w:ascii="Times New Roman" w:hAnsi="Times New Roman"/>
          <w:bCs/>
        </w:rPr>
        <w:t>937-</w:t>
      </w:r>
      <w:r w:rsidR="00D7721E" w:rsidRPr="005C28E7">
        <w:rPr>
          <w:rFonts w:ascii="Times New Roman" w:hAnsi="Times New Roman"/>
          <w:bCs/>
        </w:rPr>
        <w:t>9</w:t>
      </w:r>
      <w:r w:rsidRPr="005C28E7">
        <w:rPr>
          <w:rFonts w:ascii="Times New Roman" w:hAnsi="Times New Roman"/>
          <w:bCs/>
        </w:rPr>
        <w:t>78.</w:t>
      </w:r>
      <w:r w:rsidR="00FD4235" w:rsidRPr="005C28E7">
        <w:rPr>
          <w:rFonts w:ascii="Times New Roman" w:hAnsi="Times New Roman"/>
        </w:rPr>
        <w:t xml:space="preserve"> </w:t>
      </w:r>
      <w:r w:rsidR="00FD4235" w:rsidRPr="005C28E7">
        <w:rPr>
          <w:rFonts w:ascii="Times New Roman" w:hAnsi="Times New Roman"/>
          <w:bCs/>
        </w:rPr>
        <w:t>https://www.jstor.org/stable/27802676</w:t>
      </w:r>
    </w:p>
    <w:p w14:paraId="14A2D3E4" w14:textId="1B3B4502" w:rsidR="00450734" w:rsidRPr="005C28E7" w:rsidRDefault="00450734" w:rsidP="00F83CEF">
      <w:pPr>
        <w:pStyle w:val="afb"/>
        <w:numPr>
          <w:ilvl w:val="0"/>
          <w:numId w:val="6"/>
        </w:numPr>
        <w:spacing w:before="240" w:line="360" w:lineRule="auto"/>
        <w:ind w:leftChars="0"/>
        <w:jc w:val="both"/>
        <w:rPr>
          <w:rFonts w:ascii="Times New Roman" w:hAnsi="Times New Roman"/>
        </w:rPr>
      </w:pPr>
      <w:r w:rsidRPr="005C28E7">
        <w:rPr>
          <w:rFonts w:ascii="Times New Roman" w:hAnsi="Times New Roman"/>
          <w:kern w:val="0"/>
        </w:rPr>
        <w:t>Kim, M.</w:t>
      </w:r>
      <w:r w:rsidR="00F62CC1" w:rsidRPr="005C28E7">
        <w:rPr>
          <w:rFonts w:ascii="Times New Roman" w:hAnsi="Times New Roman"/>
          <w:kern w:val="0"/>
        </w:rPr>
        <w:t xml:space="preserve"> </w:t>
      </w:r>
      <w:r w:rsidRPr="005C28E7">
        <w:rPr>
          <w:rFonts w:ascii="Times New Roman" w:hAnsi="Times New Roman"/>
          <w:kern w:val="0"/>
        </w:rPr>
        <w:t>K.</w:t>
      </w:r>
      <w:r w:rsidR="00F62CC1" w:rsidRPr="005C28E7">
        <w:rPr>
          <w:rFonts w:ascii="Times New Roman" w:hAnsi="Times New Roman"/>
          <w:kern w:val="0"/>
        </w:rPr>
        <w:t>,</w:t>
      </w:r>
      <w:r w:rsidRPr="005C28E7">
        <w:rPr>
          <w:rFonts w:ascii="Times New Roman" w:hAnsi="Times New Roman"/>
          <w:kern w:val="0"/>
        </w:rPr>
        <w:t xml:space="preserve"> and </w:t>
      </w:r>
      <w:r w:rsidR="00F62CC1" w:rsidRPr="005C28E7">
        <w:rPr>
          <w:rFonts w:ascii="Times New Roman" w:hAnsi="Times New Roman"/>
          <w:kern w:val="0"/>
        </w:rPr>
        <w:t xml:space="preserve">Zumwalt, </w:t>
      </w:r>
      <w:r w:rsidRPr="005C28E7">
        <w:rPr>
          <w:rFonts w:ascii="Times New Roman" w:hAnsi="Times New Roman"/>
          <w:kern w:val="0"/>
        </w:rPr>
        <w:t xml:space="preserve">K. </w:t>
      </w:r>
      <w:r w:rsidR="00F62CC1" w:rsidRPr="005C28E7">
        <w:rPr>
          <w:rFonts w:ascii="Times New Roman" w:hAnsi="Times New Roman"/>
          <w:kern w:val="0"/>
        </w:rPr>
        <w:t xml:space="preserve">(1979). </w:t>
      </w:r>
      <w:r w:rsidRPr="005C28E7">
        <w:rPr>
          <w:rFonts w:ascii="Times New Roman" w:hAnsi="Times New Roman"/>
          <w:kern w:val="0"/>
        </w:rPr>
        <w:t xml:space="preserve">An </w:t>
      </w:r>
      <w:r w:rsidR="00F62CC1" w:rsidRPr="005C28E7">
        <w:rPr>
          <w:rFonts w:ascii="Times New Roman" w:hAnsi="Times New Roman"/>
          <w:kern w:val="0"/>
        </w:rPr>
        <w:t>a</w:t>
      </w:r>
      <w:r w:rsidRPr="005C28E7">
        <w:rPr>
          <w:rFonts w:ascii="Times New Roman" w:hAnsi="Times New Roman"/>
          <w:kern w:val="0"/>
        </w:rPr>
        <w:t xml:space="preserve">nalysis of </w:t>
      </w:r>
      <w:r w:rsidR="00F62CC1" w:rsidRPr="005C28E7">
        <w:rPr>
          <w:rFonts w:ascii="Times New Roman" w:hAnsi="Times New Roman"/>
          <w:kern w:val="0"/>
        </w:rPr>
        <w:t>r</w:t>
      </w:r>
      <w:r w:rsidRPr="005C28E7">
        <w:rPr>
          <w:rFonts w:ascii="Times New Roman" w:hAnsi="Times New Roman"/>
          <w:kern w:val="0"/>
        </w:rPr>
        <w:t xml:space="preserve">isk in </w:t>
      </w:r>
      <w:r w:rsidR="00F62CC1" w:rsidRPr="005C28E7">
        <w:rPr>
          <w:rFonts w:ascii="Times New Roman" w:hAnsi="Times New Roman"/>
          <w:kern w:val="0"/>
        </w:rPr>
        <w:t>b</w:t>
      </w:r>
      <w:r w:rsidRPr="005C28E7">
        <w:rPr>
          <w:rFonts w:ascii="Times New Roman" w:hAnsi="Times New Roman"/>
          <w:kern w:val="0"/>
        </w:rPr>
        <w:t xml:space="preserve">ull and </w:t>
      </w:r>
      <w:r w:rsidR="00F62CC1" w:rsidRPr="005C28E7">
        <w:rPr>
          <w:rFonts w:ascii="Times New Roman" w:hAnsi="Times New Roman"/>
          <w:kern w:val="0"/>
        </w:rPr>
        <w:t>b</w:t>
      </w:r>
      <w:r w:rsidRPr="005C28E7">
        <w:rPr>
          <w:rFonts w:ascii="Times New Roman" w:hAnsi="Times New Roman"/>
          <w:kern w:val="0"/>
        </w:rPr>
        <w:t xml:space="preserve">ear </w:t>
      </w:r>
      <w:r w:rsidR="00F62CC1" w:rsidRPr="005C28E7">
        <w:rPr>
          <w:rFonts w:ascii="Times New Roman" w:hAnsi="Times New Roman"/>
          <w:kern w:val="0"/>
        </w:rPr>
        <w:t>markets</w:t>
      </w:r>
      <w:r w:rsidRPr="005C28E7">
        <w:rPr>
          <w:rFonts w:ascii="Times New Roman" w:hAnsi="Times New Roman"/>
          <w:kern w:val="0"/>
        </w:rPr>
        <w:t xml:space="preserve">, </w:t>
      </w:r>
      <w:r w:rsidRPr="005C28E7">
        <w:rPr>
          <w:rFonts w:ascii="Times New Roman" w:hAnsi="Times New Roman"/>
          <w:i/>
          <w:iCs/>
          <w:kern w:val="0"/>
        </w:rPr>
        <w:t>Journal of Financial and Quantitative Analysis</w:t>
      </w:r>
      <w:r w:rsidR="00FD4235" w:rsidRPr="005C28E7">
        <w:rPr>
          <w:rFonts w:ascii="Times New Roman" w:hAnsi="Times New Roman"/>
          <w:iCs/>
          <w:kern w:val="0"/>
        </w:rPr>
        <w:t xml:space="preserve">, </w:t>
      </w:r>
      <w:r w:rsidRPr="005C28E7">
        <w:rPr>
          <w:rFonts w:ascii="Times New Roman" w:hAnsi="Times New Roman"/>
          <w:iCs/>
          <w:kern w:val="0"/>
        </w:rPr>
        <w:t>14</w:t>
      </w:r>
      <w:r w:rsidR="00FD4235" w:rsidRPr="005C28E7">
        <w:rPr>
          <w:rFonts w:ascii="Times New Roman" w:hAnsi="Times New Roman"/>
          <w:iCs/>
          <w:kern w:val="0"/>
        </w:rPr>
        <w:t>(5)</w:t>
      </w:r>
      <w:r w:rsidR="00F62CC1" w:rsidRPr="005C28E7">
        <w:rPr>
          <w:rFonts w:ascii="Times New Roman" w:hAnsi="Times New Roman"/>
          <w:iCs/>
          <w:kern w:val="0"/>
        </w:rPr>
        <w:t>,</w:t>
      </w:r>
      <w:r w:rsidRPr="005C28E7">
        <w:rPr>
          <w:rFonts w:ascii="Times New Roman" w:hAnsi="Times New Roman"/>
          <w:iCs/>
          <w:kern w:val="0"/>
        </w:rPr>
        <w:t xml:space="preserve"> </w:t>
      </w:r>
      <w:r w:rsidR="002B460E" w:rsidRPr="005C28E7">
        <w:rPr>
          <w:rFonts w:ascii="Times New Roman" w:hAnsi="Times New Roman"/>
          <w:spacing w:val="-4"/>
        </w:rPr>
        <w:t>pp.</w:t>
      </w:r>
      <w:r w:rsidRPr="005C28E7">
        <w:rPr>
          <w:rFonts w:ascii="Times New Roman" w:hAnsi="Times New Roman"/>
          <w:kern w:val="0"/>
        </w:rPr>
        <w:t>1015-</w:t>
      </w:r>
      <w:r w:rsidR="00F62CC1" w:rsidRPr="005C28E7">
        <w:rPr>
          <w:rFonts w:ascii="Times New Roman" w:hAnsi="Times New Roman"/>
          <w:kern w:val="0"/>
        </w:rPr>
        <w:t>10</w:t>
      </w:r>
      <w:r w:rsidRPr="005C28E7">
        <w:rPr>
          <w:rFonts w:ascii="Times New Roman" w:hAnsi="Times New Roman"/>
          <w:kern w:val="0"/>
        </w:rPr>
        <w:t>25.</w:t>
      </w:r>
      <w:r w:rsidR="00FD4235" w:rsidRPr="005C28E7">
        <w:rPr>
          <w:rFonts w:ascii="Times New Roman" w:hAnsi="Times New Roman"/>
        </w:rPr>
        <w:t xml:space="preserve"> </w:t>
      </w:r>
      <w:r w:rsidR="00FD4235" w:rsidRPr="005C28E7">
        <w:rPr>
          <w:rFonts w:ascii="Times New Roman" w:hAnsi="Times New Roman"/>
          <w:kern w:val="0"/>
        </w:rPr>
        <w:t>https://doi.org/10.2307/2330303</w:t>
      </w:r>
    </w:p>
    <w:p w14:paraId="37D6E2BA" w14:textId="5181C5D2" w:rsidR="00450734" w:rsidRPr="005C28E7" w:rsidRDefault="00450734" w:rsidP="00F83CEF">
      <w:pPr>
        <w:pStyle w:val="afb"/>
        <w:numPr>
          <w:ilvl w:val="0"/>
          <w:numId w:val="6"/>
        </w:numPr>
        <w:spacing w:before="240" w:line="560" w:lineRule="exact"/>
        <w:ind w:leftChars="0"/>
        <w:jc w:val="both"/>
        <w:rPr>
          <w:rFonts w:ascii="Times New Roman" w:hAnsi="Times New Roman"/>
        </w:rPr>
      </w:pPr>
      <w:r w:rsidRPr="005C28E7">
        <w:rPr>
          <w:rFonts w:ascii="Times New Roman" w:hAnsi="Times New Roman"/>
          <w:kern w:val="0"/>
        </w:rPr>
        <w:t xml:space="preserve">Kothari, S., </w:t>
      </w:r>
      <w:r w:rsidR="00F83C90" w:rsidRPr="005C28E7">
        <w:rPr>
          <w:rFonts w:ascii="Times New Roman" w:hAnsi="Times New Roman"/>
          <w:kern w:val="0"/>
        </w:rPr>
        <w:t xml:space="preserve">Leone, </w:t>
      </w:r>
      <w:r w:rsidRPr="005C28E7">
        <w:rPr>
          <w:rFonts w:ascii="Times New Roman" w:hAnsi="Times New Roman"/>
          <w:kern w:val="0"/>
        </w:rPr>
        <w:t>A. and</w:t>
      </w:r>
      <w:r w:rsidR="00546ADB" w:rsidRPr="005C28E7">
        <w:rPr>
          <w:rFonts w:ascii="Times New Roman" w:hAnsi="Times New Roman"/>
          <w:kern w:val="0"/>
        </w:rPr>
        <w:t xml:space="preserve"> </w:t>
      </w:r>
      <w:proofErr w:type="spellStart"/>
      <w:r w:rsidR="00F83C90" w:rsidRPr="005C28E7">
        <w:rPr>
          <w:rFonts w:ascii="Times New Roman" w:hAnsi="Times New Roman"/>
          <w:kern w:val="0"/>
        </w:rPr>
        <w:t>Wasley</w:t>
      </w:r>
      <w:proofErr w:type="spellEnd"/>
      <w:r w:rsidR="00F83C90" w:rsidRPr="005C28E7">
        <w:rPr>
          <w:rFonts w:ascii="Times New Roman" w:hAnsi="Times New Roman"/>
          <w:kern w:val="0"/>
        </w:rPr>
        <w:t xml:space="preserve">, </w:t>
      </w:r>
      <w:r w:rsidRPr="005C28E7">
        <w:rPr>
          <w:rFonts w:ascii="Times New Roman" w:hAnsi="Times New Roman"/>
          <w:kern w:val="0"/>
        </w:rPr>
        <w:t>C. (2005)</w:t>
      </w:r>
      <w:r w:rsidR="00546ADB" w:rsidRPr="005C28E7">
        <w:rPr>
          <w:rFonts w:ascii="Times New Roman" w:hAnsi="Times New Roman"/>
          <w:kern w:val="0"/>
        </w:rPr>
        <w:t xml:space="preserve"> </w:t>
      </w:r>
      <w:r w:rsidRPr="005C28E7">
        <w:rPr>
          <w:rFonts w:ascii="Times New Roman" w:hAnsi="Times New Roman"/>
          <w:kern w:val="0"/>
        </w:rPr>
        <w:t>Performance</w:t>
      </w:r>
      <w:r w:rsidR="00546ADB" w:rsidRPr="005C28E7">
        <w:rPr>
          <w:rFonts w:ascii="Times New Roman" w:hAnsi="Times New Roman"/>
          <w:kern w:val="0"/>
        </w:rPr>
        <w:t>-m</w:t>
      </w:r>
      <w:r w:rsidRPr="005C28E7">
        <w:rPr>
          <w:rFonts w:ascii="Times New Roman" w:hAnsi="Times New Roman"/>
          <w:kern w:val="0"/>
        </w:rPr>
        <w:t xml:space="preserve">atched </w:t>
      </w:r>
      <w:r w:rsidR="00F83C90" w:rsidRPr="005C28E7">
        <w:rPr>
          <w:rFonts w:ascii="Times New Roman" w:hAnsi="Times New Roman"/>
          <w:kern w:val="0"/>
        </w:rPr>
        <w:t>d</w:t>
      </w:r>
      <w:r w:rsidRPr="005C28E7">
        <w:rPr>
          <w:rFonts w:ascii="Times New Roman" w:hAnsi="Times New Roman"/>
          <w:kern w:val="0"/>
        </w:rPr>
        <w:t xml:space="preserve">iscretionary </w:t>
      </w:r>
      <w:r w:rsidR="00F83C90" w:rsidRPr="005C28E7">
        <w:rPr>
          <w:rFonts w:ascii="Times New Roman" w:hAnsi="Times New Roman"/>
          <w:kern w:val="0"/>
        </w:rPr>
        <w:t>a</w:t>
      </w:r>
      <w:r w:rsidRPr="005C28E7">
        <w:rPr>
          <w:rFonts w:ascii="Times New Roman" w:hAnsi="Times New Roman"/>
          <w:kern w:val="0"/>
        </w:rPr>
        <w:t xml:space="preserve">ccrual </w:t>
      </w:r>
      <w:r w:rsidR="00F83C90" w:rsidRPr="005C28E7">
        <w:rPr>
          <w:rFonts w:ascii="Times New Roman" w:hAnsi="Times New Roman"/>
          <w:kern w:val="0"/>
        </w:rPr>
        <w:t>measures</w:t>
      </w:r>
      <w:r w:rsidRPr="005C28E7">
        <w:rPr>
          <w:rFonts w:ascii="Times New Roman" w:hAnsi="Times New Roman"/>
          <w:kern w:val="0"/>
        </w:rPr>
        <w:t xml:space="preserve">, </w:t>
      </w:r>
      <w:r w:rsidRPr="005C28E7">
        <w:rPr>
          <w:rFonts w:ascii="Times New Roman" w:hAnsi="Times New Roman"/>
          <w:i/>
          <w:kern w:val="0"/>
        </w:rPr>
        <w:t>Journal of Accounting and Economics</w:t>
      </w:r>
      <w:r w:rsidRPr="005C28E7">
        <w:rPr>
          <w:rFonts w:ascii="Times New Roman" w:hAnsi="Times New Roman"/>
          <w:kern w:val="0"/>
        </w:rPr>
        <w:t>, 39</w:t>
      </w:r>
      <w:r w:rsidR="00B76929" w:rsidRPr="005C28E7">
        <w:rPr>
          <w:rFonts w:ascii="Times New Roman" w:hAnsi="Times New Roman"/>
          <w:kern w:val="0"/>
        </w:rPr>
        <w:t>(1)</w:t>
      </w:r>
      <w:r w:rsidR="00F83C90" w:rsidRPr="005C28E7">
        <w:rPr>
          <w:rFonts w:ascii="Times New Roman" w:hAnsi="Times New Roman"/>
          <w:kern w:val="0"/>
        </w:rPr>
        <w:t>,</w:t>
      </w:r>
      <w:r w:rsidR="00546ADB" w:rsidRPr="005C28E7">
        <w:rPr>
          <w:rFonts w:ascii="Times New Roman" w:hAnsi="Times New Roman"/>
          <w:kern w:val="0"/>
        </w:rPr>
        <w:t xml:space="preserve"> </w:t>
      </w:r>
      <w:r w:rsidR="002B460E" w:rsidRPr="005C28E7">
        <w:rPr>
          <w:rFonts w:ascii="Times New Roman" w:hAnsi="Times New Roman"/>
          <w:spacing w:val="-4"/>
        </w:rPr>
        <w:t>pp.</w:t>
      </w:r>
      <w:r w:rsidRPr="005C28E7">
        <w:rPr>
          <w:rFonts w:ascii="Times New Roman" w:hAnsi="Times New Roman"/>
          <w:kern w:val="0"/>
        </w:rPr>
        <w:t>163</w:t>
      </w:r>
      <w:r w:rsidR="00546ADB" w:rsidRPr="005C28E7">
        <w:rPr>
          <w:rFonts w:ascii="Times New Roman" w:hAnsi="Times New Roman"/>
          <w:kern w:val="0"/>
        </w:rPr>
        <w:t>-</w:t>
      </w:r>
      <w:r w:rsidR="00F83C90" w:rsidRPr="005C28E7">
        <w:rPr>
          <w:rFonts w:ascii="Times New Roman" w:hAnsi="Times New Roman"/>
          <w:kern w:val="0"/>
        </w:rPr>
        <w:t>1</w:t>
      </w:r>
      <w:r w:rsidRPr="005C28E7">
        <w:rPr>
          <w:rFonts w:ascii="Times New Roman" w:hAnsi="Times New Roman"/>
          <w:kern w:val="0"/>
        </w:rPr>
        <w:t>97.</w:t>
      </w:r>
      <w:r w:rsidR="00B76929" w:rsidRPr="005C28E7">
        <w:rPr>
          <w:rFonts w:ascii="Times New Roman" w:hAnsi="Times New Roman"/>
        </w:rPr>
        <w:t xml:space="preserve"> </w:t>
      </w:r>
      <w:r w:rsidR="00B76929" w:rsidRPr="005C28E7">
        <w:rPr>
          <w:rFonts w:ascii="Times New Roman" w:hAnsi="Times New Roman"/>
          <w:kern w:val="0"/>
        </w:rPr>
        <w:t>https://doi.org/10.1016/j.jacceco.2004.11.002</w:t>
      </w:r>
    </w:p>
    <w:p w14:paraId="36760034" w14:textId="13A22D63" w:rsidR="00450734" w:rsidRPr="005C28E7" w:rsidRDefault="00450734" w:rsidP="00F83CEF">
      <w:pPr>
        <w:pStyle w:val="afb"/>
        <w:numPr>
          <w:ilvl w:val="0"/>
          <w:numId w:val="6"/>
        </w:numPr>
        <w:spacing w:before="240" w:line="560" w:lineRule="exact"/>
        <w:ind w:leftChars="0"/>
        <w:jc w:val="both"/>
        <w:rPr>
          <w:rFonts w:ascii="Times New Roman" w:hAnsi="Times New Roman"/>
        </w:rPr>
      </w:pPr>
      <w:r w:rsidRPr="005C28E7">
        <w:rPr>
          <w:rFonts w:ascii="Times New Roman" w:hAnsi="Times New Roman"/>
          <w:kern w:val="0"/>
        </w:rPr>
        <w:t xml:space="preserve">Lambert, R., </w:t>
      </w:r>
      <w:proofErr w:type="spellStart"/>
      <w:r w:rsidR="002C4687" w:rsidRPr="005C28E7">
        <w:rPr>
          <w:rFonts w:ascii="Times New Roman" w:hAnsi="Times New Roman"/>
          <w:kern w:val="0"/>
        </w:rPr>
        <w:t>Leuz</w:t>
      </w:r>
      <w:proofErr w:type="spellEnd"/>
      <w:r w:rsidR="002C4687" w:rsidRPr="005C28E7">
        <w:rPr>
          <w:rFonts w:ascii="Times New Roman" w:hAnsi="Times New Roman"/>
          <w:kern w:val="0"/>
        </w:rPr>
        <w:t xml:space="preserve">, </w:t>
      </w:r>
      <w:r w:rsidRPr="005C28E7">
        <w:rPr>
          <w:rFonts w:ascii="Times New Roman" w:hAnsi="Times New Roman"/>
          <w:kern w:val="0"/>
        </w:rPr>
        <w:t xml:space="preserve">C. and </w:t>
      </w:r>
      <w:proofErr w:type="spellStart"/>
      <w:r w:rsidR="002C4687" w:rsidRPr="005C28E7">
        <w:rPr>
          <w:rFonts w:ascii="Times New Roman" w:hAnsi="Times New Roman"/>
          <w:kern w:val="0"/>
        </w:rPr>
        <w:t>Verrecchia</w:t>
      </w:r>
      <w:proofErr w:type="spellEnd"/>
      <w:r w:rsidR="002C4687" w:rsidRPr="005C28E7">
        <w:rPr>
          <w:rFonts w:ascii="Times New Roman" w:hAnsi="Times New Roman"/>
          <w:kern w:val="0"/>
        </w:rPr>
        <w:t xml:space="preserve">, </w:t>
      </w:r>
      <w:r w:rsidRPr="005C28E7">
        <w:rPr>
          <w:rFonts w:ascii="Times New Roman" w:hAnsi="Times New Roman"/>
          <w:kern w:val="0"/>
        </w:rPr>
        <w:t>R.</w:t>
      </w:r>
      <w:r w:rsidR="002C4687" w:rsidRPr="005C28E7">
        <w:rPr>
          <w:rFonts w:ascii="Times New Roman" w:hAnsi="Times New Roman"/>
          <w:kern w:val="0"/>
        </w:rPr>
        <w:t xml:space="preserve"> </w:t>
      </w:r>
      <w:r w:rsidRPr="005C28E7">
        <w:rPr>
          <w:rFonts w:ascii="Times New Roman" w:hAnsi="Times New Roman"/>
          <w:kern w:val="0"/>
        </w:rPr>
        <w:t xml:space="preserve">E. </w:t>
      </w:r>
      <w:r w:rsidR="002C4687" w:rsidRPr="005C28E7">
        <w:rPr>
          <w:rFonts w:ascii="Times New Roman" w:hAnsi="Times New Roman"/>
          <w:kern w:val="0"/>
        </w:rPr>
        <w:t xml:space="preserve">(2007). </w:t>
      </w:r>
      <w:r w:rsidRPr="005C28E7">
        <w:rPr>
          <w:rFonts w:ascii="Times New Roman" w:hAnsi="Times New Roman"/>
          <w:kern w:val="0"/>
        </w:rPr>
        <w:t xml:space="preserve">Accounting </w:t>
      </w:r>
      <w:r w:rsidR="002C4687" w:rsidRPr="005C28E7">
        <w:rPr>
          <w:rFonts w:ascii="Times New Roman" w:hAnsi="Times New Roman"/>
          <w:kern w:val="0"/>
        </w:rPr>
        <w:t>i</w:t>
      </w:r>
      <w:r w:rsidRPr="005C28E7">
        <w:rPr>
          <w:rFonts w:ascii="Times New Roman" w:hAnsi="Times New Roman"/>
          <w:kern w:val="0"/>
        </w:rPr>
        <w:t xml:space="preserve">nformation, </w:t>
      </w:r>
      <w:r w:rsidR="002C4687" w:rsidRPr="005C28E7">
        <w:rPr>
          <w:rFonts w:ascii="Times New Roman" w:hAnsi="Times New Roman"/>
          <w:kern w:val="0"/>
        </w:rPr>
        <w:t>d</w:t>
      </w:r>
      <w:r w:rsidRPr="005C28E7">
        <w:rPr>
          <w:rFonts w:ascii="Times New Roman" w:hAnsi="Times New Roman"/>
          <w:kern w:val="0"/>
        </w:rPr>
        <w:t xml:space="preserve">isclosure and the </w:t>
      </w:r>
      <w:r w:rsidR="002C4687" w:rsidRPr="005C28E7">
        <w:rPr>
          <w:rFonts w:ascii="Times New Roman" w:hAnsi="Times New Roman"/>
          <w:kern w:val="0"/>
        </w:rPr>
        <w:t>c</w:t>
      </w:r>
      <w:r w:rsidRPr="005C28E7">
        <w:rPr>
          <w:rFonts w:ascii="Times New Roman" w:hAnsi="Times New Roman"/>
          <w:kern w:val="0"/>
        </w:rPr>
        <w:t xml:space="preserve">ost of </w:t>
      </w:r>
      <w:r w:rsidR="002C4687" w:rsidRPr="005C28E7">
        <w:rPr>
          <w:rFonts w:ascii="Times New Roman" w:hAnsi="Times New Roman"/>
          <w:kern w:val="0"/>
        </w:rPr>
        <w:t>capital</w:t>
      </w:r>
      <w:r w:rsidRPr="005C28E7">
        <w:rPr>
          <w:rFonts w:ascii="Times New Roman" w:hAnsi="Times New Roman"/>
          <w:kern w:val="0"/>
        </w:rPr>
        <w:t xml:space="preserve">, </w:t>
      </w:r>
      <w:r w:rsidRPr="005C28E7">
        <w:rPr>
          <w:rFonts w:ascii="Times New Roman" w:hAnsi="Times New Roman"/>
          <w:i/>
          <w:kern w:val="0"/>
        </w:rPr>
        <w:t>Journal of Accounting Research</w:t>
      </w:r>
      <w:r w:rsidRPr="005C28E7">
        <w:rPr>
          <w:rFonts w:ascii="Times New Roman" w:hAnsi="Times New Roman"/>
          <w:kern w:val="0"/>
        </w:rPr>
        <w:t>, 45</w:t>
      </w:r>
      <w:r w:rsidR="00B76929" w:rsidRPr="005C28E7">
        <w:rPr>
          <w:rFonts w:ascii="Times New Roman" w:hAnsi="Times New Roman"/>
          <w:kern w:val="0"/>
        </w:rPr>
        <w:t>(2)</w:t>
      </w:r>
      <w:r w:rsidR="002C4687" w:rsidRPr="005C28E7">
        <w:rPr>
          <w:rFonts w:ascii="Times New Roman" w:hAnsi="Times New Roman"/>
          <w:kern w:val="0"/>
        </w:rPr>
        <w:t>,</w:t>
      </w:r>
      <w:r w:rsidRPr="005C28E7">
        <w:rPr>
          <w:rFonts w:ascii="Times New Roman" w:hAnsi="Times New Roman"/>
          <w:kern w:val="0"/>
        </w:rPr>
        <w:t xml:space="preserve"> </w:t>
      </w:r>
      <w:r w:rsidR="002B460E" w:rsidRPr="005C28E7">
        <w:rPr>
          <w:rFonts w:ascii="Times New Roman" w:hAnsi="Times New Roman"/>
          <w:spacing w:val="-4"/>
        </w:rPr>
        <w:t>pp.</w:t>
      </w:r>
      <w:r w:rsidRPr="005C28E7">
        <w:rPr>
          <w:rFonts w:ascii="Times New Roman" w:eastAsia="AdvTimes" w:hAnsi="Times New Roman"/>
          <w:kern w:val="0"/>
        </w:rPr>
        <w:t>385</w:t>
      </w:r>
      <w:r w:rsidR="00546ADB" w:rsidRPr="005C28E7">
        <w:rPr>
          <w:rFonts w:ascii="Times New Roman" w:eastAsia="AdvTimes" w:hAnsi="Times New Roman"/>
          <w:kern w:val="0"/>
        </w:rPr>
        <w:t>-</w:t>
      </w:r>
      <w:r w:rsidRPr="005C28E7">
        <w:rPr>
          <w:rFonts w:ascii="Times New Roman" w:eastAsia="AdvTimes" w:hAnsi="Times New Roman"/>
          <w:kern w:val="0"/>
        </w:rPr>
        <w:t>420.</w:t>
      </w:r>
      <w:r w:rsidR="00B76929" w:rsidRPr="005C28E7">
        <w:rPr>
          <w:rFonts w:ascii="Times New Roman" w:hAnsi="Times New Roman"/>
        </w:rPr>
        <w:t xml:space="preserve"> </w:t>
      </w:r>
      <w:r w:rsidR="00B76929" w:rsidRPr="005C28E7">
        <w:rPr>
          <w:rFonts w:ascii="Times New Roman" w:eastAsia="AdvTimes" w:hAnsi="Times New Roman"/>
          <w:kern w:val="0"/>
        </w:rPr>
        <w:t>https://doi.org/10.1111/j.1475-679X.2007.00238.x</w:t>
      </w:r>
    </w:p>
    <w:p w14:paraId="3D08521B" w14:textId="3C074E51" w:rsidR="00450734" w:rsidRPr="005C28E7" w:rsidRDefault="00450734" w:rsidP="00F83CEF">
      <w:pPr>
        <w:pStyle w:val="afb"/>
        <w:numPr>
          <w:ilvl w:val="0"/>
          <w:numId w:val="6"/>
        </w:numPr>
        <w:spacing w:before="240" w:line="560" w:lineRule="exact"/>
        <w:ind w:leftChars="0"/>
        <w:jc w:val="both"/>
        <w:rPr>
          <w:rFonts w:ascii="Times New Roman" w:hAnsi="Times New Roman"/>
        </w:rPr>
      </w:pPr>
      <w:r w:rsidRPr="005C28E7">
        <w:rPr>
          <w:rFonts w:ascii="Times New Roman" w:hAnsi="Times New Roman"/>
        </w:rPr>
        <w:t xml:space="preserve">Lang, M., </w:t>
      </w:r>
      <w:proofErr w:type="spellStart"/>
      <w:r w:rsidR="00E633FB" w:rsidRPr="005C28E7">
        <w:rPr>
          <w:rFonts w:ascii="Times New Roman" w:hAnsi="Times New Roman"/>
        </w:rPr>
        <w:t>Raedy</w:t>
      </w:r>
      <w:proofErr w:type="spellEnd"/>
      <w:r w:rsidR="00E633FB" w:rsidRPr="005C28E7">
        <w:rPr>
          <w:rFonts w:ascii="Times New Roman" w:hAnsi="Times New Roman"/>
        </w:rPr>
        <w:t xml:space="preserve">, </w:t>
      </w:r>
      <w:r w:rsidRPr="005C28E7">
        <w:rPr>
          <w:rFonts w:ascii="Times New Roman" w:hAnsi="Times New Roman"/>
        </w:rPr>
        <w:t>J.</w:t>
      </w:r>
      <w:r w:rsidR="00546ADB" w:rsidRPr="005C28E7">
        <w:rPr>
          <w:rFonts w:ascii="Times New Roman" w:hAnsi="Times New Roman"/>
        </w:rPr>
        <w:t xml:space="preserve"> </w:t>
      </w:r>
      <w:r w:rsidRPr="005C28E7">
        <w:rPr>
          <w:rFonts w:ascii="Times New Roman" w:hAnsi="Times New Roman"/>
        </w:rPr>
        <w:t>and</w:t>
      </w:r>
      <w:r w:rsidR="00546ADB" w:rsidRPr="005C28E7">
        <w:rPr>
          <w:rFonts w:ascii="Times New Roman" w:hAnsi="Times New Roman"/>
        </w:rPr>
        <w:t xml:space="preserve"> </w:t>
      </w:r>
      <w:r w:rsidR="00E633FB" w:rsidRPr="005C28E7">
        <w:rPr>
          <w:rFonts w:ascii="Times New Roman" w:hAnsi="Times New Roman"/>
        </w:rPr>
        <w:t xml:space="preserve">Wilson, </w:t>
      </w:r>
      <w:r w:rsidRPr="005C28E7">
        <w:rPr>
          <w:rFonts w:ascii="Times New Roman" w:hAnsi="Times New Roman"/>
        </w:rPr>
        <w:t xml:space="preserve">W. </w:t>
      </w:r>
      <w:r w:rsidR="00E633FB" w:rsidRPr="005C28E7">
        <w:rPr>
          <w:rFonts w:ascii="Times New Roman" w:hAnsi="Times New Roman"/>
        </w:rPr>
        <w:t>(2006).</w:t>
      </w:r>
      <w:r w:rsidR="00546ADB" w:rsidRPr="005C28E7">
        <w:rPr>
          <w:rFonts w:ascii="Times New Roman" w:hAnsi="Times New Roman"/>
        </w:rPr>
        <w:t xml:space="preserve"> </w:t>
      </w:r>
      <w:r w:rsidRPr="005C28E7">
        <w:rPr>
          <w:rFonts w:ascii="Times New Roman" w:hAnsi="Times New Roman"/>
        </w:rPr>
        <w:t xml:space="preserve">Earnings </w:t>
      </w:r>
      <w:r w:rsidR="00E633FB" w:rsidRPr="005C28E7">
        <w:rPr>
          <w:rFonts w:ascii="Times New Roman" w:hAnsi="Times New Roman"/>
        </w:rPr>
        <w:t>m</w:t>
      </w:r>
      <w:r w:rsidRPr="005C28E7">
        <w:rPr>
          <w:rFonts w:ascii="Times New Roman" w:hAnsi="Times New Roman"/>
        </w:rPr>
        <w:t xml:space="preserve">anagement and </w:t>
      </w:r>
      <w:r w:rsidR="00E633FB" w:rsidRPr="005C28E7">
        <w:rPr>
          <w:rFonts w:ascii="Times New Roman" w:hAnsi="Times New Roman"/>
        </w:rPr>
        <w:t>c</w:t>
      </w:r>
      <w:r w:rsidRPr="005C28E7">
        <w:rPr>
          <w:rFonts w:ascii="Times New Roman" w:hAnsi="Times New Roman"/>
        </w:rPr>
        <w:t>ross</w:t>
      </w:r>
      <w:r w:rsidR="00546ADB" w:rsidRPr="005C28E7">
        <w:rPr>
          <w:rFonts w:ascii="Times New Roman" w:hAnsi="Times New Roman"/>
        </w:rPr>
        <w:t>-</w:t>
      </w:r>
      <w:r w:rsidRPr="005C28E7">
        <w:rPr>
          <w:rFonts w:ascii="Times New Roman" w:hAnsi="Times New Roman"/>
        </w:rPr>
        <w:t xml:space="preserve">listing: Are </w:t>
      </w:r>
      <w:r w:rsidR="00E633FB" w:rsidRPr="005C28E7">
        <w:rPr>
          <w:rFonts w:ascii="Times New Roman" w:hAnsi="Times New Roman"/>
        </w:rPr>
        <w:t>r</w:t>
      </w:r>
      <w:r w:rsidRPr="005C28E7">
        <w:rPr>
          <w:rFonts w:ascii="Times New Roman" w:hAnsi="Times New Roman"/>
        </w:rPr>
        <w:t xml:space="preserve">econciled </w:t>
      </w:r>
      <w:r w:rsidR="00E633FB" w:rsidRPr="005C28E7">
        <w:rPr>
          <w:rFonts w:ascii="Times New Roman" w:hAnsi="Times New Roman"/>
        </w:rPr>
        <w:t>e</w:t>
      </w:r>
      <w:r w:rsidRPr="005C28E7">
        <w:rPr>
          <w:rFonts w:ascii="Times New Roman" w:hAnsi="Times New Roman"/>
        </w:rPr>
        <w:t xml:space="preserve">arnings </w:t>
      </w:r>
      <w:r w:rsidR="00E633FB" w:rsidRPr="005C28E7">
        <w:rPr>
          <w:rFonts w:ascii="Times New Roman" w:hAnsi="Times New Roman"/>
        </w:rPr>
        <w:t>c</w:t>
      </w:r>
      <w:r w:rsidRPr="005C28E7">
        <w:rPr>
          <w:rFonts w:ascii="Times New Roman" w:hAnsi="Times New Roman"/>
        </w:rPr>
        <w:t xml:space="preserve">omparable to US </w:t>
      </w:r>
      <w:proofErr w:type="gramStart"/>
      <w:r w:rsidR="00E633FB" w:rsidRPr="005C28E7">
        <w:rPr>
          <w:rFonts w:ascii="Times New Roman" w:hAnsi="Times New Roman"/>
        </w:rPr>
        <w:t>earnings?</w:t>
      </w:r>
      <w:r w:rsidRPr="005C28E7">
        <w:rPr>
          <w:rFonts w:ascii="Times New Roman" w:hAnsi="Times New Roman"/>
        </w:rPr>
        <w:t>,</w:t>
      </w:r>
      <w:proofErr w:type="gramEnd"/>
      <w:r w:rsidR="00546ADB" w:rsidRPr="005C28E7">
        <w:rPr>
          <w:rFonts w:ascii="Times New Roman" w:hAnsi="Times New Roman"/>
        </w:rPr>
        <w:t xml:space="preserve"> </w:t>
      </w:r>
      <w:r w:rsidRPr="005C28E7">
        <w:rPr>
          <w:rFonts w:ascii="Times New Roman" w:hAnsi="Times New Roman"/>
          <w:i/>
        </w:rPr>
        <w:t>Journal of Accounting and Economics</w:t>
      </w:r>
      <w:r w:rsidRPr="005C28E7">
        <w:rPr>
          <w:rFonts w:ascii="Times New Roman" w:hAnsi="Times New Roman"/>
        </w:rPr>
        <w:t>, 42</w:t>
      </w:r>
      <w:r w:rsidR="00B76929" w:rsidRPr="005C28E7">
        <w:rPr>
          <w:rFonts w:ascii="Times New Roman" w:hAnsi="Times New Roman"/>
        </w:rPr>
        <w:t>(1-2)</w:t>
      </w:r>
      <w:r w:rsidR="00E633FB" w:rsidRPr="005C28E7">
        <w:rPr>
          <w:rFonts w:ascii="Times New Roman" w:hAnsi="Times New Roman"/>
        </w:rPr>
        <w:t>,</w:t>
      </w:r>
      <w:r w:rsidR="00546ADB" w:rsidRPr="005C28E7">
        <w:rPr>
          <w:rFonts w:ascii="Times New Roman" w:hAnsi="Times New Roman"/>
        </w:rPr>
        <w:t xml:space="preserve"> </w:t>
      </w:r>
      <w:r w:rsidR="002B460E" w:rsidRPr="005C28E7">
        <w:rPr>
          <w:rFonts w:ascii="Times New Roman" w:hAnsi="Times New Roman"/>
          <w:spacing w:val="-4"/>
        </w:rPr>
        <w:t>pp.</w:t>
      </w:r>
      <w:r w:rsidRPr="005C28E7">
        <w:rPr>
          <w:rFonts w:ascii="Times New Roman" w:hAnsi="Times New Roman"/>
        </w:rPr>
        <w:t>255</w:t>
      </w:r>
      <w:r w:rsidR="00546ADB" w:rsidRPr="005C28E7">
        <w:rPr>
          <w:rFonts w:ascii="Times New Roman" w:hAnsi="Times New Roman"/>
        </w:rPr>
        <w:t>-</w:t>
      </w:r>
      <w:r w:rsidR="00E633FB" w:rsidRPr="005C28E7">
        <w:rPr>
          <w:rFonts w:ascii="Times New Roman" w:hAnsi="Times New Roman"/>
        </w:rPr>
        <w:t>2</w:t>
      </w:r>
      <w:r w:rsidRPr="005C28E7">
        <w:rPr>
          <w:rFonts w:ascii="Times New Roman" w:hAnsi="Times New Roman"/>
        </w:rPr>
        <w:t>83.</w:t>
      </w:r>
      <w:r w:rsidR="00B76929" w:rsidRPr="005C28E7">
        <w:rPr>
          <w:rFonts w:ascii="Times New Roman" w:hAnsi="Times New Roman"/>
        </w:rPr>
        <w:t xml:space="preserve"> https://doi.org/10.1016/j.jacceco.2006.04.005</w:t>
      </w:r>
    </w:p>
    <w:p w14:paraId="1CD8C433" w14:textId="3B7EE556" w:rsidR="00450734" w:rsidRPr="005C28E7" w:rsidRDefault="00450734" w:rsidP="00F83CEF">
      <w:pPr>
        <w:pStyle w:val="afb"/>
        <w:numPr>
          <w:ilvl w:val="0"/>
          <w:numId w:val="6"/>
        </w:numPr>
        <w:spacing w:before="240" w:line="560" w:lineRule="exact"/>
        <w:ind w:leftChars="0"/>
        <w:jc w:val="both"/>
        <w:rPr>
          <w:rFonts w:ascii="Times New Roman" w:hAnsi="Times New Roman"/>
        </w:rPr>
      </w:pPr>
      <w:proofErr w:type="spellStart"/>
      <w:r w:rsidRPr="005C28E7">
        <w:rPr>
          <w:rFonts w:ascii="Times New Roman" w:hAnsi="Times New Roman"/>
        </w:rPr>
        <w:t>Leuz</w:t>
      </w:r>
      <w:proofErr w:type="spellEnd"/>
      <w:r w:rsidRPr="005C28E7">
        <w:rPr>
          <w:rFonts w:ascii="Times New Roman" w:hAnsi="Times New Roman"/>
        </w:rPr>
        <w:t xml:space="preserve">, C., </w:t>
      </w:r>
      <w:r w:rsidR="00E227C9" w:rsidRPr="005C28E7">
        <w:rPr>
          <w:rFonts w:ascii="Times New Roman" w:hAnsi="Times New Roman"/>
        </w:rPr>
        <w:t xml:space="preserve">Nanda, </w:t>
      </w:r>
      <w:r w:rsidRPr="005C28E7">
        <w:rPr>
          <w:rFonts w:ascii="Times New Roman" w:hAnsi="Times New Roman"/>
        </w:rPr>
        <w:t xml:space="preserve">D. and </w:t>
      </w:r>
      <w:r w:rsidR="00E227C9" w:rsidRPr="005C28E7">
        <w:rPr>
          <w:rFonts w:ascii="Times New Roman" w:hAnsi="Times New Roman"/>
        </w:rPr>
        <w:t xml:space="preserve">Wysocki, </w:t>
      </w:r>
      <w:r w:rsidRPr="005C28E7">
        <w:rPr>
          <w:rFonts w:ascii="Times New Roman" w:hAnsi="Times New Roman"/>
        </w:rPr>
        <w:t>P.</w:t>
      </w:r>
      <w:r w:rsidR="00E227C9" w:rsidRPr="005C28E7">
        <w:rPr>
          <w:rFonts w:ascii="Times New Roman" w:hAnsi="Times New Roman"/>
        </w:rPr>
        <w:t xml:space="preserve"> (2003).</w:t>
      </w:r>
      <w:r w:rsidR="00546ADB" w:rsidRPr="005C28E7">
        <w:rPr>
          <w:rFonts w:ascii="Times New Roman" w:hAnsi="Times New Roman"/>
        </w:rPr>
        <w:t xml:space="preserve"> </w:t>
      </w:r>
      <w:r w:rsidRPr="005C28E7">
        <w:rPr>
          <w:rFonts w:ascii="Times New Roman" w:hAnsi="Times New Roman"/>
        </w:rPr>
        <w:t xml:space="preserve">Earnings </w:t>
      </w:r>
      <w:r w:rsidR="00E227C9" w:rsidRPr="005C28E7">
        <w:rPr>
          <w:rFonts w:ascii="Times New Roman" w:hAnsi="Times New Roman"/>
        </w:rPr>
        <w:t>m</w:t>
      </w:r>
      <w:r w:rsidRPr="005C28E7">
        <w:rPr>
          <w:rFonts w:ascii="Times New Roman" w:hAnsi="Times New Roman"/>
        </w:rPr>
        <w:t xml:space="preserve">anagement and </w:t>
      </w:r>
      <w:r w:rsidR="00E227C9" w:rsidRPr="005C28E7">
        <w:rPr>
          <w:rFonts w:ascii="Times New Roman" w:hAnsi="Times New Roman"/>
        </w:rPr>
        <w:t>i</w:t>
      </w:r>
      <w:r w:rsidRPr="005C28E7">
        <w:rPr>
          <w:rFonts w:ascii="Times New Roman" w:hAnsi="Times New Roman"/>
        </w:rPr>
        <w:t xml:space="preserve">nvestor </w:t>
      </w:r>
      <w:r w:rsidR="00E227C9" w:rsidRPr="005C28E7">
        <w:rPr>
          <w:rFonts w:ascii="Times New Roman" w:hAnsi="Times New Roman"/>
        </w:rPr>
        <w:t>p</w:t>
      </w:r>
      <w:r w:rsidRPr="005C28E7">
        <w:rPr>
          <w:rFonts w:ascii="Times New Roman" w:hAnsi="Times New Roman"/>
        </w:rPr>
        <w:t xml:space="preserve">rotection: An </w:t>
      </w:r>
      <w:r w:rsidR="00E227C9" w:rsidRPr="005C28E7">
        <w:rPr>
          <w:rFonts w:ascii="Times New Roman" w:hAnsi="Times New Roman"/>
        </w:rPr>
        <w:t>i</w:t>
      </w:r>
      <w:r w:rsidRPr="005C28E7">
        <w:rPr>
          <w:rFonts w:ascii="Times New Roman" w:hAnsi="Times New Roman"/>
        </w:rPr>
        <w:t xml:space="preserve">nternational </w:t>
      </w:r>
      <w:r w:rsidR="00E227C9" w:rsidRPr="005C28E7">
        <w:rPr>
          <w:rFonts w:ascii="Times New Roman" w:hAnsi="Times New Roman"/>
        </w:rPr>
        <w:t>comparison</w:t>
      </w:r>
      <w:r w:rsidRPr="005C28E7">
        <w:rPr>
          <w:rFonts w:ascii="Times New Roman" w:hAnsi="Times New Roman"/>
        </w:rPr>
        <w:t xml:space="preserve">, </w:t>
      </w:r>
      <w:r w:rsidRPr="005C28E7">
        <w:rPr>
          <w:rFonts w:ascii="Times New Roman" w:hAnsi="Times New Roman"/>
          <w:i/>
        </w:rPr>
        <w:t>Journal of Financial Economics</w:t>
      </w:r>
      <w:r w:rsidRPr="005C28E7">
        <w:rPr>
          <w:rFonts w:ascii="Times New Roman" w:hAnsi="Times New Roman"/>
        </w:rPr>
        <w:t>, 69</w:t>
      </w:r>
      <w:r w:rsidR="00B76929" w:rsidRPr="005C28E7">
        <w:rPr>
          <w:rFonts w:ascii="Times New Roman" w:hAnsi="Times New Roman"/>
        </w:rPr>
        <w:t>(3)</w:t>
      </w:r>
      <w:r w:rsidR="00E227C9" w:rsidRPr="005C28E7">
        <w:rPr>
          <w:rFonts w:ascii="Times New Roman" w:hAnsi="Times New Roman"/>
        </w:rPr>
        <w:t>,</w:t>
      </w:r>
      <w:r w:rsidR="00546ADB" w:rsidRPr="005C28E7">
        <w:rPr>
          <w:rFonts w:ascii="Times New Roman" w:hAnsi="Times New Roman"/>
        </w:rPr>
        <w:t xml:space="preserve"> </w:t>
      </w:r>
      <w:r w:rsidR="002B460E" w:rsidRPr="005C28E7">
        <w:rPr>
          <w:rFonts w:ascii="Times New Roman" w:hAnsi="Times New Roman"/>
          <w:spacing w:val="-4"/>
        </w:rPr>
        <w:t>pp.</w:t>
      </w:r>
      <w:r w:rsidRPr="005C28E7">
        <w:rPr>
          <w:rFonts w:ascii="Times New Roman" w:hAnsi="Times New Roman"/>
        </w:rPr>
        <w:t>505</w:t>
      </w:r>
      <w:r w:rsidR="00546ADB" w:rsidRPr="005C28E7">
        <w:rPr>
          <w:rFonts w:ascii="Times New Roman" w:hAnsi="Times New Roman"/>
        </w:rPr>
        <w:t>-</w:t>
      </w:r>
      <w:r w:rsidR="00E227C9" w:rsidRPr="005C28E7">
        <w:rPr>
          <w:rFonts w:ascii="Times New Roman" w:hAnsi="Times New Roman"/>
        </w:rPr>
        <w:t>5</w:t>
      </w:r>
      <w:r w:rsidRPr="005C28E7">
        <w:rPr>
          <w:rFonts w:ascii="Times New Roman" w:hAnsi="Times New Roman"/>
        </w:rPr>
        <w:t>27.</w:t>
      </w:r>
      <w:r w:rsidR="00B76929" w:rsidRPr="005C28E7">
        <w:rPr>
          <w:rFonts w:ascii="Times New Roman" w:hAnsi="Times New Roman"/>
        </w:rPr>
        <w:t xml:space="preserve"> https://doi.org/10.1016/S0304-405X(03)00121-1</w:t>
      </w:r>
    </w:p>
    <w:p w14:paraId="3053D5F9" w14:textId="1BBA521E" w:rsidR="00450734" w:rsidRPr="005C28E7" w:rsidRDefault="00450734" w:rsidP="00F83CEF">
      <w:pPr>
        <w:pStyle w:val="afb"/>
        <w:numPr>
          <w:ilvl w:val="0"/>
          <w:numId w:val="6"/>
        </w:numPr>
        <w:spacing w:before="240" w:line="560" w:lineRule="exact"/>
        <w:ind w:leftChars="0"/>
        <w:jc w:val="both"/>
        <w:rPr>
          <w:rFonts w:ascii="Times New Roman" w:hAnsi="Times New Roman"/>
        </w:rPr>
      </w:pPr>
      <w:r w:rsidRPr="005C28E7">
        <w:rPr>
          <w:rFonts w:ascii="Times New Roman" w:hAnsi="Times New Roman"/>
        </w:rPr>
        <w:t>Lewellen, J.</w:t>
      </w:r>
      <w:r w:rsidR="00554495" w:rsidRPr="005C28E7">
        <w:rPr>
          <w:rFonts w:ascii="Times New Roman" w:hAnsi="Times New Roman"/>
        </w:rPr>
        <w:t>,</w:t>
      </w:r>
      <w:r w:rsidRPr="005C28E7">
        <w:rPr>
          <w:rFonts w:ascii="Times New Roman" w:hAnsi="Times New Roman"/>
        </w:rPr>
        <w:t xml:space="preserve"> and </w:t>
      </w:r>
      <w:r w:rsidR="00554495" w:rsidRPr="005C28E7">
        <w:rPr>
          <w:rFonts w:ascii="Times New Roman" w:hAnsi="Times New Roman"/>
        </w:rPr>
        <w:t xml:space="preserve">Nagel, </w:t>
      </w:r>
      <w:r w:rsidRPr="005C28E7">
        <w:rPr>
          <w:rFonts w:ascii="Times New Roman" w:hAnsi="Times New Roman"/>
        </w:rPr>
        <w:t xml:space="preserve">S. </w:t>
      </w:r>
      <w:r w:rsidR="00554495" w:rsidRPr="005C28E7">
        <w:rPr>
          <w:rFonts w:ascii="Times New Roman" w:hAnsi="Times New Roman"/>
        </w:rPr>
        <w:t xml:space="preserve">(2006). </w:t>
      </w:r>
      <w:r w:rsidRPr="005C28E7">
        <w:rPr>
          <w:rFonts w:ascii="Times New Roman" w:hAnsi="Times New Roman"/>
        </w:rPr>
        <w:t xml:space="preserve">The </w:t>
      </w:r>
      <w:r w:rsidR="00554495" w:rsidRPr="005C28E7">
        <w:rPr>
          <w:rFonts w:ascii="Times New Roman" w:hAnsi="Times New Roman"/>
        </w:rPr>
        <w:t>c</w:t>
      </w:r>
      <w:r w:rsidRPr="005C28E7">
        <w:rPr>
          <w:rFonts w:ascii="Times New Roman" w:hAnsi="Times New Roman"/>
        </w:rPr>
        <w:t xml:space="preserve">onditional CAPM </w:t>
      </w:r>
      <w:r w:rsidR="00554495" w:rsidRPr="005C28E7">
        <w:rPr>
          <w:rFonts w:ascii="Times New Roman" w:hAnsi="Times New Roman"/>
        </w:rPr>
        <w:t>d</w:t>
      </w:r>
      <w:r w:rsidRPr="005C28E7">
        <w:rPr>
          <w:rFonts w:ascii="Times New Roman" w:hAnsi="Times New Roman"/>
        </w:rPr>
        <w:t xml:space="preserve">oes </w:t>
      </w:r>
      <w:r w:rsidR="00554495" w:rsidRPr="005C28E7">
        <w:rPr>
          <w:rFonts w:ascii="Times New Roman" w:hAnsi="Times New Roman"/>
        </w:rPr>
        <w:t>n</w:t>
      </w:r>
      <w:r w:rsidRPr="005C28E7">
        <w:rPr>
          <w:rFonts w:ascii="Times New Roman" w:hAnsi="Times New Roman"/>
        </w:rPr>
        <w:t xml:space="preserve">ot </w:t>
      </w:r>
      <w:r w:rsidR="00554495" w:rsidRPr="005C28E7">
        <w:rPr>
          <w:rFonts w:ascii="Times New Roman" w:hAnsi="Times New Roman"/>
        </w:rPr>
        <w:t>e</w:t>
      </w:r>
      <w:r w:rsidRPr="005C28E7">
        <w:rPr>
          <w:rFonts w:ascii="Times New Roman" w:hAnsi="Times New Roman"/>
        </w:rPr>
        <w:t xml:space="preserve">xplain </w:t>
      </w:r>
      <w:r w:rsidR="00554495" w:rsidRPr="005C28E7">
        <w:rPr>
          <w:rFonts w:ascii="Times New Roman" w:hAnsi="Times New Roman"/>
        </w:rPr>
        <w:t>asset-pricing anomalies</w:t>
      </w:r>
      <w:r w:rsidRPr="005C28E7">
        <w:rPr>
          <w:rFonts w:ascii="Times New Roman" w:hAnsi="Times New Roman"/>
        </w:rPr>
        <w:t xml:space="preserve">, </w:t>
      </w:r>
      <w:r w:rsidRPr="005C28E7">
        <w:rPr>
          <w:rFonts w:ascii="Times New Roman" w:hAnsi="Times New Roman"/>
          <w:i/>
        </w:rPr>
        <w:t>Journal of Financial Economics</w:t>
      </w:r>
      <w:r w:rsidRPr="005C28E7">
        <w:rPr>
          <w:rFonts w:ascii="Times New Roman" w:hAnsi="Times New Roman"/>
        </w:rPr>
        <w:t>, 82</w:t>
      </w:r>
      <w:r w:rsidR="00B76929" w:rsidRPr="005C28E7">
        <w:rPr>
          <w:rFonts w:ascii="Times New Roman" w:hAnsi="Times New Roman"/>
        </w:rPr>
        <w:t>(2)</w:t>
      </w:r>
      <w:r w:rsidR="002B460E" w:rsidRPr="005C28E7">
        <w:rPr>
          <w:rFonts w:ascii="Times New Roman" w:hAnsi="Times New Roman"/>
        </w:rPr>
        <w:t>,</w:t>
      </w:r>
      <w:r w:rsidRPr="005C28E7">
        <w:rPr>
          <w:rFonts w:ascii="Times New Roman" w:hAnsi="Times New Roman"/>
        </w:rPr>
        <w:t xml:space="preserve"> </w:t>
      </w:r>
      <w:r w:rsidR="002B460E" w:rsidRPr="005C28E7">
        <w:rPr>
          <w:rFonts w:ascii="Times New Roman" w:hAnsi="Times New Roman"/>
          <w:spacing w:val="-4"/>
        </w:rPr>
        <w:t>pp.</w:t>
      </w:r>
      <w:r w:rsidRPr="005C28E7">
        <w:rPr>
          <w:rFonts w:ascii="Times New Roman" w:hAnsi="Times New Roman"/>
        </w:rPr>
        <w:t>289-314.</w:t>
      </w:r>
      <w:r w:rsidR="00B76929" w:rsidRPr="005C28E7">
        <w:rPr>
          <w:rFonts w:ascii="Times New Roman" w:hAnsi="Times New Roman"/>
        </w:rPr>
        <w:t xml:space="preserve"> https://doi.org/10.1016/j.jfineco.2005.05.012</w:t>
      </w:r>
    </w:p>
    <w:p w14:paraId="0FE22388" w14:textId="7DBC509E" w:rsidR="007B3C6E" w:rsidRPr="005C28E7" w:rsidRDefault="00590548" w:rsidP="00F83CEF">
      <w:pPr>
        <w:pStyle w:val="afb"/>
        <w:numPr>
          <w:ilvl w:val="0"/>
          <w:numId w:val="6"/>
        </w:numPr>
        <w:spacing w:before="240" w:line="360" w:lineRule="auto"/>
        <w:ind w:leftChars="0"/>
        <w:jc w:val="both"/>
        <w:rPr>
          <w:rFonts w:ascii="Times New Roman" w:hAnsi="Times New Roman"/>
        </w:rPr>
      </w:pPr>
      <w:r w:rsidRPr="005C28E7">
        <w:rPr>
          <w:rFonts w:ascii="Times New Roman" w:hAnsi="Times New Roman"/>
        </w:rPr>
        <w:t>Low, C. (2004). The fear and exuberance from i</w:t>
      </w:r>
      <w:r w:rsidR="007B3C6E" w:rsidRPr="005C28E7">
        <w:rPr>
          <w:rFonts w:ascii="Times New Roman" w:hAnsi="Times New Roman"/>
        </w:rPr>
        <w:t>m</w:t>
      </w:r>
      <w:r w:rsidRPr="005C28E7">
        <w:rPr>
          <w:rFonts w:ascii="Times New Roman" w:hAnsi="Times New Roman"/>
        </w:rPr>
        <w:t xml:space="preserve">plied volatility of S&amp;P 100 index </w:t>
      </w:r>
      <w:r w:rsidRPr="005C28E7">
        <w:rPr>
          <w:rFonts w:ascii="Times New Roman" w:hAnsi="Times New Roman"/>
        </w:rPr>
        <w:lastRenderedPageBreak/>
        <w:t>o</w:t>
      </w:r>
      <w:r w:rsidR="007B3C6E" w:rsidRPr="005C28E7">
        <w:rPr>
          <w:rFonts w:ascii="Times New Roman" w:hAnsi="Times New Roman"/>
        </w:rPr>
        <w:t xml:space="preserve">ptions, </w:t>
      </w:r>
      <w:r w:rsidR="007B3C6E" w:rsidRPr="005C28E7">
        <w:rPr>
          <w:rFonts w:ascii="Times New Roman" w:hAnsi="Times New Roman"/>
          <w:i/>
        </w:rPr>
        <w:t>Journal of Business</w:t>
      </w:r>
      <w:r w:rsidR="007B3C6E" w:rsidRPr="005C28E7">
        <w:rPr>
          <w:rFonts w:ascii="Times New Roman" w:hAnsi="Times New Roman"/>
        </w:rPr>
        <w:t>, 77</w:t>
      </w:r>
      <w:r w:rsidR="00B76929" w:rsidRPr="005C28E7">
        <w:rPr>
          <w:rFonts w:ascii="Times New Roman" w:hAnsi="Times New Roman"/>
        </w:rPr>
        <w:t>(3)</w:t>
      </w:r>
      <w:r w:rsidRPr="005C28E7">
        <w:rPr>
          <w:rFonts w:ascii="Times New Roman" w:hAnsi="Times New Roman"/>
        </w:rPr>
        <w:t>,</w:t>
      </w:r>
      <w:r w:rsidR="007B3C6E" w:rsidRPr="005C28E7">
        <w:rPr>
          <w:rFonts w:ascii="Times New Roman" w:hAnsi="Times New Roman"/>
        </w:rPr>
        <w:t xml:space="preserve"> </w:t>
      </w:r>
      <w:r w:rsidR="002B460E" w:rsidRPr="005C28E7">
        <w:rPr>
          <w:rFonts w:ascii="Times New Roman" w:hAnsi="Times New Roman"/>
          <w:spacing w:val="-4"/>
        </w:rPr>
        <w:t>pp.</w:t>
      </w:r>
      <w:r w:rsidR="007B3C6E" w:rsidRPr="005C28E7">
        <w:rPr>
          <w:rFonts w:ascii="Times New Roman" w:hAnsi="Times New Roman"/>
        </w:rPr>
        <w:t>527-</w:t>
      </w:r>
      <w:r w:rsidRPr="005C28E7">
        <w:rPr>
          <w:rFonts w:ascii="Times New Roman" w:hAnsi="Times New Roman"/>
        </w:rPr>
        <w:t>5</w:t>
      </w:r>
      <w:r w:rsidR="007B3C6E" w:rsidRPr="005C28E7">
        <w:rPr>
          <w:rFonts w:ascii="Times New Roman" w:hAnsi="Times New Roman"/>
        </w:rPr>
        <w:t>46.</w:t>
      </w:r>
      <w:r w:rsidR="00B76929" w:rsidRPr="005C28E7">
        <w:rPr>
          <w:rFonts w:ascii="Times New Roman" w:hAnsi="Times New Roman"/>
        </w:rPr>
        <w:t xml:space="preserve"> https://doi.org/10.1086/386529</w:t>
      </w:r>
    </w:p>
    <w:p w14:paraId="787CE6FA" w14:textId="7A25D92A" w:rsidR="00450734" w:rsidRPr="005C28E7" w:rsidRDefault="00450734" w:rsidP="00F83CEF">
      <w:pPr>
        <w:pStyle w:val="afb"/>
        <w:numPr>
          <w:ilvl w:val="0"/>
          <w:numId w:val="6"/>
        </w:numPr>
        <w:spacing w:before="240" w:line="560" w:lineRule="exact"/>
        <w:ind w:leftChars="0"/>
        <w:jc w:val="both"/>
        <w:rPr>
          <w:rFonts w:ascii="Times New Roman" w:hAnsi="Times New Roman"/>
        </w:rPr>
      </w:pPr>
      <w:r w:rsidRPr="005C28E7">
        <w:rPr>
          <w:rFonts w:ascii="Times New Roman" w:hAnsi="Times New Roman"/>
        </w:rPr>
        <w:t>Mandelbrot, B.</w:t>
      </w:r>
      <w:r w:rsidR="00572EEB" w:rsidRPr="005C28E7">
        <w:rPr>
          <w:rFonts w:ascii="Times New Roman" w:hAnsi="Times New Roman"/>
        </w:rPr>
        <w:t>,</w:t>
      </w:r>
      <w:r w:rsidRPr="005C28E7">
        <w:rPr>
          <w:rFonts w:ascii="Times New Roman" w:hAnsi="Times New Roman"/>
        </w:rPr>
        <w:t xml:space="preserve"> and </w:t>
      </w:r>
      <w:r w:rsidR="00572EEB" w:rsidRPr="005C28E7">
        <w:rPr>
          <w:rFonts w:ascii="Times New Roman" w:hAnsi="Times New Roman"/>
        </w:rPr>
        <w:t xml:space="preserve">Hudson, </w:t>
      </w:r>
      <w:r w:rsidRPr="005C28E7">
        <w:rPr>
          <w:rFonts w:ascii="Times New Roman" w:hAnsi="Times New Roman"/>
        </w:rPr>
        <w:t>R.</w:t>
      </w:r>
      <w:r w:rsidR="00572EEB" w:rsidRPr="005C28E7">
        <w:rPr>
          <w:rFonts w:ascii="Times New Roman" w:hAnsi="Times New Roman"/>
        </w:rPr>
        <w:t xml:space="preserve"> </w:t>
      </w:r>
      <w:r w:rsidRPr="005C28E7">
        <w:rPr>
          <w:rFonts w:ascii="Times New Roman" w:hAnsi="Times New Roman"/>
        </w:rPr>
        <w:t xml:space="preserve">L. </w:t>
      </w:r>
      <w:r w:rsidR="00572EEB" w:rsidRPr="005C28E7">
        <w:rPr>
          <w:rFonts w:ascii="Times New Roman" w:hAnsi="Times New Roman"/>
        </w:rPr>
        <w:t>(2004).</w:t>
      </w:r>
      <w:r w:rsidR="009A1534" w:rsidRPr="005C28E7">
        <w:rPr>
          <w:rFonts w:ascii="Times New Roman" w:hAnsi="Times New Roman"/>
        </w:rPr>
        <w:t xml:space="preserve"> </w:t>
      </w:r>
      <w:r w:rsidRPr="005C28E7">
        <w:rPr>
          <w:rFonts w:ascii="Times New Roman" w:hAnsi="Times New Roman"/>
        </w:rPr>
        <w:t>The (</w:t>
      </w:r>
      <w:r w:rsidR="00572EEB" w:rsidRPr="005C28E7">
        <w:rPr>
          <w:rFonts w:ascii="Times New Roman" w:hAnsi="Times New Roman"/>
        </w:rPr>
        <w:t>m</w:t>
      </w:r>
      <w:r w:rsidRPr="005C28E7">
        <w:rPr>
          <w:rFonts w:ascii="Times New Roman" w:hAnsi="Times New Roman"/>
        </w:rPr>
        <w:t xml:space="preserve">is) </w:t>
      </w:r>
      <w:r w:rsidR="00572EEB" w:rsidRPr="005C28E7">
        <w:rPr>
          <w:rFonts w:ascii="Times New Roman" w:hAnsi="Times New Roman"/>
        </w:rPr>
        <w:t>behavior of markets: A fractal view of risk, ruin and r</w:t>
      </w:r>
      <w:r w:rsidRPr="005C28E7">
        <w:rPr>
          <w:rFonts w:ascii="Times New Roman" w:hAnsi="Times New Roman"/>
        </w:rPr>
        <w:t>eward, London: Profile Books.</w:t>
      </w:r>
      <w:r w:rsidR="00B76929" w:rsidRPr="005C28E7">
        <w:rPr>
          <w:rFonts w:ascii="Times New Roman" w:hAnsi="Times New Roman"/>
        </w:rPr>
        <w:t xml:space="preserve"> https://profilebooks.com/work/the-misbehaviour-of-markets/</w:t>
      </w:r>
    </w:p>
    <w:p w14:paraId="309AF4BA" w14:textId="0544114E" w:rsidR="00450734" w:rsidRPr="005C28E7" w:rsidRDefault="00450734" w:rsidP="00F83CEF">
      <w:pPr>
        <w:pStyle w:val="afb"/>
        <w:numPr>
          <w:ilvl w:val="0"/>
          <w:numId w:val="6"/>
        </w:numPr>
        <w:spacing w:before="240" w:line="560" w:lineRule="exact"/>
        <w:ind w:leftChars="0"/>
        <w:jc w:val="both"/>
        <w:rPr>
          <w:rFonts w:ascii="Times New Roman" w:hAnsi="Times New Roman"/>
        </w:rPr>
      </w:pPr>
      <w:r w:rsidRPr="005C28E7">
        <w:rPr>
          <w:rStyle w:val="f1"/>
          <w:rFonts w:ascii="Times New Roman" w:hAnsi="Times New Roman"/>
          <w:color w:val="auto"/>
        </w:rPr>
        <w:t xml:space="preserve">Mandelker, </w:t>
      </w:r>
      <w:r w:rsidRPr="005C28E7">
        <w:rPr>
          <w:rFonts w:ascii="Times New Roman" w:hAnsi="Times New Roman"/>
        </w:rPr>
        <w:t>G.</w:t>
      </w:r>
      <w:r w:rsidR="00DB6152" w:rsidRPr="005C28E7">
        <w:rPr>
          <w:rFonts w:ascii="Times New Roman" w:hAnsi="Times New Roman"/>
        </w:rPr>
        <w:t xml:space="preserve"> </w:t>
      </w:r>
      <w:r w:rsidRPr="005C28E7">
        <w:rPr>
          <w:rFonts w:ascii="Times New Roman" w:hAnsi="Times New Roman"/>
        </w:rPr>
        <w:t>N.</w:t>
      </w:r>
      <w:r w:rsidR="00DB6152" w:rsidRPr="005C28E7">
        <w:rPr>
          <w:rFonts w:ascii="Times New Roman" w:hAnsi="Times New Roman"/>
        </w:rPr>
        <w:t>,</w:t>
      </w:r>
      <w:r w:rsidRPr="005C28E7">
        <w:rPr>
          <w:rFonts w:ascii="Times New Roman" w:hAnsi="Times New Roman"/>
        </w:rPr>
        <w:t xml:space="preserve"> and </w:t>
      </w:r>
      <w:r w:rsidR="00DB6152" w:rsidRPr="005C28E7">
        <w:rPr>
          <w:rFonts w:ascii="Times New Roman" w:hAnsi="Times New Roman"/>
        </w:rPr>
        <w:t xml:space="preserve">Rhee, </w:t>
      </w:r>
      <w:r w:rsidRPr="005C28E7">
        <w:rPr>
          <w:rFonts w:ascii="Times New Roman" w:hAnsi="Times New Roman"/>
        </w:rPr>
        <w:t>S.</w:t>
      </w:r>
      <w:r w:rsidR="00DB6152" w:rsidRPr="005C28E7">
        <w:rPr>
          <w:rFonts w:ascii="Times New Roman" w:hAnsi="Times New Roman"/>
        </w:rPr>
        <w:t xml:space="preserve"> </w:t>
      </w:r>
      <w:r w:rsidRPr="005C28E7">
        <w:rPr>
          <w:rFonts w:ascii="Times New Roman" w:hAnsi="Times New Roman"/>
        </w:rPr>
        <w:t xml:space="preserve">G. </w:t>
      </w:r>
      <w:r w:rsidR="00DB6152" w:rsidRPr="005C28E7">
        <w:rPr>
          <w:rFonts w:ascii="Times New Roman" w:hAnsi="Times New Roman"/>
        </w:rPr>
        <w:t>(1984)</w:t>
      </w:r>
      <w:r w:rsidR="000C0017" w:rsidRPr="005C28E7">
        <w:rPr>
          <w:rFonts w:ascii="Times New Roman" w:hAnsi="Times New Roman"/>
        </w:rPr>
        <w:t>.</w:t>
      </w:r>
      <w:r w:rsidR="00DB6152" w:rsidRPr="005C28E7">
        <w:rPr>
          <w:rFonts w:ascii="Times New Roman" w:hAnsi="Times New Roman"/>
        </w:rPr>
        <w:t xml:space="preserve"> </w:t>
      </w:r>
      <w:r w:rsidRPr="005C28E7">
        <w:rPr>
          <w:rFonts w:ascii="Times New Roman" w:hAnsi="Times New Roman"/>
          <w:bCs/>
        </w:rPr>
        <w:t xml:space="preserve">The </w:t>
      </w:r>
      <w:r w:rsidR="00DB6152" w:rsidRPr="005C28E7">
        <w:rPr>
          <w:rFonts w:ascii="Times New Roman" w:hAnsi="Times New Roman"/>
          <w:bCs/>
        </w:rPr>
        <w:t>i</w:t>
      </w:r>
      <w:r w:rsidRPr="005C28E7">
        <w:rPr>
          <w:rFonts w:ascii="Times New Roman" w:hAnsi="Times New Roman"/>
          <w:bCs/>
        </w:rPr>
        <w:t xml:space="preserve">mpact of the </w:t>
      </w:r>
      <w:r w:rsidR="00DB6152" w:rsidRPr="005C28E7">
        <w:rPr>
          <w:rFonts w:ascii="Times New Roman" w:hAnsi="Times New Roman"/>
          <w:bCs/>
        </w:rPr>
        <w:t>d</w:t>
      </w:r>
      <w:r w:rsidRPr="005C28E7">
        <w:rPr>
          <w:rFonts w:ascii="Times New Roman" w:hAnsi="Times New Roman"/>
          <w:bCs/>
        </w:rPr>
        <w:t xml:space="preserve">egrees of </w:t>
      </w:r>
      <w:r w:rsidR="00DB6152" w:rsidRPr="005C28E7">
        <w:rPr>
          <w:rFonts w:ascii="Times New Roman" w:hAnsi="Times New Roman"/>
          <w:bCs/>
        </w:rPr>
        <w:t>o</w:t>
      </w:r>
      <w:r w:rsidRPr="005C28E7">
        <w:rPr>
          <w:rFonts w:ascii="Times New Roman" w:hAnsi="Times New Roman"/>
          <w:bCs/>
        </w:rPr>
        <w:t xml:space="preserve">perating and </w:t>
      </w:r>
      <w:r w:rsidR="00DB6152" w:rsidRPr="005C28E7">
        <w:rPr>
          <w:rFonts w:ascii="Times New Roman" w:hAnsi="Times New Roman"/>
          <w:bCs/>
        </w:rPr>
        <w:t>f</w:t>
      </w:r>
      <w:r w:rsidRPr="005C28E7">
        <w:rPr>
          <w:rFonts w:ascii="Times New Roman" w:hAnsi="Times New Roman"/>
          <w:bCs/>
        </w:rPr>
        <w:t xml:space="preserve">inancial </w:t>
      </w:r>
      <w:r w:rsidR="00DB6152" w:rsidRPr="005C28E7">
        <w:rPr>
          <w:rFonts w:ascii="Times New Roman" w:hAnsi="Times New Roman"/>
          <w:bCs/>
        </w:rPr>
        <w:t>l</w:t>
      </w:r>
      <w:r w:rsidRPr="005C28E7">
        <w:rPr>
          <w:rFonts w:ascii="Times New Roman" w:hAnsi="Times New Roman"/>
          <w:bCs/>
        </w:rPr>
        <w:t xml:space="preserve">everage on </w:t>
      </w:r>
      <w:r w:rsidR="00DB6152" w:rsidRPr="005C28E7">
        <w:rPr>
          <w:rFonts w:ascii="Times New Roman" w:hAnsi="Times New Roman"/>
          <w:bCs/>
        </w:rPr>
        <w:t>the s</w:t>
      </w:r>
      <w:r w:rsidRPr="005C28E7">
        <w:rPr>
          <w:rFonts w:ascii="Times New Roman" w:hAnsi="Times New Roman"/>
          <w:bCs/>
        </w:rPr>
        <w:t xml:space="preserve">ystematic </w:t>
      </w:r>
      <w:r w:rsidR="00DB6152" w:rsidRPr="005C28E7">
        <w:rPr>
          <w:rFonts w:ascii="Times New Roman" w:hAnsi="Times New Roman"/>
          <w:bCs/>
        </w:rPr>
        <w:t>r</w:t>
      </w:r>
      <w:r w:rsidRPr="005C28E7">
        <w:rPr>
          <w:rFonts w:ascii="Times New Roman" w:hAnsi="Times New Roman"/>
          <w:bCs/>
        </w:rPr>
        <w:t xml:space="preserve">isk of </w:t>
      </w:r>
      <w:r w:rsidR="00DB6152" w:rsidRPr="005C28E7">
        <w:rPr>
          <w:rFonts w:ascii="Times New Roman" w:hAnsi="Times New Roman"/>
          <w:bCs/>
        </w:rPr>
        <w:t>c</w:t>
      </w:r>
      <w:r w:rsidRPr="005C28E7">
        <w:rPr>
          <w:rFonts w:ascii="Times New Roman" w:hAnsi="Times New Roman"/>
          <w:bCs/>
        </w:rPr>
        <w:t xml:space="preserve">ommon </w:t>
      </w:r>
      <w:r w:rsidR="00DB6152" w:rsidRPr="005C28E7">
        <w:rPr>
          <w:rFonts w:ascii="Times New Roman" w:hAnsi="Times New Roman"/>
          <w:bCs/>
        </w:rPr>
        <w:t>stock</w:t>
      </w:r>
      <w:r w:rsidRPr="005C28E7">
        <w:rPr>
          <w:rFonts w:ascii="Times New Roman" w:hAnsi="Times New Roman"/>
        </w:rPr>
        <w:t>,</w:t>
      </w:r>
      <w:r w:rsidRPr="005C28E7">
        <w:rPr>
          <w:rFonts w:ascii="Times New Roman" w:hAnsi="Times New Roman"/>
          <w:i/>
        </w:rPr>
        <w:t xml:space="preserve"> Journal of Financial and Quantitative Analysis</w:t>
      </w:r>
      <w:r w:rsidRPr="005C28E7">
        <w:rPr>
          <w:rFonts w:ascii="Times New Roman" w:hAnsi="Times New Roman"/>
        </w:rPr>
        <w:t>, 19</w:t>
      </w:r>
      <w:r w:rsidR="00B76929" w:rsidRPr="005C28E7">
        <w:rPr>
          <w:rFonts w:ascii="Times New Roman" w:hAnsi="Times New Roman"/>
        </w:rPr>
        <w:t>(1)</w:t>
      </w:r>
      <w:r w:rsidR="00DB6152" w:rsidRPr="005C28E7">
        <w:rPr>
          <w:rFonts w:ascii="Times New Roman" w:hAnsi="Times New Roman"/>
        </w:rPr>
        <w:t>,</w:t>
      </w:r>
      <w:r w:rsidRPr="005C28E7">
        <w:rPr>
          <w:rFonts w:ascii="Times New Roman" w:hAnsi="Times New Roman"/>
        </w:rPr>
        <w:t xml:space="preserve"> </w:t>
      </w:r>
      <w:r w:rsidR="002B460E" w:rsidRPr="005C28E7">
        <w:rPr>
          <w:rFonts w:ascii="Times New Roman" w:hAnsi="Times New Roman"/>
          <w:spacing w:val="-4"/>
        </w:rPr>
        <w:t>pp.</w:t>
      </w:r>
      <w:r w:rsidRPr="005C28E7">
        <w:rPr>
          <w:rFonts w:ascii="Times New Roman" w:hAnsi="Times New Roman"/>
        </w:rPr>
        <w:t>45-57.</w:t>
      </w:r>
      <w:r w:rsidR="00B76929" w:rsidRPr="005C28E7">
        <w:rPr>
          <w:rFonts w:ascii="Times New Roman" w:hAnsi="Times New Roman"/>
        </w:rPr>
        <w:t xml:space="preserve"> https://doi.org/10.2307/2331000</w:t>
      </w:r>
    </w:p>
    <w:p w14:paraId="36023FC3" w14:textId="178D63C7" w:rsidR="00450734" w:rsidRPr="005C28E7" w:rsidRDefault="00762B79" w:rsidP="00F83CEF">
      <w:pPr>
        <w:pStyle w:val="afb"/>
        <w:numPr>
          <w:ilvl w:val="0"/>
          <w:numId w:val="6"/>
        </w:numPr>
        <w:spacing w:before="220" w:line="360" w:lineRule="auto"/>
        <w:ind w:leftChars="0"/>
        <w:jc w:val="both"/>
        <w:rPr>
          <w:rFonts w:ascii="Times New Roman" w:hAnsi="Times New Roman"/>
          <w:iCs/>
        </w:rPr>
      </w:pPr>
      <w:r w:rsidRPr="005C28E7">
        <w:rPr>
          <w:rFonts w:ascii="Times New Roman" w:hAnsi="Times New Roman"/>
        </w:rPr>
        <w:t xml:space="preserve">Ng, J. (2011). </w:t>
      </w:r>
      <w:r w:rsidR="00450734" w:rsidRPr="005C28E7">
        <w:rPr>
          <w:rFonts w:ascii="Times New Roman" w:hAnsi="Times New Roman"/>
        </w:rPr>
        <w:t xml:space="preserve">The </w:t>
      </w:r>
      <w:r w:rsidRPr="005C28E7">
        <w:rPr>
          <w:rFonts w:ascii="Times New Roman" w:hAnsi="Times New Roman"/>
        </w:rPr>
        <w:t>e</w:t>
      </w:r>
      <w:r w:rsidR="00450734" w:rsidRPr="005C28E7">
        <w:rPr>
          <w:rFonts w:ascii="Times New Roman" w:hAnsi="Times New Roman"/>
        </w:rPr>
        <w:t xml:space="preserve">ffect of </w:t>
      </w:r>
      <w:r w:rsidRPr="005C28E7">
        <w:rPr>
          <w:rFonts w:ascii="Times New Roman" w:hAnsi="Times New Roman"/>
        </w:rPr>
        <w:t>i</w:t>
      </w:r>
      <w:r w:rsidR="00450734" w:rsidRPr="005C28E7">
        <w:rPr>
          <w:rFonts w:ascii="Times New Roman" w:hAnsi="Times New Roman"/>
        </w:rPr>
        <w:t xml:space="preserve">nformation </w:t>
      </w:r>
      <w:r w:rsidRPr="005C28E7">
        <w:rPr>
          <w:rFonts w:ascii="Times New Roman" w:hAnsi="Times New Roman"/>
        </w:rPr>
        <w:t>q</w:t>
      </w:r>
      <w:r w:rsidR="00450734" w:rsidRPr="005C28E7">
        <w:rPr>
          <w:rFonts w:ascii="Times New Roman" w:hAnsi="Times New Roman"/>
        </w:rPr>
        <w:t xml:space="preserve">uality on </w:t>
      </w:r>
      <w:r w:rsidRPr="005C28E7">
        <w:rPr>
          <w:rFonts w:ascii="Times New Roman" w:hAnsi="Times New Roman"/>
        </w:rPr>
        <w:t>l</w:t>
      </w:r>
      <w:r w:rsidR="00450734" w:rsidRPr="005C28E7">
        <w:rPr>
          <w:rFonts w:ascii="Times New Roman" w:hAnsi="Times New Roman"/>
        </w:rPr>
        <w:t xml:space="preserve">iquidity </w:t>
      </w:r>
      <w:r w:rsidRPr="005C28E7">
        <w:rPr>
          <w:rFonts w:ascii="Times New Roman" w:hAnsi="Times New Roman"/>
        </w:rPr>
        <w:t>risk</w:t>
      </w:r>
      <w:r w:rsidR="00450734" w:rsidRPr="005C28E7">
        <w:rPr>
          <w:rFonts w:ascii="Times New Roman" w:hAnsi="Times New Roman"/>
        </w:rPr>
        <w:t xml:space="preserve">, </w:t>
      </w:r>
      <w:r w:rsidR="00450734" w:rsidRPr="005C28E7">
        <w:rPr>
          <w:rFonts w:ascii="Times New Roman" w:hAnsi="Times New Roman"/>
          <w:i/>
        </w:rPr>
        <w:t>Journal of Accounting and Economics</w:t>
      </w:r>
      <w:r w:rsidR="00450734" w:rsidRPr="005C28E7">
        <w:rPr>
          <w:rFonts w:ascii="Times New Roman" w:hAnsi="Times New Roman"/>
        </w:rPr>
        <w:t xml:space="preserve">, </w:t>
      </w:r>
      <w:r w:rsidR="009A1534" w:rsidRPr="005C28E7">
        <w:rPr>
          <w:rFonts w:ascii="Times New Roman" w:hAnsi="Times New Roman"/>
        </w:rPr>
        <w:t>5</w:t>
      </w:r>
      <w:r w:rsidR="00450734" w:rsidRPr="005C28E7">
        <w:rPr>
          <w:rFonts w:ascii="Times New Roman" w:hAnsi="Times New Roman"/>
        </w:rPr>
        <w:t>2</w:t>
      </w:r>
      <w:r w:rsidR="00B76929" w:rsidRPr="005C28E7">
        <w:rPr>
          <w:rFonts w:ascii="Times New Roman" w:hAnsi="Times New Roman"/>
        </w:rPr>
        <w:t>(2-3)</w:t>
      </w:r>
      <w:r w:rsidRPr="005C28E7">
        <w:rPr>
          <w:rFonts w:ascii="Times New Roman" w:hAnsi="Times New Roman"/>
        </w:rPr>
        <w:t>,</w:t>
      </w:r>
      <w:r w:rsidR="009A1534" w:rsidRPr="005C28E7">
        <w:rPr>
          <w:rFonts w:ascii="Times New Roman" w:hAnsi="Times New Roman"/>
        </w:rPr>
        <w:t xml:space="preserve"> </w:t>
      </w:r>
      <w:r w:rsidR="002B460E" w:rsidRPr="005C28E7">
        <w:rPr>
          <w:rFonts w:ascii="Times New Roman" w:hAnsi="Times New Roman"/>
          <w:spacing w:val="-4"/>
        </w:rPr>
        <w:t>pp.</w:t>
      </w:r>
      <w:r w:rsidR="009A1534" w:rsidRPr="005C28E7">
        <w:rPr>
          <w:rFonts w:ascii="Times New Roman" w:hAnsi="Times New Roman"/>
        </w:rPr>
        <w:t>1</w:t>
      </w:r>
      <w:r w:rsidR="00450734" w:rsidRPr="005C28E7">
        <w:rPr>
          <w:rFonts w:ascii="Times New Roman" w:hAnsi="Times New Roman"/>
          <w:iCs/>
        </w:rPr>
        <w:t>26-</w:t>
      </w:r>
      <w:r w:rsidRPr="005C28E7">
        <w:rPr>
          <w:rFonts w:ascii="Times New Roman" w:hAnsi="Times New Roman"/>
          <w:iCs/>
        </w:rPr>
        <w:t>1</w:t>
      </w:r>
      <w:r w:rsidR="00450734" w:rsidRPr="005C28E7">
        <w:rPr>
          <w:rFonts w:ascii="Times New Roman" w:hAnsi="Times New Roman"/>
          <w:iCs/>
        </w:rPr>
        <w:t>43.</w:t>
      </w:r>
      <w:r w:rsidR="00B76929" w:rsidRPr="005C28E7">
        <w:rPr>
          <w:rFonts w:ascii="Times New Roman" w:hAnsi="Times New Roman"/>
        </w:rPr>
        <w:t xml:space="preserve"> </w:t>
      </w:r>
      <w:r w:rsidR="00B76929" w:rsidRPr="005C28E7">
        <w:rPr>
          <w:rFonts w:ascii="Times New Roman" w:hAnsi="Times New Roman"/>
          <w:iCs/>
        </w:rPr>
        <w:t>https://doi.org/10.1016/j.jacceco.2011.03.004</w:t>
      </w:r>
    </w:p>
    <w:p w14:paraId="2AE8E546" w14:textId="0E145DF5" w:rsidR="00D525DA" w:rsidRPr="005C28E7" w:rsidRDefault="00D525DA" w:rsidP="00F83CEF">
      <w:pPr>
        <w:pStyle w:val="afb"/>
        <w:numPr>
          <w:ilvl w:val="0"/>
          <w:numId w:val="6"/>
        </w:numPr>
        <w:spacing w:before="220" w:line="360" w:lineRule="auto"/>
        <w:ind w:leftChars="0"/>
        <w:jc w:val="both"/>
        <w:rPr>
          <w:rFonts w:ascii="Times New Roman" w:hAnsi="Times New Roman"/>
        </w:rPr>
      </w:pPr>
      <w:r w:rsidRPr="005C28E7">
        <w:rPr>
          <w:rFonts w:ascii="Times New Roman" w:hAnsi="Times New Roman"/>
        </w:rPr>
        <w:t>Ng, L.</w:t>
      </w:r>
      <w:r w:rsidR="006E1FBA" w:rsidRPr="005C28E7">
        <w:rPr>
          <w:rFonts w:ascii="Times New Roman" w:hAnsi="Times New Roman"/>
        </w:rPr>
        <w:t>,</w:t>
      </w:r>
      <w:r w:rsidRPr="005C28E7">
        <w:rPr>
          <w:rFonts w:ascii="Times New Roman" w:hAnsi="Times New Roman"/>
        </w:rPr>
        <w:t xml:space="preserve"> and </w:t>
      </w:r>
      <w:r w:rsidR="006E1FBA" w:rsidRPr="005C28E7">
        <w:rPr>
          <w:rFonts w:ascii="Times New Roman" w:hAnsi="Times New Roman"/>
        </w:rPr>
        <w:t xml:space="preserve">Wu, </w:t>
      </w:r>
      <w:r w:rsidRPr="005C28E7">
        <w:rPr>
          <w:rFonts w:ascii="Times New Roman" w:hAnsi="Times New Roman"/>
        </w:rPr>
        <w:t xml:space="preserve">F. </w:t>
      </w:r>
      <w:r w:rsidR="006E1FBA" w:rsidRPr="005C28E7">
        <w:rPr>
          <w:rFonts w:ascii="Times New Roman" w:hAnsi="Times New Roman"/>
        </w:rPr>
        <w:t>(</w:t>
      </w:r>
      <w:r w:rsidRPr="005C28E7">
        <w:rPr>
          <w:rFonts w:ascii="Times New Roman" w:hAnsi="Times New Roman"/>
        </w:rPr>
        <w:t>20</w:t>
      </w:r>
      <w:r w:rsidR="006E1FBA" w:rsidRPr="005C28E7">
        <w:rPr>
          <w:rFonts w:ascii="Times New Roman" w:hAnsi="Times New Roman"/>
        </w:rPr>
        <w:t>10). Peer effects in the trading decisions of individual investors,</w:t>
      </w:r>
      <w:r w:rsidRPr="005C28E7">
        <w:rPr>
          <w:rFonts w:ascii="Times New Roman" w:hAnsi="Times New Roman"/>
          <w:i/>
        </w:rPr>
        <w:t xml:space="preserve"> Financial Management</w:t>
      </w:r>
      <w:r w:rsidRPr="005C28E7">
        <w:rPr>
          <w:rFonts w:ascii="Times New Roman" w:hAnsi="Times New Roman"/>
        </w:rPr>
        <w:t xml:space="preserve">, </w:t>
      </w:r>
      <w:r w:rsidR="006E1FBA" w:rsidRPr="005C28E7">
        <w:rPr>
          <w:rFonts w:ascii="Times New Roman" w:hAnsi="Times New Roman"/>
        </w:rPr>
        <w:t>39</w:t>
      </w:r>
      <w:r w:rsidR="0090125A" w:rsidRPr="005C28E7">
        <w:rPr>
          <w:rFonts w:ascii="Times New Roman" w:hAnsi="Times New Roman"/>
        </w:rPr>
        <w:t>(2)</w:t>
      </w:r>
      <w:r w:rsidR="006E1FBA" w:rsidRPr="005C28E7">
        <w:rPr>
          <w:rFonts w:ascii="Times New Roman" w:hAnsi="Times New Roman"/>
        </w:rPr>
        <w:t>,</w:t>
      </w:r>
      <w:r w:rsidRPr="005C28E7">
        <w:rPr>
          <w:rFonts w:ascii="Times New Roman" w:hAnsi="Times New Roman"/>
        </w:rPr>
        <w:t xml:space="preserve"> </w:t>
      </w:r>
      <w:r w:rsidR="002B460E" w:rsidRPr="005C28E7">
        <w:rPr>
          <w:rFonts w:ascii="Times New Roman" w:hAnsi="Times New Roman"/>
          <w:spacing w:val="-4"/>
        </w:rPr>
        <w:t>pp.</w:t>
      </w:r>
      <w:r w:rsidRPr="005C28E7">
        <w:rPr>
          <w:rFonts w:ascii="Times New Roman" w:hAnsi="Times New Roman"/>
        </w:rPr>
        <w:t>807-831.</w:t>
      </w:r>
      <w:r w:rsidR="0090125A" w:rsidRPr="005C28E7">
        <w:rPr>
          <w:rFonts w:ascii="Times New Roman" w:hAnsi="Times New Roman"/>
        </w:rPr>
        <w:t xml:space="preserve"> https://www.jstor.org/stable/40732458</w:t>
      </w:r>
    </w:p>
    <w:p w14:paraId="51B65F1D" w14:textId="3ABE0F39" w:rsidR="00450734" w:rsidRPr="005C28E7" w:rsidRDefault="00450734" w:rsidP="00F83CEF">
      <w:pPr>
        <w:pStyle w:val="afb"/>
        <w:numPr>
          <w:ilvl w:val="0"/>
          <w:numId w:val="6"/>
        </w:numPr>
        <w:spacing w:before="220" w:line="360" w:lineRule="auto"/>
        <w:ind w:leftChars="0"/>
        <w:jc w:val="both"/>
        <w:rPr>
          <w:rFonts w:ascii="Times New Roman" w:hAnsi="Times New Roman"/>
        </w:rPr>
      </w:pPr>
      <w:r w:rsidRPr="005C28E7">
        <w:rPr>
          <w:rFonts w:ascii="Times New Roman" w:hAnsi="Times New Roman"/>
        </w:rPr>
        <w:t xml:space="preserve">Penman, S., </w:t>
      </w:r>
      <w:r w:rsidR="007F23F8" w:rsidRPr="005C28E7">
        <w:rPr>
          <w:rFonts w:ascii="Times New Roman" w:hAnsi="Times New Roman"/>
        </w:rPr>
        <w:t xml:space="preserve">Richardson, </w:t>
      </w:r>
      <w:r w:rsidRPr="005C28E7">
        <w:rPr>
          <w:rFonts w:ascii="Times New Roman" w:hAnsi="Times New Roman"/>
        </w:rPr>
        <w:t xml:space="preserve">S. and </w:t>
      </w:r>
      <w:r w:rsidR="007F23F8" w:rsidRPr="005C28E7">
        <w:rPr>
          <w:rFonts w:ascii="Times New Roman" w:hAnsi="Times New Roman"/>
        </w:rPr>
        <w:t xml:space="preserve">Tuna, </w:t>
      </w:r>
      <w:r w:rsidRPr="005C28E7">
        <w:rPr>
          <w:rFonts w:ascii="Times New Roman" w:hAnsi="Times New Roman"/>
        </w:rPr>
        <w:t xml:space="preserve">I. </w:t>
      </w:r>
      <w:r w:rsidR="007F23F8" w:rsidRPr="005C28E7">
        <w:rPr>
          <w:rFonts w:ascii="Times New Roman" w:hAnsi="Times New Roman"/>
        </w:rPr>
        <w:t xml:space="preserve">(2007). </w:t>
      </w:r>
      <w:r w:rsidRPr="005C28E7">
        <w:rPr>
          <w:rFonts w:ascii="Times New Roman" w:hAnsi="Times New Roman"/>
        </w:rPr>
        <w:t xml:space="preserve">The </w:t>
      </w:r>
      <w:r w:rsidR="007F23F8" w:rsidRPr="005C28E7">
        <w:rPr>
          <w:rFonts w:ascii="Times New Roman" w:hAnsi="Times New Roman"/>
        </w:rPr>
        <w:t>b</w:t>
      </w:r>
      <w:r w:rsidRPr="005C28E7">
        <w:rPr>
          <w:rFonts w:ascii="Times New Roman" w:hAnsi="Times New Roman"/>
        </w:rPr>
        <w:t>ook-to-</w:t>
      </w:r>
      <w:r w:rsidR="007F23F8" w:rsidRPr="005C28E7">
        <w:rPr>
          <w:rFonts w:ascii="Times New Roman" w:hAnsi="Times New Roman"/>
        </w:rPr>
        <w:t>p</w:t>
      </w:r>
      <w:r w:rsidRPr="005C28E7">
        <w:rPr>
          <w:rFonts w:ascii="Times New Roman" w:hAnsi="Times New Roman"/>
        </w:rPr>
        <w:t xml:space="preserve">rice </w:t>
      </w:r>
      <w:r w:rsidR="007F23F8" w:rsidRPr="005C28E7">
        <w:rPr>
          <w:rFonts w:ascii="Times New Roman" w:hAnsi="Times New Roman"/>
        </w:rPr>
        <w:t>e</w:t>
      </w:r>
      <w:r w:rsidRPr="005C28E7">
        <w:rPr>
          <w:rFonts w:ascii="Times New Roman" w:hAnsi="Times New Roman"/>
        </w:rPr>
        <w:t xml:space="preserve">ffect in </w:t>
      </w:r>
      <w:r w:rsidR="007F23F8" w:rsidRPr="005C28E7">
        <w:rPr>
          <w:rFonts w:ascii="Times New Roman" w:hAnsi="Times New Roman"/>
        </w:rPr>
        <w:t>s</w:t>
      </w:r>
      <w:r w:rsidRPr="005C28E7">
        <w:rPr>
          <w:rFonts w:ascii="Times New Roman" w:hAnsi="Times New Roman"/>
        </w:rPr>
        <w:t xml:space="preserve">tock </w:t>
      </w:r>
      <w:r w:rsidR="007F23F8" w:rsidRPr="005C28E7">
        <w:rPr>
          <w:rFonts w:ascii="Times New Roman" w:hAnsi="Times New Roman"/>
        </w:rPr>
        <w:t>r</w:t>
      </w:r>
      <w:r w:rsidRPr="005C28E7">
        <w:rPr>
          <w:rFonts w:ascii="Times New Roman" w:hAnsi="Times New Roman"/>
        </w:rPr>
        <w:t xml:space="preserve">eturns: Accounting for </w:t>
      </w:r>
      <w:r w:rsidR="007F23F8" w:rsidRPr="005C28E7">
        <w:rPr>
          <w:rFonts w:ascii="Times New Roman" w:hAnsi="Times New Roman"/>
        </w:rPr>
        <w:t>leverage,</w:t>
      </w:r>
      <w:r w:rsidRPr="005C28E7">
        <w:rPr>
          <w:rFonts w:ascii="Times New Roman" w:hAnsi="Times New Roman"/>
        </w:rPr>
        <w:t xml:space="preserve"> </w:t>
      </w:r>
      <w:r w:rsidRPr="005C28E7">
        <w:rPr>
          <w:rFonts w:ascii="Times New Roman" w:hAnsi="Times New Roman"/>
          <w:i/>
        </w:rPr>
        <w:t>Journal of Accounting Research</w:t>
      </w:r>
      <w:r w:rsidRPr="005C28E7">
        <w:rPr>
          <w:rFonts w:ascii="Times New Roman" w:hAnsi="Times New Roman"/>
        </w:rPr>
        <w:t>, 45</w:t>
      </w:r>
      <w:r w:rsidR="0090125A" w:rsidRPr="005C28E7">
        <w:rPr>
          <w:rFonts w:ascii="Times New Roman" w:hAnsi="Times New Roman"/>
        </w:rPr>
        <w:t>(2)</w:t>
      </w:r>
      <w:r w:rsidR="007F23F8" w:rsidRPr="005C28E7">
        <w:rPr>
          <w:rFonts w:ascii="Times New Roman" w:hAnsi="Times New Roman"/>
        </w:rPr>
        <w:t>,</w:t>
      </w:r>
      <w:r w:rsidRPr="005C28E7">
        <w:rPr>
          <w:rFonts w:ascii="Times New Roman" w:hAnsi="Times New Roman"/>
        </w:rPr>
        <w:t xml:space="preserve"> </w:t>
      </w:r>
      <w:r w:rsidR="002B460E" w:rsidRPr="005C28E7">
        <w:rPr>
          <w:rFonts w:ascii="Times New Roman" w:hAnsi="Times New Roman"/>
          <w:spacing w:val="-4"/>
        </w:rPr>
        <w:t>pp.</w:t>
      </w:r>
      <w:r w:rsidRPr="005C28E7">
        <w:rPr>
          <w:rFonts w:ascii="Times New Roman" w:hAnsi="Times New Roman"/>
        </w:rPr>
        <w:t>427-</w:t>
      </w:r>
      <w:r w:rsidR="007F23F8" w:rsidRPr="005C28E7">
        <w:rPr>
          <w:rFonts w:ascii="Times New Roman" w:hAnsi="Times New Roman"/>
        </w:rPr>
        <w:t>4</w:t>
      </w:r>
      <w:r w:rsidRPr="005C28E7">
        <w:rPr>
          <w:rFonts w:ascii="Times New Roman" w:hAnsi="Times New Roman"/>
        </w:rPr>
        <w:t>67.</w:t>
      </w:r>
      <w:r w:rsidR="0090125A" w:rsidRPr="005C28E7">
        <w:rPr>
          <w:rFonts w:ascii="Times New Roman" w:hAnsi="Times New Roman"/>
        </w:rPr>
        <w:t xml:space="preserve"> https://www.jstor.org/stable/4622038</w:t>
      </w:r>
    </w:p>
    <w:p w14:paraId="54C3416D" w14:textId="16FA3A0A" w:rsidR="00450734" w:rsidRPr="005C28E7" w:rsidRDefault="00450734" w:rsidP="00F83CEF">
      <w:pPr>
        <w:pStyle w:val="afb"/>
        <w:numPr>
          <w:ilvl w:val="0"/>
          <w:numId w:val="6"/>
        </w:numPr>
        <w:spacing w:before="220" w:line="360" w:lineRule="auto"/>
        <w:ind w:leftChars="0"/>
        <w:jc w:val="both"/>
        <w:rPr>
          <w:rFonts w:ascii="Times New Roman" w:hAnsi="Times New Roman"/>
        </w:rPr>
      </w:pPr>
      <w:r w:rsidRPr="005C28E7">
        <w:rPr>
          <w:rFonts w:ascii="Times New Roman" w:hAnsi="Times New Roman"/>
        </w:rPr>
        <w:t xml:space="preserve">Pincus, M., </w:t>
      </w:r>
      <w:proofErr w:type="spellStart"/>
      <w:r w:rsidR="001D2CFE" w:rsidRPr="005C28E7">
        <w:rPr>
          <w:rFonts w:ascii="Times New Roman" w:hAnsi="Times New Roman"/>
        </w:rPr>
        <w:t>Rajgopal</w:t>
      </w:r>
      <w:proofErr w:type="spellEnd"/>
      <w:r w:rsidR="001D2CFE" w:rsidRPr="005C28E7">
        <w:rPr>
          <w:rFonts w:ascii="Times New Roman" w:hAnsi="Times New Roman"/>
        </w:rPr>
        <w:t xml:space="preserve">, </w:t>
      </w:r>
      <w:r w:rsidRPr="005C28E7">
        <w:rPr>
          <w:rFonts w:ascii="Times New Roman" w:hAnsi="Times New Roman"/>
        </w:rPr>
        <w:t>S.</w:t>
      </w:r>
      <w:r w:rsidR="009A1534" w:rsidRPr="005C28E7">
        <w:rPr>
          <w:rFonts w:ascii="Times New Roman" w:hAnsi="Times New Roman"/>
        </w:rPr>
        <w:t xml:space="preserve"> </w:t>
      </w:r>
      <w:r w:rsidRPr="005C28E7">
        <w:rPr>
          <w:rFonts w:ascii="Times New Roman" w:hAnsi="Times New Roman"/>
        </w:rPr>
        <w:t xml:space="preserve">and </w:t>
      </w:r>
      <w:r w:rsidR="001D2CFE" w:rsidRPr="005C28E7">
        <w:rPr>
          <w:rFonts w:ascii="Times New Roman" w:hAnsi="Times New Roman"/>
        </w:rPr>
        <w:t xml:space="preserve">Venkatachalam, </w:t>
      </w:r>
      <w:r w:rsidRPr="005C28E7">
        <w:rPr>
          <w:rFonts w:ascii="Times New Roman" w:hAnsi="Times New Roman"/>
        </w:rPr>
        <w:t>M.</w:t>
      </w:r>
      <w:r w:rsidR="009A1534" w:rsidRPr="005C28E7">
        <w:rPr>
          <w:rFonts w:ascii="Times New Roman" w:hAnsi="Times New Roman"/>
        </w:rPr>
        <w:t xml:space="preserve"> </w:t>
      </w:r>
      <w:r w:rsidR="001D2CFE" w:rsidRPr="005C28E7">
        <w:rPr>
          <w:rFonts w:ascii="Times New Roman" w:hAnsi="Times New Roman"/>
        </w:rPr>
        <w:t>(2007).</w:t>
      </w:r>
      <w:r w:rsidR="009A1534" w:rsidRPr="005C28E7">
        <w:rPr>
          <w:rFonts w:ascii="Times New Roman" w:hAnsi="Times New Roman"/>
        </w:rPr>
        <w:t xml:space="preserve"> </w:t>
      </w:r>
      <w:r w:rsidRPr="005C28E7">
        <w:rPr>
          <w:rFonts w:ascii="Times New Roman" w:hAnsi="Times New Roman"/>
        </w:rPr>
        <w:t xml:space="preserve">The </w:t>
      </w:r>
      <w:r w:rsidR="001D2CFE" w:rsidRPr="005C28E7">
        <w:rPr>
          <w:rFonts w:ascii="Times New Roman" w:hAnsi="Times New Roman"/>
        </w:rPr>
        <w:t>a</w:t>
      </w:r>
      <w:r w:rsidRPr="005C28E7">
        <w:rPr>
          <w:rFonts w:ascii="Times New Roman" w:hAnsi="Times New Roman"/>
        </w:rPr>
        <w:t xml:space="preserve">ccrual </w:t>
      </w:r>
      <w:r w:rsidR="001D2CFE" w:rsidRPr="005C28E7">
        <w:rPr>
          <w:rFonts w:ascii="Times New Roman" w:hAnsi="Times New Roman"/>
        </w:rPr>
        <w:t>a</w:t>
      </w:r>
      <w:r w:rsidRPr="005C28E7">
        <w:rPr>
          <w:rFonts w:ascii="Times New Roman" w:hAnsi="Times New Roman"/>
        </w:rPr>
        <w:t xml:space="preserve">nomaly: International </w:t>
      </w:r>
      <w:r w:rsidR="001D2CFE" w:rsidRPr="005C28E7">
        <w:rPr>
          <w:rFonts w:ascii="Times New Roman" w:hAnsi="Times New Roman"/>
        </w:rPr>
        <w:t>evidence</w:t>
      </w:r>
      <w:r w:rsidRPr="005C28E7">
        <w:rPr>
          <w:rFonts w:ascii="Times New Roman" w:hAnsi="Times New Roman"/>
        </w:rPr>
        <w:t xml:space="preserve">, </w:t>
      </w:r>
      <w:r w:rsidRPr="005C28E7">
        <w:rPr>
          <w:rFonts w:ascii="Times New Roman" w:hAnsi="Times New Roman"/>
          <w:i/>
        </w:rPr>
        <w:t>Accounting Review</w:t>
      </w:r>
      <w:r w:rsidRPr="005C28E7">
        <w:rPr>
          <w:rFonts w:ascii="Times New Roman" w:hAnsi="Times New Roman"/>
        </w:rPr>
        <w:t>, 82</w:t>
      </w:r>
      <w:r w:rsidR="0090125A" w:rsidRPr="005C28E7">
        <w:rPr>
          <w:rFonts w:ascii="Times New Roman" w:hAnsi="Times New Roman"/>
        </w:rPr>
        <w:t>(1)</w:t>
      </w:r>
      <w:r w:rsidR="001D2CFE" w:rsidRPr="005C28E7">
        <w:rPr>
          <w:rFonts w:ascii="Times New Roman" w:hAnsi="Times New Roman"/>
        </w:rPr>
        <w:t>,</w:t>
      </w:r>
      <w:r w:rsidR="009A1534" w:rsidRPr="005C28E7">
        <w:rPr>
          <w:rFonts w:ascii="Times New Roman" w:hAnsi="Times New Roman"/>
        </w:rPr>
        <w:t xml:space="preserve"> </w:t>
      </w:r>
      <w:r w:rsidR="002B460E" w:rsidRPr="005C28E7">
        <w:rPr>
          <w:rFonts w:ascii="Times New Roman" w:hAnsi="Times New Roman"/>
          <w:spacing w:val="-4"/>
        </w:rPr>
        <w:t>pp.</w:t>
      </w:r>
      <w:r w:rsidRPr="005C28E7">
        <w:rPr>
          <w:rFonts w:ascii="Times New Roman" w:hAnsi="Times New Roman"/>
        </w:rPr>
        <w:t>169</w:t>
      </w:r>
      <w:r w:rsidR="009A1534" w:rsidRPr="005C28E7">
        <w:rPr>
          <w:rFonts w:ascii="Times New Roman" w:hAnsi="Times New Roman"/>
        </w:rPr>
        <w:t>-</w:t>
      </w:r>
      <w:r w:rsidRPr="005C28E7">
        <w:rPr>
          <w:rFonts w:ascii="Times New Roman" w:hAnsi="Times New Roman"/>
        </w:rPr>
        <w:t>203.</w:t>
      </w:r>
      <w:r w:rsidR="0090125A" w:rsidRPr="005C28E7">
        <w:rPr>
          <w:rFonts w:ascii="Times New Roman" w:hAnsi="Times New Roman"/>
        </w:rPr>
        <w:t xml:space="preserve"> https://www.jstor.org/stable/30243461</w:t>
      </w:r>
    </w:p>
    <w:p w14:paraId="1983B7B5" w14:textId="54ACE7D2" w:rsidR="003D1EA0" w:rsidRPr="005C28E7" w:rsidRDefault="003D1EA0">
      <w:pPr>
        <w:widowControl/>
        <w:rPr>
          <w:szCs w:val="22"/>
        </w:rPr>
      </w:pPr>
      <w:r w:rsidRPr="005C28E7">
        <w:rPr>
          <w:szCs w:val="22"/>
        </w:rPr>
        <w:br w:type="page"/>
      </w:r>
    </w:p>
    <w:p w14:paraId="003430D5" w14:textId="122EAF6A" w:rsidR="006D0F70" w:rsidRPr="005C28E7" w:rsidRDefault="006D0F70">
      <w:pPr>
        <w:widowControl/>
        <w:rPr>
          <w:i/>
          <w:kern w:val="0"/>
          <w:sz w:val="22"/>
        </w:rPr>
      </w:pPr>
    </w:p>
    <w:p w14:paraId="02BEB0B3" w14:textId="0C38F5A3" w:rsidR="00EA404B" w:rsidRPr="005C28E7" w:rsidRDefault="00EA404B" w:rsidP="007C691D">
      <w:pPr>
        <w:autoSpaceDE w:val="0"/>
        <w:autoSpaceDN w:val="0"/>
        <w:adjustRightInd w:val="0"/>
        <w:spacing w:line="260" w:lineRule="exact"/>
        <w:rPr>
          <w:i/>
          <w:kern w:val="0"/>
          <w:sz w:val="22"/>
        </w:rPr>
      </w:pPr>
      <w:r w:rsidRPr="005C28E7">
        <w:rPr>
          <w:i/>
          <w:kern w:val="0"/>
          <w:sz w:val="22"/>
        </w:rPr>
        <w:t xml:space="preserve">Table </w:t>
      </w:r>
      <w:proofErr w:type="gramStart"/>
      <w:r w:rsidRPr="005C28E7">
        <w:rPr>
          <w:i/>
          <w:kern w:val="0"/>
          <w:sz w:val="22"/>
        </w:rPr>
        <w:t xml:space="preserve">1  </w:t>
      </w:r>
      <w:r w:rsidRPr="005C28E7">
        <w:rPr>
          <w:i/>
          <w:sz w:val="22"/>
        </w:rPr>
        <w:t>Descriptive</w:t>
      </w:r>
      <w:proofErr w:type="gramEnd"/>
      <w:r w:rsidRPr="005C28E7">
        <w:rPr>
          <w:i/>
          <w:sz w:val="22"/>
        </w:rPr>
        <w:t xml:space="preserve"> </w:t>
      </w:r>
      <w:r w:rsidR="007C691D" w:rsidRPr="005C28E7">
        <w:rPr>
          <w:i/>
          <w:kern w:val="0"/>
          <w:sz w:val="22"/>
        </w:rPr>
        <w:t>s</w:t>
      </w:r>
      <w:r w:rsidRPr="005C28E7">
        <w:rPr>
          <w:i/>
          <w:kern w:val="0"/>
          <w:sz w:val="22"/>
        </w:rPr>
        <w:t>tatistics</w:t>
      </w:r>
    </w:p>
    <w:p w14:paraId="5DB88D3E" w14:textId="77777777" w:rsidR="007C691D" w:rsidRPr="005C28E7" w:rsidRDefault="007C691D" w:rsidP="003A4811">
      <w:pPr>
        <w:spacing w:line="200" w:lineRule="exact"/>
        <w:rPr>
          <w:kern w:val="0"/>
          <w:sz w:val="20"/>
          <w:szCs w:val="20"/>
        </w:rPr>
      </w:pPr>
    </w:p>
    <w:p w14:paraId="688D78AD" w14:textId="216EBC0F" w:rsidR="00EA404B" w:rsidRPr="005C28E7" w:rsidRDefault="00CA40AC" w:rsidP="007C691D">
      <w:pPr>
        <w:spacing w:line="240" w:lineRule="exact"/>
        <w:jc w:val="both"/>
        <w:rPr>
          <w:kern w:val="0"/>
          <w:sz w:val="20"/>
          <w:szCs w:val="20"/>
        </w:rPr>
      </w:pPr>
      <w:r w:rsidRPr="005C28E7">
        <w:rPr>
          <w:kern w:val="0"/>
          <w:sz w:val="20"/>
          <w:szCs w:val="20"/>
        </w:rPr>
        <w:t xml:space="preserve">This table reports </w:t>
      </w:r>
      <w:r w:rsidR="00EA404B" w:rsidRPr="005C28E7">
        <w:rPr>
          <w:kern w:val="0"/>
          <w:sz w:val="20"/>
          <w:szCs w:val="20"/>
        </w:rPr>
        <w:t xml:space="preserve">the descriptive statistics of the variables, including </w:t>
      </w:r>
      <w:r w:rsidRPr="005C28E7">
        <w:rPr>
          <w:kern w:val="0"/>
          <w:sz w:val="20"/>
          <w:szCs w:val="20"/>
        </w:rPr>
        <w:t>‘c</w:t>
      </w:r>
      <w:r w:rsidR="00EA404B" w:rsidRPr="005C28E7">
        <w:rPr>
          <w:kern w:val="0"/>
          <w:sz w:val="20"/>
          <w:szCs w:val="20"/>
        </w:rPr>
        <w:t xml:space="preserve">ost of </w:t>
      </w:r>
      <w:r w:rsidRPr="005C28E7">
        <w:rPr>
          <w:kern w:val="0"/>
          <w:sz w:val="20"/>
          <w:szCs w:val="20"/>
        </w:rPr>
        <w:t>c</w:t>
      </w:r>
      <w:r w:rsidR="00EA404B" w:rsidRPr="005C28E7">
        <w:rPr>
          <w:kern w:val="0"/>
          <w:sz w:val="20"/>
          <w:szCs w:val="20"/>
        </w:rPr>
        <w:t>apital</w:t>
      </w:r>
      <w:r w:rsidRPr="005C28E7">
        <w:rPr>
          <w:kern w:val="0"/>
          <w:sz w:val="20"/>
          <w:szCs w:val="20"/>
        </w:rPr>
        <w:t>’</w:t>
      </w:r>
      <w:r w:rsidR="00EA404B" w:rsidRPr="005C28E7">
        <w:rPr>
          <w:kern w:val="0"/>
          <w:sz w:val="20"/>
          <w:szCs w:val="20"/>
        </w:rPr>
        <w:t xml:space="preserve"> (</w:t>
      </w:r>
      <w:r w:rsidR="00EA404B" w:rsidRPr="005C28E7">
        <w:rPr>
          <w:i/>
          <w:kern w:val="0"/>
          <w:sz w:val="20"/>
          <w:szCs w:val="20"/>
        </w:rPr>
        <w:t>R</w:t>
      </w:r>
      <w:r w:rsidR="00EA404B" w:rsidRPr="005C28E7">
        <w:rPr>
          <w:i/>
          <w:kern w:val="0"/>
          <w:sz w:val="20"/>
          <w:szCs w:val="20"/>
          <w:vertAlign w:val="subscript"/>
        </w:rPr>
        <w:t>i</w:t>
      </w:r>
      <w:r w:rsidR="003A4811" w:rsidRPr="005C28E7">
        <w:rPr>
          <w:i/>
          <w:kern w:val="0"/>
          <w:sz w:val="20"/>
          <w:szCs w:val="20"/>
          <w:vertAlign w:val="subscript"/>
        </w:rPr>
        <w:t xml:space="preserve"> </w:t>
      </w:r>
      <w:r w:rsidR="003A4811" w:rsidRPr="005C28E7">
        <w:rPr>
          <w:position w:val="2"/>
          <w:sz w:val="12"/>
          <w:szCs w:val="20"/>
        </w:rPr>
        <w:t>–</w:t>
      </w:r>
      <w:r w:rsidR="003A4811" w:rsidRPr="005C28E7">
        <w:rPr>
          <w:i/>
          <w:kern w:val="0"/>
          <w:sz w:val="20"/>
          <w:szCs w:val="20"/>
          <w:vertAlign w:val="subscript"/>
        </w:rPr>
        <w:t xml:space="preserve"> </w:t>
      </w:r>
      <w:r w:rsidR="00EA404B" w:rsidRPr="005C28E7">
        <w:rPr>
          <w:i/>
          <w:kern w:val="0"/>
          <w:sz w:val="20"/>
          <w:szCs w:val="20"/>
        </w:rPr>
        <w:t>R</w:t>
      </w:r>
      <w:r w:rsidR="00EA404B" w:rsidRPr="005C28E7">
        <w:rPr>
          <w:i/>
          <w:kern w:val="0"/>
          <w:sz w:val="20"/>
          <w:szCs w:val="20"/>
          <w:vertAlign w:val="subscript"/>
        </w:rPr>
        <w:t>f</w:t>
      </w:r>
      <w:r w:rsidR="00EA404B" w:rsidRPr="005C28E7">
        <w:rPr>
          <w:kern w:val="0"/>
          <w:sz w:val="20"/>
          <w:szCs w:val="20"/>
        </w:rPr>
        <w:t xml:space="preserve">), </w:t>
      </w:r>
      <w:r w:rsidRPr="005C28E7">
        <w:rPr>
          <w:kern w:val="0"/>
          <w:sz w:val="20"/>
          <w:szCs w:val="20"/>
        </w:rPr>
        <w:t>‘e</w:t>
      </w:r>
      <w:r w:rsidR="00EA404B" w:rsidRPr="005C28E7">
        <w:rPr>
          <w:kern w:val="0"/>
          <w:sz w:val="20"/>
          <w:szCs w:val="20"/>
        </w:rPr>
        <w:t xml:space="preserve">xcess </w:t>
      </w:r>
      <w:r w:rsidRPr="005C28E7">
        <w:rPr>
          <w:kern w:val="0"/>
          <w:sz w:val="20"/>
          <w:szCs w:val="20"/>
        </w:rPr>
        <w:t>m</w:t>
      </w:r>
      <w:r w:rsidR="00EA404B" w:rsidRPr="005C28E7">
        <w:rPr>
          <w:kern w:val="0"/>
          <w:sz w:val="20"/>
          <w:szCs w:val="20"/>
        </w:rPr>
        <w:t xml:space="preserve">arket </w:t>
      </w:r>
      <w:r w:rsidRPr="005C28E7">
        <w:rPr>
          <w:kern w:val="0"/>
          <w:sz w:val="20"/>
          <w:szCs w:val="20"/>
        </w:rPr>
        <w:t>r</w:t>
      </w:r>
      <w:r w:rsidR="00EA404B" w:rsidRPr="005C28E7">
        <w:rPr>
          <w:kern w:val="0"/>
          <w:sz w:val="20"/>
          <w:szCs w:val="20"/>
        </w:rPr>
        <w:t>eturn</w:t>
      </w:r>
      <w:r w:rsidRPr="005C28E7">
        <w:rPr>
          <w:kern w:val="0"/>
          <w:sz w:val="20"/>
          <w:szCs w:val="20"/>
        </w:rPr>
        <w:t>’</w:t>
      </w:r>
      <w:r w:rsidR="00EA404B" w:rsidRPr="005C28E7">
        <w:rPr>
          <w:kern w:val="0"/>
          <w:sz w:val="20"/>
          <w:szCs w:val="20"/>
        </w:rPr>
        <w:t xml:space="preserve"> (</w:t>
      </w:r>
      <w:r w:rsidR="003A4811" w:rsidRPr="005C28E7">
        <w:rPr>
          <w:i/>
          <w:kern w:val="0"/>
          <w:sz w:val="20"/>
          <w:szCs w:val="20"/>
        </w:rPr>
        <w:t>R</w:t>
      </w:r>
      <w:r w:rsidR="003A4811" w:rsidRPr="005C28E7">
        <w:rPr>
          <w:i/>
          <w:kern w:val="0"/>
          <w:sz w:val="20"/>
          <w:szCs w:val="20"/>
          <w:vertAlign w:val="subscript"/>
        </w:rPr>
        <w:t xml:space="preserve">m </w:t>
      </w:r>
      <w:r w:rsidR="003A4811" w:rsidRPr="005C28E7">
        <w:rPr>
          <w:position w:val="2"/>
          <w:sz w:val="12"/>
          <w:szCs w:val="20"/>
        </w:rPr>
        <w:t>–</w:t>
      </w:r>
      <w:r w:rsidR="003A4811" w:rsidRPr="005C28E7">
        <w:rPr>
          <w:i/>
          <w:kern w:val="0"/>
          <w:sz w:val="20"/>
          <w:szCs w:val="20"/>
          <w:vertAlign w:val="subscript"/>
        </w:rPr>
        <w:t xml:space="preserve"> </w:t>
      </w:r>
      <w:r w:rsidR="003A4811" w:rsidRPr="005C28E7">
        <w:rPr>
          <w:i/>
          <w:kern w:val="0"/>
          <w:sz w:val="20"/>
          <w:szCs w:val="20"/>
        </w:rPr>
        <w:t>R</w:t>
      </w:r>
      <w:r w:rsidR="003A4811" w:rsidRPr="005C28E7">
        <w:rPr>
          <w:i/>
          <w:kern w:val="0"/>
          <w:sz w:val="20"/>
          <w:szCs w:val="20"/>
          <w:vertAlign w:val="subscript"/>
        </w:rPr>
        <w:t>f</w:t>
      </w:r>
      <w:r w:rsidR="00EA404B" w:rsidRPr="005C28E7">
        <w:rPr>
          <w:kern w:val="0"/>
          <w:sz w:val="20"/>
          <w:szCs w:val="20"/>
        </w:rPr>
        <w:t xml:space="preserve">), </w:t>
      </w:r>
      <w:r w:rsidRPr="005C28E7">
        <w:rPr>
          <w:kern w:val="0"/>
          <w:sz w:val="20"/>
          <w:szCs w:val="20"/>
        </w:rPr>
        <w:t xml:space="preserve">the </w:t>
      </w:r>
      <w:proofErr w:type="spellStart"/>
      <w:r w:rsidR="00EA404B" w:rsidRPr="005C28E7">
        <w:rPr>
          <w:kern w:val="0"/>
          <w:sz w:val="20"/>
          <w:szCs w:val="20"/>
        </w:rPr>
        <w:t>Fama</w:t>
      </w:r>
      <w:proofErr w:type="spellEnd"/>
      <w:r w:rsidR="00EA404B" w:rsidRPr="005C28E7">
        <w:rPr>
          <w:kern w:val="0"/>
          <w:sz w:val="20"/>
          <w:szCs w:val="20"/>
        </w:rPr>
        <w:t xml:space="preserve">-French </w:t>
      </w:r>
      <w:r w:rsidR="00D374FB" w:rsidRPr="005C28E7">
        <w:rPr>
          <w:kern w:val="0"/>
          <w:sz w:val="20"/>
          <w:szCs w:val="20"/>
        </w:rPr>
        <w:t>‘</w:t>
      </w:r>
      <w:r w:rsidR="00EA404B" w:rsidRPr="005C28E7">
        <w:rPr>
          <w:kern w:val="0"/>
          <w:sz w:val="20"/>
          <w:szCs w:val="20"/>
        </w:rPr>
        <w:t>three factors</w:t>
      </w:r>
      <w:r w:rsidR="00D374FB" w:rsidRPr="005C28E7">
        <w:rPr>
          <w:kern w:val="0"/>
          <w:sz w:val="20"/>
          <w:szCs w:val="20"/>
        </w:rPr>
        <w:t>’</w:t>
      </w:r>
      <w:r w:rsidR="00EA404B" w:rsidRPr="005C28E7">
        <w:rPr>
          <w:kern w:val="0"/>
          <w:sz w:val="20"/>
          <w:szCs w:val="20"/>
        </w:rPr>
        <w:t xml:space="preserve"> (</w:t>
      </w:r>
      <w:r w:rsidR="00EA404B" w:rsidRPr="005C28E7">
        <w:rPr>
          <w:i/>
          <w:kern w:val="0"/>
          <w:sz w:val="20"/>
          <w:szCs w:val="20"/>
        </w:rPr>
        <w:t>HML</w:t>
      </w:r>
      <w:r w:rsidR="00EA404B" w:rsidRPr="005C28E7">
        <w:rPr>
          <w:kern w:val="0"/>
          <w:sz w:val="20"/>
          <w:szCs w:val="20"/>
        </w:rPr>
        <w:t xml:space="preserve"> and </w:t>
      </w:r>
      <w:r w:rsidR="00EA404B" w:rsidRPr="005C28E7">
        <w:rPr>
          <w:i/>
          <w:kern w:val="0"/>
          <w:sz w:val="20"/>
          <w:szCs w:val="20"/>
        </w:rPr>
        <w:t>SMB</w:t>
      </w:r>
      <w:r w:rsidR="00EA404B" w:rsidRPr="005C28E7">
        <w:rPr>
          <w:kern w:val="0"/>
          <w:sz w:val="20"/>
          <w:szCs w:val="20"/>
        </w:rPr>
        <w:t xml:space="preserve">), </w:t>
      </w:r>
      <w:r w:rsidRPr="005C28E7">
        <w:rPr>
          <w:kern w:val="0"/>
          <w:sz w:val="20"/>
          <w:szCs w:val="20"/>
        </w:rPr>
        <w:t>‘a</w:t>
      </w:r>
      <w:r w:rsidR="00EA404B" w:rsidRPr="005C28E7">
        <w:rPr>
          <w:kern w:val="0"/>
          <w:sz w:val="20"/>
          <w:szCs w:val="20"/>
        </w:rPr>
        <w:t xml:space="preserve">ccounting </w:t>
      </w:r>
      <w:r w:rsidRPr="005C28E7">
        <w:rPr>
          <w:kern w:val="0"/>
          <w:sz w:val="20"/>
          <w:szCs w:val="20"/>
        </w:rPr>
        <w:t>q</w:t>
      </w:r>
      <w:r w:rsidR="00EA404B" w:rsidRPr="005C28E7">
        <w:rPr>
          <w:kern w:val="0"/>
          <w:sz w:val="20"/>
          <w:szCs w:val="20"/>
        </w:rPr>
        <w:t>uality</w:t>
      </w:r>
      <w:r w:rsidRPr="005C28E7">
        <w:rPr>
          <w:kern w:val="0"/>
          <w:sz w:val="20"/>
          <w:szCs w:val="20"/>
        </w:rPr>
        <w:t>’</w:t>
      </w:r>
      <w:r w:rsidR="00EA404B" w:rsidRPr="005C28E7">
        <w:rPr>
          <w:kern w:val="0"/>
          <w:sz w:val="20"/>
          <w:szCs w:val="20"/>
        </w:rPr>
        <w:t xml:space="preserve"> (</w:t>
      </w:r>
      <w:r w:rsidR="00EA404B" w:rsidRPr="005C28E7">
        <w:rPr>
          <w:i/>
          <w:kern w:val="0"/>
          <w:sz w:val="20"/>
          <w:szCs w:val="20"/>
        </w:rPr>
        <w:t>AQ</w:t>
      </w:r>
      <w:r w:rsidR="00EA404B" w:rsidRPr="005C28E7">
        <w:rPr>
          <w:kern w:val="0"/>
          <w:sz w:val="20"/>
          <w:szCs w:val="20"/>
        </w:rPr>
        <w:t xml:space="preserve">), </w:t>
      </w:r>
      <w:r w:rsidR="005F33EE" w:rsidRPr="005C28E7">
        <w:rPr>
          <w:kern w:val="0"/>
          <w:sz w:val="20"/>
          <w:szCs w:val="20"/>
        </w:rPr>
        <w:t>‘downside risk’ (</w:t>
      </w:r>
      <w:r w:rsidR="005F33EE" w:rsidRPr="005C28E7">
        <w:rPr>
          <w:i/>
          <w:kern w:val="0"/>
          <w:sz w:val="20"/>
          <w:szCs w:val="20"/>
        </w:rPr>
        <w:t>β</w:t>
      </w:r>
      <w:r w:rsidR="005F33EE" w:rsidRPr="005C28E7">
        <w:rPr>
          <w:i/>
          <w:kern w:val="0"/>
          <w:sz w:val="12"/>
          <w:szCs w:val="20"/>
          <w:vertAlign w:val="superscript"/>
        </w:rPr>
        <w:t xml:space="preserve"> </w:t>
      </w:r>
      <w:r w:rsidR="005F33EE" w:rsidRPr="005C28E7">
        <w:rPr>
          <w:kern w:val="0"/>
          <w:position w:val="10"/>
          <w:sz w:val="10"/>
          <w:szCs w:val="20"/>
        </w:rPr>
        <w:t>–</w:t>
      </w:r>
      <w:r w:rsidR="005F33EE" w:rsidRPr="005C28E7">
        <w:rPr>
          <w:kern w:val="0"/>
          <w:sz w:val="20"/>
          <w:szCs w:val="20"/>
        </w:rPr>
        <w:t xml:space="preserve">), </w:t>
      </w:r>
      <w:r w:rsidRPr="005C28E7">
        <w:rPr>
          <w:kern w:val="0"/>
          <w:sz w:val="20"/>
          <w:szCs w:val="20"/>
        </w:rPr>
        <w:t>‘u</w:t>
      </w:r>
      <w:r w:rsidR="00EA404B" w:rsidRPr="005C28E7">
        <w:rPr>
          <w:kern w:val="0"/>
          <w:sz w:val="20"/>
          <w:szCs w:val="20"/>
        </w:rPr>
        <w:t>pside risk</w:t>
      </w:r>
      <w:r w:rsidRPr="005C28E7">
        <w:rPr>
          <w:kern w:val="0"/>
          <w:sz w:val="20"/>
          <w:szCs w:val="20"/>
        </w:rPr>
        <w:t>’</w:t>
      </w:r>
      <w:r w:rsidR="00EA404B" w:rsidRPr="005C28E7">
        <w:rPr>
          <w:kern w:val="0"/>
          <w:sz w:val="20"/>
          <w:szCs w:val="20"/>
        </w:rPr>
        <w:t xml:space="preserve"> (</w:t>
      </w:r>
      <w:r w:rsidRPr="005C28E7">
        <w:rPr>
          <w:i/>
          <w:kern w:val="0"/>
          <w:sz w:val="20"/>
          <w:szCs w:val="20"/>
        </w:rPr>
        <w:t>β</w:t>
      </w:r>
      <w:r w:rsidRPr="005C28E7">
        <w:rPr>
          <w:kern w:val="0"/>
          <w:sz w:val="12"/>
          <w:szCs w:val="20"/>
          <w:vertAlign w:val="superscript"/>
        </w:rPr>
        <w:t xml:space="preserve"> </w:t>
      </w:r>
      <w:r w:rsidR="00EA404B" w:rsidRPr="005C28E7">
        <w:rPr>
          <w:kern w:val="0"/>
          <w:position w:val="2"/>
          <w:sz w:val="20"/>
          <w:szCs w:val="20"/>
          <w:vertAlign w:val="superscript"/>
        </w:rPr>
        <w:t>+</w:t>
      </w:r>
      <w:r w:rsidR="00EA404B" w:rsidRPr="005C28E7">
        <w:rPr>
          <w:kern w:val="0"/>
          <w:sz w:val="20"/>
          <w:szCs w:val="20"/>
        </w:rPr>
        <w:t>)</w:t>
      </w:r>
      <w:r w:rsidR="00E04209" w:rsidRPr="005C28E7">
        <w:rPr>
          <w:kern w:val="0"/>
          <w:sz w:val="20"/>
          <w:szCs w:val="20"/>
        </w:rPr>
        <w:t>,</w:t>
      </w:r>
      <w:r w:rsidR="00EA404B" w:rsidRPr="005C28E7">
        <w:rPr>
          <w:kern w:val="0"/>
          <w:sz w:val="20"/>
          <w:szCs w:val="20"/>
        </w:rPr>
        <w:t xml:space="preserve"> </w:t>
      </w:r>
      <w:r w:rsidR="00E04209" w:rsidRPr="005C28E7">
        <w:rPr>
          <w:kern w:val="0"/>
          <w:sz w:val="20"/>
          <w:szCs w:val="20"/>
        </w:rPr>
        <w:t>‘market risk’ (</w:t>
      </w:r>
      <w:r w:rsidR="00E04209" w:rsidRPr="005C28E7">
        <w:rPr>
          <w:i/>
          <w:kern w:val="0"/>
          <w:sz w:val="20"/>
          <w:szCs w:val="20"/>
        </w:rPr>
        <w:t>β</w:t>
      </w:r>
      <w:r w:rsidR="00E04209" w:rsidRPr="005C28E7">
        <w:rPr>
          <w:kern w:val="0"/>
          <w:sz w:val="20"/>
          <w:szCs w:val="20"/>
        </w:rPr>
        <w:t xml:space="preserve">) </w:t>
      </w:r>
      <w:r w:rsidR="00EA404B" w:rsidRPr="005C28E7">
        <w:rPr>
          <w:kern w:val="0"/>
          <w:sz w:val="20"/>
          <w:szCs w:val="20"/>
        </w:rPr>
        <w:t xml:space="preserve">and </w:t>
      </w:r>
      <w:r w:rsidRPr="005C28E7">
        <w:rPr>
          <w:kern w:val="0"/>
          <w:sz w:val="20"/>
          <w:szCs w:val="20"/>
        </w:rPr>
        <w:t>‘a</w:t>
      </w:r>
      <w:r w:rsidR="00EA404B" w:rsidRPr="005C28E7">
        <w:rPr>
          <w:kern w:val="0"/>
          <w:sz w:val="20"/>
          <w:szCs w:val="20"/>
        </w:rPr>
        <w:t>symmetric risk</w:t>
      </w:r>
      <w:r w:rsidRPr="005C28E7">
        <w:rPr>
          <w:kern w:val="0"/>
          <w:sz w:val="20"/>
          <w:szCs w:val="20"/>
        </w:rPr>
        <w:t>’</w:t>
      </w:r>
      <w:r w:rsidR="00EA404B" w:rsidRPr="005C28E7">
        <w:rPr>
          <w:kern w:val="0"/>
          <w:sz w:val="20"/>
          <w:szCs w:val="20"/>
        </w:rPr>
        <w:t xml:space="preserve"> </w:t>
      </w:r>
      <w:r w:rsidR="003A4811" w:rsidRPr="005C28E7">
        <w:rPr>
          <w:kern w:val="0"/>
          <w:sz w:val="20"/>
          <w:szCs w:val="20"/>
        </w:rPr>
        <w:t>(</w:t>
      </w:r>
      <w:r w:rsidR="003A4811" w:rsidRPr="005C28E7">
        <w:rPr>
          <w:i/>
          <w:kern w:val="0"/>
          <w:sz w:val="20"/>
          <w:szCs w:val="20"/>
        </w:rPr>
        <w:t>β</w:t>
      </w:r>
      <w:r w:rsidR="003A4811" w:rsidRPr="005C28E7">
        <w:rPr>
          <w:i/>
          <w:kern w:val="0"/>
          <w:sz w:val="12"/>
          <w:szCs w:val="20"/>
          <w:vertAlign w:val="superscript"/>
        </w:rPr>
        <w:t xml:space="preserve"> </w:t>
      </w:r>
      <w:r w:rsidR="003A4811" w:rsidRPr="005C28E7">
        <w:rPr>
          <w:kern w:val="0"/>
          <w:position w:val="10"/>
          <w:sz w:val="10"/>
          <w:szCs w:val="20"/>
        </w:rPr>
        <w:t>–</w:t>
      </w:r>
      <w:r w:rsidR="003A4811" w:rsidRPr="005C28E7">
        <w:rPr>
          <w:position w:val="2"/>
          <w:sz w:val="12"/>
          <w:szCs w:val="20"/>
        </w:rPr>
        <w:t>–</w:t>
      </w:r>
      <w:r w:rsidR="003A4811" w:rsidRPr="005C28E7">
        <w:rPr>
          <w:i/>
          <w:kern w:val="0"/>
          <w:sz w:val="20"/>
          <w:szCs w:val="20"/>
        </w:rPr>
        <w:t xml:space="preserve"> β</w:t>
      </w:r>
      <w:r w:rsidR="003A4811" w:rsidRPr="005C28E7">
        <w:rPr>
          <w:kern w:val="0"/>
          <w:sz w:val="12"/>
          <w:szCs w:val="20"/>
          <w:vertAlign w:val="superscript"/>
        </w:rPr>
        <w:t xml:space="preserve"> </w:t>
      </w:r>
      <w:r w:rsidR="003A4811" w:rsidRPr="005C28E7">
        <w:rPr>
          <w:kern w:val="0"/>
          <w:position w:val="2"/>
          <w:sz w:val="20"/>
          <w:szCs w:val="20"/>
          <w:vertAlign w:val="superscript"/>
        </w:rPr>
        <w:t>+</w:t>
      </w:r>
      <w:r w:rsidR="003A4811" w:rsidRPr="005C28E7">
        <w:rPr>
          <w:kern w:val="0"/>
          <w:sz w:val="20"/>
          <w:szCs w:val="20"/>
        </w:rPr>
        <w:t>)</w:t>
      </w:r>
      <w:r w:rsidR="00EA404B" w:rsidRPr="005C28E7">
        <w:rPr>
          <w:kern w:val="0"/>
          <w:sz w:val="20"/>
          <w:szCs w:val="20"/>
        </w:rPr>
        <w:t xml:space="preserve">. </w:t>
      </w:r>
      <w:r w:rsidR="00EA404B" w:rsidRPr="005C28E7">
        <w:rPr>
          <w:i/>
          <w:kern w:val="0"/>
          <w:sz w:val="20"/>
          <w:szCs w:val="20"/>
        </w:rPr>
        <w:t>Q</w:t>
      </w:r>
      <w:r w:rsidR="00EA404B" w:rsidRPr="005C28E7">
        <w:rPr>
          <w:i/>
          <w:kern w:val="0"/>
          <w:sz w:val="20"/>
          <w:szCs w:val="20"/>
          <w:vertAlign w:val="subscript"/>
        </w:rPr>
        <w:t>1</w:t>
      </w:r>
      <w:r w:rsidR="00EA404B" w:rsidRPr="005C28E7">
        <w:rPr>
          <w:kern w:val="0"/>
          <w:sz w:val="20"/>
          <w:szCs w:val="20"/>
        </w:rPr>
        <w:t xml:space="preserve"> (</w:t>
      </w:r>
      <w:r w:rsidR="00EA404B" w:rsidRPr="005C28E7">
        <w:rPr>
          <w:i/>
          <w:kern w:val="0"/>
          <w:sz w:val="20"/>
          <w:szCs w:val="20"/>
        </w:rPr>
        <w:t>Q</w:t>
      </w:r>
      <w:r w:rsidR="00EA404B" w:rsidRPr="005C28E7">
        <w:rPr>
          <w:i/>
          <w:kern w:val="0"/>
          <w:sz w:val="20"/>
          <w:szCs w:val="20"/>
          <w:vertAlign w:val="subscript"/>
        </w:rPr>
        <w:t>3</w:t>
      </w:r>
      <w:r w:rsidR="00EA404B" w:rsidRPr="005C28E7">
        <w:rPr>
          <w:kern w:val="0"/>
          <w:sz w:val="20"/>
          <w:szCs w:val="20"/>
        </w:rPr>
        <w:t xml:space="preserve">) denotes the first (third) quartile. </w:t>
      </w:r>
    </w:p>
    <w:p w14:paraId="165B60CA" w14:textId="77777777" w:rsidR="00EA404B" w:rsidRPr="005C28E7" w:rsidRDefault="00EA404B" w:rsidP="003A4811">
      <w:pPr>
        <w:spacing w:line="180" w:lineRule="exact"/>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90"/>
        <w:gridCol w:w="396"/>
        <w:gridCol w:w="954"/>
        <w:gridCol w:w="432"/>
        <w:gridCol w:w="1008"/>
        <w:gridCol w:w="378"/>
        <w:gridCol w:w="972"/>
        <w:gridCol w:w="414"/>
        <w:gridCol w:w="1026"/>
        <w:gridCol w:w="360"/>
      </w:tblGrid>
      <w:tr w:rsidR="005C28E7" w:rsidRPr="005C28E7" w14:paraId="0F66362B" w14:textId="77777777" w:rsidTr="00D374FB">
        <w:tc>
          <w:tcPr>
            <w:tcW w:w="1260" w:type="dxa"/>
            <w:tcBorders>
              <w:top w:val="single" w:sz="4" w:space="0" w:color="auto"/>
              <w:bottom w:val="single" w:sz="4" w:space="0" w:color="auto"/>
            </w:tcBorders>
          </w:tcPr>
          <w:p w14:paraId="03FABA57" w14:textId="4FBC4EF7" w:rsidR="00E04209" w:rsidRPr="005C28E7" w:rsidRDefault="00E04209" w:rsidP="00E04209">
            <w:pPr>
              <w:spacing w:before="80" w:after="80" w:line="240" w:lineRule="exact"/>
              <w:jc w:val="center"/>
              <w:rPr>
                <w:sz w:val="20"/>
              </w:rPr>
            </w:pPr>
            <w:r w:rsidRPr="005C28E7">
              <w:rPr>
                <w:sz w:val="20"/>
              </w:rPr>
              <w:t>Variables</w:t>
            </w:r>
          </w:p>
        </w:tc>
        <w:tc>
          <w:tcPr>
            <w:tcW w:w="1386" w:type="dxa"/>
            <w:gridSpan w:val="2"/>
            <w:tcBorders>
              <w:top w:val="single" w:sz="4" w:space="0" w:color="auto"/>
              <w:bottom w:val="single" w:sz="4" w:space="0" w:color="auto"/>
            </w:tcBorders>
          </w:tcPr>
          <w:p w14:paraId="44CB5DC4" w14:textId="7ED750D6" w:rsidR="00E04209" w:rsidRPr="005C28E7" w:rsidRDefault="00E04209" w:rsidP="00E04209">
            <w:pPr>
              <w:spacing w:before="80" w:after="80" w:line="240" w:lineRule="exact"/>
              <w:jc w:val="center"/>
              <w:rPr>
                <w:sz w:val="20"/>
              </w:rPr>
            </w:pPr>
            <w:r w:rsidRPr="005C28E7">
              <w:rPr>
                <w:sz w:val="20"/>
              </w:rPr>
              <w:t>Mean</w:t>
            </w:r>
          </w:p>
        </w:tc>
        <w:tc>
          <w:tcPr>
            <w:tcW w:w="1386" w:type="dxa"/>
            <w:gridSpan w:val="2"/>
            <w:tcBorders>
              <w:top w:val="single" w:sz="4" w:space="0" w:color="auto"/>
              <w:bottom w:val="single" w:sz="4" w:space="0" w:color="auto"/>
            </w:tcBorders>
          </w:tcPr>
          <w:p w14:paraId="48D910F4" w14:textId="25451A4E" w:rsidR="00E04209" w:rsidRPr="005C28E7" w:rsidRDefault="00E04209" w:rsidP="00E04209">
            <w:pPr>
              <w:spacing w:before="80" w:after="80" w:line="240" w:lineRule="exact"/>
              <w:jc w:val="center"/>
              <w:rPr>
                <w:sz w:val="20"/>
              </w:rPr>
            </w:pPr>
            <w:proofErr w:type="gramStart"/>
            <w:r w:rsidRPr="005C28E7">
              <w:rPr>
                <w:sz w:val="20"/>
              </w:rPr>
              <w:t>S.D</w:t>
            </w:r>
            <w:proofErr w:type="gramEnd"/>
          </w:p>
        </w:tc>
        <w:tc>
          <w:tcPr>
            <w:tcW w:w="1386" w:type="dxa"/>
            <w:gridSpan w:val="2"/>
            <w:tcBorders>
              <w:top w:val="single" w:sz="4" w:space="0" w:color="auto"/>
              <w:bottom w:val="single" w:sz="4" w:space="0" w:color="auto"/>
            </w:tcBorders>
          </w:tcPr>
          <w:p w14:paraId="7F34E434" w14:textId="37A4C059" w:rsidR="00E04209" w:rsidRPr="005C28E7" w:rsidRDefault="00D374FB" w:rsidP="00E04209">
            <w:pPr>
              <w:spacing w:before="80" w:after="80" w:line="240" w:lineRule="exact"/>
              <w:jc w:val="center"/>
              <w:rPr>
                <w:sz w:val="20"/>
              </w:rPr>
            </w:pPr>
            <w:r w:rsidRPr="005C28E7">
              <w:rPr>
                <w:i/>
                <w:sz w:val="20"/>
              </w:rPr>
              <w:t xml:space="preserve"> </w:t>
            </w:r>
            <w:r w:rsidR="00E04209" w:rsidRPr="005C28E7">
              <w:rPr>
                <w:i/>
                <w:sz w:val="20"/>
              </w:rPr>
              <w:t>Q</w:t>
            </w:r>
            <w:r w:rsidR="00E04209" w:rsidRPr="005C28E7">
              <w:rPr>
                <w:sz w:val="20"/>
                <w:vertAlign w:val="subscript"/>
              </w:rPr>
              <w:t>1</w:t>
            </w:r>
          </w:p>
        </w:tc>
        <w:tc>
          <w:tcPr>
            <w:tcW w:w="1386" w:type="dxa"/>
            <w:gridSpan w:val="2"/>
            <w:tcBorders>
              <w:top w:val="single" w:sz="4" w:space="0" w:color="auto"/>
              <w:bottom w:val="single" w:sz="4" w:space="0" w:color="auto"/>
            </w:tcBorders>
          </w:tcPr>
          <w:p w14:paraId="4A6C37EF" w14:textId="670E50A2" w:rsidR="00E04209" w:rsidRPr="005C28E7" w:rsidRDefault="00E04209" w:rsidP="00E04209">
            <w:pPr>
              <w:spacing w:before="80" w:after="80" w:line="240" w:lineRule="exact"/>
              <w:jc w:val="center"/>
              <w:rPr>
                <w:sz w:val="20"/>
              </w:rPr>
            </w:pPr>
            <w:r w:rsidRPr="005C28E7">
              <w:rPr>
                <w:sz w:val="20"/>
              </w:rPr>
              <w:t>Median</w:t>
            </w:r>
          </w:p>
        </w:tc>
        <w:tc>
          <w:tcPr>
            <w:tcW w:w="1386" w:type="dxa"/>
            <w:gridSpan w:val="2"/>
            <w:tcBorders>
              <w:top w:val="single" w:sz="4" w:space="0" w:color="auto"/>
              <w:bottom w:val="single" w:sz="4" w:space="0" w:color="auto"/>
            </w:tcBorders>
          </w:tcPr>
          <w:p w14:paraId="34AA96C1" w14:textId="084AC643" w:rsidR="00E04209" w:rsidRPr="005C28E7" w:rsidRDefault="00D374FB" w:rsidP="00E04209">
            <w:pPr>
              <w:spacing w:before="80" w:after="80" w:line="240" w:lineRule="exact"/>
              <w:jc w:val="center"/>
              <w:rPr>
                <w:sz w:val="20"/>
              </w:rPr>
            </w:pPr>
            <w:r w:rsidRPr="005C28E7">
              <w:rPr>
                <w:i/>
                <w:sz w:val="20"/>
              </w:rPr>
              <w:t xml:space="preserve"> </w:t>
            </w:r>
            <w:r w:rsidR="00E04209" w:rsidRPr="005C28E7">
              <w:rPr>
                <w:i/>
                <w:sz w:val="20"/>
              </w:rPr>
              <w:t>Q</w:t>
            </w:r>
            <w:r w:rsidR="00E04209" w:rsidRPr="005C28E7">
              <w:rPr>
                <w:sz w:val="20"/>
                <w:vertAlign w:val="subscript"/>
              </w:rPr>
              <w:t>3</w:t>
            </w:r>
          </w:p>
        </w:tc>
      </w:tr>
      <w:tr w:rsidR="005C28E7" w:rsidRPr="005C28E7" w14:paraId="22BB08C7" w14:textId="77777777" w:rsidTr="00D374FB">
        <w:tc>
          <w:tcPr>
            <w:tcW w:w="1260" w:type="dxa"/>
            <w:tcBorders>
              <w:top w:val="single" w:sz="4" w:space="0" w:color="auto"/>
            </w:tcBorders>
          </w:tcPr>
          <w:p w14:paraId="3E245B35" w14:textId="1C1F009A" w:rsidR="00E04209" w:rsidRPr="005C28E7" w:rsidRDefault="00E04209" w:rsidP="00E04209">
            <w:pPr>
              <w:spacing w:before="100" w:after="60" w:line="240" w:lineRule="exact"/>
              <w:ind w:left="144"/>
            </w:pPr>
            <w:r w:rsidRPr="005C28E7">
              <w:rPr>
                <w:i/>
                <w:kern w:val="0"/>
                <w:sz w:val="20"/>
                <w:szCs w:val="20"/>
              </w:rPr>
              <w:t>R</w:t>
            </w:r>
            <w:r w:rsidRPr="005C28E7">
              <w:rPr>
                <w:i/>
                <w:kern w:val="0"/>
                <w:sz w:val="20"/>
                <w:szCs w:val="20"/>
                <w:vertAlign w:val="subscript"/>
              </w:rPr>
              <w:t xml:space="preserve">i </w:t>
            </w:r>
            <w:r w:rsidRPr="005C28E7">
              <w:rPr>
                <w:position w:val="2"/>
                <w:sz w:val="12"/>
                <w:szCs w:val="20"/>
              </w:rPr>
              <w:t>–</w:t>
            </w:r>
            <w:r w:rsidRPr="005C28E7">
              <w:rPr>
                <w:i/>
                <w:kern w:val="0"/>
                <w:sz w:val="20"/>
                <w:szCs w:val="20"/>
                <w:vertAlign w:val="subscript"/>
              </w:rPr>
              <w:t xml:space="preserve"> </w:t>
            </w:r>
            <w:r w:rsidRPr="005C28E7">
              <w:rPr>
                <w:i/>
                <w:kern w:val="0"/>
                <w:sz w:val="20"/>
                <w:szCs w:val="20"/>
              </w:rPr>
              <w:t>R</w:t>
            </w:r>
            <w:r w:rsidRPr="005C28E7">
              <w:rPr>
                <w:i/>
                <w:kern w:val="0"/>
                <w:sz w:val="20"/>
                <w:szCs w:val="20"/>
                <w:vertAlign w:val="subscript"/>
              </w:rPr>
              <w:t>f</w:t>
            </w:r>
          </w:p>
        </w:tc>
        <w:tc>
          <w:tcPr>
            <w:tcW w:w="990" w:type="dxa"/>
            <w:tcBorders>
              <w:top w:val="single" w:sz="4" w:space="0" w:color="auto"/>
            </w:tcBorders>
          </w:tcPr>
          <w:p w14:paraId="51C00775" w14:textId="77777777" w:rsidR="00E04209" w:rsidRPr="005C28E7" w:rsidRDefault="00E04209" w:rsidP="00E04209">
            <w:pPr>
              <w:spacing w:before="100" w:after="60" w:line="240" w:lineRule="exact"/>
              <w:ind w:left="-115" w:right="-101"/>
              <w:jc w:val="right"/>
            </w:pPr>
            <w:r w:rsidRPr="005C28E7">
              <w:rPr>
                <w:sz w:val="20"/>
                <w:szCs w:val="20"/>
              </w:rPr>
              <w:t>0.0349</w:t>
            </w:r>
          </w:p>
        </w:tc>
        <w:tc>
          <w:tcPr>
            <w:tcW w:w="396" w:type="dxa"/>
            <w:tcBorders>
              <w:top w:val="single" w:sz="4" w:space="0" w:color="auto"/>
            </w:tcBorders>
          </w:tcPr>
          <w:p w14:paraId="13CBE21D" w14:textId="024FFD96" w:rsidR="00E04209" w:rsidRPr="005C28E7" w:rsidRDefault="00E04209" w:rsidP="00E04209">
            <w:pPr>
              <w:spacing w:before="100" w:after="60" w:line="240" w:lineRule="exact"/>
              <w:ind w:left="-115" w:right="-101"/>
              <w:jc w:val="right"/>
            </w:pPr>
          </w:p>
        </w:tc>
        <w:tc>
          <w:tcPr>
            <w:tcW w:w="954" w:type="dxa"/>
            <w:tcBorders>
              <w:top w:val="single" w:sz="4" w:space="0" w:color="auto"/>
            </w:tcBorders>
          </w:tcPr>
          <w:p w14:paraId="570BFF5A" w14:textId="77777777" w:rsidR="00E04209" w:rsidRPr="005C28E7" w:rsidRDefault="00E04209" w:rsidP="00E04209">
            <w:pPr>
              <w:spacing w:before="100" w:after="60" w:line="240" w:lineRule="exact"/>
              <w:ind w:left="-115" w:right="-101"/>
              <w:jc w:val="right"/>
            </w:pPr>
            <w:r w:rsidRPr="005C28E7">
              <w:rPr>
                <w:sz w:val="20"/>
                <w:szCs w:val="20"/>
              </w:rPr>
              <w:t>0.2049</w:t>
            </w:r>
          </w:p>
        </w:tc>
        <w:tc>
          <w:tcPr>
            <w:tcW w:w="432" w:type="dxa"/>
            <w:tcBorders>
              <w:top w:val="single" w:sz="4" w:space="0" w:color="auto"/>
            </w:tcBorders>
          </w:tcPr>
          <w:p w14:paraId="0FAE2E8E" w14:textId="0368658A" w:rsidR="00E04209" w:rsidRPr="005C28E7" w:rsidRDefault="00E04209" w:rsidP="00E04209">
            <w:pPr>
              <w:spacing w:before="100" w:after="60" w:line="240" w:lineRule="exact"/>
              <w:ind w:left="-115" w:right="-101"/>
              <w:jc w:val="right"/>
            </w:pPr>
          </w:p>
        </w:tc>
        <w:tc>
          <w:tcPr>
            <w:tcW w:w="1008" w:type="dxa"/>
            <w:tcBorders>
              <w:top w:val="single" w:sz="4" w:space="0" w:color="auto"/>
            </w:tcBorders>
          </w:tcPr>
          <w:p w14:paraId="10681132" w14:textId="7BAA1F78" w:rsidR="00E04209" w:rsidRPr="005C28E7" w:rsidRDefault="00D374FB" w:rsidP="00E04209">
            <w:pPr>
              <w:spacing w:before="100" w:after="60" w:line="240" w:lineRule="exact"/>
              <w:ind w:left="-115" w:right="-101"/>
              <w:jc w:val="right"/>
              <w:rPr>
                <w:sz w:val="20"/>
                <w:szCs w:val="20"/>
              </w:rPr>
            </w:pPr>
            <w:r w:rsidRPr="005C28E7">
              <w:rPr>
                <w:position w:val="2"/>
                <w:sz w:val="14"/>
                <w:szCs w:val="20"/>
              </w:rPr>
              <w:t>–</w:t>
            </w:r>
            <w:r w:rsidR="00E04209" w:rsidRPr="005C28E7">
              <w:rPr>
                <w:sz w:val="20"/>
                <w:szCs w:val="20"/>
              </w:rPr>
              <w:t>0.0569</w:t>
            </w:r>
          </w:p>
        </w:tc>
        <w:tc>
          <w:tcPr>
            <w:tcW w:w="378" w:type="dxa"/>
            <w:tcBorders>
              <w:top w:val="single" w:sz="4" w:space="0" w:color="auto"/>
            </w:tcBorders>
          </w:tcPr>
          <w:p w14:paraId="1CAC9173" w14:textId="7F1CD6C4" w:rsidR="00E04209" w:rsidRPr="005C28E7" w:rsidRDefault="00E04209" w:rsidP="00E04209">
            <w:pPr>
              <w:spacing w:before="100" w:after="60" w:line="240" w:lineRule="exact"/>
              <w:ind w:left="-115" w:right="-101"/>
              <w:jc w:val="right"/>
            </w:pPr>
          </w:p>
        </w:tc>
        <w:tc>
          <w:tcPr>
            <w:tcW w:w="972" w:type="dxa"/>
            <w:tcBorders>
              <w:top w:val="single" w:sz="4" w:space="0" w:color="auto"/>
            </w:tcBorders>
          </w:tcPr>
          <w:p w14:paraId="1CFBB35E" w14:textId="77777777" w:rsidR="00E04209" w:rsidRPr="005C28E7" w:rsidRDefault="00E04209" w:rsidP="00E04209">
            <w:pPr>
              <w:spacing w:before="100" w:after="60" w:line="240" w:lineRule="exact"/>
              <w:ind w:left="-115" w:right="-101"/>
              <w:jc w:val="right"/>
            </w:pPr>
            <w:r w:rsidRPr="005C28E7">
              <w:rPr>
                <w:sz w:val="20"/>
                <w:szCs w:val="20"/>
              </w:rPr>
              <w:t>0.0138</w:t>
            </w:r>
          </w:p>
        </w:tc>
        <w:tc>
          <w:tcPr>
            <w:tcW w:w="414" w:type="dxa"/>
            <w:tcBorders>
              <w:top w:val="single" w:sz="4" w:space="0" w:color="auto"/>
            </w:tcBorders>
          </w:tcPr>
          <w:p w14:paraId="283CC405" w14:textId="686F9D8A" w:rsidR="00E04209" w:rsidRPr="005C28E7" w:rsidRDefault="00E04209" w:rsidP="00E04209">
            <w:pPr>
              <w:spacing w:before="100" w:after="60" w:line="240" w:lineRule="exact"/>
              <w:ind w:left="-115" w:right="-101"/>
              <w:jc w:val="right"/>
            </w:pPr>
          </w:p>
        </w:tc>
        <w:tc>
          <w:tcPr>
            <w:tcW w:w="1026" w:type="dxa"/>
            <w:tcBorders>
              <w:top w:val="single" w:sz="4" w:space="0" w:color="auto"/>
            </w:tcBorders>
          </w:tcPr>
          <w:p w14:paraId="5CC764B7" w14:textId="77777777" w:rsidR="00E04209" w:rsidRPr="005C28E7" w:rsidRDefault="00E04209" w:rsidP="00E04209">
            <w:pPr>
              <w:spacing w:before="100" w:after="60" w:line="240" w:lineRule="exact"/>
              <w:ind w:left="-115" w:right="-101"/>
              <w:jc w:val="right"/>
            </w:pPr>
            <w:r w:rsidRPr="005C28E7">
              <w:rPr>
                <w:sz w:val="20"/>
                <w:szCs w:val="20"/>
              </w:rPr>
              <w:t>0.0885</w:t>
            </w:r>
          </w:p>
        </w:tc>
        <w:tc>
          <w:tcPr>
            <w:tcW w:w="360" w:type="dxa"/>
            <w:tcBorders>
              <w:top w:val="single" w:sz="4" w:space="0" w:color="auto"/>
            </w:tcBorders>
          </w:tcPr>
          <w:p w14:paraId="3E38C3C4" w14:textId="01315646" w:rsidR="00E04209" w:rsidRPr="005C28E7" w:rsidRDefault="00E04209" w:rsidP="00E04209">
            <w:pPr>
              <w:spacing w:before="100" w:after="60" w:line="240" w:lineRule="exact"/>
              <w:ind w:left="-115" w:right="-101"/>
              <w:jc w:val="right"/>
            </w:pPr>
          </w:p>
        </w:tc>
      </w:tr>
      <w:tr w:rsidR="005C28E7" w:rsidRPr="005C28E7" w14:paraId="1326C621" w14:textId="77777777" w:rsidTr="00D374FB">
        <w:tc>
          <w:tcPr>
            <w:tcW w:w="1260" w:type="dxa"/>
          </w:tcPr>
          <w:p w14:paraId="0DD17072" w14:textId="613BB06F" w:rsidR="00E04209" w:rsidRPr="005C28E7" w:rsidRDefault="00E04209" w:rsidP="00E04209">
            <w:pPr>
              <w:spacing w:before="60" w:after="60" w:line="240" w:lineRule="exact"/>
              <w:ind w:left="144"/>
            </w:pPr>
            <w:r w:rsidRPr="005C28E7">
              <w:rPr>
                <w:i/>
                <w:kern w:val="0"/>
                <w:sz w:val="20"/>
                <w:szCs w:val="20"/>
              </w:rPr>
              <w:t>R</w:t>
            </w:r>
            <w:r w:rsidRPr="005C28E7">
              <w:rPr>
                <w:i/>
                <w:kern w:val="0"/>
                <w:sz w:val="20"/>
                <w:szCs w:val="20"/>
                <w:vertAlign w:val="subscript"/>
              </w:rPr>
              <w:t xml:space="preserve">m </w:t>
            </w:r>
            <w:r w:rsidRPr="005C28E7">
              <w:rPr>
                <w:position w:val="2"/>
                <w:sz w:val="12"/>
                <w:szCs w:val="20"/>
              </w:rPr>
              <w:t>–</w:t>
            </w:r>
            <w:r w:rsidRPr="005C28E7">
              <w:rPr>
                <w:i/>
                <w:kern w:val="0"/>
                <w:sz w:val="20"/>
                <w:szCs w:val="20"/>
                <w:vertAlign w:val="subscript"/>
              </w:rPr>
              <w:t xml:space="preserve"> </w:t>
            </w:r>
            <w:r w:rsidRPr="005C28E7">
              <w:rPr>
                <w:i/>
                <w:kern w:val="0"/>
                <w:sz w:val="20"/>
                <w:szCs w:val="20"/>
              </w:rPr>
              <w:t>R</w:t>
            </w:r>
            <w:r w:rsidRPr="005C28E7">
              <w:rPr>
                <w:i/>
                <w:kern w:val="0"/>
                <w:sz w:val="20"/>
                <w:szCs w:val="20"/>
                <w:vertAlign w:val="subscript"/>
              </w:rPr>
              <w:t>f</w:t>
            </w:r>
          </w:p>
        </w:tc>
        <w:tc>
          <w:tcPr>
            <w:tcW w:w="990" w:type="dxa"/>
          </w:tcPr>
          <w:p w14:paraId="1197A212" w14:textId="29BFECC9" w:rsidR="00E04209" w:rsidRPr="005C28E7" w:rsidRDefault="00D374FB" w:rsidP="00E04209">
            <w:pPr>
              <w:spacing w:before="60" w:after="60" w:line="240" w:lineRule="exact"/>
              <w:ind w:left="-115" w:right="-101"/>
              <w:jc w:val="right"/>
            </w:pPr>
            <w:r w:rsidRPr="005C28E7">
              <w:rPr>
                <w:position w:val="2"/>
                <w:sz w:val="14"/>
                <w:szCs w:val="20"/>
              </w:rPr>
              <w:t>–</w:t>
            </w:r>
            <w:r w:rsidR="00E04209" w:rsidRPr="005C28E7">
              <w:rPr>
                <w:sz w:val="20"/>
                <w:szCs w:val="20"/>
              </w:rPr>
              <w:t>0.0247</w:t>
            </w:r>
          </w:p>
        </w:tc>
        <w:tc>
          <w:tcPr>
            <w:tcW w:w="396" w:type="dxa"/>
          </w:tcPr>
          <w:p w14:paraId="36D38DA5" w14:textId="4F29CC83" w:rsidR="00E04209" w:rsidRPr="005C28E7" w:rsidRDefault="00E04209" w:rsidP="00E04209">
            <w:pPr>
              <w:spacing w:before="60" w:after="60" w:line="240" w:lineRule="exact"/>
              <w:ind w:left="-115" w:right="-101"/>
              <w:jc w:val="right"/>
            </w:pPr>
          </w:p>
        </w:tc>
        <w:tc>
          <w:tcPr>
            <w:tcW w:w="954" w:type="dxa"/>
          </w:tcPr>
          <w:p w14:paraId="647DF4EB" w14:textId="77777777" w:rsidR="00E04209" w:rsidRPr="005C28E7" w:rsidRDefault="00E04209" w:rsidP="00E04209">
            <w:pPr>
              <w:spacing w:before="60" w:after="60" w:line="240" w:lineRule="exact"/>
              <w:ind w:left="-115" w:right="-101"/>
              <w:jc w:val="right"/>
            </w:pPr>
            <w:r w:rsidRPr="005C28E7">
              <w:rPr>
                <w:sz w:val="20"/>
                <w:szCs w:val="20"/>
              </w:rPr>
              <w:t>0.3422</w:t>
            </w:r>
          </w:p>
        </w:tc>
        <w:tc>
          <w:tcPr>
            <w:tcW w:w="432" w:type="dxa"/>
          </w:tcPr>
          <w:p w14:paraId="6CEDD0AD" w14:textId="67027636" w:rsidR="00E04209" w:rsidRPr="005C28E7" w:rsidRDefault="00E04209" w:rsidP="00E04209">
            <w:pPr>
              <w:spacing w:before="60" w:after="60" w:line="240" w:lineRule="exact"/>
              <w:ind w:left="-115" w:right="-101"/>
              <w:jc w:val="right"/>
            </w:pPr>
          </w:p>
        </w:tc>
        <w:tc>
          <w:tcPr>
            <w:tcW w:w="1008" w:type="dxa"/>
          </w:tcPr>
          <w:p w14:paraId="1D51D26E" w14:textId="652D689F" w:rsidR="00E04209" w:rsidRPr="005C28E7" w:rsidRDefault="00D374FB" w:rsidP="00E04209">
            <w:pPr>
              <w:spacing w:before="60" w:after="60" w:line="240" w:lineRule="exact"/>
              <w:ind w:left="-115" w:right="-101"/>
              <w:jc w:val="right"/>
            </w:pPr>
            <w:r w:rsidRPr="005C28E7">
              <w:rPr>
                <w:position w:val="2"/>
                <w:sz w:val="14"/>
                <w:szCs w:val="20"/>
              </w:rPr>
              <w:t>–</w:t>
            </w:r>
            <w:r w:rsidR="00E04209" w:rsidRPr="005C28E7">
              <w:rPr>
                <w:sz w:val="20"/>
                <w:szCs w:val="20"/>
              </w:rPr>
              <w:t>0.2989</w:t>
            </w:r>
          </w:p>
        </w:tc>
        <w:tc>
          <w:tcPr>
            <w:tcW w:w="378" w:type="dxa"/>
          </w:tcPr>
          <w:p w14:paraId="469646BA" w14:textId="6541832A" w:rsidR="00E04209" w:rsidRPr="005C28E7" w:rsidRDefault="00E04209" w:rsidP="00E04209">
            <w:pPr>
              <w:spacing w:before="60" w:after="60" w:line="240" w:lineRule="exact"/>
              <w:ind w:left="-115" w:right="-101"/>
              <w:jc w:val="right"/>
            </w:pPr>
          </w:p>
        </w:tc>
        <w:tc>
          <w:tcPr>
            <w:tcW w:w="972" w:type="dxa"/>
          </w:tcPr>
          <w:p w14:paraId="7A09CE6F" w14:textId="77777777" w:rsidR="00E04209" w:rsidRPr="005C28E7" w:rsidRDefault="00E04209" w:rsidP="00E04209">
            <w:pPr>
              <w:spacing w:before="60" w:after="60" w:line="240" w:lineRule="exact"/>
              <w:ind w:left="-115" w:right="-101"/>
              <w:jc w:val="right"/>
            </w:pPr>
            <w:r w:rsidRPr="005C28E7">
              <w:rPr>
                <w:sz w:val="20"/>
                <w:szCs w:val="20"/>
              </w:rPr>
              <w:t>0.0572</w:t>
            </w:r>
          </w:p>
        </w:tc>
        <w:tc>
          <w:tcPr>
            <w:tcW w:w="414" w:type="dxa"/>
          </w:tcPr>
          <w:p w14:paraId="7A6B5F9A" w14:textId="56D665BC" w:rsidR="00E04209" w:rsidRPr="005C28E7" w:rsidRDefault="00E04209" w:rsidP="00E04209">
            <w:pPr>
              <w:spacing w:before="60" w:after="60" w:line="240" w:lineRule="exact"/>
              <w:ind w:left="-115" w:right="-101"/>
              <w:jc w:val="right"/>
            </w:pPr>
          </w:p>
        </w:tc>
        <w:tc>
          <w:tcPr>
            <w:tcW w:w="1026" w:type="dxa"/>
          </w:tcPr>
          <w:p w14:paraId="19BBDB3D" w14:textId="77777777" w:rsidR="00E04209" w:rsidRPr="005C28E7" w:rsidRDefault="00E04209" w:rsidP="00E04209">
            <w:pPr>
              <w:spacing w:before="60" w:after="60" w:line="240" w:lineRule="exact"/>
              <w:ind w:left="-115" w:right="-101"/>
              <w:jc w:val="right"/>
            </w:pPr>
            <w:r w:rsidRPr="005C28E7">
              <w:rPr>
                <w:sz w:val="20"/>
                <w:szCs w:val="20"/>
              </w:rPr>
              <w:t>0.2248</w:t>
            </w:r>
          </w:p>
        </w:tc>
        <w:tc>
          <w:tcPr>
            <w:tcW w:w="360" w:type="dxa"/>
          </w:tcPr>
          <w:p w14:paraId="043F8039" w14:textId="7A2FE046" w:rsidR="00E04209" w:rsidRPr="005C28E7" w:rsidRDefault="00E04209" w:rsidP="00E04209">
            <w:pPr>
              <w:spacing w:before="60" w:after="60" w:line="240" w:lineRule="exact"/>
              <w:ind w:left="-115" w:right="-101"/>
              <w:jc w:val="right"/>
            </w:pPr>
          </w:p>
        </w:tc>
      </w:tr>
      <w:tr w:rsidR="005C28E7" w:rsidRPr="005C28E7" w14:paraId="3DD6D364" w14:textId="77777777" w:rsidTr="00D374FB">
        <w:tc>
          <w:tcPr>
            <w:tcW w:w="1260" w:type="dxa"/>
          </w:tcPr>
          <w:p w14:paraId="08E585DD" w14:textId="3BABD9A7" w:rsidR="00E04209" w:rsidRPr="005C28E7" w:rsidRDefault="00E04209" w:rsidP="00E04209">
            <w:pPr>
              <w:spacing w:before="60" w:after="60" w:line="240" w:lineRule="exact"/>
              <w:ind w:left="144"/>
            </w:pPr>
            <w:r w:rsidRPr="005C28E7">
              <w:rPr>
                <w:i/>
                <w:kern w:val="0"/>
                <w:sz w:val="20"/>
                <w:szCs w:val="20"/>
              </w:rPr>
              <w:t>HML</w:t>
            </w:r>
          </w:p>
        </w:tc>
        <w:tc>
          <w:tcPr>
            <w:tcW w:w="990" w:type="dxa"/>
          </w:tcPr>
          <w:p w14:paraId="55215111" w14:textId="7649BA85" w:rsidR="00E04209" w:rsidRPr="005C28E7" w:rsidRDefault="00D374FB" w:rsidP="00E04209">
            <w:pPr>
              <w:spacing w:before="60" w:after="60" w:line="240" w:lineRule="exact"/>
              <w:ind w:left="-115" w:right="-101"/>
              <w:jc w:val="right"/>
            </w:pPr>
            <w:r w:rsidRPr="005C28E7">
              <w:rPr>
                <w:position w:val="2"/>
                <w:sz w:val="14"/>
                <w:szCs w:val="20"/>
              </w:rPr>
              <w:t>–</w:t>
            </w:r>
            <w:r w:rsidR="00E04209" w:rsidRPr="005C28E7">
              <w:rPr>
                <w:sz w:val="20"/>
                <w:szCs w:val="20"/>
              </w:rPr>
              <w:t>0.0322</w:t>
            </w:r>
          </w:p>
        </w:tc>
        <w:tc>
          <w:tcPr>
            <w:tcW w:w="396" w:type="dxa"/>
          </w:tcPr>
          <w:p w14:paraId="684D1E30" w14:textId="2158577E" w:rsidR="00E04209" w:rsidRPr="005C28E7" w:rsidRDefault="00E04209" w:rsidP="00E04209">
            <w:pPr>
              <w:spacing w:before="60" w:after="60" w:line="240" w:lineRule="exact"/>
              <w:ind w:left="-115" w:right="-101"/>
              <w:jc w:val="right"/>
            </w:pPr>
          </w:p>
        </w:tc>
        <w:tc>
          <w:tcPr>
            <w:tcW w:w="954" w:type="dxa"/>
          </w:tcPr>
          <w:p w14:paraId="153B5C80" w14:textId="77777777" w:rsidR="00E04209" w:rsidRPr="005C28E7" w:rsidRDefault="00E04209" w:rsidP="00E04209">
            <w:pPr>
              <w:spacing w:before="60" w:after="60" w:line="240" w:lineRule="exact"/>
              <w:ind w:left="-115" w:right="-101"/>
              <w:jc w:val="right"/>
            </w:pPr>
            <w:r w:rsidRPr="005C28E7">
              <w:rPr>
                <w:sz w:val="20"/>
                <w:szCs w:val="20"/>
              </w:rPr>
              <w:t>0.1995</w:t>
            </w:r>
          </w:p>
        </w:tc>
        <w:tc>
          <w:tcPr>
            <w:tcW w:w="432" w:type="dxa"/>
          </w:tcPr>
          <w:p w14:paraId="718C0C66" w14:textId="4DA02F17" w:rsidR="00E04209" w:rsidRPr="005C28E7" w:rsidRDefault="00E04209" w:rsidP="00E04209">
            <w:pPr>
              <w:spacing w:before="60" w:after="60" w:line="240" w:lineRule="exact"/>
              <w:ind w:left="-115" w:right="-101"/>
              <w:jc w:val="right"/>
            </w:pPr>
          </w:p>
        </w:tc>
        <w:tc>
          <w:tcPr>
            <w:tcW w:w="1008" w:type="dxa"/>
          </w:tcPr>
          <w:p w14:paraId="4BCE8A65" w14:textId="186F553C" w:rsidR="00E04209" w:rsidRPr="005C28E7" w:rsidRDefault="00D374FB" w:rsidP="00E04209">
            <w:pPr>
              <w:spacing w:before="60" w:after="60" w:line="240" w:lineRule="exact"/>
              <w:ind w:left="-115" w:right="-101"/>
              <w:jc w:val="right"/>
            </w:pPr>
            <w:r w:rsidRPr="005C28E7">
              <w:rPr>
                <w:position w:val="2"/>
                <w:sz w:val="14"/>
                <w:szCs w:val="20"/>
              </w:rPr>
              <w:t>–</w:t>
            </w:r>
            <w:r w:rsidR="00E04209" w:rsidRPr="005C28E7">
              <w:rPr>
                <w:sz w:val="20"/>
                <w:szCs w:val="20"/>
              </w:rPr>
              <w:t>0.6187</w:t>
            </w:r>
          </w:p>
        </w:tc>
        <w:tc>
          <w:tcPr>
            <w:tcW w:w="378" w:type="dxa"/>
          </w:tcPr>
          <w:p w14:paraId="6B7AF5F3" w14:textId="69A721F4" w:rsidR="00E04209" w:rsidRPr="005C28E7" w:rsidRDefault="00E04209" w:rsidP="00E04209">
            <w:pPr>
              <w:spacing w:before="60" w:after="60" w:line="240" w:lineRule="exact"/>
              <w:ind w:left="-115" w:right="-101"/>
              <w:jc w:val="right"/>
            </w:pPr>
          </w:p>
        </w:tc>
        <w:tc>
          <w:tcPr>
            <w:tcW w:w="972" w:type="dxa"/>
          </w:tcPr>
          <w:p w14:paraId="2D993586" w14:textId="7A1A2984" w:rsidR="00E04209" w:rsidRPr="005C28E7" w:rsidRDefault="00D374FB" w:rsidP="00E04209">
            <w:pPr>
              <w:spacing w:before="60" w:after="60" w:line="240" w:lineRule="exact"/>
              <w:ind w:left="-115" w:right="-101"/>
              <w:jc w:val="right"/>
            </w:pPr>
            <w:r w:rsidRPr="005C28E7">
              <w:rPr>
                <w:position w:val="2"/>
                <w:sz w:val="14"/>
                <w:szCs w:val="20"/>
              </w:rPr>
              <w:t>–</w:t>
            </w:r>
            <w:r w:rsidR="00E04209" w:rsidRPr="005C28E7">
              <w:rPr>
                <w:sz w:val="20"/>
                <w:szCs w:val="20"/>
              </w:rPr>
              <w:t>0.0133</w:t>
            </w:r>
          </w:p>
        </w:tc>
        <w:tc>
          <w:tcPr>
            <w:tcW w:w="414" w:type="dxa"/>
          </w:tcPr>
          <w:p w14:paraId="24C493A7" w14:textId="597D0E44" w:rsidR="00E04209" w:rsidRPr="005C28E7" w:rsidRDefault="00E04209" w:rsidP="00E04209">
            <w:pPr>
              <w:spacing w:before="60" w:after="60" w:line="240" w:lineRule="exact"/>
              <w:ind w:left="-115" w:right="-101"/>
              <w:jc w:val="right"/>
            </w:pPr>
          </w:p>
        </w:tc>
        <w:tc>
          <w:tcPr>
            <w:tcW w:w="1026" w:type="dxa"/>
          </w:tcPr>
          <w:p w14:paraId="782C6073" w14:textId="77777777" w:rsidR="00E04209" w:rsidRPr="005C28E7" w:rsidRDefault="00E04209" w:rsidP="00E04209">
            <w:pPr>
              <w:spacing w:before="60" w:after="60" w:line="240" w:lineRule="exact"/>
              <w:ind w:left="-115" w:right="-101"/>
              <w:jc w:val="right"/>
            </w:pPr>
            <w:r w:rsidRPr="005C28E7">
              <w:rPr>
                <w:sz w:val="20"/>
                <w:szCs w:val="20"/>
              </w:rPr>
              <w:t>0.0857</w:t>
            </w:r>
          </w:p>
        </w:tc>
        <w:tc>
          <w:tcPr>
            <w:tcW w:w="360" w:type="dxa"/>
          </w:tcPr>
          <w:p w14:paraId="2461250B" w14:textId="633EB82C" w:rsidR="00E04209" w:rsidRPr="005C28E7" w:rsidRDefault="00E04209" w:rsidP="00E04209">
            <w:pPr>
              <w:spacing w:before="60" w:after="60" w:line="240" w:lineRule="exact"/>
              <w:ind w:left="-115" w:right="-101"/>
              <w:jc w:val="right"/>
            </w:pPr>
          </w:p>
        </w:tc>
      </w:tr>
      <w:tr w:rsidR="005C28E7" w:rsidRPr="005C28E7" w14:paraId="1EA7F8D9" w14:textId="77777777" w:rsidTr="00D374FB">
        <w:tc>
          <w:tcPr>
            <w:tcW w:w="1260" w:type="dxa"/>
          </w:tcPr>
          <w:p w14:paraId="72207679" w14:textId="28C6C969" w:rsidR="00E04209" w:rsidRPr="005C28E7" w:rsidRDefault="00E04209" w:rsidP="00E04209">
            <w:pPr>
              <w:spacing w:before="60" w:after="60" w:line="240" w:lineRule="exact"/>
              <w:ind w:left="144"/>
            </w:pPr>
            <w:r w:rsidRPr="005C28E7">
              <w:rPr>
                <w:i/>
                <w:kern w:val="0"/>
                <w:sz w:val="20"/>
                <w:szCs w:val="20"/>
              </w:rPr>
              <w:t>SMB</w:t>
            </w:r>
          </w:p>
        </w:tc>
        <w:tc>
          <w:tcPr>
            <w:tcW w:w="990" w:type="dxa"/>
          </w:tcPr>
          <w:p w14:paraId="10B3F806" w14:textId="6E9A6BAA" w:rsidR="00E04209" w:rsidRPr="005C28E7" w:rsidRDefault="00D374FB" w:rsidP="00E04209">
            <w:pPr>
              <w:spacing w:before="60" w:after="60" w:line="240" w:lineRule="exact"/>
              <w:ind w:left="-115" w:right="-101"/>
              <w:jc w:val="right"/>
            </w:pPr>
            <w:r w:rsidRPr="005C28E7">
              <w:rPr>
                <w:position w:val="2"/>
                <w:sz w:val="14"/>
                <w:szCs w:val="20"/>
              </w:rPr>
              <w:t>–</w:t>
            </w:r>
            <w:r w:rsidR="00E04209" w:rsidRPr="005C28E7">
              <w:rPr>
                <w:sz w:val="20"/>
                <w:szCs w:val="20"/>
              </w:rPr>
              <w:t>0.0111</w:t>
            </w:r>
          </w:p>
        </w:tc>
        <w:tc>
          <w:tcPr>
            <w:tcW w:w="396" w:type="dxa"/>
          </w:tcPr>
          <w:p w14:paraId="626DE46F" w14:textId="3A880EFE" w:rsidR="00E04209" w:rsidRPr="005C28E7" w:rsidRDefault="00E04209" w:rsidP="00E04209">
            <w:pPr>
              <w:spacing w:before="60" w:after="60" w:line="240" w:lineRule="exact"/>
              <w:ind w:left="-115" w:right="-101"/>
              <w:jc w:val="right"/>
            </w:pPr>
          </w:p>
        </w:tc>
        <w:tc>
          <w:tcPr>
            <w:tcW w:w="954" w:type="dxa"/>
          </w:tcPr>
          <w:p w14:paraId="7D3D7A41" w14:textId="77777777" w:rsidR="00E04209" w:rsidRPr="005C28E7" w:rsidRDefault="00E04209" w:rsidP="00E04209">
            <w:pPr>
              <w:spacing w:before="60" w:after="60" w:line="240" w:lineRule="exact"/>
              <w:ind w:left="-115" w:right="-101"/>
              <w:jc w:val="right"/>
            </w:pPr>
            <w:r w:rsidRPr="005C28E7">
              <w:rPr>
                <w:sz w:val="20"/>
                <w:szCs w:val="20"/>
              </w:rPr>
              <w:t>0.1880</w:t>
            </w:r>
          </w:p>
        </w:tc>
        <w:tc>
          <w:tcPr>
            <w:tcW w:w="432" w:type="dxa"/>
          </w:tcPr>
          <w:p w14:paraId="2CE1667E" w14:textId="181F20E4" w:rsidR="00E04209" w:rsidRPr="005C28E7" w:rsidRDefault="00E04209" w:rsidP="00E04209">
            <w:pPr>
              <w:spacing w:before="60" w:after="60" w:line="240" w:lineRule="exact"/>
              <w:ind w:left="-115" w:right="-101"/>
              <w:jc w:val="right"/>
            </w:pPr>
          </w:p>
        </w:tc>
        <w:tc>
          <w:tcPr>
            <w:tcW w:w="1008" w:type="dxa"/>
          </w:tcPr>
          <w:p w14:paraId="5D621DD3" w14:textId="56E97A61" w:rsidR="00E04209" w:rsidRPr="005C28E7" w:rsidRDefault="00D374FB" w:rsidP="00E04209">
            <w:pPr>
              <w:spacing w:before="60" w:after="60" w:line="240" w:lineRule="exact"/>
              <w:ind w:left="-115" w:right="-101"/>
              <w:jc w:val="right"/>
            </w:pPr>
            <w:r w:rsidRPr="005C28E7">
              <w:rPr>
                <w:position w:val="2"/>
                <w:sz w:val="14"/>
                <w:szCs w:val="20"/>
              </w:rPr>
              <w:t>–</w:t>
            </w:r>
            <w:r w:rsidR="00E04209" w:rsidRPr="005C28E7">
              <w:rPr>
                <w:sz w:val="20"/>
                <w:szCs w:val="20"/>
              </w:rPr>
              <w:t>0.0765</w:t>
            </w:r>
          </w:p>
        </w:tc>
        <w:tc>
          <w:tcPr>
            <w:tcW w:w="378" w:type="dxa"/>
          </w:tcPr>
          <w:p w14:paraId="32AA41B7" w14:textId="12478911" w:rsidR="00E04209" w:rsidRPr="005C28E7" w:rsidRDefault="00E04209" w:rsidP="00E04209">
            <w:pPr>
              <w:spacing w:before="60" w:after="60" w:line="240" w:lineRule="exact"/>
              <w:ind w:left="-115" w:right="-101"/>
              <w:jc w:val="right"/>
            </w:pPr>
          </w:p>
        </w:tc>
        <w:tc>
          <w:tcPr>
            <w:tcW w:w="972" w:type="dxa"/>
          </w:tcPr>
          <w:p w14:paraId="606EB5F6" w14:textId="2ABDC7E8" w:rsidR="00E04209" w:rsidRPr="005C28E7" w:rsidRDefault="00D374FB" w:rsidP="00E04209">
            <w:pPr>
              <w:spacing w:before="60" w:after="60" w:line="240" w:lineRule="exact"/>
              <w:ind w:left="-115" w:right="-101"/>
              <w:jc w:val="right"/>
            </w:pPr>
            <w:r w:rsidRPr="005C28E7">
              <w:rPr>
                <w:position w:val="2"/>
                <w:sz w:val="14"/>
                <w:szCs w:val="20"/>
              </w:rPr>
              <w:t>–</w:t>
            </w:r>
            <w:r w:rsidR="00E04209" w:rsidRPr="005C28E7">
              <w:rPr>
                <w:sz w:val="20"/>
                <w:szCs w:val="20"/>
              </w:rPr>
              <w:t>0.0276</w:t>
            </w:r>
          </w:p>
        </w:tc>
        <w:tc>
          <w:tcPr>
            <w:tcW w:w="414" w:type="dxa"/>
          </w:tcPr>
          <w:p w14:paraId="5E25C664" w14:textId="46A5C476" w:rsidR="00E04209" w:rsidRPr="005C28E7" w:rsidRDefault="00E04209" w:rsidP="00E04209">
            <w:pPr>
              <w:spacing w:before="60" w:after="60" w:line="240" w:lineRule="exact"/>
              <w:ind w:left="-115" w:right="-101"/>
              <w:jc w:val="right"/>
            </w:pPr>
          </w:p>
        </w:tc>
        <w:tc>
          <w:tcPr>
            <w:tcW w:w="1026" w:type="dxa"/>
          </w:tcPr>
          <w:p w14:paraId="1ABFAEE8" w14:textId="77777777" w:rsidR="00E04209" w:rsidRPr="005C28E7" w:rsidRDefault="00E04209" w:rsidP="00E04209">
            <w:pPr>
              <w:spacing w:before="60" w:after="60" w:line="240" w:lineRule="exact"/>
              <w:ind w:left="-115" w:right="-101"/>
              <w:jc w:val="right"/>
            </w:pPr>
            <w:r w:rsidRPr="005C28E7">
              <w:rPr>
                <w:sz w:val="20"/>
                <w:szCs w:val="20"/>
              </w:rPr>
              <w:t>0.0279</w:t>
            </w:r>
          </w:p>
        </w:tc>
        <w:tc>
          <w:tcPr>
            <w:tcW w:w="360" w:type="dxa"/>
          </w:tcPr>
          <w:p w14:paraId="6A38C344" w14:textId="22A478EC" w:rsidR="00E04209" w:rsidRPr="005C28E7" w:rsidRDefault="00E04209" w:rsidP="00E04209">
            <w:pPr>
              <w:spacing w:before="60" w:after="60" w:line="240" w:lineRule="exact"/>
              <w:ind w:left="-115" w:right="-101"/>
              <w:jc w:val="right"/>
            </w:pPr>
          </w:p>
        </w:tc>
      </w:tr>
      <w:tr w:rsidR="005C28E7" w:rsidRPr="005C28E7" w14:paraId="1BC5B399" w14:textId="77777777" w:rsidTr="00D374FB">
        <w:tc>
          <w:tcPr>
            <w:tcW w:w="1260" w:type="dxa"/>
          </w:tcPr>
          <w:p w14:paraId="4F269AAA" w14:textId="74AC99BA" w:rsidR="00E04209" w:rsidRPr="005C28E7" w:rsidRDefault="00E04209" w:rsidP="00E04209">
            <w:pPr>
              <w:spacing w:before="60" w:after="60" w:line="240" w:lineRule="exact"/>
              <w:ind w:left="144"/>
              <w:rPr>
                <w:i/>
              </w:rPr>
            </w:pPr>
            <w:r w:rsidRPr="005C28E7">
              <w:rPr>
                <w:i/>
                <w:sz w:val="20"/>
              </w:rPr>
              <w:t>AQ</w:t>
            </w:r>
          </w:p>
        </w:tc>
        <w:tc>
          <w:tcPr>
            <w:tcW w:w="990" w:type="dxa"/>
          </w:tcPr>
          <w:p w14:paraId="5E529ED7" w14:textId="77777777" w:rsidR="00E04209" w:rsidRPr="005C28E7" w:rsidRDefault="00E04209" w:rsidP="00E04209">
            <w:pPr>
              <w:spacing w:before="60" w:after="60" w:line="240" w:lineRule="exact"/>
              <w:ind w:left="-115" w:right="-101"/>
              <w:jc w:val="right"/>
            </w:pPr>
            <w:r w:rsidRPr="005C28E7">
              <w:rPr>
                <w:sz w:val="20"/>
                <w:szCs w:val="20"/>
              </w:rPr>
              <w:t>0.0345</w:t>
            </w:r>
          </w:p>
        </w:tc>
        <w:tc>
          <w:tcPr>
            <w:tcW w:w="396" w:type="dxa"/>
          </w:tcPr>
          <w:p w14:paraId="1708442D" w14:textId="3B08DEA8" w:rsidR="00E04209" w:rsidRPr="005C28E7" w:rsidRDefault="00E04209" w:rsidP="00E04209">
            <w:pPr>
              <w:spacing w:before="60" w:after="60" w:line="240" w:lineRule="exact"/>
              <w:ind w:left="-115" w:right="-101"/>
              <w:jc w:val="right"/>
            </w:pPr>
          </w:p>
        </w:tc>
        <w:tc>
          <w:tcPr>
            <w:tcW w:w="954" w:type="dxa"/>
          </w:tcPr>
          <w:p w14:paraId="14CDECFA" w14:textId="77777777" w:rsidR="00E04209" w:rsidRPr="005C28E7" w:rsidRDefault="00E04209" w:rsidP="00E04209">
            <w:pPr>
              <w:spacing w:before="60" w:after="60" w:line="240" w:lineRule="exact"/>
              <w:ind w:left="-115" w:right="-101"/>
              <w:jc w:val="right"/>
            </w:pPr>
            <w:r w:rsidRPr="005C28E7">
              <w:rPr>
                <w:sz w:val="20"/>
                <w:szCs w:val="20"/>
              </w:rPr>
              <w:t>0.0388</w:t>
            </w:r>
          </w:p>
        </w:tc>
        <w:tc>
          <w:tcPr>
            <w:tcW w:w="432" w:type="dxa"/>
          </w:tcPr>
          <w:p w14:paraId="332C32B6" w14:textId="00534014" w:rsidR="00E04209" w:rsidRPr="005C28E7" w:rsidRDefault="00E04209" w:rsidP="00E04209">
            <w:pPr>
              <w:spacing w:before="60" w:after="60" w:line="240" w:lineRule="exact"/>
              <w:ind w:left="-115" w:right="-101"/>
              <w:jc w:val="right"/>
            </w:pPr>
          </w:p>
        </w:tc>
        <w:tc>
          <w:tcPr>
            <w:tcW w:w="1008" w:type="dxa"/>
          </w:tcPr>
          <w:p w14:paraId="669BC14B" w14:textId="77777777" w:rsidR="00E04209" w:rsidRPr="005C28E7" w:rsidRDefault="00E04209" w:rsidP="00E04209">
            <w:pPr>
              <w:spacing w:before="60" w:after="60" w:line="240" w:lineRule="exact"/>
              <w:ind w:left="-115" w:right="-101"/>
              <w:jc w:val="right"/>
            </w:pPr>
            <w:r w:rsidRPr="005C28E7">
              <w:rPr>
                <w:sz w:val="20"/>
                <w:szCs w:val="20"/>
              </w:rPr>
              <w:t>0.0179</w:t>
            </w:r>
          </w:p>
        </w:tc>
        <w:tc>
          <w:tcPr>
            <w:tcW w:w="378" w:type="dxa"/>
          </w:tcPr>
          <w:p w14:paraId="712B77CD" w14:textId="2998D122" w:rsidR="00E04209" w:rsidRPr="005C28E7" w:rsidRDefault="00E04209" w:rsidP="00E04209">
            <w:pPr>
              <w:spacing w:before="60" w:after="60" w:line="240" w:lineRule="exact"/>
              <w:ind w:left="-115" w:right="-101"/>
              <w:jc w:val="right"/>
            </w:pPr>
          </w:p>
        </w:tc>
        <w:tc>
          <w:tcPr>
            <w:tcW w:w="972" w:type="dxa"/>
          </w:tcPr>
          <w:p w14:paraId="14D77B10" w14:textId="77777777" w:rsidR="00E04209" w:rsidRPr="005C28E7" w:rsidRDefault="00E04209" w:rsidP="00E04209">
            <w:pPr>
              <w:spacing w:before="60" w:after="60" w:line="240" w:lineRule="exact"/>
              <w:ind w:left="-115" w:right="-101"/>
              <w:jc w:val="right"/>
            </w:pPr>
            <w:r w:rsidRPr="005C28E7">
              <w:rPr>
                <w:sz w:val="20"/>
                <w:szCs w:val="20"/>
              </w:rPr>
              <w:t>0.0272</w:t>
            </w:r>
          </w:p>
        </w:tc>
        <w:tc>
          <w:tcPr>
            <w:tcW w:w="414" w:type="dxa"/>
          </w:tcPr>
          <w:p w14:paraId="41A24B15" w14:textId="04824681" w:rsidR="00E04209" w:rsidRPr="005C28E7" w:rsidRDefault="00E04209" w:rsidP="00E04209">
            <w:pPr>
              <w:spacing w:before="60" w:after="60" w:line="240" w:lineRule="exact"/>
              <w:ind w:left="-115" w:right="-101"/>
              <w:jc w:val="right"/>
            </w:pPr>
          </w:p>
        </w:tc>
        <w:tc>
          <w:tcPr>
            <w:tcW w:w="1026" w:type="dxa"/>
          </w:tcPr>
          <w:p w14:paraId="37E5C34E" w14:textId="77777777" w:rsidR="00E04209" w:rsidRPr="005C28E7" w:rsidRDefault="00E04209" w:rsidP="00E04209">
            <w:pPr>
              <w:spacing w:before="60" w:after="60" w:line="240" w:lineRule="exact"/>
              <w:ind w:left="-115" w:right="-101"/>
              <w:jc w:val="right"/>
            </w:pPr>
            <w:r w:rsidRPr="005C28E7">
              <w:rPr>
                <w:sz w:val="20"/>
                <w:szCs w:val="20"/>
              </w:rPr>
              <w:t>0.0405</w:t>
            </w:r>
          </w:p>
        </w:tc>
        <w:tc>
          <w:tcPr>
            <w:tcW w:w="360" w:type="dxa"/>
          </w:tcPr>
          <w:p w14:paraId="0A272BBD" w14:textId="3642B350" w:rsidR="00E04209" w:rsidRPr="005C28E7" w:rsidRDefault="00E04209" w:rsidP="00E04209">
            <w:pPr>
              <w:spacing w:before="60" w:after="60" w:line="240" w:lineRule="exact"/>
              <w:ind w:left="-115" w:right="-101"/>
              <w:jc w:val="right"/>
            </w:pPr>
          </w:p>
        </w:tc>
      </w:tr>
      <w:tr w:rsidR="005C28E7" w:rsidRPr="005C28E7" w14:paraId="67F12D5E" w14:textId="77777777" w:rsidTr="00D374FB">
        <w:tc>
          <w:tcPr>
            <w:tcW w:w="1260" w:type="dxa"/>
          </w:tcPr>
          <w:p w14:paraId="1E77AA61" w14:textId="0B1E36A7" w:rsidR="00E04209" w:rsidRPr="005C28E7" w:rsidRDefault="00E04209" w:rsidP="00E04209">
            <w:pPr>
              <w:spacing w:before="60" w:after="60" w:line="240" w:lineRule="exact"/>
              <w:ind w:left="144"/>
            </w:pPr>
            <w:r w:rsidRPr="005C28E7">
              <w:rPr>
                <w:i/>
                <w:kern w:val="0"/>
                <w:sz w:val="20"/>
                <w:szCs w:val="20"/>
              </w:rPr>
              <w:t>β</w:t>
            </w:r>
            <w:r w:rsidRPr="005C28E7">
              <w:rPr>
                <w:i/>
                <w:kern w:val="0"/>
                <w:sz w:val="12"/>
                <w:szCs w:val="20"/>
                <w:vertAlign w:val="superscript"/>
              </w:rPr>
              <w:t xml:space="preserve"> </w:t>
            </w:r>
            <w:r w:rsidRPr="005C28E7">
              <w:rPr>
                <w:kern w:val="0"/>
                <w:position w:val="10"/>
                <w:sz w:val="10"/>
                <w:szCs w:val="20"/>
              </w:rPr>
              <w:t>–</w:t>
            </w:r>
          </w:p>
        </w:tc>
        <w:tc>
          <w:tcPr>
            <w:tcW w:w="990" w:type="dxa"/>
          </w:tcPr>
          <w:p w14:paraId="1B521029" w14:textId="77777777" w:rsidR="00E04209" w:rsidRPr="005C28E7" w:rsidRDefault="00E04209" w:rsidP="00E04209">
            <w:pPr>
              <w:spacing w:before="60" w:after="60" w:line="240" w:lineRule="exact"/>
              <w:ind w:left="-115" w:right="-101"/>
              <w:jc w:val="right"/>
            </w:pPr>
            <w:r w:rsidRPr="005C28E7">
              <w:rPr>
                <w:sz w:val="20"/>
                <w:szCs w:val="20"/>
              </w:rPr>
              <w:t>1.2337</w:t>
            </w:r>
          </w:p>
        </w:tc>
        <w:tc>
          <w:tcPr>
            <w:tcW w:w="396" w:type="dxa"/>
          </w:tcPr>
          <w:p w14:paraId="6FD0144A" w14:textId="0918E691" w:rsidR="00E04209" w:rsidRPr="005C28E7" w:rsidRDefault="00E04209" w:rsidP="00E04209">
            <w:pPr>
              <w:spacing w:before="60" w:after="60" w:line="240" w:lineRule="exact"/>
              <w:ind w:left="-115" w:right="-101"/>
              <w:jc w:val="right"/>
            </w:pPr>
          </w:p>
        </w:tc>
        <w:tc>
          <w:tcPr>
            <w:tcW w:w="954" w:type="dxa"/>
          </w:tcPr>
          <w:p w14:paraId="07B6C10E" w14:textId="77777777" w:rsidR="00E04209" w:rsidRPr="005C28E7" w:rsidRDefault="00E04209" w:rsidP="00E04209">
            <w:pPr>
              <w:spacing w:before="60" w:after="60" w:line="240" w:lineRule="exact"/>
              <w:ind w:left="-115" w:right="-101"/>
              <w:jc w:val="right"/>
            </w:pPr>
            <w:r w:rsidRPr="005C28E7">
              <w:rPr>
                <w:sz w:val="20"/>
                <w:szCs w:val="20"/>
              </w:rPr>
              <w:t>0.3336</w:t>
            </w:r>
          </w:p>
        </w:tc>
        <w:tc>
          <w:tcPr>
            <w:tcW w:w="432" w:type="dxa"/>
          </w:tcPr>
          <w:p w14:paraId="1CA75EE9" w14:textId="5DF7D517" w:rsidR="00E04209" w:rsidRPr="005C28E7" w:rsidRDefault="00E04209" w:rsidP="00E04209">
            <w:pPr>
              <w:spacing w:before="60" w:after="60" w:line="240" w:lineRule="exact"/>
              <w:ind w:left="-115" w:right="-101"/>
              <w:jc w:val="right"/>
            </w:pPr>
          </w:p>
        </w:tc>
        <w:tc>
          <w:tcPr>
            <w:tcW w:w="1008" w:type="dxa"/>
          </w:tcPr>
          <w:p w14:paraId="584EB162" w14:textId="77777777" w:rsidR="00E04209" w:rsidRPr="005C28E7" w:rsidRDefault="00E04209" w:rsidP="00E04209">
            <w:pPr>
              <w:spacing w:before="60" w:after="60" w:line="240" w:lineRule="exact"/>
              <w:ind w:left="-115" w:right="-101"/>
              <w:jc w:val="right"/>
            </w:pPr>
            <w:r w:rsidRPr="005C28E7">
              <w:rPr>
                <w:sz w:val="20"/>
                <w:szCs w:val="20"/>
              </w:rPr>
              <w:t>0.9894</w:t>
            </w:r>
          </w:p>
        </w:tc>
        <w:tc>
          <w:tcPr>
            <w:tcW w:w="378" w:type="dxa"/>
          </w:tcPr>
          <w:p w14:paraId="0AC5ACF0" w14:textId="7929EBF9" w:rsidR="00E04209" w:rsidRPr="005C28E7" w:rsidRDefault="00E04209" w:rsidP="00E04209">
            <w:pPr>
              <w:spacing w:before="60" w:after="60" w:line="240" w:lineRule="exact"/>
              <w:ind w:left="-115" w:right="-101"/>
              <w:jc w:val="right"/>
            </w:pPr>
          </w:p>
        </w:tc>
        <w:tc>
          <w:tcPr>
            <w:tcW w:w="972" w:type="dxa"/>
          </w:tcPr>
          <w:p w14:paraId="15DDCDB9" w14:textId="77777777" w:rsidR="00E04209" w:rsidRPr="005C28E7" w:rsidRDefault="00E04209" w:rsidP="00E04209">
            <w:pPr>
              <w:spacing w:before="60" w:after="60" w:line="240" w:lineRule="exact"/>
              <w:ind w:left="-115" w:right="-101"/>
              <w:jc w:val="right"/>
            </w:pPr>
            <w:r w:rsidRPr="005C28E7">
              <w:rPr>
                <w:sz w:val="20"/>
                <w:szCs w:val="20"/>
              </w:rPr>
              <w:t>1.2623</w:t>
            </w:r>
          </w:p>
        </w:tc>
        <w:tc>
          <w:tcPr>
            <w:tcW w:w="414" w:type="dxa"/>
          </w:tcPr>
          <w:p w14:paraId="5BF0C611" w14:textId="3AE24780" w:rsidR="00E04209" w:rsidRPr="005C28E7" w:rsidRDefault="00E04209" w:rsidP="00E04209">
            <w:pPr>
              <w:spacing w:before="60" w:after="60" w:line="240" w:lineRule="exact"/>
              <w:ind w:left="-115" w:right="-101"/>
              <w:jc w:val="right"/>
            </w:pPr>
          </w:p>
        </w:tc>
        <w:tc>
          <w:tcPr>
            <w:tcW w:w="1026" w:type="dxa"/>
          </w:tcPr>
          <w:p w14:paraId="0F07D77B" w14:textId="77777777" w:rsidR="00E04209" w:rsidRPr="005C28E7" w:rsidRDefault="00E04209" w:rsidP="00E04209">
            <w:pPr>
              <w:spacing w:before="60" w:after="60" w:line="240" w:lineRule="exact"/>
              <w:ind w:left="-115" w:right="-101"/>
              <w:jc w:val="right"/>
            </w:pPr>
            <w:r w:rsidRPr="005C28E7">
              <w:rPr>
                <w:sz w:val="20"/>
                <w:szCs w:val="20"/>
              </w:rPr>
              <w:t>1.4983</w:t>
            </w:r>
          </w:p>
        </w:tc>
        <w:tc>
          <w:tcPr>
            <w:tcW w:w="360" w:type="dxa"/>
          </w:tcPr>
          <w:p w14:paraId="3EEB6792" w14:textId="5EE4EA92" w:rsidR="00E04209" w:rsidRPr="005C28E7" w:rsidRDefault="00E04209" w:rsidP="00E04209">
            <w:pPr>
              <w:spacing w:before="60" w:after="60" w:line="240" w:lineRule="exact"/>
              <w:ind w:left="-115" w:right="-101"/>
              <w:jc w:val="right"/>
            </w:pPr>
          </w:p>
        </w:tc>
      </w:tr>
      <w:tr w:rsidR="005C28E7" w:rsidRPr="005C28E7" w14:paraId="200F0390" w14:textId="77777777" w:rsidTr="00D374FB">
        <w:tc>
          <w:tcPr>
            <w:tcW w:w="1260" w:type="dxa"/>
          </w:tcPr>
          <w:p w14:paraId="3FEDBCD6" w14:textId="046084F0" w:rsidR="00E04209" w:rsidRPr="005C28E7" w:rsidRDefault="00E04209" w:rsidP="00E04209">
            <w:pPr>
              <w:spacing w:before="60" w:after="60" w:line="240" w:lineRule="exact"/>
              <w:ind w:left="144"/>
            </w:pPr>
            <w:r w:rsidRPr="005C28E7">
              <w:rPr>
                <w:i/>
                <w:kern w:val="0"/>
                <w:sz w:val="20"/>
                <w:szCs w:val="20"/>
              </w:rPr>
              <w:t>β</w:t>
            </w:r>
            <w:r w:rsidRPr="005C28E7">
              <w:rPr>
                <w:kern w:val="0"/>
                <w:sz w:val="12"/>
                <w:szCs w:val="20"/>
                <w:vertAlign w:val="superscript"/>
              </w:rPr>
              <w:t xml:space="preserve"> </w:t>
            </w:r>
            <w:r w:rsidRPr="005C28E7">
              <w:rPr>
                <w:kern w:val="0"/>
                <w:position w:val="2"/>
                <w:sz w:val="20"/>
                <w:szCs w:val="20"/>
                <w:vertAlign w:val="superscript"/>
              </w:rPr>
              <w:t>+</w:t>
            </w:r>
          </w:p>
        </w:tc>
        <w:tc>
          <w:tcPr>
            <w:tcW w:w="990" w:type="dxa"/>
          </w:tcPr>
          <w:p w14:paraId="0599231E" w14:textId="77777777" w:rsidR="00E04209" w:rsidRPr="005C28E7" w:rsidRDefault="00E04209" w:rsidP="00E04209">
            <w:pPr>
              <w:spacing w:before="60" w:after="60" w:line="240" w:lineRule="exact"/>
              <w:ind w:left="-115" w:right="-101"/>
              <w:jc w:val="right"/>
            </w:pPr>
            <w:r w:rsidRPr="005C28E7">
              <w:rPr>
                <w:sz w:val="20"/>
                <w:szCs w:val="20"/>
              </w:rPr>
              <w:t>1.1271</w:t>
            </w:r>
          </w:p>
        </w:tc>
        <w:tc>
          <w:tcPr>
            <w:tcW w:w="396" w:type="dxa"/>
          </w:tcPr>
          <w:p w14:paraId="1E7231BD" w14:textId="578432AE" w:rsidR="00E04209" w:rsidRPr="005C28E7" w:rsidRDefault="00E04209" w:rsidP="00E04209">
            <w:pPr>
              <w:spacing w:before="60" w:after="60" w:line="240" w:lineRule="exact"/>
              <w:ind w:left="-115" w:right="-101"/>
              <w:jc w:val="right"/>
            </w:pPr>
          </w:p>
        </w:tc>
        <w:tc>
          <w:tcPr>
            <w:tcW w:w="954" w:type="dxa"/>
          </w:tcPr>
          <w:p w14:paraId="461CBCCF" w14:textId="77777777" w:rsidR="00E04209" w:rsidRPr="005C28E7" w:rsidRDefault="00E04209" w:rsidP="00E04209">
            <w:pPr>
              <w:spacing w:before="60" w:after="60" w:line="240" w:lineRule="exact"/>
              <w:ind w:left="-115" w:right="-101"/>
              <w:jc w:val="right"/>
            </w:pPr>
            <w:r w:rsidRPr="005C28E7">
              <w:rPr>
                <w:sz w:val="20"/>
                <w:szCs w:val="20"/>
              </w:rPr>
              <w:t>0.3287</w:t>
            </w:r>
          </w:p>
        </w:tc>
        <w:tc>
          <w:tcPr>
            <w:tcW w:w="432" w:type="dxa"/>
          </w:tcPr>
          <w:p w14:paraId="1DEAEAE4" w14:textId="4CADE450" w:rsidR="00E04209" w:rsidRPr="005C28E7" w:rsidRDefault="00E04209" w:rsidP="00E04209">
            <w:pPr>
              <w:spacing w:before="60" w:after="60" w:line="240" w:lineRule="exact"/>
              <w:ind w:left="-115" w:right="-101"/>
              <w:jc w:val="right"/>
            </w:pPr>
          </w:p>
        </w:tc>
        <w:tc>
          <w:tcPr>
            <w:tcW w:w="1008" w:type="dxa"/>
          </w:tcPr>
          <w:p w14:paraId="4185FFAA" w14:textId="77777777" w:rsidR="00E04209" w:rsidRPr="005C28E7" w:rsidRDefault="00E04209" w:rsidP="00E04209">
            <w:pPr>
              <w:spacing w:before="60" w:after="60" w:line="240" w:lineRule="exact"/>
              <w:ind w:left="-115" w:right="-101"/>
              <w:jc w:val="right"/>
            </w:pPr>
            <w:r w:rsidRPr="005C28E7">
              <w:rPr>
                <w:sz w:val="20"/>
                <w:szCs w:val="20"/>
              </w:rPr>
              <w:t>0.8883</w:t>
            </w:r>
          </w:p>
        </w:tc>
        <w:tc>
          <w:tcPr>
            <w:tcW w:w="378" w:type="dxa"/>
          </w:tcPr>
          <w:p w14:paraId="436E4DC3" w14:textId="03ED4BEA" w:rsidR="00E04209" w:rsidRPr="005C28E7" w:rsidRDefault="00E04209" w:rsidP="00E04209">
            <w:pPr>
              <w:spacing w:before="60" w:after="60" w:line="240" w:lineRule="exact"/>
              <w:ind w:left="-115" w:right="-101"/>
              <w:jc w:val="right"/>
            </w:pPr>
          </w:p>
        </w:tc>
        <w:tc>
          <w:tcPr>
            <w:tcW w:w="972" w:type="dxa"/>
          </w:tcPr>
          <w:p w14:paraId="30994B5F" w14:textId="77777777" w:rsidR="00E04209" w:rsidRPr="005C28E7" w:rsidRDefault="00E04209" w:rsidP="00E04209">
            <w:pPr>
              <w:spacing w:before="60" w:after="60" w:line="240" w:lineRule="exact"/>
              <w:ind w:left="-115" w:right="-101"/>
              <w:jc w:val="right"/>
            </w:pPr>
            <w:r w:rsidRPr="005C28E7">
              <w:rPr>
                <w:sz w:val="20"/>
                <w:szCs w:val="20"/>
              </w:rPr>
              <w:t>1.1434</w:t>
            </w:r>
          </w:p>
        </w:tc>
        <w:tc>
          <w:tcPr>
            <w:tcW w:w="414" w:type="dxa"/>
          </w:tcPr>
          <w:p w14:paraId="5841EE64" w14:textId="682A0F49" w:rsidR="00E04209" w:rsidRPr="005C28E7" w:rsidRDefault="00E04209" w:rsidP="00E04209">
            <w:pPr>
              <w:spacing w:before="60" w:after="60" w:line="240" w:lineRule="exact"/>
              <w:ind w:left="-115" w:right="-101"/>
              <w:jc w:val="right"/>
            </w:pPr>
          </w:p>
        </w:tc>
        <w:tc>
          <w:tcPr>
            <w:tcW w:w="1026" w:type="dxa"/>
          </w:tcPr>
          <w:p w14:paraId="1BC8246C" w14:textId="77777777" w:rsidR="00E04209" w:rsidRPr="005C28E7" w:rsidRDefault="00E04209" w:rsidP="00E04209">
            <w:pPr>
              <w:spacing w:before="60" w:after="60" w:line="240" w:lineRule="exact"/>
              <w:ind w:left="-115" w:right="-101"/>
              <w:jc w:val="right"/>
            </w:pPr>
            <w:r w:rsidRPr="005C28E7">
              <w:rPr>
                <w:sz w:val="20"/>
                <w:szCs w:val="20"/>
              </w:rPr>
              <w:t>1.3758</w:t>
            </w:r>
          </w:p>
        </w:tc>
        <w:tc>
          <w:tcPr>
            <w:tcW w:w="360" w:type="dxa"/>
          </w:tcPr>
          <w:p w14:paraId="746349B1" w14:textId="6D3B6CC1" w:rsidR="00E04209" w:rsidRPr="005C28E7" w:rsidRDefault="00E04209" w:rsidP="00E04209">
            <w:pPr>
              <w:spacing w:before="60" w:after="60" w:line="240" w:lineRule="exact"/>
              <w:ind w:left="-115" w:right="-101"/>
              <w:jc w:val="right"/>
            </w:pPr>
          </w:p>
        </w:tc>
      </w:tr>
      <w:tr w:rsidR="005C28E7" w:rsidRPr="005C28E7" w14:paraId="322BBC8F" w14:textId="77777777" w:rsidTr="00D374FB">
        <w:tc>
          <w:tcPr>
            <w:tcW w:w="1260" w:type="dxa"/>
          </w:tcPr>
          <w:p w14:paraId="17E06767" w14:textId="15D79183" w:rsidR="00E04209" w:rsidRPr="005C28E7" w:rsidRDefault="00E04209" w:rsidP="00E04209">
            <w:pPr>
              <w:spacing w:before="60" w:after="60" w:line="240" w:lineRule="exact"/>
              <w:ind w:left="144"/>
              <w:rPr>
                <w:i/>
                <w:kern w:val="0"/>
                <w:sz w:val="20"/>
                <w:szCs w:val="20"/>
              </w:rPr>
            </w:pPr>
            <w:r w:rsidRPr="005C28E7">
              <w:rPr>
                <w:i/>
                <w:kern w:val="0"/>
                <w:sz w:val="20"/>
                <w:szCs w:val="20"/>
              </w:rPr>
              <w:t>β</w:t>
            </w:r>
          </w:p>
        </w:tc>
        <w:tc>
          <w:tcPr>
            <w:tcW w:w="990" w:type="dxa"/>
          </w:tcPr>
          <w:p w14:paraId="01491F1E" w14:textId="77777777" w:rsidR="00E04209" w:rsidRPr="005C28E7" w:rsidRDefault="00E04209" w:rsidP="00E04209">
            <w:pPr>
              <w:spacing w:before="60" w:after="60" w:line="240" w:lineRule="exact"/>
              <w:ind w:left="-115" w:right="-101"/>
              <w:jc w:val="right"/>
            </w:pPr>
            <w:r w:rsidRPr="005C28E7">
              <w:rPr>
                <w:sz w:val="20"/>
                <w:szCs w:val="20"/>
              </w:rPr>
              <w:t>0.8567</w:t>
            </w:r>
          </w:p>
        </w:tc>
        <w:tc>
          <w:tcPr>
            <w:tcW w:w="396" w:type="dxa"/>
          </w:tcPr>
          <w:p w14:paraId="16EBA367" w14:textId="21061465" w:rsidR="00E04209" w:rsidRPr="005C28E7" w:rsidRDefault="00E04209" w:rsidP="00E04209">
            <w:pPr>
              <w:spacing w:before="60" w:after="60" w:line="240" w:lineRule="exact"/>
              <w:ind w:left="-115" w:right="-101"/>
              <w:jc w:val="right"/>
            </w:pPr>
          </w:p>
        </w:tc>
        <w:tc>
          <w:tcPr>
            <w:tcW w:w="954" w:type="dxa"/>
          </w:tcPr>
          <w:p w14:paraId="727F845F" w14:textId="77777777" w:rsidR="00E04209" w:rsidRPr="005C28E7" w:rsidRDefault="00E04209" w:rsidP="00E04209">
            <w:pPr>
              <w:spacing w:before="60" w:after="60" w:line="240" w:lineRule="exact"/>
              <w:ind w:left="-115" w:right="-101"/>
              <w:jc w:val="right"/>
            </w:pPr>
            <w:r w:rsidRPr="005C28E7">
              <w:rPr>
                <w:sz w:val="20"/>
                <w:szCs w:val="20"/>
              </w:rPr>
              <w:t>0.2358</w:t>
            </w:r>
          </w:p>
        </w:tc>
        <w:tc>
          <w:tcPr>
            <w:tcW w:w="432" w:type="dxa"/>
          </w:tcPr>
          <w:p w14:paraId="68E856BF" w14:textId="084C4F01" w:rsidR="00E04209" w:rsidRPr="005C28E7" w:rsidRDefault="00E04209" w:rsidP="00E04209">
            <w:pPr>
              <w:spacing w:before="60" w:after="60" w:line="240" w:lineRule="exact"/>
              <w:ind w:left="-115" w:right="-101"/>
              <w:jc w:val="right"/>
            </w:pPr>
          </w:p>
        </w:tc>
        <w:tc>
          <w:tcPr>
            <w:tcW w:w="1008" w:type="dxa"/>
          </w:tcPr>
          <w:p w14:paraId="0D40C182" w14:textId="77777777" w:rsidR="00E04209" w:rsidRPr="005C28E7" w:rsidRDefault="00E04209" w:rsidP="00E04209">
            <w:pPr>
              <w:spacing w:before="60" w:after="60" w:line="240" w:lineRule="exact"/>
              <w:ind w:left="-115" w:right="-101"/>
              <w:jc w:val="right"/>
            </w:pPr>
            <w:r w:rsidRPr="005C28E7">
              <w:rPr>
                <w:sz w:val="20"/>
                <w:szCs w:val="20"/>
              </w:rPr>
              <w:t>0.6828</w:t>
            </w:r>
          </w:p>
        </w:tc>
        <w:tc>
          <w:tcPr>
            <w:tcW w:w="378" w:type="dxa"/>
          </w:tcPr>
          <w:p w14:paraId="3099678D" w14:textId="59257685" w:rsidR="00E04209" w:rsidRPr="005C28E7" w:rsidRDefault="00E04209" w:rsidP="00E04209">
            <w:pPr>
              <w:spacing w:before="60" w:after="60" w:line="240" w:lineRule="exact"/>
              <w:ind w:left="-115" w:right="-101"/>
              <w:jc w:val="right"/>
            </w:pPr>
          </w:p>
        </w:tc>
        <w:tc>
          <w:tcPr>
            <w:tcW w:w="972" w:type="dxa"/>
          </w:tcPr>
          <w:p w14:paraId="67664301" w14:textId="77777777" w:rsidR="00E04209" w:rsidRPr="005C28E7" w:rsidRDefault="00E04209" w:rsidP="00E04209">
            <w:pPr>
              <w:spacing w:before="60" w:after="60" w:line="240" w:lineRule="exact"/>
              <w:ind w:left="-115" w:right="-101"/>
              <w:jc w:val="right"/>
            </w:pPr>
            <w:r w:rsidRPr="005C28E7">
              <w:rPr>
                <w:sz w:val="20"/>
                <w:szCs w:val="20"/>
              </w:rPr>
              <w:t>0.8721</w:t>
            </w:r>
          </w:p>
        </w:tc>
        <w:tc>
          <w:tcPr>
            <w:tcW w:w="414" w:type="dxa"/>
          </w:tcPr>
          <w:p w14:paraId="3454BD4C" w14:textId="309BE328" w:rsidR="00E04209" w:rsidRPr="005C28E7" w:rsidRDefault="00E04209" w:rsidP="00E04209">
            <w:pPr>
              <w:spacing w:before="60" w:after="60" w:line="240" w:lineRule="exact"/>
              <w:ind w:left="-115" w:right="-101"/>
              <w:jc w:val="right"/>
            </w:pPr>
          </w:p>
        </w:tc>
        <w:tc>
          <w:tcPr>
            <w:tcW w:w="1026" w:type="dxa"/>
          </w:tcPr>
          <w:p w14:paraId="5EF3233E" w14:textId="77777777" w:rsidR="00E04209" w:rsidRPr="005C28E7" w:rsidRDefault="00E04209" w:rsidP="00E04209">
            <w:pPr>
              <w:spacing w:before="60" w:after="60" w:line="240" w:lineRule="exact"/>
              <w:ind w:left="-115" w:right="-101"/>
              <w:jc w:val="right"/>
            </w:pPr>
            <w:r w:rsidRPr="005C28E7">
              <w:rPr>
                <w:sz w:val="20"/>
                <w:szCs w:val="20"/>
              </w:rPr>
              <w:t>0.0361</w:t>
            </w:r>
          </w:p>
        </w:tc>
        <w:tc>
          <w:tcPr>
            <w:tcW w:w="360" w:type="dxa"/>
          </w:tcPr>
          <w:p w14:paraId="31EED345" w14:textId="732EA169" w:rsidR="00E04209" w:rsidRPr="005C28E7" w:rsidRDefault="00E04209" w:rsidP="00E04209">
            <w:pPr>
              <w:spacing w:before="60" w:after="60" w:line="240" w:lineRule="exact"/>
              <w:ind w:left="-115" w:right="-101"/>
              <w:jc w:val="right"/>
            </w:pPr>
          </w:p>
        </w:tc>
      </w:tr>
      <w:tr w:rsidR="00580476" w:rsidRPr="005C28E7" w14:paraId="6977A044" w14:textId="77777777" w:rsidTr="00D374FB">
        <w:tc>
          <w:tcPr>
            <w:tcW w:w="1260" w:type="dxa"/>
            <w:tcBorders>
              <w:bottom w:val="single" w:sz="4" w:space="0" w:color="auto"/>
            </w:tcBorders>
          </w:tcPr>
          <w:p w14:paraId="0BF0B917" w14:textId="3433A880" w:rsidR="00E04209" w:rsidRPr="005C28E7" w:rsidRDefault="00E04209" w:rsidP="00E04209">
            <w:pPr>
              <w:spacing w:before="60" w:after="120" w:line="240" w:lineRule="exact"/>
              <w:ind w:left="144"/>
            </w:pPr>
            <w:r w:rsidRPr="005C28E7">
              <w:rPr>
                <w:i/>
                <w:kern w:val="0"/>
                <w:sz w:val="20"/>
                <w:szCs w:val="20"/>
              </w:rPr>
              <w:t>β</w:t>
            </w:r>
            <w:r w:rsidRPr="005C28E7">
              <w:rPr>
                <w:i/>
                <w:kern w:val="0"/>
                <w:sz w:val="12"/>
                <w:szCs w:val="20"/>
                <w:vertAlign w:val="superscript"/>
              </w:rPr>
              <w:t xml:space="preserve"> </w:t>
            </w:r>
            <w:r w:rsidRPr="005C28E7">
              <w:rPr>
                <w:kern w:val="0"/>
                <w:position w:val="10"/>
                <w:sz w:val="10"/>
                <w:szCs w:val="20"/>
              </w:rPr>
              <w:t>–</w:t>
            </w:r>
            <w:r w:rsidRPr="005C28E7">
              <w:rPr>
                <w:position w:val="2"/>
                <w:sz w:val="12"/>
                <w:szCs w:val="20"/>
              </w:rPr>
              <w:t>–</w:t>
            </w:r>
            <w:r w:rsidRPr="005C28E7">
              <w:rPr>
                <w:i/>
                <w:kern w:val="0"/>
                <w:sz w:val="20"/>
                <w:szCs w:val="20"/>
              </w:rPr>
              <w:t xml:space="preserve"> β</w:t>
            </w:r>
            <w:r w:rsidRPr="005C28E7">
              <w:rPr>
                <w:kern w:val="0"/>
                <w:sz w:val="12"/>
                <w:szCs w:val="20"/>
                <w:vertAlign w:val="superscript"/>
              </w:rPr>
              <w:t xml:space="preserve"> </w:t>
            </w:r>
            <w:r w:rsidRPr="005C28E7">
              <w:rPr>
                <w:kern w:val="0"/>
                <w:position w:val="2"/>
                <w:sz w:val="20"/>
                <w:szCs w:val="20"/>
                <w:vertAlign w:val="superscript"/>
              </w:rPr>
              <w:t>+</w:t>
            </w:r>
          </w:p>
        </w:tc>
        <w:tc>
          <w:tcPr>
            <w:tcW w:w="990" w:type="dxa"/>
            <w:tcBorders>
              <w:bottom w:val="single" w:sz="4" w:space="0" w:color="auto"/>
            </w:tcBorders>
          </w:tcPr>
          <w:p w14:paraId="580F866E" w14:textId="1D856870" w:rsidR="00E04209" w:rsidRPr="005C28E7" w:rsidRDefault="00E04209" w:rsidP="00E04209">
            <w:pPr>
              <w:spacing w:before="60" w:after="120" w:line="240" w:lineRule="exact"/>
              <w:ind w:left="-115" w:right="-101"/>
              <w:jc w:val="right"/>
            </w:pPr>
            <w:r w:rsidRPr="005C28E7">
              <w:rPr>
                <w:sz w:val="20"/>
                <w:szCs w:val="20"/>
              </w:rPr>
              <w:t>0.1066</w:t>
            </w:r>
          </w:p>
        </w:tc>
        <w:tc>
          <w:tcPr>
            <w:tcW w:w="396" w:type="dxa"/>
            <w:tcBorders>
              <w:bottom w:val="single" w:sz="4" w:space="0" w:color="auto"/>
            </w:tcBorders>
          </w:tcPr>
          <w:p w14:paraId="66A51050" w14:textId="220441EB" w:rsidR="00E04209" w:rsidRPr="005C28E7" w:rsidRDefault="00E04209" w:rsidP="00E04209">
            <w:pPr>
              <w:spacing w:before="60" w:after="120" w:line="240" w:lineRule="exact"/>
              <w:ind w:left="-115" w:right="-101"/>
            </w:pPr>
            <w:r w:rsidRPr="005C28E7">
              <w:rPr>
                <w:sz w:val="18"/>
                <w:szCs w:val="20"/>
              </w:rPr>
              <w:t>***</w:t>
            </w:r>
          </w:p>
        </w:tc>
        <w:tc>
          <w:tcPr>
            <w:tcW w:w="954" w:type="dxa"/>
            <w:tcBorders>
              <w:bottom w:val="single" w:sz="4" w:space="0" w:color="auto"/>
            </w:tcBorders>
          </w:tcPr>
          <w:p w14:paraId="656FAB8C" w14:textId="291B9F15" w:rsidR="00E04209" w:rsidRPr="005C28E7" w:rsidRDefault="00E04209" w:rsidP="00E04209">
            <w:pPr>
              <w:spacing w:before="60" w:after="120" w:line="240" w:lineRule="exact"/>
              <w:ind w:left="-115" w:right="-101"/>
              <w:jc w:val="right"/>
            </w:pPr>
            <w:r w:rsidRPr="005C28E7">
              <w:rPr>
                <w:sz w:val="20"/>
                <w:szCs w:val="20"/>
              </w:rPr>
              <w:t>0.1084</w:t>
            </w:r>
          </w:p>
        </w:tc>
        <w:tc>
          <w:tcPr>
            <w:tcW w:w="432" w:type="dxa"/>
            <w:tcBorders>
              <w:bottom w:val="single" w:sz="4" w:space="0" w:color="auto"/>
            </w:tcBorders>
          </w:tcPr>
          <w:p w14:paraId="0814F593" w14:textId="77777777" w:rsidR="00E04209" w:rsidRPr="005C28E7" w:rsidRDefault="00E04209" w:rsidP="00E04209">
            <w:pPr>
              <w:spacing w:before="60" w:after="120" w:line="240" w:lineRule="exact"/>
              <w:ind w:left="-115" w:right="-101"/>
            </w:pPr>
          </w:p>
        </w:tc>
        <w:tc>
          <w:tcPr>
            <w:tcW w:w="1008" w:type="dxa"/>
            <w:tcBorders>
              <w:bottom w:val="single" w:sz="4" w:space="0" w:color="auto"/>
            </w:tcBorders>
          </w:tcPr>
          <w:p w14:paraId="271DC878" w14:textId="304F587E" w:rsidR="00E04209" w:rsidRPr="005C28E7" w:rsidRDefault="00E04209" w:rsidP="00E04209">
            <w:pPr>
              <w:spacing w:before="60" w:after="120" w:line="240" w:lineRule="exact"/>
              <w:ind w:left="-115" w:right="-101"/>
              <w:jc w:val="right"/>
            </w:pPr>
            <w:r w:rsidRPr="005C28E7">
              <w:rPr>
                <w:sz w:val="20"/>
                <w:szCs w:val="20"/>
              </w:rPr>
              <w:t>0.0489</w:t>
            </w:r>
          </w:p>
        </w:tc>
        <w:tc>
          <w:tcPr>
            <w:tcW w:w="378" w:type="dxa"/>
            <w:tcBorders>
              <w:bottom w:val="single" w:sz="4" w:space="0" w:color="auto"/>
            </w:tcBorders>
          </w:tcPr>
          <w:p w14:paraId="3CA062AF" w14:textId="77777777" w:rsidR="00E04209" w:rsidRPr="005C28E7" w:rsidRDefault="00E04209" w:rsidP="00E04209">
            <w:pPr>
              <w:spacing w:before="60" w:after="120" w:line="240" w:lineRule="exact"/>
              <w:ind w:left="-115" w:right="-101"/>
            </w:pPr>
          </w:p>
        </w:tc>
        <w:tc>
          <w:tcPr>
            <w:tcW w:w="972" w:type="dxa"/>
            <w:tcBorders>
              <w:bottom w:val="single" w:sz="4" w:space="0" w:color="auto"/>
            </w:tcBorders>
          </w:tcPr>
          <w:p w14:paraId="6FF6AB2A" w14:textId="40BADCDB" w:rsidR="00E04209" w:rsidRPr="005C28E7" w:rsidRDefault="00E04209" w:rsidP="00E04209">
            <w:pPr>
              <w:spacing w:before="60" w:after="120" w:line="240" w:lineRule="exact"/>
              <w:ind w:left="-115" w:right="-101"/>
              <w:jc w:val="right"/>
            </w:pPr>
            <w:r w:rsidRPr="005C28E7">
              <w:rPr>
                <w:sz w:val="20"/>
                <w:szCs w:val="20"/>
              </w:rPr>
              <w:t>0.1016</w:t>
            </w:r>
          </w:p>
        </w:tc>
        <w:tc>
          <w:tcPr>
            <w:tcW w:w="414" w:type="dxa"/>
            <w:tcBorders>
              <w:bottom w:val="single" w:sz="4" w:space="0" w:color="auto"/>
            </w:tcBorders>
          </w:tcPr>
          <w:p w14:paraId="6511510F" w14:textId="5BB799F2" w:rsidR="00E04209" w:rsidRPr="005C28E7" w:rsidRDefault="00E04209" w:rsidP="00E04209">
            <w:pPr>
              <w:spacing w:before="60" w:after="120" w:line="240" w:lineRule="exact"/>
              <w:ind w:left="-115" w:right="-101"/>
            </w:pPr>
            <w:r w:rsidRPr="005C28E7">
              <w:rPr>
                <w:sz w:val="18"/>
                <w:szCs w:val="20"/>
              </w:rPr>
              <w:t>***</w:t>
            </w:r>
          </w:p>
        </w:tc>
        <w:tc>
          <w:tcPr>
            <w:tcW w:w="1026" w:type="dxa"/>
            <w:tcBorders>
              <w:bottom w:val="single" w:sz="4" w:space="0" w:color="auto"/>
            </w:tcBorders>
          </w:tcPr>
          <w:p w14:paraId="645F8E61" w14:textId="2F8D0317" w:rsidR="00E04209" w:rsidRPr="005C28E7" w:rsidRDefault="00E04209" w:rsidP="00E04209">
            <w:pPr>
              <w:spacing w:before="60" w:after="120" w:line="240" w:lineRule="exact"/>
              <w:ind w:left="-115" w:right="-101"/>
              <w:jc w:val="right"/>
            </w:pPr>
            <w:r w:rsidRPr="005C28E7">
              <w:rPr>
                <w:sz w:val="20"/>
                <w:szCs w:val="20"/>
              </w:rPr>
              <w:t>0.1553</w:t>
            </w:r>
          </w:p>
        </w:tc>
        <w:tc>
          <w:tcPr>
            <w:tcW w:w="360" w:type="dxa"/>
            <w:tcBorders>
              <w:bottom w:val="single" w:sz="4" w:space="0" w:color="auto"/>
            </w:tcBorders>
          </w:tcPr>
          <w:p w14:paraId="5E25C15B" w14:textId="417C4929" w:rsidR="00E04209" w:rsidRPr="005C28E7" w:rsidRDefault="00E04209" w:rsidP="00E04209">
            <w:pPr>
              <w:spacing w:before="60" w:after="120" w:line="240" w:lineRule="exact"/>
              <w:ind w:left="-115" w:right="-101"/>
            </w:pPr>
          </w:p>
        </w:tc>
      </w:tr>
    </w:tbl>
    <w:p w14:paraId="4D67A66F" w14:textId="77777777" w:rsidR="00EA404B" w:rsidRPr="005C28E7" w:rsidRDefault="00EA404B" w:rsidP="00457E01">
      <w:pPr>
        <w:spacing w:line="180" w:lineRule="exact"/>
        <w:rPr>
          <w:kern w:val="0"/>
          <w:sz w:val="20"/>
          <w:szCs w:val="20"/>
        </w:rPr>
      </w:pPr>
    </w:p>
    <w:p w14:paraId="1AEE2C7A" w14:textId="4F8E669C" w:rsidR="00457E01" w:rsidRPr="005C28E7" w:rsidRDefault="00457E01" w:rsidP="00457E01">
      <w:pPr>
        <w:spacing w:line="220" w:lineRule="exact"/>
        <w:rPr>
          <w:rStyle w:val="aff9"/>
          <w:rFonts w:cs="Times New Roman"/>
          <w:sz w:val="18"/>
          <w:szCs w:val="16"/>
        </w:rPr>
      </w:pPr>
      <w:r w:rsidRPr="005C28E7">
        <w:rPr>
          <w:rStyle w:val="aff9"/>
          <w:rFonts w:cs="Times New Roman"/>
          <w:i/>
          <w:sz w:val="18"/>
          <w:szCs w:val="16"/>
        </w:rPr>
        <w:t xml:space="preserve">Note: </w:t>
      </w:r>
      <w:r w:rsidRPr="005C28E7">
        <w:rPr>
          <w:rStyle w:val="aff9"/>
          <w:rFonts w:cs="Times New Roman"/>
          <w:sz w:val="18"/>
          <w:szCs w:val="16"/>
        </w:rPr>
        <w:t xml:space="preserve"> *** indicates statistical significance at the 1% level.</w:t>
      </w:r>
    </w:p>
    <w:p w14:paraId="2B49043F" w14:textId="110BCBF0" w:rsidR="00D374FB" w:rsidRPr="005C28E7" w:rsidRDefault="00D374FB" w:rsidP="007C691D">
      <w:pPr>
        <w:spacing w:line="240" w:lineRule="exact"/>
        <w:rPr>
          <w:kern w:val="0"/>
          <w:sz w:val="20"/>
          <w:szCs w:val="20"/>
        </w:rPr>
        <w:sectPr w:rsidR="00D374FB" w:rsidRPr="005C28E7" w:rsidSect="00E24841">
          <w:footerReference w:type="even" r:id="rId15"/>
          <w:footerReference w:type="default" r:id="rId16"/>
          <w:pgSz w:w="11909" w:h="16834" w:code="9"/>
          <w:pgMar w:top="1584" w:right="1728" w:bottom="1440" w:left="1800" w:header="850" w:footer="1008" w:gutter="0"/>
          <w:cols w:space="425"/>
          <w:titlePg/>
          <w:docGrid w:type="linesAndChars" w:linePitch="360"/>
        </w:sectPr>
      </w:pPr>
    </w:p>
    <w:p w14:paraId="5EC02589" w14:textId="4DF8ACFA" w:rsidR="003E2C6A" w:rsidRPr="005C28E7" w:rsidRDefault="003E2C6A" w:rsidP="003E2C6A">
      <w:pPr>
        <w:spacing w:line="260" w:lineRule="exact"/>
        <w:rPr>
          <w:i/>
          <w:kern w:val="0"/>
          <w:sz w:val="18"/>
          <w:szCs w:val="20"/>
        </w:rPr>
      </w:pPr>
      <w:r w:rsidRPr="005C28E7">
        <w:rPr>
          <w:i/>
          <w:kern w:val="0"/>
          <w:sz w:val="22"/>
        </w:rPr>
        <w:lastRenderedPageBreak/>
        <w:t xml:space="preserve">Table </w:t>
      </w:r>
      <w:proofErr w:type="gramStart"/>
      <w:r w:rsidR="00C56BE4" w:rsidRPr="005C28E7">
        <w:rPr>
          <w:i/>
          <w:kern w:val="0"/>
          <w:sz w:val="22"/>
        </w:rPr>
        <w:t>2</w:t>
      </w:r>
      <w:r w:rsidRPr="005C28E7">
        <w:rPr>
          <w:i/>
          <w:kern w:val="0"/>
          <w:sz w:val="22"/>
        </w:rPr>
        <w:t xml:space="preserve">  Average</w:t>
      </w:r>
      <w:proofErr w:type="gramEnd"/>
      <w:r w:rsidRPr="005C28E7">
        <w:rPr>
          <w:i/>
          <w:kern w:val="0"/>
          <w:sz w:val="22"/>
        </w:rPr>
        <w:t xml:space="preserve"> risk of ten portfolios, by firm characteristics</w:t>
      </w:r>
    </w:p>
    <w:p w14:paraId="0C6CD635" w14:textId="77777777" w:rsidR="003E2C6A" w:rsidRPr="005C28E7" w:rsidRDefault="003E2C6A" w:rsidP="003E2C6A">
      <w:pPr>
        <w:spacing w:line="200" w:lineRule="exact"/>
        <w:rPr>
          <w:kern w:val="0"/>
          <w:sz w:val="20"/>
          <w:szCs w:val="20"/>
        </w:rPr>
      </w:pPr>
    </w:p>
    <w:p w14:paraId="46627623" w14:textId="451AA2EA" w:rsidR="003E2C6A" w:rsidRPr="005C28E7" w:rsidRDefault="003E2C6A" w:rsidP="003E2C6A">
      <w:pPr>
        <w:spacing w:line="240" w:lineRule="exact"/>
        <w:jc w:val="both"/>
        <w:rPr>
          <w:kern w:val="0"/>
          <w:sz w:val="20"/>
          <w:szCs w:val="20"/>
        </w:rPr>
      </w:pPr>
      <w:r w:rsidRPr="005C28E7">
        <w:rPr>
          <w:kern w:val="0"/>
          <w:sz w:val="20"/>
          <w:szCs w:val="20"/>
        </w:rPr>
        <w:t>This table shows the average risk of ten portfolios in terms of firm characteristics, including market value, operating leverage, financial leverage and accounting quality. Portfolio 0</w:t>
      </w:r>
      <w:r w:rsidR="00457E01" w:rsidRPr="005C28E7">
        <w:rPr>
          <w:kern w:val="0"/>
          <w:sz w:val="20"/>
          <w:szCs w:val="20"/>
        </w:rPr>
        <w:t xml:space="preserve"> </w:t>
      </w:r>
      <w:r w:rsidRPr="005C28E7">
        <w:rPr>
          <w:kern w:val="0"/>
          <w:sz w:val="20"/>
          <w:szCs w:val="20"/>
        </w:rPr>
        <w:t xml:space="preserve">(9) is the portfolio with the lowest (highest) level of firm characteristic indicated. </w:t>
      </w:r>
      <w:r w:rsidRPr="005C28E7">
        <w:rPr>
          <w:i/>
          <w:kern w:val="0"/>
          <w:sz w:val="20"/>
          <w:szCs w:val="20"/>
        </w:rPr>
        <w:t>Diff</w:t>
      </w:r>
      <w:r w:rsidRPr="005C28E7">
        <w:rPr>
          <w:kern w:val="0"/>
          <w:sz w:val="20"/>
          <w:szCs w:val="20"/>
        </w:rPr>
        <w:t xml:space="preserve"> refers to the difference between portfolios 0 and 9</w:t>
      </w:r>
      <w:r w:rsidR="00457E01" w:rsidRPr="005C28E7">
        <w:rPr>
          <w:kern w:val="0"/>
          <w:sz w:val="20"/>
          <w:szCs w:val="20"/>
        </w:rPr>
        <w:t>, with a</w:t>
      </w:r>
      <w:r w:rsidRPr="005C28E7">
        <w:rPr>
          <w:kern w:val="0"/>
          <w:sz w:val="20"/>
          <w:szCs w:val="20"/>
        </w:rPr>
        <w:t xml:space="preserve"> two-sample </w:t>
      </w:r>
      <w:r w:rsidRPr="005C28E7">
        <w:rPr>
          <w:i/>
          <w:kern w:val="0"/>
          <w:sz w:val="20"/>
          <w:szCs w:val="20"/>
        </w:rPr>
        <w:t>t</w:t>
      </w:r>
      <w:r w:rsidRPr="005C28E7">
        <w:rPr>
          <w:kern w:val="0"/>
          <w:sz w:val="20"/>
          <w:szCs w:val="20"/>
        </w:rPr>
        <w:t xml:space="preserve">-test </w:t>
      </w:r>
      <w:r w:rsidR="00457E01" w:rsidRPr="005C28E7">
        <w:rPr>
          <w:kern w:val="0"/>
          <w:sz w:val="20"/>
          <w:szCs w:val="20"/>
        </w:rPr>
        <w:t xml:space="preserve">being undertaken </w:t>
      </w:r>
      <w:r w:rsidRPr="005C28E7">
        <w:rPr>
          <w:kern w:val="0"/>
          <w:sz w:val="20"/>
          <w:szCs w:val="20"/>
        </w:rPr>
        <w:t>to</w:t>
      </w:r>
      <w:r w:rsidR="00034397" w:rsidRPr="005C28E7">
        <w:rPr>
          <w:kern w:val="0"/>
          <w:sz w:val="20"/>
          <w:szCs w:val="20"/>
        </w:rPr>
        <w:t xml:space="preserve"> </w:t>
      </w:r>
      <w:r w:rsidR="00457E01" w:rsidRPr="005C28E7">
        <w:rPr>
          <w:kern w:val="0"/>
          <w:sz w:val="20"/>
          <w:szCs w:val="20"/>
        </w:rPr>
        <w:t>deter</w:t>
      </w:r>
      <w:r w:rsidRPr="005C28E7">
        <w:rPr>
          <w:kern w:val="0"/>
          <w:sz w:val="20"/>
          <w:szCs w:val="20"/>
        </w:rPr>
        <w:t>mine whether the difference between portfolios 0 and 9 is significantly different from zero.</w:t>
      </w:r>
    </w:p>
    <w:p w14:paraId="4A5AF01C" w14:textId="77777777" w:rsidR="003E2C6A" w:rsidRPr="005C28E7" w:rsidRDefault="003E2C6A" w:rsidP="003E2C6A">
      <w:pPr>
        <w:spacing w:line="180" w:lineRule="exact"/>
      </w:pPr>
    </w:p>
    <w:tbl>
      <w:tblPr>
        <w:tblW w:w="0" w:type="auto"/>
        <w:tblInd w:w="28" w:type="dxa"/>
        <w:tblLayout w:type="fixed"/>
        <w:tblCellMar>
          <w:left w:w="28" w:type="dxa"/>
          <w:right w:w="28" w:type="dxa"/>
        </w:tblCellMar>
        <w:tblLook w:val="0000" w:firstRow="0" w:lastRow="0" w:firstColumn="0" w:lastColumn="0" w:noHBand="0" w:noVBand="0"/>
      </w:tblPr>
      <w:tblGrid>
        <w:gridCol w:w="2070"/>
        <w:gridCol w:w="999"/>
        <w:gridCol w:w="999"/>
        <w:gridCol w:w="999"/>
        <w:gridCol w:w="999"/>
        <w:gridCol w:w="999"/>
        <w:gridCol w:w="999"/>
        <w:gridCol w:w="999"/>
        <w:gridCol w:w="999"/>
        <w:gridCol w:w="999"/>
        <w:gridCol w:w="999"/>
        <w:gridCol w:w="810"/>
        <w:gridCol w:w="360"/>
      </w:tblGrid>
      <w:tr w:rsidR="005C28E7" w:rsidRPr="005C28E7" w14:paraId="4004F49A" w14:textId="77777777" w:rsidTr="00BE6258">
        <w:tc>
          <w:tcPr>
            <w:tcW w:w="2070" w:type="dxa"/>
            <w:vMerge w:val="restart"/>
            <w:tcBorders>
              <w:top w:val="single" w:sz="4" w:space="0" w:color="auto"/>
            </w:tcBorders>
            <w:shd w:val="clear" w:color="auto" w:fill="auto"/>
            <w:noWrap/>
            <w:vAlign w:val="center"/>
          </w:tcPr>
          <w:p w14:paraId="64974F7A" w14:textId="3F210B90" w:rsidR="003E2C6A" w:rsidRPr="005C28E7" w:rsidRDefault="003E2C6A" w:rsidP="003E2C6A">
            <w:pPr>
              <w:widowControl/>
              <w:spacing w:before="60" w:after="60" w:line="240" w:lineRule="exact"/>
              <w:jc w:val="center"/>
              <w:rPr>
                <w:kern w:val="0"/>
                <w:sz w:val="20"/>
                <w:szCs w:val="20"/>
              </w:rPr>
            </w:pPr>
            <w:r w:rsidRPr="005C28E7">
              <w:rPr>
                <w:kern w:val="0"/>
                <w:sz w:val="20"/>
                <w:szCs w:val="20"/>
              </w:rPr>
              <w:t>Variables</w:t>
            </w:r>
          </w:p>
        </w:tc>
        <w:tc>
          <w:tcPr>
            <w:tcW w:w="9990" w:type="dxa"/>
            <w:gridSpan w:val="10"/>
            <w:tcBorders>
              <w:top w:val="single" w:sz="4" w:space="0" w:color="auto"/>
              <w:bottom w:val="dotted" w:sz="4" w:space="0" w:color="auto"/>
            </w:tcBorders>
            <w:shd w:val="clear" w:color="auto" w:fill="auto"/>
            <w:noWrap/>
            <w:vAlign w:val="bottom"/>
          </w:tcPr>
          <w:p w14:paraId="4C394DAA" w14:textId="0488F46A" w:rsidR="003E2C6A" w:rsidRPr="005C28E7" w:rsidRDefault="003E2C6A" w:rsidP="00895A95">
            <w:pPr>
              <w:widowControl/>
              <w:spacing w:before="40" w:after="20" w:line="240" w:lineRule="exact"/>
              <w:jc w:val="center"/>
              <w:rPr>
                <w:kern w:val="0"/>
                <w:sz w:val="20"/>
                <w:szCs w:val="20"/>
              </w:rPr>
            </w:pPr>
            <w:r w:rsidRPr="005C28E7">
              <w:rPr>
                <w:kern w:val="0"/>
                <w:sz w:val="20"/>
                <w:szCs w:val="20"/>
              </w:rPr>
              <w:t>Portfolios</w:t>
            </w:r>
          </w:p>
        </w:tc>
        <w:tc>
          <w:tcPr>
            <w:tcW w:w="1170" w:type="dxa"/>
            <w:gridSpan w:val="2"/>
            <w:vMerge w:val="restart"/>
            <w:tcBorders>
              <w:top w:val="single" w:sz="4" w:space="0" w:color="auto"/>
            </w:tcBorders>
            <w:shd w:val="clear" w:color="auto" w:fill="auto"/>
            <w:noWrap/>
            <w:vAlign w:val="center"/>
          </w:tcPr>
          <w:p w14:paraId="4D653DE9" w14:textId="16177E17" w:rsidR="003E2C6A" w:rsidRPr="005C28E7" w:rsidRDefault="003E2C6A" w:rsidP="003E2C6A">
            <w:pPr>
              <w:spacing w:before="60" w:after="60" w:line="240" w:lineRule="exact"/>
              <w:jc w:val="center"/>
              <w:rPr>
                <w:i/>
                <w:kern w:val="0"/>
                <w:sz w:val="20"/>
                <w:szCs w:val="20"/>
              </w:rPr>
            </w:pPr>
            <w:r w:rsidRPr="005C28E7">
              <w:rPr>
                <w:i/>
                <w:kern w:val="0"/>
                <w:sz w:val="20"/>
                <w:szCs w:val="20"/>
              </w:rPr>
              <w:t>Diff</w:t>
            </w:r>
          </w:p>
        </w:tc>
      </w:tr>
      <w:tr w:rsidR="005C28E7" w:rsidRPr="005C28E7" w14:paraId="1FF1FA39" w14:textId="77777777" w:rsidTr="00BE6258">
        <w:tc>
          <w:tcPr>
            <w:tcW w:w="2070" w:type="dxa"/>
            <w:vMerge/>
            <w:tcBorders>
              <w:bottom w:val="single" w:sz="4" w:space="0" w:color="auto"/>
            </w:tcBorders>
            <w:shd w:val="clear" w:color="auto" w:fill="auto"/>
            <w:noWrap/>
            <w:vAlign w:val="bottom"/>
          </w:tcPr>
          <w:p w14:paraId="1DBA4262" w14:textId="3C474047" w:rsidR="003E2C6A" w:rsidRPr="005C28E7" w:rsidRDefault="003E2C6A" w:rsidP="003E2C6A">
            <w:pPr>
              <w:widowControl/>
              <w:spacing w:before="60" w:after="60" w:line="240" w:lineRule="exact"/>
              <w:jc w:val="center"/>
              <w:rPr>
                <w:kern w:val="0"/>
                <w:sz w:val="20"/>
                <w:szCs w:val="20"/>
              </w:rPr>
            </w:pPr>
          </w:p>
        </w:tc>
        <w:tc>
          <w:tcPr>
            <w:tcW w:w="999" w:type="dxa"/>
            <w:tcBorders>
              <w:top w:val="dotted" w:sz="4" w:space="0" w:color="auto"/>
              <w:bottom w:val="single" w:sz="4" w:space="0" w:color="auto"/>
            </w:tcBorders>
            <w:shd w:val="clear" w:color="auto" w:fill="auto"/>
            <w:noWrap/>
            <w:vAlign w:val="bottom"/>
          </w:tcPr>
          <w:p w14:paraId="0D9165C6" w14:textId="77777777" w:rsidR="003E2C6A" w:rsidRPr="005C28E7" w:rsidRDefault="003E2C6A" w:rsidP="003E2C6A">
            <w:pPr>
              <w:widowControl/>
              <w:spacing w:before="20" w:after="40" w:line="240" w:lineRule="exact"/>
              <w:jc w:val="center"/>
              <w:rPr>
                <w:kern w:val="0"/>
                <w:sz w:val="20"/>
                <w:szCs w:val="20"/>
              </w:rPr>
            </w:pPr>
            <w:r w:rsidRPr="005C28E7">
              <w:rPr>
                <w:kern w:val="0"/>
                <w:sz w:val="20"/>
                <w:szCs w:val="20"/>
              </w:rPr>
              <w:t xml:space="preserve">0 </w:t>
            </w:r>
          </w:p>
        </w:tc>
        <w:tc>
          <w:tcPr>
            <w:tcW w:w="999" w:type="dxa"/>
            <w:tcBorders>
              <w:top w:val="dotted" w:sz="4" w:space="0" w:color="auto"/>
              <w:bottom w:val="single" w:sz="4" w:space="0" w:color="auto"/>
            </w:tcBorders>
            <w:shd w:val="clear" w:color="auto" w:fill="auto"/>
            <w:noWrap/>
            <w:vAlign w:val="bottom"/>
          </w:tcPr>
          <w:p w14:paraId="1DFA0AF0" w14:textId="77777777" w:rsidR="003E2C6A" w:rsidRPr="005C28E7" w:rsidRDefault="003E2C6A" w:rsidP="003E2C6A">
            <w:pPr>
              <w:widowControl/>
              <w:spacing w:before="20" w:after="40" w:line="240" w:lineRule="exact"/>
              <w:jc w:val="center"/>
              <w:rPr>
                <w:kern w:val="0"/>
                <w:sz w:val="20"/>
                <w:szCs w:val="20"/>
              </w:rPr>
            </w:pPr>
            <w:r w:rsidRPr="005C28E7">
              <w:rPr>
                <w:kern w:val="0"/>
                <w:sz w:val="20"/>
                <w:szCs w:val="20"/>
              </w:rPr>
              <w:t xml:space="preserve">1 </w:t>
            </w:r>
          </w:p>
        </w:tc>
        <w:tc>
          <w:tcPr>
            <w:tcW w:w="999" w:type="dxa"/>
            <w:tcBorders>
              <w:top w:val="dotted" w:sz="4" w:space="0" w:color="auto"/>
              <w:bottom w:val="single" w:sz="4" w:space="0" w:color="auto"/>
            </w:tcBorders>
            <w:shd w:val="clear" w:color="auto" w:fill="auto"/>
            <w:noWrap/>
            <w:vAlign w:val="bottom"/>
          </w:tcPr>
          <w:p w14:paraId="1C8260E5" w14:textId="77777777" w:rsidR="003E2C6A" w:rsidRPr="005C28E7" w:rsidRDefault="003E2C6A" w:rsidP="003E2C6A">
            <w:pPr>
              <w:widowControl/>
              <w:spacing w:before="20" w:after="40" w:line="240" w:lineRule="exact"/>
              <w:jc w:val="center"/>
              <w:rPr>
                <w:kern w:val="0"/>
                <w:sz w:val="20"/>
                <w:szCs w:val="20"/>
              </w:rPr>
            </w:pPr>
            <w:r w:rsidRPr="005C28E7">
              <w:rPr>
                <w:kern w:val="0"/>
                <w:sz w:val="20"/>
                <w:szCs w:val="20"/>
              </w:rPr>
              <w:t xml:space="preserve">2 </w:t>
            </w:r>
          </w:p>
        </w:tc>
        <w:tc>
          <w:tcPr>
            <w:tcW w:w="999" w:type="dxa"/>
            <w:tcBorders>
              <w:top w:val="dotted" w:sz="4" w:space="0" w:color="auto"/>
              <w:bottom w:val="single" w:sz="4" w:space="0" w:color="auto"/>
            </w:tcBorders>
            <w:shd w:val="clear" w:color="auto" w:fill="auto"/>
            <w:noWrap/>
            <w:vAlign w:val="bottom"/>
          </w:tcPr>
          <w:p w14:paraId="50CC0483" w14:textId="77777777" w:rsidR="003E2C6A" w:rsidRPr="005C28E7" w:rsidRDefault="003E2C6A" w:rsidP="003E2C6A">
            <w:pPr>
              <w:widowControl/>
              <w:spacing w:before="20" w:after="40" w:line="240" w:lineRule="exact"/>
              <w:jc w:val="center"/>
              <w:rPr>
                <w:kern w:val="0"/>
                <w:sz w:val="20"/>
                <w:szCs w:val="20"/>
              </w:rPr>
            </w:pPr>
            <w:r w:rsidRPr="005C28E7">
              <w:rPr>
                <w:kern w:val="0"/>
                <w:sz w:val="20"/>
                <w:szCs w:val="20"/>
              </w:rPr>
              <w:t xml:space="preserve">3 </w:t>
            </w:r>
          </w:p>
        </w:tc>
        <w:tc>
          <w:tcPr>
            <w:tcW w:w="999" w:type="dxa"/>
            <w:tcBorders>
              <w:top w:val="dotted" w:sz="4" w:space="0" w:color="auto"/>
              <w:bottom w:val="single" w:sz="4" w:space="0" w:color="auto"/>
            </w:tcBorders>
            <w:shd w:val="clear" w:color="auto" w:fill="auto"/>
            <w:noWrap/>
            <w:vAlign w:val="bottom"/>
          </w:tcPr>
          <w:p w14:paraId="3DD5EED4" w14:textId="77777777" w:rsidR="003E2C6A" w:rsidRPr="005C28E7" w:rsidRDefault="003E2C6A" w:rsidP="003E2C6A">
            <w:pPr>
              <w:widowControl/>
              <w:spacing w:before="20" w:after="40" w:line="240" w:lineRule="exact"/>
              <w:jc w:val="center"/>
              <w:rPr>
                <w:kern w:val="0"/>
                <w:sz w:val="20"/>
                <w:szCs w:val="20"/>
              </w:rPr>
            </w:pPr>
            <w:r w:rsidRPr="005C28E7">
              <w:rPr>
                <w:kern w:val="0"/>
                <w:sz w:val="20"/>
                <w:szCs w:val="20"/>
              </w:rPr>
              <w:t xml:space="preserve">4 </w:t>
            </w:r>
          </w:p>
        </w:tc>
        <w:tc>
          <w:tcPr>
            <w:tcW w:w="999" w:type="dxa"/>
            <w:tcBorders>
              <w:top w:val="dotted" w:sz="4" w:space="0" w:color="auto"/>
              <w:bottom w:val="single" w:sz="4" w:space="0" w:color="auto"/>
            </w:tcBorders>
            <w:shd w:val="clear" w:color="auto" w:fill="auto"/>
            <w:noWrap/>
            <w:vAlign w:val="bottom"/>
          </w:tcPr>
          <w:p w14:paraId="533821AB" w14:textId="77777777" w:rsidR="003E2C6A" w:rsidRPr="005C28E7" w:rsidRDefault="003E2C6A" w:rsidP="003E2C6A">
            <w:pPr>
              <w:widowControl/>
              <w:spacing w:before="20" w:after="40" w:line="240" w:lineRule="exact"/>
              <w:jc w:val="center"/>
              <w:rPr>
                <w:kern w:val="0"/>
                <w:sz w:val="20"/>
                <w:szCs w:val="20"/>
              </w:rPr>
            </w:pPr>
            <w:r w:rsidRPr="005C28E7">
              <w:rPr>
                <w:kern w:val="0"/>
                <w:sz w:val="20"/>
                <w:szCs w:val="20"/>
              </w:rPr>
              <w:t xml:space="preserve">5 </w:t>
            </w:r>
          </w:p>
        </w:tc>
        <w:tc>
          <w:tcPr>
            <w:tcW w:w="999" w:type="dxa"/>
            <w:tcBorders>
              <w:top w:val="dotted" w:sz="4" w:space="0" w:color="auto"/>
              <w:bottom w:val="single" w:sz="4" w:space="0" w:color="auto"/>
            </w:tcBorders>
            <w:shd w:val="clear" w:color="auto" w:fill="auto"/>
            <w:noWrap/>
            <w:vAlign w:val="bottom"/>
          </w:tcPr>
          <w:p w14:paraId="2B70711E" w14:textId="77777777" w:rsidR="003E2C6A" w:rsidRPr="005C28E7" w:rsidRDefault="003E2C6A" w:rsidP="003E2C6A">
            <w:pPr>
              <w:widowControl/>
              <w:spacing w:before="20" w:after="40" w:line="240" w:lineRule="exact"/>
              <w:jc w:val="center"/>
              <w:rPr>
                <w:kern w:val="0"/>
                <w:sz w:val="20"/>
                <w:szCs w:val="20"/>
              </w:rPr>
            </w:pPr>
            <w:r w:rsidRPr="005C28E7">
              <w:rPr>
                <w:kern w:val="0"/>
                <w:sz w:val="20"/>
                <w:szCs w:val="20"/>
              </w:rPr>
              <w:t xml:space="preserve">6 </w:t>
            </w:r>
          </w:p>
        </w:tc>
        <w:tc>
          <w:tcPr>
            <w:tcW w:w="999" w:type="dxa"/>
            <w:tcBorders>
              <w:top w:val="dotted" w:sz="4" w:space="0" w:color="auto"/>
              <w:bottom w:val="single" w:sz="4" w:space="0" w:color="auto"/>
            </w:tcBorders>
            <w:shd w:val="clear" w:color="auto" w:fill="auto"/>
            <w:noWrap/>
            <w:vAlign w:val="bottom"/>
          </w:tcPr>
          <w:p w14:paraId="13B05721" w14:textId="77777777" w:rsidR="003E2C6A" w:rsidRPr="005C28E7" w:rsidRDefault="003E2C6A" w:rsidP="003E2C6A">
            <w:pPr>
              <w:widowControl/>
              <w:spacing w:before="20" w:after="40" w:line="240" w:lineRule="exact"/>
              <w:jc w:val="center"/>
              <w:rPr>
                <w:kern w:val="0"/>
                <w:sz w:val="20"/>
                <w:szCs w:val="20"/>
              </w:rPr>
            </w:pPr>
            <w:r w:rsidRPr="005C28E7">
              <w:rPr>
                <w:kern w:val="0"/>
                <w:sz w:val="20"/>
                <w:szCs w:val="20"/>
              </w:rPr>
              <w:t xml:space="preserve">7 </w:t>
            </w:r>
          </w:p>
        </w:tc>
        <w:tc>
          <w:tcPr>
            <w:tcW w:w="999" w:type="dxa"/>
            <w:tcBorders>
              <w:top w:val="dotted" w:sz="4" w:space="0" w:color="auto"/>
              <w:bottom w:val="single" w:sz="4" w:space="0" w:color="auto"/>
            </w:tcBorders>
            <w:shd w:val="clear" w:color="auto" w:fill="auto"/>
            <w:noWrap/>
            <w:vAlign w:val="bottom"/>
          </w:tcPr>
          <w:p w14:paraId="6F0B4E8C" w14:textId="77777777" w:rsidR="003E2C6A" w:rsidRPr="005C28E7" w:rsidRDefault="003E2C6A" w:rsidP="003E2C6A">
            <w:pPr>
              <w:widowControl/>
              <w:spacing w:before="20" w:after="40" w:line="240" w:lineRule="exact"/>
              <w:jc w:val="center"/>
              <w:rPr>
                <w:kern w:val="0"/>
                <w:sz w:val="20"/>
                <w:szCs w:val="20"/>
              </w:rPr>
            </w:pPr>
            <w:r w:rsidRPr="005C28E7">
              <w:rPr>
                <w:kern w:val="0"/>
                <w:sz w:val="20"/>
                <w:szCs w:val="20"/>
              </w:rPr>
              <w:t xml:space="preserve">8 </w:t>
            </w:r>
          </w:p>
        </w:tc>
        <w:tc>
          <w:tcPr>
            <w:tcW w:w="999" w:type="dxa"/>
            <w:tcBorders>
              <w:top w:val="dotted" w:sz="4" w:space="0" w:color="auto"/>
              <w:bottom w:val="single" w:sz="4" w:space="0" w:color="auto"/>
            </w:tcBorders>
            <w:shd w:val="clear" w:color="auto" w:fill="auto"/>
            <w:noWrap/>
            <w:vAlign w:val="bottom"/>
          </w:tcPr>
          <w:p w14:paraId="1FD14E97" w14:textId="77777777" w:rsidR="003E2C6A" w:rsidRPr="005C28E7" w:rsidRDefault="003E2C6A" w:rsidP="003E2C6A">
            <w:pPr>
              <w:widowControl/>
              <w:spacing w:before="20" w:after="40" w:line="240" w:lineRule="exact"/>
              <w:jc w:val="center"/>
              <w:rPr>
                <w:kern w:val="0"/>
                <w:sz w:val="20"/>
                <w:szCs w:val="20"/>
              </w:rPr>
            </w:pPr>
            <w:r w:rsidRPr="005C28E7">
              <w:rPr>
                <w:kern w:val="0"/>
                <w:sz w:val="20"/>
                <w:szCs w:val="20"/>
              </w:rPr>
              <w:t xml:space="preserve">9 </w:t>
            </w:r>
          </w:p>
        </w:tc>
        <w:tc>
          <w:tcPr>
            <w:tcW w:w="1170" w:type="dxa"/>
            <w:gridSpan w:val="2"/>
            <w:vMerge/>
            <w:tcBorders>
              <w:bottom w:val="single" w:sz="4" w:space="0" w:color="auto"/>
            </w:tcBorders>
            <w:shd w:val="clear" w:color="auto" w:fill="auto"/>
            <w:noWrap/>
            <w:vAlign w:val="center"/>
          </w:tcPr>
          <w:p w14:paraId="6DE25C0B" w14:textId="3EDBECC8" w:rsidR="003E2C6A" w:rsidRPr="005C28E7" w:rsidRDefault="003E2C6A" w:rsidP="003E2C6A">
            <w:pPr>
              <w:widowControl/>
              <w:spacing w:before="60" w:after="60" w:line="240" w:lineRule="exact"/>
              <w:jc w:val="center"/>
              <w:rPr>
                <w:kern w:val="0"/>
                <w:sz w:val="20"/>
                <w:szCs w:val="20"/>
              </w:rPr>
            </w:pPr>
          </w:p>
        </w:tc>
      </w:tr>
      <w:tr w:rsidR="005C28E7" w:rsidRPr="005C28E7" w14:paraId="5D6000C6" w14:textId="77777777" w:rsidTr="00895A95">
        <w:tc>
          <w:tcPr>
            <w:tcW w:w="13230" w:type="dxa"/>
            <w:gridSpan w:val="13"/>
            <w:tcBorders>
              <w:top w:val="single" w:sz="4" w:space="0" w:color="auto"/>
            </w:tcBorders>
            <w:shd w:val="clear" w:color="auto" w:fill="auto"/>
            <w:noWrap/>
            <w:vAlign w:val="bottom"/>
          </w:tcPr>
          <w:p w14:paraId="211929A9" w14:textId="6B21101F" w:rsidR="003E2C6A" w:rsidRPr="005C28E7" w:rsidRDefault="003E2C6A" w:rsidP="00E92CD5">
            <w:pPr>
              <w:widowControl/>
              <w:spacing w:before="60" w:after="40" w:line="240" w:lineRule="exact"/>
              <w:rPr>
                <w:kern w:val="0"/>
                <w:sz w:val="20"/>
                <w:szCs w:val="20"/>
              </w:rPr>
            </w:pPr>
            <w:r w:rsidRPr="005C28E7">
              <w:rPr>
                <w:kern w:val="0"/>
                <w:sz w:val="20"/>
                <w:szCs w:val="20"/>
              </w:rPr>
              <w:t>Panel A:</w:t>
            </w:r>
            <w:r w:rsidRPr="005C28E7">
              <w:rPr>
                <w:kern w:val="0"/>
                <w:sz w:val="16"/>
                <w:szCs w:val="20"/>
              </w:rPr>
              <w:t xml:space="preserve">  </w:t>
            </w:r>
            <w:r w:rsidRPr="005C28E7">
              <w:rPr>
                <w:kern w:val="0"/>
                <w:sz w:val="20"/>
                <w:szCs w:val="20"/>
              </w:rPr>
              <w:t>Market Value (</w:t>
            </w:r>
            <w:r w:rsidRPr="005C28E7">
              <w:rPr>
                <w:i/>
                <w:kern w:val="0"/>
                <w:sz w:val="20"/>
                <w:szCs w:val="20"/>
              </w:rPr>
              <w:t>Size</w:t>
            </w:r>
            <w:r w:rsidRPr="005C28E7">
              <w:rPr>
                <w:kern w:val="0"/>
                <w:sz w:val="20"/>
                <w:szCs w:val="20"/>
              </w:rPr>
              <w:t>)</w:t>
            </w:r>
          </w:p>
        </w:tc>
      </w:tr>
      <w:tr w:rsidR="005C28E7" w:rsidRPr="005C28E7" w14:paraId="7A92BC73" w14:textId="77777777" w:rsidTr="00E92CD5">
        <w:tc>
          <w:tcPr>
            <w:tcW w:w="2070" w:type="dxa"/>
            <w:shd w:val="clear" w:color="auto" w:fill="auto"/>
            <w:noWrap/>
            <w:vAlign w:val="bottom"/>
          </w:tcPr>
          <w:p w14:paraId="470A979A" w14:textId="77777777" w:rsidR="003E2C6A" w:rsidRPr="005C28E7" w:rsidRDefault="003E2C6A" w:rsidP="00E92CD5">
            <w:pPr>
              <w:widowControl/>
              <w:spacing w:before="20" w:after="40" w:line="240" w:lineRule="exact"/>
              <w:ind w:left="216"/>
              <w:rPr>
                <w:i/>
                <w:kern w:val="0"/>
                <w:sz w:val="20"/>
                <w:szCs w:val="20"/>
              </w:rPr>
            </w:pPr>
            <w:r w:rsidRPr="005C28E7">
              <w:rPr>
                <w:i/>
                <w:kern w:val="0"/>
                <w:sz w:val="20"/>
                <w:szCs w:val="20"/>
              </w:rPr>
              <w:t>Downside Risk</w:t>
            </w:r>
          </w:p>
        </w:tc>
        <w:tc>
          <w:tcPr>
            <w:tcW w:w="999" w:type="dxa"/>
            <w:shd w:val="clear" w:color="auto" w:fill="auto"/>
            <w:noWrap/>
          </w:tcPr>
          <w:p w14:paraId="7C66C975"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0.9533 </w:t>
            </w:r>
          </w:p>
        </w:tc>
        <w:tc>
          <w:tcPr>
            <w:tcW w:w="999" w:type="dxa"/>
            <w:shd w:val="clear" w:color="auto" w:fill="auto"/>
            <w:noWrap/>
          </w:tcPr>
          <w:p w14:paraId="0E4B7788"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1.0628 </w:t>
            </w:r>
          </w:p>
        </w:tc>
        <w:tc>
          <w:tcPr>
            <w:tcW w:w="999" w:type="dxa"/>
            <w:shd w:val="clear" w:color="auto" w:fill="auto"/>
            <w:noWrap/>
          </w:tcPr>
          <w:p w14:paraId="003550C9"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1.1543 </w:t>
            </w:r>
          </w:p>
        </w:tc>
        <w:tc>
          <w:tcPr>
            <w:tcW w:w="999" w:type="dxa"/>
            <w:shd w:val="clear" w:color="auto" w:fill="auto"/>
            <w:noWrap/>
          </w:tcPr>
          <w:p w14:paraId="1868E139"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1.1779 </w:t>
            </w:r>
          </w:p>
        </w:tc>
        <w:tc>
          <w:tcPr>
            <w:tcW w:w="999" w:type="dxa"/>
            <w:shd w:val="clear" w:color="auto" w:fill="auto"/>
            <w:noWrap/>
          </w:tcPr>
          <w:p w14:paraId="0A951603"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1.2162 </w:t>
            </w:r>
          </w:p>
        </w:tc>
        <w:tc>
          <w:tcPr>
            <w:tcW w:w="999" w:type="dxa"/>
            <w:shd w:val="clear" w:color="auto" w:fill="auto"/>
            <w:noWrap/>
          </w:tcPr>
          <w:p w14:paraId="147A2BD1"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1.2924 </w:t>
            </w:r>
          </w:p>
        </w:tc>
        <w:tc>
          <w:tcPr>
            <w:tcW w:w="999" w:type="dxa"/>
            <w:shd w:val="clear" w:color="auto" w:fill="auto"/>
            <w:noWrap/>
          </w:tcPr>
          <w:p w14:paraId="2DEFBBD6"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1.2952 </w:t>
            </w:r>
          </w:p>
        </w:tc>
        <w:tc>
          <w:tcPr>
            <w:tcW w:w="999" w:type="dxa"/>
            <w:shd w:val="clear" w:color="auto" w:fill="auto"/>
            <w:noWrap/>
          </w:tcPr>
          <w:p w14:paraId="6105D4A4"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1.3787 </w:t>
            </w:r>
          </w:p>
        </w:tc>
        <w:tc>
          <w:tcPr>
            <w:tcW w:w="999" w:type="dxa"/>
            <w:shd w:val="clear" w:color="auto" w:fill="auto"/>
            <w:noWrap/>
          </w:tcPr>
          <w:p w14:paraId="37BB8A12"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1.4532 </w:t>
            </w:r>
          </w:p>
        </w:tc>
        <w:tc>
          <w:tcPr>
            <w:tcW w:w="999" w:type="dxa"/>
            <w:shd w:val="clear" w:color="auto" w:fill="auto"/>
            <w:noWrap/>
          </w:tcPr>
          <w:p w14:paraId="30AC9CFF"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1.3459 </w:t>
            </w:r>
          </w:p>
        </w:tc>
        <w:tc>
          <w:tcPr>
            <w:tcW w:w="810" w:type="dxa"/>
            <w:shd w:val="clear" w:color="auto" w:fill="auto"/>
            <w:noWrap/>
          </w:tcPr>
          <w:p w14:paraId="690FAEE9" w14:textId="77777777" w:rsidR="003E2C6A" w:rsidRPr="005C28E7" w:rsidRDefault="003E2C6A" w:rsidP="00E92CD5">
            <w:pPr>
              <w:spacing w:before="20" w:after="40" w:line="240" w:lineRule="exact"/>
              <w:ind w:left="-29" w:right="-14"/>
              <w:jc w:val="right"/>
              <w:rPr>
                <w:sz w:val="20"/>
                <w:szCs w:val="20"/>
              </w:rPr>
            </w:pPr>
            <w:r w:rsidRPr="005C28E7">
              <w:rPr>
                <w:sz w:val="20"/>
                <w:szCs w:val="20"/>
              </w:rPr>
              <w:t xml:space="preserve">0.3926 </w:t>
            </w:r>
          </w:p>
        </w:tc>
        <w:tc>
          <w:tcPr>
            <w:tcW w:w="360" w:type="dxa"/>
            <w:shd w:val="clear" w:color="auto" w:fill="auto"/>
            <w:noWrap/>
            <w:vAlign w:val="bottom"/>
          </w:tcPr>
          <w:p w14:paraId="19B61D67" w14:textId="77777777" w:rsidR="003E2C6A" w:rsidRPr="005C28E7" w:rsidRDefault="003E2C6A" w:rsidP="00E92CD5">
            <w:pPr>
              <w:widowControl/>
              <w:spacing w:before="20" w:after="40" w:line="240" w:lineRule="exact"/>
              <w:ind w:left="-29" w:right="-14"/>
              <w:rPr>
                <w:kern w:val="0"/>
                <w:sz w:val="18"/>
                <w:szCs w:val="20"/>
              </w:rPr>
            </w:pPr>
            <w:r w:rsidRPr="005C28E7">
              <w:rPr>
                <w:kern w:val="0"/>
                <w:sz w:val="18"/>
                <w:szCs w:val="20"/>
              </w:rPr>
              <w:t>***</w:t>
            </w:r>
          </w:p>
        </w:tc>
      </w:tr>
      <w:tr w:rsidR="005C28E7" w:rsidRPr="005C28E7" w14:paraId="5DC3F529" w14:textId="77777777" w:rsidTr="00E92CD5">
        <w:tc>
          <w:tcPr>
            <w:tcW w:w="2070" w:type="dxa"/>
            <w:shd w:val="clear" w:color="auto" w:fill="auto"/>
            <w:noWrap/>
            <w:vAlign w:val="bottom"/>
          </w:tcPr>
          <w:p w14:paraId="6A548548" w14:textId="77777777" w:rsidR="003E2C6A" w:rsidRPr="005C28E7" w:rsidRDefault="003E2C6A" w:rsidP="00E92CD5">
            <w:pPr>
              <w:widowControl/>
              <w:spacing w:before="20" w:after="40" w:line="240" w:lineRule="exact"/>
              <w:ind w:left="216"/>
              <w:rPr>
                <w:i/>
                <w:kern w:val="0"/>
                <w:sz w:val="20"/>
                <w:szCs w:val="20"/>
              </w:rPr>
            </w:pPr>
            <w:r w:rsidRPr="005C28E7">
              <w:rPr>
                <w:i/>
                <w:kern w:val="0"/>
                <w:sz w:val="20"/>
                <w:szCs w:val="20"/>
              </w:rPr>
              <w:t>Upside Risk</w:t>
            </w:r>
          </w:p>
        </w:tc>
        <w:tc>
          <w:tcPr>
            <w:tcW w:w="999" w:type="dxa"/>
            <w:shd w:val="clear" w:color="auto" w:fill="auto"/>
            <w:noWrap/>
          </w:tcPr>
          <w:p w14:paraId="4789FE96"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0.8912 </w:t>
            </w:r>
          </w:p>
        </w:tc>
        <w:tc>
          <w:tcPr>
            <w:tcW w:w="999" w:type="dxa"/>
            <w:shd w:val="clear" w:color="auto" w:fill="auto"/>
            <w:noWrap/>
          </w:tcPr>
          <w:p w14:paraId="13F89BC2"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0.9464 </w:t>
            </w:r>
          </w:p>
        </w:tc>
        <w:tc>
          <w:tcPr>
            <w:tcW w:w="999" w:type="dxa"/>
            <w:shd w:val="clear" w:color="auto" w:fill="auto"/>
            <w:noWrap/>
          </w:tcPr>
          <w:p w14:paraId="437C1E18"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1.0245 </w:t>
            </w:r>
          </w:p>
        </w:tc>
        <w:tc>
          <w:tcPr>
            <w:tcW w:w="999" w:type="dxa"/>
            <w:shd w:val="clear" w:color="auto" w:fill="auto"/>
            <w:noWrap/>
          </w:tcPr>
          <w:p w14:paraId="0B9B568A"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1.0634 </w:t>
            </w:r>
          </w:p>
        </w:tc>
        <w:tc>
          <w:tcPr>
            <w:tcW w:w="999" w:type="dxa"/>
            <w:shd w:val="clear" w:color="auto" w:fill="auto"/>
            <w:noWrap/>
          </w:tcPr>
          <w:p w14:paraId="61539B1C"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1.1013 </w:t>
            </w:r>
          </w:p>
        </w:tc>
        <w:tc>
          <w:tcPr>
            <w:tcW w:w="999" w:type="dxa"/>
            <w:shd w:val="clear" w:color="auto" w:fill="auto"/>
            <w:noWrap/>
          </w:tcPr>
          <w:p w14:paraId="5F727D1A"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1.1776 </w:t>
            </w:r>
          </w:p>
        </w:tc>
        <w:tc>
          <w:tcPr>
            <w:tcW w:w="999" w:type="dxa"/>
            <w:shd w:val="clear" w:color="auto" w:fill="auto"/>
            <w:noWrap/>
          </w:tcPr>
          <w:p w14:paraId="463638EB"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1.2079 </w:t>
            </w:r>
          </w:p>
        </w:tc>
        <w:tc>
          <w:tcPr>
            <w:tcW w:w="999" w:type="dxa"/>
            <w:shd w:val="clear" w:color="auto" w:fill="auto"/>
            <w:noWrap/>
          </w:tcPr>
          <w:p w14:paraId="29326D7C"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1.2685 </w:t>
            </w:r>
          </w:p>
        </w:tc>
        <w:tc>
          <w:tcPr>
            <w:tcW w:w="999" w:type="dxa"/>
            <w:shd w:val="clear" w:color="auto" w:fill="auto"/>
            <w:noWrap/>
          </w:tcPr>
          <w:p w14:paraId="0E9EE6EC"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1.4080 </w:t>
            </w:r>
          </w:p>
        </w:tc>
        <w:tc>
          <w:tcPr>
            <w:tcW w:w="999" w:type="dxa"/>
            <w:shd w:val="clear" w:color="auto" w:fill="auto"/>
            <w:noWrap/>
          </w:tcPr>
          <w:p w14:paraId="010D9A0B"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1.4304 </w:t>
            </w:r>
          </w:p>
        </w:tc>
        <w:tc>
          <w:tcPr>
            <w:tcW w:w="810" w:type="dxa"/>
            <w:shd w:val="clear" w:color="auto" w:fill="auto"/>
            <w:noWrap/>
          </w:tcPr>
          <w:p w14:paraId="01DB5537" w14:textId="77777777" w:rsidR="003E2C6A" w:rsidRPr="005C28E7" w:rsidRDefault="003E2C6A" w:rsidP="00E92CD5">
            <w:pPr>
              <w:spacing w:before="20" w:after="40" w:line="240" w:lineRule="exact"/>
              <w:ind w:left="-29" w:right="-14"/>
              <w:jc w:val="right"/>
              <w:rPr>
                <w:sz w:val="20"/>
                <w:szCs w:val="20"/>
              </w:rPr>
            </w:pPr>
            <w:r w:rsidRPr="005C28E7">
              <w:rPr>
                <w:sz w:val="20"/>
                <w:szCs w:val="20"/>
              </w:rPr>
              <w:t xml:space="preserve">0.5392 </w:t>
            </w:r>
          </w:p>
        </w:tc>
        <w:tc>
          <w:tcPr>
            <w:tcW w:w="360" w:type="dxa"/>
            <w:shd w:val="clear" w:color="auto" w:fill="auto"/>
            <w:noWrap/>
            <w:vAlign w:val="bottom"/>
          </w:tcPr>
          <w:p w14:paraId="5660E1D1" w14:textId="77777777" w:rsidR="003E2C6A" w:rsidRPr="005C28E7" w:rsidRDefault="003E2C6A" w:rsidP="00E92CD5">
            <w:pPr>
              <w:widowControl/>
              <w:spacing w:before="20" w:after="40" w:line="240" w:lineRule="exact"/>
              <w:ind w:left="-29" w:right="-14"/>
              <w:rPr>
                <w:kern w:val="0"/>
                <w:sz w:val="18"/>
                <w:szCs w:val="20"/>
              </w:rPr>
            </w:pPr>
            <w:r w:rsidRPr="005C28E7">
              <w:rPr>
                <w:kern w:val="0"/>
                <w:sz w:val="18"/>
                <w:szCs w:val="20"/>
              </w:rPr>
              <w:t>***</w:t>
            </w:r>
          </w:p>
        </w:tc>
      </w:tr>
      <w:tr w:rsidR="005C28E7" w:rsidRPr="005C28E7" w14:paraId="3F85DD3A" w14:textId="77777777" w:rsidTr="00E92CD5">
        <w:tc>
          <w:tcPr>
            <w:tcW w:w="2070" w:type="dxa"/>
            <w:shd w:val="clear" w:color="auto" w:fill="auto"/>
            <w:noWrap/>
            <w:vAlign w:val="bottom"/>
          </w:tcPr>
          <w:p w14:paraId="41A11C82" w14:textId="77777777" w:rsidR="003E2C6A" w:rsidRPr="005C28E7" w:rsidRDefault="003E2C6A" w:rsidP="00E92CD5">
            <w:pPr>
              <w:widowControl/>
              <w:spacing w:before="20" w:after="40" w:line="240" w:lineRule="exact"/>
              <w:ind w:left="216"/>
              <w:rPr>
                <w:i/>
                <w:kern w:val="0"/>
                <w:sz w:val="20"/>
                <w:szCs w:val="20"/>
              </w:rPr>
            </w:pPr>
            <w:r w:rsidRPr="005C28E7">
              <w:rPr>
                <w:i/>
                <w:kern w:val="0"/>
                <w:sz w:val="20"/>
                <w:szCs w:val="20"/>
              </w:rPr>
              <w:t>Asymmetric Risk</w:t>
            </w:r>
          </w:p>
        </w:tc>
        <w:tc>
          <w:tcPr>
            <w:tcW w:w="999" w:type="dxa"/>
            <w:shd w:val="clear" w:color="auto" w:fill="auto"/>
            <w:noWrap/>
          </w:tcPr>
          <w:p w14:paraId="5CCF6F4E"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0.0621 </w:t>
            </w:r>
          </w:p>
        </w:tc>
        <w:tc>
          <w:tcPr>
            <w:tcW w:w="999" w:type="dxa"/>
            <w:shd w:val="clear" w:color="auto" w:fill="auto"/>
            <w:noWrap/>
          </w:tcPr>
          <w:p w14:paraId="1CEDF980"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0.1164 </w:t>
            </w:r>
          </w:p>
        </w:tc>
        <w:tc>
          <w:tcPr>
            <w:tcW w:w="999" w:type="dxa"/>
            <w:shd w:val="clear" w:color="auto" w:fill="auto"/>
            <w:noWrap/>
          </w:tcPr>
          <w:p w14:paraId="70896822"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0.1298 </w:t>
            </w:r>
          </w:p>
        </w:tc>
        <w:tc>
          <w:tcPr>
            <w:tcW w:w="999" w:type="dxa"/>
            <w:shd w:val="clear" w:color="auto" w:fill="auto"/>
            <w:noWrap/>
          </w:tcPr>
          <w:p w14:paraId="626CC8E0"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0.1145 </w:t>
            </w:r>
          </w:p>
        </w:tc>
        <w:tc>
          <w:tcPr>
            <w:tcW w:w="999" w:type="dxa"/>
            <w:shd w:val="clear" w:color="auto" w:fill="auto"/>
            <w:noWrap/>
          </w:tcPr>
          <w:p w14:paraId="02632234"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0.1148 </w:t>
            </w:r>
          </w:p>
        </w:tc>
        <w:tc>
          <w:tcPr>
            <w:tcW w:w="999" w:type="dxa"/>
            <w:shd w:val="clear" w:color="auto" w:fill="auto"/>
            <w:noWrap/>
          </w:tcPr>
          <w:p w14:paraId="3023DCCA"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0.1148 </w:t>
            </w:r>
          </w:p>
        </w:tc>
        <w:tc>
          <w:tcPr>
            <w:tcW w:w="999" w:type="dxa"/>
            <w:shd w:val="clear" w:color="auto" w:fill="auto"/>
            <w:noWrap/>
          </w:tcPr>
          <w:p w14:paraId="6AD9F831"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0.0873 </w:t>
            </w:r>
          </w:p>
        </w:tc>
        <w:tc>
          <w:tcPr>
            <w:tcW w:w="999" w:type="dxa"/>
            <w:shd w:val="clear" w:color="auto" w:fill="auto"/>
            <w:noWrap/>
          </w:tcPr>
          <w:p w14:paraId="4713533B"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0.1102 </w:t>
            </w:r>
          </w:p>
        </w:tc>
        <w:tc>
          <w:tcPr>
            <w:tcW w:w="999" w:type="dxa"/>
            <w:shd w:val="clear" w:color="auto" w:fill="auto"/>
            <w:noWrap/>
          </w:tcPr>
          <w:p w14:paraId="4B6CD9C5"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0.0452 </w:t>
            </w:r>
          </w:p>
        </w:tc>
        <w:tc>
          <w:tcPr>
            <w:tcW w:w="999" w:type="dxa"/>
            <w:shd w:val="clear" w:color="auto" w:fill="auto"/>
            <w:noWrap/>
          </w:tcPr>
          <w:p w14:paraId="29EB4484" w14:textId="1C21146C" w:rsidR="003E2C6A" w:rsidRPr="005C28E7" w:rsidRDefault="00E92CD5" w:rsidP="00E92CD5">
            <w:pPr>
              <w:spacing w:before="20" w:after="40" w:line="240" w:lineRule="exact"/>
              <w:ind w:left="-202" w:right="202"/>
              <w:jc w:val="right"/>
              <w:rPr>
                <w:sz w:val="20"/>
                <w:szCs w:val="20"/>
              </w:rPr>
            </w:pPr>
            <w:r w:rsidRPr="005C28E7">
              <w:rPr>
                <w:position w:val="2"/>
                <w:sz w:val="12"/>
                <w:szCs w:val="20"/>
              </w:rPr>
              <w:t>–</w:t>
            </w:r>
            <w:r w:rsidR="003E2C6A" w:rsidRPr="005C28E7">
              <w:rPr>
                <w:sz w:val="20"/>
                <w:szCs w:val="20"/>
              </w:rPr>
              <w:t xml:space="preserve">0.0845 </w:t>
            </w:r>
          </w:p>
        </w:tc>
        <w:tc>
          <w:tcPr>
            <w:tcW w:w="810" w:type="dxa"/>
            <w:shd w:val="clear" w:color="auto" w:fill="auto"/>
            <w:noWrap/>
          </w:tcPr>
          <w:p w14:paraId="41B04FA6" w14:textId="2FEE37C0" w:rsidR="003E2C6A" w:rsidRPr="005C28E7" w:rsidRDefault="00E92CD5" w:rsidP="00E92CD5">
            <w:pPr>
              <w:spacing w:before="20" w:after="40" w:line="240" w:lineRule="exact"/>
              <w:ind w:left="-29" w:right="-14"/>
              <w:jc w:val="right"/>
              <w:rPr>
                <w:sz w:val="20"/>
                <w:szCs w:val="20"/>
              </w:rPr>
            </w:pPr>
            <w:r w:rsidRPr="005C28E7">
              <w:rPr>
                <w:position w:val="2"/>
                <w:sz w:val="12"/>
                <w:szCs w:val="20"/>
              </w:rPr>
              <w:t>–</w:t>
            </w:r>
            <w:r w:rsidR="003E2C6A" w:rsidRPr="005C28E7">
              <w:rPr>
                <w:sz w:val="20"/>
                <w:szCs w:val="20"/>
              </w:rPr>
              <w:t xml:space="preserve">0.1466 </w:t>
            </w:r>
          </w:p>
        </w:tc>
        <w:tc>
          <w:tcPr>
            <w:tcW w:w="360" w:type="dxa"/>
            <w:shd w:val="clear" w:color="auto" w:fill="auto"/>
            <w:noWrap/>
            <w:vAlign w:val="bottom"/>
          </w:tcPr>
          <w:p w14:paraId="23EC6906" w14:textId="77777777" w:rsidR="003E2C6A" w:rsidRPr="005C28E7" w:rsidRDefault="003E2C6A" w:rsidP="00E92CD5">
            <w:pPr>
              <w:widowControl/>
              <w:spacing w:before="20" w:after="40" w:line="240" w:lineRule="exact"/>
              <w:ind w:left="-29" w:right="-14"/>
              <w:rPr>
                <w:kern w:val="0"/>
                <w:sz w:val="18"/>
                <w:szCs w:val="20"/>
              </w:rPr>
            </w:pPr>
            <w:r w:rsidRPr="005C28E7">
              <w:rPr>
                <w:kern w:val="0"/>
                <w:sz w:val="18"/>
                <w:szCs w:val="20"/>
              </w:rPr>
              <w:t>***</w:t>
            </w:r>
          </w:p>
        </w:tc>
      </w:tr>
      <w:tr w:rsidR="005C28E7" w:rsidRPr="005C28E7" w14:paraId="4524A322" w14:textId="77777777" w:rsidTr="00895A95">
        <w:tc>
          <w:tcPr>
            <w:tcW w:w="2070" w:type="dxa"/>
            <w:tcBorders>
              <w:bottom w:val="dotted" w:sz="4" w:space="0" w:color="auto"/>
            </w:tcBorders>
            <w:shd w:val="clear" w:color="auto" w:fill="auto"/>
            <w:noWrap/>
            <w:vAlign w:val="bottom"/>
          </w:tcPr>
          <w:p w14:paraId="0D84CFF1" w14:textId="77777777" w:rsidR="003E2C6A" w:rsidRPr="005C28E7" w:rsidRDefault="003E2C6A" w:rsidP="00E92CD5">
            <w:pPr>
              <w:widowControl/>
              <w:spacing w:before="20" w:after="60" w:line="240" w:lineRule="exact"/>
              <w:ind w:left="216"/>
              <w:rPr>
                <w:i/>
                <w:kern w:val="0"/>
                <w:sz w:val="20"/>
                <w:szCs w:val="20"/>
              </w:rPr>
            </w:pPr>
            <w:r w:rsidRPr="005C28E7">
              <w:rPr>
                <w:i/>
                <w:kern w:val="0"/>
                <w:sz w:val="20"/>
                <w:szCs w:val="20"/>
              </w:rPr>
              <w:t>Market Risk</w:t>
            </w:r>
          </w:p>
        </w:tc>
        <w:tc>
          <w:tcPr>
            <w:tcW w:w="999" w:type="dxa"/>
            <w:tcBorders>
              <w:bottom w:val="dotted" w:sz="4" w:space="0" w:color="auto"/>
            </w:tcBorders>
            <w:shd w:val="clear" w:color="auto" w:fill="auto"/>
            <w:noWrap/>
          </w:tcPr>
          <w:p w14:paraId="3B2A0A2C"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0.6762 </w:t>
            </w:r>
          </w:p>
        </w:tc>
        <w:tc>
          <w:tcPr>
            <w:tcW w:w="999" w:type="dxa"/>
            <w:tcBorders>
              <w:bottom w:val="dotted" w:sz="4" w:space="0" w:color="auto"/>
            </w:tcBorders>
            <w:shd w:val="clear" w:color="auto" w:fill="auto"/>
            <w:noWrap/>
          </w:tcPr>
          <w:p w14:paraId="56D5079C"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0.7375 </w:t>
            </w:r>
          </w:p>
        </w:tc>
        <w:tc>
          <w:tcPr>
            <w:tcW w:w="999" w:type="dxa"/>
            <w:tcBorders>
              <w:bottom w:val="dotted" w:sz="4" w:space="0" w:color="auto"/>
            </w:tcBorders>
            <w:shd w:val="clear" w:color="auto" w:fill="auto"/>
            <w:noWrap/>
          </w:tcPr>
          <w:p w14:paraId="4591CC67"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0.7975 </w:t>
            </w:r>
          </w:p>
        </w:tc>
        <w:tc>
          <w:tcPr>
            <w:tcW w:w="999" w:type="dxa"/>
            <w:tcBorders>
              <w:bottom w:val="dotted" w:sz="4" w:space="0" w:color="auto"/>
            </w:tcBorders>
            <w:shd w:val="clear" w:color="auto" w:fill="auto"/>
            <w:noWrap/>
          </w:tcPr>
          <w:p w14:paraId="055B785E"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0.8201 </w:t>
            </w:r>
          </w:p>
        </w:tc>
        <w:tc>
          <w:tcPr>
            <w:tcW w:w="999" w:type="dxa"/>
            <w:tcBorders>
              <w:bottom w:val="dotted" w:sz="4" w:space="0" w:color="auto"/>
            </w:tcBorders>
            <w:shd w:val="clear" w:color="auto" w:fill="auto"/>
            <w:noWrap/>
          </w:tcPr>
          <w:p w14:paraId="212565AC"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0.8478 </w:t>
            </w:r>
          </w:p>
        </w:tc>
        <w:tc>
          <w:tcPr>
            <w:tcW w:w="999" w:type="dxa"/>
            <w:tcBorders>
              <w:bottom w:val="dotted" w:sz="4" w:space="0" w:color="auto"/>
            </w:tcBorders>
            <w:shd w:val="clear" w:color="auto" w:fill="auto"/>
            <w:noWrap/>
          </w:tcPr>
          <w:p w14:paraId="32BA41D0"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0.9026 </w:t>
            </w:r>
          </w:p>
        </w:tc>
        <w:tc>
          <w:tcPr>
            <w:tcW w:w="999" w:type="dxa"/>
            <w:tcBorders>
              <w:bottom w:val="dotted" w:sz="4" w:space="0" w:color="auto"/>
            </w:tcBorders>
            <w:shd w:val="clear" w:color="auto" w:fill="auto"/>
            <w:noWrap/>
          </w:tcPr>
          <w:p w14:paraId="2E7BA999"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0.9152 </w:t>
            </w:r>
          </w:p>
        </w:tc>
        <w:tc>
          <w:tcPr>
            <w:tcW w:w="999" w:type="dxa"/>
            <w:tcBorders>
              <w:bottom w:val="dotted" w:sz="4" w:space="0" w:color="auto"/>
            </w:tcBorders>
            <w:shd w:val="clear" w:color="auto" w:fill="auto"/>
            <w:noWrap/>
          </w:tcPr>
          <w:p w14:paraId="59260EAC"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0.9679 </w:t>
            </w:r>
          </w:p>
        </w:tc>
        <w:tc>
          <w:tcPr>
            <w:tcW w:w="999" w:type="dxa"/>
            <w:tcBorders>
              <w:bottom w:val="dotted" w:sz="4" w:space="0" w:color="auto"/>
            </w:tcBorders>
            <w:shd w:val="clear" w:color="auto" w:fill="auto"/>
            <w:noWrap/>
          </w:tcPr>
          <w:p w14:paraId="240DD040"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1.0430 </w:t>
            </w:r>
          </w:p>
        </w:tc>
        <w:tc>
          <w:tcPr>
            <w:tcW w:w="999" w:type="dxa"/>
            <w:tcBorders>
              <w:bottom w:val="dotted" w:sz="4" w:space="0" w:color="auto"/>
            </w:tcBorders>
            <w:shd w:val="clear" w:color="auto" w:fill="auto"/>
            <w:noWrap/>
          </w:tcPr>
          <w:p w14:paraId="40FAF314"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1.0096 </w:t>
            </w:r>
          </w:p>
        </w:tc>
        <w:tc>
          <w:tcPr>
            <w:tcW w:w="810" w:type="dxa"/>
            <w:tcBorders>
              <w:bottom w:val="dotted" w:sz="4" w:space="0" w:color="auto"/>
            </w:tcBorders>
            <w:shd w:val="clear" w:color="auto" w:fill="auto"/>
            <w:noWrap/>
          </w:tcPr>
          <w:p w14:paraId="764C1935" w14:textId="77777777" w:rsidR="003E2C6A" w:rsidRPr="005C28E7" w:rsidRDefault="003E2C6A" w:rsidP="00E92CD5">
            <w:pPr>
              <w:spacing w:before="20" w:after="60" w:line="240" w:lineRule="exact"/>
              <w:ind w:left="-29" w:right="-14"/>
              <w:jc w:val="right"/>
              <w:rPr>
                <w:sz w:val="20"/>
                <w:szCs w:val="20"/>
              </w:rPr>
            </w:pPr>
            <w:r w:rsidRPr="005C28E7">
              <w:rPr>
                <w:sz w:val="20"/>
                <w:szCs w:val="20"/>
              </w:rPr>
              <w:t xml:space="preserve">0.3334 </w:t>
            </w:r>
          </w:p>
        </w:tc>
        <w:tc>
          <w:tcPr>
            <w:tcW w:w="360" w:type="dxa"/>
            <w:tcBorders>
              <w:bottom w:val="dotted" w:sz="4" w:space="0" w:color="auto"/>
            </w:tcBorders>
            <w:shd w:val="clear" w:color="auto" w:fill="auto"/>
            <w:noWrap/>
            <w:vAlign w:val="bottom"/>
          </w:tcPr>
          <w:p w14:paraId="60700960" w14:textId="77777777" w:rsidR="003E2C6A" w:rsidRPr="005C28E7" w:rsidRDefault="003E2C6A" w:rsidP="00E92CD5">
            <w:pPr>
              <w:widowControl/>
              <w:spacing w:before="20" w:after="60" w:line="240" w:lineRule="exact"/>
              <w:ind w:left="-29" w:right="-14"/>
              <w:rPr>
                <w:kern w:val="0"/>
                <w:sz w:val="18"/>
                <w:szCs w:val="20"/>
              </w:rPr>
            </w:pPr>
            <w:r w:rsidRPr="005C28E7">
              <w:rPr>
                <w:kern w:val="0"/>
                <w:sz w:val="18"/>
                <w:szCs w:val="20"/>
              </w:rPr>
              <w:t>***</w:t>
            </w:r>
          </w:p>
        </w:tc>
      </w:tr>
      <w:tr w:rsidR="005C28E7" w:rsidRPr="005C28E7" w14:paraId="5AC867EA" w14:textId="77777777" w:rsidTr="00895A95">
        <w:tc>
          <w:tcPr>
            <w:tcW w:w="13230" w:type="dxa"/>
            <w:gridSpan w:val="13"/>
            <w:tcBorders>
              <w:top w:val="dotted" w:sz="4" w:space="0" w:color="auto"/>
            </w:tcBorders>
            <w:shd w:val="clear" w:color="auto" w:fill="auto"/>
            <w:noWrap/>
            <w:vAlign w:val="bottom"/>
          </w:tcPr>
          <w:p w14:paraId="16CD3DCC" w14:textId="77777777" w:rsidR="00E92CD5" w:rsidRPr="005C28E7" w:rsidRDefault="00E92CD5" w:rsidP="00AF6A48">
            <w:pPr>
              <w:widowControl/>
              <w:spacing w:before="60" w:after="40" w:line="240" w:lineRule="exact"/>
              <w:rPr>
                <w:kern w:val="0"/>
                <w:sz w:val="20"/>
                <w:szCs w:val="20"/>
              </w:rPr>
            </w:pPr>
            <w:r w:rsidRPr="005C28E7">
              <w:rPr>
                <w:kern w:val="0"/>
                <w:sz w:val="20"/>
                <w:szCs w:val="20"/>
              </w:rPr>
              <w:t>Panel B:</w:t>
            </w:r>
            <w:r w:rsidRPr="005C28E7">
              <w:rPr>
                <w:kern w:val="0"/>
                <w:sz w:val="16"/>
                <w:szCs w:val="20"/>
              </w:rPr>
              <w:t xml:space="preserve">  </w:t>
            </w:r>
            <w:r w:rsidRPr="005C28E7">
              <w:rPr>
                <w:kern w:val="0"/>
                <w:sz w:val="20"/>
                <w:szCs w:val="20"/>
              </w:rPr>
              <w:t>Operating Leverage (</w:t>
            </w:r>
            <w:r w:rsidRPr="005C28E7">
              <w:rPr>
                <w:i/>
                <w:kern w:val="0"/>
                <w:sz w:val="20"/>
                <w:szCs w:val="20"/>
              </w:rPr>
              <w:t>OL</w:t>
            </w:r>
            <w:r w:rsidRPr="005C28E7">
              <w:rPr>
                <w:kern w:val="0"/>
                <w:sz w:val="20"/>
                <w:szCs w:val="20"/>
              </w:rPr>
              <w:t>)</w:t>
            </w:r>
          </w:p>
        </w:tc>
      </w:tr>
      <w:tr w:rsidR="005C28E7" w:rsidRPr="005C28E7" w14:paraId="2A732119" w14:textId="77777777" w:rsidTr="00E92CD5">
        <w:tc>
          <w:tcPr>
            <w:tcW w:w="2070" w:type="dxa"/>
            <w:shd w:val="clear" w:color="auto" w:fill="auto"/>
            <w:noWrap/>
            <w:vAlign w:val="bottom"/>
          </w:tcPr>
          <w:p w14:paraId="7203769B" w14:textId="55E0B33D" w:rsidR="00E92CD5" w:rsidRPr="005C28E7" w:rsidRDefault="00E92CD5" w:rsidP="00E92CD5">
            <w:pPr>
              <w:widowControl/>
              <w:spacing w:before="20" w:after="40" w:line="240" w:lineRule="exact"/>
              <w:ind w:left="216"/>
              <w:rPr>
                <w:i/>
                <w:kern w:val="0"/>
                <w:sz w:val="20"/>
                <w:szCs w:val="20"/>
              </w:rPr>
            </w:pPr>
            <w:r w:rsidRPr="005C28E7">
              <w:rPr>
                <w:i/>
                <w:kern w:val="0"/>
                <w:sz w:val="20"/>
                <w:szCs w:val="20"/>
              </w:rPr>
              <w:t>Downside Risk</w:t>
            </w:r>
          </w:p>
        </w:tc>
        <w:tc>
          <w:tcPr>
            <w:tcW w:w="999" w:type="dxa"/>
            <w:shd w:val="clear" w:color="auto" w:fill="auto"/>
            <w:noWrap/>
          </w:tcPr>
          <w:p w14:paraId="09EA0CAD"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1.2677 </w:t>
            </w:r>
          </w:p>
        </w:tc>
        <w:tc>
          <w:tcPr>
            <w:tcW w:w="999" w:type="dxa"/>
            <w:shd w:val="clear" w:color="auto" w:fill="auto"/>
            <w:noWrap/>
          </w:tcPr>
          <w:p w14:paraId="72F4FFC4"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1.2707 </w:t>
            </w:r>
          </w:p>
        </w:tc>
        <w:tc>
          <w:tcPr>
            <w:tcW w:w="999" w:type="dxa"/>
            <w:shd w:val="clear" w:color="auto" w:fill="auto"/>
            <w:noWrap/>
          </w:tcPr>
          <w:p w14:paraId="3C0507E0"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1.2551 </w:t>
            </w:r>
          </w:p>
        </w:tc>
        <w:tc>
          <w:tcPr>
            <w:tcW w:w="999" w:type="dxa"/>
            <w:shd w:val="clear" w:color="auto" w:fill="auto"/>
            <w:noWrap/>
          </w:tcPr>
          <w:p w14:paraId="280BF804"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1.2901 </w:t>
            </w:r>
          </w:p>
        </w:tc>
        <w:tc>
          <w:tcPr>
            <w:tcW w:w="999" w:type="dxa"/>
            <w:shd w:val="clear" w:color="auto" w:fill="auto"/>
            <w:noWrap/>
          </w:tcPr>
          <w:p w14:paraId="6E366A8C"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1.1795 </w:t>
            </w:r>
          </w:p>
        </w:tc>
        <w:tc>
          <w:tcPr>
            <w:tcW w:w="999" w:type="dxa"/>
            <w:shd w:val="clear" w:color="auto" w:fill="auto"/>
            <w:noWrap/>
          </w:tcPr>
          <w:p w14:paraId="38A2666F"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1.1931 </w:t>
            </w:r>
          </w:p>
        </w:tc>
        <w:tc>
          <w:tcPr>
            <w:tcW w:w="999" w:type="dxa"/>
            <w:shd w:val="clear" w:color="auto" w:fill="auto"/>
            <w:noWrap/>
          </w:tcPr>
          <w:p w14:paraId="4940879E"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1.2091 </w:t>
            </w:r>
          </w:p>
        </w:tc>
        <w:tc>
          <w:tcPr>
            <w:tcW w:w="999" w:type="dxa"/>
            <w:shd w:val="clear" w:color="auto" w:fill="auto"/>
            <w:noWrap/>
          </w:tcPr>
          <w:p w14:paraId="4B9F8354"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1.2569 </w:t>
            </w:r>
          </w:p>
        </w:tc>
        <w:tc>
          <w:tcPr>
            <w:tcW w:w="999" w:type="dxa"/>
            <w:shd w:val="clear" w:color="auto" w:fill="auto"/>
            <w:noWrap/>
          </w:tcPr>
          <w:p w14:paraId="417DF991"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1.2385 </w:t>
            </w:r>
          </w:p>
        </w:tc>
        <w:tc>
          <w:tcPr>
            <w:tcW w:w="999" w:type="dxa"/>
            <w:shd w:val="clear" w:color="auto" w:fill="auto"/>
            <w:noWrap/>
          </w:tcPr>
          <w:p w14:paraId="18DC1787"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1.1690 </w:t>
            </w:r>
          </w:p>
        </w:tc>
        <w:tc>
          <w:tcPr>
            <w:tcW w:w="810" w:type="dxa"/>
            <w:shd w:val="clear" w:color="auto" w:fill="auto"/>
            <w:noWrap/>
          </w:tcPr>
          <w:p w14:paraId="4E7F6671" w14:textId="2F0AB557" w:rsidR="00E92CD5" w:rsidRPr="005C28E7" w:rsidRDefault="00E92CD5" w:rsidP="00E92CD5">
            <w:pPr>
              <w:spacing w:before="20" w:after="40" w:line="240" w:lineRule="exact"/>
              <w:ind w:left="-29" w:right="-14"/>
              <w:jc w:val="right"/>
              <w:rPr>
                <w:sz w:val="20"/>
                <w:szCs w:val="20"/>
              </w:rPr>
            </w:pPr>
            <w:r w:rsidRPr="005C28E7">
              <w:rPr>
                <w:position w:val="2"/>
                <w:sz w:val="12"/>
                <w:szCs w:val="20"/>
              </w:rPr>
              <w:t>–</w:t>
            </w:r>
            <w:r w:rsidRPr="005C28E7">
              <w:rPr>
                <w:sz w:val="20"/>
                <w:szCs w:val="20"/>
              </w:rPr>
              <w:t xml:space="preserve">0.0987 </w:t>
            </w:r>
          </w:p>
        </w:tc>
        <w:tc>
          <w:tcPr>
            <w:tcW w:w="360" w:type="dxa"/>
            <w:shd w:val="clear" w:color="auto" w:fill="auto"/>
            <w:noWrap/>
            <w:vAlign w:val="bottom"/>
          </w:tcPr>
          <w:p w14:paraId="0889D312" w14:textId="77777777" w:rsidR="00E92CD5" w:rsidRPr="005C28E7" w:rsidRDefault="00E92CD5" w:rsidP="00E92CD5">
            <w:pPr>
              <w:widowControl/>
              <w:spacing w:before="20" w:after="40" w:line="240" w:lineRule="exact"/>
              <w:ind w:left="-29" w:right="-14"/>
              <w:rPr>
                <w:kern w:val="0"/>
                <w:sz w:val="18"/>
                <w:szCs w:val="20"/>
              </w:rPr>
            </w:pPr>
          </w:p>
        </w:tc>
      </w:tr>
      <w:tr w:rsidR="005C28E7" w:rsidRPr="005C28E7" w14:paraId="44746451" w14:textId="77777777" w:rsidTr="00E92CD5">
        <w:tc>
          <w:tcPr>
            <w:tcW w:w="2070" w:type="dxa"/>
            <w:shd w:val="clear" w:color="auto" w:fill="auto"/>
            <w:noWrap/>
            <w:vAlign w:val="bottom"/>
          </w:tcPr>
          <w:p w14:paraId="1DC98178" w14:textId="1825D693" w:rsidR="00E92CD5" w:rsidRPr="005C28E7" w:rsidRDefault="00E92CD5" w:rsidP="00E92CD5">
            <w:pPr>
              <w:widowControl/>
              <w:spacing w:before="20" w:after="40" w:line="240" w:lineRule="exact"/>
              <w:ind w:left="216"/>
              <w:rPr>
                <w:i/>
                <w:kern w:val="0"/>
                <w:sz w:val="20"/>
                <w:szCs w:val="20"/>
              </w:rPr>
            </w:pPr>
            <w:r w:rsidRPr="005C28E7">
              <w:rPr>
                <w:i/>
                <w:kern w:val="0"/>
                <w:sz w:val="20"/>
                <w:szCs w:val="20"/>
              </w:rPr>
              <w:t>Upside Risk</w:t>
            </w:r>
          </w:p>
        </w:tc>
        <w:tc>
          <w:tcPr>
            <w:tcW w:w="999" w:type="dxa"/>
            <w:shd w:val="clear" w:color="auto" w:fill="auto"/>
            <w:noWrap/>
          </w:tcPr>
          <w:p w14:paraId="567893B6"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1.1448 </w:t>
            </w:r>
          </w:p>
        </w:tc>
        <w:tc>
          <w:tcPr>
            <w:tcW w:w="999" w:type="dxa"/>
            <w:shd w:val="clear" w:color="auto" w:fill="auto"/>
            <w:noWrap/>
          </w:tcPr>
          <w:p w14:paraId="6AC79304"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1.2021 </w:t>
            </w:r>
          </w:p>
        </w:tc>
        <w:tc>
          <w:tcPr>
            <w:tcW w:w="999" w:type="dxa"/>
            <w:shd w:val="clear" w:color="auto" w:fill="auto"/>
            <w:noWrap/>
          </w:tcPr>
          <w:p w14:paraId="056001DC"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1.1727 </w:t>
            </w:r>
          </w:p>
        </w:tc>
        <w:tc>
          <w:tcPr>
            <w:tcW w:w="999" w:type="dxa"/>
            <w:shd w:val="clear" w:color="auto" w:fill="auto"/>
            <w:noWrap/>
          </w:tcPr>
          <w:p w14:paraId="4F33FCB5"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1.2314 </w:t>
            </w:r>
          </w:p>
        </w:tc>
        <w:tc>
          <w:tcPr>
            <w:tcW w:w="999" w:type="dxa"/>
            <w:shd w:val="clear" w:color="auto" w:fill="auto"/>
            <w:noWrap/>
          </w:tcPr>
          <w:p w14:paraId="187296E7"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1.1171 </w:t>
            </w:r>
          </w:p>
        </w:tc>
        <w:tc>
          <w:tcPr>
            <w:tcW w:w="999" w:type="dxa"/>
            <w:shd w:val="clear" w:color="auto" w:fill="auto"/>
            <w:noWrap/>
          </w:tcPr>
          <w:p w14:paraId="7F13EC03"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1.1258 </w:t>
            </w:r>
          </w:p>
        </w:tc>
        <w:tc>
          <w:tcPr>
            <w:tcW w:w="999" w:type="dxa"/>
            <w:shd w:val="clear" w:color="auto" w:fill="auto"/>
            <w:noWrap/>
          </w:tcPr>
          <w:p w14:paraId="3A5235F6"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1.1433 </w:t>
            </w:r>
          </w:p>
        </w:tc>
        <w:tc>
          <w:tcPr>
            <w:tcW w:w="999" w:type="dxa"/>
            <w:shd w:val="clear" w:color="auto" w:fill="auto"/>
            <w:noWrap/>
          </w:tcPr>
          <w:p w14:paraId="7EECF668"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1.1575 </w:t>
            </w:r>
          </w:p>
        </w:tc>
        <w:tc>
          <w:tcPr>
            <w:tcW w:w="999" w:type="dxa"/>
            <w:shd w:val="clear" w:color="auto" w:fill="auto"/>
            <w:noWrap/>
          </w:tcPr>
          <w:p w14:paraId="63B5DE07"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1.1455 </w:t>
            </w:r>
          </w:p>
        </w:tc>
        <w:tc>
          <w:tcPr>
            <w:tcW w:w="999" w:type="dxa"/>
            <w:shd w:val="clear" w:color="auto" w:fill="auto"/>
            <w:noWrap/>
          </w:tcPr>
          <w:p w14:paraId="5313A21C"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1.0780 </w:t>
            </w:r>
          </w:p>
        </w:tc>
        <w:tc>
          <w:tcPr>
            <w:tcW w:w="810" w:type="dxa"/>
            <w:shd w:val="clear" w:color="auto" w:fill="auto"/>
            <w:noWrap/>
          </w:tcPr>
          <w:p w14:paraId="333EF7C5" w14:textId="2CFB7E31" w:rsidR="00E92CD5" w:rsidRPr="005C28E7" w:rsidRDefault="00E92CD5" w:rsidP="00E92CD5">
            <w:pPr>
              <w:spacing w:before="20" w:after="40" w:line="240" w:lineRule="exact"/>
              <w:ind w:left="-29" w:right="-14"/>
              <w:jc w:val="right"/>
              <w:rPr>
                <w:sz w:val="20"/>
                <w:szCs w:val="20"/>
              </w:rPr>
            </w:pPr>
            <w:r w:rsidRPr="005C28E7">
              <w:rPr>
                <w:position w:val="2"/>
                <w:sz w:val="12"/>
                <w:szCs w:val="20"/>
              </w:rPr>
              <w:t>–</w:t>
            </w:r>
            <w:r w:rsidRPr="005C28E7">
              <w:rPr>
                <w:sz w:val="20"/>
                <w:szCs w:val="20"/>
              </w:rPr>
              <w:t xml:space="preserve">0.0668 </w:t>
            </w:r>
          </w:p>
        </w:tc>
        <w:tc>
          <w:tcPr>
            <w:tcW w:w="360" w:type="dxa"/>
            <w:shd w:val="clear" w:color="auto" w:fill="auto"/>
            <w:noWrap/>
            <w:vAlign w:val="bottom"/>
          </w:tcPr>
          <w:p w14:paraId="11B4141D" w14:textId="77777777" w:rsidR="00E92CD5" w:rsidRPr="005C28E7" w:rsidRDefault="00E92CD5" w:rsidP="00E92CD5">
            <w:pPr>
              <w:widowControl/>
              <w:spacing w:before="20" w:after="40" w:line="240" w:lineRule="exact"/>
              <w:ind w:left="-29" w:right="-14"/>
              <w:rPr>
                <w:kern w:val="0"/>
                <w:sz w:val="18"/>
                <w:szCs w:val="20"/>
              </w:rPr>
            </w:pPr>
          </w:p>
        </w:tc>
      </w:tr>
      <w:tr w:rsidR="005C28E7" w:rsidRPr="005C28E7" w14:paraId="1D5B0F9F" w14:textId="77777777" w:rsidTr="00E92CD5">
        <w:tc>
          <w:tcPr>
            <w:tcW w:w="2070" w:type="dxa"/>
            <w:shd w:val="clear" w:color="auto" w:fill="auto"/>
            <w:noWrap/>
            <w:vAlign w:val="bottom"/>
          </w:tcPr>
          <w:p w14:paraId="403951B7" w14:textId="2F2929BF" w:rsidR="00E92CD5" w:rsidRPr="005C28E7" w:rsidRDefault="00E92CD5" w:rsidP="00E92CD5">
            <w:pPr>
              <w:widowControl/>
              <w:spacing w:before="20" w:after="40" w:line="240" w:lineRule="exact"/>
              <w:ind w:left="216"/>
              <w:rPr>
                <w:i/>
                <w:kern w:val="0"/>
                <w:sz w:val="20"/>
                <w:szCs w:val="20"/>
              </w:rPr>
            </w:pPr>
            <w:r w:rsidRPr="005C28E7">
              <w:rPr>
                <w:i/>
                <w:kern w:val="0"/>
                <w:sz w:val="20"/>
                <w:szCs w:val="20"/>
              </w:rPr>
              <w:t>Asymmetric Risk</w:t>
            </w:r>
          </w:p>
        </w:tc>
        <w:tc>
          <w:tcPr>
            <w:tcW w:w="999" w:type="dxa"/>
            <w:shd w:val="clear" w:color="auto" w:fill="auto"/>
            <w:noWrap/>
          </w:tcPr>
          <w:p w14:paraId="7200AE99"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0.1229 </w:t>
            </w:r>
          </w:p>
        </w:tc>
        <w:tc>
          <w:tcPr>
            <w:tcW w:w="999" w:type="dxa"/>
            <w:shd w:val="clear" w:color="auto" w:fill="auto"/>
            <w:noWrap/>
          </w:tcPr>
          <w:p w14:paraId="1F370A9C"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0.0686 </w:t>
            </w:r>
          </w:p>
        </w:tc>
        <w:tc>
          <w:tcPr>
            <w:tcW w:w="999" w:type="dxa"/>
            <w:shd w:val="clear" w:color="auto" w:fill="auto"/>
            <w:noWrap/>
          </w:tcPr>
          <w:p w14:paraId="1D9ED339"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0.0824 </w:t>
            </w:r>
          </w:p>
        </w:tc>
        <w:tc>
          <w:tcPr>
            <w:tcW w:w="999" w:type="dxa"/>
            <w:shd w:val="clear" w:color="auto" w:fill="auto"/>
            <w:noWrap/>
          </w:tcPr>
          <w:p w14:paraId="7119EF4C"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0.0588 </w:t>
            </w:r>
          </w:p>
        </w:tc>
        <w:tc>
          <w:tcPr>
            <w:tcW w:w="999" w:type="dxa"/>
            <w:shd w:val="clear" w:color="auto" w:fill="auto"/>
            <w:noWrap/>
          </w:tcPr>
          <w:p w14:paraId="0AFE1C4A"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0.0624 </w:t>
            </w:r>
          </w:p>
        </w:tc>
        <w:tc>
          <w:tcPr>
            <w:tcW w:w="999" w:type="dxa"/>
            <w:shd w:val="clear" w:color="auto" w:fill="auto"/>
            <w:noWrap/>
          </w:tcPr>
          <w:p w14:paraId="51900917"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0.0673 </w:t>
            </w:r>
          </w:p>
        </w:tc>
        <w:tc>
          <w:tcPr>
            <w:tcW w:w="999" w:type="dxa"/>
            <w:shd w:val="clear" w:color="auto" w:fill="auto"/>
            <w:noWrap/>
          </w:tcPr>
          <w:p w14:paraId="1DB998C4"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0.0658 </w:t>
            </w:r>
          </w:p>
        </w:tc>
        <w:tc>
          <w:tcPr>
            <w:tcW w:w="999" w:type="dxa"/>
            <w:shd w:val="clear" w:color="auto" w:fill="auto"/>
            <w:noWrap/>
          </w:tcPr>
          <w:p w14:paraId="74264FC5"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0.0994 </w:t>
            </w:r>
          </w:p>
        </w:tc>
        <w:tc>
          <w:tcPr>
            <w:tcW w:w="999" w:type="dxa"/>
            <w:shd w:val="clear" w:color="auto" w:fill="auto"/>
            <w:noWrap/>
          </w:tcPr>
          <w:p w14:paraId="7CCF3E16"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0.0930 </w:t>
            </w:r>
          </w:p>
        </w:tc>
        <w:tc>
          <w:tcPr>
            <w:tcW w:w="999" w:type="dxa"/>
            <w:shd w:val="clear" w:color="auto" w:fill="auto"/>
            <w:noWrap/>
          </w:tcPr>
          <w:p w14:paraId="358DC60F" w14:textId="77777777" w:rsidR="00E92CD5" w:rsidRPr="005C28E7" w:rsidRDefault="00E92CD5" w:rsidP="00E92CD5">
            <w:pPr>
              <w:spacing w:before="20" w:after="40" w:line="240" w:lineRule="exact"/>
              <w:ind w:left="-202" w:right="202"/>
              <w:jc w:val="right"/>
              <w:rPr>
                <w:sz w:val="20"/>
                <w:szCs w:val="20"/>
              </w:rPr>
            </w:pPr>
            <w:r w:rsidRPr="005C28E7">
              <w:rPr>
                <w:sz w:val="20"/>
                <w:szCs w:val="20"/>
              </w:rPr>
              <w:t xml:space="preserve">0.0910 </w:t>
            </w:r>
          </w:p>
        </w:tc>
        <w:tc>
          <w:tcPr>
            <w:tcW w:w="810" w:type="dxa"/>
            <w:shd w:val="clear" w:color="auto" w:fill="auto"/>
            <w:noWrap/>
          </w:tcPr>
          <w:p w14:paraId="1AF3EEDD" w14:textId="6DBEFCF5" w:rsidR="00E92CD5" w:rsidRPr="005C28E7" w:rsidRDefault="00E92CD5" w:rsidP="00E92CD5">
            <w:pPr>
              <w:spacing w:before="20" w:after="40" w:line="240" w:lineRule="exact"/>
              <w:ind w:left="-29" w:right="-14"/>
              <w:jc w:val="right"/>
              <w:rPr>
                <w:sz w:val="20"/>
                <w:szCs w:val="20"/>
              </w:rPr>
            </w:pPr>
            <w:r w:rsidRPr="005C28E7">
              <w:rPr>
                <w:position w:val="2"/>
                <w:sz w:val="12"/>
                <w:szCs w:val="20"/>
              </w:rPr>
              <w:t>–</w:t>
            </w:r>
            <w:r w:rsidRPr="005C28E7">
              <w:rPr>
                <w:sz w:val="20"/>
                <w:szCs w:val="20"/>
              </w:rPr>
              <w:t xml:space="preserve">0.0319 </w:t>
            </w:r>
          </w:p>
        </w:tc>
        <w:tc>
          <w:tcPr>
            <w:tcW w:w="360" w:type="dxa"/>
            <w:shd w:val="clear" w:color="auto" w:fill="auto"/>
            <w:noWrap/>
            <w:vAlign w:val="bottom"/>
          </w:tcPr>
          <w:p w14:paraId="1B1F5DB8" w14:textId="77777777" w:rsidR="00E92CD5" w:rsidRPr="005C28E7" w:rsidRDefault="00E92CD5" w:rsidP="00E92CD5">
            <w:pPr>
              <w:widowControl/>
              <w:spacing w:before="20" w:after="40" w:line="240" w:lineRule="exact"/>
              <w:ind w:left="-29" w:right="-14"/>
              <w:rPr>
                <w:kern w:val="0"/>
                <w:sz w:val="18"/>
                <w:szCs w:val="20"/>
              </w:rPr>
            </w:pPr>
          </w:p>
        </w:tc>
      </w:tr>
      <w:tr w:rsidR="005C28E7" w:rsidRPr="005C28E7" w14:paraId="693E6849" w14:textId="77777777" w:rsidTr="00895A95">
        <w:tc>
          <w:tcPr>
            <w:tcW w:w="2070" w:type="dxa"/>
            <w:tcBorders>
              <w:bottom w:val="dotted" w:sz="4" w:space="0" w:color="auto"/>
            </w:tcBorders>
            <w:shd w:val="clear" w:color="auto" w:fill="auto"/>
            <w:noWrap/>
            <w:vAlign w:val="bottom"/>
          </w:tcPr>
          <w:p w14:paraId="49730DF1" w14:textId="1EDB94F9" w:rsidR="00E92CD5" w:rsidRPr="005C28E7" w:rsidRDefault="00E92CD5" w:rsidP="00E92CD5">
            <w:pPr>
              <w:widowControl/>
              <w:spacing w:before="20" w:after="60" w:line="240" w:lineRule="exact"/>
              <w:ind w:left="216"/>
              <w:rPr>
                <w:i/>
                <w:kern w:val="0"/>
                <w:sz w:val="20"/>
                <w:szCs w:val="20"/>
              </w:rPr>
            </w:pPr>
            <w:r w:rsidRPr="005C28E7">
              <w:rPr>
                <w:i/>
                <w:kern w:val="0"/>
                <w:sz w:val="20"/>
                <w:szCs w:val="20"/>
              </w:rPr>
              <w:t>Market Risk</w:t>
            </w:r>
          </w:p>
        </w:tc>
        <w:tc>
          <w:tcPr>
            <w:tcW w:w="999" w:type="dxa"/>
            <w:tcBorders>
              <w:bottom w:val="dotted" w:sz="4" w:space="0" w:color="auto"/>
            </w:tcBorders>
            <w:shd w:val="clear" w:color="auto" w:fill="auto"/>
            <w:noWrap/>
          </w:tcPr>
          <w:p w14:paraId="5DEAC5D1" w14:textId="77777777" w:rsidR="00E92CD5" w:rsidRPr="005C28E7" w:rsidRDefault="00E92CD5" w:rsidP="00E92CD5">
            <w:pPr>
              <w:spacing w:before="20" w:after="60" w:line="240" w:lineRule="exact"/>
              <w:ind w:left="-202" w:right="202"/>
              <w:jc w:val="right"/>
              <w:rPr>
                <w:sz w:val="20"/>
                <w:szCs w:val="20"/>
              </w:rPr>
            </w:pPr>
            <w:r w:rsidRPr="005C28E7">
              <w:rPr>
                <w:sz w:val="20"/>
                <w:szCs w:val="20"/>
              </w:rPr>
              <w:t xml:space="preserve">0.8819 </w:t>
            </w:r>
          </w:p>
        </w:tc>
        <w:tc>
          <w:tcPr>
            <w:tcW w:w="999" w:type="dxa"/>
            <w:tcBorders>
              <w:bottom w:val="dotted" w:sz="4" w:space="0" w:color="auto"/>
            </w:tcBorders>
            <w:shd w:val="clear" w:color="auto" w:fill="auto"/>
            <w:noWrap/>
          </w:tcPr>
          <w:p w14:paraId="12B3D904" w14:textId="77777777" w:rsidR="00E92CD5" w:rsidRPr="005C28E7" w:rsidRDefault="00E92CD5" w:rsidP="00E92CD5">
            <w:pPr>
              <w:spacing w:before="20" w:after="60" w:line="240" w:lineRule="exact"/>
              <w:ind w:left="-202" w:right="202"/>
              <w:jc w:val="right"/>
              <w:rPr>
                <w:sz w:val="20"/>
                <w:szCs w:val="20"/>
              </w:rPr>
            </w:pPr>
            <w:r w:rsidRPr="005C28E7">
              <w:rPr>
                <w:sz w:val="20"/>
                <w:szCs w:val="20"/>
              </w:rPr>
              <w:t xml:space="preserve">0.9037 </w:t>
            </w:r>
          </w:p>
        </w:tc>
        <w:tc>
          <w:tcPr>
            <w:tcW w:w="999" w:type="dxa"/>
            <w:tcBorders>
              <w:bottom w:val="dotted" w:sz="4" w:space="0" w:color="auto"/>
            </w:tcBorders>
            <w:shd w:val="clear" w:color="auto" w:fill="auto"/>
            <w:noWrap/>
          </w:tcPr>
          <w:p w14:paraId="18992C1F" w14:textId="77777777" w:rsidR="00E92CD5" w:rsidRPr="005C28E7" w:rsidRDefault="00E92CD5" w:rsidP="00E92CD5">
            <w:pPr>
              <w:spacing w:before="20" w:after="60" w:line="240" w:lineRule="exact"/>
              <w:ind w:left="-202" w:right="202"/>
              <w:jc w:val="right"/>
              <w:rPr>
                <w:sz w:val="20"/>
                <w:szCs w:val="20"/>
              </w:rPr>
            </w:pPr>
            <w:r w:rsidRPr="005C28E7">
              <w:rPr>
                <w:sz w:val="20"/>
                <w:szCs w:val="20"/>
              </w:rPr>
              <w:t xml:space="preserve">0.8871 </w:t>
            </w:r>
          </w:p>
        </w:tc>
        <w:tc>
          <w:tcPr>
            <w:tcW w:w="999" w:type="dxa"/>
            <w:tcBorders>
              <w:bottom w:val="dotted" w:sz="4" w:space="0" w:color="auto"/>
            </w:tcBorders>
            <w:shd w:val="clear" w:color="auto" w:fill="auto"/>
            <w:noWrap/>
          </w:tcPr>
          <w:p w14:paraId="473E678B" w14:textId="77777777" w:rsidR="00E92CD5" w:rsidRPr="005C28E7" w:rsidRDefault="00E92CD5" w:rsidP="00E92CD5">
            <w:pPr>
              <w:spacing w:before="20" w:after="60" w:line="240" w:lineRule="exact"/>
              <w:ind w:left="-202" w:right="202"/>
              <w:jc w:val="right"/>
              <w:rPr>
                <w:sz w:val="20"/>
                <w:szCs w:val="20"/>
              </w:rPr>
            </w:pPr>
            <w:r w:rsidRPr="005C28E7">
              <w:rPr>
                <w:sz w:val="20"/>
                <w:szCs w:val="20"/>
              </w:rPr>
              <w:t xml:space="preserve">0.9213 </w:t>
            </w:r>
          </w:p>
        </w:tc>
        <w:tc>
          <w:tcPr>
            <w:tcW w:w="999" w:type="dxa"/>
            <w:tcBorders>
              <w:bottom w:val="dotted" w:sz="4" w:space="0" w:color="auto"/>
            </w:tcBorders>
            <w:shd w:val="clear" w:color="auto" w:fill="auto"/>
            <w:noWrap/>
          </w:tcPr>
          <w:p w14:paraId="401727DF" w14:textId="77777777" w:rsidR="00E92CD5" w:rsidRPr="005C28E7" w:rsidRDefault="00E92CD5" w:rsidP="00E92CD5">
            <w:pPr>
              <w:spacing w:before="20" w:after="60" w:line="240" w:lineRule="exact"/>
              <w:ind w:left="-202" w:right="202"/>
              <w:jc w:val="right"/>
              <w:rPr>
                <w:sz w:val="20"/>
                <w:szCs w:val="20"/>
              </w:rPr>
            </w:pPr>
            <w:r w:rsidRPr="005C28E7">
              <w:rPr>
                <w:sz w:val="20"/>
                <w:szCs w:val="20"/>
              </w:rPr>
              <w:t xml:space="preserve">0.8390 </w:t>
            </w:r>
          </w:p>
        </w:tc>
        <w:tc>
          <w:tcPr>
            <w:tcW w:w="999" w:type="dxa"/>
            <w:tcBorders>
              <w:bottom w:val="dotted" w:sz="4" w:space="0" w:color="auto"/>
            </w:tcBorders>
            <w:shd w:val="clear" w:color="auto" w:fill="auto"/>
            <w:noWrap/>
          </w:tcPr>
          <w:p w14:paraId="536170D3" w14:textId="77777777" w:rsidR="00E92CD5" w:rsidRPr="005C28E7" w:rsidRDefault="00E92CD5" w:rsidP="00E92CD5">
            <w:pPr>
              <w:spacing w:before="20" w:after="60" w:line="240" w:lineRule="exact"/>
              <w:ind w:left="-202" w:right="202"/>
              <w:jc w:val="right"/>
              <w:rPr>
                <w:sz w:val="20"/>
                <w:szCs w:val="20"/>
              </w:rPr>
            </w:pPr>
            <w:r w:rsidRPr="005C28E7">
              <w:rPr>
                <w:sz w:val="20"/>
                <w:szCs w:val="20"/>
              </w:rPr>
              <w:t xml:space="preserve">0.8473 </w:t>
            </w:r>
          </w:p>
        </w:tc>
        <w:tc>
          <w:tcPr>
            <w:tcW w:w="999" w:type="dxa"/>
            <w:tcBorders>
              <w:bottom w:val="dotted" w:sz="4" w:space="0" w:color="auto"/>
            </w:tcBorders>
            <w:shd w:val="clear" w:color="auto" w:fill="auto"/>
            <w:noWrap/>
          </w:tcPr>
          <w:p w14:paraId="5C322E2F" w14:textId="77777777" w:rsidR="00E92CD5" w:rsidRPr="005C28E7" w:rsidRDefault="00E92CD5" w:rsidP="00E92CD5">
            <w:pPr>
              <w:spacing w:before="20" w:after="60" w:line="240" w:lineRule="exact"/>
              <w:ind w:left="-202" w:right="202"/>
              <w:jc w:val="right"/>
              <w:rPr>
                <w:sz w:val="20"/>
                <w:szCs w:val="20"/>
              </w:rPr>
            </w:pPr>
            <w:r w:rsidRPr="005C28E7">
              <w:rPr>
                <w:sz w:val="20"/>
                <w:szCs w:val="20"/>
              </w:rPr>
              <w:t xml:space="preserve">0.8598 </w:t>
            </w:r>
          </w:p>
        </w:tc>
        <w:tc>
          <w:tcPr>
            <w:tcW w:w="999" w:type="dxa"/>
            <w:tcBorders>
              <w:bottom w:val="dotted" w:sz="4" w:space="0" w:color="auto"/>
            </w:tcBorders>
            <w:shd w:val="clear" w:color="auto" w:fill="auto"/>
            <w:noWrap/>
          </w:tcPr>
          <w:p w14:paraId="0C22B19F" w14:textId="77777777" w:rsidR="00E92CD5" w:rsidRPr="005C28E7" w:rsidRDefault="00E92CD5" w:rsidP="00E92CD5">
            <w:pPr>
              <w:spacing w:before="20" w:after="60" w:line="240" w:lineRule="exact"/>
              <w:ind w:left="-202" w:right="202"/>
              <w:jc w:val="right"/>
              <w:rPr>
                <w:sz w:val="20"/>
                <w:szCs w:val="20"/>
              </w:rPr>
            </w:pPr>
            <w:r w:rsidRPr="005C28E7">
              <w:rPr>
                <w:sz w:val="20"/>
                <w:szCs w:val="20"/>
              </w:rPr>
              <w:t xml:space="preserve">0.8826 </w:t>
            </w:r>
          </w:p>
        </w:tc>
        <w:tc>
          <w:tcPr>
            <w:tcW w:w="999" w:type="dxa"/>
            <w:tcBorders>
              <w:bottom w:val="dotted" w:sz="4" w:space="0" w:color="auto"/>
            </w:tcBorders>
            <w:shd w:val="clear" w:color="auto" w:fill="auto"/>
            <w:noWrap/>
          </w:tcPr>
          <w:p w14:paraId="2A04CD7F" w14:textId="77777777" w:rsidR="00E92CD5" w:rsidRPr="005C28E7" w:rsidRDefault="00E92CD5" w:rsidP="00E92CD5">
            <w:pPr>
              <w:spacing w:before="20" w:after="60" w:line="240" w:lineRule="exact"/>
              <w:ind w:left="-202" w:right="202"/>
              <w:jc w:val="right"/>
              <w:rPr>
                <w:sz w:val="20"/>
                <w:szCs w:val="20"/>
              </w:rPr>
            </w:pPr>
            <w:r w:rsidRPr="005C28E7">
              <w:rPr>
                <w:sz w:val="20"/>
                <w:szCs w:val="20"/>
              </w:rPr>
              <w:t xml:space="preserve">0.8719 </w:t>
            </w:r>
          </w:p>
        </w:tc>
        <w:tc>
          <w:tcPr>
            <w:tcW w:w="999" w:type="dxa"/>
            <w:tcBorders>
              <w:bottom w:val="dotted" w:sz="4" w:space="0" w:color="auto"/>
            </w:tcBorders>
            <w:shd w:val="clear" w:color="auto" w:fill="auto"/>
            <w:noWrap/>
          </w:tcPr>
          <w:p w14:paraId="154C4579" w14:textId="77777777" w:rsidR="00E92CD5" w:rsidRPr="005C28E7" w:rsidRDefault="00E92CD5" w:rsidP="00E92CD5">
            <w:pPr>
              <w:spacing w:before="20" w:after="60" w:line="240" w:lineRule="exact"/>
              <w:ind w:left="-202" w:right="202"/>
              <w:jc w:val="right"/>
              <w:rPr>
                <w:sz w:val="20"/>
                <w:szCs w:val="20"/>
              </w:rPr>
            </w:pPr>
            <w:r w:rsidRPr="005C28E7">
              <w:rPr>
                <w:sz w:val="20"/>
                <w:szCs w:val="20"/>
              </w:rPr>
              <w:t xml:space="preserve">0.8224 </w:t>
            </w:r>
          </w:p>
        </w:tc>
        <w:tc>
          <w:tcPr>
            <w:tcW w:w="810" w:type="dxa"/>
            <w:tcBorders>
              <w:bottom w:val="dotted" w:sz="4" w:space="0" w:color="auto"/>
            </w:tcBorders>
            <w:shd w:val="clear" w:color="auto" w:fill="auto"/>
            <w:noWrap/>
          </w:tcPr>
          <w:p w14:paraId="2A11FF9C" w14:textId="0B5CA4DE" w:rsidR="00E92CD5" w:rsidRPr="005C28E7" w:rsidRDefault="00E92CD5" w:rsidP="00E92CD5">
            <w:pPr>
              <w:spacing w:before="20" w:after="60" w:line="240" w:lineRule="exact"/>
              <w:ind w:left="-29" w:right="-14"/>
              <w:jc w:val="right"/>
              <w:rPr>
                <w:sz w:val="20"/>
                <w:szCs w:val="20"/>
              </w:rPr>
            </w:pPr>
            <w:r w:rsidRPr="005C28E7">
              <w:rPr>
                <w:position w:val="2"/>
                <w:sz w:val="12"/>
                <w:szCs w:val="20"/>
              </w:rPr>
              <w:t>–</w:t>
            </w:r>
            <w:r w:rsidRPr="005C28E7">
              <w:rPr>
                <w:sz w:val="20"/>
                <w:szCs w:val="20"/>
              </w:rPr>
              <w:t xml:space="preserve">0.0595 </w:t>
            </w:r>
          </w:p>
        </w:tc>
        <w:tc>
          <w:tcPr>
            <w:tcW w:w="360" w:type="dxa"/>
            <w:tcBorders>
              <w:bottom w:val="dotted" w:sz="4" w:space="0" w:color="auto"/>
            </w:tcBorders>
            <w:shd w:val="clear" w:color="auto" w:fill="auto"/>
            <w:noWrap/>
            <w:vAlign w:val="bottom"/>
          </w:tcPr>
          <w:p w14:paraId="0F87D68C" w14:textId="77777777" w:rsidR="00E92CD5" w:rsidRPr="005C28E7" w:rsidRDefault="00E92CD5" w:rsidP="00E92CD5">
            <w:pPr>
              <w:widowControl/>
              <w:spacing w:before="20" w:after="60" w:line="240" w:lineRule="exact"/>
              <w:ind w:left="-29" w:right="-14"/>
              <w:rPr>
                <w:kern w:val="0"/>
                <w:sz w:val="18"/>
                <w:szCs w:val="20"/>
              </w:rPr>
            </w:pPr>
          </w:p>
        </w:tc>
      </w:tr>
      <w:tr w:rsidR="005C28E7" w:rsidRPr="005C28E7" w14:paraId="772CDB52" w14:textId="77777777" w:rsidTr="00895A95">
        <w:tc>
          <w:tcPr>
            <w:tcW w:w="13230" w:type="dxa"/>
            <w:gridSpan w:val="13"/>
            <w:tcBorders>
              <w:top w:val="dotted" w:sz="4" w:space="0" w:color="auto"/>
            </w:tcBorders>
            <w:shd w:val="clear" w:color="auto" w:fill="auto"/>
            <w:noWrap/>
            <w:vAlign w:val="bottom"/>
          </w:tcPr>
          <w:p w14:paraId="2C5C9780" w14:textId="77777777" w:rsidR="00E92CD5" w:rsidRPr="005C28E7" w:rsidRDefault="00E92CD5" w:rsidP="00AF6A48">
            <w:pPr>
              <w:widowControl/>
              <w:spacing w:before="60" w:after="40" w:line="240" w:lineRule="exact"/>
              <w:rPr>
                <w:kern w:val="0"/>
                <w:sz w:val="20"/>
                <w:szCs w:val="20"/>
              </w:rPr>
            </w:pPr>
            <w:r w:rsidRPr="005C28E7">
              <w:rPr>
                <w:kern w:val="0"/>
                <w:sz w:val="20"/>
                <w:szCs w:val="20"/>
              </w:rPr>
              <w:t>Panel C:</w:t>
            </w:r>
            <w:r w:rsidRPr="005C28E7">
              <w:rPr>
                <w:kern w:val="0"/>
                <w:sz w:val="16"/>
                <w:szCs w:val="20"/>
              </w:rPr>
              <w:t xml:space="preserve">  </w:t>
            </w:r>
            <w:r w:rsidRPr="005C28E7">
              <w:rPr>
                <w:kern w:val="0"/>
                <w:sz w:val="20"/>
                <w:szCs w:val="20"/>
              </w:rPr>
              <w:t>Financial Leverage (</w:t>
            </w:r>
            <w:r w:rsidRPr="005C28E7">
              <w:rPr>
                <w:i/>
                <w:kern w:val="0"/>
                <w:sz w:val="20"/>
                <w:szCs w:val="20"/>
              </w:rPr>
              <w:t>FL</w:t>
            </w:r>
            <w:r w:rsidRPr="005C28E7">
              <w:rPr>
                <w:kern w:val="0"/>
                <w:sz w:val="20"/>
                <w:szCs w:val="20"/>
              </w:rPr>
              <w:t>)</w:t>
            </w:r>
          </w:p>
        </w:tc>
      </w:tr>
      <w:tr w:rsidR="005C28E7" w:rsidRPr="005C28E7" w14:paraId="032656CE" w14:textId="77777777" w:rsidTr="00E92CD5">
        <w:tc>
          <w:tcPr>
            <w:tcW w:w="2070" w:type="dxa"/>
            <w:shd w:val="clear" w:color="auto" w:fill="auto"/>
            <w:noWrap/>
            <w:vAlign w:val="bottom"/>
          </w:tcPr>
          <w:p w14:paraId="49D19E55" w14:textId="77777777" w:rsidR="003E2C6A" w:rsidRPr="005C28E7" w:rsidRDefault="003E2C6A" w:rsidP="00E92CD5">
            <w:pPr>
              <w:widowControl/>
              <w:spacing w:before="20" w:after="40" w:line="240" w:lineRule="exact"/>
              <w:ind w:left="216"/>
              <w:rPr>
                <w:i/>
                <w:kern w:val="0"/>
                <w:sz w:val="20"/>
                <w:szCs w:val="20"/>
              </w:rPr>
            </w:pPr>
            <w:r w:rsidRPr="005C28E7">
              <w:rPr>
                <w:i/>
                <w:kern w:val="0"/>
                <w:sz w:val="20"/>
                <w:szCs w:val="20"/>
              </w:rPr>
              <w:t>Downside Risk</w:t>
            </w:r>
          </w:p>
        </w:tc>
        <w:tc>
          <w:tcPr>
            <w:tcW w:w="999" w:type="dxa"/>
            <w:shd w:val="clear" w:color="auto" w:fill="auto"/>
            <w:noWrap/>
          </w:tcPr>
          <w:p w14:paraId="09B3ECFD"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1.2234 </w:t>
            </w:r>
          </w:p>
        </w:tc>
        <w:tc>
          <w:tcPr>
            <w:tcW w:w="999" w:type="dxa"/>
            <w:shd w:val="clear" w:color="auto" w:fill="auto"/>
            <w:noWrap/>
          </w:tcPr>
          <w:p w14:paraId="56974BAC"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1.2633 </w:t>
            </w:r>
          </w:p>
        </w:tc>
        <w:tc>
          <w:tcPr>
            <w:tcW w:w="999" w:type="dxa"/>
            <w:shd w:val="clear" w:color="auto" w:fill="auto"/>
            <w:noWrap/>
          </w:tcPr>
          <w:p w14:paraId="053EF44F"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1.2205 </w:t>
            </w:r>
          </w:p>
        </w:tc>
        <w:tc>
          <w:tcPr>
            <w:tcW w:w="999" w:type="dxa"/>
            <w:shd w:val="clear" w:color="auto" w:fill="auto"/>
            <w:noWrap/>
          </w:tcPr>
          <w:p w14:paraId="5B2F209D"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1.2043 </w:t>
            </w:r>
          </w:p>
        </w:tc>
        <w:tc>
          <w:tcPr>
            <w:tcW w:w="999" w:type="dxa"/>
            <w:shd w:val="clear" w:color="auto" w:fill="auto"/>
            <w:noWrap/>
          </w:tcPr>
          <w:p w14:paraId="3A02FD6E"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1.2282 </w:t>
            </w:r>
          </w:p>
        </w:tc>
        <w:tc>
          <w:tcPr>
            <w:tcW w:w="999" w:type="dxa"/>
            <w:shd w:val="clear" w:color="auto" w:fill="auto"/>
            <w:noWrap/>
          </w:tcPr>
          <w:p w14:paraId="1FC12900"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1.2349 </w:t>
            </w:r>
          </w:p>
        </w:tc>
        <w:tc>
          <w:tcPr>
            <w:tcW w:w="999" w:type="dxa"/>
            <w:shd w:val="clear" w:color="auto" w:fill="auto"/>
            <w:noWrap/>
          </w:tcPr>
          <w:p w14:paraId="504E95C7"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1.2647 </w:t>
            </w:r>
          </w:p>
        </w:tc>
        <w:tc>
          <w:tcPr>
            <w:tcW w:w="999" w:type="dxa"/>
            <w:shd w:val="clear" w:color="auto" w:fill="auto"/>
            <w:noWrap/>
          </w:tcPr>
          <w:p w14:paraId="71D4D6A5"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1.2089 </w:t>
            </w:r>
          </w:p>
        </w:tc>
        <w:tc>
          <w:tcPr>
            <w:tcW w:w="999" w:type="dxa"/>
            <w:shd w:val="clear" w:color="auto" w:fill="auto"/>
            <w:noWrap/>
          </w:tcPr>
          <w:p w14:paraId="0D3B729A"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1.2353 </w:t>
            </w:r>
          </w:p>
        </w:tc>
        <w:tc>
          <w:tcPr>
            <w:tcW w:w="999" w:type="dxa"/>
            <w:shd w:val="clear" w:color="auto" w:fill="auto"/>
            <w:noWrap/>
          </w:tcPr>
          <w:p w14:paraId="3CA83EC2"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1.2465 </w:t>
            </w:r>
          </w:p>
        </w:tc>
        <w:tc>
          <w:tcPr>
            <w:tcW w:w="810" w:type="dxa"/>
            <w:shd w:val="clear" w:color="auto" w:fill="auto"/>
            <w:noWrap/>
          </w:tcPr>
          <w:p w14:paraId="1D7C76E3" w14:textId="77777777" w:rsidR="003E2C6A" w:rsidRPr="005C28E7" w:rsidRDefault="003E2C6A" w:rsidP="00E92CD5">
            <w:pPr>
              <w:spacing w:before="20" w:after="40" w:line="240" w:lineRule="exact"/>
              <w:ind w:left="-29" w:right="-14"/>
              <w:jc w:val="right"/>
              <w:rPr>
                <w:sz w:val="20"/>
                <w:szCs w:val="20"/>
              </w:rPr>
            </w:pPr>
            <w:r w:rsidRPr="005C28E7">
              <w:rPr>
                <w:sz w:val="20"/>
                <w:szCs w:val="20"/>
              </w:rPr>
              <w:t xml:space="preserve">0.0231 </w:t>
            </w:r>
          </w:p>
        </w:tc>
        <w:tc>
          <w:tcPr>
            <w:tcW w:w="360" w:type="dxa"/>
            <w:shd w:val="clear" w:color="auto" w:fill="auto"/>
            <w:noWrap/>
            <w:vAlign w:val="bottom"/>
          </w:tcPr>
          <w:p w14:paraId="4AE9B735" w14:textId="77777777" w:rsidR="003E2C6A" w:rsidRPr="005C28E7" w:rsidRDefault="003E2C6A" w:rsidP="00E92CD5">
            <w:pPr>
              <w:widowControl/>
              <w:spacing w:before="20" w:after="40" w:line="240" w:lineRule="exact"/>
              <w:ind w:left="-29" w:right="-14"/>
              <w:rPr>
                <w:kern w:val="0"/>
                <w:sz w:val="18"/>
                <w:szCs w:val="20"/>
              </w:rPr>
            </w:pPr>
          </w:p>
        </w:tc>
      </w:tr>
      <w:tr w:rsidR="005C28E7" w:rsidRPr="005C28E7" w14:paraId="00DDDD99" w14:textId="77777777" w:rsidTr="00E92CD5">
        <w:tc>
          <w:tcPr>
            <w:tcW w:w="2070" w:type="dxa"/>
            <w:shd w:val="clear" w:color="auto" w:fill="auto"/>
            <w:noWrap/>
            <w:vAlign w:val="bottom"/>
          </w:tcPr>
          <w:p w14:paraId="70DCDB8C" w14:textId="77777777" w:rsidR="003E2C6A" w:rsidRPr="005C28E7" w:rsidRDefault="003E2C6A" w:rsidP="00E92CD5">
            <w:pPr>
              <w:widowControl/>
              <w:spacing w:before="20" w:after="40" w:line="240" w:lineRule="exact"/>
              <w:ind w:left="216"/>
              <w:rPr>
                <w:i/>
                <w:kern w:val="0"/>
                <w:sz w:val="20"/>
                <w:szCs w:val="20"/>
              </w:rPr>
            </w:pPr>
            <w:r w:rsidRPr="005C28E7">
              <w:rPr>
                <w:i/>
                <w:kern w:val="0"/>
                <w:sz w:val="20"/>
                <w:szCs w:val="20"/>
              </w:rPr>
              <w:t>Upside Risk</w:t>
            </w:r>
          </w:p>
        </w:tc>
        <w:tc>
          <w:tcPr>
            <w:tcW w:w="999" w:type="dxa"/>
            <w:shd w:val="clear" w:color="auto" w:fill="auto"/>
            <w:noWrap/>
          </w:tcPr>
          <w:p w14:paraId="63DF8B56"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1.1069 </w:t>
            </w:r>
          </w:p>
        </w:tc>
        <w:tc>
          <w:tcPr>
            <w:tcW w:w="999" w:type="dxa"/>
            <w:shd w:val="clear" w:color="auto" w:fill="auto"/>
            <w:noWrap/>
          </w:tcPr>
          <w:p w14:paraId="11F14E38"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1.1822 </w:t>
            </w:r>
          </w:p>
        </w:tc>
        <w:tc>
          <w:tcPr>
            <w:tcW w:w="999" w:type="dxa"/>
            <w:shd w:val="clear" w:color="auto" w:fill="auto"/>
            <w:noWrap/>
          </w:tcPr>
          <w:p w14:paraId="71526400"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1.1199 </w:t>
            </w:r>
          </w:p>
        </w:tc>
        <w:tc>
          <w:tcPr>
            <w:tcW w:w="999" w:type="dxa"/>
            <w:shd w:val="clear" w:color="auto" w:fill="auto"/>
            <w:noWrap/>
          </w:tcPr>
          <w:p w14:paraId="00D353E8"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1.1593 </w:t>
            </w:r>
          </w:p>
        </w:tc>
        <w:tc>
          <w:tcPr>
            <w:tcW w:w="999" w:type="dxa"/>
            <w:shd w:val="clear" w:color="auto" w:fill="auto"/>
            <w:noWrap/>
          </w:tcPr>
          <w:p w14:paraId="4646A128"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1.1835 </w:t>
            </w:r>
          </w:p>
        </w:tc>
        <w:tc>
          <w:tcPr>
            <w:tcW w:w="999" w:type="dxa"/>
            <w:shd w:val="clear" w:color="auto" w:fill="auto"/>
            <w:noWrap/>
          </w:tcPr>
          <w:p w14:paraId="1EA14603"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1.1416 </w:t>
            </w:r>
          </w:p>
        </w:tc>
        <w:tc>
          <w:tcPr>
            <w:tcW w:w="999" w:type="dxa"/>
            <w:shd w:val="clear" w:color="auto" w:fill="auto"/>
            <w:noWrap/>
          </w:tcPr>
          <w:p w14:paraId="2C07B529"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1.1676 </w:t>
            </w:r>
          </w:p>
        </w:tc>
        <w:tc>
          <w:tcPr>
            <w:tcW w:w="999" w:type="dxa"/>
            <w:shd w:val="clear" w:color="auto" w:fill="auto"/>
            <w:noWrap/>
          </w:tcPr>
          <w:p w14:paraId="3EBDB817"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1.1422 </w:t>
            </w:r>
          </w:p>
        </w:tc>
        <w:tc>
          <w:tcPr>
            <w:tcW w:w="999" w:type="dxa"/>
            <w:shd w:val="clear" w:color="auto" w:fill="auto"/>
            <w:noWrap/>
          </w:tcPr>
          <w:p w14:paraId="0F4C2E2A"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1.1601 </w:t>
            </w:r>
          </w:p>
        </w:tc>
        <w:tc>
          <w:tcPr>
            <w:tcW w:w="999" w:type="dxa"/>
            <w:shd w:val="clear" w:color="auto" w:fill="auto"/>
            <w:noWrap/>
          </w:tcPr>
          <w:p w14:paraId="7893B2A2"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1.1539 </w:t>
            </w:r>
          </w:p>
        </w:tc>
        <w:tc>
          <w:tcPr>
            <w:tcW w:w="810" w:type="dxa"/>
            <w:shd w:val="clear" w:color="auto" w:fill="auto"/>
            <w:noWrap/>
          </w:tcPr>
          <w:p w14:paraId="5538E597" w14:textId="77777777" w:rsidR="003E2C6A" w:rsidRPr="005C28E7" w:rsidRDefault="003E2C6A" w:rsidP="00E92CD5">
            <w:pPr>
              <w:spacing w:before="20" w:after="40" w:line="240" w:lineRule="exact"/>
              <w:ind w:left="-29" w:right="-14"/>
              <w:jc w:val="right"/>
              <w:rPr>
                <w:sz w:val="20"/>
                <w:szCs w:val="20"/>
              </w:rPr>
            </w:pPr>
            <w:r w:rsidRPr="005C28E7">
              <w:rPr>
                <w:sz w:val="20"/>
                <w:szCs w:val="20"/>
              </w:rPr>
              <w:t xml:space="preserve">0.0471 </w:t>
            </w:r>
          </w:p>
        </w:tc>
        <w:tc>
          <w:tcPr>
            <w:tcW w:w="360" w:type="dxa"/>
            <w:shd w:val="clear" w:color="auto" w:fill="auto"/>
            <w:noWrap/>
            <w:vAlign w:val="bottom"/>
          </w:tcPr>
          <w:p w14:paraId="02CCAB8C" w14:textId="77777777" w:rsidR="003E2C6A" w:rsidRPr="005C28E7" w:rsidRDefault="003E2C6A" w:rsidP="00E92CD5">
            <w:pPr>
              <w:widowControl/>
              <w:spacing w:before="20" w:after="40" w:line="240" w:lineRule="exact"/>
              <w:ind w:left="-29" w:right="-14"/>
              <w:rPr>
                <w:kern w:val="0"/>
                <w:sz w:val="18"/>
                <w:szCs w:val="20"/>
              </w:rPr>
            </w:pPr>
          </w:p>
        </w:tc>
      </w:tr>
      <w:tr w:rsidR="005C28E7" w:rsidRPr="005C28E7" w14:paraId="0FBF893C" w14:textId="77777777" w:rsidTr="00E92CD5">
        <w:tc>
          <w:tcPr>
            <w:tcW w:w="2070" w:type="dxa"/>
            <w:shd w:val="clear" w:color="auto" w:fill="auto"/>
            <w:noWrap/>
            <w:vAlign w:val="bottom"/>
          </w:tcPr>
          <w:p w14:paraId="5A8AF1DA" w14:textId="77777777" w:rsidR="003E2C6A" w:rsidRPr="005C28E7" w:rsidRDefault="003E2C6A" w:rsidP="00E92CD5">
            <w:pPr>
              <w:widowControl/>
              <w:spacing w:before="20" w:after="40" w:line="240" w:lineRule="exact"/>
              <w:ind w:left="216"/>
              <w:rPr>
                <w:i/>
                <w:kern w:val="0"/>
                <w:sz w:val="20"/>
                <w:szCs w:val="20"/>
              </w:rPr>
            </w:pPr>
            <w:r w:rsidRPr="005C28E7">
              <w:rPr>
                <w:i/>
                <w:kern w:val="0"/>
                <w:sz w:val="20"/>
                <w:szCs w:val="20"/>
              </w:rPr>
              <w:t>Asymmetric Risk</w:t>
            </w:r>
          </w:p>
        </w:tc>
        <w:tc>
          <w:tcPr>
            <w:tcW w:w="999" w:type="dxa"/>
            <w:shd w:val="clear" w:color="auto" w:fill="auto"/>
            <w:noWrap/>
          </w:tcPr>
          <w:p w14:paraId="1F6D1CAC"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0.1166 </w:t>
            </w:r>
          </w:p>
        </w:tc>
        <w:tc>
          <w:tcPr>
            <w:tcW w:w="999" w:type="dxa"/>
            <w:shd w:val="clear" w:color="auto" w:fill="auto"/>
            <w:noWrap/>
          </w:tcPr>
          <w:p w14:paraId="37F1A91C"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0.0812 </w:t>
            </w:r>
          </w:p>
        </w:tc>
        <w:tc>
          <w:tcPr>
            <w:tcW w:w="999" w:type="dxa"/>
            <w:shd w:val="clear" w:color="auto" w:fill="auto"/>
            <w:noWrap/>
          </w:tcPr>
          <w:p w14:paraId="4CF15A9B"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0.1006 </w:t>
            </w:r>
          </w:p>
        </w:tc>
        <w:tc>
          <w:tcPr>
            <w:tcW w:w="999" w:type="dxa"/>
            <w:shd w:val="clear" w:color="auto" w:fill="auto"/>
            <w:noWrap/>
          </w:tcPr>
          <w:p w14:paraId="622DD86E"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0.0450 </w:t>
            </w:r>
          </w:p>
        </w:tc>
        <w:tc>
          <w:tcPr>
            <w:tcW w:w="999" w:type="dxa"/>
            <w:shd w:val="clear" w:color="auto" w:fill="auto"/>
            <w:noWrap/>
          </w:tcPr>
          <w:p w14:paraId="13D4D1ED"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0.0447 </w:t>
            </w:r>
          </w:p>
        </w:tc>
        <w:tc>
          <w:tcPr>
            <w:tcW w:w="999" w:type="dxa"/>
            <w:shd w:val="clear" w:color="auto" w:fill="auto"/>
            <w:noWrap/>
          </w:tcPr>
          <w:p w14:paraId="66861C08"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0.0932 </w:t>
            </w:r>
          </w:p>
        </w:tc>
        <w:tc>
          <w:tcPr>
            <w:tcW w:w="999" w:type="dxa"/>
            <w:shd w:val="clear" w:color="auto" w:fill="auto"/>
            <w:noWrap/>
          </w:tcPr>
          <w:p w14:paraId="41EE3BD1"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0.0971 </w:t>
            </w:r>
          </w:p>
        </w:tc>
        <w:tc>
          <w:tcPr>
            <w:tcW w:w="999" w:type="dxa"/>
            <w:shd w:val="clear" w:color="auto" w:fill="auto"/>
            <w:noWrap/>
          </w:tcPr>
          <w:p w14:paraId="6B79A3C1"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0.0667 </w:t>
            </w:r>
          </w:p>
        </w:tc>
        <w:tc>
          <w:tcPr>
            <w:tcW w:w="999" w:type="dxa"/>
            <w:shd w:val="clear" w:color="auto" w:fill="auto"/>
            <w:noWrap/>
          </w:tcPr>
          <w:p w14:paraId="348C135B"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0.0752 </w:t>
            </w:r>
          </w:p>
        </w:tc>
        <w:tc>
          <w:tcPr>
            <w:tcW w:w="999" w:type="dxa"/>
            <w:shd w:val="clear" w:color="auto" w:fill="auto"/>
            <w:noWrap/>
          </w:tcPr>
          <w:p w14:paraId="7CCF67A4"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0.0926 </w:t>
            </w:r>
          </w:p>
        </w:tc>
        <w:tc>
          <w:tcPr>
            <w:tcW w:w="810" w:type="dxa"/>
            <w:shd w:val="clear" w:color="auto" w:fill="auto"/>
            <w:noWrap/>
          </w:tcPr>
          <w:p w14:paraId="3BC7F9C3" w14:textId="7B820C7E" w:rsidR="003E2C6A" w:rsidRPr="005C28E7" w:rsidRDefault="00E92CD5" w:rsidP="00E92CD5">
            <w:pPr>
              <w:spacing w:before="20" w:after="40" w:line="240" w:lineRule="exact"/>
              <w:ind w:left="-29" w:right="-14"/>
              <w:jc w:val="right"/>
              <w:rPr>
                <w:sz w:val="20"/>
                <w:szCs w:val="20"/>
              </w:rPr>
            </w:pPr>
            <w:r w:rsidRPr="005C28E7">
              <w:rPr>
                <w:position w:val="2"/>
                <w:sz w:val="12"/>
                <w:szCs w:val="20"/>
              </w:rPr>
              <w:t>–</w:t>
            </w:r>
            <w:r w:rsidR="003E2C6A" w:rsidRPr="005C28E7">
              <w:rPr>
                <w:sz w:val="20"/>
                <w:szCs w:val="20"/>
              </w:rPr>
              <w:t xml:space="preserve">0.0240 </w:t>
            </w:r>
          </w:p>
        </w:tc>
        <w:tc>
          <w:tcPr>
            <w:tcW w:w="360" w:type="dxa"/>
            <w:shd w:val="clear" w:color="auto" w:fill="auto"/>
            <w:noWrap/>
            <w:vAlign w:val="bottom"/>
          </w:tcPr>
          <w:p w14:paraId="01C578FF" w14:textId="77777777" w:rsidR="003E2C6A" w:rsidRPr="005C28E7" w:rsidRDefault="003E2C6A" w:rsidP="00E92CD5">
            <w:pPr>
              <w:widowControl/>
              <w:spacing w:before="20" w:after="40" w:line="240" w:lineRule="exact"/>
              <w:ind w:left="-29" w:right="-14"/>
              <w:rPr>
                <w:kern w:val="0"/>
                <w:sz w:val="18"/>
                <w:szCs w:val="20"/>
              </w:rPr>
            </w:pPr>
          </w:p>
        </w:tc>
      </w:tr>
      <w:tr w:rsidR="005C28E7" w:rsidRPr="005C28E7" w14:paraId="769BA831" w14:textId="77777777" w:rsidTr="00895A95">
        <w:tc>
          <w:tcPr>
            <w:tcW w:w="2070" w:type="dxa"/>
            <w:tcBorders>
              <w:bottom w:val="dotted" w:sz="4" w:space="0" w:color="auto"/>
            </w:tcBorders>
            <w:shd w:val="clear" w:color="auto" w:fill="auto"/>
            <w:noWrap/>
            <w:vAlign w:val="bottom"/>
          </w:tcPr>
          <w:p w14:paraId="420077EC" w14:textId="77777777" w:rsidR="003E2C6A" w:rsidRPr="005C28E7" w:rsidRDefault="003E2C6A" w:rsidP="00E92CD5">
            <w:pPr>
              <w:widowControl/>
              <w:spacing w:before="20" w:after="60" w:line="240" w:lineRule="exact"/>
              <w:ind w:left="216"/>
              <w:rPr>
                <w:i/>
                <w:kern w:val="0"/>
                <w:sz w:val="20"/>
                <w:szCs w:val="20"/>
              </w:rPr>
            </w:pPr>
            <w:r w:rsidRPr="005C28E7">
              <w:rPr>
                <w:i/>
                <w:kern w:val="0"/>
                <w:sz w:val="20"/>
                <w:szCs w:val="20"/>
              </w:rPr>
              <w:t>Market Risk</w:t>
            </w:r>
          </w:p>
        </w:tc>
        <w:tc>
          <w:tcPr>
            <w:tcW w:w="999" w:type="dxa"/>
            <w:tcBorders>
              <w:bottom w:val="dotted" w:sz="4" w:space="0" w:color="auto"/>
            </w:tcBorders>
            <w:shd w:val="clear" w:color="auto" w:fill="auto"/>
            <w:noWrap/>
          </w:tcPr>
          <w:p w14:paraId="27058143"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0.8527 </w:t>
            </w:r>
          </w:p>
        </w:tc>
        <w:tc>
          <w:tcPr>
            <w:tcW w:w="999" w:type="dxa"/>
            <w:tcBorders>
              <w:bottom w:val="dotted" w:sz="4" w:space="0" w:color="auto"/>
            </w:tcBorders>
            <w:shd w:val="clear" w:color="auto" w:fill="auto"/>
            <w:noWrap/>
          </w:tcPr>
          <w:p w14:paraId="193CA9BB"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0.8937 </w:t>
            </w:r>
          </w:p>
        </w:tc>
        <w:tc>
          <w:tcPr>
            <w:tcW w:w="999" w:type="dxa"/>
            <w:tcBorders>
              <w:bottom w:val="dotted" w:sz="4" w:space="0" w:color="auto"/>
            </w:tcBorders>
            <w:shd w:val="clear" w:color="auto" w:fill="auto"/>
            <w:noWrap/>
          </w:tcPr>
          <w:p w14:paraId="47481BDD"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0.8573 </w:t>
            </w:r>
          </w:p>
        </w:tc>
        <w:tc>
          <w:tcPr>
            <w:tcW w:w="999" w:type="dxa"/>
            <w:tcBorders>
              <w:bottom w:val="dotted" w:sz="4" w:space="0" w:color="auto"/>
            </w:tcBorders>
            <w:shd w:val="clear" w:color="auto" w:fill="auto"/>
            <w:noWrap/>
          </w:tcPr>
          <w:p w14:paraId="3461B837"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0.8621 </w:t>
            </w:r>
          </w:p>
        </w:tc>
        <w:tc>
          <w:tcPr>
            <w:tcW w:w="999" w:type="dxa"/>
            <w:tcBorders>
              <w:bottom w:val="dotted" w:sz="4" w:space="0" w:color="auto"/>
            </w:tcBorders>
            <w:shd w:val="clear" w:color="auto" w:fill="auto"/>
            <w:noWrap/>
          </w:tcPr>
          <w:p w14:paraId="23E4E209"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0.8799 </w:t>
            </w:r>
          </w:p>
        </w:tc>
        <w:tc>
          <w:tcPr>
            <w:tcW w:w="999" w:type="dxa"/>
            <w:tcBorders>
              <w:bottom w:val="dotted" w:sz="4" w:space="0" w:color="auto"/>
            </w:tcBorders>
            <w:shd w:val="clear" w:color="auto" w:fill="auto"/>
            <w:noWrap/>
          </w:tcPr>
          <w:p w14:paraId="1EC034C2"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0.8696 </w:t>
            </w:r>
          </w:p>
        </w:tc>
        <w:tc>
          <w:tcPr>
            <w:tcW w:w="999" w:type="dxa"/>
            <w:tcBorders>
              <w:bottom w:val="dotted" w:sz="4" w:space="0" w:color="auto"/>
            </w:tcBorders>
            <w:shd w:val="clear" w:color="auto" w:fill="auto"/>
            <w:noWrap/>
          </w:tcPr>
          <w:p w14:paraId="4EB4C6E0"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0.8887 </w:t>
            </w:r>
          </w:p>
        </w:tc>
        <w:tc>
          <w:tcPr>
            <w:tcW w:w="999" w:type="dxa"/>
            <w:tcBorders>
              <w:bottom w:val="dotted" w:sz="4" w:space="0" w:color="auto"/>
            </w:tcBorders>
            <w:shd w:val="clear" w:color="auto" w:fill="auto"/>
            <w:noWrap/>
          </w:tcPr>
          <w:p w14:paraId="083E5565"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0.8599 </w:t>
            </w:r>
          </w:p>
        </w:tc>
        <w:tc>
          <w:tcPr>
            <w:tcW w:w="999" w:type="dxa"/>
            <w:tcBorders>
              <w:bottom w:val="dotted" w:sz="4" w:space="0" w:color="auto"/>
            </w:tcBorders>
            <w:shd w:val="clear" w:color="auto" w:fill="auto"/>
            <w:noWrap/>
          </w:tcPr>
          <w:p w14:paraId="5A5ECB3F"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0.8752 </w:t>
            </w:r>
          </w:p>
        </w:tc>
        <w:tc>
          <w:tcPr>
            <w:tcW w:w="999" w:type="dxa"/>
            <w:tcBorders>
              <w:bottom w:val="dotted" w:sz="4" w:space="0" w:color="auto"/>
            </w:tcBorders>
            <w:shd w:val="clear" w:color="auto" w:fill="auto"/>
            <w:noWrap/>
          </w:tcPr>
          <w:p w14:paraId="01A81BA3" w14:textId="77777777" w:rsidR="003E2C6A" w:rsidRPr="005C28E7" w:rsidRDefault="003E2C6A" w:rsidP="00E92CD5">
            <w:pPr>
              <w:spacing w:before="20" w:after="60" w:line="240" w:lineRule="exact"/>
              <w:ind w:left="-202" w:right="202"/>
              <w:jc w:val="right"/>
              <w:rPr>
                <w:sz w:val="20"/>
                <w:szCs w:val="20"/>
              </w:rPr>
            </w:pPr>
            <w:r w:rsidRPr="005C28E7">
              <w:rPr>
                <w:sz w:val="20"/>
                <w:szCs w:val="20"/>
              </w:rPr>
              <w:t xml:space="preserve">0.8780 </w:t>
            </w:r>
          </w:p>
        </w:tc>
        <w:tc>
          <w:tcPr>
            <w:tcW w:w="810" w:type="dxa"/>
            <w:tcBorders>
              <w:bottom w:val="dotted" w:sz="4" w:space="0" w:color="auto"/>
            </w:tcBorders>
            <w:shd w:val="clear" w:color="auto" w:fill="auto"/>
            <w:noWrap/>
          </w:tcPr>
          <w:p w14:paraId="2938F756" w14:textId="77777777" w:rsidR="003E2C6A" w:rsidRPr="005C28E7" w:rsidRDefault="003E2C6A" w:rsidP="00E92CD5">
            <w:pPr>
              <w:spacing w:before="20" w:after="60" w:line="240" w:lineRule="exact"/>
              <w:ind w:left="-29" w:right="-14"/>
              <w:jc w:val="right"/>
              <w:rPr>
                <w:sz w:val="20"/>
                <w:szCs w:val="20"/>
              </w:rPr>
            </w:pPr>
            <w:r w:rsidRPr="005C28E7">
              <w:rPr>
                <w:sz w:val="20"/>
                <w:szCs w:val="20"/>
              </w:rPr>
              <w:t xml:space="preserve">0.0253 </w:t>
            </w:r>
          </w:p>
        </w:tc>
        <w:tc>
          <w:tcPr>
            <w:tcW w:w="360" w:type="dxa"/>
            <w:tcBorders>
              <w:bottom w:val="dotted" w:sz="4" w:space="0" w:color="auto"/>
            </w:tcBorders>
            <w:shd w:val="clear" w:color="auto" w:fill="auto"/>
            <w:noWrap/>
            <w:vAlign w:val="bottom"/>
          </w:tcPr>
          <w:p w14:paraId="09755DC9" w14:textId="77777777" w:rsidR="003E2C6A" w:rsidRPr="005C28E7" w:rsidRDefault="003E2C6A" w:rsidP="00E92CD5">
            <w:pPr>
              <w:widowControl/>
              <w:spacing w:before="20" w:after="60" w:line="240" w:lineRule="exact"/>
              <w:ind w:left="-29" w:right="-14"/>
              <w:rPr>
                <w:kern w:val="0"/>
                <w:sz w:val="18"/>
                <w:szCs w:val="20"/>
              </w:rPr>
            </w:pPr>
          </w:p>
        </w:tc>
      </w:tr>
      <w:tr w:rsidR="005C28E7" w:rsidRPr="005C28E7" w14:paraId="517B1182" w14:textId="77777777" w:rsidTr="00895A95">
        <w:tc>
          <w:tcPr>
            <w:tcW w:w="13230" w:type="dxa"/>
            <w:gridSpan w:val="13"/>
            <w:tcBorders>
              <w:top w:val="dotted" w:sz="4" w:space="0" w:color="auto"/>
            </w:tcBorders>
            <w:shd w:val="clear" w:color="auto" w:fill="auto"/>
            <w:noWrap/>
            <w:vAlign w:val="bottom"/>
          </w:tcPr>
          <w:p w14:paraId="79EE9946" w14:textId="77777777" w:rsidR="00E92CD5" w:rsidRPr="005C28E7" w:rsidRDefault="00E92CD5" w:rsidP="00AF6A48">
            <w:pPr>
              <w:widowControl/>
              <w:spacing w:before="60" w:after="40" w:line="240" w:lineRule="exact"/>
              <w:rPr>
                <w:kern w:val="0"/>
                <w:sz w:val="20"/>
                <w:szCs w:val="20"/>
              </w:rPr>
            </w:pPr>
            <w:r w:rsidRPr="005C28E7">
              <w:rPr>
                <w:kern w:val="0"/>
                <w:sz w:val="20"/>
                <w:szCs w:val="20"/>
              </w:rPr>
              <w:t>Panel D:</w:t>
            </w:r>
            <w:r w:rsidRPr="005C28E7">
              <w:rPr>
                <w:kern w:val="0"/>
                <w:sz w:val="16"/>
                <w:szCs w:val="20"/>
              </w:rPr>
              <w:t xml:space="preserve">  </w:t>
            </w:r>
            <w:r w:rsidRPr="005C28E7">
              <w:rPr>
                <w:kern w:val="0"/>
                <w:sz w:val="20"/>
                <w:szCs w:val="20"/>
              </w:rPr>
              <w:t>Accounting Quality (</w:t>
            </w:r>
            <w:r w:rsidRPr="005C28E7">
              <w:rPr>
                <w:i/>
                <w:kern w:val="0"/>
                <w:sz w:val="20"/>
                <w:szCs w:val="20"/>
              </w:rPr>
              <w:t>AQ</w:t>
            </w:r>
            <w:r w:rsidRPr="005C28E7">
              <w:rPr>
                <w:kern w:val="0"/>
                <w:sz w:val="20"/>
                <w:szCs w:val="20"/>
              </w:rPr>
              <w:t>)</w:t>
            </w:r>
          </w:p>
        </w:tc>
      </w:tr>
      <w:tr w:rsidR="005C28E7" w:rsidRPr="005C28E7" w14:paraId="79D31D14" w14:textId="77777777" w:rsidTr="00E92CD5">
        <w:tc>
          <w:tcPr>
            <w:tcW w:w="2070" w:type="dxa"/>
            <w:shd w:val="clear" w:color="auto" w:fill="auto"/>
            <w:noWrap/>
            <w:vAlign w:val="bottom"/>
          </w:tcPr>
          <w:p w14:paraId="45680763" w14:textId="77777777" w:rsidR="003E2C6A" w:rsidRPr="005C28E7" w:rsidRDefault="003E2C6A" w:rsidP="00E92CD5">
            <w:pPr>
              <w:widowControl/>
              <w:spacing w:before="20" w:after="40" w:line="240" w:lineRule="exact"/>
              <w:ind w:left="216"/>
              <w:rPr>
                <w:i/>
                <w:kern w:val="0"/>
                <w:sz w:val="20"/>
                <w:szCs w:val="20"/>
              </w:rPr>
            </w:pPr>
            <w:r w:rsidRPr="005C28E7">
              <w:rPr>
                <w:i/>
                <w:kern w:val="0"/>
                <w:sz w:val="20"/>
                <w:szCs w:val="20"/>
              </w:rPr>
              <w:t>Downside Risk</w:t>
            </w:r>
          </w:p>
        </w:tc>
        <w:tc>
          <w:tcPr>
            <w:tcW w:w="999" w:type="dxa"/>
            <w:shd w:val="clear" w:color="auto" w:fill="auto"/>
            <w:noWrap/>
          </w:tcPr>
          <w:p w14:paraId="42F0285F"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1.0606 </w:t>
            </w:r>
          </w:p>
        </w:tc>
        <w:tc>
          <w:tcPr>
            <w:tcW w:w="999" w:type="dxa"/>
            <w:shd w:val="clear" w:color="auto" w:fill="auto"/>
            <w:noWrap/>
          </w:tcPr>
          <w:p w14:paraId="1249A253"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1.1074 </w:t>
            </w:r>
          </w:p>
        </w:tc>
        <w:tc>
          <w:tcPr>
            <w:tcW w:w="999" w:type="dxa"/>
            <w:shd w:val="clear" w:color="auto" w:fill="auto"/>
            <w:noWrap/>
          </w:tcPr>
          <w:p w14:paraId="2DE50D84"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1.1477 </w:t>
            </w:r>
          </w:p>
        </w:tc>
        <w:tc>
          <w:tcPr>
            <w:tcW w:w="999" w:type="dxa"/>
            <w:shd w:val="clear" w:color="auto" w:fill="auto"/>
            <w:noWrap/>
          </w:tcPr>
          <w:p w14:paraId="47443FBE"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1.1585 </w:t>
            </w:r>
          </w:p>
        </w:tc>
        <w:tc>
          <w:tcPr>
            <w:tcW w:w="999" w:type="dxa"/>
            <w:shd w:val="clear" w:color="auto" w:fill="auto"/>
            <w:noWrap/>
          </w:tcPr>
          <w:p w14:paraId="204E3E1B"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1.2455 </w:t>
            </w:r>
          </w:p>
        </w:tc>
        <w:tc>
          <w:tcPr>
            <w:tcW w:w="999" w:type="dxa"/>
            <w:shd w:val="clear" w:color="auto" w:fill="auto"/>
            <w:noWrap/>
          </w:tcPr>
          <w:p w14:paraId="74B162BA"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1.3171 </w:t>
            </w:r>
          </w:p>
        </w:tc>
        <w:tc>
          <w:tcPr>
            <w:tcW w:w="999" w:type="dxa"/>
            <w:shd w:val="clear" w:color="auto" w:fill="auto"/>
            <w:noWrap/>
          </w:tcPr>
          <w:p w14:paraId="5425805E"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1.2823 </w:t>
            </w:r>
          </w:p>
        </w:tc>
        <w:tc>
          <w:tcPr>
            <w:tcW w:w="999" w:type="dxa"/>
            <w:shd w:val="clear" w:color="auto" w:fill="auto"/>
            <w:noWrap/>
          </w:tcPr>
          <w:p w14:paraId="3DBA674C"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1.3042 </w:t>
            </w:r>
          </w:p>
        </w:tc>
        <w:tc>
          <w:tcPr>
            <w:tcW w:w="999" w:type="dxa"/>
            <w:shd w:val="clear" w:color="auto" w:fill="auto"/>
            <w:noWrap/>
          </w:tcPr>
          <w:p w14:paraId="33199D96"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1.3727 </w:t>
            </w:r>
          </w:p>
        </w:tc>
        <w:tc>
          <w:tcPr>
            <w:tcW w:w="999" w:type="dxa"/>
            <w:shd w:val="clear" w:color="auto" w:fill="auto"/>
            <w:noWrap/>
          </w:tcPr>
          <w:p w14:paraId="78BF4833"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1.3328 </w:t>
            </w:r>
          </w:p>
        </w:tc>
        <w:tc>
          <w:tcPr>
            <w:tcW w:w="810" w:type="dxa"/>
            <w:shd w:val="clear" w:color="auto" w:fill="auto"/>
            <w:noWrap/>
          </w:tcPr>
          <w:p w14:paraId="5D41BC05" w14:textId="77777777" w:rsidR="003E2C6A" w:rsidRPr="005C28E7" w:rsidRDefault="003E2C6A" w:rsidP="00E92CD5">
            <w:pPr>
              <w:spacing w:before="20" w:after="40" w:line="240" w:lineRule="exact"/>
              <w:ind w:left="-29" w:right="-14"/>
              <w:jc w:val="right"/>
              <w:rPr>
                <w:sz w:val="20"/>
                <w:szCs w:val="20"/>
              </w:rPr>
            </w:pPr>
            <w:r w:rsidRPr="005C28E7">
              <w:rPr>
                <w:sz w:val="20"/>
                <w:szCs w:val="20"/>
              </w:rPr>
              <w:t xml:space="preserve">0.2722 </w:t>
            </w:r>
          </w:p>
        </w:tc>
        <w:tc>
          <w:tcPr>
            <w:tcW w:w="360" w:type="dxa"/>
            <w:shd w:val="clear" w:color="auto" w:fill="auto"/>
            <w:noWrap/>
            <w:vAlign w:val="bottom"/>
          </w:tcPr>
          <w:p w14:paraId="3DD6F072" w14:textId="77777777" w:rsidR="003E2C6A" w:rsidRPr="005C28E7" w:rsidRDefault="003E2C6A" w:rsidP="00E92CD5">
            <w:pPr>
              <w:widowControl/>
              <w:spacing w:before="20" w:after="40" w:line="240" w:lineRule="exact"/>
              <w:ind w:left="-29" w:right="-14"/>
              <w:rPr>
                <w:kern w:val="0"/>
                <w:sz w:val="18"/>
                <w:szCs w:val="20"/>
              </w:rPr>
            </w:pPr>
            <w:r w:rsidRPr="005C28E7">
              <w:rPr>
                <w:kern w:val="0"/>
                <w:sz w:val="18"/>
                <w:szCs w:val="20"/>
              </w:rPr>
              <w:t>***</w:t>
            </w:r>
          </w:p>
        </w:tc>
      </w:tr>
      <w:tr w:rsidR="005C28E7" w:rsidRPr="005C28E7" w14:paraId="4E3B43AD" w14:textId="77777777" w:rsidTr="00E92CD5">
        <w:tc>
          <w:tcPr>
            <w:tcW w:w="2070" w:type="dxa"/>
            <w:shd w:val="clear" w:color="auto" w:fill="auto"/>
            <w:noWrap/>
            <w:vAlign w:val="bottom"/>
          </w:tcPr>
          <w:p w14:paraId="330F7609" w14:textId="77777777" w:rsidR="003E2C6A" w:rsidRPr="005C28E7" w:rsidRDefault="003E2C6A" w:rsidP="00E92CD5">
            <w:pPr>
              <w:widowControl/>
              <w:spacing w:before="20" w:after="40" w:line="240" w:lineRule="exact"/>
              <w:ind w:left="216"/>
              <w:rPr>
                <w:i/>
                <w:kern w:val="0"/>
                <w:sz w:val="20"/>
                <w:szCs w:val="20"/>
              </w:rPr>
            </w:pPr>
            <w:r w:rsidRPr="005C28E7">
              <w:rPr>
                <w:i/>
                <w:kern w:val="0"/>
                <w:sz w:val="20"/>
                <w:szCs w:val="20"/>
              </w:rPr>
              <w:t>Upside Risk</w:t>
            </w:r>
          </w:p>
        </w:tc>
        <w:tc>
          <w:tcPr>
            <w:tcW w:w="999" w:type="dxa"/>
            <w:shd w:val="clear" w:color="auto" w:fill="auto"/>
            <w:noWrap/>
          </w:tcPr>
          <w:p w14:paraId="73301527"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1.0051 </w:t>
            </w:r>
          </w:p>
        </w:tc>
        <w:tc>
          <w:tcPr>
            <w:tcW w:w="999" w:type="dxa"/>
            <w:shd w:val="clear" w:color="auto" w:fill="auto"/>
            <w:noWrap/>
          </w:tcPr>
          <w:p w14:paraId="16A869DD"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1.0555 </w:t>
            </w:r>
          </w:p>
        </w:tc>
        <w:tc>
          <w:tcPr>
            <w:tcW w:w="999" w:type="dxa"/>
            <w:shd w:val="clear" w:color="auto" w:fill="auto"/>
            <w:noWrap/>
          </w:tcPr>
          <w:p w14:paraId="55F1FDF4"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1.1013 </w:t>
            </w:r>
          </w:p>
        </w:tc>
        <w:tc>
          <w:tcPr>
            <w:tcW w:w="999" w:type="dxa"/>
            <w:shd w:val="clear" w:color="auto" w:fill="auto"/>
            <w:noWrap/>
          </w:tcPr>
          <w:p w14:paraId="3FA85C19"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1.0776 </w:t>
            </w:r>
          </w:p>
        </w:tc>
        <w:tc>
          <w:tcPr>
            <w:tcW w:w="999" w:type="dxa"/>
            <w:shd w:val="clear" w:color="auto" w:fill="auto"/>
            <w:noWrap/>
          </w:tcPr>
          <w:p w14:paraId="38E1F87C"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1.1658 </w:t>
            </w:r>
          </w:p>
        </w:tc>
        <w:tc>
          <w:tcPr>
            <w:tcW w:w="999" w:type="dxa"/>
            <w:shd w:val="clear" w:color="auto" w:fill="auto"/>
            <w:noWrap/>
          </w:tcPr>
          <w:p w14:paraId="500678E0"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1.2111 </w:t>
            </w:r>
          </w:p>
        </w:tc>
        <w:tc>
          <w:tcPr>
            <w:tcW w:w="999" w:type="dxa"/>
            <w:shd w:val="clear" w:color="auto" w:fill="auto"/>
            <w:noWrap/>
          </w:tcPr>
          <w:p w14:paraId="2357FC53"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1.1785 </w:t>
            </w:r>
          </w:p>
        </w:tc>
        <w:tc>
          <w:tcPr>
            <w:tcW w:w="999" w:type="dxa"/>
            <w:shd w:val="clear" w:color="auto" w:fill="auto"/>
            <w:noWrap/>
          </w:tcPr>
          <w:p w14:paraId="0177B28E"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1.2155 </w:t>
            </w:r>
          </w:p>
        </w:tc>
        <w:tc>
          <w:tcPr>
            <w:tcW w:w="999" w:type="dxa"/>
            <w:shd w:val="clear" w:color="auto" w:fill="auto"/>
            <w:noWrap/>
          </w:tcPr>
          <w:p w14:paraId="6809A01D"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1.2780 </w:t>
            </w:r>
          </w:p>
        </w:tc>
        <w:tc>
          <w:tcPr>
            <w:tcW w:w="999" w:type="dxa"/>
            <w:shd w:val="clear" w:color="auto" w:fill="auto"/>
            <w:noWrap/>
          </w:tcPr>
          <w:p w14:paraId="54507105"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1.2293 </w:t>
            </w:r>
          </w:p>
        </w:tc>
        <w:tc>
          <w:tcPr>
            <w:tcW w:w="810" w:type="dxa"/>
            <w:shd w:val="clear" w:color="auto" w:fill="auto"/>
            <w:noWrap/>
          </w:tcPr>
          <w:p w14:paraId="2D0CB51E" w14:textId="77777777" w:rsidR="003E2C6A" w:rsidRPr="005C28E7" w:rsidRDefault="003E2C6A" w:rsidP="00E92CD5">
            <w:pPr>
              <w:spacing w:before="20" w:after="40" w:line="240" w:lineRule="exact"/>
              <w:ind w:left="-29" w:right="-14"/>
              <w:jc w:val="right"/>
              <w:rPr>
                <w:sz w:val="20"/>
                <w:szCs w:val="20"/>
              </w:rPr>
            </w:pPr>
            <w:r w:rsidRPr="005C28E7">
              <w:rPr>
                <w:sz w:val="20"/>
                <w:szCs w:val="20"/>
              </w:rPr>
              <w:t xml:space="preserve">0.2242 </w:t>
            </w:r>
          </w:p>
        </w:tc>
        <w:tc>
          <w:tcPr>
            <w:tcW w:w="360" w:type="dxa"/>
            <w:shd w:val="clear" w:color="auto" w:fill="auto"/>
            <w:noWrap/>
            <w:vAlign w:val="bottom"/>
          </w:tcPr>
          <w:p w14:paraId="5B8D13BE" w14:textId="77777777" w:rsidR="003E2C6A" w:rsidRPr="005C28E7" w:rsidRDefault="003E2C6A" w:rsidP="00E92CD5">
            <w:pPr>
              <w:widowControl/>
              <w:spacing w:before="20" w:after="40" w:line="240" w:lineRule="exact"/>
              <w:ind w:left="-29" w:right="-14"/>
              <w:rPr>
                <w:kern w:val="0"/>
                <w:sz w:val="18"/>
                <w:szCs w:val="20"/>
              </w:rPr>
            </w:pPr>
            <w:r w:rsidRPr="005C28E7">
              <w:rPr>
                <w:kern w:val="0"/>
                <w:sz w:val="18"/>
                <w:szCs w:val="20"/>
              </w:rPr>
              <w:t>**</w:t>
            </w:r>
          </w:p>
        </w:tc>
      </w:tr>
      <w:tr w:rsidR="005C28E7" w:rsidRPr="005C28E7" w14:paraId="4920AC22" w14:textId="77777777" w:rsidTr="00E92CD5">
        <w:tc>
          <w:tcPr>
            <w:tcW w:w="2070" w:type="dxa"/>
            <w:shd w:val="clear" w:color="auto" w:fill="auto"/>
            <w:noWrap/>
            <w:vAlign w:val="bottom"/>
          </w:tcPr>
          <w:p w14:paraId="52A03404" w14:textId="77777777" w:rsidR="003E2C6A" w:rsidRPr="005C28E7" w:rsidRDefault="003E2C6A" w:rsidP="00E92CD5">
            <w:pPr>
              <w:widowControl/>
              <w:spacing w:before="20" w:after="40" w:line="240" w:lineRule="exact"/>
              <w:ind w:left="216"/>
              <w:rPr>
                <w:i/>
                <w:kern w:val="0"/>
                <w:sz w:val="20"/>
                <w:szCs w:val="20"/>
              </w:rPr>
            </w:pPr>
            <w:r w:rsidRPr="005C28E7">
              <w:rPr>
                <w:i/>
                <w:kern w:val="0"/>
                <w:sz w:val="20"/>
                <w:szCs w:val="20"/>
              </w:rPr>
              <w:t>Asymmetric Risk</w:t>
            </w:r>
          </w:p>
        </w:tc>
        <w:tc>
          <w:tcPr>
            <w:tcW w:w="999" w:type="dxa"/>
            <w:shd w:val="clear" w:color="auto" w:fill="auto"/>
            <w:noWrap/>
          </w:tcPr>
          <w:p w14:paraId="66F85411"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0.0555 </w:t>
            </w:r>
          </w:p>
        </w:tc>
        <w:tc>
          <w:tcPr>
            <w:tcW w:w="999" w:type="dxa"/>
            <w:shd w:val="clear" w:color="auto" w:fill="auto"/>
            <w:noWrap/>
          </w:tcPr>
          <w:p w14:paraId="5FBE0F7A"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0.0519 </w:t>
            </w:r>
          </w:p>
        </w:tc>
        <w:tc>
          <w:tcPr>
            <w:tcW w:w="999" w:type="dxa"/>
            <w:shd w:val="clear" w:color="auto" w:fill="auto"/>
            <w:noWrap/>
          </w:tcPr>
          <w:p w14:paraId="1964AC77"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0.0464 </w:t>
            </w:r>
          </w:p>
        </w:tc>
        <w:tc>
          <w:tcPr>
            <w:tcW w:w="999" w:type="dxa"/>
            <w:shd w:val="clear" w:color="auto" w:fill="auto"/>
            <w:noWrap/>
          </w:tcPr>
          <w:p w14:paraId="46390F59"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0.0809 </w:t>
            </w:r>
          </w:p>
        </w:tc>
        <w:tc>
          <w:tcPr>
            <w:tcW w:w="999" w:type="dxa"/>
            <w:shd w:val="clear" w:color="auto" w:fill="auto"/>
            <w:noWrap/>
          </w:tcPr>
          <w:p w14:paraId="160E9310"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0.0797 </w:t>
            </w:r>
          </w:p>
        </w:tc>
        <w:tc>
          <w:tcPr>
            <w:tcW w:w="999" w:type="dxa"/>
            <w:shd w:val="clear" w:color="auto" w:fill="auto"/>
            <w:noWrap/>
          </w:tcPr>
          <w:p w14:paraId="482C9C76"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0.1060 </w:t>
            </w:r>
          </w:p>
        </w:tc>
        <w:tc>
          <w:tcPr>
            <w:tcW w:w="999" w:type="dxa"/>
            <w:shd w:val="clear" w:color="auto" w:fill="auto"/>
            <w:noWrap/>
          </w:tcPr>
          <w:p w14:paraId="727B37ED"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0.1038 </w:t>
            </w:r>
          </w:p>
        </w:tc>
        <w:tc>
          <w:tcPr>
            <w:tcW w:w="999" w:type="dxa"/>
            <w:shd w:val="clear" w:color="auto" w:fill="auto"/>
            <w:noWrap/>
          </w:tcPr>
          <w:p w14:paraId="7C1D6FDD"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0.0886 </w:t>
            </w:r>
          </w:p>
        </w:tc>
        <w:tc>
          <w:tcPr>
            <w:tcW w:w="999" w:type="dxa"/>
            <w:shd w:val="clear" w:color="auto" w:fill="auto"/>
            <w:noWrap/>
          </w:tcPr>
          <w:p w14:paraId="1059595D"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0.0947 </w:t>
            </w:r>
          </w:p>
        </w:tc>
        <w:tc>
          <w:tcPr>
            <w:tcW w:w="999" w:type="dxa"/>
            <w:shd w:val="clear" w:color="auto" w:fill="auto"/>
            <w:noWrap/>
          </w:tcPr>
          <w:p w14:paraId="4EC603CD" w14:textId="77777777" w:rsidR="003E2C6A" w:rsidRPr="005C28E7" w:rsidRDefault="003E2C6A" w:rsidP="00E92CD5">
            <w:pPr>
              <w:spacing w:before="20" w:after="40" w:line="240" w:lineRule="exact"/>
              <w:ind w:left="-202" w:right="202"/>
              <w:jc w:val="right"/>
              <w:rPr>
                <w:sz w:val="20"/>
                <w:szCs w:val="20"/>
              </w:rPr>
            </w:pPr>
            <w:r w:rsidRPr="005C28E7">
              <w:rPr>
                <w:sz w:val="20"/>
                <w:szCs w:val="20"/>
              </w:rPr>
              <w:t xml:space="preserve">0.1035 </w:t>
            </w:r>
          </w:p>
        </w:tc>
        <w:tc>
          <w:tcPr>
            <w:tcW w:w="810" w:type="dxa"/>
            <w:shd w:val="clear" w:color="auto" w:fill="auto"/>
            <w:noWrap/>
          </w:tcPr>
          <w:p w14:paraId="1D8CA019" w14:textId="77777777" w:rsidR="003E2C6A" w:rsidRPr="005C28E7" w:rsidRDefault="003E2C6A" w:rsidP="00E92CD5">
            <w:pPr>
              <w:spacing w:before="20" w:after="40" w:line="240" w:lineRule="exact"/>
              <w:ind w:left="-29" w:right="-14"/>
              <w:jc w:val="right"/>
              <w:rPr>
                <w:sz w:val="20"/>
                <w:szCs w:val="20"/>
              </w:rPr>
            </w:pPr>
            <w:r w:rsidRPr="005C28E7">
              <w:rPr>
                <w:sz w:val="20"/>
                <w:szCs w:val="20"/>
              </w:rPr>
              <w:t xml:space="preserve">0.0480 </w:t>
            </w:r>
          </w:p>
        </w:tc>
        <w:tc>
          <w:tcPr>
            <w:tcW w:w="360" w:type="dxa"/>
            <w:shd w:val="clear" w:color="auto" w:fill="auto"/>
            <w:noWrap/>
            <w:vAlign w:val="bottom"/>
          </w:tcPr>
          <w:p w14:paraId="36E6A3A4" w14:textId="77777777" w:rsidR="003E2C6A" w:rsidRPr="005C28E7" w:rsidRDefault="003E2C6A" w:rsidP="00E92CD5">
            <w:pPr>
              <w:widowControl/>
              <w:spacing w:before="20" w:after="40" w:line="240" w:lineRule="exact"/>
              <w:ind w:left="-29" w:right="-14"/>
              <w:rPr>
                <w:kern w:val="0"/>
                <w:sz w:val="18"/>
                <w:szCs w:val="20"/>
              </w:rPr>
            </w:pPr>
          </w:p>
        </w:tc>
      </w:tr>
      <w:tr w:rsidR="00580476" w:rsidRPr="005C28E7" w14:paraId="654C0CBC" w14:textId="77777777" w:rsidTr="00895A95">
        <w:tc>
          <w:tcPr>
            <w:tcW w:w="2070" w:type="dxa"/>
            <w:tcBorders>
              <w:bottom w:val="single" w:sz="4" w:space="0" w:color="auto"/>
            </w:tcBorders>
            <w:shd w:val="clear" w:color="auto" w:fill="auto"/>
            <w:noWrap/>
            <w:vAlign w:val="bottom"/>
          </w:tcPr>
          <w:p w14:paraId="0578813A" w14:textId="77777777" w:rsidR="003E2C6A" w:rsidRPr="005C28E7" w:rsidRDefault="003E2C6A" w:rsidP="00E92CD5">
            <w:pPr>
              <w:widowControl/>
              <w:spacing w:before="20" w:after="100" w:line="240" w:lineRule="exact"/>
              <w:ind w:left="216"/>
              <w:rPr>
                <w:i/>
                <w:kern w:val="0"/>
                <w:sz w:val="20"/>
                <w:szCs w:val="20"/>
              </w:rPr>
            </w:pPr>
            <w:r w:rsidRPr="005C28E7">
              <w:rPr>
                <w:i/>
                <w:kern w:val="0"/>
                <w:sz w:val="20"/>
                <w:szCs w:val="20"/>
              </w:rPr>
              <w:t>Market Risk</w:t>
            </w:r>
          </w:p>
        </w:tc>
        <w:tc>
          <w:tcPr>
            <w:tcW w:w="999" w:type="dxa"/>
            <w:tcBorders>
              <w:bottom w:val="single" w:sz="4" w:space="0" w:color="auto"/>
            </w:tcBorders>
            <w:shd w:val="clear" w:color="auto" w:fill="auto"/>
            <w:noWrap/>
          </w:tcPr>
          <w:p w14:paraId="7B023E9F" w14:textId="77777777" w:rsidR="003E2C6A" w:rsidRPr="005C28E7" w:rsidRDefault="003E2C6A" w:rsidP="00E92CD5">
            <w:pPr>
              <w:spacing w:before="20" w:after="100" w:line="240" w:lineRule="exact"/>
              <w:ind w:left="-202" w:right="202"/>
              <w:jc w:val="right"/>
              <w:rPr>
                <w:sz w:val="20"/>
                <w:szCs w:val="20"/>
              </w:rPr>
            </w:pPr>
            <w:r w:rsidRPr="005C28E7">
              <w:rPr>
                <w:sz w:val="20"/>
                <w:szCs w:val="20"/>
              </w:rPr>
              <w:t xml:space="preserve">0.7571 </w:t>
            </w:r>
          </w:p>
        </w:tc>
        <w:tc>
          <w:tcPr>
            <w:tcW w:w="999" w:type="dxa"/>
            <w:tcBorders>
              <w:bottom w:val="single" w:sz="4" w:space="0" w:color="auto"/>
            </w:tcBorders>
            <w:shd w:val="clear" w:color="auto" w:fill="auto"/>
            <w:noWrap/>
          </w:tcPr>
          <w:p w14:paraId="20294E94" w14:textId="77777777" w:rsidR="003E2C6A" w:rsidRPr="005C28E7" w:rsidRDefault="003E2C6A" w:rsidP="00E92CD5">
            <w:pPr>
              <w:spacing w:before="20" w:after="100" w:line="240" w:lineRule="exact"/>
              <w:ind w:left="-202" w:right="202"/>
              <w:jc w:val="right"/>
              <w:rPr>
                <w:sz w:val="20"/>
                <w:szCs w:val="20"/>
              </w:rPr>
            </w:pPr>
            <w:r w:rsidRPr="005C28E7">
              <w:rPr>
                <w:sz w:val="20"/>
                <w:szCs w:val="20"/>
              </w:rPr>
              <w:t xml:space="preserve">0.7898 </w:t>
            </w:r>
          </w:p>
        </w:tc>
        <w:tc>
          <w:tcPr>
            <w:tcW w:w="999" w:type="dxa"/>
            <w:tcBorders>
              <w:bottom w:val="single" w:sz="4" w:space="0" w:color="auto"/>
            </w:tcBorders>
            <w:shd w:val="clear" w:color="auto" w:fill="auto"/>
            <w:noWrap/>
          </w:tcPr>
          <w:p w14:paraId="6BB83E22" w14:textId="77777777" w:rsidR="003E2C6A" w:rsidRPr="005C28E7" w:rsidRDefault="003E2C6A" w:rsidP="00E92CD5">
            <w:pPr>
              <w:spacing w:before="20" w:after="100" w:line="240" w:lineRule="exact"/>
              <w:ind w:left="-202" w:right="202"/>
              <w:jc w:val="right"/>
              <w:rPr>
                <w:sz w:val="20"/>
                <w:szCs w:val="20"/>
              </w:rPr>
            </w:pPr>
            <w:r w:rsidRPr="005C28E7">
              <w:rPr>
                <w:sz w:val="20"/>
                <w:szCs w:val="20"/>
              </w:rPr>
              <w:t xml:space="preserve">0.8221 </w:t>
            </w:r>
          </w:p>
        </w:tc>
        <w:tc>
          <w:tcPr>
            <w:tcW w:w="999" w:type="dxa"/>
            <w:tcBorders>
              <w:bottom w:val="single" w:sz="4" w:space="0" w:color="auto"/>
            </w:tcBorders>
            <w:shd w:val="clear" w:color="auto" w:fill="auto"/>
            <w:noWrap/>
          </w:tcPr>
          <w:p w14:paraId="16348B4D" w14:textId="77777777" w:rsidR="003E2C6A" w:rsidRPr="005C28E7" w:rsidRDefault="003E2C6A" w:rsidP="00E92CD5">
            <w:pPr>
              <w:spacing w:before="20" w:after="100" w:line="240" w:lineRule="exact"/>
              <w:ind w:left="-202" w:right="202"/>
              <w:jc w:val="right"/>
              <w:rPr>
                <w:sz w:val="20"/>
                <w:szCs w:val="20"/>
              </w:rPr>
            </w:pPr>
            <w:r w:rsidRPr="005C28E7">
              <w:rPr>
                <w:sz w:val="20"/>
                <w:szCs w:val="20"/>
              </w:rPr>
              <w:t xml:space="preserve">0.8171 </w:t>
            </w:r>
          </w:p>
        </w:tc>
        <w:tc>
          <w:tcPr>
            <w:tcW w:w="999" w:type="dxa"/>
            <w:tcBorders>
              <w:bottom w:val="single" w:sz="4" w:space="0" w:color="auto"/>
            </w:tcBorders>
            <w:shd w:val="clear" w:color="auto" w:fill="auto"/>
            <w:noWrap/>
          </w:tcPr>
          <w:p w14:paraId="78D0C07E" w14:textId="77777777" w:rsidR="003E2C6A" w:rsidRPr="005C28E7" w:rsidRDefault="003E2C6A" w:rsidP="00E92CD5">
            <w:pPr>
              <w:spacing w:before="20" w:after="100" w:line="240" w:lineRule="exact"/>
              <w:ind w:left="-202" w:right="202"/>
              <w:jc w:val="right"/>
              <w:rPr>
                <w:sz w:val="20"/>
                <w:szCs w:val="20"/>
              </w:rPr>
            </w:pPr>
            <w:r w:rsidRPr="005C28E7">
              <w:rPr>
                <w:sz w:val="20"/>
                <w:szCs w:val="20"/>
              </w:rPr>
              <w:t xml:space="preserve">0.8806 </w:t>
            </w:r>
          </w:p>
        </w:tc>
        <w:tc>
          <w:tcPr>
            <w:tcW w:w="999" w:type="dxa"/>
            <w:tcBorders>
              <w:bottom w:val="single" w:sz="4" w:space="0" w:color="auto"/>
            </w:tcBorders>
            <w:shd w:val="clear" w:color="auto" w:fill="auto"/>
            <w:noWrap/>
          </w:tcPr>
          <w:p w14:paraId="7B759276" w14:textId="77777777" w:rsidR="003E2C6A" w:rsidRPr="005C28E7" w:rsidRDefault="003E2C6A" w:rsidP="00E92CD5">
            <w:pPr>
              <w:spacing w:before="20" w:after="100" w:line="240" w:lineRule="exact"/>
              <w:ind w:left="-202" w:right="202"/>
              <w:jc w:val="right"/>
              <w:rPr>
                <w:sz w:val="20"/>
                <w:szCs w:val="20"/>
              </w:rPr>
            </w:pPr>
            <w:r w:rsidRPr="005C28E7">
              <w:rPr>
                <w:sz w:val="20"/>
                <w:szCs w:val="20"/>
              </w:rPr>
              <w:t xml:space="preserve">0.9251 </w:t>
            </w:r>
          </w:p>
        </w:tc>
        <w:tc>
          <w:tcPr>
            <w:tcW w:w="999" w:type="dxa"/>
            <w:tcBorders>
              <w:bottom w:val="single" w:sz="4" w:space="0" w:color="auto"/>
            </w:tcBorders>
            <w:shd w:val="clear" w:color="auto" w:fill="auto"/>
            <w:noWrap/>
          </w:tcPr>
          <w:p w14:paraId="6880C043" w14:textId="77777777" w:rsidR="003E2C6A" w:rsidRPr="005C28E7" w:rsidRDefault="003E2C6A" w:rsidP="00E92CD5">
            <w:pPr>
              <w:spacing w:before="20" w:after="100" w:line="240" w:lineRule="exact"/>
              <w:ind w:left="-202" w:right="202"/>
              <w:jc w:val="right"/>
              <w:rPr>
                <w:sz w:val="20"/>
                <w:szCs w:val="20"/>
              </w:rPr>
            </w:pPr>
            <w:r w:rsidRPr="005C28E7">
              <w:rPr>
                <w:sz w:val="20"/>
                <w:szCs w:val="20"/>
              </w:rPr>
              <w:t xml:space="preserve">0.8999 </w:t>
            </w:r>
          </w:p>
        </w:tc>
        <w:tc>
          <w:tcPr>
            <w:tcW w:w="999" w:type="dxa"/>
            <w:tcBorders>
              <w:bottom w:val="single" w:sz="4" w:space="0" w:color="auto"/>
            </w:tcBorders>
            <w:shd w:val="clear" w:color="auto" w:fill="auto"/>
            <w:noWrap/>
          </w:tcPr>
          <w:p w14:paraId="2E5CACDF" w14:textId="77777777" w:rsidR="003E2C6A" w:rsidRPr="005C28E7" w:rsidRDefault="003E2C6A" w:rsidP="00E92CD5">
            <w:pPr>
              <w:spacing w:before="20" w:after="100" w:line="240" w:lineRule="exact"/>
              <w:ind w:left="-202" w:right="202"/>
              <w:jc w:val="right"/>
              <w:rPr>
                <w:sz w:val="20"/>
                <w:szCs w:val="20"/>
              </w:rPr>
            </w:pPr>
            <w:r w:rsidRPr="005C28E7">
              <w:rPr>
                <w:sz w:val="20"/>
                <w:szCs w:val="20"/>
              </w:rPr>
              <w:t xml:space="preserve">0.9197 </w:t>
            </w:r>
          </w:p>
        </w:tc>
        <w:tc>
          <w:tcPr>
            <w:tcW w:w="999" w:type="dxa"/>
            <w:tcBorders>
              <w:bottom w:val="single" w:sz="4" w:space="0" w:color="auto"/>
            </w:tcBorders>
            <w:shd w:val="clear" w:color="auto" w:fill="auto"/>
            <w:noWrap/>
          </w:tcPr>
          <w:p w14:paraId="3460BB62" w14:textId="77777777" w:rsidR="003E2C6A" w:rsidRPr="005C28E7" w:rsidRDefault="003E2C6A" w:rsidP="00E92CD5">
            <w:pPr>
              <w:spacing w:before="20" w:after="100" w:line="240" w:lineRule="exact"/>
              <w:ind w:left="-202" w:right="202"/>
              <w:jc w:val="right"/>
              <w:rPr>
                <w:sz w:val="20"/>
                <w:szCs w:val="20"/>
              </w:rPr>
            </w:pPr>
            <w:r w:rsidRPr="005C28E7">
              <w:rPr>
                <w:sz w:val="20"/>
                <w:szCs w:val="20"/>
              </w:rPr>
              <w:t xml:space="preserve">0.9690 </w:t>
            </w:r>
          </w:p>
        </w:tc>
        <w:tc>
          <w:tcPr>
            <w:tcW w:w="999" w:type="dxa"/>
            <w:tcBorders>
              <w:bottom w:val="single" w:sz="4" w:space="0" w:color="auto"/>
            </w:tcBorders>
            <w:shd w:val="clear" w:color="auto" w:fill="auto"/>
            <w:noWrap/>
          </w:tcPr>
          <w:p w14:paraId="7E01664E" w14:textId="77777777" w:rsidR="003E2C6A" w:rsidRPr="005C28E7" w:rsidRDefault="003E2C6A" w:rsidP="00E92CD5">
            <w:pPr>
              <w:spacing w:before="20" w:after="100" w:line="240" w:lineRule="exact"/>
              <w:ind w:left="-202" w:right="202"/>
              <w:jc w:val="right"/>
              <w:rPr>
                <w:sz w:val="20"/>
                <w:szCs w:val="20"/>
              </w:rPr>
            </w:pPr>
            <w:r w:rsidRPr="005C28E7">
              <w:rPr>
                <w:sz w:val="20"/>
                <w:szCs w:val="20"/>
              </w:rPr>
              <w:t xml:space="preserve">0.9361 </w:t>
            </w:r>
          </w:p>
        </w:tc>
        <w:tc>
          <w:tcPr>
            <w:tcW w:w="810" w:type="dxa"/>
            <w:tcBorders>
              <w:bottom w:val="single" w:sz="4" w:space="0" w:color="auto"/>
            </w:tcBorders>
            <w:shd w:val="clear" w:color="auto" w:fill="auto"/>
            <w:noWrap/>
          </w:tcPr>
          <w:p w14:paraId="16BEB806" w14:textId="77777777" w:rsidR="003E2C6A" w:rsidRPr="005C28E7" w:rsidRDefault="003E2C6A" w:rsidP="00E92CD5">
            <w:pPr>
              <w:spacing w:before="20" w:after="100" w:line="240" w:lineRule="exact"/>
              <w:ind w:left="-29" w:right="-14"/>
              <w:jc w:val="right"/>
              <w:rPr>
                <w:sz w:val="20"/>
                <w:szCs w:val="20"/>
              </w:rPr>
            </w:pPr>
            <w:r w:rsidRPr="005C28E7">
              <w:rPr>
                <w:sz w:val="20"/>
                <w:szCs w:val="20"/>
              </w:rPr>
              <w:t xml:space="preserve">0.1790 </w:t>
            </w:r>
          </w:p>
        </w:tc>
        <w:tc>
          <w:tcPr>
            <w:tcW w:w="360" w:type="dxa"/>
            <w:tcBorders>
              <w:bottom w:val="single" w:sz="4" w:space="0" w:color="auto"/>
            </w:tcBorders>
            <w:shd w:val="clear" w:color="auto" w:fill="auto"/>
            <w:noWrap/>
            <w:vAlign w:val="bottom"/>
          </w:tcPr>
          <w:p w14:paraId="2DA6710F" w14:textId="77777777" w:rsidR="003E2C6A" w:rsidRPr="005C28E7" w:rsidRDefault="003E2C6A" w:rsidP="00E92CD5">
            <w:pPr>
              <w:widowControl/>
              <w:spacing w:before="20" w:after="100" w:line="240" w:lineRule="exact"/>
              <w:ind w:left="-29" w:right="-14"/>
              <w:rPr>
                <w:kern w:val="0"/>
                <w:sz w:val="18"/>
                <w:szCs w:val="20"/>
              </w:rPr>
            </w:pPr>
            <w:r w:rsidRPr="005C28E7">
              <w:rPr>
                <w:kern w:val="0"/>
                <w:sz w:val="18"/>
                <w:szCs w:val="20"/>
              </w:rPr>
              <w:t>**</w:t>
            </w:r>
          </w:p>
        </w:tc>
      </w:tr>
    </w:tbl>
    <w:p w14:paraId="319182A8" w14:textId="77777777" w:rsidR="003E2C6A" w:rsidRPr="005C28E7" w:rsidRDefault="003E2C6A" w:rsidP="003E2C6A">
      <w:pPr>
        <w:spacing w:line="180" w:lineRule="exact"/>
        <w:rPr>
          <w:rStyle w:val="aff9"/>
          <w:rFonts w:cs="Times New Roman"/>
          <w:sz w:val="16"/>
          <w:szCs w:val="16"/>
        </w:rPr>
      </w:pPr>
    </w:p>
    <w:p w14:paraId="0D5BFDB9" w14:textId="16572B4F" w:rsidR="003E2C6A" w:rsidRPr="005C28E7" w:rsidRDefault="00E92CD5" w:rsidP="007C691D">
      <w:pPr>
        <w:spacing w:line="240" w:lineRule="exact"/>
        <w:rPr>
          <w:rStyle w:val="aff9"/>
          <w:rFonts w:cs="Times New Roman"/>
          <w:sz w:val="18"/>
          <w:szCs w:val="16"/>
        </w:rPr>
      </w:pPr>
      <w:r w:rsidRPr="005C28E7">
        <w:rPr>
          <w:rStyle w:val="aff9"/>
          <w:rFonts w:cs="Times New Roman"/>
          <w:i/>
          <w:sz w:val="18"/>
          <w:szCs w:val="16"/>
        </w:rPr>
        <w:t xml:space="preserve">Note: </w:t>
      </w:r>
      <w:r w:rsidRPr="005C28E7">
        <w:rPr>
          <w:rStyle w:val="aff9"/>
          <w:rFonts w:cs="Times New Roman"/>
          <w:sz w:val="18"/>
          <w:szCs w:val="16"/>
        </w:rPr>
        <w:t xml:space="preserve"> ** indicates</w:t>
      </w:r>
      <w:r w:rsidR="00457E01" w:rsidRPr="005C28E7">
        <w:rPr>
          <w:rStyle w:val="aff9"/>
          <w:rFonts w:cs="Times New Roman"/>
          <w:sz w:val="18"/>
          <w:szCs w:val="16"/>
        </w:rPr>
        <w:t xml:space="preserve"> statistical</w:t>
      </w:r>
      <w:r w:rsidRPr="005C28E7">
        <w:rPr>
          <w:rStyle w:val="aff9"/>
          <w:rFonts w:cs="Times New Roman"/>
          <w:sz w:val="18"/>
          <w:szCs w:val="16"/>
        </w:rPr>
        <w:t xml:space="preserve"> significance at the 5% level; and *** indicates </w:t>
      </w:r>
      <w:r w:rsidR="00457E01" w:rsidRPr="005C28E7">
        <w:rPr>
          <w:rStyle w:val="aff9"/>
          <w:rFonts w:cs="Times New Roman"/>
          <w:sz w:val="18"/>
          <w:szCs w:val="16"/>
        </w:rPr>
        <w:t xml:space="preserve">statistical </w:t>
      </w:r>
      <w:r w:rsidRPr="005C28E7">
        <w:rPr>
          <w:rStyle w:val="aff9"/>
          <w:rFonts w:cs="Times New Roman"/>
          <w:sz w:val="18"/>
          <w:szCs w:val="16"/>
        </w:rPr>
        <w:t>significance at the 1% level.</w:t>
      </w:r>
    </w:p>
    <w:p w14:paraId="4C180F0C" w14:textId="77777777" w:rsidR="003E2C6A" w:rsidRPr="005C28E7" w:rsidRDefault="003E2C6A" w:rsidP="007C691D">
      <w:pPr>
        <w:spacing w:line="240" w:lineRule="exact"/>
        <w:rPr>
          <w:b/>
          <w:kern w:val="0"/>
        </w:rPr>
        <w:sectPr w:rsidR="003E2C6A" w:rsidRPr="005C28E7" w:rsidSect="00E92CD5">
          <w:pgSz w:w="16834" w:h="11909" w:orient="landscape" w:code="9"/>
          <w:pgMar w:top="1440" w:right="1728" w:bottom="1584" w:left="1728" w:header="850" w:footer="878" w:gutter="0"/>
          <w:cols w:space="425"/>
          <w:titlePg/>
          <w:docGrid w:type="linesAndChars" w:linePitch="360"/>
        </w:sectPr>
      </w:pPr>
    </w:p>
    <w:p w14:paraId="1BAAF599" w14:textId="19D5868F" w:rsidR="007C691D" w:rsidRPr="005C28E7" w:rsidRDefault="007C691D" w:rsidP="007C691D">
      <w:pPr>
        <w:spacing w:line="260" w:lineRule="exact"/>
        <w:rPr>
          <w:i/>
          <w:kern w:val="0"/>
          <w:sz w:val="22"/>
          <w:szCs w:val="22"/>
        </w:rPr>
      </w:pPr>
      <w:r w:rsidRPr="005C28E7">
        <w:rPr>
          <w:i/>
          <w:kern w:val="0"/>
          <w:sz w:val="22"/>
          <w:szCs w:val="22"/>
        </w:rPr>
        <w:lastRenderedPageBreak/>
        <w:t xml:space="preserve">Table </w:t>
      </w:r>
      <w:proofErr w:type="gramStart"/>
      <w:r w:rsidR="00C56BE4" w:rsidRPr="005C28E7">
        <w:rPr>
          <w:i/>
          <w:kern w:val="0"/>
          <w:sz w:val="22"/>
          <w:szCs w:val="22"/>
        </w:rPr>
        <w:t>3</w:t>
      </w:r>
      <w:r w:rsidRPr="005C28E7">
        <w:rPr>
          <w:i/>
          <w:kern w:val="0"/>
          <w:sz w:val="22"/>
          <w:szCs w:val="22"/>
        </w:rPr>
        <w:t xml:space="preserve">  </w:t>
      </w:r>
      <w:r w:rsidR="00B975C0" w:rsidRPr="005C28E7">
        <w:rPr>
          <w:i/>
          <w:sz w:val="22"/>
          <w:szCs w:val="22"/>
        </w:rPr>
        <w:t>Effect</w:t>
      </w:r>
      <w:r w:rsidR="002A48D8" w:rsidRPr="005C28E7">
        <w:rPr>
          <w:i/>
          <w:sz w:val="22"/>
          <w:szCs w:val="22"/>
        </w:rPr>
        <w:t>s</w:t>
      </w:r>
      <w:proofErr w:type="gramEnd"/>
      <w:r w:rsidR="00B975C0" w:rsidRPr="005C28E7">
        <w:rPr>
          <w:i/>
          <w:sz w:val="22"/>
          <w:szCs w:val="22"/>
        </w:rPr>
        <w:t xml:space="preserve"> of </w:t>
      </w:r>
      <w:r w:rsidR="002A48D8" w:rsidRPr="005C28E7">
        <w:rPr>
          <w:i/>
          <w:sz w:val="22"/>
          <w:szCs w:val="22"/>
        </w:rPr>
        <w:t>a</w:t>
      </w:r>
      <w:r w:rsidR="00B975C0" w:rsidRPr="005C28E7">
        <w:rPr>
          <w:i/>
          <w:sz w:val="22"/>
          <w:szCs w:val="22"/>
        </w:rPr>
        <w:t xml:space="preserve">ccounting </w:t>
      </w:r>
      <w:r w:rsidR="002A48D8" w:rsidRPr="005C28E7">
        <w:rPr>
          <w:i/>
          <w:sz w:val="22"/>
          <w:szCs w:val="22"/>
        </w:rPr>
        <w:t>q</w:t>
      </w:r>
      <w:r w:rsidR="00B975C0" w:rsidRPr="005C28E7">
        <w:rPr>
          <w:i/>
          <w:sz w:val="22"/>
          <w:szCs w:val="22"/>
        </w:rPr>
        <w:t xml:space="preserve">uality on </w:t>
      </w:r>
      <w:r w:rsidR="002A48D8" w:rsidRPr="005C28E7">
        <w:rPr>
          <w:i/>
          <w:sz w:val="22"/>
          <w:szCs w:val="22"/>
        </w:rPr>
        <w:t>r</w:t>
      </w:r>
      <w:r w:rsidR="00B975C0" w:rsidRPr="005C28E7">
        <w:rPr>
          <w:i/>
          <w:sz w:val="22"/>
          <w:szCs w:val="22"/>
        </w:rPr>
        <w:t>isk</w:t>
      </w:r>
    </w:p>
    <w:p w14:paraId="79D52AF7" w14:textId="77777777" w:rsidR="007C691D" w:rsidRPr="005C28E7" w:rsidRDefault="007C691D" w:rsidP="007C691D">
      <w:pPr>
        <w:spacing w:line="240" w:lineRule="exact"/>
        <w:rPr>
          <w:kern w:val="0"/>
          <w:sz w:val="20"/>
          <w:szCs w:val="20"/>
        </w:rPr>
      </w:pPr>
    </w:p>
    <w:p w14:paraId="298FFA3F" w14:textId="78D276B4" w:rsidR="007C691D" w:rsidRPr="005C28E7" w:rsidRDefault="007C691D" w:rsidP="002A48D8">
      <w:pPr>
        <w:spacing w:line="240" w:lineRule="exact"/>
        <w:jc w:val="both"/>
      </w:pPr>
      <w:r w:rsidRPr="005C28E7">
        <w:rPr>
          <w:kern w:val="0"/>
          <w:sz w:val="20"/>
          <w:szCs w:val="20"/>
        </w:rPr>
        <w:t xml:space="preserve">This table presents the results </w:t>
      </w:r>
      <w:r w:rsidR="00034397" w:rsidRPr="005C28E7">
        <w:rPr>
          <w:kern w:val="0"/>
          <w:sz w:val="20"/>
          <w:szCs w:val="20"/>
        </w:rPr>
        <w:t>of</w:t>
      </w:r>
      <w:r w:rsidRPr="005C28E7">
        <w:rPr>
          <w:kern w:val="0"/>
          <w:sz w:val="20"/>
          <w:szCs w:val="20"/>
        </w:rPr>
        <w:t xml:space="preserve"> the </w:t>
      </w:r>
      <w:r w:rsidR="00034397" w:rsidRPr="005C28E7">
        <w:rPr>
          <w:kern w:val="0"/>
          <w:sz w:val="20"/>
          <w:szCs w:val="20"/>
        </w:rPr>
        <w:t xml:space="preserve">first stage of the </w:t>
      </w:r>
      <w:r w:rsidRPr="005C28E7">
        <w:rPr>
          <w:kern w:val="0"/>
          <w:sz w:val="20"/>
          <w:szCs w:val="20"/>
        </w:rPr>
        <w:t>two-stage analysis</w:t>
      </w:r>
      <w:r w:rsidR="00034397" w:rsidRPr="005C28E7">
        <w:rPr>
          <w:kern w:val="0"/>
          <w:sz w:val="20"/>
          <w:szCs w:val="20"/>
        </w:rPr>
        <w:t>, which is the effect of accounting quality on risk, with the estimation</w:t>
      </w:r>
      <w:r w:rsidRPr="005C28E7">
        <w:rPr>
          <w:kern w:val="0"/>
          <w:sz w:val="20"/>
          <w:szCs w:val="20"/>
        </w:rPr>
        <w:t xml:space="preserve"> procedure </w:t>
      </w:r>
      <w:r w:rsidR="00034397" w:rsidRPr="005C28E7">
        <w:rPr>
          <w:kern w:val="0"/>
          <w:sz w:val="20"/>
          <w:szCs w:val="20"/>
        </w:rPr>
        <w:t>being</w:t>
      </w:r>
      <w:r w:rsidRPr="005C28E7">
        <w:rPr>
          <w:kern w:val="0"/>
          <w:sz w:val="20"/>
          <w:szCs w:val="20"/>
        </w:rPr>
        <w:t xml:space="preserve"> as follows. </w:t>
      </w:r>
      <w:r w:rsidR="00034397" w:rsidRPr="005C28E7">
        <w:rPr>
          <w:kern w:val="0"/>
          <w:sz w:val="20"/>
          <w:szCs w:val="20"/>
        </w:rPr>
        <w:t>T</w:t>
      </w:r>
      <w:r w:rsidRPr="005C28E7">
        <w:rPr>
          <w:kern w:val="0"/>
          <w:sz w:val="20"/>
          <w:szCs w:val="20"/>
        </w:rPr>
        <w:t xml:space="preserve">he OLS regression is </w:t>
      </w:r>
      <w:r w:rsidR="00034397" w:rsidRPr="005C28E7">
        <w:rPr>
          <w:kern w:val="0"/>
          <w:sz w:val="20"/>
          <w:szCs w:val="20"/>
        </w:rPr>
        <w:t xml:space="preserve">first of all </w:t>
      </w:r>
      <w:r w:rsidRPr="005C28E7">
        <w:rPr>
          <w:kern w:val="0"/>
          <w:sz w:val="20"/>
          <w:szCs w:val="20"/>
        </w:rPr>
        <w:t xml:space="preserve">used to obtain the regression coefficients for each stock, </w:t>
      </w:r>
      <w:r w:rsidR="00034397" w:rsidRPr="005C28E7">
        <w:rPr>
          <w:kern w:val="0"/>
          <w:sz w:val="20"/>
          <w:szCs w:val="20"/>
        </w:rPr>
        <w:t>with</w:t>
      </w:r>
      <w:r w:rsidRPr="005C28E7">
        <w:rPr>
          <w:kern w:val="0"/>
          <w:sz w:val="20"/>
          <w:szCs w:val="20"/>
        </w:rPr>
        <w:t xml:space="preserve"> the t-test then </w:t>
      </w:r>
      <w:r w:rsidR="00034397" w:rsidRPr="005C28E7">
        <w:rPr>
          <w:kern w:val="0"/>
          <w:sz w:val="20"/>
          <w:szCs w:val="20"/>
        </w:rPr>
        <w:t xml:space="preserve">being </w:t>
      </w:r>
      <w:r w:rsidRPr="005C28E7">
        <w:rPr>
          <w:kern w:val="0"/>
          <w:sz w:val="20"/>
          <w:szCs w:val="20"/>
        </w:rPr>
        <w:t>used to examine whether the mean coefficient is si</w:t>
      </w:r>
      <w:r w:rsidR="00034397" w:rsidRPr="005C28E7">
        <w:rPr>
          <w:kern w:val="0"/>
          <w:sz w:val="20"/>
          <w:szCs w:val="20"/>
        </w:rPr>
        <w:t>gnificantly different from zero</w:t>
      </w:r>
      <w:r w:rsidRPr="005C28E7">
        <w:rPr>
          <w:kern w:val="0"/>
          <w:sz w:val="20"/>
          <w:szCs w:val="20"/>
        </w:rPr>
        <w:t>.</w:t>
      </w:r>
    </w:p>
    <w:p w14:paraId="13800E0B" w14:textId="77777777" w:rsidR="007C691D" w:rsidRPr="005C28E7" w:rsidRDefault="007C691D" w:rsidP="007C691D">
      <w:pPr>
        <w:spacing w:line="240" w:lineRule="exact"/>
      </w:pPr>
    </w:p>
    <w:tbl>
      <w:tblPr>
        <w:tblStyle w:val="af2"/>
        <w:tblW w:w="8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70"/>
        <w:gridCol w:w="1170"/>
        <w:gridCol w:w="810"/>
        <w:gridCol w:w="450"/>
        <w:gridCol w:w="1230"/>
        <w:gridCol w:w="1230"/>
        <w:gridCol w:w="1230"/>
      </w:tblGrid>
      <w:tr w:rsidR="005C28E7" w:rsidRPr="005C28E7" w14:paraId="34DB9179" w14:textId="77777777" w:rsidTr="000A6837">
        <w:tc>
          <w:tcPr>
            <w:tcW w:w="2070" w:type="dxa"/>
            <w:tcBorders>
              <w:top w:val="single" w:sz="4" w:space="0" w:color="auto"/>
              <w:bottom w:val="single" w:sz="4" w:space="0" w:color="auto"/>
            </w:tcBorders>
            <w:vAlign w:val="center"/>
          </w:tcPr>
          <w:p w14:paraId="17916506" w14:textId="3E2FE439" w:rsidR="00EA404B" w:rsidRPr="005C28E7" w:rsidRDefault="002A48D8" w:rsidP="000A6837">
            <w:pPr>
              <w:spacing w:before="60" w:after="60" w:line="240" w:lineRule="exact"/>
              <w:jc w:val="center"/>
              <w:rPr>
                <w:sz w:val="20"/>
                <w:szCs w:val="20"/>
              </w:rPr>
            </w:pPr>
            <w:r w:rsidRPr="005C28E7">
              <w:rPr>
                <w:sz w:val="20"/>
                <w:szCs w:val="20"/>
              </w:rPr>
              <w:t>Variables</w:t>
            </w:r>
          </w:p>
        </w:tc>
        <w:tc>
          <w:tcPr>
            <w:tcW w:w="1170" w:type="dxa"/>
            <w:tcBorders>
              <w:top w:val="single" w:sz="4" w:space="0" w:color="auto"/>
              <w:bottom w:val="single" w:sz="4" w:space="0" w:color="auto"/>
            </w:tcBorders>
            <w:vAlign w:val="center"/>
          </w:tcPr>
          <w:p w14:paraId="3FDD63E8" w14:textId="77777777" w:rsidR="00EA404B" w:rsidRPr="005C28E7" w:rsidRDefault="00EA404B" w:rsidP="000A6837">
            <w:pPr>
              <w:spacing w:before="60" w:after="60" w:line="240" w:lineRule="exact"/>
              <w:jc w:val="center"/>
              <w:rPr>
                <w:sz w:val="20"/>
                <w:szCs w:val="20"/>
              </w:rPr>
            </w:pPr>
            <w:r w:rsidRPr="005C28E7">
              <w:rPr>
                <w:sz w:val="20"/>
                <w:szCs w:val="20"/>
              </w:rPr>
              <w:t>Intercept</w:t>
            </w:r>
          </w:p>
        </w:tc>
        <w:tc>
          <w:tcPr>
            <w:tcW w:w="1260" w:type="dxa"/>
            <w:gridSpan w:val="2"/>
            <w:tcBorders>
              <w:top w:val="single" w:sz="4" w:space="0" w:color="auto"/>
              <w:bottom w:val="single" w:sz="4" w:space="0" w:color="auto"/>
            </w:tcBorders>
            <w:vAlign w:val="center"/>
          </w:tcPr>
          <w:p w14:paraId="2B4E951F" w14:textId="77777777" w:rsidR="00EA404B" w:rsidRPr="005C28E7" w:rsidRDefault="00EA404B" w:rsidP="000A6837">
            <w:pPr>
              <w:spacing w:before="60" w:after="60" w:line="240" w:lineRule="exact"/>
              <w:ind w:leftChars="-45" w:left="-108"/>
              <w:jc w:val="center"/>
              <w:rPr>
                <w:i/>
                <w:sz w:val="20"/>
                <w:szCs w:val="20"/>
              </w:rPr>
            </w:pPr>
            <w:r w:rsidRPr="005C28E7">
              <w:rPr>
                <w:i/>
                <w:sz w:val="20"/>
                <w:szCs w:val="20"/>
              </w:rPr>
              <w:t>Accounting Quality</w:t>
            </w:r>
          </w:p>
        </w:tc>
        <w:tc>
          <w:tcPr>
            <w:tcW w:w="1230" w:type="dxa"/>
            <w:tcBorders>
              <w:top w:val="single" w:sz="4" w:space="0" w:color="auto"/>
              <w:bottom w:val="single" w:sz="4" w:space="0" w:color="auto"/>
            </w:tcBorders>
            <w:vAlign w:val="center"/>
          </w:tcPr>
          <w:p w14:paraId="00BB97F0" w14:textId="77777777" w:rsidR="00EA404B" w:rsidRPr="005C28E7" w:rsidRDefault="00EA404B" w:rsidP="000A6837">
            <w:pPr>
              <w:spacing w:before="60" w:after="60" w:line="240" w:lineRule="exact"/>
              <w:jc w:val="center"/>
              <w:rPr>
                <w:i/>
                <w:sz w:val="20"/>
                <w:szCs w:val="20"/>
              </w:rPr>
            </w:pPr>
            <w:r w:rsidRPr="005C28E7">
              <w:rPr>
                <w:i/>
                <w:sz w:val="20"/>
                <w:szCs w:val="20"/>
              </w:rPr>
              <w:t>Financial Leverage</w:t>
            </w:r>
          </w:p>
        </w:tc>
        <w:tc>
          <w:tcPr>
            <w:tcW w:w="1230" w:type="dxa"/>
            <w:tcBorders>
              <w:top w:val="single" w:sz="4" w:space="0" w:color="auto"/>
              <w:bottom w:val="single" w:sz="4" w:space="0" w:color="auto"/>
            </w:tcBorders>
            <w:vAlign w:val="center"/>
          </w:tcPr>
          <w:p w14:paraId="37C08537" w14:textId="77777777" w:rsidR="00EA404B" w:rsidRPr="005C28E7" w:rsidRDefault="00EA404B" w:rsidP="000A6837">
            <w:pPr>
              <w:spacing w:before="60" w:after="60" w:line="240" w:lineRule="exact"/>
              <w:jc w:val="center"/>
              <w:rPr>
                <w:i/>
                <w:sz w:val="20"/>
                <w:szCs w:val="20"/>
              </w:rPr>
            </w:pPr>
            <w:r w:rsidRPr="005C28E7">
              <w:rPr>
                <w:i/>
                <w:sz w:val="20"/>
                <w:szCs w:val="20"/>
              </w:rPr>
              <w:t>Operating Leverage</w:t>
            </w:r>
          </w:p>
        </w:tc>
        <w:tc>
          <w:tcPr>
            <w:tcW w:w="1230" w:type="dxa"/>
            <w:tcBorders>
              <w:top w:val="single" w:sz="4" w:space="0" w:color="auto"/>
              <w:bottom w:val="single" w:sz="4" w:space="0" w:color="auto"/>
            </w:tcBorders>
            <w:vAlign w:val="center"/>
          </w:tcPr>
          <w:p w14:paraId="6FC35D34" w14:textId="77777777" w:rsidR="00EA404B" w:rsidRPr="005C28E7" w:rsidRDefault="00EA404B" w:rsidP="000A6837">
            <w:pPr>
              <w:spacing w:before="60" w:after="60" w:line="240" w:lineRule="exact"/>
              <w:jc w:val="center"/>
              <w:rPr>
                <w:i/>
                <w:sz w:val="20"/>
                <w:szCs w:val="20"/>
              </w:rPr>
            </w:pPr>
            <w:r w:rsidRPr="005C28E7">
              <w:rPr>
                <w:i/>
                <w:sz w:val="20"/>
                <w:szCs w:val="20"/>
              </w:rPr>
              <w:t>Size</w:t>
            </w:r>
          </w:p>
        </w:tc>
      </w:tr>
      <w:tr w:rsidR="005C28E7" w:rsidRPr="005C28E7" w14:paraId="00BBBCAC" w14:textId="77777777" w:rsidTr="000A6837">
        <w:tc>
          <w:tcPr>
            <w:tcW w:w="2070" w:type="dxa"/>
            <w:tcBorders>
              <w:top w:val="single" w:sz="4" w:space="0" w:color="auto"/>
            </w:tcBorders>
          </w:tcPr>
          <w:p w14:paraId="666892EA" w14:textId="77777777" w:rsidR="00EA404B" w:rsidRPr="005C28E7" w:rsidRDefault="00EA404B" w:rsidP="000A6837">
            <w:pPr>
              <w:spacing w:before="100" w:after="60" w:line="240" w:lineRule="exact"/>
              <w:ind w:left="216"/>
              <w:rPr>
                <w:i/>
                <w:sz w:val="20"/>
                <w:szCs w:val="20"/>
              </w:rPr>
            </w:pPr>
            <w:r w:rsidRPr="005C28E7">
              <w:rPr>
                <w:i/>
                <w:kern w:val="0"/>
                <w:sz w:val="20"/>
                <w:szCs w:val="20"/>
              </w:rPr>
              <w:t>Downside Risk</w:t>
            </w:r>
          </w:p>
        </w:tc>
        <w:tc>
          <w:tcPr>
            <w:tcW w:w="1170" w:type="dxa"/>
            <w:tcBorders>
              <w:top w:val="single" w:sz="4" w:space="0" w:color="auto"/>
            </w:tcBorders>
            <w:vAlign w:val="center"/>
          </w:tcPr>
          <w:p w14:paraId="54D9118B" w14:textId="77777777" w:rsidR="00EA404B" w:rsidRPr="005C28E7" w:rsidRDefault="00EA404B" w:rsidP="000A6837">
            <w:pPr>
              <w:spacing w:before="100" w:after="60" w:line="240" w:lineRule="exact"/>
              <w:ind w:left="-259" w:right="230"/>
              <w:jc w:val="right"/>
              <w:rPr>
                <w:sz w:val="20"/>
                <w:szCs w:val="20"/>
              </w:rPr>
            </w:pPr>
            <w:r w:rsidRPr="005C28E7">
              <w:rPr>
                <w:sz w:val="20"/>
                <w:szCs w:val="20"/>
              </w:rPr>
              <w:t>0.0599</w:t>
            </w:r>
          </w:p>
        </w:tc>
        <w:tc>
          <w:tcPr>
            <w:tcW w:w="810" w:type="dxa"/>
            <w:tcBorders>
              <w:top w:val="single" w:sz="4" w:space="0" w:color="auto"/>
            </w:tcBorders>
            <w:vAlign w:val="center"/>
          </w:tcPr>
          <w:p w14:paraId="2682E8F9" w14:textId="77777777" w:rsidR="00EA404B" w:rsidRPr="005C28E7" w:rsidRDefault="00EA404B" w:rsidP="000A6837">
            <w:pPr>
              <w:spacing w:before="100" w:after="60" w:line="240" w:lineRule="exact"/>
              <w:ind w:rightChars="-45" w:right="-108"/>
              <w:jc w:val="right"/>
              <w:rPr>
                <w:sz w:val="20"/>
                <w:szCs w:val="20"/>
              </w:rPr>
            </w:pPr>
            <w:r w:rsidRPr="005C28E7">
              <w:rPr>
                <w:sz w:val="20"/>
                <w:szCs w:val="20"/>
              </w:rPr>
              <w:t>0.2803</w:t>
            </w:r>
          </w:p>
        </w:tc>
        <w:tc>
          <w:tcPr>
            <w:tcW w:w="450" w:type="dxa"/>
            <w:tcBorders>
              <w:top w:val="single" w:sz="4" w:space="0" w:color="auto"/>
            </w:tcBorders>
            <w:vAlign w:val="center"/>
          </w:tcPr>
          <w:p w14:paraId="07306C61" w14:textId="77777777" w:rsidR="00EA404B" w:rsidRPr="005C28E7" w:rsidRDefault="00EA404B" w:rsidP="000A6837">
            <w:pPr>
              <w:spacing w:before="100" w:after="60" w:line="240" w:lineRule="exact"/>
              <w:ind w:leftChars="-43" w:left="-103"/>
              <w:jc w:val="both"/>
              <w:rPr>
                <w:sz w:val="20"/>
                <w:szCs w:val="20"/>
              </w:rPr>
            </w:pPr>
            <w:r w:rsidRPr="005C28E7">
              <w:rPr>
                <w:sz w:val="20"/>
                <w:szCs w:val="20"/>
              </w:rPr>
              <w:t>***</w:t>
            </w:r>
          </w:p>
        </w:tc>
        <w:tc>
          <w:tcPr>
            <w:tcW w:w="1230" w:type="dxa"/>
            <w:tcBorders>
              <w:top w:val="single" w:sz="4" w:space="0" w:color="auto"/>
            </w:tcBorders>
            <w:vAlign w:val="center"/>
          </w:tcPr>
          <w:p w14:paraId="67BA897F" w14:textId="2A70D235" w:rsidR="00EA404B" w:rsidRPr="005C28E7" w:rsidRDefault="000A6837" w:rsidP="000A6837">
            <w:pPr>
              <w:spacing w:before="100" w:after="60" w:line="240" w:lineRule="exact"/>
              <w:ind w:left="-259" w:right="230"/>
              <w:jc w:val="right"/>
              <w:rPr>
                <w:sz w:val="20"/>
                <w:szCs w:val="20"/>
              </w:rPr>
            </w:pPr>
            <w:r w:rsidRPr="005C28E7">
              <w:rPr>
                <w:position w:val="2"/>
                <w:sz w:val="12"/>
                <w:szCs w:val="20"/>
              </w:rPr>
              <w:t>–</w:t>
            </w:r>
            <w:r w:rsidR="00EA404B" w:rsidRPr="005C28E7">
              <w:rPr>
                <w:sz w:val="20"/>
                <w:szCs w:val="20"/>
              </w:rPr>
              <w:t>0.1571</w:t>
            </w:r>
          </w:p>
        </w:tc>
        <w:tc>
          <w:tcPr>
            <w:tcW w:w="1230" w:type="dxa"/>
            <w:tcBorders>
              <w:top w:val="single" w:sz="4" w:space="0" w:color="auto"/>
            </w:tcBorders>
            <w:vAlign w:val="center"/>
          </w:tcPr>
          <w:p w14:paraId="7A39B92E" w14:textId="45A285A1" w:rsidR="00EA404B" w:rsidRPr="005C28E7" w:rsidRDefault="000A6837" w:rsidP="000A6837">
            <w:pPr>
              <w:spacing w:before="100" w:after="60" w:line="240" w:lineRule="exact"/>
              <w:ind w:left="-259" w:right="230"/>
              <w:jc w:val="right"/>
              <w:rPr>
                <w:sz w:val="20"/>
                <w:szCs w:val="20"/>
              </w:rPr>
            </w:pPr>
            <w:r w:rsidRPr="005C28E7">
              <w:rPr>
                <w:position w:val="2"/>
                <w:sz w:val="12"/>
                <w:szCs w:val="20"/>
              </w:rPr>
              <w:t>–</w:t>
            </w:r>
            <w:r w:rsidR="00EA404B" w:rsidRPr="005C28E7">
              <w:rPr>
                <w:sz w:val="20"/>
                <w:szCs w:val="20"/>
              </w:rPr>
              <w:t>0.1357</w:t>
            </w:r>
          </w:p>
        </w:tc>
        <w:tc>
          <w:tcPr>
            <w:tcW w:w="1230" w:type="dxa"/>
            <w:tcBorders>
              <w:top w:val="single" w:sz="4" w:space="0" w:color="auto"/>
            </w:tcBorders>
            <w:vAlign w:val="center"/>
          </w:tcPr>
          <w:p w14:paraId="13821712" w14:textId="59C5B7CC" w:rsidR="00EA404B" w:rsidRPr="005C28E7" w:rsidRDefault="000A6837" w:rsidP="000A6837">
            <w:pPr>
              <w:spacing w:before="100" w:after="60" w:line="240" w:lineRule="exact"/>
              <w:ind w:left="-259" w:right="230"/>
              <w:jc w:val="right"/>
              <w:rPr>
                <w:sz w:val="20"/>
                <w:szCs w:val="20"/>
              </w:rPr>
            </w:pPr>
            <w:r w:rsidRPr="005C28E7">
              <w:rPr>
                <w:position w:val="2"/>
                <w:sz w:val="12"/>
                <w:szCs w:val="20"/>
              </w:rPr>
              <w:t>–</w:t>
            </w:r>
            <w:r w:rsidR="00EA404B" w:rsidRPr="005C28E7">
              <w:rPr>
                <w:sz w:val="20"/>
                <w:szCs w:val="20"/>
              </w:rPr>
              <w:t>0.0904</w:t>
            </w:r>
          </w:p>
        </w:tc>
      </w:tr>
      <w:tr w:rsidR="005C28E7" w:rsidRPr="005C28E7" w14:paraId="2570745A" w14:textId="77777777" w:rsidTr="002A48D8">
        <w:tc>
          <w:tcPr>
            <w:tcW w:w="2070" w:type="dxa"/>
          </w:tcPr>
          <w:p w14:paraId="3D41CFA0" w14:textId="77777777" w:rsidR="00EA404B" w:rsidRPr="005C28E7" w:rsidRDefault="00EA404B" w:rsidP="002A48D8">
            <w:pPr>
              <w:spacing w:before="60" w:after="60" w:line="240" w:lineRule="exact"/>
              <w:ind w:left="216"/>
              <w:rPr>
                <w:i/>
                <w:sz w:val="20"/>
                <w:szCs w:val="20"/>
              </w:rPr>
            </w:pPr>
            <w:r w:rsidRPr="005C28E7">
              <w:rPr>
                <w:i/>
                <w:kern w:val="0"/>
                <w:sz w:val="20"/>
                <w:szCs w:val="20"/>
              </w:rPr>
              <w:t>Upside Risk</w:t>
            </w:r>
          </w:p>
        </w:tc>
        <w:tc>
          <w:tcPr>
            <w:tcW w:w="1170" w:type="dxa"/>
            <w:vAlign w:val="center"/>
          </w:tcPr>
          <w:p w14:paraId="20C70F5C" w14:textId="276BFDF5" w:rsidR="00EA404B" w:rsidRPr="005C28E7" w:rsidRDefault="000A6837" w:rsidP="002A48D8">
            <w:pPr>
              <w:spacing w:before="60" w:after="60" w:line="240" w:lineRule="exact"/>
              <w:ind w:left="-259" w:right="230"/>
              <w:jc w:val="right"/>
              <w:rPr>
                <w:sz w:val="20"/>
                <w:szCs w:val="20"/>
              </w:rPr>
            </w:pPr>
            <w:r w:rsidRPr="005C28E7">
              <w:rPr>
                <w:position w:val="2"/>
                <w:sz w:val="12"/>
                <w:szCs w:val="20"/>
              </w:rPr>
              <w:t>–</w:t>
            </w:r>
            <w:r w:rsidR="00EA404B" w:rsidRPr="005C28E7">
              <w:rPr>
                <w:sz w:val="20"/>
                <w:szCs w:val="20"/>
              </w:rPr>
              <w:t>0.0249</w:t>
            </w:r>
          </w:p>
        </w:tc>
        <w:tc>
          <w:tcPr>
            <w:tcW w:w="810" w:type="dxa"/>
            <w:vAlign w:val="center"/>
          </w:tcPr>
          <w:p w14:paraId="0FA50063" w14:textId="77777777" w:rsidR="00EA404B" w:rsidRPr="005C28E7" w:rsidRDefault="00EA404B" w:rsidP="002A48D8">
            <w:pPr>
              <w:spacing w:before="60" w:after="60" w:line="240" w:lineRule="exact"/>
              <w:ind w:rightChars="-45" w:right="-108"/>
              <w:jc w:val="right"/>
              <w:rPr>
                <w:sz w:val="20"/>
                <w:szCs w:val="20"/>
              </w:rPr>
            </w:pPr>
            <w:r w:rsidRPr="005C28E7">
              <w:rPr>
                <w:sz w:val="20"/>
                <w:szCs w:val="20"/>
              </w:rPr>
              <w:t>0.1163</w:t>
            </w:r>
          </w:p>
        </w:tc>
        <w:tc>
          <w:tcPr>
            <w:tcW w:w="450" w:type="dxa"/>
            <w:vAlign w:val="center"/>
          </w:tcPr>
          <w:p w14:paraId="480C7FC6" w14:textId="77777777" w:rsidR="00EA404B" w:rsidRPr="005C28E7" w:rsidRDefault="00EA404B" w:rsidP="002A48D8">
            <w:pPr>
              <w:spacing w:before="60" w:after="60" w:line="240" w:lineRule="exact"/>
              <w:ind w:leftChars="-43" w:left="-103"/>
              <w:jc w:val="both"/>
              <w:rPr>
                <w:sz w:val="20"/>
                <w:szCs w:val="20"/>
              </w:rPr>
            </w:pPr>
          </w:p>
        </w:tc>
        <w:tc>
          <w:tcPr>
            <w:tcW w:w="1230" w:type="dxa"/>
            <w:vAlign w:val="center"/>
          </w:tcPr>
          <w:p w14:paraId="228EB668" w14:textId="50CFA8E0" w:rsidR="00EA404B" w:rsidRPr="005C28E7" w:rsidRDefault="000A6837" w:rsidP="002A48D8">
            <w:pPr>
              <w:spacing w:before="60" w:after="60" w:line="240" w:lineRule="exact"/>
              <w:ind w:left="-259" w:right="230"/>
              <w:jc w:val="right"/>
              <w:rPr>
                <w:sz w:val="20"/>
                <w:szCs w:val="20"/>
              </w:rPr>
            </w:pPr>
            <w:r w:rsidRPr="005C28E7">
              <w:rPr>
                <w:position w:val="2"/>
                <w:sz w:val="12"/>
                <w:szCs w:val="20"/>
              </w:rPr>
              <w:t>–</w:t>
            </w:r>
            <w:r w:rsidR="00EA404B" w:rsidRPr="005C28E7">
              <w:rPr>
                <w:sz w:val="20"/>
                <w:szCs w:val="20"/>
              </w:rPr>
              <w:t>0.1779</w:t>
            </w:r>
          </w:p>
        </w:tc>
        <w:tc>
          <w:tcPr>
            <w:tcW w:w="1230" w:type="dxa"/>
            <w:vAlign w:val="center"/>
          </w:tcPr>
          <w:p w14:paraId="57F887B3" w14:textId="6A5E9C5E" w:rsidR="00EA404B" w:rsidRPr="005C28E7" w:rsidRDefault="000A6837" w:rsidP="002A48D8">
            <w:pPr>
              <w:spacing w:before="60" w:after="60" w:line="240" w:lineRule="exact"/>
              <w:ind w:left="-259" w:right="230"/>
              <w:jc w:val="right"/>
              <w:rPr>
                <w:sz w:val="20"/>
                <w:szCs w:val="20"/>
              </w:rPr>
            </w:pPr>
            <w:r w:rsidRPr="005C28E7">
              <w:rPr>
                <w:position w:val="2"/>
                <w:sz w:val="12"/>
                <w:szCs w:val="20"/>
              </w:rPr>
              <w:t>–</w:t>
            </w:r>
            <w:r w:rsidR="00EA404B" w:rsidRPr="005C28E7">
              <w:rPr>
                <w:sz w:val="20"/>
                <w:szCs w:val="20"/>
              </w:rPr>
              <w:t>0.0211</w:t>
            </w:r>
          </w:p>
        </w:tc>
        <w:tc>
          <w:tcPr>
            <w:tcW w:w="1230" w:type="dxa"/>
            <w:vAlign w:val="center"/>
          </w:tcPr>
          <w:p w14:paraId="747AC8A6" w14:textId="4E5B8F73" w:rsidR="00EA404B" w:rsidRPr="005C28E7" w:rsidRDefault="000A6837" w:rsidP="002A48D8">
            <w:pPr>
              <w:spacing w:before="60" w:after="60" w:line="240" w:lineRule="exact"/>
              <w:ind w:left="-259" w:right="230"/>
              <w:jc w:val="right"/>
              <w:rPr>
                <w:sz w:val="20"/>
                <w:szCs w:val="20"/>
              </w:rPr>
            </w:pPr>
            <w:r w:rsidRPr="005C28E7">
              <w:rPr>
                <w:position w:val="2"/>
                <w:sz w:val="12"/>
                <w:szCs w:val="20"/>
              </w:rPr>
              <w:t>–</w:t>
            </w:r>
            <w:r w:rsidR="00EA404B" w:rsidRPr="005C28E7">
              <w:rPr>
                <w:sz w:val="20"/>
                <w:szCs w:val="20"/>
              </w:rPr>
              <w:t>0.0531</w:t>
            </w:r>
          </w:p>
        </w:tc>
      </w:tr>
      <w:tr w:rsidR="005C28E7" w:rsidRPr="005C28E7" w14:paraId="0A054EDE" w14:textId="77777777" w:rsidTr="002A48D8">
        <w:tc>
          <w:tcPr>
            <w:tcW w:w="2070" w:type="dxa"/>
          </w:tcPr>
          <w:p w14:paraId="662C77AF" w14:textId="77777777" w:rsidR="00EA404B" w:rsidRPr="005C28E7" w:rsidRDefault="00EA404B" w:rsidP="002A48D8">
            <w:pPr>
              <w:spacing w:before="60" w:after="60" w:line="240" w:lineRule="exact"/>
              <w:ind w:left="216"/>
              <w:rPr>
                <w:i/>
                <w:sz w:val="20"/>
                <w:szCs w:val="20"/>
              </w:rPr>
            </w:pPr>
            <w:r w:rsidRPr="005C28E7">
              <w:rPr>
                <w:i/>
                <w:kern w:val="0"/>
                <w:sz w:val="20"/>
                <w:szCs w:val="20"/>
              </w:rPr>
              <w:t>Asymmetric Risk</w:t>
            </w:r>
          </w:p>
        </w:tc>
        <w:tc>
          <w:tcPr>
            <w:tcW w:w="1170" w:type="dxa"/>
            <w:vAlign w:val="center"/>
          </w:tcPr>
          <w:p w14:paraId="52F8705B" w14:textId="48018690" w:rsidR="00EA404B" w:rsidRPr="005C28E7" w:rsidRDefault="000A6837" w:rsidP="002A48D8">
            <w:pPr>
              <w:spacing w:before="60" w:after="60" w:line="240" w:lineRule="exact"/>
              <w:ind w:left="-259" w:right="230"/>
              <w:jc w:val="right"/>
              <w:rPr>
                <w:sz w:val="20"/>
                <w:szCs w:val="20"/>
              </w:rPr>
            </w:pPr>
            <w:r w:rsidRPr="005C28E7">
              <w:rPr>
                <w:position w:val="2"/>
                <w:sz w:val="12"/>
                <w:szCs w:val="20"/>
              </w:rPr>
              <w:t>–</w:t>
            </w:r>
            <w:r w:rsidR="00EA404B" w:rsidRPr="005C28E7">
              <w:rPr>
                <w:sz w:val="20"/>
                <w:szCs w:val="20"/>
              </w:rPr>
              <w:t>0.0537</w:t>
            </w:r>
          </w:p>
        </w:tc>
        <w:tc>
          <w:tcPr>
            <w:tcW w:w="810" w:type="dxa"/>
            <w:vAlign w:val="center"/>
          </w:tcPr>
          <w:p w14:paraId="1FFB2F99" w14:textId="77777777" w:rsidR="00EA404B" w:rsidRPr="005C28E7" w:rsidRDefault="00EA404B" w:rsidP="002A48D8">
            <w:pPr>
              <w:spacing w:before="60" w:after="60" w:line="240" w:lineRule="exact"/>
              <w:ind w:rightChars="-45" w:right="-108"/>
              <w:jc w:val="right"/>
              <w:rPr>
                <w:sz w:val="20"/>
                <w:szCs w:val="20"/>
              </w:rPr>
            </w:pPr>
            <w:r w:rsidRPr="005C28E7">
              <w:rPr>
                <w:sz w:val="20"/>
                <w:szCs w:val="20"/>
              </w:rPr>
              <w:t>0.1663</w:t>
            </w:r>
          </w:p>
        </w:tc>
        <w:tc>
          <w:tcPr>
            <w:tcW w:w="450" w:type="dxa"/>
            <w:vAlign w:val="center"/>
          </w:tcPr>
          <w:p w14:paraId="025DC093" w14:textId="77777777" w:rsidR="00EA404B" w:rsidRPr="005C28E7" w:rsidRDefault="00EA404B" w:rsidP="002A48D8">
            <w:pPr>
              <w:spacing w:before="60" w:after="60" w:line="240" w:lineRule="exact"/>
              <w:ind w:leftChars="-43" w:left="-103"/>
              <w:jc w:val="both"/>
              <w:rPr>
                <w:sz w:val="20"/>
                <w:szCs w:val="20"/>
              </w:rPr>
            </w:pPr>
            <w:r w:rsidRPr="005C28E7">
              <w:rPr>
                <w:sz w:val="20"/>
                <w:szCs w:val="20"/>
              </w:rPr>
              <w:t>**</w:t>
            </w:r>
          </w:p>
        </w:tc>
        <w:tc>
          <w:tcPr>
            <w:tcW w:w="1230" w:type="dxa"/>
            <w:vAlign w:val="center"/>
          </w:tcPr>
          <w:p w14:paraId="61B17F86" w14:textId="77777777" w:rsidR="00EA404B" w:rsidRPr="005C28E7" w:rsidRDefault="00EA404B" w:rsidP="002A48D8">
            <w:pPr>
              <w:spacing w:before="60" w:after="60" w:line="240" w:lineRule="exact"/>
              <w:ind w:left="-259" w:right="230"/>
              <w:jc w:val="right"/>
              <w:rPr>
                <w:sz w:val="20"/>
                <w:szCs w:val="20"/>
              </w:rPr>
            </w:pPr>
            <w:r w:rsidRPr="005C28E7">
              <w:rPr>
                <w:sz w:val="20"/>
                <w:szCs w:val="20"/>
              </w:rPr>
              <w:t>0.0824</w:t>
            </w:r>
          </w:p>
        </w:tc>
        <w:tc>
          <w:tcPr>
            <w:tcW w:w="1230" w:type="dxa"/>
            <w:vAlign w:val="center"/>
          </w:tcPr>
          <w:p w14:paraId="71761364" w14:textId="38FD7BA3" w:rsidR="00EA404B" w:rsidRPr="005C28E7" w:rsidRDefault="000A6837" w:rsidP="002A48D8">
            <w:pPr>
              <w:spacing w:before="60" w:after="60" w:line="240" w:lineRule="exact"/>
              <w:ind w:left="-259" w:right="230"/>
              <w:jc w:val="right"/>
              <w:rPr>
                <w:sz w:val="20"/>
                <w:szCs w:val="20"/>
              </w:rPr>
            </w:pPr>
            <w:r w:rsidRPr="005C28E7">
              <w:rPr>
                <w:position w:val="2"/>
                <w:sz w:val="12"/>
                <w:szCs w:val="20"/>
              </w:rPr>
              <w:t>–</w:t>
            </w:r>
            <w:r w:rsidR="00EA404B" w:rsidRPr="005C28E7">
              <w:rPr>
                <w:sz w:val="20"/>
                <w:szCs w:val="20"/>
              </w:rPr>
              <w:t>0.0388</w:t>
            </w:r>
          </w:p>
        </w:tc>
        <w:tc>
          <w:tcPr>
            <w:tcW w:w="1230" w:type="dxa"/>
            <w:vAlign w:val="center"/>
          </w:tcPr>
          <w:p w14:paraId="59D2E0C2" w14:textId="0F80E924" w:rsidR="00EA404B" w:rsidRPr="005C28E7" w:rsidRDefault="000A6837" w:rsidP="002A48D8">
            <w:pPr>
              <w:spacing w:before="60" w:after="60" w:line="240" w:lineRule="exact"/>
              <w:ind w:left="-259" w:right="230"/>
              <w:jc w:val="right"/>
              <w:rPr>
                <w:sz w:val="20"/>
                <w:szCs w:val="20"/>
              </w:rPr>
            </w:pPr>
            <w:r w:rsidRPr="005C28E7">
              <w:rPr>
                <w:position w:val="2"/>
                <w:sz w:val="12"/>
                <w:szCs w:val="20"/>
              </w:rPr>
              <w:t>–</w:t>
            </w:r>
            <w:r w:rsidR="00EA404B" w:rsidRPr="005C28E7">
              <w:rPr>
                <w:sz w:val="20"/>
                <w:szCs w:val="20"/>
              </w:rPr>
              <w:t>0.7492</w:t>
            </w:r>
          </w:p>
        </w:tc>
      </w:tr>
      <w:tr w:rsidR="00580476" w:rsidRPr="005C28E7" w14:paraId="4743A07E" w14:textId="77777777" w:rsidTr="000A6837">
        <w:tc>
          <w:tcPr>
            <w:tcW w:w="2070" w:type="dxa"/>
            <w:tcBorders>
              <w:bottom w:val="single" w:sz="4" w:space="0" w:color="auto"/>
            </w:tcBorders>
          </w:tcPr>
          <w:p w14:paraId="08AF4CB4" w14:textId="77777777" w:rsidR="00EA404B" w:rsidRPr="005C28E7" w:rsidRDefault="00EA404B" w:rsidP="000A6837">
            <w:pPr>
              <w:spacing w:before="60" w:after="120" w:line="240" w:lineRule="exact"/>
              <w:ind w:left="216"/>
              <w:rPr>
                <w:i/>
                <w:sz w:val="20"/>
                <w:szCs w:val="20"/>
              </w:rPr>
            </w:pPr>
            <w:r w:rsidRPr="005C28E7">
              <w:rPr>
                <w:i/>
                <w:kern w:val="0"/>
                <w:sz w:val="20"/>
                <w:szCs w:val="20"/>
              </w:rPr>
              <w:t>Market Risk</w:t>
            </w:r>
          </w:p>
        </w:tc>
        <w:tc>
          <w:tcPr>
            <w:tcW w:w="1170" w:type="dxa"/>
            <w:tcBorders>
              <w:bottom w:val="single" w:sz="4" w:space="0" w:color="auto"/>
            </w:tcBorders>
            <w:vAlign w:val="center"/>
          </w:tcPr>
          <w:p w14:paraId="481E55C1" w14:textId="77777777" w:rsidR="00EA404B" w:rsidRPr="005C28E7" w:rsidRDefault="00EA404B" w:rsidP="000A6837">
            <w:pPr>
              <w:spacing w:before="60" w:after="120" w:line="240" w:lineRule="exact"/>
              <w:ind w:left="-259" w:right="230"/>
              <w:jc w:val="right"/>
              <w:rPr>
                <w:sz w:val="20"/>
                <w:szCs w:val="20"/>
              </w:rPr>
            </w:pPr>
            <w:r w:rsidRPr="005C28E7">
              <w:rPr>
                <w:sz w:val="20"/>
                <w:szCs w:val="20"/>
              </w:rPr>
              <w:t>0.1303</w:t>
            </w:r>
          </w:p>
        </w:tc>
        <w:tc>
          <w:tcPr>
            <w:tcW w:w="810" w:type="dxa"/>
            <w:tcBorders>
              <w:bottom w:val="single" w:sz="4" w:space="0" w:color="auto"/>
            </w:tcBorders>
            <w:vAlign w:val="center"/>
          </w:tcPr>
          <w:p w14:paraId="4ECCA813" w14:textId="77777777" w:rsidR="00EA404B" w:rsidRPr="005C28E7" w:rsidRDefault="00EA404B" w:rsidP="000A6837">
            <w:pPr>
              <w:spacing w:before="60" w:after="120" w:line="240" w:lineRule="exact"/>
              <w:ind w:rightChars="-45" w:right="-108"/>
              <w:jc w:val="right"/>
              <w:rPr>
                <w:sz w:val="20"/>
                <w:szCs w:val="20"/>
              </w:rPr>
            </w:pPr>
            <w:r w:rsidRPr="005C28E7">
              <w:rPr>
                <w:sz w:val="20"/>
                <w:szCs w:val="20"/>
              </w:rPr>
              <w:t>0.2481</w:t>
            </w:r>
          </w:p>
        </w:tc>
        <w:tc>
          <w:tcPr>
            <w:tcW w:w="450" w:type="dxa"/>
            <w:tcBorders>
              <w:bottom w:val="single" w:sz="4" w:space="0" w:color="auto"/>
            </w:tcBorders>
            <w:vAlign w:val="center"/>
          </w:tcPr>
          <w:p w14:paraId="1C58CE60" w14:textId="77777777" w:rsidR="00EA404B" w:rsidRPr="005C28E7" w:rsidRDefault="00EA404B" w:rsidP="000A6837">
            <w:pPr>
              <w:spacing w:before="60" w:after="120" w:line="240" w:lineRule="exact"/>
              <w:ind w:leftChars="-43" w:left="-103"/>
              <w:jc w:val="both"/>
              <w:rPr>
                <w:sz w:val="20"/>
                <w:szCs w:val="20"/>
              </w:rPr>
            </w:pPr>
            <w:r w:rsidRPr="005C28E7">
              <w:rPr>
                <w:sz w:val="20"/>
                <w:szCs w:val="20"/>
              </w:rPr>
              <w:t>***</w:t>
            </w:r>
          </w:p>
        </w:tc>
        <w:tc>
          <w:tcPr>
            <w:tcW w:w="1230" w:type="dxa"/>
            <w:tcBorders>
              <w:bottom w:val="single" w:sz="4" w:space="0" w:color="auto"/>
            </w:tcBorders>
            <w:vAlign w:val="center"/>
          </w:tcPr>
          <w:p w14:paraId="15F1FAD1" w14:textId="7BA9F6D6" w:rsidR="00EA404B" w:rsidRPr="005C28E7" w:rsidRDefault="000A6837" w:rsidP="000A6837">
            <w:pPr>
              <w:spacing w:before="60" w:after="120" w:line="240" w:lineRule="exact"/>
              <w:ind w:left="-259" w:right="230"/>
              <w:jc w:val="right"/>
              <w:rPr>
                <w:sz w:val="20"/>
                <w:szCs w:val="20"/>
              </w:rPr>
            </w:pPr>
            <w:r w:rsidRPr="005C28E7">
              <w:rPr>
                <w:position w:val="2"/>
                <w:sz w:val="12"/>
                <w:szCs w:val="20"/>
              </w:rPr>
              <w:t>–</w:t>
            </w:r>
            <w:r w:rsidR="00EA404B" w:rsidRPr="005C28E7">
              <w:rPr>
                <w:sz w:val="20"/>
                <w:szCs w:val="20"/>
              </w:rPr>
              <w:t>0.3608</w:t>
            </w:r>
          </w:p>
        </w:tc>
        <w:tc>
          <w:tcPr>
            <w:tcW w:w="1230" w:type="dxa"/>
            <w:tcBorders>
              <w:bottom w:val="single" w:sz="4" w:space="0" w:color="auto"/>
            </w:tcBorders>
            <w:vAlign w:val="center"/>
          </w:tcPr>
          <w:p w14:paraId="7F2FD167" w14:textId="27EFA926" w:rsidR="00EA404B" w:rsidRPr="005C28E7" w:rsidRDefault="000A6837" w:rsidP="000A6837">
            <w:pPr>
              <w:spacing w:before="60" w:after="120" w:line="240" w:lineRule="exact"/>
              <w:ind w:left="-259" w:right="230"/>
              <w:jc w:val="right"/>
              <w:rPr>
                <w:sz w:val="20"/>
                <w:szCs w:val="20"/>
              </w:rPr>
            </w:pPr>
            <w:r w:rsidRPr="005C28E7">
              <w:rPr>
                <w:position w:val="2"/>
                <w:sz w:val="12"/>
                <w:szCs w:val="20"/>
              </w:rPr>
              <w:t>–</w:t>
            </w:r>
            <w:r w:rsidR="00EA404B" w:rsidRPr="005C28E7">
              <w:rPr>
                <w:sz w:val="20"/>
                <w:szCs w:val="20"/>
              </w:rPr>
              <w:t>0.0896</w:t>
            </w:r>
          </w:p>
        </w:tc>
        <w:tc>
          <w:tcPr>
            <w:tcW w:w="1230" w:type="dxa"/>
            <w:tcBorders>
              <w:bottom w:val="single" w:sz="4" w:space="0" w:color="auto"/>
            </w:tcBorders>
            <w:vAlign w:val="center"/>
          </w:tcPr>
          <w:p w14:paraId="6881666F" w14:textId="77777777" w:rsidR="00EA404B" w:rsidRPr="005C28E7" w:rsidRDefault="00EA404B" w:rsidP="000A6837">
            <w:pPr>
              <w:spacing w:before="60" w:after="120" w:line="240" w:lineRule="exact"/>
              <w:ind w:left="-259" w:right="230"/>
              <w:jc w:val="right"/>
              <w:rPr>
                <w:sz w:val="20"/>
                <w:szCs w:val="20"/>
              </w:rPr>
            </w:pPr>
            <w:r w:rsidRPr="005C28E7">
              <w:rPr>
                <w:sz w:val="20"/>
                <w:szCs w:val="20"/>
              </w:rPr>
              <w:t>0.4220</w:t>
            </w:r>
          </w:p>
        </w:tc>
      </w:tr>
    </w:tbl>
    <w:p w14:paraId="3B15D4E0" w14:textId="77777777" w:rsidR="00457E01" w:rsidRPr="005C28E7" w:rsidRDefault="00457E01" w:rsidP="00457E01">
      <w:pPr>
        <w:spacing w:line="180" w:lineRule="exact"/>
        <w:rPr>
          <w:rStyle w:val="aff9"/>
          <w:rFonts w:cs="Times New Roman"/>
          <w:sz w:val="16"/>
          <w:szCs w:val="16"/>
        </w:rPr>
      </w:pPr>
    </w:p>
    <w:p w14:paraId="6906A49B" w14:textId="4F947210" w:rsidR="00895A95" w:rsidRPr="005C28E7" w:rsidRDefault="00457E01" w:rsidP="00457E01">
      <w:pPr>
        <w:spacing w:line="240" w:lineRule="exact"/>
      </w:pPr>
      <w:r w:rsidRPr="005C28E7">
        <w:rPr>
          <w:rStyle w:val="aff9"/>
          <w:rFonts w:cs="Times New Roman"/>
          <w:i/>
          <w:sz w:val="18"/>
          <w:szCs w:val="16"/>
        </w:rPr>
        <w:t xml:space="preserve">Note: </w:t>
      </w:r>
      <w:r w:rsidRPr="005C28E7">
        <w:rPr>
          <w:rStyle w:val="aff9"/>
          <w:rFonts w:cs="Times New Roman"/>
          <w:sz w:val="18"/>
          <w:szCs w:val="16"/>
        </w:rPr>
        <w:t xml:space="preserve"> ** indicates significance at the 5% level; and *** indicates significance at the 1% level</w:t>
      </w:r>
    </w:p>
    <w:p w14:paraId="0929DFFB" w14:textId="77777777" w:rsidR="00457E01" w:rsidRPr="005C28E7" w:rsidRDefault="00457E01" w:rsidP="002A48D8">
      <w:pPr>
        <w:spacing w:line="240" w:lineRule="exact"/>
      </w:pPr>
    </w:p>
    <w:p w14:paraId="26825011" w14:textId="77777777" w:rsidR="00457E01" w:rsidRPr="005C28E7" w:rsidRDefault="00457E01" w:rsidP="002A48D8">
      <w:pPr>
        <w:spacing w:line="240" w:lineRule="exact"/>
      </w:pPr>
    </w:p>
    <w:p w14:paraId="70465245" w14:textId="77777777" w:rsidR="00457E01" w:rsidRPr="005C28E7" w:rsidRDefault="00457E01" w:rsidP="002A48D8">
      <w:pPr>
        <w:spacing w:line="240" w:lineRule="exact"/>
      </w:pPr>
    </w:p>
    <w:p w14:paraId="63DE18D4" w14:textId="77777777" w:rsidR="00457E01" w:rsidRPr="005C28E7" w:rsidRDefault="00457E01" w:rsidP="002A48D8">
      <w:pPr>
        <w:spacing w:line="240" w:lineRule="exact"/>
      </w:pPr>
    </w:p>
    <w:p w14:paraId="4F96FC3A" w14:textId="77777777" w:rsidR="00457E01" w:rsidRPr="005C28E7" w:rsidRDefault="00457E01" w:rsidP="002A48D8">
      <w:pPr>
        <w:spacing w:line="240" w:lineRule="exact"/>
      </w:pPr>
    </w:p>
    <w:p w14:paraId="1DA97F3C" w14:textId="77777777" w:rsidR="00457E01" w:rsidRPr="005C28E7" w:rsidRDefault="00457E01" w:rsidP="002A48D8">
      <w:pPr>
        <w:spacing w:line="240" w:lineRule="exact"/>
      </w:pPr>
    </w:p>
    <w:p w14:paraId="587DCE72" w14:textId="77777777" w:rsidR="00457E01" w:rsidRPr="005C28E7" w:rsidRDefault="00457E01" w:rsidP="002A48D8">
      <w:pPr>
        <w:spacing w:line="240" w:lineRule="exact"/>
      </w:pPr>
    </w:p>
    <w:p w14:paraId="6545559B" w14:textId="0D3556F8" w:rsidR="00C2404E" w:rsidRPr="005C28E7" w:rsidRDefault="00C2404E" w:rsidP="002A48D8">
      <w:pPr>
        <w:spacing w:line="240" w:lineRule="exact"/>
        <w:rPr>
          <w:sz w:val="16"/>
        </w:rPr>
      </w:pPr>
    </w:p>
    <w:p w14:paraId="52561247" w14:textId="77777777" w:rsidR="00124E58" w:rsidRPr="005C28E7" w:rsidRDefault="00124E58" w:rsidP="002A48D8">
      <w:pPr>
        <w:spacing w:line="240" w:lineRule="exact"/>
        <w:rPr>
          <w:sz w:val="16"/>
        </w:rPr>
      </w:pPr>
    </w:p>
    <w:p w14:paraId="4B0811BF" w14:textId="77777777" w:rsidR="00124E58" w:rsidRPr="005C28E7" w:rsidRDefault="00124E58" w:rsidP="002A48D8">
      <w:pPr>
        <w:spacing w:line="240" w:lineRule="exact"/>
        <w:rPr>
          <w:sz w:val="16"/>
        </w:rPr>
      </w:pPr>
    </w:p>
    <w:p w14:paraId="0F9DB211" w14:textId="77777777" w:rsidR="00124E58" w:rsidRPr="005C28E7" w:rsidRDefault="00124E58" w:rsidP="002A48D8">
      <w:pPr>
        <w:spacing w:line="240" w:lineRule="exact"/>
        <w:rPr>
          <w:sz w:val="16"/>
        </w:rPr>
      </w:pPr>
    </w:p>
    <w:p w14:paraId="2FC4FC4F" w14:textId="77777777" w:rsidR="00124E58" w:rsidRPr="005C28E7" w:rsidRDefault="00124E58" w:rsidP="002A48D8">
      <w:pPr>
        <w:spacing w:line="240" w:lineRule="exact"/>
        <w:rPr>
          <w:sz w:val="16"/>
        </w:rPr>
      </w:pPr>
    </w:p>
    <w:p w14:paraId="33103D24" w14:textId="77777777" w:rsidR="00124E58" w:rsidRPr="005C28E7" w:rsidRDefault="00124E58" w:rsidP="002A48D8">
      <w:pPr>
        <w:spacing w:line="240" w:lineRule="exact"/>
        <w:rPr>
          <w:sz w:val="16"/>
        </w:rPr>
      </w:pPr>
    </w:p>
    <w:p w14:paraId="11064AC6" w14:textId="77777777" w:rsidR="00124E58" w:rsidRPr="005C28E7" w:rsidRDefault="00124E58" w:rsidP="002A48D8">
      <w:pPr>
        <w:spacing w:line="240" w:lineRule="exact"/>
        <w:rPr>
          <w:sz w:val="16"/>
        </w:rPr>
      </w:pPr>
    </w:p>
    <w:p w14:paraId="396F465A" w14:textId="77777777" w:rsidR="00124E58" w:rsidRPr="005C28E7" w:rsidRDefault="00124E58" w:rsidP="002A48D8">
      <w:pPr>
        <w:spacing w:line="240" w:lineRule="exact"/>
        <w:rPr>
          <w:sz w:val="16"/>
        </w:rPr>
      </w:pPr>
    </w:p>
    <w:p w14:paraId="7CEABBEA" w14:textId="77777777" w:rsidR="00124E58" w:rsidRPr="005C28E7" w:rsidRDefault="00124E58" w:rsidP="002A48D8">
      <w:pPr>
        <w:spacing w:line="240" w:lineRule="exact"/>
        <w:rPr>
          <w:sz w:val="16"/>
        </w:rPr>
      </w:pPr>
    </w:p>
    <w:p w14:paraId="5437FC50" w14:textId="77777777" w:rsidR="00124E58" w:rsidRPr="005C28E7" w:rsidRDefault="00124E58" w:rsidP="002A48D8">
      <w:pPr>
        <w:spacing w:line="240" w:lineRule="exact"/>
        <w:rPr>
          <w:sz w:val="16"/>
        </w:rPr>
      </w:pPr>
    </w:p>
    <w:p w14:paraId="02D77018" w14:textId="77777777" w:rsidR="00124E58" w:rsidRPr="005C28E7" w:rsidRDefault="00124E58" w:rsidP="002A48D8">
      <w:pPr>
        <w:spacing w:line="240" w:lineRule="exact"/>
        <w:rPr>
          <w:sz w:val="16"/>
        </w:rPr>
      </w:pPr>
    </w:p>
    <w:p w14:paraId="1DF3F2D5" w14:textId="77777777" w:rsidR="00124E58" w:rsidRPr="005C28E7" w:rsidRDefault="00124E58" w:rsidP="002A48D8">
      <w:pPr>
        <w:spacing w:line="240" w:lineRule="exact"/>
        <w:rPr>
          <w:sz w:val="16"/>
        </w:rPr>
      </w:pPr>
    </w:p>
    <w:p w14:paraId="32B78C01" w14:textId="77777777" w:rsidR="00124E58" w:rsidRPr="005C28E7" w:rsidRDefault="00124E58" w:rsidP="002A48D8">
      <w:pPr>
        <w:spacing w:line="240" w:lineRule="exact"/>
        <w:rPr>
          <w:sz w:val="16"/>
        </w:rPr>
      </w:pPr>
    </w:p>
    <w:p w14:paraId="4682DCCD" w14:textId="77777777" w:rsidR="00124E58" w:rsidRPr="005C28E7" w:rsidRDefault="00124E58" w:rsidP="002A48D8">
      <w:pPr>
        <w:spacing w:line="240" w:lineRule="exact"/>
        <w:rPr>
          <w:sz w:val="16"/>
        </w:rPr>
      </w:pPr>
    </w:p>
    <w:p w14:paraId="255D8788" w14:textId="77777777" w:rsidR="00124E58" w:rsidRPr="005C28E7" w:rsidRDefault="00124E58" w:rsidP="002A48D8">
      <w:pPr>
        <w:spacing w:line="240" w:lineRule="exact"/>
        <w:rPr>
          <w:sz w:val="16"/>
        </w:rPr>
      </w:pPr>
    </w:p>
    <w:p w14:paraId="102524D5" w14:textId="77777777" w:rsidR="00124E58" w:rsidRPr="005C28E7" w:rsidRDefault="00124E58" w:rsidP="002A48D8">
      <w:pPr>
        <w:spacing w:line="240" w:lineRule="exact"/>
        <w:rPr>
          <w:sz w:val="16"/>
        </w:rPr>
      </w:pPr>
    </w:p>
    <w:p w14:paraId="7C02AA3C" w14:textId="77777777" w:rsidR="00124E58" w:rsidRPr="005C28E7" w:rsidRDefault="00124E58" w:rsidP="002A48D8">
      <w:pPr>
        <w:spacing w:line="240" w:lineRule="exact"/>
        <w:rPr>
          <w:sz w:val="16"/>
        </w:rPr>
      </w:pPr>
    </w:p>
    <w:p w14:paraId="0D49BC1B" w14:textId="77777777" w:rsidR="00124E58" w:rsidRPr="005C28E7" w:rsidRDefault="00124E58" w:rsidP="002A48D8">
      <w:pPr>
        <w:spacing w:line="240" w:lineRule="exact"/>
        <w:rPr>
          <w:sz w:val="16"/>
        </w:rPr>
      </w:pPr>
    </w:p>
    <w:p w14:paraId="60C21878" w14:textId="77777777" w:rsidR="00124E58" w:rsidRPr="005C28E7" w:rsidRDefault="00124E58" w:rsidP="002A48D8">
      <w:pPr>
        <w:spacing w:line="240" w:lineRule="exact"/>
        <w:rPr>
          <w:sz w:val="16"/>
        </w:rPr>
      </w:pPr>
    </w:p>
    <w:p w14:paraId="1131AA6F" w14:textId="77777777" w:rsidR="00124E58" w:rsidRPr="005C28E7" w:rsidRDefault="00124E58" w:rsidP="002A48D8">
      <w:pPr>
        <w:spacing w:line="240" w:lineRule="exact"/>
        <w:rPr>
          <w:sz w:val="16"/>
        </w:rPr>
      </w:pPr>
    </w:p>
    <w:p w14:paraId="39641AF3" w14:textId="77777777" w:rsidR="00124E58" w:rsidRPr="005C28E7" w:rsidRDefault="00124E58" w:rsidP="002A48D8">
      <w:pPr>
        <w:spacing w:line="240" w:lineRule="exact"/>
        <w:rPr>
          <w:sz w:val="16"/>
        </w:rPr>
      </w:pPr>
    </w:p>
    <w:p w14:paraId="506A9FB6" w14:textId="77777777" w:rsidR="00124E58" w:rsidRPr="005C28E7" w:rsidRDefault="00124E58" w:rsidP="002A48D8">
      <w:pPr>
        <w:spacing w:line="240" w:lineRule="exact"/>
        <w:rPr>
          <w:sz w:val="16"/>
        </w:rPr>
      </w:pPr>
    </w:p>
    <w:p w14:paraId="257DF53E" w14:textId="77777777" w:rsidR="00124E58" w:rsidRPr="005C28E7" w:rsidRDefault="00124E58" w:rsidP="002A48D8">
      <w:pPr>
        <w:spacing w:line="240" w:lineRule="exact"/>
        <w:rPr>
          <w:sz w:val="16"/>
        </w:rPr>
      </w:pPr>
    </w:p>
    <w:p w14:paraId="6C36031E" w14:textId="77777777" w:rsidR="00124E58" w:rsidRPr="005C28E7" w:rsidRDefault="00124E58" w:rsidP="002A48D8">
      <w:pPr>
        <w:spacing w:line="240" w:lineRule="exact"/>
        <w:rPr>
          <w:sz w:val="16"/>
        </w:rPr>
      </w:pPr>
    </w:p>
    <w:p w14:paraId="6F228D8E" w14:textId="77777777" w:rsidR="00124E58" w:rsidRPr="005C28E7" w:rsidRDefault="00124E58" w:rsidP="002A48D8">
      <w:pPr>
        <w:spacing w:line="240" w:lineRule="exact"/>
        <w:rPr>
          <w:sz w:val="16"/>
        </w:rPr>
      </w:pPr>
    </w:p>
    <w:p w14:paraId="1B9D83F0" w14:textId="77777777" w:rsidR="00124E58" w:rsidRPr="005C28E7" w:rsidRDefault="00124E58" w:rsidP="002A48D8">
      <w:pPr>
        <w:spacing w:line="240" w:lineRule="exact"/>
        <w:rPr>
          <w:sz w:val="16"/>
        </w:rPr>
      </w:pPr>
    </w:p>
    <w:p w14:paraId="04DB51B4" w14:textId="77777777" w:rsidR="00124E58" w:rsidRPr="005C28E7" w:rsidRDefault="00124E58" w:rsidP="002A48D8">
      <w:pPr>
        <w:spacing w:line="240" w:lineRule="exact"/>
        <w:rPr>
          <w:sz w:val="16"/>
        </w:rPr>
      </w:pPr>
    </w:p>
    <w:p w14:paraId="6CDA0CC0" w14:textId="77777777" w:rsidR="00124E58" w:rsidRPr="005C28E7" w:rsidRDefault="00124E58" w:rsidP="002A48D8">
      <w:pPr>
        <w:spacing w:line="240" w:lineRule="exact"/>
        <w:rPr>
          <w:sz w:val="16"/>
        </w:rPr>
      </w:pPr>
    </w:p>
    <w:p w14:paraId="042821F5" w14:textId="77777777" w:rsidR="00124E58" w:rsidRPr="005C28E7" w:rsidRDefault="00124E58" w:rsidP="002A48D8">
      <w:pPr>
        <w:spacing w:line="240" w:lineRule="exact"/>
        <w:rPr>
          <w:sz w:val="16"/>
        </w:rPr>
      </w:pPr>
    </w:p>
    <w:p w14:paraId="12AB5F64" w14:textId="77777777" w:rsidR="00124E58" w:rsidRPr="005C28E7" w:rsidRDefault="00124E58" w:rsidP="002A48D8">
      <w:pPr>
        <w:spacing w:line="240" w:lineRule="exact"/>
        <w:rPr>
          <w:sz w:val="16"/>
        </w:rPr>
      </w:pPr>
    </w:p>
    <w:p w14:paraId="53773952" w14:textId="77777777" w:rsidR="00124E58" w:rsidRPr="005C28E7" w:rsidRDefault="00124E58" w:rsidP="002A48D8">
      <w:pPr>
        <w:spacing w:line="240" w:lineRule="exact"/>
        <w:rPr>
          <w:sz w:val="16"/>
        </w:rPr>
      </w:pPr>
    </w:p>
    <w:p w14:paraId="1FDEEF42" w14:textId="77777777" w:rsidR="00124E58" w:rsidRPr="005C28E7" w:rsidRDefault="00124E58" w:rsidP="002A48D8">
      <w:pPr>
        <w:spacing w:line="240" w:lineRule="exact"/>
        <w:rPr>
          <w:sz w:val="16"/>
        </w:rPr>
      </w:pPr>
    </w:p>
    <w:p w14:paraId="2CF0C796" w14:textId="6DCC7C77" w:rsidR="00895A95" w:rsidRPr="005C28E7" w:rsidRDefault="002A48D8" w:rsidP="002A48D8">
      <w:pPr>
        <w:spacing w:line="260" w:lineRule="exact"/>
        <w:rPr>
          <w:i/>
          <w:kern w:val="0"/>
          <w:sz w:val="22"/>
          <w:szCs w:val="20"/>
        </w:rPr>
      </w:pPr>
      <w:r w:rsidRPr="005C28E7">
        <w:rPr>
          <w:i/>
          <w:sz w:val="22"/>
          <w:szCs w:val="20"/>
        </w:rPr>
        <w:lastRenderedPageBreak/>
        <w:t xml:space="preserve">Table </w:t>
      </w:r>
      <w:proofErr w:type="gramStart"/>
      <w:r w:rsidR="00C56BE4" w:rsidRPr="005C28E7">
        <w:rPr>
          <w:i/>
          <w:sz w:val="22"/>
          <w:szCs w:val="20"/>
        </w:rPr>
        <w:t>4</w:t>
      </w:r>
      <w:r w:rsidRPr="005C28E7">
        <w:rPr>
          <w:i/>
          <w:sz w:val="22"/>
          <w:szCs w:val="20"/>
        </w:rPr>
        <w:t xml:space="preserve">  </w:t>
      </w:r>
      <w:r w:rsidRPr="005C28E7">
        <w:rPr>
          <w:i/>
          <w:kern w:val="0"/>
          <w:sz w:val="22"/>
          <w:szCs w:val="20"/>
        </w:rPr>
        <w:t>Effects</w:t>
      </w:r>
      <w:proofErr w:type="gramEnd"/>
      <w:r w:rsidRPr="005C28E7">
        <w:rPr>
          <w:i/>
          <w:kern w:val="0"/>
          <w:sz w:val="22"/>
          <w:szCs w:val="20"/>
        </w:rPr>
        <w:t xml:space="preserve"> of risk on the cost of capital</w:t>
      </w:r>
    </w:p>
    <w:p w14:paraId="5217315A" w14:textId="77777777" w:rsidR="002A48D8" w:rsidRPr="005C28E7" w:rsidRDefault="002A48D8" w:rsidP="00034397">
      <w:pPr>
        <w:spacing w:line="200" w:lineRule="exact"/>
      </w:pPr>
    </w:p>
    <w:p w14:paraId="22D26DEE" w14:textId="43D22FE6" w:rsidR="00034397" w:rsidRPr="005C28E7" w:rsidRDefault="00034397" w:rsidP="00034397">
      <w:pPr>
        <w:spacing w:line="240" w:lineRule="exact"/>
        <w:jc w:val="both"/>
      </w:pPr>
      <w:r w:rsidRPr="005C28E7">
        <w:rPr>
          <w:kern w:val="0"/>
          <w:sz w:val="20"/>
          <w:szCs w:val="20"/>
        </w:rPr>
        <w:t>This table presents the results of the second stage of the two-stage analysis, which is the effect of risk on the cost of capital, with the estimation procedure being as follows. The OLS regression is first of all used to obtain the regression coefficients for each stock, with the t-test then being used to examine whether the mean coefficient is significantly different from zero.</w:t>
      </w:r>
    </w:p>
    <w:p w14:paraId="7DCFF9B5" w14:textId="77777777" w:rsidR="00034397" w:rsidRPr="005C28E7" w:rsidRDefault="00034397" w:rsidP="002A48D8">
      <w:pPr>
        <w:spacing w:line="240" w:lineRule="exact"/>
      </w:pPr>
    </w:p>
    <w:tbl>
      <w:tblPr>
        <w:tblStyle w:val="af2"/>
        <w:tblW w:w="8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70"/>
        <w:gridCol w:w="1170"/>
        <w:gridCol w:w="870"/>
        <w:gridCol w:w="1200"/>
        <w:gridCol w:w="840"/>
        <w:gridCol w:w="1230"/>
        <w:gridCol w:w="810"/>
      </w:tblGrid>
      <w:tr w:rsidR="005C28E7" w:rsidRPr="005C28E7" w14:paraId="757824AD" w14:textId="77777777" w:rsidTr="00457E01">
        <w:tc>
          <w:tcPr>
            <w:tcW w:w="2070" w:type="dxa"/>
            <w:tcBorders>
              <w:top w:val="single" w:sz="4" w:space="0" w:color="auto"/>
              <w:bottom w:val="single" w:sz="4" w:space="0" w:color="auto"/>
            </w:tcBorders>
            <w:vAlign w:val="center"/>
          </w:tcPr>
          <w:p w14:paraId="50AC1B26" w14:textId="13B88E29" w:rsidR="002A48D8" w:rsidRPr="005C28E7" w:rsidRDefault="002A48D8" w:rsidP="00457E01">
            <w:pPr>
              <w:spacing w:before="80" w:after="80" w:line="240" w:lineRule="exact"/>
              <w:jc w:val="center"/>
              <w:rPr>
                <w:sz w:val="20"/>
                <w:szCs w:val="20"/>
              </w:rPr>
            </w:pPr>
            <w:r w:rsidRPr="005C28E7">
              <w:rPr>
                <w:sz w:val="20"/>
                <w:szCs w:val="20"/>
              </w:rPr>
              <w:t>Variables</w:t>
            </w:r>
          </w:p>
        </w:tc>
        <w:tc>
          <w:tcPr>
            <w:tcW w:w="2040" w:type="dxa"/>
            <w:gridSpan w:val="2"/>
            <w:tcBorders>
              <w:top w:val="single" w:sz="4" w:space="0" w:color="auto"/>
              <w:bottom w:val="single" w:sz="4" w:space="0" w:color="auto"/>
            </w:tcBorders>
            <w:vAlign w:val="center"/>
          </w:tcPr>
          <w:p w14:paraId="759A5ADE" w14:textId="0BC2C8B8" w:rsidR="002A48D8" w:rsidRPr="005C28E7" w:rsidRDefault="00C2404E" w:rsidP="00457E01">
            <w:pPr>
              <w:spacing w:before="80" w:after="80" w:line="240" w:lineRule="exact"/>
              <w:jc w:val="center"/>
              <w:rPr>
                <w:sz w:val="20"/>
                <w:szCs w:val="20"/>
              </w:rPr>
            </w:pPr>
            <w:r w:rsidRPr="005C28E7">
              <w:rPr>
                <w:sz w:val="20"/>
                <w:szCs w:val="20"/>
              </w:rPr>
              <w:t>Model (1)</w:t>
            </w:r>
          </w:p>
        </w:tc>
        <w:tc>
          <w:tcPr>
            <w:tcW w:w="2040" w:type="dxa"/>
            <w:gridSpan w:val="2"/>
            <w:tcBorders>
              <w:top w:val="single" w:sz="4" w:space="0" w:color="auto"/>
              <w:bottom w:val="single" w:sz="4" w:space="0" w:color="auto"/>
            </w:tcBorders>
            <w:vAlign w:val="center"/>
          </w:tcPr>
          <w:p w14:paraId="3D9CDD3A" w14:textId="5B8133A2" w:rsidR="002A48D8" w:rsidRPr="005C28E7" w:rsidRDefault="00C2404E" w:rsidP="00457E01">
            <w:pPr>
              <w:spacing w:before="80" w:after="80" w:line="240" w:lineRule="exact"/>
              <w:jc w:val="center"/>
              <w:rPr>
                <w:sz w:val="20"/>
                <w:szCs w:val="20"/>
              </w:rPr>
            </w:pPr>
            <w:r w:rsidRPr="005C28E7">
              <w:rPr>
                <w:sz w:val="20"/>
                <w:szCs w:val="20"/>
              </w:rPr>
              <w:t>Model (2)</w:t>
            </w:r>
          </w:p>
        </w:tc>
        <w:tc>
          <w:tcPr>
            <w:tcW w:w="2040" w:type="dxa"/>
            <w:gridSpan w:val="2"/>
            <w:tcBorders>
              <w:top w:val="single" w:sz="4" w:space="0" w:color="auto"/>
              <w:bottom w:val="single" w:sz="4" w:space="0" w:color="auto"/>
            </w:tcBorders>
            <w:vAlign w:val="center"/>
          </w:tcPr>
          <w:p w14:paraId="45DFC72C" w14:textId="44CF0834" w:rsidR="002A48D8" w:rsidRPr="005C28E7" w:rsidRDefault="00C2404E" w:rsidP="00457E01">
            <w:pPr>
              <w:spacing w:before="80" w:after="80" w:line="240" w:lineRule="exact"/>
              <w:jc w:val="center"/>
              <w:rPr>
                <w:sz w:val="20"/>
                <w:szCs w:val="20"/>
              </w:rPr>
            </w:pPr>
            <w:r w:rsidRPr="005C28E7">
              <w:rPr>
                <w:sz w:val="20"/>
                <w:szCs w:val="20"/>
              </w:rPr>
              <w:t>Model (3)</w:t>
            </w:r>
          </w:p>
        </w:tc>
      </w:tr>
      <w:tr w:rsidR="005C28E7" w:rsidRPr="005C28E7" w14:paraId="22ADD8E0" w14:textId="77777777" w:rsidTr="00457E01">
        <w:tc>
          <w:tcPr>
            <w:tcW w:w="2070" w:type="dxa"/>
            <w:tcBorders>
              <w:top w:val="single" w:sz="4" w:space="0" w:color="auto"/>
            </w:tcBorders>
          </w:tcPr>
          <w:p w14:paraId="71CD6D6E" w14:textId="0265DA60" w:rsidR="002A48D8" w:rsidRPr="005C28E7" w:rsidRDefault="002A48D8" w:rsidP="00457E01">
            <w:pPr>
              <w:spacing w:before="100" w:after="60" w:line="240" w:lineRule="exact"/>
              <w:ind w:left="216" w:right="-216"/>
              <w:rPr>
                <w:kern w:val="0"/>
                <w:sz w:val="20"/>
                <w:szCs w:val="20"/>
              </w:rPr>
            </w:pPr>
            <w:r w:rsidRPr="005C28E7">
              <w:rPr>
                <w:kern w:val="0"/>
                <w:sz w:val="20"/>
                <w:szCs w:val="20"/>
              </w:rPr>
              <w:t>Intercept</w:t>
            </w:r>
          </w:p>
        </w:tc>
        <w:tc>
          <w:tcPr>
            <w:tcW w:w="1170" w:type="dxa"/>
            <w:tcBorders>
              <w:top w:val="single" w:sz="4" w:space="0" w:color="auto"/>
            </w:tcBorders>
          </w:tcPr>
          <w:p w14:paraId="70EC17B5" w14:textId="3B38831E" w:rsidR="002A48D8" w:rsidRPr="005C28E7" w:rsidRDefault="000A6837" w:rsidP="00457E01">
            <w:pPr>
              <w:spacing w:before="100" w:after="60" w:line="240" w:lineRule="exact"/>
              <w:ind w:left="-101" w:right="-101"/>
              <w:jc w:val="right"/>
              <w:rPr>
                <w:sz w:val="20"/>
                <w:szCs w:val="20"/>
              </w:rPr>
            </w:pPr>
            <w:r w:rsidRPr="005C28E7">
              <w:rPr>
                <w:position w:val="2"/>
                <w:sz w:val="12"/>
                <w:szCs w:val="20"/>
              </w:rPr>
              <w:t>–</w:t>
            </w:r>
            <w:r w:rsidR="002A48D8" w:rsidRPr="005C28E7">
              <w:rPr>
                <w:sz w:val="20"/>
                <w:szCs w:val="20"/>
              </w:rPr>
              <w:t>0.0878</w:t>
            </w:r>
          </w:p>
        </w:tc>
        <w:tc>
          <w:tcPr>
            <w:tcW w:w="870" w:type="dxa"/>
            <w:tcBorders>
              <w:top w:val="single" w:sz="4" w:space="0" w:color="auto"/>
            </w:tcBorders>
          </w:tcPr>
          <w:p w14:paraId="2C56799C" w14:textId="01569C36" w:rsidR="002A48D8" w:rsidRPr="005C28E7" w:rsidRDefault="002A48D8" w:rsidP="00457E01">
            <w:pPr>
              <w:spacing w:before="100" w:after="60" w:line="240" w:lineRule="exact"/>
              <w:ind w:left="-101" w:right="-101"/>
              <w:rPr>
                <w:sz w:val="18"/>
                <w:szCs w:val="20"/>
              </w:rPr>
            </w:pPr>
            <w:r w:rsidRPr="005C28E7">
              <w:rPr>
                <w:sz w:val="18"/>
                <w:szCs w:val="20"/>
              </w:rPr>
              <w:t>***</w:t>
            </w:r>
          </w:p>
        </w:tc>
        <w:tc>
          <w:tcPr>
            <w:tcW w:w="1200" w:type="dxa"/>
            <w:tcBorders>
              <w:top w:val="single" w:sz="4" w:space="0" w:color="auto"/>
            </w:tcBorders>
          </w:tcPr>
          <w:p w14:paraId="0C841D15" w14:textId="2C7D168C" w:rsidR="002A48D8" w:rsidRPr="005C28E7" w:rsidRDefault="000A6837" w:rsidP="00457E01">
            <w:pPr>
              <w:spacing w:before="100" w:after="60" w:line="240" w:lineRule="exact"/>
              <w:ind w:left="-101" w:right="-101"/>
              <w:jc w:val="right"/>
              <w:rPr>
                <w:sz w:val="20"/>
                <w:szCs w:val="20"/>
              </w:rPr>
            </w:pPr>
            <w:r w:rsidRPr="005C28E7">
              <w:rPr>
                <w:position w:val="2"/>
                <w:sz w:val="12"/>
                <w:szCs w:val="20"/>
              </w:rPr>
              <w:t>–</w:t>
            </w:r>
            <w:r w:rsidR="002A48D8" w:rsidRPr="005C28E7">
              <w:rPr>
                <w:sz w:val="20"/>
                <w:szCs w:val="20"/>
              </w:rPr>
              <w:t>0.0583</w:t>
            </w:r>
          </w:p>
        </w:tc>
        <w:tc>
          <w:tcPr>
            <w:tcW w:w="840" w:type="dxa"/>
            <w:tcBorders>
              <w:top w:val="single" w:sz="4" w:space="0" w:color="auto"/>
            </w:tcBorders>
          </w:tcPr>
          <w:p w14:paraId="435C6613" w14:textId="626EB14E" w:rsidR="002A48D8" w:rsidRPr="005C28E7" w:rsidRDefault="002A48D8" w:rsidP="00457E01">
            <w:pPr>
              <w:spacing w:before="100" w:after="60" w:line="240" w:lineRule="exact"/>
              <w:ind w:left="-101" w:right="-101"/>
              <w:rPr>
                <w:sz w:val="18"/>
                <w:szCs w:val="20"/>
              </w:rPr>
            </w:pPr>
            <w:r w:rsidRPr="005C28E7">
              <w:rPr>
                <w:sz w:val="18"/>
                <w:szCs w:val="20"/>
              </w:rPr>
              <w:t>***</w:t>
            </w:r>
          </w:p>
        </w:tc>
        <w:tc>
          <w:tcPr>
            <w:tcW w:w="1230" w:type="dxa"/>
            <w:tcBorders>
              <w:top w:val="single" w:sz="4" w:space="0" w:color="auto"/>
            </w:tcBorders>
          </w:tcPr>
          <w:p w14:paraId="4AC4D0A0" w14:textId="2CDC9485" w:rsidR="002A48D8" w:rsidRPr="005C28E7" w:rsidRDefault="000A6837" w:rsidP="00457E01">
            <w:pPr>
              <w:spacing w:before="100" w:after="60" w:line="240" w:lineRule="exact"/>
              <w:ind w:left="-101" w:right="-101"/>
              <w:jc w:val="right"/>
              <w:rPr>
                <w:sz w:val="20"/>
                <w:szCs w:val="20"/>
              </w:rPr>
            </w:pPr>
            <w:r w:rsidRPr="005C28E7">
              <w:rPr>
                <w:position w:val="2"/>
                <w:sz w:val="12"/>
                <w:szCs w:val="20"/>
              </w:rPr>
              <w:t>–</w:t>
            </w:r>
            <w:r w:rsidR="002A48D8" w:rsidRPr="005C28E7">
              <w:rPr>
                <w:sz w:val="20"/>
                <w:szCs w:val="20"/>
              </w:rPr>
              <w:t>0.0813</w:t>
            </w:r>
          </w:p>
        </w:tc>
        <w:tc>
          <w:tcPr>
            <w:tcW w:w="810" w:type="dxa"/>
            <w:tcBorders>
              <w:top w:val="single" w:sz="4" w:space="0" w:color="auto"/>
            </w:tcBorders>
          </w:tcPr>
          <w:p w14:paraId="7B846F46" w14:textId="3952A262" w:rsidR="002A48D8" w:rsidRPr="005C28E7" w:rsidRDefault="002A48D8" w:rsidP="00457E01">
            <w:pPr>
              <w:spacing w:before="100" w:after="60" w:line="240" w:lineRule="exact"/>
              <w:ind w:left="-101" w:right="-101"/>
              <w:rPr>
                <w:sz w:val="18"/>
                <w:szCs w:val="20"/>
              </w:rPr>
            </w:pPr>
            <w:r w:rsidRPr="005C28E7">
              <w:rPr>
                <w:sz w:val="18"/>
                <w:szCs w:val="20"/>
              </w:rPr>
              <w:t>*</w:t>
            </w:r>
          </w:p>
        </w:tc>
      </w:tr>
      <w:tr w:rsidR="005C28E7" w:rsidRPr="005C28E7" w14:paraId="39B6E78B" w14:textId="77777777" w:rsidTr="00C2404E">
        <w:tc>
          <w:tcPr>
            <w:tcW w:w="2070" w:type="dxa"/>
          </w:tcPr>
          <w:p w14:paraId="1D240A32" w14:textId="77777777" w:rsidR="00C2404E" w:rsidRPr="005C28E7" w:rsidRDefault="00C2404E" w:rsidP="002A48D8">
            <w:pPr>
              <w:spacing w:before="60" w:after="60" w:line="240" w:lineRule="exact"/>
              <w:ind w:left="216" w:right="-216"/>
              <w:rPr>
                <w:i/>
                <w:sz w:val="20"/>
                <w:szCs w:val="20"/>
              </w:rPr>
            </w:pPr>
            <w:r w:rsidRPr="005C28E7">
              <w:rPr>
                <w:i/>
                <w:kern w:val="0"/>
                <w:sz w:val="20"/>
                <w:szCs w:val="20"/>
              </w:rPr>
              <w:t>Downside Risk</w:t>
            </w:r>
          </w:p>
        </w:tc>
        <w:tc>
          <w:tcPr>
            <w:tcW w:w="1170" w:type="dxa"/>
          </w:tcPr>
          <w:p w14:paraId="5102648C" w14:textId="1B4BFC5B" w:rsidR="00C2404E" w:rsidRPr="005C28E7" w:rsidRDefault="00C2404E" w:rsidP="00C2404E">
            <w:pPr>
              <w:spacing w:before="60" w:after="60" w:line="240" w:lineRule="exact"/>
              <w:ind w:left="-101" w:right="-101"/>
              <w:jc w:val="right"/>
              <w:rPr>
                <w:sz w:val="20"/>
                <w:szCs w:val="20"/>
              </w:rPr>
            </w:pPr>
            <w:r w:rsidRPr="005C28E7">
              <w:rPr>
                <w:sz w:val="20"/>
                <w:szCs w:val="20"/>
              </w:rPr>
              <w:t>0.3103</w:t>
            </w:r>
          </w:p>
        </w:tc>
        <w:tc>
          <w:tcPr>
            <w:tcW w:w="870" w:type="dxa"/>
          </w:tcPr>
          <w:p w14:paraId="0AA7D1B2" w14:textId="22FC4870" w:rsidR="00C2404E" w:rsidRPr="005C28E7" w:rsidRDefault="00C2404E" w:rsidP="00C2404E">
            <w:pPr>
              <w:spacing w:before="60" w:after="60" w:line="240" w:lineRule="exact"/>
              <w:ind w:left="-101" w:right="-101"/>
              <w:rPr>
                <w:sz w:val="18"/>
                <w:szCs w:val="20"/>
              </w:rPr>
            </w:pPr>
            <w:r w:rsidRPr="005C28E7">
              <w:rPr>
                <w:sz w:val="18"/>
                <w:szCs w:val="20"/>
              </w:rPr>
              <w:t>***</w:t>
            </w:r>
          </w:p>
        </w:tc>
        <w:tc>
          <w:tcPr>
            <w:tcW w:w="1200" w:type="dxa"/>
          </w:tcPr>
          <w:p w14:paraId="63244F9C" w14:textId="702414A6" w:rsidR="00C2404E" w:rsidRPr="005C28E7" w:rsidRDefault="00BE6258" w:rsidP="00BE6258">
            <w:pPr>
              <w:spacing w:before="60" w:after="60" w:line="240" w:lineRule="exact"/>
              <w:ind w:left="-144" w:right="144"/>
              <w:jc w:val="right"/>
              <w:rPr>
                <w:sz w:val="20"/>
                <w:szCs w:val="20"/>
              </w:rPr>
            </w:pPr>
            <w:r w:rsidRPr="005C28E7">
              <w:rPr>
                <w:sz w:val="20"/>
                <w:szCs w:val="20"/>
              </w:rPr>
              <w:t>–</w:t>
            </w:r>
          </w:p>
        </w:tc>
        <w:tc>
          <w:tcPr>
            <w:tcW w:w="840" w:type="dxa"/>
          </w:tcPr>
          <w:p w14:paraId="030F0B7C" w14:textId="38F29429" w:rsidR="00C2404E" w:rsidRPr="005C28E7" w:rsidRDefault="00C2404E" w:rsidP="00BE6258">
            <w:pPr>
              <w:spacing w:before="60" w:after="60" w:line="240" w:lineRule="exact"/>
              <w:ind w:left="-144" w:right="144"/>
              <w:rPr>
                <w:sz w:val="18"/>
                <w:szCs w:val="20"/>
              </w:rPr>
            </w:pPr>
          </w:p>
        </w:tc>
        <w:tc>
          <w:tcPr>
            <w:tcW w:w="1230" w:type="dxa"/>
            <w:vAlign w:val="center"/>
          </w:tcPr>
          <w:p w14:paraId="52D2DB1C" w14:textId="3FF77C68" w:rsidR="00C2404E" w:rsidRPr="005C28E7" w:rsidRDefault="00BE6258" w:rsidP="00BE6258">
            <w:pPr>
              <w:spacing w:before="60" w:after="60" w:line="240" w:lineRule="exact"/>
              <w:ind w:left="-144" w:right="144"/>
              <w:jc w:val="right"/>
              <w:rPr>
                <w:sz w:val="20"/>
                <w:szCs w:val="20"/>
              </w:rPr>
            </w:pPr>
            <w:r w:rsidRPr="005C28E7">
              <w:rPr>
                <w:sz w:val="20"/>
                <w:szCs w:val="20"/>
              </w:rPr>
              <w:t>–</w:t>
            </w:r>
          </w:p>
        </w:tc>
        <w:tc>
          <w:tcPr>
            <w:tcW w:w="810" w:type="dxa"/>
            <w:vAlign w:val="center"/>
          </w:tcPr>
          <w:p w14:paraId="7E2C9CF5" w14:textId="77777777" w:rsidR="00C2404E" w:rsidRPr="005C28E7" w:rsidRDefault="00C2404E" w:rsidP="00C2404E">
            <w:pPr>
              <w:spacing w:before="60" w:after="60" w:line="240" w:lineRule="exact"/>
              <w:ind w:left="-101" w:right="-101"/>
              <w:rPr>
                <w:sz w:val="18"/>
                <w:szCs w:val="20"/>
              </w:rPr>
            </w:pPr>
          </w:p>
        </w:tc>
      </w:tr>
      <w:tr w:rsidR="005C28E7" w:rsidRPr="005C28E7" w14:paraId="47ADCCB0" w14:textId="77777777" w:rsidTr="00C2404E">
        <w:tc>
          <w:tcPr>
            <w:tcW w:w="2070" w:type="dxa"/>
          </w:tcPr>
          <w:p w14:paraId="38DD924B" w14:textId="77777777" w:rsidR="00C2404E" w:rsidRPr="005C28E7" w:rsidRDefault="00C2404E" w:rsidP="002A48D8">
            <w:pPr>
              <w:spacing w:before="60" w:after="60" w:line="240" w:lineRule="exact"/>
              <w:ind w:left="216" w:right="-216"/>
              <w:rPr>
                <w:i/>
                <w:sz w:val="20"/>
                <w:szCs w:val="20"/>
              </w:rPr>
            </w:pPr>
            <w:r w:rsidRPr="005C28E7">
              <w:rPr>
                <w:i/>
                <w:kern w:val="0"/>
                <w:sz w:val="20"/>
                <w:szCs w:val="20"/>
              </w:rPr>
              <w:t>Upside Risk</w:t>
            </w:r>
          </w:p>
        </w:tc>
        <w:tc>
          <w:tcPr>
            <w:tcW w:w="1170" w:type="dxa"/>
          </w:tcPr>
          <w:p w14:paraId="2CF41C73" w14:textId="76B06D72" w:rsidR="00C2404E" w:rsidRPr="005C28E7" w:rsidRDefault="000A6837" w:rsidP="00C2404E">
            <w:pPr>
              <w:spacing w:before="60" w:after="60" w:line="240" w:lineRule="exact"/>
              <w:ind w:left="-101" w:right="-101"/>
              <w:jc w:val="right"/>
              <w:rPr>
                <w:sz w:val="20"/>
                <w:szCs w:val="20"/>
              </w:rPr>
            </w:pPr>
            <w:r w:rsidRPr="005C28E7">
              <w:rPr>
                <w:position w:val="2"/>
                <w:sz w:val="12"/>
                <w:szCs w:val="20"/>
              </w:rPr>
              <w:t>–</w:t>
            </w:r>
            <w:r w:rsidR="00C2404E" w:rsidRPr="005C28E7">
              <w:rPr>
                <w:sz w:val="20"/>
                <w:szCs w:val="20"/>
              </w:rPr>
              <w:t>0.2971</w:t>
            </w:r>
          </w:p>
        </w:tc>
        <w:tc>
          <w:tcPr>
            <w:tcW w:w="870" w:type="dxa"/>
          </w:tcPr>
          <w:p w14:paraId="27421613" w14:textId="6C3AF334" w:rsidR="00C2404E" w:rsidRPr="005C28E7" w:rsidRDefault="00C2404E" w:rsidP="00C2404E">
            <w:pPr>
              <w:spacing w:before="60" w:after="60" w:line="240" w:lineRule="exact"/>
              <w:ind w:left="-101" w:right="-101"/>
              <w:rPr>
                <w:sz w:val="18"/>
                <w:szCs w:val="20"/>
              </w:rPr>
            </w:pPr>
            <w:r w:rsidRPr="005C28E7">
              <w:rPr>
                <w:sz w:val="18"/>
                <w:szCs w:val="20"/>
              </w:rPr>
              <w:t>***</w:t>
            </w:r>
          </w:p>
        </w:tc>
        <w:tc>
          <w:tcPr>
            <w:tcW w:w="1200" w:type="dxa"/>
            <w:vAlign w:val="center"/>
          </w:tcPr>
          <w:p w14:paraId="2D558DAD" w14:textId="5DC093EB" w:rsidR="00C2404E" w:rsidRPr="005C28E7" w:rsidRDefault="00BE6258" w:rsidP="00BE6258">
            <w:pPr>
              <w:spacing w:before="60" w:after="60" w:line="240" w:lineRule="exact"/>
              <w:ind w:left="-144" w:right="144"/>
              <w:jc w:val="right"/>
              <w:rPr>
                <w:sz w:val="20"/>
                <w:szCs w:val="20"/>
              </w:rPr>
            </w:pPr>
            <w:r w:rsidRPr="005C28E7">
              <w:rPr>
                <w:sz w:val="20"/>
                <w:szCs w:val="20"/>
              </w:rPr>
              <w:t>–</w:t>
            </w:r>
          </w:p>
        </w:tc>
        <w:tc>
          <w:tcPr>
            <w:tcW w:w="840" w:type="dxa"/>
            <w:vAlign w:val="center"/>
          </w:tcPr>
          <w:p w14:paraId="4628F738" w14:textId="77777777" w:rsidR="00C2404E" w:rsidRPr="005C28E7" w:rsidRDefault="00C2404E" w:rsidP="00BE6258">
            <w:pPr>
              <w:spacing w:before="60" w:after="60" w:line="240" w:lineRule="exact"/>
              <w:ind w:left="-144" w:right="144"/>
              <w:rPr>
                <w:sz w:val="18"/>
                <w:szCs w:val="20"/>
              </w:rPr>
            </w:pPr>
          </w:p>
        </w:tc>
        <w:tc>
          <w:tcPr>
            <w:tcW w:w="1230" w:type="dxa"/>
            <w:vAlign w:val="center"/>
          </w:tcPr>
          <w:p w14:paraId="53702DF2" w14:textId="146C7A0D" w:rsidR="00C2404E" w:rsidRPr="005C28E7" w:rsidRDefault="00BE6258" w:rsidP="00BE6258">
            <w:pPr>
              <w:spacing w:before="60" w:after="60" w:line="240" w:lineRule="exact"/>
              <w:ind w:left="-144" w:right="144"/>
              <w:jc w:val="right"/>
              <w:rPr>
                <w:sz w:val="20"/>
                <w:szCs w:val="20"/>
              </w:rPr>
            </w:pPr>
            <w:r w:rsidRPr="005C28E7">
              <w:rPr>
                <w:sz w:val="20"/>
                <w:szCs w:val="20"/>
              </w:rPr>
              <w:t>–</w:t>
            </w:r>
          </w:p>
        </w:tc>
        <w:tc>
          <w:tcPr>
            <w:tcW w:w="810" w:type="dxa"/>
            <w:vAlign w:val="center"/>
          </w:tcPr>
          <w:p w14:paraId="119F8C09" w14:textId="77777777" w:rsidR="00C2404E" w:rsidRPr="005C28E7" w:rsidRDefault="00C2404E" w:rsidP="00C2404E">
            <w:pPr>
              <w:spacing w:before="60" w:after="60" w:line="240" w:lineRule="exact"/>
              <w:ind w:left="-101" w:right="-101"/>
              <w:rPr>
                <w:sz w:val="18"/>
                <w:szCs w:val="20"/>
              </w:rPr>
            </w:pPr>
          </w:p>
        </w:tc>
      </w:tr>
      <w:tr w:rsidR="005C28E7" w:rsidRPr="005C28E7" w14:paraId="6E5274A8" w14:textId="77777777" w:rsidTr="00B055E0">
        <w:tc>
          <w:tcPr>
            <w:tcW w:w="2070" w:type="dxa"/>
          </w:tcPr>
          <w:p w14:paraId="71926283" w14:textId="77777777" w:rsidR="00BE6258" w:rsidRPr="005C28E7" w:rsidRDefault="00BE6258" w:rsidP="002A48D8">
            <w:pPr>
              <w:spacing w:before="60" w:after="60" w:line="240" w:lineRule="exact"/>
              <w:ind w:left="216" w:right="-216"/>
              <w:rPr>
                <w:i/>
                <w:sz w:val="20"/>
                <w:szCs w:val="20"/>
              </w:rPr>
            </w:pPr>
            <w:r w:rsidRPr="005C28E7">
              <w:rPr>
                <w:i/>
                <w:kern w:val="0"/>
                <w:sz w:val="20"/>
                <w:szCs w:val="20"/>
              </w:rPr>
              <w:t>Asymmetric Risk</w:t>
            </w:r>
          </w:p>
        </w:tc>
        <w:tc>
          <w:tcPr>
            <w:tcW w:w="1170" w:type="dxa"/>
          </w:tcPr>
          <w:p w14:paraId="6F992092" w14:textId="5F67E61B" w:rsidR="00BE6258" w:rsidRPr="005C28E7" w:rsidRDefault="00BE6258" w:rsidP="00BE6258">
            <w:pPr>
              <w:spacing w:before="60" w:after="60" w:line="240" w:lineRule="exact"/>
              <w:ind w:left="-144" w:right="144"/>
              <w:jc w:val="right"/>
              <w:rPr>
                <w:sz w:val="20"/>
                <w:szCs w:val="20"/>
              </w:rPr>
            </w:pPr>
            <w:r w:rsidRPr="005C28E7">
              <w:rPr>
                <w:sz w:val="20"/>
                <w:szCs w:val="20"/>
              </w:rPr>
              <w:t>–</w:t>
            </w:r>
          </w:p>
        </w:tc>
        <w:tc>
          <w:tcPr>
            <w:tcW w:w="870" w:type="dxa"/>
            <w:vAlign w:val="center"/>
          </w:tcPr>
          <w:p w14:paraId="17DA2EFB" w14:textId="3ED795C3" w:rsidR="00BE6258" w:rsidRPr="005C28E7" w:rsidRDefault="00BE6258" w:rsidP="00C2404E">
            <w:pPr>
              <w:spacing w:before="60" w:after="60" w:line="240" w:lineRule="exact"/>
              <w:ind w:left="-101" w:right="-101"/>
              <w:rPr>
                <w:sz w:val="18"/>
                <w:szCs w:val="20"/>
              </w:rPr>
            </w:pPr>
          </w:p>
        </w:tc>
        <w:tc>
          <w:tcPr>
            <w:tcW w:w="1200" w:type="dxa"/>
          </w:tcPr>
          <w:p w14:paraId="28492289" w14:textId="56D64B77" w:rsidR="00BE6258" w:rsidRPr="005C28E7" w:rsidRDefault="00BE6258" w:rsidP="00C2404E">
            <w:pPr>
              <w:spacing w:before="60" w:after="60" w:line="240" w:lineRule="exact"/>
              <w:ind w:left="-101" w:right="-101"/>
              <w:jc w:val="right"/>
              <w:rPr>
                <w:sz w:val="20"/>
                <w:szCs w:val="20"/>
              </w:rPr>
            </w:pPr>
            <w:r w:rsidRPr="005C28E7">
              <w:rPr>
                <w:sz w:val="20"/>
                <w:szCs w:val="20"/>
              </w:rPr>
              <w:t>0.2765</w:t>
            </w:r>
          </w:p>
        </w:tc>
        <w:tc>
          <w:tcPr>
            <w:tcW w:w="840" w:type="dxa"/>
          </w:tcPr>
          <w:p w14:paraId="18BEA2F6" w14:textId="7619FE7A" w:rsidR="00BE6258" w:rsidRPr="005C28E7" w:rsidRDefault="00BE6258" w:rsidP="00C2404E">
            <w:pPr>
              <w:spacing w:before="60" w:after="60" w:line="240" w:lineRule="exact"/>
              <w:ind w:left="-101" w:right="-101"/>
              <w:rPr>
                <w:sz w:val="18"/>
                <w:szCs w:val="20"/>
              </w:rPr>
            </w:pPr>
            <w:r w:rsidRPr="005C28E7">
              <w:rPr>
                <w:sz w:val="18"/>
                <w:szCs w:val="20"/>
              </w:rPr>
              <w:t>***</w:t>
            </w:r>
          </w:p>
        </w:tc>
        <w:tc>
          <w:tcPr>
            <w:tcW w:w="1230" w:type="dxa"/>
            <w:vAlign w:val="center"/>
          </w:tcPr>
          <w:p w14:paraId="4B082605" w14:textId="550418F3" w:rsidR="00BE6258" w:rsidRPr="005C28E7" w:rsidRDefault="00BE6258" w:rsidP="00BE6258">
            <w:pPr>
              <w:spacing w:before="60" w:after="60" w:line="240" w:lineRule="exact"/>
              <w:ind w:left="-144" w:right="144"/>
              <w:jc w:val="right"/>
              <w:rPr>
                <w:sz w:val="20"/>
                <w:szCs w:val="20"/>
              </w:rPr>
            </w:pPr>
            <w:r w:rsidRPr="005C28E7">
              <w:rPr>
                <w:sz w:val="20"/>
                <w:szCs w:val="20"/>
              </w:rPr>
              <w:t>–</w:t>
            </w:r>
          </w:p>
        </w:tc>
        <w:tc>
          <w:tcPr>
            <w:tcW w:w="810" w:type="dxa"/>
            <w:vAlign w:val="center"/>
          </w:tcPr>
          <w:p w14:paraId="12A77AEB" w14:textId="77777777" w:rsidR="00BE6258" w:rsidRPr="005C28E7" w:rsidRDefault="00BE6258" w:rsidP="00C2404E">
            <w:pPr>
              <w:spacing w:before="60" w:after="60" w:line="240" w:lineRule="exact"/>
              <w:ind w:left="-101" w:right="-101"/>
              <w:rPr>
                <w:sz w:val="18"/>
                <w:szCs w:val="20"/>
              </w:rPr>
            </w:pPr>
          </w:p>
        </w:tc>
      </w:tr>
      <w:tr w:rsidR="005C28E7" w:rsidRPr="005C28E7" w14:paraId="32C9C213" w14:textId="77777777" w:rsidTr="00C2404E">
        <w:tc>
          <w:tcPr>
            <w:tcW w:w="2070" w:type="dxa"/>
          </w:tcPr>
          <w:p w14:paraId="6C523835" w14:textId="77777777" w:rsidR="00BE6258" w:rsidRPr="005C28E7" w:rsidRDefault="00BE6258" w:rsidP="002A48D8">
            <w:pPr>
              <w:spacing w:before="60" w:after="60" w:line="240" w:lineRule="exact"/>
              <w:ind w:left="216" w:right="-216"/>
              <w:rPr>
                <w:i/>
                <w:sz w:val="20"/>
                <w:szCs w:val="20"/>
              </w:rPr>
            </w:pPr>
            <w:r w:rsidRPr="005C28E7">
              <w:rPr>
                <w:i/>
                <w:kern w:val="0"/>
                <w:sz w:val="20"/>
                <w:szCs w:val="20"/>
              </w:rPr>
              <w:t>Market Risk</w:t>
            </w:r>
          </w:p>
        </w:tc>
        <w:tc>
          <w:tcPr>
            <w:tcW w:w="1170" w:type="dxa"/>
            <w:vAlign w:val="center"/>
          </w:tcPr>
          <w:p w14:paraId="65C12C91" w14:textId="2FF371B3" w:rsidR="00BE6258" w:rsidRPr="005C28E7" w:rsidRDefault="00BE6258" w:rsidP="00BE6258">
            <w:pPr>
              <w:spacing w:before="60" w:after="60" w:line="240" w:lineRule="exact"/>
              <w:ind w:left="-144" w:right="144"/>
              <w:jc w:val="right"/>
              <w:rPr>
                <w:sz w:val="20"/>
                <w:szCs w:val="20"/>
              </w:rPr>
            </w:pPr>
            <w:r w:rsidRPr="005C28E7">
              <w:rPr>
                <w:sz w:val="20"/>
                <w:szCs w:val="20"/>
              </w:rPr>
              <w:t>–</w:t>
            </w:r>
          </w:p>
        </w:tc>
        <w:tc>
          <w:tcPr>
            <w:tcW w:w="870" w:type="dxa"/>
            <w:vAlign w:val="center"/>
          </w:tcPr>
          <w:p w14:paraId="294327BD" w14:textId="43CB351B" w:rsidR="00BE6258" w:rsidRPr="005C28E7" w:rsidRDefault="00BE6258" w:rsidP="00C2404E">
            <w:pPr>
              <w:spacing w:before="60" w:after="60" w:line="240" w:lineRule="exact"/>
              <w:ind w:left="-101" w:right="-101"/>
              <w:rPr>
                <w:sz w:val="18"/>
                <w:szCs w:val="20"/>
              </w:rPr>
            </w:pPr>
          </w:p>
        </w:tc>
        <w:tc>
          <w:tcPr>
            <w:tcW w:w="1200" w:type="dxa"/>
            <w:vAlign w:val="center"/>
          </w:tcPr>
          <w:p w14:paraId="10585973" w14:textId="193E0243" w:rsidR="00BE6258" w:rsidRPr="005C28E7" w:rsidRDefault="00BE6258" w:rsidP="00BE6258">
            <w:pPr>
              <w:spacing w:before="60" w:after="60" w:line="240" w:lineRule="exact"/>
              <w:ind w:left="-144" w:right="144"/>
              <w:jc w:val="right"/>
              <w:rPr>
                <w:sz w:val="20"/>
                <w:szCs w:val="20"/>
              </w:rPr>
            </w:pPr>
            <w:r w:rsidRPr="005C28E7">
              <w:rPr>
                <w:sz w:val="20"/>
                <w:szCs w:val="20"/>
              </w:rPr>
              <w:t>–</w:t>
            </w:r>
          </w:p>
        </w:tc>
        <w:tc>
          <w:tcPr>
            <w:tcW w:w="840" w:type="dxa"/>
            <w:vAlign w:val="center"/>
          </w:tcPr>
          <w:p w14:paraId="286C57D0" w14:textId="1B047881" w:rsidR="00BE6258" w:rsidRPr="005C28E7" w:rsidRDefault="00BE6258" w:rsidP="00C2404E">
            <w:pPr>
              <w:spacing w:before="60" w:after="60" w:line="240" w:lineRule="exact"/>
              <w:ind w:left="-101" w:right="-101"/>
              <w:rPr>
                <w:sz w:val="18"/>
                <w:szCs w:val="20"/>
              </w:rPr>
            </w:pPr>
          </w:p>
        </w:tc>
        <w:tc>
          <w:tcPr>
            <w:tcW w:w="1230" w:type="dxa"/>
            <w:vAlign w:val="center"/>
          </w:tcPr>
          <w:p w14:paraId="0422F952" w14:textId="0C96AEF6" w:rsidR="00BE6258" w:rsidRPr="005C28E7" w:rsidRDefault="00BE6258" w:rsidP="00C2404E">
            <w:pPr>
              <w:spacing w:before="60" w:after="60" w:line="240" w:lineRule="exact"/>
              <w:ind w:left="-101" w:right="-101"/>
              <w:jc w:val="right"/>
              <w:rPr>
                <w:sz w:val="20"/>
                <w:szCs w:val="20"/>
              </w:rPr>
            </w:pPr>
            <w:r w:rsidRPr="005C28E7">
              <w:rPr>
                <w:sz w:val="20"/>
                <w:szCs w:val="20"/>
              </w:rPr>
              <w:t>0.0668</w:t>
            </w:r>
          </w:p>
        </w:tc>
        <w:tc>
          <w:tcPr>
            <w:tcW w:w="810" w:type="dxa"/>
            <w:vAlign w:val="center"/>
          </w:tcPr>
          <w:p w14:paraId="4CC378DC" w14:textId="77777777" w:rsidR="00BE6258" w:rsidRPr="005C28E7" w:rsidRDefault="00BE6258" w:rsidP="00C2404E">
            <w:pPr>
              <w:spacing w:before="60" w:after="60" w:line="240" w:lineRule="exact"/>
              <w:ind w:left="-101" w:right="-101"/>
              <w:rPr>
                <w:sz w:val="18"/>
                <w:szCs w:val="20"/>
              </w:rPr>
            </w:pPr>
          </w:p>
        </w:tc>
      </w:tr>
      <w:tr w:rsidR="005C28E7" w:rsidRPr="005C28E7" w14:paraId="4D1E686B" w14:textId="77777777" w:rsidTr="00C2404E">
        <w:tc>
          <w:tcPr>
            <w:tcW w:w="2070" w:type="dxa"/>
          </w:tcPr>
          <w:p w14:paraId="32F10FFB" w14:textId="2E3BD866" w:rsidR="00BE6258" w:rsidRPr="005C28E7" w:rsidRDefault="00BE6258" w:rsidP="002A48D8">
            <w:pPr>
              <w:spacing w:before="60" w:after="60" w:line="240" w:lineRule="exact"/>
              <w:ind w:left="216" w:right="-216"/>
              <w:rPr>
                <w:i/>
                <w:sz w:val="20"/>
                <w:szCs w:val="20"/>
              </w:rPr>
            </w:pPr>
            <w:r w:rsidRPr="005C28E7">
              <w:rPr>
                <w:i/>
                <w:sz w:val="20"/>
                <w:szCs w:val="20"/>
              </w:rPr>
              <w:t>SMB</w:t>
            </w:r>
          </w:p>
        </w:tc>
        <w:tc>
          <w:tcPr>
            <w:tcW w:w="1170" w:type="dxa"/>
          </w:tcPr>
          <w:p w14:paraId="6887FB93" w14:textId="647DFD4A" w:rsidR="00BE6258" w:rsidRPr="005C28E7" w:rsidRDefault="00BE6258" w:rsidP="00C2404E">
            <w:pPr>
              <w:spacing w:before="60" w:after="60" w:line="240" w:lineRule="exact"/>
              <w:ind w:left="-101" w:right="-101"/>
              <w:jc w:val="right"/>
              <w:rPr>
                <w:sz w:val="20"/>
                <w:szCs w:val="20"/>
              </w:rPr>
            </w:pPr>
            <w:r w:rsidRPr="005C28E7">
              <w:rPr>
                <w:sz w:val="20"/>
                <w:szCs w:val="20"/>
              </w:rPr>
              <w:t>0.1197</w:t>
            </w:r>
          </w:p>
        </w:tc>
        <w:tc>
          <w:tcPr>
            <w:tcW w:w="870" w:type="dxa"/>
          </w:tcPr>
          <w:p w14:paraId="64FEDD35" w14:textId="506AF046" w:rsidR="00BE6258" w:rsidRPr="005C28E7" w:rsidRDefault="00BE6258" w:rsidP="00C2404E">
            <w:pPr>
              <w:spacing w:before="60" w:after="60" w:line="240" w:lineRule="exact"/>
              <w:ind w:left="-101" w:right="-101"/>
              <w:rPr>
                <w:sz w:val="18"/>
                <w:szCs w:val="20"/>
              </w:rPr>
            </w:pPr>
            <w:r w:rsidRPr="005C28E7">
              <w:rPr>
                <w:sz w:val="18"/>
                <w:szCs w:val="20"/>
              </w:rPr>
              <w:t>***</w:t>
            </w:r>
          </w:p>
        </w:tc>
        <w:tc>
          <w:tcPr>
            <w:tcW w:w="1200" w:type="dxa"/>
          </w:tcPr>
          <w:p w14:paraId="20792FF8" w14:textId="63159215" w:rsidR="00BE6258" w:rsidRPr="005C28E7" w:rsidRDefault="00BE6258" w:rsidP="00C2404E">
            <w:pPr>
              <w:spacing w:before="60" w:after="60" w:line="240" w:lineRule="exact"/>
              <w:ind w:left="-101" w:right="-101"/>
              <w:jc w:val="right"/>
              <w:rPr>
                <w:sz w:val="20"/>
                <w:szCs w:val="20"/>
              </w:rPr>
            </w:pPr>
            <w:r w:rsidRPr="005C28E7">
              <w:rPr>
                <w:sz w:val="20"/>
                <w:szCs w:val="20"/>
              </w:rPr>
              <w:t>0.1531</w:t>
            </w:r>
          </w:p>
        </w:tc>
        <w:tc>
          <w:tcPr>
            <w:tcW w:w="840" w:type="dxa"/>
          </w:tcPr>
          <w:p w14:paraId="6431FE48" w14:textId="4D9228DD" w:rsidR="00BE6258" w:rsidRPr="005C28E7" w:rsidRDefault="00BE6258" w:rsidP="00C2404E">
            <w:pPr>
              <w:spacing w:before="60" w:after="60" w:line="240" w:lineRule="exact"/>
              <w:ind w:left="-101" w:right="-101"/>
              <w:rPr>
                <w:sz w:val="18"/>
                <w:szCs w:val="20"/>
              </w:rPr>
            </w:pPr>
            <w:r w:rsidRPr="005C28E7">
              <w:rPr>
                <w:sz w:val="18"/>
                <w:szCs w:val="20"/>
              </w:rPr>
              <w:t>***</w:t>
            </w:r>
          </w:p>
        </w:tc>
        <w:tc>
          <w:tcPr>
            <w:tcW w:w="1230" w:type="dxa"/>
          </w:tcPr>
          <w:p w14:paraId="598B2D68" w14:textId="6F1F2E35" w:rsidR="00BE6258" w:rsidRPr="005C28E7" w:rsidRDefault="00BE6258" w:rsidP="00C2404E">
            <w:pPr>
              <w:spacing w:before="60" w:after="60" w:line="240" w:lineRule="exact"/>
              <w:ind w:left="-101" w:right="-101"/>
              <w:jc w:val="right"/>
              <w:rPr>
                <w:sz w:val="20"/>
                <w:szCs w:val="20"/>
              </w:rPr>
            </w:pPr>
            <w:r w:rsidRPr="005C28E7">
              <w:rPr>
                <w:sz w:val="20"/>
                <w:szCs w:val="20"/>
              </w:rPr>
              <w:t>0.1108</w:t>
            </w:r>
          </w:p>
        </w:tc>
        <w:tc>
          <w:tcPr>
            <w:tcW w:w="810" w:type="dxa"/>
          </w:tcPr>
          <w:p w14:paraId="4B59DC8D" w14:textId="1A3C8BF6" w:rsidR="00BE6258" w:rsidRPr="005C28E7" w:rsidRDefault="00BE6258" w:rsidP="00C2404E">
            <w:pPr>
              <w:spacing w:before="60" w:after="60" w:line="240" w:lineRule="exact"/>
              <w:ind w:left="-101" w:right="-101"/>
              <w:rPr>
                <w:sz w:val="18"/>
                <w:szCs w:val="20"/>
              </w:rPr>
            </w:pPr>
            <w:r w:rsidRPr="005C28E7">
              <w:rPr>
                <w:sz w:val="18"/>
                <w:szCs w:val="20"/>
              </w:rPr>
              <w:t>*</w:t>
            </w:r>
          </w:p>
        </w:tc>
      </w:tr>
      <w:tr w:rsidR="00580476" w:rsidRPr="005C28E7" w14:paraId="7F0A94A5" w14:textId="77777777" w:rsidTr="00457E01">
        <w:tc>
          <w:tcPr>
            <w:tcW w:w="2070" w:type="dxa"/>
            <w:tcBorders>
              <w:bottom w:val="single" w:sz="4" w:space="0" w:color="auto"/>
            </w:tcBorders>
          </w:tcPr>
          <w:p w14:paraId="2298B80D" w14:textId="48E984A4" w:rsidR="00BE6258" w:rsidRPr="005C28E7" w:rsidRDefault="00BE6258" w:rsidP="00457E01">
            <w:pPr>
              <w:spacing w:before="60" w:after="120" w:line="240" w:lineRule="exact"/>
              <w:ind w:left="216" w:right="-216"/>
              <w:rPr>
                <w:i/>
                <w:sz w:val="20"/>
                <w:szCs w:val="20"/>
              </w:rPr>
            </w:pPr>
            <w:r w:rsidRPr="005C28E7">
              <w:rPr>
                <w:i/>
                <w:sz w:val="20"/>
                <w:szCs w:val="20"/>
              </w:rPr>
              <w:t>HML</w:t>
            </w:r>
          </w:p>
        </w:tc>
        <w:tc>
          <w:tcPr>
            <w:tcW w:w="1170" w:type="dxa"/>
            <w:tcBorders>
              <w:bottom w:val="single" w:sz="4" w:space="0" w:color="auto"/>
            </w:tcBorders>
          </w:tcPr>
          <w:p w14:paraId="2F414EF8" w14:textId="4DCEA3A9" w:rsidR="00BE6258" w:rsidRPr="005C28E7" w:rsidRDefault="00BE6258" w:rsidP="00457E01">
            <w:pPr>
              <w:spacing w:before="60" w:after="120" w:line="240" w:lineRule="exact"/>
              <w:ind w:left="-101" w:right="-101"/>
              <w:jc w:val="right"/>
              <w:rPr>
                <w:sz w:val="20"/>
                <w:szCs w:val="20"/>
              </w:rPr>
            </w:pPr>
            <w:r w:rsidRPr="005C28E7">
              <w:rPr>
                <w:sz w:val="20"/>
                <w:szCs w:val="20"/>
              </w:rPr>
              <w:t>0.7379</w:t>
            </w:r>
          </w:p>
        </w:tc>
        <w:tc>
          <w:tcPr>
            <w:tcW w:w="870" w:type="dxa"/>
            <w:tcBorders>
              <w:bottom w:val="single" w:sz="4" w:space="0" w:color="auto"/>
            </w:tcBorders>
          </w:tcPr>
          <w:p w14:paraId="57D982C5" w14:textId="0B6961EA" w:rsidR="00BE6258" w:rsidRPr="005C28E7" w:rsidRDefault="00BE6258" w:rsidP="00457E01">
            <w:pPr>
              <w:spacing w:before="60" w:after="120" w:line="240" w:lineRule="exact"/>
              <w:ind w:left="-101" w:right="-101"/>
              <w:rPr>
                <w:sz w:val="18"/>
                <w:szCs w:val="20"/>
              </w:rPr>
            </w:pPr>
            <w:r w:rsidRPr="005C28E7">
              <w:rPr>
                <w:sz w:val="18"/>
                <w:szCs w:val="20"/>
              </w:rPr>
              <w:t>***</w:t>
            </w:r>
          </w:p>
        </w:tc>
        <w:tc>
          <w:tcPr>
            <w:tcW w:w="1200" w:type="dxa"/>
            <w:tcBorders>
              <w:bottom w:val="single" w:sz="4" w:space="0" w:color="auto"/>
            </w:tcBorders>
          </w:tcPr>
          <w:p w14:paraId="4E7A944F" w14:textId="337AF7FC" w:rsidR="00BE6258" w:rsidRPr="005C28E7" w:rsidRDefault="00BE6258" w:rsidP="00457E01">
            <w:pPr>
              <w:spacing w:before="60" w:after="120" w:line="240" w:lineRule="exact"/>
              <w:ind w:left="-101" w:right="-101"/>
              <w:jc w:val="right"/>
              <w:rPr>
                <w:sz w:val="20"/>
                <w:szCs w:val="20"/>
              </w:rPr>
            </w:pPr>
            <w:r w:rsidRPr="005C28E7">
              <w:rPr>
                <w:sz w:val="20"/>
                <w:szCs w:val="20"/>
              </w:rPr>
              <w:t>0.8029</w:t>
            </w:r>
          </w:p>
        </w:tc>
        <w:tc>
          <w:tcPr>
            <w:tcW w:w="840" w:type="dxa"/>
            <w:tcBorders>
              <w:bottom w:val="single" w:sz="4" w:space="0" w:color="auto"/>
            </w:tcBorders>
          </w:tcPr>
          <w:p w14:paraId="4F98853F" w14:textId="0F884489" w:rsidR="00BE6258" w:rsidRPr="005C28E7" w:rsidRDefault="00BE6258" w:rsidP="00457E01">
            <w:pPr>
              <w:spacing w:before="60" w:after="120" w:line="240" w:lineRule="exact"/>
              <w:ind w:left="-101" w:right="-101"/>
              <w:rPr>
                <w:sz w:val="18"/>
                <w:szCs w:val="20"/>
              </w:rPr>
            </w:pPr>
            <w:r w:rsidRPr="005C28E7">
              <w:rPr>
                <w:sz w:val="18"/>
                <w:szCs w:val="20"/>
              </w:rPr>
              <w:t>***</w:t>
            </w:r>
          </w:p>
        </w:tc>
        <w:tc>
          <w:tcPr>
            <w:tcW w:w="1230" w:type="dxa"/>
            <w:tcBorders>
              <w:bottom w:val="single" w:sz="4" w:space="0" w:color="auto"/>
            </w:tcBorders>
          </w:tcPr>
          <w:p w14:paraId="5E5E0DD1" w14:textId="389F6FCC" w:rsidR="00BE6258" w:rsidRPr="005C28E7" w:rsidRDefault="00BE6258" w:rsidP="00457E01">
            <w:pPr>
              <w:spacing w:before="60" w:after="120" w:line="240" w:lineRule="exact"/>
              <w:ind w:left="-101" w:right="-101"/>
              <w:jc w:val="right"/>
              <w:rPr>
                <w:sz w:val="20"/>
                <w:szCs w:val="20"/>
              </w:rPr>
            </w:pPr>
            <w:r w:rsidRPr="005C28E7">
              <w:rPr>
                <w:sz w:val="20"/>
                <w:szCs w:val="20"/>
              </w:rPr>
              <w:t>0.7695</w:t>
            </w:r>
          </w:p>
        </w:tc>
        <w:tc>
          <w:tcPr>
            <w:tcW w:w="810" w:type="dxa"/>
            <w:tcBorders>
              <w:bottom w:val="single" w:sz="4" w:space="0" w:color="auto"/>
            </w:tcBorders>
          </w:tcPr>
          <w:p w14:paraId="5945026F" w14:textId="5790B38F" w:rsidR="00BE6258" w:rsidRPr="005C28E7" w:rsidRDefault="00BE6258" w:rsidP="00457E01">
            <w:pPr>
              <w:spacing w:before="60" w:after="120" w:line="240" w:lineRule="exact"/>
              <w:ind w:left="-101" w:right="-101"/>
              <w:rPr>
                <w:sz w:val="18"/>
                <w:szCs w:val="20"/>
              </w:rPr>
            </w:pPr>
            <w:r w:rsidRPr="005C28E7">
              <w:rPr>
                <w:sz w:val="18"/>
                <w:szCs w:val="20"/>
              </w:rPr>
              <w:t>***</w:t>
            </w:r>
          </w:p>
        </w:tc>
      </w:tr>
    </w:tbl>
    <w:p w14:paraId="5FFD2A19" w14:textId="77777777" w:rsidR="00D67F2B" w:rsidRPr="005C28E7" w:rsidRDefault="00D67F2B" w:rsidP="00D67F2B">
      <w:pPr>
        <w:spacing w:line="180" w:lineRule="exact"/>
        <w:rPr>
          <w:rStyle w:val="aff9"/>
          <w:rFonts w:cs="Times New Roman"/>
          <w:sz w:val="16"/>
          <w:szCs w:val="16"/>
        </w:rPr>
      </w:pPr>
    </w:p>
    <w:p w14:paraId="331FCC2E" w14:textId="71167C3A" w:rsidR="002A48D8" w:rsidRPr="005C28E7" w:rsidRDefault="00D67F2B" w:rsidP="00D67F2B">
      <w:pPr>
        <w:spacing w:line="240" w:lineRule="exact"/>
        <w:ind w:left="576" w:hanging="576"/>
      </w:pPr>
      <w:r w:rsidRPr="005C28E7">
        <w:rPr>
          <w:rStyle w:val="aff9"/>
          <w:rFonts w:cs="Times New Roman"/>
          <w:i/>
          <w:sz w:val="18"/>
          <w:szCs w:val="16"/>
        </w:rPr>
        <w:t xml:space="preserve">Note: </w:t>
      </w:r>
      <w:r w:rsidRPr="005C28E7">
        <w:rPr>
          <w:rStyle w:val="aff9"/>
          <w:rFonts w:cs="Times New Roman"/>
          <w:sz w:val="18"/>
          <w:szCs w:val="16"/>
        </w:rPr>
        <w:t xml:space="preserve"> * indicates significance at the 10% level; and *** indicates significance at the 1% level.</w:t>
      </w:r>
    </w:p>
    <w:p w14:paraId="6B84047F" w14:textId="2792E201" w:rsidR="00EA404B" w:rsidRPr="005C28E7" w:rsidRDefault="00EA404B" w:rsidP="007C691D">
      <w:pPr>
        <w:spacing w:line="240" w:lineRule="exact"/>
      </w:pPr>
    </w:p>
    <w:p w14:paraId="5A6B62D8" w14:textId="64BBCC89" w:rsidR="00457E01" w:rsidRPr="005C28E7" w:rsidRDefault="00457E01">
      <w:pPr>
        <w:widowControl/>
      </w:pPr>
      <w:r w:rsidRPr="005C28E7">
        <w:br w:type="page"/>
      </w:r>
    </w:p>
    <w:p w14:paraId="31C6D6AA" w14:textId="38F71D48" w:rsidR="00EA404B" w:rsidRPr="005C28E7" w:rsidRDefault="00EA404B" w:rsidP="00723FA0">
      <w:pPr>
        <w:spacing w:line="260" w:lineRule="exact"/>
        <w:rPr>
          <w:i/>
          <w:sz w:val="22"/>
        </w:rPr>
      </w:pPr>
      <w:r w:rsidRPr="005C28E7">
        <w:rPr>
          <w:i/>
          <w:kern w:val="0"/>
          <w:sz w:val="22"/>
        </w:rPr>
        <w:lastRenderedPageBreak/>
        <w:t xml:space="preserve">Table </w:t>
      </w:r>
      <w:proofErr w:type="gramStart"/>
      <w:r w:rsidR="00C56BE4" w:rsidRPr="005C28E7">
        <w:rPr>
          <w:i/>
          <w:kern w:val="0"/>
          <w:sz w:val="22"/>
        </w:rPr>
        <w:t>5</w:t>
      </w:r>
      <w:r w:rsidRPr="005C28E7">
        <w:rPr>
          <w:i/>
          <w:kern w:val="0"/>
          <w:sz w:val="22"/>
        </w:rPr>
        <w:t xml:space="preserve">  Effects</w:t>
      </w:r>
      <w:proofErr w:type="gramEnd"/>
      <w:r w:rsidRPr="005C28E7">
        <w:rPr>
          <w:i/>
          <w:kern w:val="0"/>
          <w:sz w:val="22"/>
        </w:rPr>
        <w:t xml:space="preserve"> of </w:t>
      </w:r>
      <w:r w:rsidR="00723FA0" w:rsidRPr="005C28E7">
        <w:rPr>
          <w:i/>
          <w:kern w:val="0"/>
          <w:sz w:val="22"/>
        </w:rPr>
        <w:t>a</w:t>
      </w:r>
      <w:r w:rsidRPr="005C28E7">
        <w:rPr>
          <w:i/>
          <w:kern w:val="0"/>
          <w:sz w:val="22"/>
        </w:rPr>
        <w:t xml:space="preserve">ccounting </w:t>
      </w:r>
      <w:r w:rsidR="00723FA0" w:rsidRPr="005C28E7">
        <w:rPr>
          <w:i/>
          <w:kern w:val="0"/>
          <w:sz w:val="22"/>
        </w:rPr>
        <w:t>q</w:t>
      </w:r>
      <w:r w:rsidRPr="005C28E7">
        <w:rPr>
          <w:i/>
          <w:kern w:val="0"/>
          <w:sz w:val="22"/>
        </w:rPr>
        <w:t xml:space="preserve">uality on the </w:t>
      </w:r>
      <w:r w:rsidR="00723FA0" w:rsidRPr="005C28E7">
        <w:rPr>
          <w:i/>
          <w:kern w:val="0"/>
          <w:sz w:val="22"/>
        </w:rPr>
        <w:t>c</w:t>
      </w:r>
      <w:r w:rsidRPr="005C28E7">
        <w:rPr>
          <w:i/>
          <w:kern w:val="0"/>
          <w:sz w:val="22"/>
        </w:rPr>
        <w:t xml:space="preserve">ost of </w:t>
      </w:r>
      <w:r w:rsidR="00723FA0" w:rsidRPr="005C28E7">
        <w:rPr>
          <w:i/>
          <w:kern w:val="0"/>
          <w:sz w:val="22"/>
        </w:rPr>
        <w:t>c</w:t>
      </w:r>
      <w:r w:rsidRPr="005C28E7">
        <w:rPr>
          <w:i/>
          <w:kern w:val="0"/>
          <w:sz w:val="22"/>
        </w:rPr>
        <w:t xml:space="preserve">apital through </w:t>
      </w:r>
      <w:r w:rsidR="00723FA0" w:rsidRPr="005C28E7">
        <w:rPr>
          <w:i/>
          <w:kern w:val="0"/>
          <w:sz w:val="22"/>
        </w:rPr>
        <w:t>r</w:t>
      </w:r>
      <w:r w:rsidRPr="005C28E7">
        <w:rPr>
          <w:i/>
          <w:kern w:val="0"/>
          <w:sz w:val="22"/>
        </w:rPr>
        <w:t>isk</w:t>
      </w:r>
    </w:p>
    <w:p w14:paraId="76E21E5E" w14:textId="77777777" w:rsidR="00723FA0" w:rsidRPr="005C28E7" w:rsidRDefault="00723FA0" w:rsidP="000A6837">
      <w:pPr>
        <w:spacing w:line="200" w:lineRule="exact"/>
        <w:rPr>
          <w:kern w:val="0"/>
          <w:sz w:val="20"/>
          <w:szCs w:val="20"/>
        </w:rPr>
      </w:pPr>
    </w:p>
    <w:p w14:paraId="32C8D467" w14:textId="09C8592A" w:rsidR="00EA404B" w:rsidRPr="005C28E7" w:rsidRDefault="00EA404B" w:rsidP="00AA5CF8">
      <w:pPr>
        <w:spacing w:line="240" w:lineRule="exact"/>
        <w:jc w:val="both"/>
        <w:rPr>
          <w:kern w:val="0"/>
          <w:sz w:val="20"/>
          <w:szCs w:val="20"/>
        </w:rPr>
      </w:pPr>
      <w:r w:rsidRPr="005C28E7">
        <w:rPr>
          <w:kern w:val="0"/>
          <w:sz w:val="20"/>
          <w:szCs w:val="20"/>
        </w:rPr>
        <w:t xml:space="preserve">This table </w:t>
      </w:r>
      <w:r w:rsidR="00CA40AC" w:rsidRPr="005C28E7">
        <w:rPr>
          <w:kern w:val="0"/>
          <w:sz w:val="20"/>
          <w:szCs w:val="20"/>
        </w:rPr>
        <w:t>describes</w:t>
      </w:r>
      <w:r w:rsidRPr="005C28E7">
        <w:rPr>
          <w:kern w:val="0"/>
          <w:sz w:val="20"/>
          <w:szCs w:val="20"/>
        </w:rPr>
        <w:t xml:space="preserve"> the impact of accounting quality on the cost of capital through risk, </w:t>
      </w:r>
      <w:r w:rsidR="00CA40AC" w:rsidRPr="005C28E7">
        <w:rPr>
          <w:kern w:val="0"/>
          <w:sz w:val="20"/>
          <w:szCs w:val="20"/>
        </w:rPr>
        <w:t xml:space="preserve">where total risk </w:t>
      </w:r>
      <w:r w:rsidRPr="005C28E7">
        <w:rPr>
          <w:kern w:val="0"/>
          <w:sz w:val="20"/>
          <w:szCs w:val="20"/>
        </w:rPr>
        <w:t>includ</w:t>
      </w:r>
      <w:r w:rsidR="00CA40AC" w:rsidRPr="005C28E7">
        <w:rPr>
          <w:kern w:val="0"/>
          <w:sz w:val="20"/>
          <w:szCs w:val="20"/>
        </w:rPr>
        <w:t>es</w:t>
      </w:r>
      <w:r w:rsidRPr="005C28E7">
        <w:rPr>
          <w:kern w:val="0"/>
          <w:sz w:val="20"/>
          <w:szCs w:val="20"/>
        </w:rPr>
        <w:t xml:space="preserve"> upside risk, downside risk, asymmetric risk and market risk. The cost of capital is defined as the product of the risk per unit of accounting quality</w:t>
      </w:r>
      <w:r w:rsidR="00CA40AC" w:rsidRPr="005C28E7">
        <w:rPr>
          <w:kern w:val="0"/>
          <w:sz w:val="20"/>
          <w:szCs w:val="20"/>
        </w:rPr>
        <w:t xml:space="preserve">, </w:t>
      </w:r>
      <w:r w:rsidR="00CA40AC" w:rsidRPr="005C28E7">
        <w:rPr>
          <w:i/>
          <w:sz w:val="22"/>
          <w:szCs w:val="20"/>
        </w:rPr>
        <w:t>δ</w:t>
      </w:r>
      <w:r w:rsidR="00CA40AC" w:rsidRPr="005C28E7">
        <w:rPr>
          <w:sz w:val="18"/>
          <w:szCs w:val="20"/>
          <w:vertAlign w:val="subscript"/>
        </w:rPr>
        <w:t>1</w:t>
      </w:r>
      <w:r w:rsidRPr="005C28E7">
        <w:rPr>
          <w:kern w:val="0"/>
          <w:sz w:val="20"/>
          <w:szCs w:val="20"/>
        </w:rPr>
        <w:t xml:space="preserve"> in Eq</w:t>
      </w:r>
      <w:r w:rsidR="00CA40AC" w:rsidRPr="005C28E7">
        <w:rPr>
          <w:kern w:val="0"/>
          <w:sz w:val="20"/>
          <w:szCs w:val="20"/>
        </w:rPr>
        <w:t>uation</w:t>
      </w:r>
      <w:r w:rsidRPr="005C28E7">
        <w:rPr>
          <w:kern w:val="0"/>
          <w:sz w:val="20"/>
          <w:szCs w:val="20"/>
        </w:rPr>
        <w:t xml:space="preserve"> (</w:t>
      </w:r>
      <w:r w:rsidR="005B4E09" w:rsidRPr="005C28E7">
        <w:rPr>
          <w:kern w:val="0"/>
          <w:sz w:val="20"/>
          <w:szCs w:val="20"/>
        </w:rPr>
        <w:t>4</w:t>
      </w:r>
      <w:r w:rsidRPr="005C28E7">
        <w:rPr>
          <w:kern w:val="0"/>
          <w:sz w:val="20"/>
          <w:szCs w:val="20"/>
        </w:rPr>
        <w:t>)</w:t>
      </w:r>
      <w:r w:rsidR="00CA40AC" w:rsidRPr="005C28E7">
        <w:rPr>
          <w:kern w:val="0"/>
          <w:sz w:val="20"/>
          <w:szCs w:val="20"/>
        </w:rPr>
        <w:t>,</w:t>
      </w:r>
      <w:r w:rsidRPr="005C28E7">
        <w:rPr>
          <w:kern w:val="0"/>
          <w:sz w:val="20"/>
          <w:szCs w:val="20"/>
        </w:rPr>
        <w:t xml:space="preserve"> multiplied by the cost of capital per unit of risk</w:t>
      </w:r>
      <w:r w:rsidR="00CA40AC" w:rsidRPr="005C28E7">
        <w:rPr>
          <w:kern w:val="0"/>
          <w:sz w:val="20"/>
          <w:szCs w:val="20"/>
        </w:rPr>
        <w:t xml:space="preserve">, </w:t>
      </w:r>
      <w:r w:rsidR="00CA40AC" w:rsidRPr="005C28E7">
        <w:rPr>
          <w:i/>
          <w:sz w:val="22"/>
          <w:szCs w:val="20"/>
        </w:rPr>
        <w:t>μ</w:t>
      </w:r>
      <w:r w:rsidR="00CA40AC" w:rsidRPr="005C28E7">
        <w:rPr>
          <w:sz w:val="18"/>
          <w:szCs w:val="20"/>
          <w:vertAlign w:val="subscript"/>
        </w:rPr>
        <w:t>1</w:t>
      </w:r>
      <w:r w:rsidRPr="005C28E7">
        <w:rPr>
          <w:kern w:val="0"/>
          <w:sz w:val="20"/>
          <w:szCs w:val="20"/>
        </w:rPr>
        <w:t xml:space="preserve"> in Eq</w:t>
      </w:r>
      <w:r w:rsidR="00CA40AC" w:rsidRPr="005C28E7">
        <w:rPr>
          <w:kern w:val="0"/>
          <w:sz w:val="20"/>
          <w:szCs w:val="20"/>
        </w:rPr>
        <w:t>uation</w:t>
      </w:r>
      <w:r w:rsidRPr="005C28E7">
        <w:rPr>
          <w:kern w:val="0"/>
          <w:sz w:val="20"/>
          <w:szCs w:val="20"/>
        </w:rPr>
        <w:t xml:space="preserve"> (</w:t>
      </w:r>
      <w:r w:rsidR="005B4E09" w:rsidRPr="005C28E7">
        <w:rPr>
          <w:kern w:val="0"/>
          <w:sz w:val="20"/>
          <w:szCs w:val="20"/>
        </w:rPr>
        <w:t>5</w:t>
      </w:r>
      <w:r w:rsidRPr="005C28E7">
        <w:rPr>
          <w:kern w:val="0"/>
          <w:sz w:val="20"/>
          <w:szCs w:val="20"/>
        </w:rPr>
        <w:t>).</w:t>
      </w:r>
    </w:p>
    <w:p w14:paraId="42909A3B" w14:textId="77777777" w:rsidR="00AA5CF8" w:rsidRPr="005C28E7" w:rsidRDefault="00AA5CF8" w:rsidP="00CA40AC">
      <w:pPr>
        <w:spacing w:line="180" w:lineRule="exact"/>
        <w:rPr>
          <w:kern w:val="0"/>
          <w:sz w:val="20"/>
          <w:szCs w:val="20"/>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920"/>
        <w:gridCol w:w="1920"/>
        <w:gridCol w:w="1920"/>
      </w:tblGrid>
      <w:tr w:rsidR="005C28E7" w:rsidRPr="005C28E7" w14:paraId="7B4D3765" w14:textId="77777777" w:rsidTr="00CA40AC">
        <w:tc>
          <w:tcPr>
            <w:tcW w:w="2430" w:type="dxa"/>
            <w:tcBorders>
              <w:top w:val="single" w:sz="4" w:space="0" w:color="auto"/>
              <w:bottom w:val="single" w:sz="4" w:space="0" w:color="auto"/>
            </w:tcBorders>
            <w:vAlign w:val="center"/>
          </w:tcPr>
          <w:p w14:paraId="70590EAB" w14:textId="30EF0630" w:rsidR="00AA5CF8" w:rsidRPr="005C28E7" w:rsidRDefault="00BE6258" w:rsidP="00CA40AC">
            <w:pPr>
              <w:spacing w:before="80" w:after="80" w:line="240" w:lineRule="exact"/>
              <w:jc w:val="center"/>
              <w:rPr>
                <w:kern w:val="0"/>
                <w:sz w:val="20"/>
                <w:szCs w:val="20"/>
              </w:rPr>
            </w:pPr>
            <w:r w:rsidRPr="005C28E7">
              <w:rPr>
                <w:kern w:val="0"/>
                <w:sz w:val="20"/>
                <w:szCs w:val="20"/>
              </w:rPr>
              <w:t>Variables</w:t>
            </w:r>
          </w:p>
        </w:tc>
        <w:tc>
          <w:tcPr>
            <w:tcW w:w="1920" w:type="dxa"/>
            <w:tcBorders>
              <w:top w:val="single" w:sz="4" w:space="0" w:color="auto"/>
              <w:bottom w:val="single" w:sz="4" w:space="0" w:color="auto"/>
            </w:tcBorders>
            <w:vAlign w:val="center"/>
          </w:tcPr>
          <w:p w14:paraId="2394BCC5" w14:textId="49A7DAC1" w:rsidR="00AA5CF8" w:rsidRPr="005C28E7" w:rsidRDefault="00AA5CF8" w:rsidP="00CA40AC">
            <w:pPr>
              <w:spacing w:before="80" w:after="80" w:line="240" w:lineRule="exact"/>
              <w:ind w:left="-58" w:right="-58"/>
              <w:jc w:val="center"/>
              <w:rPr>
                <w:kern w:val="0"/>
                <w:sz w:val="20"/>
                <w:szCs w:val="20"/>
              </w:rPr>
            </w:pPr>
            <w:r w:rsidRPr="005C28E7">
              <w:rPr>
                <w:i/>
                <w:sz w:val="20"/>
                <w:szCs w:val="20"/>
              </w:rPr>
              <w:t>Risk Per Unit of Accounting Quality</w:t>
            </w:r>
            <w:r w:rsidRPr="005C28E7">
              <w:rPr>
                <w:sz w:val="20"/>
                <w:szCs w:val="20"/>
              </w:rPr>
              <w:t xml:space="preserve"> (</w:t>
            </w:r>
            <w:r w:rsidRPr="005C28E7">
              <w:rPr>
                <w:i/>
                <w:sz w:val="22"/>
                <w:szCs w:val="20"/>
              </w:rPr>
              <w:t>δ</w:t>
            </w:r>
            <w:r w:rsidRPr="005C28E7">
              <w:rPr>
                <w:sz w:val="18"/>
                <w:szCs w:val="20"/>
                <w:vertAlign w:val="subscript"/>
              </w:rPr>
              <w:t>1</w:t>
            </w:r>
            <w:r w:rsidRPr="005C28E7">
              <w:rPr>
                <w:sz w:val="20"/>
                <w:szCs w:val="20"/>
              </w:rPr>
              <w:t>)</w:t>
            </w:r>
          </w:p>
        </w:tc>
        <w:tc>
          <w:tcPr>
            <w:tcW w:w="1920" w:type="dxa"/>
            <w:tcBorders>
              <w:top w:val="single" w:sz="4" w:space="0" w:color="auto"/>
              <w:bottom w:val="single" w:sz="4" w:space="0" w:color="auto"/>
            </w:tcBorders>
            <w:vAlign w:val="center"/>
          </w:tcPr>
          <w:p w14:paraId="1C1A94C8" w14:textId="6CE2FF0B" w:rsidR="00AA5CF8" w:rsidRPr="005C28E7" w:rsidRDefault="00AA5CF8" w:rsidP="00CA40AC">
            <w:pPr>
              <w:spacing w:before="80" w:after="80" w:line="240" w:lineRule="exact"/>
              <w:ind w:left="-58" w:right="-58"/>
              <w:jc w:val="center"/>
              <w:rPr>
                <w:kern w:val="0"/>
                <w:sz w:val="20"/>
                <w:szCs w:val="20"/>
              </w:rPr>
            </w:pPr>
            <w:r w:rsidRPr="005C28E7">
              <w:rPr>
                <w:i/>
                <w:sz w:val="20"/>
                <w:szCs w:val="20"/>
              </w:rPr>
              <w:t>Cost of Capital Per Unit of Risk</w:t>
            </w:r>
            <w:r w:rsidRPr="005C28E7">
              <w:rPr>
                <w:sz w:val="20"/>
                <w:szCs w:val="20"/>
              </w:rPr>
              <w:t xml:space="preserve">      </w:t>
            </w:r>
            <w:proofErr w:type="gramStart"/>
            <w:r w:rsidRPr="005C28E7">
              <w:rPr>
                <w:sz w:val="20"/>
                <w:szCs w:val="20"/>
              </w:rPr>
              <w:t xml:space="preserve">   (</w:t>
            </w:r>
            <w:proofErr w:type="gramEnd"/>
            <w:r w:rsidRPr="005C28E7">
              <w:rPr>
                <w:i/>
                <w:sz w:val="22"/>
                <w:szCs w:val="20"/>
              </w:rPr>
              <w:t>μ</w:t>
            </w:r>
            <w:r w:rsidRPr="005C28E7">
              <w:rPr>
                <w:sz w:val="18"/>
                <w:szCs w:val="20"/>
                <w:vertAlign w:val="subscript"/>
              </w:rPr>
              <w:t>1</w:t>
            </w:r>
            <w:r w:rsidRPr="005C28E7">
              <w:rPr>
                <w:sz w:val="20"/>
                <w:szCs w:val="20"/>
              </w:rPr>
              <w:t>)</w:t>
            </w:r>
          </w:p>
        </w:tc>
        <w:tc>
          <w:tcPr>
            <w:tcW w:w="1920" w:type="dxa"/>
            <w:tcBorders>
              <w:top w:val="single" w:sz="4" w:space="0" w:color="auto"/>
              <w:bottom w:val="single" w:sz="4" w:space="0" w:color="auto"/>
            </w:tcBorders>
            <w:vAlign w:val="center"/>
          </w:tcPr>
          <w:p w14:paraId="42CA6D82" w14:textId="5B5F2994" w:rsidR="00AA5CF8" w:rsidRPr="005C28E7" w:rsidRDefault="00AA5CF8" w:rsidP="00CA40AC">
            <w:pPr>
              <w:spacing w:before="80" w:after="80" w:line="240" w:lineRule="exact"/>
              <w:ind w:left="-58" w:right="-58"/>
              <w:jc w:val="center"/>
              <w:rPr>
                <w:kern w:val="0"/>
                <w:sz w:val="20"/>
                <w:szCs w:val="20"/>
              </w:rPr>
            </w:pPr>
            <w:r w:rsidRPr="005C28E7">
              <w:rPr>
                <w:i/>
                <w:sz w:val="20"/>
                <w:szCs w:val="20"/>
              </w:rPr>
              <w:t>Cost of Capital</w:t>
            </w:r>
            <w:r w:rsidRPr="005C28E7">
              <w:rPr>
                <w:sz w:val="20"/>
                <w:szCs w:val="20"/>
              </w:rPr>
              <w:t xml:space="preserve">          </w:t>
            </w:r>
            <w:proofErr w:type="gramStart"/>
            <w:r w:rsidRPr="005C28E7">
              <w:rPr>
                <w:sz w:val="20"/>
                <w:szCs w:val="20"/>
              </w:rPr>
              <w:t xml:space="preserve">   (</w:t>
            </w:r>
            <w:proofErr w:type="gramEnd"/>
            <w:r w:rsidRPr="005C28E7">
              <w:rPr>
                <w:i/>
                <w:sz w:val="22"/>
                <w:szCs w:val="20"/>
              </w:rPr>
              <w:t>δ</w:t>
            </w:r>
            <w:r w:rsidRPr="005C28E7">
              <w:rPr>
                <w:sz w:val="18"/>
                <w:szCs w:val="20"/>
                <w:vertAlign w:val="subscript"/>
              </w:rPr>
              <w:t>1</w:t>
            </w:r>
            <w:r w:rsidRPr="005C28E7">
              <w:rPr>
                <w:sz w:val="14"/>
                <w:szCs w:val="20"/>
              </w:rPr>
              <w:t xml:space="preserve"> x</w:t>
            </w:r>
            <w:r w:rsidRPr="005C28E7">
              <w:rPr>
                <w:i/>
                <w:sz w:val="22"/>
                <w:szCs w:val="20"/>
              </w:rPr>
              <w:t xml:space="preserve"> μ</w:t>
            </w:r>
            <w:r w:rsidRPr="005C28E7">
              <w:rPr>
                <w:sz w:val="18"/>
                <w:szCs w:val="20"/>
                <w:vertAlign w:val="subscript"/>
              </w:rPr>
              <w:t>1</w:t>
            </w:r>
            <w:r w:rsidRPr="005C28E7">
              <w:rPr>
                <w:sz w:val="20"/>
                <w:szCs w:val="20"/>
              </w:rPr>
              <w:t>)</w:t>
            </w:r>
          </w:p>
        </w:tc>
      </w:tr>
      <w:tr w:rsidR="005C28E7" w:rsidRPr="005C28E7" w14:paraId="222B6AFA" w14:textId="77777777" w:rsidTr="00CA40AC">
        <w:tc>
          <w:tcPr>
            <w:tcW w:w="2430" w:type="dxa"/>
            <w:tcBorders>
              <w:top w:val="single" w:sz="4" w:space="0" w:color="auto"/>
            </w:tcBorders>
          </w:tcPr>
          <w:p w14:paraId="2031614B" w14:textId="16ACAF00" w:rsidR="00AA5CF8" w:rsidRPr="005C28E7" w:rsidRDefault="00AA5CF8" w:rsidP="00CA40AC">
            <w:pPr>
              <w:spacing w:before="100" w:after="60" w:line="240" w:lineRule="exact"/>
              <w:ind w:left="216"/>
              <w:rPr>
                <w:i/>
                <w:kern w:val="0"/>
                <w:sz w:val="20"/>
                <w:szCs w:val="20"/>
              </w:rPr>
            </w:pPr>
            <w:r w:rsidRPr="005C28E7">
              <w:rPr>
                <w:i/>
                <w:kern w:val="0"/>
                <w:sz w:val="20"/>
                <w:szCs w:val="20"/>
              </w:rPr>
              <w:t>Downside Risk</w:t>
            </w:r>
          </w:p>
        </w:tc>
        <w:tc>
          <w:tcPr>
            <w:tcW w:w="1920" w:type="dxa"/>
            <w:tcBorders>
              <w:top w:val="single" w:sz="4" w:space="0" w:color="auto"/>
            </w:tcBorders>
            <w:vAlign w:val="center"/>
          </w:tcPr>
          <w:p w14:paraId="216E2ABA" w14:textId="54FBD041" w:rsidR="00AA5CF8" w:rsidRPr="005C28E7" w:rsidRDefault="00AA5CF8" w:rsidP="00CA40AC">
            <w:pPr>
              <w:spacing w:before="100" w:after="60" w:line="240" w:lineRule="exact"/>
              <w:ind w:left="-576" w:right="576"/>
              <w:jc w:val="right"/>
              <w:rPr>
                <w:kern w:val="0"/>
                <w:sz w:val="20"/>
                <w:szCs w:val="20"/>
              </w:rPr>
            </w:pPr>
            <w:r w:rsidRPr="005C28E7">
              <w:rPr>
                <w:sz w:val="20"/>
                <w:szCs w:val="20"/>
              </w:rPr>
              <w:t>0.2803</w:t>
            </w:r>
          </w:p>
        </w:tc>
        <w:tc>
          <w:tcPr>
            <w:tcW w:w="1920" w:type="dxa"/>
            <w:tcBorders>
              <w:top w:val="single" w:sz="4" w:space="0" w:color="auto"/>
            </w:tcBorders>
            <w:vAlign w:val="center"/>
          </w:tcPr>
          <w:p w14:paraId="1A69E90E" w14:textId="7ECCF830" w:rsidR="00AA5CF8" w:rsidRPr="005C28E7" w:rsidRDefault="00AA5CF8" w:rsidP="00CA40AC">
            <w:pPr>
              <w:spacing w:before="100" w:after="60" w:line="240" w:lineRule="exact"/>
              <w:ind w:left="-576" w:right="576"/>
              <w:jc w:val="right"/>
              <w:rPr>
                <w:kern w:val="0"/>
                <w:sz w:val="20"/>
                <w:szCs w:val="20"/>
              </w:rPr>
            </w:pPr>
            <w:r w:rsidRPr="005C28E7">
              <w:rPr>
                <w:sz w:val="20"/>
                <w:szCs w:val="20"/>
              </w:rPr>
              <w:t>0.3103</w:t>
            </w:r>
          </w:p>
        </w:tc>
        <w:tc>
          <w:tcPr>
            <w:tcW w:w="1920" w:type="dxa"/>
            <w:tcBorders>
              <w:top w:val="single" w:sz="4" w:space="0" w:color="auto"/>
            </w:tcBorders>
            <w:vAlign w:val="center"/>
          </w:tcPr>
          <w:p w14:paraId="6C1E7C80" w14:textId="28B3F77B" w:rsidR="00AA5CF8" w:rsidRPr="005C28E7" w:rsidRDefault="00AA5CF8" w:rsidP="00CA40AC">
            <w:pPr>
              <w:spacing w:before="100" w:after="60" w:line="240" w:lineRule="exact"/>
              <w:ind w:left="-576" w:right="576"/>
              <w:jc w:val="right"/>
              <w:rPr>
                <w:kern w:val="0"/>
                <w:sz w:val="20"/>
                <w:szCs w:val="20"/>
              </w:rPr>
            </w:pPr>
            <w:r w:rsidRPr="005C28E7">
              <w:rPr>
                <w:sz w:val="20"/>
                <w:szCs w:val="20"/>
              </w:rPr>
              <w:t>0.0869</w:t>
            </w:r>
          </w:p>
        </w:tc>
      </w:tr>
      <w:tr w:rsidR="005C28E7" w:rsidRPr="005C28E7" w14:paraId="30EB5391" w14:textId="77777777" w:rsidTr="00AA5CF8">
        <w:tc>
          <w:tcPr>
            <w:tcW w:w="2430" w:type="dxa"/>
          </w:tcPr>
          <w:p w14:paraId="118AD1DC" w14:textId="5AE221FF" w:rsidR="00AA5CF8" w:rsidRPr="005C28E7" w:rsidRDefault="00AA5CF8" w:rsidP="00034397">
            <w:pPr>
              <w:spacing w:before="60" w:after="60" w:line="240" w:lineRule="exact"/>
              <w:ind w:left="216"/>
              <w:rPr>
                <w:i/>
                <w:kern w:val="0"/>
                <w:sz w:val="20"/>
                <w:szCs w:val="20"/>
              </w:rPr>
            </w:pPr>
            <w:r w:rsidRPr="005C28E7">
              <w:rPr>
                <w:i/>
                <w:kern w:val="0"/>
                <w:sz w:val="20"/>
                <w:szCs w:val="20"/>
              </w:rPr>
              <w:t>Upside Risk</w:t>
            </w:r>
          </w:p>
        </w:tc>
        <w:tc>
          <w:tcPr>
            <w:tcW w:w="1920" w:type="dxa"/>
            <w:vAlign w:val="center"/>
          </w:tcPr>
          <w:p w14:paraId="15A1AB6F" w14:textId="686123F1" w:rsidR="00AA5CF8" w:rsidRPr="005C28E7" w:rsidRDefault="00AA5CF8" w:rsidP="00034397">
            <w:pPr>
              <w:spacing w:before="60" w:after="60" w:line="240" w:lineRule="exact"/>
              <w:ind w:left="-576" w:right="576"/>
              <w:jc w:val="right"/>
              <w:rPr>
                <w:kern w:val="0"/>
                <w:sz w:val="20"/>
                <w:szCs w:val="20"/>
              </w:rPr>
            </w:pPr>
            <w:r w:rsidRPr="005C28E7">
              <w:rPr>
                <w:sz w:val="20"/>
                <w:szCs w:val="20"/>
              </w:rPr>
              <w:t>0.1163</w:t>
            </w:r>
          </w:p>
        </w:tc>
        <w:tc>
          <w:tcPr>
            <w:tcW w:w="1920" w:type="dxa"/>
            <w:vAlign w:val="center"/>
          </w:tcPr>
          <w:p w14:paraId="763A71E0" w14:textId="39B2CDA4" w:rsidR="00AA5CF8" w:rsidRPr="005C28E7" w:rsidRDefault="00CA40AC" w:rsidP="00034397">
            <w:pPr>
              <w:spacing w:before="60" w:after="60" w:line="240" w:lineRule="exact"/>
              <w:ind w:left="-576" w:right="576"/>
              <w:jc w:val="right"/>
              <w:rPr>
                <w:sz w:val="20"/>
                <w:szCs w:val="20"/>
              </w:rPr>
            </w:pPr>
            <w:r w:rsidRPr="005C28E7">
              <w:rPr>
                <w:position w:val="2"/>
                <w:sz w:val="12"/>
                <w:szCs w:val="20"/>
              </w:rPr>
              <w:t>–</w:t>
            </w:r>
            <w:r w:rsidR="00AA5CF8" w:rsidRPr="005C28E7">
              <w:rPr>
                <w:sz w:val="20"/>
                <w:szCs w:val="20"/>
              </w:rPr>
              <w:t>0.2971</w:t>
            </w:r>
          </w:p>
        </w:tc>
        <w:tc>
          <w:tcPr>
            <w:tcW w:w="1920" w:type="dxa"/>
            <w:vAlign w:val="center"/>
          </w:tcPr>
          <w:p w14:paraId="3B2F9330" w14:textId="7F42C9BF" w:rsidR="00AA5CF8" w:rsidRPr="005C28E7" w:rsidRDefault="00CA40AC" w:rsidP="00034397">
            <w:pPr>
              <w:spacing w:before="60" w:after="60" w:line="240" w:lineRule="exact"/>
              <w:ind w:left="-576" w:right="576"/>
              <w:jc w:val="right"/>
              <w:rPr>
                <w:kern w:val="0"/>
                <w:sz w:val="20"/>
                <w:szCs w:val="20"/>
              </w:rPr>
            </w:pPr>
            <w:r w:rsidRPr="005C28E7">
              <w:rPr>
                <w:position w:val="2"/>
                <w:sz w:val="12"/>
                <w:szCs w:val="20"/>
              </w:rPr>
              <w:t>–</w:t>
            </w:r>
            <w:r w:rsidR="00AA5CF8" w:rsidRPr="005C28E7">
              <w:rPr>
                <w:sz w:val="20"/>
                <w:szCs w:val="20"/>
              </w:rPr>
              <w:t>0.0345</w:t>
            </w:r>
          </w:p>
        </w:tc>
      </w:tr>
      <w:tr w:rsidR="005C28E7" w:rsidRPr="005C28E7" w14:paraId="36259B28" w14:textId="77777777" w:rsidTr="00AA5CF8">
        <w:tc>
          <w:tcPr>
            <w:tcW w:w="2430" w:type="dxa"/>
            <w:vAlign w:val="center"/>
          </w:tcPr>
          <w:p w14:paraId="4EF1BF8F" w14:textId="361F81BA" w:rsidR="00AA5CF8" w:rsidRPr="005C28E7" w:rsidRDefault="00AA5CF8" w:rsidP="00034397">
            <w:pPr>
              <w:spacing w:before="60" w:after="60" w:line="240" w:lineRule="exact"/>
              <w:ind w:left="216"/>
              <w:rPr>
                <w:i/>
                <w:kern w:val="0"/>
                <w:sz w:val="20"/>
                <w:szCs w:val="20"/>
              </w:rPr>
            </w:pPr>
            <w:r w:rsidRPr="005C28E7">
              <w:rPr>
                <w:i/>
                <w:kern w:val="0"/>
                <w:sz w:val="20"/>
                <w:szCs w:val="20"/>
              </w:rPr>
              <w:t>Asymmetric Risk</w:t>
            </w:r>
          </w:p>
        </w:tc>
        <w:tc>
          <w:tcPr>
            <w:tcW w:w="1920" w:type="dxa"/>
            <w:vAlign w:val="center"/>
          </w:tcPr>
          <w:p w14:paraId="2B4EC1A5" w14:textId="18493514" w:rsidR="00AA5CF8" w:rsidRPr="005C28E7" w:rsidRDefault="00AA5CF8" w:rsidP="00034397">
            <w:pPr>
              <w:spacing w:before="60" w:after="60" w:line="240" w:lineRule="exact"/>
              <w:ind w:left="-576" w:right="576"/>
              <w:jc w:val="right"/>
              <w:rPr>
                <w:kern w:val="0"/>
                <w:sz w:val="20"/>
                <w:szCs w:val="20"/>
              </w:rPr>
            </w:pPr>
            <w:r w:rsidRPr="005C28E7">
              <w:rPr>
                <w:sz w:val="20"/>
                <w:szCs w:val="20"/>
              </w:rPr>
              <w:t>0.1663</w:t>
            </w:r>
          </w:p>
        </w:tc>
        <w:tc>
          <w:tcPr>
            <w:tcW w:w="1920" w:type="dxa"/>
            <w:vAlign w:val="center"/>
          </w:tcPr>
          <w:p w14:paraId="0767919D" w14:textId="6F61B9A0" w:rsidR="00AA5CF8" w:rsidRPr="005C28E7" w:rsidRDefault="00AA5CF8" w:rsidP="00034397">
            <w:pPr>
              <w:spacing w:before="60" w:after="60" w:line="240" w:lineRule="exact"/>
              <w:ind w:left="-576" w:right="576"/>
              <w:jc w:val="right"/>
              <w:rPr>
                <w:kern w:val="0"/>
                <w:sz w:val="20"/>
                <w:szCs w:val="20"/>
              </w:rPr>
            </w:pPr>
            <w:r w:rsidRPr="005C28E7">
              <w:rPr>
                <w:sz w:val="20"/>
                <w:szCs w:val="20"/>
              </w:rPr>
              <w:t>0.2765</w:t>
            </w:r>
          </w:p>
        </w:tc>
        <w:tc>
          <w:tcPr>
            <w:tcW w:w="1920" w:type="dxa"/>
            <w:vAlign w:val="center"/>
          </w:tcPr>
          <w:p w14:paraId="2B49F021" w14:textId="3206C045" w:rsidR="00AA5CF8" w:rsidRPr="005C28E7" w:rsidRDefault="00AA5CF8" w:rsidP="00034397">
            <w:pPr>
              <w:spacing w:before="60" w:after="60" w:line="240" w:lineRule="exact"/>
              <w:ind w:left="-576" w:right="576"/>
              <w:jc w:val="right"/>
              <w:rPr>
                <w:kern w:val="0"/>
                <w:sz w:val="20"/>
                <w:szCs w:val="20"/>
              </w:rPr>
            </w:pPr>
            <w:r w:rsidRPr="005C28E7">
              <w:rPr>
                <w:sz w:val="20"/>
                <w:szCs w:val="20"/>
              </w:rPr>
              <w:t>0.0459</w:t>
            </w:r>
          </w:p>
        </w:tc>
      </w:tr>
      <w:tr w:rsidR="00580476" w:rsidRPr="005C28E7" w14:paraId="4E222090" w14:textId="77777777" w:rsidTr="00CA40AC">
        <w:tc>
          <w:tcPr>
            <w:tcW w:w="2430" w:type="dxa"/>
            <w:tcBorders>
              <w:bottom w:val="single" w:sz="4" w:space="0" w:color="auto"/>
            </w:tcBorders>
            <w:vAlign w:val="center"/>
          </w:tcPr>
          <w:p w14:paraId="5BBE207A" w14:textId="42595C97" w:rsidR="00AA5CF8" w:rsidRPr="005C28E7" w:rsidRDefault="00AA5CF8" w:rsidP="00CA40AC">
            <w:pPr>
              <w:spacing w:before="60" w:after="120" w:line="240" w:lineRule="exact"/>
              <w:ind w:left="216"/>
              <w:rPr>
                <w:i/>
                <w:kern w:val="0"/>
                <w:sz w:val="20"/>
                <w:szCs w:val="20"/>
              </w:rPr>
            </w:pPr>
            <w:r w:rsidRPr="005C28E7">
              <w:rPr>
                <w:i/>
                <w:kern w:val="0"/>
                <w:sz w:val="20"/>
                <w:szCs w:val="20"/>
              </w:rPr>
              <w:t>Market Risk</w:t>
            </w:r>
          </w:p>
        </w:tc>
        <w:tc>
          <w:tcPr>
            <w:tcW w:w="1920" w:type="dxa"/>
            <w:tcBorders>
              <w:bottom w:val="single" w:sz="4" w:space="0" w:color="auto"/>
            </w:tcBorders>
            <w:vAlign w:val="center"/>
          </w:tcPr>
          <w:p w14:paraId="27F0C515" w14:textId="4624D6E8" w:rsidR="00AA5CF8" w:rsidRPr="005C28E7" w:rsidRDefault="00AA5CF8" w:rsidP="00CA40AC">
            <w:pPr>
              <w:spacing w:before="60" w:after="120" w:line="240" w:lineRule="exact"/>
              <w:ind w:left="-576" w:right="576"/>
              <w:jc w:val="right"/>
              <w:rPr>
                <w:kern w:val="0"/>
                <w:sz w:val="20"/>
                <w:szCs w:val="20"/>
              </w:rPr>
            </w:pPr>
            <w:r w:rsidRPr="005C28E7">
              <w:rPr>
                <w:sz w:val="20"/>
                <w:szCs w:val="20"/>
              </w:rPr>
              <w:t>0.2481</w:t>
            </w:r>
          </w:p>
        </w:tc>
        <w:tc>
          <w:tcPr>
            <w:tcW w:w="1920" w:type="dxa"/>
            <w:tcBorders>
              <w:bottom w:val="single" w:sz="4" w:space="0" w:color="auto"/>
            </w:tcBorders>
            <w:vAlign w:val="center"/>
          </w:tcPr>
          <w:p w14:paraId="5AC58B85" w14:textId="0A3C2EEC" w:rsidR="00AA5CF8" w:rsidRPr="005C28E7" w:rsidRDefault="00AA5CF8" w:rsidP="00CA40AC">
            <w:pPr>
              <w:spacing w:before="60" w:after="120" w:line="240" w:lineRule="exact"/>
              <w:ind w:left="-576" w:right="576"/>
              <w:jc w:val="right"/>
              <w:rPr>
                <w:kern w:val="0"/>
                <w:sz w:val="20"/>
                <w:szCs w:val="20"/>
              </w:rPr>
            </w:pPr>
            <w:r w:rsidRPr="005C28E7">
              <w:rPr>
                <w:sz w:val="20"/>
                <w:szCs w:val="20"/>
              </w:rPr>
              <w:t>0.0668</w:t>
            </w:r>
          </w:p>
        </w:tc>
        <w:tc>
          <w:tcPr>
            <w:tcW w:w="1920" w:type="dxa"/>
            <w:tcBorders>
              <w:bottom w:val="single" w:sz="4" w:space="0" w:color="auto"/>
            </w:tcBorders>
            <w:vAlign w:val="center"/>
          </w:tcPr>
          <w:p w14:paraId="678665CD" w14:textId="2792DBBD" w:rsidR="00AA5CF8" w:rsidRPr="005C28E7" w:rsidRDefault="00AA5CF8" w:rsidP="00CA40AC">
            <w:pPr>
              <w:spacing w:before="60" w:after="120" w:line="240" w:lineRule="exact"/>
              <w:ind w:left="-576" w:right="576"/>
              <w:jc w:val="right"/>
              <w:rPr>
                <w:kern w:val="0"/>
                <w:sz w:val="20"/>
                <w:szCs w:val="20"/>
              </w:rPr>
            </w:pPr>
            <w:r w:rsidRPr="005C28E7">
              <w:rPr>
                <w:sz w:val="20"/>
                <w:szCs w:val="20"/>
              </w:rPr>
              <w:t>0.0165</w:t>
            </w:r>
          </w:p>
        </w:tc>
      </w:tr>
    </w:tbl>
    <w:p w14:paraId="32195228" w14:textId="77777777" w:rsidR="00EA404B" w:rsidRPr="005C28E7" w:rsidRDefault="00EA404B" w:rsidP="00EA404B">
      <w:pPr>
        <w:autoSpaceDE w:val="0"/>
        <w:autoSpaceDN w:val="0"/>
        <w:adjustRightInd w:val="0"/>
        <w:rPr>
          <w:kern w:val="0"/>
        </w:rPr>
      </w:pPr>
    </w:p>
    <w:sectPr w:rsidR="00EA404B" w:rsidRPr="005C28E7" w:rsidSect="004C6B26">
      <w:pgSz w:w="11909" w:h="16834" w:code="9"/>
      <w:pgMar w:top="1584" w:right="1728" w:bottom="1440" w:left="1800" w:header="850" w:footer="878"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807E" w14:textId="77777777" w:rsidR="005E4AC9" w:rsidRDefault="005E4AC9">
      <w:r>
        <w:separator/>
      </w:r>
    </w:p>
  </w:endnote>
  <w:endnote w:type="continuationSeparator" w:id="0">
    <w:p w14:paraId="769EA996" w14:textId="77777777" w:rsidR="005E4AC9" w:rsidRDefault="005E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華康中楷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NNGMLO+TimesNewRoman">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dvP4DF60E">
    <w:altName w:val="Malgun Gothic Semilight"/>
    <w:panose1 w:val="00000000000000000000"/>
    <w:charset w:val="88"/>
    <w:family w:val="auto"/>
    <w:notTrueType/>
    <w:pitch w:val="default"/>
    <w:sig w:usb0="00000001" w:usb1="08080000" w:usb2="00000010" w:usb3="00000000" w:csb0="00100000" w:csb1="00000000"/>
  </w:font>
  <w:font w:name="CMR12">
    <w:altName w:val="Malgun Gothic Semilight"/>
    <w:panose1 w:val="00000000000000000000"/>
    <w:charset w:val="88"/>
    <w:family w:val="auto"/>
    <w:notTrueType/>
    <w:pitch w:val="default"/>
    <w:sig w:usb0="00000000" w:usb1="080F0000" w:usb2="00000010" w:usb3="00000000" w:csb0="00120000" w:csb1="00000000"/>
  </w:font>
  <w:font w:name="SymbolMT">
    <w:altName w:val="Malgun Gothic Semilight"/>
    <w:panose1 w:val="00000000000000000000"/>
    <w:charset w:val="88"/>
    <w:family w:val="auto"/>
    <w:notTrueType/>
    <w:pitch w:val="default"/>
    <w:sig w:usb0="00000000" w:usb1="080F0000" w:usb2="00000010" w:usb3="00000000" w:csb0="00120000" w:csb1="00000000"/>
  </w:font>
  <w:font w:name="微軟正黑體">
    <w:panose1 w:val="020B0604030504040204"/>
    <w:charset w:val="88"/>
    <w:family w:val="swiss"/>
    <w:pitch w:val="variable"/>
    <w:sig w:usb0="000002A7" w:usb1="28CF4400" w:usb2="00000016" w:usb3="00000000" w:csb0="00100009"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AdvTimes">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CEEC" w14:textId="77777777" w:rsidR="00FC0FE8" w:rsidRDefault="00FC0FE8" w:rsidP="009A3CB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C74712F" w14:textId="77777777" w:rsidR="00FC0FE8" w:rsidRDefault="00FC0F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76A1" w14:textId="6C3A0C3A" w:rsidR="00FC0FE8" w:rsidRPr="004C6B26" w:rsidRDefault="00FC0FE8" w:rsidP="009A3CB1">
    <w:pPr>
      <w:pStyle w:val="a8"/>
      <w:framePr w:wrap="around" w:vAnchor="text" w:hAnchor="margin" w:xAlign="center" w:y="1"/>
      <w:rPr>
        <w:rStyle w:val="aa"/>
        <w:sz w:val="18"/>
      </w:rPr>
    </w:pPr>
    <w:r w:rsidRPr="004C6B26">
      <w:rPr>
        <w:rStyle w:val="aa"/>
        <w:sz w:val="18"/>
      </w:rPr>
      <w:fldChar w:fldCharType="begin"/>
    </w:r>
    <w:r w:rsidRPr="004C6B26">
      <w:rPr>
        <w:rStyle w:val="aa"/>
        <w:sz w:val="18"/>
      </w:rPr>
      <w:instrText xml:space="preserve">PAGE  </w:instrText>
    </w:r>
    <w:r w:rsidRPr="004C6B26">
      <w:rPr>
        <w:rStyle w:val="aa"/>
        <w:sz w:val="18"/>
      </w:rPr>
      <w:fldChar w:fldCharType="separate"/>
    </w:r>
    <w:r>
      <w:rPr>
        <w:rStyle w:val="aa"/>
        <w:noProof/>
        <w:sz w:val="18"/>
      </w:rPr>
      <w:t>7</w:t>
    </w:r>
    <w:r w:rsidRPr="004C6B26">
      <w:rPr>
        <w:rStyle w:val="aa"/>
        <w:sz w:val="18"/>
      </w:rPr>
      <w:fldChar w:fldCharType="end"/>
    </w:r>
  </w:p>
  <w:p w14:paraId="242514AA" w14:textId="77777777" w:rsidR="00FC0FE8" w:rsidRDefault="00FC0F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417C" w14:textId="77777777" w:rsidR="005E4AC9" w:rsidRDefault="005E4AC9">
      <w:r>
        <w:separator/>
      </w:r>
    </w:p>
  </w:footnote>
  <w:footnote w:type="continuationSeparator" w:id="0">
    <w:p w14:paraId="22461FCD" w14:textId="77777777" w:rsidR="005E4AC9" w:rsidRDefault="005E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703"/>
    <w:multiLevelType w:val="multilevel"/>
    <w:tmpl w:val="A240101A"/>
    <w:lvl w:ilvl="0">
      <w:start w:val="1"/>
      <w:numFmt w:val="decimal"/>
      <w:lvlText w:val="%1."/>
      <w:lvlJc w:val="left"/>
      <w:pPr>
        <w:ind w:left="360" w:hanging="360"/>
      </w:pPr>
      <w:rPr>
        <w:rFonts w:hint="eastAsia"/>
        <w:b w:val="0"/>
        <w:i w:val="0"/>
      </w:rPr>
    </w:lvl>
    <w:lvl w:ilvl="1">
      <w:start w:val="1"/>
      <w:numFmt w:val="decimal"/>
      <w:lvlRestart w:val="0"/>
      <w:isLgl/>
      <w:suff w:val="space"/>
      <w:lvlText w:val="%1.%2."/>
      <w:lvlJc w:val="left"/>
      <w:pPr>
        <w:ind w:left="720" w:hanging="72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 w15:restartNumberingAfterBreak="0">
    <w:nsid w:val="099F45F2"/>
    <w:multiLevelType w:val="hybridMultilevel"/>
    <w:tmpl w:val="44E806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96208D"/>
    <w:multiLevelType w:val="multilevel"/>
    <w:tmpl w:val="B43E541C"/>
    <w:lvl w:ilvl="0">
      <w:start w:val="4"/>
      <w:numFmt w:val="upperRoman"/>
      <w:suff w:val="space"/>
      <w:lvlText w:val="%1."/>
      <w:lvlJc w:val="left"/>
      <w:pPr>
        <w:ind w:left="360" w:hanging="360"/>
      </w:pPr>
      <w:rPr>
        <w:rFonts w:hint="eastAsia"/>
      </w:rPr>
    </w:lvl>
    <w:lvl w:ilvl="1">
      <w:start w:val="1"/>
      <w:numFmt w:val="decimal"/>
      <w:lvlRestart w:val="0"/>
      <w:isLgl/>
      <w:suff w:val="space"/>
      <w:lvlText w:val="%1.%2."/>
      <w:lvlJc w:val="left"/>
      <w:pPr>
        <w:ind w:left="720" w:hanging="72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5E5E7DD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5F4E78D7"/>
    <w:multiLevelType w:val="hybridMultilevel"/>
    <w:tmpl w:val="4F701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E152C3"/>
    <w:multiLevelType w:val="hybridMultilevel"/>
    <w:tmpl w:val="B5FE61FA"/>
    <w:lvl w:ilvl="0" w:tplc="5486F01A">
      <w:start w:val="1"/>
      <w:numFmt w:val="decimal"/>
      <w:lvlText w:val="H%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4E4385"/>
    <w:multiLevelType w:val="hybridMultilevel"/>
    <w:tmpl w:val="B8BA6614"/>
    <w:lvl w:ilvl="0" w:tplc="04090013">
      <w:start w:val="1"/>
      <w:numFmt w:val="upperRoman"/>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6552254"/>
    <w:multiLevelType w:val="hybridMultilevel"/>
    <w:tmpl w:val="2D5A642A"/>
    <w:lvl w:ilvl="0" w:tplc="E056D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56"/>
    <w:rsid w:val="00001598"/>
    <w:rsid w:val="00006DF2"/>
    <w:rsid w:val="000106B6"/>
    <w:rsid w:val="00010869"/>
    <w:rsid w:val="00011DAF"/>
    <w:rsid w:val="00017670"/>
    <w:rsid w:val="00021451"/>
    <w:rsid w:val="000228F7"/>
    <w:rsid w:val="00022A33"/>
    <w:rsid w:val="00022CEF"/>
    <w:rsid w:val="00025090"/>
    <w:rsid w:val="00025775"/>
    <w:rsid w:val="00026C81"/>
    <w:rsid w:val="00030315"/>
    <w:rsid w:val="000313DF"/>
    <w:rsid w:val="00031C89"/>
    <w:rsid w:val="0003394F"/>
    <w:rsid w:val="00033D4C"/>
    <w:rsid w:val="00034397"/>
    <w:rsid w:val="00034C2A"/>
    <w:rsid w:val="00037300"/>
    <w:rsid w:val="00043C02"/>
    <w:rsid w:val="000455EF"/>
    <w:rsid w:val="0004657A"/>
    <w:rsid w:val="0004772E"/>
    <w:rsid w:val="000507FD"/>
    <w:rsid w:val="000517E2"/>
    <w:rsid w:val="0005434A"/>
    <w:rsid w:val="00061230"/>
    <w:rsid w:val="000612AB"/>
    <w:rsid w:val="00062BF0"/>
    <w:rsid w:val="00064270"/>
    <w:rsid w:val="00065F33"/>
    <w:rsid w:val="00066AE6"/>
    <w:rsid w:val="00073F0A"/>
    <w:rsid w:val="000812FD"/>
    <w:rsid w:val="00084009"/>
    <w:rsid w:val="00084A6F"/>
    <w:rsid w:val="00084E60"/>
    <w:rsid w:val="00086B36"/>
    <w:rsid w:val="00090217"/>
    <w:rsid w:val="000926AB"/>
    <w:rsid w:val="000935D1"/>
    <w:rsid w:val="00093CB4"/>
    <w:rsid w:val="000A23FF"/>
    <w:rsid w:val="000A2AB1"/>
    <w:rsid w:val="000A55D3"/>
    <w:rsid w:val="000A5756"/>
    <w:rsid w:val="000A5AD6"/>
    <w:rsid w:val="000A6837"/>
    <w:rsid w:val="000A6A93"/>
    <w:rsid w:val="000A6C53"/>
    <w:rsid w:val="000B03EC"/>
    <w:rsid w:val="000B244D"/>
    <w:rsid w:val="000B7A5A"/>
    <w:rsid w:val="000C0017"/>
    <w:rsid w:val="000C490D"/>
    <w:rsid w:val="000C691D"/>
    <w:rsid w:val="000C6ED0"/>
    <w:rsid w:val="000D4B1B"/>
    <w:rsid w:val="000D53DF"/>
    <w:rsid w:val="000D5F73"/>
    <w:rsid w:val="000D6086"/>
    <w:rsid w:val="000D6964"/>
    <w:rsid w:val="000D6B17"/>
    <w:rsid w:val="000D6D62"/>
    <w:rsid w:val="000E087A"/>
    <w:rsid w:val="000E2D89"/>
    <w:rsid w:val="000E4E7E"/>
    <w:rsid w:val="000E5996"/>
    <w:rsid w:val="000E7038"/>
    <w:rsid w:val="000F5D2D"/>
    <w:rsid w:val="0010562E"/>
    <w:rsid w:val="001108DF"/>
    <w:rsid w:val="001156CC"/>
    <w:rsid w:val="0012233A"/>
    <w:rsid w:val="001235FD"/>
    <w:rsid w:val="00124E58"/>
    <w:rsid w:val="00131C73"/>
    <w:rsid w:val="00140FEA"/>
    <w:rsid w:val="00144BBF"/>
    <w:rsid w:val="00145CFD"/>
    <w:rsid w:val="001512A6"/>
    <w:rsid w:val="00151DF6"/>
    <w:rsid w:val="00151F29"/>
    <w:rsid w:val="0016373F"/>
    <w:rsid w:val="001677A2"/>
    <w:rsid w:val="00167A54"/>
    <w:rsid w:val="00167D1B"/>
    <w:rsid w:val="00173CC8"/>
    <w:rsid w:val="001747DE"/>
    <w:rsid w:val="0018187C"/>
    <w:rsid w:val="0018684E"/>
    <w:rsid w:val="00186C08"/>
    <w:rsid w:val="00190A80"/>
    <w:rsid w:val="00190EE4"/>
    <w:rsid w:val="0019211D"/>
    <w:rsid w:val="00193FB6"/>
    <w:rsid w:val="00195781"/>
    <w:rsid w:val="00195BAB"/>
    <w:rsid w:val="001A0971"/>
    <w:rsid w:val="001A7818"/>
    <w:rsid w:val="001A797E"/>
    <w:rsid w:val="001B166E"/>
    <w:rsid w:val="001B1997"/>
    <w:rsid w:val="001B1CFD"/>
    <w:rsid w:val="001C2927"/>
    <w:rsid w:val="001C3F06"/>
    <w:rsid w:val="001C47E5"/>
    <w:rsid w:val="001D0760"/>
    <w:rsid w:val="001D2CFE"/>
    <w:rsid w:val="001D3280"/>
    <w:rsid w:val="001D494E"/>
    <w:rsid w:val="001D73A2"/>
    <w:rsid w:val="001E1DDD"/>
    <w:rsid w:val="001E1EEE"/>
    <w:rsid w:val="001E231E"/>
    <w:rsid w:val="001E2AAE"/>
    <w:rsid w:val="001E4D39"/>
    <w:rsid w:val="001E6DD6"/>
    <w:rsid w:val="001E75A2"/>
    <w:rsid w:val="001F3885"/>
    <w:rsid w:val="001F5D03"/>
    <w:rsid w:val="0020206E"/>
    <w:rsid w:val="002107FF"/>
    <w:rsid w:val="0021122E"/>
    <w:rsid w:val="00212044"/>
    <w:rsid w:val="0021451C"/>
    <w:rsid w:val="00217956"/>
    <w:rsid w:val="00221376"/>
    <w:rsid w:val="002228D3"/>
    <w:rsid w:val="00223616"/>
    <w:rsid w:val="00223E72"/>
    <w:rsid w:val="00224B1F"/>
    <w:rsid w:val="00225CE7"/>
    <w:rsid w:val="00225EFC"/>
    <w:rsid w:val="002323A6"/>
    <w:rsid w:val="00233536"/>
    <w:rsid w:val="00233EBB"/>
    <w:rsid w:val="0023468F"/>
    <w:rsid w:val="00234FF6"/>
    <w:rsid w:val="002359CD"/>
    <w:rsid w:val="0023653F"/>
    <w:rsid w:val="00237E04"/>
    <w:rsid w:val="002409F9"/>
    <w:rsid w:val="0024487B"/>
    <w:rsid w:val="0024624D"/>
    <w:rsid w:val="00250D7D"/>
    <w:rsid w:val="00251010"/>
    <w:rsid w:val="00252761"/>
    <w:rsid w:val="0025659B"/>
    <w:rsid w:val="002602AA"/>
    <w:rsid w:val="00260AB0"/>
    <w:rsid w:val="002618EA"/>
    <w:rsid w:val="00265CA2"/>
    <w:rsid w:val="002743A3"/>
    <w:rsid w:val="002761E4"/>
    <w:rsid w:val="00276FE6"/>
    <w:rsid w:val="002809E9"/>
    <w:rsid w:val="00282528"/>
    <w:rsid w:val="00283EE7"/>
    <w:rsid w:val="00284E4D"/>
    <w:rsid w:val="00285954"/>
    <w:rsid w:val="00285BC5"/>
    <w:rsid w:val="00290179"/>
    <w:rsid w:val="002A007D"/>
    <w:rsid w:val="002A11D2"/>
    <w:rsid w:val="002A21CC"/>
    <w:rsid w:val="002A48D8"/>
    <w:rsid w:val="002A6530"/>
    <w:rsid w:val="002A7294"/>
    <w:rsid w:val="002B2029"/>
    <w:rsid w:val="002B35A3"/>
    <w:rsid w:val="002B4115"/>
    <w:rsid w:val="002B460E"/>
    <w:rsid w:val="002B6D0E"/>
    <w:rsid w:val="002C2D02"/>
    <w:rsid w:val="002C2E16"/>
    <w:rsid w:val="002C4687"/>
    <w:rsid w:val="002C514F"/>
    <w:rsid w:val="002C5823"/>
    <w:rsid w:val="002D3AAE"/>
    <w:rsid w:val="002D4277"/>
    <w:rsid w:val="002E0BB0"/>
    <w:rsid w:val="002E5108"/>
    <w:rsid w:val="002E723E"/>
    <w:rsid w:val="002F18BD"/>
    <w:rsid w:val="002F3FE4"/>
    <w:rsid w:val="002F4465"/>
    <w:rsid w:val="00300E11"/>
    <w:rsid w:val="00304B4A"/>
    <w:rsid w:val="00305457"/>
    <w:rsid w:val="003063C0"/>
    <w:rsid w:val="00311A9B"/>
    <w:rsid w:val="0031354D"/>
    <w:rsid w:val="00313CA8"/>
    <w:rsid w:val="00314109"/>
    <w:rsid w:val="00317CA4"/>
    <w:rsid w:val="0032081F"/>
    <w:rsid w:val="00322439"/>
    <w:rsid w:val="00322D82"/>
    <w:rsid w:val="00322F9B"/>
    <w:rsid w:val="003237E7"/>
    <w:rsid w:val="00323892"/>
    <w:rsid w:val="00323D4B"/>
    <w:rsid w:val="00331284"/>
    <w:rsid w:val="0033367F"/>
    <w:rsid w:val="003419F2"/>
    <w:rsid w:val="003446E6"/>
    <w:rsid w:val="003457B9"/>
    <w:rsid w:val="00347FC9"/>
    <w:rsid w:val="00350872"/>
    <w:rsid w:val="003532E5"/>
    <w:rsid w:val="003550FC"/>
    <w:rsid w:val="00360A88"/>
    <w:rsid w:val="00360E1A"/>
    <w:rsid w:val="0036334C"/>
    <w:rsid w:val="00364761"/>
    <w:rsid w:val="0036606A"/>
    <w:rsid w:val="0036640E"/>
    <w:rsid w:val="003707FF"/>
    <w:rsid w:val="00373256"/>
    <w:rsid w:val="00373FF7"/>
    <w:rsid w:val="00374FBB"/>
    <w:rsid w:val="00377E1F"/>
    <w:rsid w:val="00381945"/>
    <w:rsid w:val="003846C5"/>
    <w:rsid w:val="003855E1"/>
    <w:rsid w:val="003859CB"/>
    <w:rsid w:val="00386F8A"/>
    <w:rsid w:val="0039496A"/>
    <w:rsid w:val="00395983"/>
    <w:rsid w:val="003977F2"/>
    <w:rsid w:val="003A31A5"/>
    <w:rsid w:val="003A4811"/>
    <w:rsid w:val="003A4939"/>
    <w:rsid w:val="003A524E"/>
    <w:rsid w:val="003B1C0D"/>
    <w:rsid w:val="003B36CA"/>
    <w:rsid w:val="003C1C24"/>
    <w:rsid w:val="003C2770"/>
    <w:rsid w:val="003C4C6D"/>
    <w:rsid w:val="003C5FF3"/>
    <w:rsid w:val="003D0AD0"/>
    <w:rsid w:val="003D1EA0"/>
    <w:rsid w:val="003D34B1"/>
    <w:rsid w:val="003E0396"/>
    <w:rsid w:val="003E2C6A"/>
    <w:rsid w:val="003E67F8"/>
    <w:rsid w:val="003F226D"/>
    <w:rsid w:val="003F6F82"/>
    <w:rsid w:val="00401445"/>
    <w:rsid w:val="0040517A"/>
    <w:rsid w:val="00405706"/>
    <w:rsid w:val="00405B45"/>
    <w:rsid w:val="00406579"/>
    <w:rsid w:val="004147D6"/>
    <w:rsid w:val="00417B3F"/>
    <w:rsid w:val="004202F7"/>
    <w:rsid w:val="0042036C"/>
    <w:rsid w:val="004214A3"/>
    <w:rsid w:val="00424298"/>
    <w:rsid w:val="00424D31"/>
    <w:rsid w:val="00425B9D"/>
    <w:rsid w:val="00426207"/>
    <w:rsid w:val="00426E3A"/>
    <w:rsid w:val="004309CF"/>
    <w:rsid w:val="00430E66"/>
    <w:rsid w:val="004334C9"/>
    <w:rsid w:val="00433A08"/>
    <w:rsid w:val="00434EF0"/>
    <w:rsid w:val="00435941"/>
    <w:rsid w:val="004362B2"/>
    <w:rsid w:val="00443129"/>
    <w:rsid w:val="00443CC8"/>
    <w:rsid w:val="00450734"/>
    <w:rsid w:val="00452C55"/>
    <w:rsid w:val="00452EB9"/>
    <w:rsid w:val="004545F5"/>
    <w:rsid w:val="00454F7C"/>
    <w:rsid w:val="00455004"/>
    <w:rsid w:val="00457E01"/>
    <w:rsid w:val="00457E44"/>
    <w:rsid w:val="00462CF3"/>
    <w:rsid w:val="00464B25"/>
    <w:rsid w:val="004654DF"/>
    <w:rsid w:val="00466BAD"/>
    <w:rsid w:val="00470087"/>
    <w:rsid w:val="00470D7C"/>
    <w:rsid w:val="004725FA"/>
    <w:rsid w:val="004746BC"/>
    <w:rsid w:val="00475224"/>
    <w:rsid w:val="0047600A"/>
    <w:rsid w:val="004800EF"/>
    <w:rsid w:val="00486BFC"/>
    <w:rsid w:val="00490184"/>
    <w:rsid w:val="00491E7E"/>
    <w:rsid w:val="0049387D"/>
    <w:rsid w:val="004A0D8E"/>
    <w:rsid w:val="004A33C5"/>
    <w:rsid w:val="004A5EB0"/>
    <w:rsid w:val="004A6313"/>
    <w:rsid w:val="004A6B30"/>
    <w:rsid w:val="004B1059"/>
    <w:rsid w:val="004B3AB5"/>
    <w:rsid w:val="004B45DC"/>
    <w:rsid w:val="004B70BA"/>
    <w:rsid w:val="004B7567"/>
    <w:rsid w:val="004C4CC1"/>
    <w:rsid w:val="004C53A4"/>
    <w:rsid w:val="004C6B26"/>
    <w:rsid w:val="004D5170"/>
    <w:rsid w:val="004D796D"/>
    <w:rsid w:val="004E48C9"/>
    <w:rsid w:val="004E4F0F"/>
    <w:rsid w:val="004E5CD8"/>
    <w:rsid w:val="004E6BD4"/>
    <w:rsid w:val="004F1E47"/>
    <w:rsid w:val="004F2F44"/>
    <w:rsid w:val="004F560D"/>
    <w:rsid w:val="00505E3E"/>
    <w:rsid w:val="005172FA"/>
    <w:rsid w:val="00520D88"/>
    <w:rsid w:val="005228C6"/>
    <w:rsid w:val="005246A7"/>
    <w:rsid w:val="005332F7"/>
    <w:rsid w:val="00536B7D"/>
    <w:rsid w:val="00541A41"/>
    <w:rsid w:val="00542F19"/>
    <w:rsid w:val="00546ADB"/>
    <w:rsid w:val="00554495"/>
    <w:rsid w:val="00557FEC"/>
    <w:rsid w:val="00561369"/>
    <w:rsid w:val="00561E29"/>
    <w:rsid w:val="005668D1"/>
    <w:rsid w:val="005674DC"/>
    <w:rsid w:val="00572EEB"/>
    <w:rsid w:val="0057360C"/>
    <w:rsid w:val="005763D0"/>
    <w:rsid w:val="00580476"/>
    <w:rsid w:val="0058134A"/>
    <w:rsid w:val="005904A9"/>
    <w:rsid w:val="00590548"/>
    <w:rsid w:val="00591C45"/>
    <w:rsid w:val="00591C4D"/>
    <w:rsid w:val="0059250D"/>
    <w:rsid w:val="005A3D5F"/>
    <w:rsid w:val="005A40A4"/>
    <w:rsid w:val="005A43FA"/>
    <w:rsid w:val="005A64B1"/>
    <w:rsid w:val="005B11AD"/>
    <w:rsid w:val="005B2F7F"/>
    <w:rsid w:val="005B4E09"/>
    <w:rsid w:val="005C03C8"/>
    <w:rsid w:val="005C0FC7"/>
    <w:rsid w:val="005C16DA"/>
    <w:rsid w:val="005C28E7"/>
    <w:rsid w:val="005C4792"/>
    <w:rsid w:val="005C636C"/>
    <w:rsid w:val="005C7AB6"/>
    <w:rsid w:val="005D1CFE"/>
    <w:rsid w:val="005D3299"/>
    <w:rsid w:val="005D3788"/>
    <w:rsid w:val="005D7F21"/>
    <w:rsid w:val="005E00A9"/>
    <w:rsid w:val="005E00BE"/>
    <w:rsid w:val="005E257E"/>
    <w:rsid w:val="005E41A9"/>
    <w:rsid w:val="005E4AC9"/>
    <w:rsid w:val="005E785E"/>
    <w:rsid w:val="005F2BDB"/>
    <w:rsid w:val="005F33EE"/>
    <w:rsid w:val="005F5C09"/>
    <w:rsid w:val="005F7E62"/>
    <w:rsid w:val="00605AFC"/>
    <w:rsid w:val="006120AB"/>
    <w:rsid w:val="006124A8"/>
    <w:rsid w:val="00613560"/>
    <w:rsid w:val="00614828"/>
    <w:rsid w:val="006223BF"/>
    <w:rsid w:val="00622459"/>
    <w:rsid w:val="006236D9"/>
    <w:rsid w:val="006243F5"/>
    <w:rsid w:val="0063033A"/>
    <w:rsid w:val="0063405C"/>
    <w:rsid w:val="0063794A"/>
    <w:rsid w:val="006443CB"/>
    <w:rsid w:val="00652915"/>
    <w:rsid w:val="00653C68"/>
    <w:rsid w:val="00654CAB"/>
    <w:rsid w:val="00655498"/>
    <w:rsid w:val="00655B75"/>
    <w:rsid w:val="0066592D"/>
    <w:rsid w:val="00666B8E"/>
    <w:rsid w:val="00666D4D"/>
    <w:rsid w:val="00666D5C"/>
    <w:rsid w:val="00667836"/>
    <w:rsid w:val="006725BF"/>
    <w:rsid w:val="00680E2A"/>
    <w:rsid w:val="006832B0"/>
    <w:rsid w:val="00684669"/>
    <w:rsid w:val="006847C0"/>
    <w:rsid w:val="00684ABE"/>
    <w:rsid w:val="00686347"/>
    <w:rsid w:val="00687308"/>
    <w:rsid w:val="0068781A"/>
    <w:rsid w:val="00696739"/>
    <w:rsid w:val="00696802"/>
    <w:rsid w:val="006A040C"/>
    <w:rsid w:val="006A0CA8"/>
    <w:rsid w:val="006A4C62"/>
    <w:rsid w:val="006A5833"/>
    <w:rsid w:val="006A762B"/>
    <w:rsid w:val="006B2568"/>
    <w:rsid w:val="006B34F8"/>
    <w:rsid w:val="006B42A4"/>
    <w:rsid w:val="006B483F"/>
    <w:rsid w:val="006B646D"/>
    <w:rsid w:val="006B705C"/>
    <w:rsid w:val="006C0316"/>
    <w:rsid w:val="006C3374"/>
    <w:rsid w:val="006C4928"/>
    <w:rsid w:val="006C5B01"/>
    <w:rsid w:val="006C7252"/>
    <w:rsid w:val="006D0F70"/>
    <w:rsid w:val="006D14EB"/>
    <w:rsid w:val="006D40F4"/>
    <w:rsid w:val="006E1281"/>
    <w:rsid w:val="006E1627"/>
    <w:rsid w:val="006E1FBA"/>
    <w:rsid w:val="006E35F3"/>
    <w:rsid w:val="006E36B1"/>
    <w:rsid w:val="006E6BC4"/>
    <w:rsid w:val="006F462E"/>
    <w:rsid w:val="006F674C"/>
    <w:rsid w:val="006F6D99"/>
    <w:rsid w:val="006F7517"/>
    <w:rsid w:val="006F7A2B"/>
    <w:rsid w:val="00701364"/>
    <w:rsid w:val="00701548"/>
    <w:rsid w:val="007023A4"/>
    <w:rsid w:val="007029B1"/>
    <w:rsid w:val="00703DA8"/>
    <w:rsid w:val="00704F38"/>
    <w:rsid w:val="00706C7E"/>
    <w:rsid w:val="00707BB9"/>
    <w:rsid w:val="0071010D"/>
    <w:rsid w:val="00713B0D"/>
    <w:rsid w:val="007232ED"/>
    <w:rsid w:val="00723FA0"/>
    <w:rsid w:val="007241B5"/>
    <w:rsid w:val="00724BDA"/>
    <w:rsid w:val="00725D0A"/>
    <w:rsid w:val="007268CD"/>
    <w:rsid w:val="00733966"/>
    <w:rsid w:val="007342E0"/>
    <w:rsid w:val="00735E51"/>
    <w:rsid w:val="00735F98"/>
    <w:rsid w:val="007363A0"/>
    <w:rsid w:val="00742D22"/>
    <w:rsid w:val="007433AF"/>
    <w:rsid w:val="007466F1"/>
    <w:rsid w:val="00750AC0"/>
    <w:rsid w:val="00760D34"/>
    <w:rsid w:val="00762B79"/>
    <w:rsid w:val="00763F0F"/>
    <w:rsid w:val="0076770F"/>
    <w:rsid w:val="007678F9"/>
    <w:rsid w:val="00767A33"/>
    <w:rsid w:val="0077053C"/>
    <w:rsid w:val="00771819"/>
    <w:rsid w:val="00773561"/>
    <w:rsid w:val="00774C72"/>
    <w:rsid w:val="00776EFB"/>
    <w:rsid w:val="007811C2"/>
    <w:rsid w:val="00785201"/>
    <w:rsid w:val="00790DC8"/>
    <w:rsid w:val="00791070"/>
    <w:rsid w:val="00792DE9"/>
    <w:rsid w:val="00796074"/>
    <w:rsid w:val="007976A6"/>
    <w:rsid w:val="007A234A"/>
    <w:rsid w:val="007A6016"/>
    <w:rsid w:val="007A6472"/>
    <w:rsid w:val="007A6C2C"/>
    <w:rsid w:val="007B1CDD"/>
    <w:rsid w:val="007B2A2A"/>
    <w:rsid w:val="007B2B1C"/>
    <w:rsid w:val="007B3180"/>
    <w:rsid w:val="007B3C6E"/>
    <w:rsid w:val="007B5394"/>
    <w:rsid w:val="007B6644"/>
    <w:rsid w:val="007C5C69"/>
    <w:rsid w:val="007C6191"/>
    <w:rsid w:val="007C691D"/>
    <w:rsid w:val="007D0219"/>
    <w:rsid w:val="007D0466"/>
    <w:rsid w:val="007D18FB"/>
    <w:rsid w:val="007D35F1"/>
    <w:rsid w:val="007D4DA0"/>
    <w:rsid w:val="007D560A"/>
    <w:rsid w:val="007D6C1A"/>
    <w:rsid w:val="007E6FDB"/>
    <w:rsid w:val="007E79C6"/>
    <w:rsid w:val="007F23F8"/>
    <w:rsid w:val="007F48E6"/>
    <w:rsid w:val="007F50BC"/>
    <w:rsid w:val="007F7180"/>
    <w:rsid w:val="007F7AAA"/>
    <w:rsid w:val="0080244D"/>
    <w:rsid w:val="008037C8"/>
    <w:rsid w:val="0080479D"/>
    <w:rsid w:val="00805E7C"/>
    <w:rsid w:val="00813BEB"/>
    <w:rsid w:val="00813DE2"/>
    <w:rsid w:val="0081480C"/>
    <w:rsid w:val="00821D18"/>
    <w:rsid w:val="00823057"/>
    <w:rsid w:val="008249A8"/>
    <w:rsid w:val="00825BFD"/>
    <w:rsid w:val="00826D3B"/>
    <w:rsid w:val="008322E8"/>
    <w:rsid w:val="008345C5"/>
    <w:rsid w:val="008346CD"/>
    <w:rsid w:val="00835725"/>
    <w:rsid w:val="008371E8"/>
    <w:rsid w:val="008417F3"/>
    <w:rsid w:val="00843E7C"/>
    <w:rsid w:val="00851437"/>
    <w:rsid w:val="0085294A"/>
    <w:rsid w:val="00855066"/>
    <w:rsid w:val="00856FC6"/>
    <w:rsid w:val="008576C7"/>
    <w:rsid w:val="00860130"/>
    <w:rsid w:val="0086068E"/>
    <w:rsid w:val="00860A3D"/>
    <w:rsid w:val="008650AA"/>
    <w:rsid w:val="00867B87"/>
    <w:rsid w:val="008711E4"/>
    <w:rsid w:val="00876552"/>
    <w:rsid w:val="008767F6"/>
    <w:rsid w:val="00876B32"/>
    <w:rsid w:val="00877E08"/>
    <w:rsid w:val="00881E0C"/>
    <w:rsid w:val="0088279A"/>
    <w:rsid w:val="00883BAC"/>
    <w:rsid w:val="00884381"/>
    <w:rsid w:val="00884D4B"/>
    <w:rsid w:val="00887695"/>
    <w:rsid w:val="00894799"/>
    <w:rsid w:val="00895A95"/>
    <w:rsid w:val="00895AED"/>
    <w:rsid w:val="008A76BA"/>
    <w:rsid w:val="008A7C44"/>
    <w:rsid w:val="008A7FBE"/>
    <w:rsid w:val="008B1975"/>
    <w:rsid w:val="008B3071"/>
    <w:rsid w:val="008B5431"/>
    <w:rsid w:val="008B74A0"/>
    <w:rsid w:val="008B7F6F"/>
    <w:rsid w:val="008C0E00"/>
    <w:rsid w:val="008C124F"/>
    <w:rsid w:val="008C24ED"/>
    <w:rsid w:val="008C7398"/>
    <w:rsid w:val="008D0D2F"/>
    <w:rsid w:val="008D0F62"/>
    <w:rsid w:val="008D0FF6"/>
    <w:rsid w:val="008D24B2"/>
    <w:rsid w:val="008D361E"/>
    <w:rsid w:val="008D3D77"/>
    <w:rsid w:val="008D47B3"/>
    <w:rsid w:val="008D5C4B"/>
    <w:rsid w:val="008E062F"/>
    <w:rsid w:val="008E0B79"/>
    <w:rsid w:val="008E2D9F"/>
    <w:rsid w:val="008E2EC7"/>
    <w:rsid w:val="008E586F"/>
    <w:rsid w:val="008F0F34"/>
    <w:rsid w:val="008F225A"/>
    <w:rsid w:val="008F6342"/>
    <w:rsid w:val="008F747B"/>
    <w:rsid w:val="0090125A"/>
    <w:rsid w:val="00903365"/>
    <w:rsid w:val="00911C00"/>
    <w:rsid w:val="009142AB"/>
    <w:rsid w:val="00917A84"/>
    <w:rsid w:val="00921231"/>
    <w:rsid w:val="0092322A"/>
    <w:rsid w:val="009268F4"/>
    <w:rsid w:val="00927038"/>
    <w:rsid w:val="0092712B"/>
    <w:rsid w:val="00931661"/>
    <w:rsid w:val="00934514"/>
    <w:rsid w:val="00936046"/>
    <w:rsid w:val="00941869"/>
    <w:rsid w:val="0094453A"/>
    <w:rsid w:val="00944A9B"/>
    <w:rsid w:val="00945871"/>
    <w:rsid w:val="009464A0"/>
    <w:rsid w:val="00946B30"/>
    <w:rsid w:val="009476DF"/>
    <w:rsid w:val="009477B7"/>
    <w:rsid w:val="0095070C"/>
    <w:rsid w:val="00953045"/>
    <w:rsid w:val="00954578"/>
    <w:rsid w:val="00957ABD"/>
    <w:rsid w:val="00957EDF"/>
    <w:rsid w:val="009607CB"/>
    <w:rsid w:val="00961F1D"/>
    <w:rsid w:val="009640E6"/>
    <w:rsid w:val="00966BEC"/>
    <w:rsid w:val="009713AE"/>
    <w:rsid w:val="0097196A"/>
    <w:rsid w:val="00980A2E"/>
    <w:rsid w:val="00980DC9"/>
    <w:rsid w:val="00984FA3"/>
    <w:rsid w:val="009853CB"/>
    <w:rsid w:val="00987139"/>
    <w:rsid w:val="0099665D"/>
    <w:rsid w:val="00997A41"/>
    <w:rsid w:val="009A13D0"/>
    <w:rsid w:val="009A1534"/>
    <w:rsid w:val="009A1638"/>
    <w:rsid w:val="009A1EC9"/>
    <w:rsid w:val="009A3CB1"/>
    <w:rsid w:val="009B0B2F"/>
    <w:rsid w:val="009B0BD6"/>
    <w:rsid w:val="009B5334"/>
    <w:rsid w:val="009B55B3"/>
    <w:rsid w:val="009B55D0"/>
    <w:rsid w:val="009B62FD"/>
    <w:rsid w:val="009B70E2"/>
    <w:rsid w:val="009B7156"/>
    <w:rsid w:val="009C00CF"/>
    <w:rsid w:val="009C3E05"/>
    <w:rsid w:val="009C5420"/>
    <w:rsid w:val="009C6C2D"/>
    <w:rsid w:val="009D3BE0"/>
    <w:rsid w:val="009D7543"/>
    <w:rsid w:val="009E112A"/>
    <w:rsid w:val="009E1BC4"/>
    <w:rsid w:val="009E313C"/>
    <w:rsid w:val="009E4875"/>
    <w:rsid w:val="009E50B9"/>
    <w:rsid w:val="009E573A"/>
    <w:rsid w:val="009F19CC"/>
    <w:rsid w:val="009F2285"/>
    <w:rsid w:val="00A010DE"/>
    <w:rsid w:val="00A012EC"/>
    <w:rsid w:val="00A017CF"/>
    <w:rsid w:val="00A0221D"/>
    <w:rsid w:val="00A04C93"/>
    <w:rsid w:val="00A06953"/>
    <w:rsid w:val="00A11A60"/>
    <w:rsid w:val="00A12CA4"/>
    <w:rsid w:val="00A14E81"/>
    <w:rsid w:val="00A1750C"/>
    <w:rsid w:val="00A176C0"/>
    <w:rsid w:val="00A20008"/>
    <w:rsid w:val="00A20157"/>
    <w:rsid w:val="00A233E8"/>
    <w:rsid w:val="00A25367"/>
    <w:rsid w:val="00A25745"/>
    <w:rsid w:val="00A31CC2"/>
    <w:rsid w:val="00A337D5"/>
    <w:rsid w:val="00A44F8B"/>
    <w:rsid w:val="00A45938"/>
    <w:rsid w:val="00A51DD3"/>
    <w:rsid w:val="00A52F17"/>
    <w:rsid w:val="00A545BE"/>
    <w:rsid w:val="00A54728"/>
    <w:rsid w:val="00A55054"/>
    <w:rsid w:val="00A550A5"/>
    <w:rsid w:val="00A5514C"/>
    <w:rsid w:val="00A640F7"/>
    <w:rsid w:val="00A64EBE"/>
    <w:rsid w:val="00A66641"/>
    <w:rsid w:val="00A676A4"/>
    <w:rsid w:val="00A7097A"/>
    <w:rsid w:val="00A73CE9"/>
    <w:rsid w:val="00A74810"/>
    <w:rsid w:val="00A75EFF"/>
    <w:rsid w:val="00A75F6E"/>
    <w:rsid w:val="00A8018B"/>
    <w:rsid w:val="00A8038E"/>
    <w:rsid w:val="00A830F0"/>
    <w:rsid w:val="00A835CD"/>
    <w:rsid w:val="00A84478"/>
    <w:rsid w:val="00A85072"/>
    <w:rsid w:val="00A861E9"/>
    <w:rsid w:val="00A900C6"/>
    <w:rsid w:val="00A9227F"/>
    <w:rsid w:val="00A96522"/>
    <w:rsid w:val="00AA147F"/>
    <w:rsid w:val="00AA5CF8"/>
    <w:rsid w:val="00AB05EE"/>
    <w:rsid w:val="00AB2EB5"/>
    <w:rsid w:val="00AB62B5"/>
    <w:rsid w:val="00AB71A0"/>
    <w:rsid w:val="00AB7222"/>
    <w:rsid w:val="00AB72F7"/>
    <w:rsid w:val="00AB768A"/>
    <w:rsid w:val="00AC2AA8"/>
    <w:rsid w:val="00AC49F7"/>
    <w:rsid w:val="00AC4B96"/>
    <w:rsid w:val="00AC6A57"/>
    <w:rsid w:val="00AC7170"/>
    <w:rsid w:val="00AD5B67"/>
    <w:rsid w:val="00AF0C4D"/>
    <w:rsid w:val="00AF1367"/>
    <w:rsid w:val="00AF3866"/>
    <w:rsid w:val="00AF483B"/>
    <w:rsid w:val="00AF6A48"/>
    <w:rsid w:val="00B0125C"/>
    <w:rsid w:val="00B055E0"/>
    <w:rsid w:val="00B07CEB"/>
    <w:rsid w:val="00B105C8"/>
    <w:rsid w:val="00B11611"/>
    <w:rsid w:val="00B1210A"/>
    <w:rsid w:val="00B12D49"/>
    <w:rsid w:val="00B13CE7"/>
    <w:rsid w:val="00B13D45"/>
    <w:rsid w:val="00B14C45"/>
    <w:rsid w:val="00B1579E"/>
    <w:rsid w:val="00B15C0A"/>
    <w:rsid w:val="00B1679B"/>
    <w:rsid w:val="00B21999"/>
    <w:rsid w:val="00B26317"/>
    <w:rsid w:val="00B319DE"/>
    <w:rsid w:val="00B405C1"/>
    <w:rsid w:val="00B4783E"/>
    <w:rsid w:val="00B5149A"/>
    <w:rsid w:val="00B525F8"/>
    <w:rsid w:val="00B53F4F"/>
    <w:rsid w:val="00B574DA"/>
    <w:rsid w:val="00B57F12"/>
    <w:rsid w:val="00B60D54"/>
    <w:rsid w:val="00B61217"/>
    <w:rsid w:val="00B616F6"/>
    <w:rsid w:val="00B62899"/>
    <w:rsid w:val="00B63279"/>
    <w:rsid w:val="00B64D73"/>
    <w:rsid w:val="00B64D8D"/>
    <w:rsid w:val="00B66166"/>
    <w:rsid w:val="00B708A4"/>
    <w:rsid w:val="00B714CF"/>
    <w:rsid w:val="00B748CD"/>
    <w:rsid w:val="00B756B4"/>
    <w:rsid w:val="00B757D9"/>
    <w:rsid w:val="00B76929"/>
    <w:rsid w:val="00B769AB"/>
    <w:rsid w:val="00B774FA"/>
    <w:rsid w:val="00B81616"/>
    <w:rsid w:val="00B86D36"/>
    <w:rsid w:val="00B90745"/>
    <w:rsid w:val="00B951A3"/>
    <w:rsid w:val="00B975C0"/>
    <w:rsid w:val="00B97854"/>
    <w:rsid w:val="00BA3277"/>
    <w:rsid w:val="00BA5AEC"/>
    <w:rsid w:val="00BA60B7"/>
    <w:rsid w:val="00BA76E8"/>
    <w:rsid w:val="00BA77A7"/>
    <w:rsid w:val="00BB03C8"/>
    <w:rsid w:val="00BB052E"/>
    <w:rsid w:val="00BB1309"/>
    <w:rsid w:val="00BC36A1"/>
    <w:rsid w:val="00BC50B1"/>
    <w:rsid w:val="00BC7CB6"/>
    <w:rsid w:val="00BD19A2"/>
    <w:rsid w:val="00BD31DC"/>
    <w:rsid w:val="00BD3F58"/>
    <w:rsid w:val="00BE2E0D"/>
    <w:rsid w:val="00BE3E5C"/>
    <w:rsid w:val="00BE6258"/>
    <w:rsid w:val="00BE64D8"/>
    <w:rsid w:val="00BE7B7C"/>
    <w:rsid w:val="00BF16D0"/>
    <w:rsid w:val="00BF6A44"/>
    <w:rsid w:val="00BF78D7"/>
    <w:rsid w:val="00C014AF"/>
    <w:rsid w:val="00C018EC"/>
    <w:rsid w:val="00C02534"/>
    <w:rsid w:val="00C05948"/>
    <w:rsid w:val="00C05CFE"/>
    <w:rsid w:val="00C05DD3"/>
    <w:rsid w:val="00C132D7"/>
    <w:rsid w:val="00C14ABB"/>
    <w:rsid w:val="00C17988"/>
    <w:rsid w:val="00C17C68"/>
    <w:rsid w:val="00C2062C"/>
    <w:rsid w:val="00C2404E"/>
    <w:rsid w:val="00C32259"/>
    <w:rsid w:val="00C3258A"/>
    <w:rsid w:val="00C42D57"/>
    <w:rsid w:val="00C43294"/>
    <w:rsid w:val="00C4463E"/>
    <w:rsid w:val="00C44828"/>
    <w:rsid w:val="00C45050"/>
    <w:rsid w:val="00C51751"/>
    <w:rsid w:val="00C56BE4"/>
    <w:rsid w:val="00C6034D"/>
    <w:rsid w:val="00C60DF9"/>
    <w:rsid w:val="00C61C83"/>
    <w:rsid w:val="00C62981"/>
    <w:rsid w:val="00C6590A"/>
    <w:rsid w:val="00C7204A"/>
    <w:rsid w:val="00C73616"/>
    <w:rsid w:val="00C738B3"/>
    <w:rsid w:val="00C73990"/>
    <w:rsid w:val="00C75D78"/>
    <w:rsid w:val="00C766CE"/>
    <w:rsid w:val="00C80C6C"/>
    <w:rsid w:val="00C80DFC"/>
    <w:rsid w:val="00C91366"/>
    <w:rsid w:val="00C919F0"/>
    <w:rsid w:val="00C95633"/>
    <w:rsid w:val="00C958E3"/>
    <w:rsid w:val="00C9599F"/>
    <w:rsid w:val="00C95BEC"/>
    <w:rsid w:val="00CA04E6"/>
    <w:rsid w:val="00CA0F29"/>
    <w:rsid w:val="00CA3567"/>
    <w:rsid w:val="00CA40AC"/>
    <w:rsid w:val="00CA4C29"/>
    <w:rsid w:val="00CA7F0F"/>
    <w:rsid w:val="00CB4FE1"/>
    <w:rsid w:val="00CB7401"/>
    <w:rsid w:val="00CB7F1A"/>
    <w:rsid w:val="00CD0A27"/>
    <w:rsid w:val="00CD7E89"/>
    <w:rsid w:val="00CE1F64"/>
    <w:rsid w:val="00CE2DD8"/>
    <w:rsid w:val="00CE3759"/>
    <w:rsid w:val="00CE3FF5"/>
    <w:rsid w:val="00CE4ED9"/>
    <w:rsid w:val="00CE542B"/>
    <w:rsid w:val="00CE6B3C"/>
    <w:rsid w:val="00CE75FB"/>
    <w:rsid w:val="00CF07B7"/>
    <w:rsid w:val="00CF24CA"/>
    <w:rsid w:val="00CF270F"/>
    <w:rsid w:val="00CF3C39"/>
    <w:rsid w:val="00CF5447"/>
    <w:rsid w:val="00D00E44"/>
    <w:rsid w:val="00D03C70"/>
    <w:rsid w:val="00D07716"/>
    <w:rsid w:val="00D11A9F"/>
    <w:rsid w:val="00D124E8"/>
    <w:rsid w:val="00D12696"/>
    <w:rsid w:val="00D12CDC"/>
    <w:rsid w:val="00D15221"/>
    <w:rsid w:val="00D15553"/>
    <w:rsid w:val="00D23779"/>
    <w:rsid w:val="00D23E81"/>
    <w:rsid w:val="00D240E7"/>
    <w:rsid w:val="00D26C75"/>
    <w:rsid w:val="00D318CF"/>
    <w:rsid w:val="00D374FB"/>
    <w:rsid w:val="00D3797C"/>
    <w:rsid w:val="00D41AD2"/>
    <w:rsid w:val="00D464F7"/>
    <w:rsid w:val="00D50845"/>
    <w:rsid w:val="00D525DA"/>
    <w:rsid w:val="00D52977"/>
    <w:rsid w:val="00D5517D"/>
    <w:rsid w:val="00D559A3"/>
    <w:rsid w:val="00D564B6"/>
    <w:rsid w:val="00D610AA"/>
    <w:rsid w:val="00D623B6"/>
    <w:rsid w:val="00D645B1"/>
    <w:rsid w:val="00D67F2B"/>
    <w:rsid w:val="00D70B2D"/>
    <w:rsid w:val="00D725B4"/>
    <w:rsid w:val="00D733FB"/>
    <w:rsid w:val="00D73F8A"/>
    <w:rsid w:val="00D751CC"/>
    <w:rsid w:val="00D76787"/>
    <w:rsid w:val="00D76C9E"/>
    <w:rsid w:val="00D7721E"/>
    <w:rsid w:val="00D81CC9"/>
    <w:rsid w:val="00D823DB"/>
    <w:rsid w:val="00D82672"/>
    <w:rsid w:val="00D86D27"/>
    <w:rsid w:val="00D872B3"/>
    <w:rsid w:val="00D9274D"/>
    <w:rsid w:val="00D92FA7"/>
    <w:rsid w:val="00D9579A"/>
    <w:rsid w:val="00D95994"/>
    <w:rsid w:val="00D972D1"/>
    <w:rsid w:val="00DA0348"/>
    <w:rsid w:val="00DA3540"/>
    <w:rsid w:val="00DA3A4E"/>
    <w:rsid w:val="00DA6843"/>
    <w:rsid w:val="00DB070C"/>
    <w:rsid w:val="00DB2DF3"/>
    <w:rsid w:val="00DB4648"/>
    <w:rsid w:val="00DB5C7A"/>
    <w:rsid w:val="00DB6152"/>
    <w:rsid w:val="00DB7007"/>
    <w:rsid w:val="00DB71D0"/>
    <w:rsid w:val="00DC2F33"/>
    <w:rsid w:val="00DD0B60"/>
    <w:rsid w:val="00DD1933"/>
    <w:rsid w:val="00DD2F60"/>
    <w:rsid w:val="00DD5AC1"/>
    <w:rsid w:val="00DD6790"/>
    <w:rsid w:val="00DD7DA7"/>
    <w:rsid w:val="00DE3098"/>
    <w:rsid w:val="00DF04E0"/>
    <w:rsid w:val="00DF0765"/>
    <w:rsid w:val="00DF0CCB"/>
    <w:rsid w:val="00DF114D"/>
    <w:rsid w:val="00DF1DB2"/>
    <w:rsid w:val="00DF369E"/>
    <w:rsid w:val="00DF6656"/>
    <w:rsid w:val="00DF74FE"/>
    <w:rsid w:val="00E000A0"/>
    <w:rsid w:val="00E02DA7"/>
    <w:rsid w:val="00E04209"/>
    <w:rsid w:val="00E13089"/>
    <w:rsid w:val="00E13204"/>
    <w:rsid w:val="00E1506B"/>
    <w:rsid w:val="00E15DA3"/>
    <w:rsid w:val="00E1668F"/>
    <w:rsid w:val="00E16F96"/>
    <w:rsid w:val="00E1751E"/>
    <w:rsid w:val="00E17FA7"/>
    <w:rsid w:val="00E20539"/>
    <w:rsid w:val="00E22750"/>
    <w:rsid w:val="00E227C9"/>
    <w:rsid w:val="00E24841"/>
    <w:rsid w:val="00E27E5D"/>
    <w:rsid w:val="00E34753"/>
    <w:rsid w:val="00E35518"/>
    <w:rsid w:val="00E35845"/>
    <w:rsid w:val="00E42406"/>
    <w:rsid w:val="00E4538C"/>
    <w:rsid w:val="00E504C9"/>
    <w:rsid w:val="00E557AC"/>
    <w:rsid w:val="00E56777"/>
    <w:rsid w:val="00E60269"/>
    <w:rsid w:val="00E61208"/>
    <w:rsid w:val="00E617A2"/>
    <w:rsid w:val="00E633FB"/>
    <w:rsid w:val="00E646F0"/>
    <w:rsid w:val="00E71DEA"/>
    <w:rsid w:val="00E806B5"/>
    <w:rsid w:val="00E84E53"/>
    <w:rsid w:val="00E87E3E"/>
    <w:rsid w:val="00E92CD5"/>
    <w:rsid w:val="00EA0A31"/>
    <w:rsid w:val="00EA404B"/>
    <w:rsid w:val="00EA46D3"/>
    <w:rsid w:val="00EA4896"/>
    <w:rsid w:val="00EA7BB9"/>
    <w:rsid w:val="00EA7D2F"/>
    <w:rsid w:val="00EB1731"/>
    <w:rsid w:val="00EB1851"/>
    <w:rsid w:val="00EB4E09"/>
    <w:rsid w:val="00EB51DD"/>
    <w:rsid w:val="00EB56B7"/>
    <w:rsid w:val="00EB5D1E"/>
    <w:rsid w:val="00EB7879"/>
    <w:rsid w:val="00EC01DD"/>
    <w:rsid w:val="00EC1460"/>
    <w:rsid w:val="00EC3BD8"/>
    <w:rsid w:val="00EC4ADE"/>
    <w:rsid w:val="00EC4EBD"/>
    <w:rsid w:val="00EC6290"/>
    <w:rsid w:val="00EC6EEA"/>
    <w:rsid w:val="00ED06E5"/>
    <w:rsid w:val="00ED2902"/>
    <w:rsid w:val="00ED47CD"/>
    <w:rsid w:val="00EE42C3"/>
    <w:rsid w:val="00EE48E4"/>
    <w:rsid w:val="00EE4C4A"/>
    <w:rsid w:val="00EF184A"/>
    <w:rsid w:val="00EF3824"/>
    <w:rsid w:val="00EF64E2"/>
    <w:rsid w:val="00EF6A91"/>
    <w:rsid w:val="00F04292"/>
    <w:rsid w:val="00F06C30"/>
    <w:rsid w:val="00F06E3A"/>
    <w:rsid w:val="00F07242"/>
    <w:rsid w:val="00F138E5"/>
    <w:rsid w:val="00F13D8F"/>
    <w:rsid w:val="00F14252"/>
    <w:rsid w:val="00F20D8D"/>
    <w:rsid w:val="00F2358B"/>
    <w:rsid w:val="00F24FF8"/>
    <w:rsid w:val="00F26004"/>
    <w:rsid w:val="00F26932"/>
    <w:rsid w:val="00F308DB"/>
    <w:rsid w:val="00F31FA0"/>
    <w:rsid w:val="00F32ECB"/>
    <w:rsid w:val="00F36421"/>
    <w:rsid w:val="00F36D8C"/>
    <w:rsid w:val="00F411EF"/>
    <w:rsid w:val="00F42913"/>
    <w:rsid w:val="00F44BC4"/>
    <w:rsid w:val="00F45913"/>
    <w:rsid w:val="00F462A4"/>
    <w:rsid w:val="00F5011C"/>
    <w:rsid w:val="00F518E7"/>
    <w:rsid w:val="00F524FA"/>
    <w:rsid w:val="00F52FB1"/>
    <w:rsid w:val="00F54756"/>
    <w:rsid w:val="00F54AAA"/>
    <w:rsid w:val="00F574CB"/>
    <w:rsid w:val="00F57509"/>
    <w:rsid w:val="00F62CC1"/>
    <w:rsid w:val="00F64EF8"/>
    <w:rsid w:val="00F657A9"/>
    <w:rsid w:val="00F65BE1"/>
    <w:rsid w:val="00F67CBD"/>
    <w:rsid w:val="00F67E5D"/>
    <w:rsid w:val="00F72118"/>
    <w:rsid w:val="00F72232"/>
    <w:rsid w:val="00F732AF"/>
    <w:rsid w:val="00F73994"/>
    <w:rsid w:val="00F73AF2"/>
    <w:rsid w:val="00F74A9A"/>
    <w:rsid w:val="00F7608E"/>
    <w:rsid w:val="00F803AA"/>
    <w:rsid w:val="00F8049B"/>
    <w:rsid w:val="00F81554"/>
    <w:rsid w:val="00F83C90"/>
    <w:rsid w:val="00F83CEF"/>
    <w:rsid w:val="00F840A4"/>
    <w:rsid w:val="00F85E96"/>
    <w:rsid w:val="00F86AE1"/>
    <w:rsid w:val="00F86FE7"/>
    <w:rsid w:val="00F87A90"/>
    <w:rsid w:val="00F90C1D"/>
    <w:rsid w:val="00F918E7"/>
    <w:rsid w:val="00F9308A"/>
    <w:rsid w:val="00F934BC"/>
    <w:rsid w:val="00F94102"/>
    <w:rsid w:val="00F94E70"/>
    <w:rsid w:val="00F96E25"/>
    <w:rsid w:val="00F974D5"/>
    <w:rsid w:val="00F97F8C"/>
    <w:rsid w:val="00FA420E"/>
    <w:rsid w:val="00FB5030"/>
    <w:rsid w:val="00FC0FE8"/>
    <w:rsid w:val="00FC2BD5"/>
    <w:rsid w:val="00FC5063"/>
    <w:rsid w:val="00FC5FC4"/>
    <w:rsid w:val="00FD0683"/>
    <w:rsid w:val="00FD0D56"/>
    <w:rsid w:val="00FD29B4"/>
    <w:rsid w:val="00FD2C47"/>
    <w:rsid w:val="00FD4235"/>
    <w:rsid w:val="00FD57E5"/>
    <w:rsid w:val="00FD5919"/>
    <w:rsid w:val="00FD766B"/>
    <w:rsid w:val="00FE2BF6"/>
    <w:rsid w:val="00FE3C70"/>
    <w:rsid w:val="00FE3D49"/>
    <w:rsid w:val="00FE41E2"/>
    <w:rsid w:val="00FE4559"/>
    <w:rsid w:val="00FF2491"/>
    <w:rsid w:val="00FF5CB4"/>
    <w:rsid w:val="00FF7979"/>
    <w:rsid w:val="00FF7C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1D240"/>
  <w15:docId w15:val="{34B9290B-8D5B-4E0A-BCC9-A20A597D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7B87"/>
    <w:pPr>
      <w:widowControl w:val="0"/>
    </w:pPr>
    <w:rPr>
      <w:kern w:val="2"/>
      <w:sz w:val="24"/>
      <w:szCs w:val="24"/>
      <w:lang w:val="en-US" w:eastAsia="zh-TW"/>
    </w:rPr>
  </w:style>
  <w:style w:type="paragraph" w:styleId="1">
    <w:name w:val="heading 1"/>
    <w:basedOn w:val="a"/>
    <w:link w:val="10"/>
    <w:uiPriority w:val="9"/>
    <w:qFormat/>
    <w:rsid w:val="00CF5447"/>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qFormat/>
    <w:rsid w:val="00CF5447"/>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qFormat/>
    <w:rsid w:val="00CF5447"/>
    <w:pPr>
      <w:widowControl/>
      <w:spacing w:before="100" w:beforeAutospacing="1" w:after="100" w:afterAutospacing="1"/>
      <w:outlineLvl w:val="2"/>
    </w:pPr>
    <w:rPr>
      <w:rFonts w:ascii="新細明體" w:hAnsi="新細明體" w:cs="新細明體"/>
      <w:b/>
      <w:bCs/>
      <w:kern w:val="0"/>
    </w:rPr>
  </w:style>
  <w:style w:type="paragraph" w:styleId="4">
    <w:name w:val="heading 4"/>
    <w:basedOn w:val="a"/>
    <w:next w:val="a"/>
    <w:qFormat/>
    <w:rsid w:val="00750A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F0765"/>
    <w:pPr>
      <w:snapToGrid w:val="0"/>
    </w:pPr>
    <w:rPr>
      <w:sz w:val="20"/>
      <w:szCs w:val="20"/>
    </w:rPr>
  </w:style>
  <w:style w:type="character" w:styleId="a5">
    <w:name w:val="footnote reference"/>
    <w:basedOn w:val="a0"/>
    <w:rsid w:val="00DF0765"/>
    <w:rPr>
      <w:vertAlign w:val="superscript"/>
    </w:rPr>
  </w:style>
  <w:style w:type="character" w:styleId="a6">
    <w:name w:val="Strong"/>
    <w:basedOn w:val="a0"/>
    <w:qFormat/>
    <w:rsid w:val="004A33C5"/>
    <w:rPr>
      <w:b/>
      <w:bCs/>
    </w:rPr>
  </w:style>
  <w:style w:type="character" w:styleId="a7">
    <w:name w:val="Hyperlink"/>
    <w:basedOn w:val="a0"/>
    <w:rsid w:val="00A66641"/>
    <w:rPr>
      <w:color w:val="0000FF"/>
      <w:u w:val="single"/>
    </w:rPr>
  </w:style>
  <w:style w:type="paragraph" w:styleId="a8">
    <w:name w:val="footer"/>
    <w:basedOn w:val="a"/>
    <w:link w:val="a9"/>
    <w:rsid w:val="00DB5C7A"/>
    <w:pPr>
      <w:tabs>
        <w:tab w:val="center" w:pos="4153"/>
        <w:tab w:val="right" w:pos="8306"/>
      </w:tabs>
      <w:snapToGrid w:val="0"/>
    </w:pPr>
    <w:rPr>
      <w:sz w:val="20"/>
      <w:szCs w:val="20"/>
    </w:rPr>
  </w:style>
  <w:style w:type="character" w:styleId="aa">
    <w:name w:val="page number"/>
    <w:basedOn w:val="a0"/>
    <w:rsid w:val="00DB5C7A"/>
  </w:style>
  <w:style w:type="paragraph" w:styleId="ab">
    <w:name w:val="header"/>
    <w:basedOn w:val="a"/>
    <w:link w:val="ac"/>
    <w:uiPriority w:val="99"/>
    <w:rsid w:val="00DB5C7A"/>
    <w:pPr>
      <w:tabs>
        <w:tab w:val="center" w:pos="4153"/>
        <w:tab w:val="right" w:pos="8306"/>
      </w:tabs>
      <w:snapToGrid w:val="0"/>
    </w:pPr>
    <w:rPr>
      <w:sz w:val="20"/>
      <w:szCs w:val="20"/>
    </w:rPr>
  </w:style>
  <w:style w:type="character" w:customStyle="1" w:styleId="body131">
    <w:name w:val="body131"/>
    <w:basedOn w:val="a0"/>
    <w:rsid w:val="00CF5447"/>
    <w:rPr>
      <w:rFonts w:ascii="Verdana" w:hAnsi="Verdana" w:hint="default"/>
      <w:sz w:val="20"/>
      <w:szCs w:val="20"/>
    </w:rPr>
  </w:style>
  <w:style w:type="paragraph" w:customStyle="1" w:styleId="xl24">
    <w:name w:val="xl24"/>
    <w:basedOn w:val="a"/>
    <w:rsid w:val="00CF5447"/>
    <w:pPr>
      <w:widowControl/>
      <w:spacing w:before="100" w:beforeAutospacing="1" w:after="100" w:afterAutospacing="1"/>
      <w:jc w:val="center"/>
    </w:pPr>
    <w:rPr>
      <w:rFonts w:eastAsia="Arial Unicode MS"/>
      <w:b/>
      <w:bCs/>
      <w:kern w:val="0"/>
      <w:sz w:val="20"/>
      <w:szCs w:val="20"/>
    </w:rPr>
  </w:style>
  <w:style w:type="paragraph" w:customStyle="1" w:styleId="xl25">
    <w:name w:val="xl25"/>
    <w:basedOn w:val="a"/>
    <w:rsid w:val="00CF5447"/>
    <w:pPr>
      <w:widowControl/>
      <w:spacing w:before="100" w:beforeAutospacing="1" w:after="100" w:afterAutospacing="1"/>
    </w:pPr>
    <w:rPr>
      <w:rFonts w:ascii="新細明體" w:hAnsi="Arial Unicode MS" w:cs="Arial Unicode MS" w:hint="eastAsia"/>
      <w:kern w:val="0"/>
      <w:sz w:val="20"/>
      <w:szCs w:val="20"/>
    </w:rPr>
  </w:style>
  <w:style w:type="paragraph" w:customStyle="1" w:styleId="xl49">
    <w:name w:val="xl49"/>
    <w:basedOn w:val="a"/>
    <w:rsid w:val="00CF5447"/>
    <w:pPr>
      <w:widowControl/>
      <w:spacing w:before="100" w:beforeAutospacing="1" w:after="100" w:afterAutospacing="1"/>
      <w:jc w:val="center"/>
    </w:pPr>
    <w:rPr>
      <w:rFonts w:eastAsia="Arial Unicode MS"/>
      <w:b/>
      <w:bCs/>
      <w:kern w:val="0"/>
    </w:rPr>
  </w:style>
  <w:style w:type="paragraph" w:styleId="ad">
    <w:name w:val="Title"/>
    <w:basedOn w:val="a"/>
    <w:qFormat/>
    <w:rsid w:val="00CF5447"/>
    <w:pPr>
      <w:spacing w:line="360" w:lineRule="auto"/>
      <w:ind w:firstLine="480"/>
      <w:jc w:val="center"/>
    </w:pPr>
    <w:rPr>
      <w:rFonts w:ascii="華康中楷體" w:eastAsia="華康中楷體"/>
      <w:b/>
      <w:bCs/>
    </w:rPr>
  </w:style>
  <w:style w:type="paragraph" w:styleId="ae">
    <w:name w:val="Block Text"/>
    <w:basedOn w:val="a"/>
    <w:rsid w:val="00CF5447"/>
    <w:pPr>
      <w:spacing w:line="240" w:lineRule="exact"/>
      <w:ind w:leftChars="-375" w:left="-900" w:rightChars="-300" w:right="-720"/>
      <w:jc w:val="both"/>
    </w:pPr>
    <w:rPr>
      <w:color w:val="FF0000"/>
      <w:sz w:val="20"/>
    </w:rPr>
  </w:style>
  <w:style w:type="paragraph" w:styleId="30">
    <w:name w:val="Body Text 3"/>
    <w:basedOn w:val="a"/>
    <w:rsid w:val="00CF5447"/>
    <w:pPr>
      <w:spacing w:line="360" w:lineRule="auto"/>
      <w:jc w:val="both"/>
    </w:pPr>
  </w:style>
  <w:style w:type="paragraph" w:styleId="af">
    <w:name w:val="Balloon Text"/>
    <w:basedOn w:val="a"/>
    <w:link w:val="af0"/>
    <w:uiPriority w:val="99"/>
    <w:semiHidden/>
    <w:rsid w:val="00CF5447"/>
    <w:rPr>
      <w:rFonts w:ascii="Arial" w:hAnsi="Arial"/>
      <w:sz w:val="18"/>
      <w:szCs w:val="18"/>
    </w:rPr>
  </w:style>
  <w:style w:type="character" w:customStyle="1" w:styleId="name">
    <w:name w:val="name"/>
    <w:basedOn w:val="a0"/>
    <w:rsid w:val="00CF5447"/>
  </w:style>
  <w:style w:type="character" w:customStyle="1" w:styleId="forenames">
    <w:name w:val="forenames"/>
    <w:basedOn w:val="a0"/>
    <w:rsid w:val="00CF5447"/>
  </w:style>
  <w:style w:type="character" w:customStyle="1" w:styleId="surname">
    <w:name w:val="surname"/>
    <w:basedOn w:val="a0"/>
    <w:rsid w:val="00CF5447"/>
  </w:style>
  <w:style w:type="paragraph" w:styleId="Web">
    <w:name w:val="Normal (Web)"/>
    <w:basedOn w:val="a"/>
    <w:rsid w:val="00CF5447"/>
    <w:pPr>
      <w:widowControl/>
      <w:spacing w:before="100" w:beforeAutospacing="1" w:after="100" w:afterAutospacing="1" w:line="360" w:lineRule="auto"/>
    </w:pPr>
    <w:rPr>
      <w:rFonts w:ascii="新細明體" w:hAnsi="新細明體" w:cs="新細明體"/>
      <w:color w:val="000000"/>
      <w:kern w:val="0"/>
    </w:rPr>
  </w:style>
  <w:style w:type="character" w:customStyle="1" w:styleId="searchword">
    <w:name w:val="searchword"/>
    <w:basedOn w:val="a0"/>
    <w:rsid w:val="00CF5447"/>
    <w:rPr>
      <w:shd w:val="clear" w:color="auto" w:fill="FFFF00"/>
    </w:rPr>
  </w:style>
  <w:style w:type="paragraph" w:customStyle="1" w:styleId="inline">
    <w:name w:val="inline"/>
    <w:basedOn w:val="a"/>
    <w:rsid w:val="00CF5447"/>
    <w:pPr>
      <w:widowControl/>
      <w:spacing w:before="100" w:beforeAutospacing="1" w:after="100" w:afterAutospacing="1"/>
    </w:pPr>
    <w:rPr>
      <w:rFonts w:ascii="新細明體" w:hAnsi="新細明體" w:cs="新細明體"/>
      <w:kern w:val="0"/>
    </w:rPr>
  </w:style>
  <w:style w:type="character" w:customStyle="1" w:styleId="pubtitlejb1">
    <w:name w:val="pubtitle_jb1"/>
    <w:basedOn w:val="a0"/>
    <w:rsid w:val="00CF5447"/>
    <w:rPr>
      <w:i/>
      <w:iCs/>
    </w:rPr>
  </w:style>
  <w:style w:type="paragraph" w:customStyle="1" w:styleId="Default">
    <w:name w:val="Default"/>
    <w:rsid w:val="00CF5447"/>
    <w:pPr>
      <w:widowControl w:val="0"/>
      <w:autoSpaceDE w:val="0"/>
      <w:autoSpaceDN w:val="0"/>
      <w:adjustRightInd w:val="0"/>
    </w:pPr>
    <w:rPr>
      <w:rFonts w:ascii="NNGMLO+TimesNewRoman" w:eastAsia="NNGMLO+TimesNewRoman" w:cs="NNGMLO+TimesNewRoman"/>
      <w:color w:val="000000"/>
      <w:sz w:val="24"/>
      <w:szCs w:val="24"/>
      <w:lang w:val="en-US" w:eastAsia="zh-TW"/>
    </w:rPr>
  </w:style>
  <w:style w:type="character" w:styleId="af1">
    <w:name w:val="Emphasis"/>
    <w:basedOn w:val="a0"/>
    <w:qFormat/>
    <w:rsid w:val="00CF5447"/>
    <w:rPr>
      <w:b w:val="0"/>
      <w:bCs w:val="0"/>
      <w:i w:val="0"/>
      <w:iCs w:val="0"/>
      <w:color w:val="CC0033"/>
    </w:rPr>
  </w:style>
  <w:style w:type="table" w:styleId="af2">
    <w:name w:val="Table Grid"/>
    <w:basedOn w:val="a1"/>
    <w:rsid w:val="00CF54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1">
    <w:name w:val="style121"/>
    <w:basedOn w:val="a0"/>
    <w:rsid w:val="00CF5447"/>
    <w:rPr>
      <w:b/>
      <w:bCs/>
      <w:color w:val="FF0000"/>
    </w:rPr>
  </w:style>
  <w:style w:type="character" w:customStyle="1" w:styleId="smallcapitals3">
    <w:name w:val="smallcapitals3"/>
    <w:basedOn w:val="a0"/>
    <w:rsid w:val="00CF5447"/>
    <w:rPr>
      <w:smallCaps/>
    </w:rPr>
  </w:style>
  <w:style w:type="paragraph" w:customStyle="1" w:styleId="para3">
    <w:name w:val="para3"/>
    <w:basedOn w:val="a"/>
    <w:rsid w:val="00CF5447"/>
    <w:pPr>
      <w:widowControl/>
      <w:spacing w:after="100" w:afterAutospacing="1"/>
    </w:pPr>
    <w:rPr>
      <w:rFonts w:ascii="新細明體" w:hAnsi="新細明體" w:cs="新細明體"/>
      <w:color w:val="333333"/>
      <w:kern w:val="0"/>
      <w:sz w:val="14"/>
      <w:szCs w:val="14"/>
    </w:rPr>
  </w:style>
  <w:style w:type="character" w:customStyle="1" w:styleId="bodycopyblacklargespaced1">
    <w:name w:val="bodycopyblacklargespaced1"/>
    <w:basedOn w:val="a0"/>
    <w:rsid w:val="00CF5447"/>
    <w:rPr>
      <w:rFonts w:ascii="Arial" w:hAnsi="Arial" w:cs="Arial" w:hint="default"/>
      <w:color w:val="000000"/>
      <w:sz w:val="17"/>
      <w:szCs w:val="17"/>
    </w:rPr>
  </w:style>
  <w:style w:type="character" w:styleId="HTML">
    <w:name w:val="HTML Cite"/>
    <w:basedOn w:val="a0"/>
    <w:rsid w:val="00CF5447"/>
    <w:rPr>
      <w:i/>
      <w:iCs/>
    </w:rPr>
  </w:style>
  <w:style w:type="paragraph" w:customStyle="1" w:styleId="stylehenrik">
    <w:name w:val="stylehenrik"/>
    <w:basedOn w:val="a"/>
    <w:rsid w:val="00CF5447"/>
    <w:pPr>
      <w:widowControl/>
      <w:spacing w:before="100" w:beforeAutospacing="1" w:after="100" w:afterAutospacing="1"/>
    </w:pPr>
    <w:rPr>
      <w:rFonts w:ascii="新細明體" w:hAnsi="新細明體" w:cs="新細明體"/>
      <w:kern w:val="0"/>
    </w:rPr>
  </w:style>
  <w:style w:type="character" w:customStyle="1" w:styleId="byline">
    <w:name w:val="byline"/>
    <w:basedOn w:val="a0"/>
    <w:rsid w:val="00CF5447"/>
  </w:style>
  <w:style w:type="character" w:customStyle="1" w:styleId="bighed1">
    <w:name w:val="bighed1"/>
    <w:basedOn w:val="a0"/>
    <w:rsid w:val="00CF5447"/>
    <w:rPr>
      <w:rFonts w:ascii="Arial" w:hAnsi="Arial" w:cs="Arial" w:hint="default"/>
      <w:b/>
      <w:bCs/>
      <w:sz w:val="35"/>
      <w:szCs w:val="35"/>
    </w:rPr>
  </w:style>
  <w:style w:type="character" w:customStyle="1" w:styleId="smalltextcaps1">
    <w:name w:val="smalltextcaps1"/>
    <w:basedOn w:val="a0"/>
    <w:rsid w:val="00CF5447"/>
    <w:rPr>
      <w:rFonts w:ascii="Arial" w:hAnsi="Arial" w:cs="Arial" w:hint="default"/>
      <w:caps/>
      <w:sz w:val="14"/>
      <w:szCs w:val="14"/>
    </w:rPr>
  </w:style>
  <w:style w:type="character" w:customStyle="1" w:styleId="author1">
    <w:name w:val="author1"/>
    <w:basedOn w:val="a0"/>
    <w:rsid w:val="00CF5447"/>
    <w:rPr>
      <w:b/>
      <w:bCs/>
    </w:rPr>
  </w:style>
  <w:style w:type="character" w:customStyle="1" w:styleId="txt1">
    <w:name w:val="txt1"/>
    <w:basedOn w:val="a0"/>
    <w:rsid w:val="00CF5447"/>
    <w:rPr>
      <w:rFonts w:ascii="Arial" w:hAnsi="Arial" w:cs="Arial" w:hint="default"/>
      <w:color w:val="666666"/>
      <w:sz w:val="18"/>
      <w:szCs w:val="18"/>
    </w:rPr>
  </w:style>
  <w:style w:type="character" w:customStyle="1" w:styleId="yellowfadeinnerspan">
    <w:name w:val="yellowfadeinnerspan"/>
    <w:basedOn w:val="a0"/>
    <w:rsid w:val="00CF5447"/>
  </w:style>
  <w:style w:type="character" w:customStyle="1" w:styleId="af3">
    <w:name w:val="a"/>
    <w:basedOn w:val="a0"/>
    <w:rsid w:val="00CF5447"/>
  </w:style>
  <w:style w:type="paragraph" w:customStyle="1" w:styleId="af4">
    <w:name w:val="項本文"/>
    <w:basedOn w:val="a"/>
    <w:rsid w:val="00CF5447"/>
    <w:pPr>
      <w:snapToGrid w:val="0"/>
      <w:ind w:left="540" w:firstLine="540"/>
      <w:jc w:val="both"/>
    </w:pPr>
    <w:rPr>
      <w:rFonts w:eastAsia="標楷體"/>
      <w:szCs w:val="20"/>
    </w:rPr>
  </w:style>
  <w:style w:type="character" w:customStyle="1" w:styleId="heading1">
    <w:name w:val="heading1"/>
    <w:basedOn w:val="a0"/>
    <w:rsid w:val="00CF5447"/>
    <w:rPr>
      <w:rFonts w:ascii="Arial" w:hAnsi="Arial" w:cs="Arial" w:hint="default"/>
      <w:b/>
      <w:bCs/>
      <w:i w:val="0"/>
      <w:iCs w:val="0"/>
      <w:color w:val="000066"/>
      <w:sz w:val="24"/>
      <w:szCs w:val="24"/>
    </w:rPr>
  </w:style>
  <w:style w:type="paragraph" w:customStyle="1" w:styleId="EC-">
    <w:name w:val="EC-內文"/>
    <w:basedOn w:val="a"/>
    <w:rsid w:val="00CF5447"/>
    <w:pPr>
      <w:snapToGrid w:val="0"/>
      <w:spacing w:afterLines="50" w:line="300" w:lineRule="auto"/>
      <w:ind w:firstLineChars="200" w:firstLine="480"/>
    </w:pPr>
  </w:style>
  <w:style w:type="paragraph" w:customStyle="1" w:styleId="MTDisplayEquation">
    <w:name w:val="MTDisplayEquation"/>
    <w:basedOn w:val="a"/>
    <w:next w:val="a"/>
    <w:rsid w:val="00A11A60"/>
    <w:pPr>
      <w:autoSpaceDE w:val="0"/>
      <w:autoSpaceDN w:val="0"/>
      <w:adjustRightInd w:val="0"/>
    </w:pPr>
    <w:rPr>
      <w:kern w:val="0"/>
      <w:sz w:val="20"/>
      <w:szCs w:val="20"/>
    </w:rPr>
  </w:style>
  <w:style w:type="paragraph" w:customStyle="1" w:styleId="20">
    <w:name w:val="標題2"/>
    <w:basedOn w:val="2"/>
    <w:rsid w:val="00750AC0"/>
    <w:pPr>
      <w:keepNext/>
      <w:widowControl w:val="0"/>
      <w:spacing w:before="0" w:beforeAutospacing="0" w:afterLines="50" w:afterAutospacing="0" w:line="360" w:lineRule="auto"/>
      <w:jc w:val="both"/>
    </w:pPr>
    <w:rPr>
      <w:rFonts w:ascii="Arial" w:eastAsia="Times New Roman" w:hAnsi="Arial" w:cs="Times New Roman"/>
      <w:i/>
      <w:iCs/>
      <w:kern w:val="2"/>
      <w:sz w:val="24"/>
      <w:szCs w:val="48"/>
    </w:rPr>
  </w:style>
  <w:style w:type="paragraph" w:customStyle="1" w:styleId="40">
    <w:name w:val="標題4"/>
    <w:basedOn w:val="4"/>
    <w:rsid w:val="00750AC0"/>
    <w:pPr>
      <w:spacing w:before="120" w:after="120" w:line="360" w:lineRule="auto"/>
    </w:pPr>
    <w:rPr>
      <w:rFonts w:ascii="Arial" w:eastAsia="Times New Roman" w:hAnsi="Arial"/>
      <w:b w:val="0"/>
      <w:bCs w:val="0"/>
      <w:sz w:val="24"/>
      <w:szCs w:val="36"/>
    </w:rPr>
  </w:style>
  <w:style w:type="paragraph" w:customStyle="1" w:styleId="af5">
    <w:name w:val="內文 + 左右對齊"/>
    <w:aliases w:val="套用前:  9 pt,行距:  1.5 倍行高,內文 + (中文) 標楷體,粗體,左右對齊"/>
    <w:basedOn w:val="af6"/>
    <w:link w:val="af7"/>
    <w:rsid w:val="00B60D54"/>
    <w:pPr>
      <w:spacing w:after="0" w:line="360" w:lineRule="auto"/>
      <w:jc w:val="center"/>
    </w:pPr>
    <w:rPr>
      <w:b/>
      <w:bCs/>
      <w:kern w:val="0"/>
      <w:sz w:val="28"/>
    </w:rPr>
  </w:style>
  <w:style w:type="character" w:customStyle="1" w:styleId="af7">
    <w:name w:val="內文 + 左右對齊 字元"/>
    <w:aliases w:val="套用前:  9 pt 字元,行距:  1.5 倍行高 字元 字元1"/>
    <w:basedOn w:val="a0"/>
    <w:link w:val="af5"/>
    <w:rsid w:val="00B60D54"/>
    <w:rPr>
      <w:rFonts w:eastAsia="新細明體"/>
      <w:b/>
      <w:bCs/>
      <w:sz w:val="28"/>
      <w:szCs w:val="24"/>
      <w:lang w:val="en-US" w:eastAsia="zh-TW" w:bidi="ar-SA"/>
    </w:rPr>
  </w:style>
  <w:style w:type="character" w:customStyle="1" w:styleId="af8">
    <w:name w:val="內文 + (中文) 標楷體 字元"/>
    <w:aliases w:val="粗體 字元,行距:  1.5 倍行高 + 12 點 字元,靠左 字元 字元,左右對齊 字元,行距:  1.5 倍行高 字元 字元"/>
    <w:basedOn w:val="a0"/>
    <w:rsid w:val="00B60D54"/>
    <w:rPr>
      <w:rFonts w:eastAsia="新細明體"/>
      <w:color w:val="000000"/>
      <w:sz w:val="36"/>
      <w:szCs w:val="36"/>
      <w:lang w:val="en-US" w:eastAsia="zh-TW" w:bidi="ar-SA"/>
    </w:rPr>
  </w:style>
  <w:style w:type="paragraph" w:styleId="af6">
    <w:name w:val="Body Text"/>
    <w:basedOn w:val="a"/>
    <w:rsid w:val="00B60D54"/>
    <w:pPr>
      <w:spacing w:after="120"/>
    </w:pPr>
  </w:style>
  <w:style w:type="character" w:customStyle="1" w:styleId="dct-tt">
    <w:name w:val="dct-tt"/>
    <w:basedOn w:val="a0"/>
    <w:rsid w:val="00D76C9E"/>
    <w:rPr>
      <w:rFonts w:ascii="Arial" w:hAnsi="Arial" w:cs="Arial" w:hint="default"/>
    </w:rPr>
  </w:style>
  <w:style w:type="paragraph" w:styleId="af9">
    <w:name w:val="Body Text Indent"/>
    <w:basedOn w:val="a"/>
    <w:rsid w:val="00D645B1"/>
    <w:pPr>
      <w:spacing w:line="320" w:lineRule="exact"/>
      <w:ind w:leftChars="-150" w:left="720" w:hangingChars="450" w:hanging="1080"/>
      <w:jc w:val="both"/>
    </w:pPr>
    <w:rPr>
      <w:rFonts w:eastAsia="標楷體"/>
    </w:rPr>
  </w:style>
  <w:style w:type="paragraph" w:customStyle="1" w:styleId="PostEq">
    <w:name w:val="PostEq"/>
    <w:basedOn w:val="a"/>
    <w:next w:val="a"/>
    <w:rsid w:val="00D645B1"/>
  </w:style>
  <w:style w:type="paragraph" w:styleId="afa">
    <w:name w:val="Date"/>
    <w:basedOn w:val="a"/>
    <w:next w:val="a"/>
    <w:rsid w:val="00D645B1"/>
    <w:pPr>
      <w:jc w:val="right"/>
    </w:pPr>
    <w:rPr>
      <w:rFonts w:eastAsia="標楷體"/>
      <w:sz w:val="28"/>
      <w:szCs w:val="20"/>
    </w:rPr>
  </w:style>
  <w:style w:type="character" w:customStyle="1" w:styleId="a4">
    <w:name w:val="註腳文字 字元"/>
    <w:link w:val="a3"/>
    <w:rsid w:val="0004772E"/>
    <w:rPr>
      <w:rFonts w:eastAsia="新細明體"/>
      <w:kern w:val="2"/>
      <w:lang w:val="en-US" w:eastAsia="zh-TW" w:bidi="ar-SA"/>
    </w:rPr>
  </w:style>
  <w:style w:type="paragraph" w:styleId="afb">
    <w:name w:val="List Paragraph"/>
    <w:basedOn w:val="a"/>
    <w:uiPriority w:val="34"/>
    <w:qFormat/>
    <w:rsid w:val="00300E11"/>
    <w:pPr>
      <w:ind w:leftChars="200" w:left="480"/>
    </w:pPr>
    <w:rPr>
      <w:rFonts w:ascii="Calibri" w:hAnsi="Calibri"/>
      <w:szCs w:val="22"/>
    </w:rPr>
  </w:style>
  <w:style w:type="character" w:customStyle="1" w:styleId="longtext">
    <w:name w:val="long_text"/>
    <w:basedOn w:val="a0"/>
    <w:rsid w:val="00DF0CCB"/>
  </w:style>
  <w:style w:type="character" w:customStyle="1" w:styleId="shorttext">
    <w:name w:val="short_text"/>
    <w:basedOn w:val="a0"/>
    <w:rsid w:val="00DF0CCB"/>
  </w:style>
  <w:style w:type="paragraph" w:styleId="afc">
    <w:name w:val="annotation text"/>
    <w:basedOn w:val="a"/>
    <w:link w:val="afd"/>
    <w:unhideWhenUsed/>
    <w:rsid w:val="00DF0CCB"/>
    <w:pPr>
      <w:spacing w:line="480" w:lineRule="auto"/>
      <w:jc w:val="both"/>
    </w:pPr>
    <w:rPr>
      <w:rFonts w:ascii="Calibri" w:hAnsi="Calibri"/>
      <w:szCs w:val="22"/>
    </w:rPr>
  </w:style>
  <w:style w:type="character" w:customStyle="1" w:styleId="afd">
    <w:name w:val="註解文字 字元"/>
    <w:basedOn w:val="a0"/>
    <w:link w:val="afc"/>
    <w:rsid w:val="00DF0CCB"/>
    <w:rPr>
      <w:rFonts w:ascii="Calibri" w:hAnsi="Calibri"/>
      <w:kern w:val="2"/>
      <w:sz w:val="24"/>
      <w:szCs w:val="22"/>
      <w:lang w:val="en-US" w:eastAsia="zh-TW"/>
    </w:rPr>
  </w:style>
  <w:style w:type="character" w:styleId="afe">
    <w:name w:val="annotation reference"/>
    <w:basedOn w:val="a0"/>
    <w:rsid w:val="00DF0CCB"/>
    <w:rPr>
      <w:sz w:val="18"/>
      <w:szCs w:val="18"/>
    </w:rPr>
  </w:style>
  <w:style w:type="paragraph" w:customStyle="1" w:styleId="interpret1">
    <w:name w:val="interpret1"/>
    <w:basedOn w:val="a"/>
    <w:rsid w:val="00DF0CCB"/>
    <w:pPr>
      <w:widowControl/>
      <w:spacing w:before="100" w:beforeAutospacing="1" w:after="100" w:afterAutospacing="1" w:line="480" w:lineRule="auto"/>
      <w:jc w:val="both"/>
    </w:pPr>
    <w:rPr>
      <w:rFonts w:ascii="新細明體" w:hAnsi="新細明體" w:cs="新細明體"/>
      <w:color w:val="000000"/>
      <w:kern w:val="0"/>
      <w:sz w:val="28"/>
      <w:szCs w:val="28"/>
    </w:rPr>
  </w:style>
  <w:style w:type="character" w:customStyle="1" w:styleId="gt-icon-text1">
    <w:name w:val="gt-icon-text1"/>
    <w:basedOn w:val="a0"/>
    <w:rsid w:val="00DF0CCB"/>
  </w:style>
  <w:style w:type="paragraph" w:styleId="aff">
    <w:name w:val="endnote text"/>
    <w:basedOn w:val="a"/>
    <w:link w:val="aff0"/>
    <w:rsid w:val="00DF0CCB"/>
    <w:pPr>
      <w:jc w:val="both"/>
    </w:pPr>
    <w:rPr>
      <w:sz w:val="20"/>
      <w:szCs w:val="20"/>
    </w:rPr>
  </w:style>
  <w:style w:type="character" w:customStyle="1" w:styleId="aff0">
    <w:name w:val="章節附註文字 字元"/>
    <w:basedOn w:val="a0"/>
    <w:link w:val="aff"/>
    <w:rsid w:val="00DF0CCB"/>
    <w:rPr>
      <w:kern w:val="2"/>
      <w:lang w:val="en-US" w:eastAsia="zh-TW"/>
    </w:rPr>
  </w:style>
  <w:style w:type="character" w:styleId="aff1">
    <w:name w:val="endnote reference"/>
    <w:basedOn w:val="a0"/>
    <w:rsid w:val="00DF0CCB"/>
    <w:rPr>
      <w:vertAlign w:val="superscript"/>
    </w:rPr>
  </w:style>
  <w:style w:type="character" w:customStyle="1" w:styleId="st">
    <w:name w:val="st"/>
    <w:basedOn w:val="a0"/>
    <w:rsid w:val="00FE41E2"/>
  </w:style>
  <w:style w:type="paragraph" w:styleId="aff2">
    <w:name w:val="caption"/>
    <w:basedOn w:val="a"/>
    <w:next w:val="a"/>
    <w:uiPriority w:val="35"/>
    <w:unhideWhenUsed/>
    <w:qFormat/>
    <w:rsid w:val="00DD1933"/>
    <w:rPr>
      <w:rFonts w:asciiTheme="minorHAnsi" w:eastAsiaTheme="minorEastAsia" w:hAnsiTheme="minorHAnsi" w:cstheme="minorBidi"/>
      <w:sz w:val="20"/>
      <w:szCs w:val="20"/>
    </w:rPr>
  </w:style>
  <w:style w:type="character" w:customStyle="1" w:styleId="ac">
    <w:name w:val="頁首 字元"/>
    <w:basedOn w:val="a0"/>
    <w:link w:val="ab"/>
    <w:uiPriority w:val="99"/>
    <w:rsid w:val="00F36D8C"/>
    <w:rPr>
      <w:kern w:val="2"/>
      <w:lang w:val="en-US" w:eastAsia="zh-TW"/>
    </w:rPr>
  </w:style>
  <w:style w:type="character" w:customStyle="1" w:styleId="a9">
    <w:name w:val="頁尾 字元"/>
    <w:basedOn w:val="a0"/>
    <w:link w:val="a8"/>
    <w:uiPriority w:val="99"/>
    <w:rsid w:val="00F36D8C"/>
    <w:rPr>
      <w:kern w:val="2"/>
      <w:lang w:val="en-US" w:eastAsia="zh-TW"/>
    </w:rPr>
  </w:style>
  <w:style w:type="character" w:customStyle="1" w:styleId="af0">
    <w:name w:val="註解方塊文字 字元"/>
    <w:basedOn w:val="a0"/>
    <w:link w:val="af"/>
    <w:uiPriority w:val="99"/>
    <w:semiHidden/>
    <w:rsid w:val="00F36D8C"/>
    <w:rPr>
      <w:rFonts w:ascii="Arial" w:hAnsi="Arial"/>
      <w:kern w:val="2"/>
      <w:sz w:val="18"/>
      <w:szCs w:val="18"/>
      <w:lang w:val="en-US" w:eastAsia="zh-TW"/>
    </w:rPr>
  </w:style>
  <w:style w:type="paragraph" w:styleId="11">
    <w:name w:val="toc 1"/>
    <w:basedOn w:val="a"/>
    <w:next w:val="a"/>
    <w:autoRedefine/>
    <w:uiPriority w:val="39"/>
    <w:unhideWhenUsed/>
    <w:qFormat/>
    <w:rsid w:val="00F36D8C"/>
    <w:pPr>
      <w:tabs>
        <w:tab w:val="right" w:leader="dot" w:pos="8777"/>
      </w:tabs>
      <w:spacing w:line="360" w:lineRule="auto"/>
    </w:pPr>
    <w:rPr>
      <w:rFonts w:eastAsiaTheme="minorEastAsia"/>
      <w:noProof/>
      <w:sz w:val="26"/>
      <w:szCs w:val="26"/>
    </w:rPr>
  </w:style>
  <w:style w:type="character" w:customStyle="1" w:styleId="10">
    <w:name w:val="標題 1 字元"/>
    <w:basedOn w:val="a0"/>
    <w:link w:val="1"/>
    <w:uiPriority w:val="9"/>
    <w:rsid w:val="00F36D8C"/>
    <w:rPr>
      <w:rFonts w:ascii="新細明體" w:hAnsi="新細明體" w:cs="新細明體"/>
      <w:b/>
      <w:bCs/>
      <w:kern w:val="36"/>
      <w:sz w:val="48"/>
      <w:szCs w:val="48"/>
      <w:lang w:val="en-US" w:eastAsia="zh-TW"/>
    </w:rPr>
  </w:style>
  <w:style w:type="paragraph" w:styleId="aff3">
    <w:name w:val="TOC Heading"/>
    <w:basedOn w:val="1"/>
    <w:next w:val="a"/>
    <w:uiPriority w:val="39"/>
    <w:unhideWhenUsed/>
    <w:qFormat/>
    <w:rsid w:val="00F36D8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F36D8C"/>
    <w:pPr>
      <w:widowControl/>
      <w:spacing w:after="100" w:line="276" w:lineRule="auto"/>
      <w:ind w:left="220"/>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F36D8C"/>
    <w:pPr>
      <w:widowControl/>
      <w:spacing w:after="100" w:line="276" w:lineRule="auto"/>
      <w:ind w:left="440"/>
    </w:pPr>
    <w:rPr>
      <w:rFonts w:asciiTheme="minorHAnsi" w:eastAsiaTheme="minorEastAsia" w:hAnsiTheme="minorHAnsi" w:cstheme="minorBidi"/>
      <w:kern w:val="0"/>
      <w:sz w:val="22"/>
      <w:szCs w:val="22"/>
    </w:rPr>
  </w:style>
  <w:style w:type="character" w:styleId="aff4">
    <w:name w:val="FollowedHyperlink"/>
    <w:basedOn w:val="a0"/>
    <w:uiPriority w:val="99"/>
    <w:unhideWhenUsed/>
    <w:rsid w:val="00F36D8C"/>
    <w:rPr>
      <w:color w:val="800080" w:themeColor="followedHyperlink"/>
      <w:u w:val="single"/>
    </w:rPr>
  </w:style>
  <w:style w:type="paragraph" w:styleId="aff5">
    <w:name w:val="table of figures"/>
    <w:basedOn w:val="a"/>
    <w:next w:val="a"/>
    <w:uiPriority w:val="99"/>
    <w:unhideWhenUsed/>
    <w:rsid w:val="00F36D8C"/>
    <w:pPr>
      <w:ind w:leftChars="400" w:left="400" w:hangingChars="200" w:hanging="200"/>
    </w:pPr>
    <w:rPr>
      <w:rFonts w:asciiTheme="minorHAnsi" w:eastAsiaTheme="minorEastAsia" w:hAnsiTheme="minorHAnsi" w:cstheme="minorBidi"/>
      <w:szCs w:val="22"/>
    </w:rPr>
  </w:style>
  <w:style w:type="character" w:styleId="aff6">
    <w:name w:val="Placeholder Text"/>
    <w:basedOn w:val="a0"/>
    <w:uiPriority w:val="99"/>
    <w:semiHidden/>
    <w:rsid w:val="00F36D8C"/>
    <w:rPr>
      <w:color w:val="808080"/>
    </w:rPr>
  </w:style>
  <w:style w:type="paragraph" w:styleId="aff7">
    <w:name w:val="No Spacing"/>
    <w:link w:val="aff8"/>
    <w:uiPriority w:val="1"/>
    <w:qFormat/>
    <w:rsid w:val="00F36D8C"/>
    <w:rPr>
      <w:rFonts w:asciiTheme="minorHAnsi" w:eastAsiaTheme="minorEastAsia" w:hAnsiTheme="minorHAnsi" w:cstheme="minorBidi"/>
      <w:sz w:val="22"/>
      <w:szCs w:val="22"/>
      <w:lang w:val="en-US" w:eastAsia="zh-TW"/>
    </w:rPr>
  </w:style>
  <w:style w:type="character" w:customStyle="1" w:styleId="aff8">
    <w:name w:val="無間距 字元"/>
    <w:basedOn w:val="a0"/>
    <w:link w:val="aff7"/>
    <w:uiPriority w:val="1"/>
    <w:rsid w:val="00F36D8C"/>
    <w:rPr>
      <w:rFonts w:asciiTheme="minorHAnsi" w:eastAsiaTheme="minorEastAsia" w:hAnsiTheme="minorHAnsi" w:cstheme="minorBidi"/>
      <w:sz w:val="22"/>
      <w:szCs w:val="22"/>
      <w:lang w:val="en-US" w:eastAsia="zh-TW"/>
    </w:rPr>
  </w:style>
  <w:style w:type="character" w:customStyle="1" w:styleId="FootnoteTextChar1">
    <w:name w:val="Footnote Text Char1"/>
    <w:rsid w:val="001156CC"/>
    <w:rPr>
      <w:rFonts w:ascii="Calibri" w:eastAsia="新細明體" w:hAnsi="Calibri"/>
      <w:lang w:val="x-none" w:eastAsia="x-none" w:bidi="ar-SA"/>
    </w:rPr>
  </w:style>
  <w:style w:type="character" w:customStyle="1" w:styleId="aff9">
    <w:name w:val="字元 字元"/>
    <w:basedOn w:val="a0"/>
    <w:rsid w:val="00D50845"/>
    <w:rPr>
      <w:rFonts w:eastAsia="新細明體" w:cs="Angsana New"/>
      <w:kern w:val="1"/>
      <w:lang w:val="en-US" w:eastAsia="ar-SA" w:bidi="ar-SA"/>
    </w:rPr>
  </w:style>
  <w:style w:type="character" w:customStyle="1" w:styleId="FootnoteCharacters">
    <w:name w:val="Footnote Characters"/>
    <w:basedOn w:val="a0"/>
    <w:rsid w:val="00314109"/>
    <w:rPr>
      <w:vertAlign w:val="superscript"/>
    </w:rPr>
  </w:style>
  <w:style w:type="character" w:customStyle="1" w:styleId="22">
    <w:name w:val="註腳參照2"/>
    <w:rsid w:val="00314109"/>
    <w:rPr>
      <w:vertAlign w:val="superscript"/>
    </w:rPr>
  </w:style>
  <w:style w:type="character" w:customStyle="1" w:styleId="ft5">
    <w:name w:val="ft5"/>
    <w:basedOn w:val="a0"/>
    <w:rsid w:val="00450734"/>
  </w:style>
  <w:style w:type="character" w:customStyle="1" w:styleId="citationjournal">
    <w:name w:val="citation journal"/>
    <w:basedOn w:val="a0"/>
    <w:rsid w:val="00450734"/>
  </w:style>
  <w:style w:type="character" w:customStyle="1" w:styleId="f1">
    <w:name w:val="f1"/>
    <w:rsid w:val="00450734"/>
    <w:rPr>
      <w:color w:val="0000FF"/>
    </w:rPr>
  </w:style>
  <w:style w:type="character" w:customStyle="1" w:styleId="apple-converted-space">
    <w:name w:val="apple-converted-space"/>
    <w:basedOn w:val="a0"/>
    <w:rsid w:val="001E1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i.org/10.1016/j.jacceco.2004.06.0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doi.org/10.1111/1540-6261.00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255F6-A66F-4BE9-868C-9C5BE1D4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5811</Words>
  <Characters>33125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1</vt:lpstr>
    </vt:vector>
  </TitlesOfParts>
  <Company>CHU</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Willy</dc:creator>
  <cp:lastModifiedBy>ty621025@outlook.com</cp:lastModifiedBy>
  <cp:revision>2</cp:revision>
  <cp:lastPrinted>2016-06-17T14:16:00Z</cp:lastPrinted>
  <dcterms:created xsi:type="dcterms:W3CDTF">2022-10-12T04:05:00Z</dcterms:created>
  <dcterms:modified xsi:type="dcterms:W3CDTF">2022-10-12T04:05:00Z</dcterms:modified>
</cp:coreProperties>
</file>