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1" w:rsidRPr="00734837" w:rsidRDefault="00CA64A1" w:rsidP="00011703">
      <w:pPr>
        <w:keepNext/>
        <w:keepLines/>
        <w:spacing w:before="480" w:after="0"/>
        <w:jc w:val="center"/>
        <w:outlineLvl w:val="0"/>
        <w:rPr>
          <w:rFonts w:ascii="Times New Roman" w:eastAsiaTheme="majorEastAsia" w:hAnsi="Times New Roman" w:cs="Times New Roman"/>
          <w:b/>
          <w:bCs/>
          <w:sz w:val="28"/>
          <w:szCs w:val="28"/>
          <w:lang w:val="en-GB"/>
        </w:rPr>
      </w:pPr>
      <w:bookmarkStart w:id="0" w:name="_Toc423924901"/>
      <w:r>
        <w:rPr>
          <w:rFonts w:ascii="Times New Roman" w:eastAsiaTheme="majorEastAsia" w:hAnsi="Times New Roman" w:cs="Times New Roman"/>
          <w:b/>
          <w:bCs/>
          <w:sz w:val="28"/>
          <w:szCs w:val="28"/>
          <w:lang w:val="en-GB"/>
        </w:rPr>
        <w:t>Optimized Portfolio</w:t>
      </w:r>
      <w:bookmarkStart w:id="1" w:name="_GoBack"/>
      <w:bookmarkEnd w:id="1"/>
      <w:r w:rsidR="0041610E" w:rsidRPr="00734837">
        <w:rPr>
          <w:rFonts w:ascii="Times New Roman" w:eastAsiaTheme="majorEastAsia" w:hAnsi="Times New Roman" w:cs="Times New Roman"/>
          <w:b/>
          <w:bCs/>
          <w:sz w:val="28"/>
          <w:szCs w:val="28"/>
          <w:lang w:val="en-GB"/>
        </w:rPr>
        <w:t xml:space="preserve"> Across</w:t>
      </w:r>
      <w:r>
        <w:rPr>
          <w:rFonts w:ascii="Times New Roman" w:eastAsiaTheme="majorEastAsia" w:hAnsi="Times New Roman" w:cs="Times New Roman"/>
          <w:b/>
          <w:bCs/>
          <w:sz w:val="28"/>
          <w:szCs w:val="28"/>
          <w:lang w:val="en-GB"/>
        </w:rPr>
        <w:t xml:space="preserve"> African Stock Markets</w:t>
      </w:r>
    </w:p>
    <w:p w:rsidR="00A35C81" w:rsidRPr="00734837" w:rsidRDefault="00A35C81" w:rsidP="00A35C81">
      <w:pPr>
        <w:rPr>
          <w:rFonts w:ascii="Times New Roman" w:hAnsi="Times New Roman" w:cs="Times New Roman"/>
          <w:lang w:val="en-GB"/>
        </w:rPr>
      </w:pPr>
    </w:p>
    <w:bookmarkEnd w:id="0"/>
    <w:p w:rsidR="00C16CE1" w:rsidRPr="00734837" w:rsidRDefault="00C16CE1" w:rsidP="00A35C81">
      <w:pPr>
        <w:pStyle w:val="Heading1"/>
        <w:spacing w:line="240" w:lineRule="auto"/>
        <w:jc w:val="left"/>
        <w:rPr>
          <w:rFonts w:cs="Times New Roman"/>
        </w:rPr>
      </w:pPr>
    </w:p>
    <w:p w:rsidR="00B571E4" w:rsidRPr="00734837" w:rsidRDefault="00B571E4" w:rsidP="00B571E4">
      <w:pPr>
        <w:rPr>
          <w:rFonts w:ascii="Times New Roman" w:hAnsi="Times New Roman" w:cs="Times New Roman"/>
        </w:rPr>
      </w:pPr>
    </w:p>
    <w:p w:rsidR="00B571E4" w:rsidRPr="00734837" w:rsidRDefault="00B571E4" w:rsidP="00B571E4">
      <w:pPr>
        <w:rPr>
          <w:rFonts w:ascii="Times New Roman" w:hAnsi="Times New Roman" w:cs="Times New Roman"/>
        </w:rPr>
      </w:pPr>
    </w:p>
    <w:p w:rsidR="00B571E4" w:rsidRPr="00734837" w:rsidRDefault="00B571E4" w:rsidP="00B571E4">
      <w:pPr>
        <w:rPr>
          <w:rFonts w:ascii="Times New Roman" w:hAnsi="Times New Roman" w:cs="Times New Roman"/>
        </w:rPr>
      </w:pPr>
    </w:p>
    <w:p w:rsidR="00705E25" w:rsidRPr="00734837" w:rsidRDefault="00A35C81" w:rsidP="00A35C81">
      <w:pPr>
        <w:pStyle w:val="Heading1"/>
        <w:spacing w:line="240" w:lineRule="auto"/>
        <w:jc w:val="left"/>
        <w:rPr>
          <w:rFonts w:cs="Times New Roman"/>
        </w:rPr>
      </w:pPr>
      <w:r w:rsidRPr="00734837">
        <w:rPr>
          <w:rFonts w:cs="Times New Roman"/>
        </w:rPr>
        <w:t>Abstract</w:t>
      </w:r>
    </w:p>
    <w:p w:rsidR="00705E25" w:rsidRPr="00734837" w:rsidRDefault="001D0B0D" w:rsidP="003330D3">
      <w:pPr>
        <w:spacing w:after="160" w:line="240" w:lineRule="auto"/>
        <w:jc w:val="both"/>
        <w:rPr>
          <w:rFonts w:ascii="Times New Roman" w:hAnsi="Times New Roman" w:cs="Times New Roman"/>
          <w:sz w:val="24"/>
          <w:szCs w:val="24"/>
        </w:rPr>
      </w:pPr>
      <w:r w:rsidRPr="00734837">
        <w:rPr>
          <w:rFonts w:ascii="Times New Roman" w:hAnsi="Times New Roman" w:cs="Times New Roman"/>
          <w:sz w:val="24"/>
          <w:szCs w:val="24"/>
        </w:rPr>
        <w:t xml:space="preserve">Using </w:t>
      </w:r>
      <w:r w:rsidR="003330D3" w:rsidRPr="00734837">
        <w:rPr>
          <w:rFonts w:ascii="Times New Roman" w:hAnsi="Times New Roman" w:cs="Times New Roman"/>
          <w:sz w:val="24"/>
          <w:szCs w:val="24"/>
        </w:rPr>
        <w:t xml:space="preserve">data from eleven African stock markets </w:t>
      </w:r>
      <w:r w:rsidR="00400E48" w:rsidRPr="00734837">
        <w:rPr>
          <w:rFonts w:ascii="Times New Roman" w:hAnsi="Times New Roman" w:cs="Times New Roman"/>
          <w:sz w:val="24"/>
          <w:szCs w:val="24"/>
        </w:rPr>
        <w:t>between the years</w:t>
      </w:r>
      <w:r w:rsidR="00B33192" w:rsidRPr="00734837">
        <w:rPr>
          <w:rFonts w:ascii="Times New Roman" w:hAnsi="Times New Roman" w:cs="Times New Roman"/>
          <w:sz w:val="24"/>
          <w:szCs w:val="24"/>
        </w:rPr>
        <w:t xml:space="preserve"> 2000-214 and adopting the </w:t>
      </w:r>
      <w:r w:rsidRPr="00734837">
        <w:rPr>
          <w:rFonts w:ascii="Times New Roman" w:hAnsi="Times New Roman" w:cs="Times New Roman"/>
          <w:sz w:val="24"/>
          <w:szCs w:val="24"/>
        </w:rPr>
        <w:t>M</w:t>
      </w:r>
      <w:r w:rsidR="00B33192" w:rsidRPr="00734837">
        <w:rPr>
          <w:rFonts w:ascii="Times New Roman" w:hAnsi="Times New Roman" w:cs="Times New Roman"/>
          <w:sz w:val="24"/>
          <w:szCs w:val="24"/>
        </w:rPr>
        <w:t>arkowitz optimization technique</w:t>
      </w:r>
      <w:r w:rsidRPr="00734837">
        <w:rPr>
          <w:rFonts w:ascii="Times New Roman" w:hAnsi="Times New Roman" w:cs="Times New Roman"/>
          <w:sz w:val="24"/>
          <w:szCs w:val="24"/>
        </w:rPr>
        <w:t xml:space="preserve">, we construct the optimum portfolio and the minimum variance portfolio across eleven African stock markets. </w:t>
      </w:r>
      <w:r w:rsidR="003330D3" w:rsidRPr="00734837">
        <w:rPr>
          <w:rFonts w:ascii="Times New Roman" w:hAnsi="Times New Roman" w:cs="Times New Roman"/>
          <w:sz w:val="24"/>
          <w:szCs w:val="24"/>
        </w:rPr>
        <w:t xml:space="preserve">We find that, efficient allocation of assets across the African continents can offer better risk-return trade off than an investment that is country specific. The result is robust, as the bootstrap technique adopted did not significantly vary the results. </w:t>
      </w:r>
      <w:r w:rsidR="00C16CE1" w:rsidRPr="00734837">
        <w:rPr>
          <w:rFonts w:ascii="Times New Roman" w:hAnsi="Times New Roman" w:cs="Times New Roman"/>
          <w:sz w:val="24"/>
          <w:szCs w:val="24"/>
        </w:rPr>
        <w:t>Finally, comparing the risk and return of the optimum portfolio to the Standard and Poor Dow Jones index shows there is a reward for bearing extra risk to invest in Africa.</w:t>
      </w:r>
    </w:p>
    <w:p w:rsidR="008649D9" w:rsidRPr="00734837" w:rsidRDefault="008649D9" w:rsidP="00DB671E">
      <w:pPr>
        <w:spacing w:after="160" w:line="240" w:lineRule="auto"/>
        <w:rPr>
          <w:rFonts w:ascii="Times New Roman" w:hAnsi="Times New Roman" w:cs="Times New Roman"/>
          <w:sz w:val="24"/>
          <w:szCs w:val="24"/>
        </w:rPr>
      </w:pPr>
    </w:p>
    <w:p w:rsidR="00705E25" w:rsidRPr="00734837" w:rsidRDefault="00100E2F" w:rsidP="00DB671E">
      <w:pPr>
        <w:spacing w:after="160" w:line="240" w:lineRule="auto"/>
        <w:rPr>
          <w:rFonts w:ascii="Times New Roman" w:hAnsi="Times New Roman" w:cs="Times New Roman"/>
          <w:sz w:val="24"/>
          <w:szCs w:val="24"/>
        </w:rPr>
      </w:pPr>
      <w:r w:rsidRPr="00734837">
        <w:rPr>
          <w:rFonts w:ascii="Times New Roman" w:hAnsi="Times New Roman" w:cs="Times New Roman"/>
          <w:sz w:val="24"/>
          <w:szCs w:val="24"/>
        </w:rPr>
        <w:t xml:space="preserve">Keywords: Asset Allocation, African Stock Markets, investments, </w:t>
      </w:r>
      <w:r w:rsidR="0008260B" w:rsidRPr="00734837">
        <w:rPr>
          <w:rFonts w:ascii="Times New Roman" w:hAnsi="Times New Roman" w:cs="Times New Roman"/>
          <w:sz w:val="24"/>
          <w:szCs w:val="24"/>
        </w:rPr>
        <w:t xml:space="preserve">portfolio theory, </w:t>
      </w:r>
      <w:r w:rsidR="00034AAD" w:rsidRPr="00734837">
        <w:rPr>
          <w:rFonts w:ascii="Times New Roman" w:hAnsi="Times New Roman" w:cs="Times New Roman"/>
          <w:sz w:val="24"/>
          <w:szCs w:val="24"/>
        </w:rPr>
        <w:t xml:space="preserve">optimal </w:t>
      </w:r>
      <w:r w:rsidR="005B48E2" w:rsidRPr="00734837">
        <w:rPr>
          <w:rFonts w:ascii="Times New Roman" w:hAnsi="Times New Roman" w:cs="Times New Roman"/>
          <w:sz w:val="24"/>
          <w:szCs w:val="24"/>
        </w:rPr>
        <w:t>portfolio</w:t>
      </w:r>
      <w:r w:rsidR="005F1793" w:rsidRPr="00734837">
        <w:rPr>
          <w:rFonts w:ascii="Times New Roman" w:hAnsi="Times New Roman" w:cs="Times New Roman"/>
          <w:sz w:val="24"/>
          <w:szCs w:val="24"/>
        </w:rPr>
        <w:t>, bootstrapping</w:t>
      </w:r>
    </w:p>
    <w:p w:rsidR="00EE0945" w:rsidRPr="00734837" w:rsidRDefault="00EE0945" w:rsidP="00DB671E">
      <w:pPr>
        <w:spacing w:after="160" w:line="240" w:lineRule="auto"/>
        <w:rPr>
          <w:rFonts w:ascii="Times New Roman" w:hAnsi="Times New Roman" w:cs="Times New Roman"/>
          <w:sz w:val="24"/>
          <w:szCs w:val="24"/>
        </w:rPr>
      </w:pPr>
    </w:p>
    <w:p w:rsidR="00EE0945" w:rsidRPr="00734837" w:rsidRDefault="00EE0945" w:rsidP="00DB671E">
      <w:pPr>
        <w:spacing w:after="160" w:line="240" w:lineRule="auto"/>
        <w:rPr>
          <w:rFonts w:ascii="Times New Roman" w:hAnsi="Times New Roman" w:cs="Times New Roman"/>
          <w:sz w:val="24"/>
          <w:szCs w:val="24"/>
        </w:rPr>
      </w:pPr>
    </w:p>
    <w:p w:rsidR="00EE0945" w:rsidRPr="00734837" w:rsidRDefault="00EE0945" w:rsidP="00DB671E">
      <w:pPr>
        <w:spacing w:after="160" w:line="240" w:lineRule="auto"/>
        <w:rPr>
          <w:rFonts w:ascii="Times New Roman" w:hAnsi="Times New Roman" w:cs="Times New Roman"/>
          <w:sz w:val="24"/>
          <w:szCs w:val="24"/>
        </w:rPr>
      </w:pPr>
    </w:p>
    <w:p w:rsidR="00EE0945" w:rsidRPr="00734837" w:rsidRDefault="00EE0945" w:rsidP="00DB671E">
      <w:pPr>
        <w:spacing w:after="160" w:line="240" w:lineRule="auto"/>
        <w:rPr>
          <w:rFonts w:ascii="Times New Roman" w:hAnsi="Times New Roman" w:cs="Times New Roman"/>
          <w:sz w:val="24"/>
          <w:szCs w:val="24"/>
        </w:rPr>
      </w:pPr>
    </w:p>
    <w:p w:rsidR="00EE0945" w:rsidRPr="00734837" w:rsidRDefault="00EE0945" w:rsidP="00DB671E">
      <w:pPr>
        <w:spacing w:after="160" w:line="240" w:lineRule="auto"/>
        <w:rPr>
          <w:rFonts w:ascii="Times New Roman" w:hAnsi="Times New Roman" w:cs="Times New Roman"/>
          <w:sz w:val="24"/>
          <w:szCs w:val="24"/>
        </w:rPr>
      </w:pPr>
    </w:p>
    <w:p w:rsidR="00EE0945" w:rsidRPr="00734837" w:rsidRDefault="00EE0945" w:rsidP="00DB671E">
      <w:pPr>
        <w:spacing w:after="160" w:line="240" w:lineRule="auto"/>
        <w:rPr>
          <w:rFonts w:ascii="Times New Roman" w:hAnsi="Times New Roman" w:cs="Times New Roman"/>
          <w:sz w:val="24"/>
          <w:szCs w:val="24"/>
        </w:rPr>
      </w:pPr>
    </w:p>
    <w:p w:rsidR="00705E25" w:rsidRPr="00734837" w:rsidRDefault="00705E25" w:rsidP="00DB671E">
      <w:pPr>
        <w:spacing w:after="160" w:line="240" w:lineRule="auto"/>
        <w:rPr>
          <w:rFonts w:ascii="Times New Roman" w:hAnsi="Times New Roman" w:cs="Times New Roman"/>
          <w:sz w:val="24"/>
          <w:szCs w:val="24"/>
        </w:rPr>
      </w:pPr>
    </w:p>
    <w:p w:rsidR="00100E2F" w:rsidRPr="00734837" w:rsidRDefault="00100E2F" w:rsidP="00A35C81">
      <w:pPr>
        <w:pStyle w:val="Heading1"/>
        <w:numPr>
          <w:ilvl w:val="0"/>
          <w:numId w:val="5"/>
        </w:numPr>
        <w:spacing w:line="240" w:lineRule="auto"/>
        <w:jc w:val="left"/>
        <w:rPr>
          <w:rFonts w:cs="Times New Roman"/>
          <w:sz w:val="24"/>
          <w:szCs w:val="24"/>
        </w:rPr>
        <w:sectPr w:rsidR="00100E2F" w:rsidRPr="00734837" w:rsidSect="00100E2F">
          <w:footerReference w:type="default" r:id="rId9"/>
          <w:pgSz w:w="12240" w:h="15840"/>
          <w:pgMar w:top="1440" w:right="1440" w:bottom="1440" w:left="1440" w:header="720" w:footer="720" w:gutter="0"/>
          <w:pgNumType w:start="0"/>
          <w:cols w:space="720"/>
          <w:docGrid w:linePitch="360"/>
        </w:sectPr>
      </w:pPr>
      <w:bookmarkStart w:id="2" w:name="_Toc423924903"/>
    </w:p>
    <w:p w:rsidR="00AC0A64" w:rsidRPr="00734837" w:rsidRDefault="00AC0A64" w:rsidP="00A35C81">
      <w:pPr>
        <w:pStyle w:val="Heading1"/>
        <w:numPr>
          <w:ilvl w:val="0"/>
          <w:numId w:val="5"/>
        </w:numPr>
        <w:spacing w:line="240" w:lineRule="auto"/>
        <w:jc w:val="left"/>
        <w:rPr>
          <w:rFonts w:cs="Times New Roman"/>
          <w:sz w:val="24"/>
          <w:szCs w:val="24"/>
        </w:rPr>
      </w:pPr>
      <w:r w:rsidRPr="00734837">
        <w:rPr>
          <w:rFonts w:cs="Times New Roman"/>
          <w:sz w:val="24"/>
          <w:szCs w:val="24"/>
        </w:rPr>
        <w:lastRenderedPageBreak/>
        <w:t>INTRODUCTION</w:t>
      </w:r>
      <w:bookmarkEnd w:id="2"/>
      <w:r w:rsidR="003264E8" w:rsidRPr="00734837">
        <w:rPr>
          <w:rFonts w:cs="Times New Roman"/>
          <w:sz w:val="24"/>
          <w:szCs w:val="24"/>
        </w:rPr>
        <w:tab/>
      </w:r>
    </w:p>
    <w:p w:rsidR="00A448BE" w:rsidRPr="00734837" w:rsidRDefault="000D438B" w:rsidP="00DB671E">
      <w:pPr>
        <w:spacing w:after="360" w:line="240" w:lineRule="auto"/>
        <w:jc w:val="both"/>
        <w:rPr>
          <w:rFonts w:ascii="Times New Roman" w:hAnsi="Times New Roman" w:cs="Times New Roman"/>
          <w:sz w:val="24"/>
          <w:szCs w:val="24"/>
        </w:rPr>
      </w:pPr>
      <w:r w:rsidRPr="00734837">
        <w:rPr>
          <w:rFonts w:ascii="Times New Roman" w:hAnsi="Times New Roman" w:cs="Times New Roman"/>
          <w:color w:val="000000"/>
          <w:sz w:val="24"/>
          <w:szCs w:val="24"/>
        </w:rPr>
        <w:t>Recently</w:t>
      </w:r>
      <w:r w:rsidR="00AC0A64" w:rsidRPr="00734837">
        <w:rPr>
          <w:rFonts w:ascii="Times New Roman" w:hAnsi="Times New Roman" w:cs="Times New Roman"/>
          <w:color w:val="000000"/>
          <w:sz w:val="24"/>
          <w:szCs w:val="24"/>
        </w:rPr>
        <w:t>,</w:t>
      </w:r>
      <w:r w:rsidR="00AC0A64" w:rsidRPr="00734837">
        <w:rPr>
          <w:rFonts w:ascii="Times New Roman" w:hAnsi="Times New Roman" w:cs="Times New Roman"/>
          <w:sz w:val="24"/>
          <w:szCs w:val="24"/>
        </w:rPr>
        <w:t xml:space="preserve"> the </w:t>
      </w:r>
      <w:r w:rsidR="00E35369" w:rsidRPr="00734837">
        <w:rPr>
          <w:rFonts w:ascii="Times New Roman" w:hAnsi="Times New Roman" w:cs="Times New Roman"/>
          <w:sz w:val="24"/>
          <w:szCs w:val="24"/>
        </w:rPr>
        <w:t xml:space="preserve">power and </w:t>
      </w:r>
      <w:r w:rsidR="000932A1" w:rsidRPr="00734837">
        <w:rPr>
          <w:rFonts w:ascii="Times New Roman" w:hAnsi="Times New Roman" w:cs="Times New Roman"/>
          <w:sz w:val="24"/>
          <w:szCs w:val="24"/>
        </w:rPr>
        <w:t>advanced</w:t>
      </w:r>
      <w:r w:rsidR="00E35369" w:rsidRPr="00734837">
        <w:rPr>
          <w:rFonts w:ascii="Times New Roman" w:hAnsi="Times New Roman" w:cs="Times New Roman"/>
          <w:sz w:val="24"/>
          <w:szCs w:val="24"/>
        </w:rPr>
        <w:t xml:space="preserve"> features of computers have made the </w:t>
      </w:r>
      <w:r w:rsidR="00AC0A64" w:rsidRPr="00734837">
        <w:rPr>
          <w:rFonts w:ascii="Times New Roman" w:hAnsi="Times New Roman" w:cs="Times New Roman"/>
          <w:sz w:val="24"/>
          <w:szCs w:val="24"/>
        </w:rPr>
        <w:t>application of the Portfolio Theory (PT) d</w:t>
      </w:r>
      <w:r w:rsidR="00970A97" w:rsidRPr="00734837">
        <w:rPr>
          <w:rFonts w:ascii="Times New Roman" w:hAnsi="Times New Roman" w:cs="Times New Roman"/>
          <w:sz w:val="24"/>
          <w:szCs w:val="24"/>
        </w:rPr>
        <w:t xml:space="preserve">eveloped by Markowitz (1952) </w:t>
      </w:r>
      <w:r w:rsidR="00AC0A64" w:rsidRPr="00734837">
        <w:rPr>
          <w:rFonts w:ascii="Times New Roman" w:hAnsi="Times New Roman" w:cs="Times New Roman"/>
          <w:sz w:val="24"/>
          <w:szCs w:val="24"/>
        </w:rPr>
        <w:t xml:space="preserve">prominent in </w:t>
      </w:r>
      <w:r w:rsidR="00970A97" w:rsidRPr="00734837">
        <w:rPr>
          <w:rFonts w:ascii="Times New Roman" w:hAnsi="Times New Roman" w:cs="Times New Roman"/>
          <w:sz w:val="24"/>
          <w:szCs w:val="24"/>
        </w:rPr>
        <w:t xml:space="preserve">the </w:t>
      </w:r>
      <w:r w:rsidR="008232D2" w:rsidRPr="00734837">
        <w:rPr>
          <w:rFonts w:ascii="Times New Roman" w:hAnsi="Times New Roman" w:cs="Times New Roman"/>
          <w:sz w:val="24"/>
          <w:szCs w:val="24"/>
        </w:rPr>
        <w:t>modeling</w:t>
      </w:r>
      <w:r w:rsidR="00CA4B64" w:rsidRPr="00734837">
        <w:rPr>
          <w:rFonts w:ascii="Times New Roman" w:hAnsi="Times New Roman" w:cs="Times New Roman"/>
          <w:sz w:val="24"/>
          <w:szCs w:val="24"/>
        </w:rPr>
        <w:t xml:space="preserve"> and allocating</w:t>
      </w:r>
      <w:r w:rsidR="00AC0A64" w:rsidRPr="00734837">
        <w:rPr>
          <w:rFonts w:ascii="Times New Roman" w:hAnsi="Times New Roman" w:cs="Times New Roman"/>
          <w:sz w:val="24"/>
          <w:szCs w:val="24"/>
        </w:rPr>
        <w:t xml:space="preserve"> </w:t>
      </w:r>
      <w:r w:rsidR="00970A97" w:rsidRPr="00734837">
        <w:rPr>
          <w:rFonts w:ascii="Times New Roman" w:hAnsi="Times New Roman" w:cs="Times New Roman"/>
          <w:sz w:val="24"/>
          <w:szCs w:val="24"/>
        </w:rPr>
        <w:t xml:space="preserve">of </w:t>
      </w:r>
      <w:r w:rsidR="00AC0A64" w:rsidRPr="00734837">
        <w:rPr>
          <w:rFonts w:ascii="Times New Roman" w:hAnsi="Times New Roman" w:cs="Times New Roman"/>
          <w:sz w:val="24"/>
          <w:szCs w:val="24"/>
        </w:rPr>
        <w:t>assets</w:t>
      </w:r>
      <w:r w:rsidRPr="00734837">
        <w:rPr>
          <w:rFonts w:ascii="Times New Roman" w:hAnsi="Times New Roman" w:cs="Times New Roman"/>
          <w:sz w:val="24"/>
          <w:szCs w:val="24"/>
        </w:rPr>
        <w:t xml:space="preserve"> in both academia and industry</w:t>
      </w:r>
      <w:r w:rsidR="00AC0A64" w:rsidRPr="00734837">
        <w:rPr>
          <w:rFonts w:ascii="Times New Roman" w:hAnsi="Times New Roman" w:cs="Times New Roman"/>
          <w:sz w:val="24"/>
          <w:szCs w:val="24"/>
        </w:rPr>
        <w:t xml:space="preserve"> </w:t>
      </w:r>
      <w:r w:rsidR="00AC0A64" w:rsidRPr="00734837">
        <w:rPr>
          <w:rFonts w:ascii="Times New Roman" w:hAnsi="Times New Roman" w:cs="Times New Roman"/>
          <w:noProof/>
          <w:sz w:val="24"/>
          <w:szCs w:val="24"/>
        </w:rPr>
        <w:t>(</w:t>
      </w:r>
      <w:r w:rsidR="0005756C" w:rsidRPr="00734837">
        <w:rPr>
          <w:rFonts w:ascii="Times New Roman" w:hAnsi="Times New Roman" w:cs="Times New Roman"/>
          <w:noProof/>
          <w:sz w:val="24"/>
          <w:szCs w:val="24"/>
        </w:rPr>
        <w:t xml:space="preserve">Wang </w:t>
      </w:r>
      <w:r w:rsidR="00693D1C" w:rsidRPr="00734837">
        <w:rPr>
          <w:rFonts w:ascii="Times New Roman" w:hAnsi="Times New Roman" w:cs="Times New Roman"/>
          <w:noProof/>
          <w:sz w:val="24"/>
          <w:szCs w:val="24"/>
        </w:rPr>
        <w:t>and</w:t>
      </w:r>
      <w:r w:rsidR="0005756C" w:rsidRPr="00734837">
        <w:rPr>
          <w:rFonts w:ascii="Times New Roman" w:hAnsi="Times New Roman" w:cs="Times New Roman"/>
          <w:noProof/>
          <w:sz w:val="24"/>
          <w:szCs w:val="24"/>
        </w:rPr>
        <w:t xml:space="preserve"> Forsyth, 2011; </w:t>
      </w:r>
      <w:r w:rsidR="00AC0A64" w:rsidRPr="00734837">
        <w:rPr>
          <w:rFonts w:ascii="Times New Roman" w:hAnsi="Times New Roman" w:cs="Times New Roman"/>
          <w:noProof/>
          <w:sz w:val="24"/>
          <w:szCs w:val="24"/>
        </w:rPr>
        <w:t xml:space="preserve">Huang </w:t>
      </w:r>
      <w:r w:rsidR="00693D1C" w:rsidRPr="00734837">
        <w:rPr>
          <w:rFonts w:ascii="Times New Roman" w:hAnsi="Times New Roman" w:cs="Times New Roman"/>
          <w:noProof/>
          <w:sz w:val="24"/>
          <w:szCs w:val="24"/>
        </w:rPr>
        <w:t>and</w:t>
      </w:r>
      <w:r w:rsidR="00AC0A64" w:rsidRPr="00734837">
        <w:rPr>
          <w:rFonts w:ascii="Times New Roman" w:hAnsi="Times New Roman" w:cs="Times New Roman"/>
          <w:noProof/>
          <w:sz w:val="24"/>
          <w:szCs w:val="24"/>
        </w:rPr>
        <w:t xml:space="preserve"> Lee, 2010; Huang, 2008; </w:t>
      </w:r>
      <w:r w:rsidR="0005756C" w:rsidRPr="00734837">
        <w:rPr>
          <w:rFonts w:ascii="Times New Roman" w:hAnsi="Times New Roman" w:cs="Times New Roman"/>
          <w:noProof/>
          <w:sz w:val="24"/>
          <w:szCs w:val="24"/>
        </w:rPr>
        <w:t xml:space="preserve">Elton </w:t>
      </w:r>
      <w:r w:rsidR="00693D1C" w:rsidRPr="00734837">
        <w:rPr>
          <w:rFonts w:ascii="Times New Roman" w:hAnsi="Times New Roman" w:cs="Times New Roman"/>
          <w:noProof/>
          <w:sz w:val="24"/>
          <w:szCs w:val="24"/>
        </w:rPr>
        <w:t>and</w:t>
      </w:r>
      <w:r w:rsidR="0005756C" w:rsidRPr="00734837">
        <w:rPr>
          <w:rFonts w:ascii="Times New Roman" w:hAnsi="Times New Roman" w:cs="Times New Roman"/>
          <w:noProof/>
          <w:sz w:val="24"/>
          <w:szCs w:val="24"/>
        </w:rPr>
        <w:t xml:space="preserve"> Gruber, 2000; Markowitz, 1999; E</w:t>
      </w:r>
      <w:r w:rsidR="00AC0A64" w:rsidRPr="00734837">
        <w:rPr>
          <w:rFonts w:ascii="Times New Roman" w:hAnsi="Times New Roman" w:cs="Times New Roman"/>
          <w:noProof/>
          <w:sz w:val="24"/>
          <w:szCs w:val="24"/>
        </w:rPr>
        <w:t xml:space="preserve">vans </w:t>
      </w:r>
      <w:r w:rsidR="00693D1C" w:rsidRPr="00734837">
        <w:rPr>
          <w:rFonts w:ascii="Times New Roman" w:hAnsi="Times New Roman" w:cs="Times New Roman"/>
          <w:noProof/>
          <w:sz w:val="24"/>
          <w:szCs w:val="24"/>
        </w:rPr>
        <w:t>and</w:t>
      </w:r>
      <w:r w:rsidR="00AC0A64" w:rsidRPr="00734837">
        <w:rPr>
          <w:rFonts w:ascii="Times New Roman" w:hAnsi="Times New Roman" w:cs="Times New Roman"/>
          <w:noProof/>
          <w:sz w:val="24"/>
          <w:szCs w:val="24"/>
        </w:rPr>
        <w:t xml:space="preserve"> Archer, 1968)</w:t>
      </w:r>
      <w:r w:rsidR="00AC0A64" w:rsidRPr="00734837">
        <w:rPr>
          <w:rFonts w:ascii="Times New Roman" w:hAnsi="Times New Roman" w:cs="Times New Roman"/>
          <w:sz w:val="24"/>
          <w:szCs w:val="24"/>
        </w:rPr>
        <w:t>. The portfolio theory stipulates that investors seek to maximize their expected returns and minimize the risks associated with t</w:t>
      </w:r>
      <w:r w:rsidR="000932A1" w:rsidRPr="00734837">
        <w:rPr>
          <w:rFonts w:ascii="Times New Roman" w:hAnsi="Times New Roman" w:cs="Times New Roman"/>
          <w:sz w:val="24"/>
          <w:szCs w:val="24"/>
        </w:rPr>
        <w:t xml:space="preserve">heir portfolios. In </w:t>
      </w:r>
      <w:proofErr w:type="gramStart"/>
      <w:r w:rsidR="000932A1" w:rsidRPr="00734837">
        <w:rPr>
          <w:rFonts w:ascii="Times New Roman" w:hAnsi="Times New Roman" w:cs="Times New Roman"/>
          <w:sz w:val="24"/>
          <w:szCs w:val="24"/>
        </w:rPr>
        <w:t>effect</w:t>
      </w:r>
      <w:proofErr w:type="gramEnd"/>
      <w:r w:rsidR="000932A1" w:rsidRPr="00734837">
        <w:rPr>
          <w:rFonts w:ascii="Times New Roman" w:hAnsi="Times New Roman" w:cs="Times New Roman"/>
          <w:sz w:val="24"/>
          <w:szCs w:val="24"/>
        </w:rPr>
        <w:t xml:space="preserve"> the </w:t>
      </w:r>
      <w:r w:rsidR="00AC0A64" w:rsidRPr="00734837">
        <w:rPr>
          <w:rFonts w:ascii="Times New Roman" w:hAnsi="Times New Roman" w:cs="Times New Roman"/>
          <w:sz w:val="24"/>
          <w:szCs w:val="24"/>
        </w:rPr>
        <w:t>PT allows the quantification of risk</w:t>
      </w:r>
      <w:r w:rsidR="00EC4F95" w:rsidRPr="00734837">
        <w:rPr>
          <w:rFonts w:ascii="Times New Roman" w:hAnsi="Times New Roman" w:cs="Times New Roman"/>
          <w:sz w:val="24"/>
          <w:szCs w:val="24"/>
        </w:rPr>
        <w:t>s</w:t>
      </w:r>
      <w:r w:rsidR="00AC0A64" w:rsidRPr="00734837">
        <w:rPr>
          <w:rFonts w:ascii="Times New Roman" w:hAnsi="Times New Roman" w:cs="Times New Roman"/>
          <w:sz w:val="24"/>
          <w:szCs w:val="24"/>
        </w:rPr>
        <w:t xml:space="preserve"> and </w:t>
      </w:r>
      <w:r w:rsidR="005A1A2D" w:rsidRPr="00734837">
        <w:rPr>
          <w:rFonts w:ascii="Times New Roman" w:hAnsi="Times New Roman" w:cs="Times New Roman"/>
          <w:sz w:val="24"/>
          <w:szCs w:val="24"/>
        </w:rPr>
        <w:t xml:space="preserve">expected </w:t>
      </w:r>
      <w:r w:rsidR="00360FA0" w:rsidRPr="00734837">
        <w:rPr>
          <w:rFonts w:ascii="Times New Roman" w:hAnsi="Times New Roman" w:cs="Times New Roman"/>
          <w:sz w:val="24"/>
          <w:szCs w:val="24"/>
        </w:rPr>
        <w:t>return</w:t>
      </w:r>
      <w:r w:rsidR="00EC4F95" w:rsidRPr="00734837">
        <w:rPr>
          <w:rFonts w:ascii="Times New Roman" w:hAnsi="Times New Roman" w:cs="Times New Roman"/>
          <w:sz w:val="24"/>
          <w:szCs w:val="24"/>
        </w:rPr>
        <w:t>s and</w:t>
      </w:r>
      <w:r w:rsidR="00A15A53" w:rsidRPr="00734837">
        <w:rPr>
          <w:rFonts w:ascii="Times New Roman" w:hAnsi="Times New Roman" w:cs="Times New Roman"/>
          <w:sz w:val="24"/>
          <w:szCs w:val="24"/>
        </w:rPr>
        <w:t xml:space="preserve"> </w:t>
      </w:r>
      <w:r w:rsidR="00360FA0" w:rsidRPr="00734837">
        <w:rPr>
          <w:rFonts w:ascii="Times New Roman" w:hAnsi="Times New Roman" w:cs="Times New Roman"/>
          <w:sz w:val="24"/>
          <w:szCs w:val="24"/>
        </w:rPr>
        <w:t>selection</w:t>
      </w:r>
      <w:r w:rsidR="00AC6D5E" w:rsidRPr="00734837">
        <w:rPr>
          <w:rFonts w:ascii="Times New Roman" w:hAnsi="Times New Roman" w:cs="Times New Roman"/>
          <w:sz w:val="24"/>
          <w:szCs w:val="24"/>
        </w:rPr>
        <w:t>s</w:t>
      </w:r>
      <w:r w:rsidR="00360FA0" w:rsidRPr="00734837">
        <w:rPr>
          <w:rFonts w:ascii="Times New Roman" w:hAnsi="Times New Roman" w:cs="Times New Roman"/>
          <w:sz w:val="24"/>
          <w:szCs w:val="24"/>
        </w:rPr>
        <w:t xml:space="preserve"> of </w:t>
      </w:r>
      <w:r w:rsidR="00AC0A64" w:rsidRPr="00734837">
        <w:rPr>
          <w:rFonts w:ascii="Times New Roman" w:hAnsi="Times New Roman" w:cs="Times New Roman"/>
          <w:sz w:val="24"/>
          <w:szCs w:val="24"/>
        </w:rPr>
        <w:t>optimal portfolio</w:t>
      </w:r>
      <w:r w:rsidR="00360FA0" w:rsidRPr="00734837">
        <w:rPr>
          <w:rFonts w:ascii="Times New Roman" w:hAnsi="Times New Roman" w:cs="Times New Roman"/>
          <w:sz w:val="24"/>
          <w:szCs w:val="24"/>
        </w:rPr>
        <w:t>s</w:t>
      </w:r>
      <w:r w:rsidR="00AD31CF" w:rsidRPr="00734837">
        <w:rPr>
          <w:rFonts w:ascii="Times New Roman" w:hAnsi="Times New Roman" w:cs="Times New Roman"/>
          <w:sz w:val="24"/>
          <w:szCs w:val="24"/>
        </w:rPr>
        <w:t xml:space="preserve"> by investors in</w:t>
      </w:r>
      <w:r w:rsidR="00AC0A64" w:rsidRPr="00734837">
        <w:rPr>
          <w:rFonts w:ascii="Times New Roman" w:hAnsi="Times New Roman" w:cs="Times New Roman"/>
          <w:sz w:val="24"/>
          <w:szCs w:val="24"/>
        </w:rPr>
        <w:t xml:space="preserve"> financial market</w:t>
      </w:r>
      <w:r w:rsidR="00AD31CF" w:rsidRPr="00734837">
        <w:rPr>
          <w:rFonts w:ascii="Times New Roman" w:hAnsi="Times New Roman" w:cs="Times New Roman"/>
          <w:sz w:val="24"/>
          <w:szCs w:val="24"/>
        </w:rPr>
        <w:t>s</w:t>
      </w:r>
      <w:r w:rsidR="00AC0A64" w:rsidRPr="00734837">
        <w:rPr>
          <w:rFonts w:ascii="Times New Roman" w:hAnsi="Times New Roman" w:cs="Times New Roman"/>
          <w:sz w:val="24"/>
          <w:szCs w:val="24"/>
        </w:rPr>
        <w:t xml:space="preserve"> (</w:t>
      </w:r>
      <w:proofErr w:type="spellStart"/>
      <w:r w:rsidR="00AC0A64" w:rsidRPr="00734837">
        <w:rPr>
          <w:rFonts w:ascii="Times New Roman" w:hAnsi="Times New Roman" w:cs="Times New Roman"/>
          <w:sz w:val="24"/>
          <w:szCs w:val="24"/>
        </w:rPr>
        <w:t>Hibiki</w:t>
      </w:r>
      <w:proofErr w:type="spellEnd"/>
      <w:r w:rsidR="00AC0A64" w:rsidRPr="00734837">
        <w:rPr>
          <w:rFonts w:ascii="Times New Roman" w:hAnsi="Times New Roman" w:cs="Times New Roman"/>
          <w:sz w:val="24"/>
          <w:szCs w:val="24"/>
        </w:rPr>
        <w:t xml:space="preserve">, 2006). Strategic asset allocation is </w:t>
      </w:r>
      <w:r w:rsidR="00D63425" w:rsidRPr="00734837">
        <w:rPr>
          <w:rFonts w:ascii="Times New Roman" w:hAnsi="Times New Roman" w:cs="Times New Roman"/>
          <w:sz w:val="24"/>
          <w:szCs w:val="24"/>
        </w:rPr>
        <w:t xml:space="preserve">mostly </w:t>
      </w:r>
      <w:r w:rsidR="00AC0A64" w:rsidRPr="00734837">
        <w:rPr>
          <w:rFonts w:ascii="Times New Roman" w:hAnsi="Times New Roman" w:cs="Times New Roman"/>
          <w:sz w:val="24"/>
          <w:szCs w:val="24"/>
        </w:rPr>
        <w:t>the optimal allocation of risky</w:t>
      </w:r>
      <w:r w:rsidR="00D63425" w:rsidRPr="00734837">
        <w:rPr>
          <w:rFonts w:ascii="Times New Roman" w:hAnsi="Times New Roman" w:cs="Times New Roman"/>
          <w:sz w:val="24"/>
          <w:szCs w:val="24"/>
        </w:rPr>
        <w:t xml:space="preserve"> assets</w:t>
      </w:r>
      <w:r w:rsidR="00AC0A64" w:rsidRPr="00734837">
        <w:rPr>
          <w:rFonts w:ascii="Times New Roman" w:hAnsi="Times New Roman" w:cs="Times New Roman"/>
          <w:sz w:val="24"/>
          <w:szCs w:val="24"/>
        </w:rPr>
        <w:t xml:space="preserve"> (bonds, lease financing, stocks) and risk free (treasury bills, government bonds) assets to an investor over his or her investment horizon (</w:t>
      </w:r>
      <w:proofErr w:type="spellStart"/>
      <w:r w:rsidR="00AC0A64" w:rsidRPr="00734837">
        <w:rPr>
          <w:rFonts w:ascii="Times New Roman" w:hAnsi="Times New Roman" w:cs="Times New Roman"/>
          <w:sz w:val="24"/>
          <w:szCs w:val="24"/>
        </w:rPr>
        <w:t>Cesari</w:t>
      </w:r>
      <w:proofErr w:type="spellEnd"/>
      <w:r w:rsidR="00AC0A64"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 xml:space="preserve"> </w:t>
      </w:r>
      <w:proofErr w:type="spellStart"/>
      <w:r w:rsidR="00AC0A64" w:rsidRPr="00734837">
        <w:rPr>
          <w:rFonts w:ascii="Times New Roman" w:hAnsi="Times New Roman" w:cs="Times New Roman"/>
          <w:sz w:val="24"/>
          <w:szCs w:val="24"/>
        </w:rPr>
        <w:t>Cremonini</w:t>
      </w:r>
      <w:proofErr w:type="spellEnd"/>
      <w:r w:rsidR="00AC0A64" w:rsidRPr="00734837">
        <w:rPr>
          <w:rFonts w:ascii="Times New Roman" w:hAnsi="Times New Roman" w:cs="Times New Roman"/>
          <w:sz w:val="24"/>
          <w:szCs w:val="24"/>
        </w:rPr>
        <w:t xml:space="preserve">, 2003). The popularly known strategies are the static, also known as the tactical asset allocation and the dynamic strategies. With the static or tactical asset </w:t>
      </w:r>
      <w:proofErr w:type="gramStart"/>
      <w:r w:rsidR="00AC0A64" w:rsidRPr="00734837">
        <w:rPr>
          <w:rFonts w:ascii="Times New Roman" w:hAnsi="Times New Roman" w:cs="Times New Roman"/>
          <w:sz w:val="24"/>
          <w:szCs w:val="24"/>
        </w:rPr>
        <w:t>allocation</w:t>
      </w:r>
      <w:proofErr w:type="gramEnd"/>
      <w:r w:rsidR="00AC0A64" w:rsidRPr="00734837">
        <w:rPr>
          <w:rFonts w:ascii="Times New Roman" w:hAnsi="Times New Roman" w:cs="Times New Roman"/>
          <w:sz w:val="24"/>
          <w:szCs w:val="24"/>
        </w:rPr>
        <w:t xml:space="preserve"> the investor def</w:t>
      </w:r>
      <w:r w:rsidR="00463FEC" w:rsidRPr="00734837">
        <w:rPr>
          <w:rFonts w:ascii="Times New Roman" w:hAnsi="Times New Roman" w:cs="Times New Roman"/>
          <w:sz w:val="24"/>
          <w:szCs w:val="24"/>
        </w:rPr>
        <w:t>ines the mean-variance strategy of optimization</w:t>
      </w:r>
      <w:r w:rsidR="00AC0A64" w:rsidRPr="00734837">
        <w:rPr>
          <w:rFonts w:ascii="Times New Roman" w:hAnsi="Times New Roman" w:cs="Times New Roman"/>
          <w:sz w:val="24"/>
          <w:szCs w:val="24"/>
        </w:rPr>
        <w:t xml:space="preserve"> over a single period (Brennan, Schwartz</w:t>
      </w:r>
      <w:r w:rsidR="0032093F" w:rsidRPr="00734837">
        <w:rPr>
          <w:rFonts w:ascii="Times New Roman" w:hAnsi="Times New Roman" w:cs="Times New Roman"/>
          <w:sz w:val="24"/>
          <w:szCs w:val="24"/>
        </w:rPr>
        <w:t>,</w:t>
      </w:r>
      <w:r w:rsidR="00AC0A64"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 xml:space="preserve"> </w:t>
      </w:r>
      <w:proofErr w:type="spellStart"/>
      <w:r w:rsidR="00AC0A64" w:rsidRPr="00734837">
        <w:rPr>
          <w:rFonts w:ascii="Times New Roman" w:hAnsi="Times New Roman" w:cs="Times New Roman"/>
          <w:sz w:val="24"/>
          <w:szCs w:val="24"/>
        </w:rPr>
        <w:t>Lagnado</w:t>
      </w:r>
      <w:proofErr w:type="spellEnd"/>
      <w:r w:rsidR="00AC0A64" w:rsidRPr="00734837">
        <w:rPr>
          <w:rFonts w:ascii="Times New Roman" w:hAnsi="Times New Roman" w:cs="Times New Roman"/>
          <w:sz w:val="24"/>
          <w:szCs w:val="24"/>
        </w:rPr>
        <w:t>, 1997). However, the dyn</w:t>
      </w:r>
      <w:r w:rsidR="00092211" w:rsidRPr="00734837">
        <w:rPr>
          <w:rFonts w:ascii="Times New Roman" w:hAnsi="Times New Roman" w:cs="Times New Roman"/>
          <w:sz w:val="24"/>
          <w:szCs w:val="24"/>
        </w:rPr>
        <w:t>amic asset allocation assumes either a continuous or a multi</w:t>
      </w:r>
      <w:r w:rsidR="003B5691" w:rsidRPr="00734837">
        <w:rPr>
          <w:rFonts w:ascii="Times New Roman" w:hAnsi="Times New Roman" w:cs="Times New Roman"/>
          <w:sz w:val="24"/>
          <w:szCs w:val="24"/>
        </w:rPr>
        <w:t xml:space="preserve">ple </w:t>
      </w:r>
      <w:r w:rsidR="00092211" w:rsidRPr="00734837">
        <w:rPr>
          <w:rFonts w:ascii="Times New Roman" w:hAnsi="Times New Roman" w:cs="Times New Roman"/>
          <w:sz w:val="24"/>
          <w:szCs w:val="24"/>
        </w:rPr>
        <w:t>pe</w:t>
      </w:r>
      <w:r w:rsidR="003B5691" w:rsidRPr="00734837">
        <w:rPr>
          <w:rFonts w:ascii="Times New Roman" w:hAnsi="Times New Roman" w:cs="Times New Roman"/>
          <w:sz w:val="24"/>
          <w:szCs w:val="24"/>
        </w:rPr>
        <w:t>riod</w:t>
      </w:r>
      <w:r w:rsidR="00355FA3" w:rsidRPr="00734837">
        <w:rPr>
          <w:rFonts w:ascii="Times New Roman" w:hAnsi="Times New Roman" w:cs="Times New Roman"/>
          <w:sz w:val="24"/>
          <w:szCs w:val="24"/>
        </w:rPr>
        <w:t xml:space="preserve"> </w:t>
      </w:r>
      <w:r w:rsidR="00AC0A64" w:rsidRPr="00734837">
        <w:rPr>
          <w:rFonts w:ascii="Times New Roman" w:hAnsi="Times New Roman" w:cs="Times New Roman"/>
          <w:sz w:val="24"/>
          <w:szCs w:val="24"/>
        </w:rPr>
        <w:t>model (Y</w:t>
      </w:r>
      <w:r w:rsidR="00E501E4" w:rsidRPr="00734837">
        <w:rPr>
          <w:rFonts w:ascii="Times New Roman" w:hAnsi="Times New Roman" w:cs="Times New Roman"/>
          <w:sz w:val="24"/>
          <w:szCs w:val="24"/>
        </w:rPr>
        <w:t>ao, Li</w:t>
      </w:r>
      <w:r w:rsidR="0032093F" w:rsidRPr="00734837">
        <w:rPr>
          <w:rFonts w:ascii="Times New Roman" w:hAnsi="Times New Roman" w:cs="Times New Roman"/>
          <w:sz w:val="24"/>
          <w:szCs w:val="24"/>
        </w:rPr>
        <w:t>,</w:t>
      </w:r>
      <w:r w:rsidR="00E501E4"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E501E4" w:rsidRPr="00734837">
        <w:rPr>
          <w:rFonts w:ascii="Times New Roman" w:hAnsi="Times New Roman" w:cs="Times New Roman"/>
          <w:sz w:val="24"/>
          <w:szCs w:val="24"/>
        </w:rPr>
        <w:t xml:space="preserve"> Chen, 2014). This study</w:t>
      </w:r>
      <w:r w:rsidR="00AC0A64" w:rsidRPr="00734837">
        <w:rPr>
          <w:rFonts w:ascii="Times New Roman" w:hAnsi="Times New Roman" w:cs="Times New Roman"/>
          <w:sz w:val="24"/>
          <w:szCs w:val="24"/>
        </w:rPr>
        <w:t xml:space="preserve"> employs a static asset allocation, thus the classic Markowitz mean-variance optimization technique</w:t>
      </w:r>
      <w:r w:rsidR="008058DB" w:rsidRPr="00734837">
        <w:rPr>
          <w:rFonts w:ascii="Times New Roman" w:hAnsi="Times New Roman" w:cs="Times New Roman"/>
          <w:sz w:val="24"/>
          <w:szCs w:val="24"/>
        </w:rPr>
        <w:t xml:space="preserve"> and</w:t>
      </w:r>
      <w:r w:rsidR="00AC0A64" w:rsidRPr="00734837">
        <w:rPr>
          <w:rFonts w:ascii="Times New Roman" w:hAnsi="Times New Roman" w:cs="Times New Roman"/>
          <w:sz w:val="24"/>
          <w:szCs w:val="24"/>
        </w:rPr>
        <w:t xml:space="preserve"> builds up on previous literature in the context of the study.</w:t>
      </w:r>
      <w:r w:rsidR="00731CF6" w:rsidRPr="00734837">
        <w:rPr>
          <w:rFonts w:ascii="Times New Roman" w:hAnsi="Times New Roman" w:cs="Times New Roman"/>
          <w:sz w:val="24"/>
          <w:szCs w:val="24"/>
        </w:rPr>
        <w:t xml:space="preserve"> </w:t>
      </w:r>
      <w:r w:rsidR="003D6B4C" w:rsidRPr="00734837">
        <w:rPr>
          <w:rFonts w:ascii="Times New Roman" w:hAnsi="Times New Roman" w:cs="Times New Roman"/>
          <w:sz w:val="24"/>
          <w:szCs w:val="24"/>
        </w:rPr>
        <w:t>To the best of my knowledge most of the studie</w:t>
      </w:r>
      <w:r w:rsidR="00536091" w:rsidRPr="00734837">
        <w:rPr>
          <w:rFonts w:ascii="Times New Roman" w:hAnsi="Times New Roman" w:cs="Times New Roman"/>
          <w:sz w:val="24"/>
          <w:szCs w:val="24"/>
        </w:rPr>
        <w:t xml:space="preserve">s that have proposed a dynamic </w:t>
      </w:r>
      <w:r w:rsidR="003D6B4C" w:rsidRPr="00734837">
        <w:rPr>
          <w:rFonts w:ascii="Times New Roman" w:hAnsi="Times New Roman" w:cs="Times New Roman"/>
          <w:sz w:val="24"/>
          <w:szCs w:val="24"/>
        </w:rPr>
        <w:t xml:space="preserve">asset allocation did not apply it in a real world situation </w:t>
      </w:r>
      <w:proofErr w:type="gramStart"/>
      <w:r w:rsidR="003D6B4C" w:rsidRPr="00734837">
        <w:rPr>
          <w:rFonts w:ascii="Times New Roman" w:hAnsi="Times New Roman" w:cs="Times New Roman"/>
          <w:sz w:val="24"/>
          <w:szCs w:val="24"/>
        </w:rPr>
        <w:t>as a result</w:t>
      </w:r>
      <w:proofErr w:type="gramEnd"/>
      <w:r w:rsidR="003D6B4C" w:rsidRPr="00734837">
        <w:rPr>
          <w:rFonts w:ascii="Times New Roman" w:hAnsi="Times New Roman" w:cs="Times New Roman"/>
          <w:sz w:val="24"/>
          <w:szCs w:val="24"/>
        </w:rPr>
        <w:t xml:space="preserve"> of </w:t>
      </w:r>
      <w:r w:rsidR="00536091" w:rsidRPr="00734837">
        <w:rPr>
          <w:rFonts w:ascii="Times New Roman" w:hAnsi="Times New Roman" w:cs="Times New Roman"/>
          <w:sz w:val="24"/>
          <w:szCs w:val="24"/>
        </w:rPr>
        <w:t>its complex</w:t>
      </w:r>
      <w:r w:rsidR="00D77E81" w:rsidRPr="00734837">
        <w:rPr>
          <w:rFonts w:ascii="Times New Roman" w:hAnsi="Times New Roman" w:cs="Times New Roman"/>
          <w:sz w:val="24"/>
          <w:szCs w:val="24"/>
        </w:rPr>
        <w:t xml:space="preserve"> nature</w:t>
      </w:r>
      <w:r w:rsidR="00FE133B" w:rsidRPr="00734837">
        <w:rPr>
          <w:rFonts w:ascii="Times New Roman" w:hAnsi="Times New Roman" w:cs="Times New Roman"/>
          <w:sz w:val="24"/>
          <w:szCs w:val="24"/>
        </w:rPr>
        <w:t xml:space="preserve"> (</w:t>
      </w:r>
      <w:r w:rsidR="00CA3BD9" w:rsidRPr="00734837">
        <w:rPr>
          <w:rFonts w:ascii="Times New Roman" w:hAnsi="Times New Roman" w:cs="Times New Roman"/>
          <w:sz w:val="24"/>
          <w:szCs w:val="24"/>
        </w:rPr>
        <w:t>Liu</w:t>
      </w:r>
      <w:r w:rsidR="0032093F" w:rsidRPr="00734837">
        <w:rPr>
          <w:rFonts w:ascii="Times New Roman" w:hAnsi="Times New Roman" w:cs="Times New Roman"/>
          <w:sz w:val="24"/>
          <w:szCs w:val="24"/>
        </w:rPr>
        <w:t>,</w:t>
      </w:r>
      <w:r w:rsidR="00CA3BD9" w:rsidRPr="00734837">
        <w:rPr>
          <w:rFonts w:ascii="Times New Roman" w:hAnsi="Times New Roman" w:cs="Times New Roman"/>
          <w:sz w:val="24"/>
          <w:szCs w:val="24"/>
        </w:rPr>
        <w:t xml:space="preserve"> Zhang</w:t>
      </w:r>
      <w:r w:rsidR="0032093F" w:rsidRPr="00734837">
        <w:rPr>
          <w:rFonts w:ascii="Times New Roman" w:hAnsi="Times New Roman" w:cs="Times New Roman"/>
          <w:sz w:val="24"/>
          <w:szCs w:val="24"/>
        </w:rPr>
        <w:t>,</w:t>
      </w:r>
      <w:r w:rsidR="00CA3BD9"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CA3BD9" w:rsidRPr="00734837">
        <w:rPr>
          <w:rFonts w:ascii="Times New Roman" w:hAnsi="Times New Roman" w:cs="Times New Roman"/>
          <w:sz w:val="24"/>
          <w:szCs w:val="24"/>
        </w:rPr>
        <w:t xml:space="preserve"> </w:t>
      </w:r>
      <w:proofErr w:type="spellStart"/>
      <w:r w:rsidR="00CA3BD9" w:rsidRPr="00734837">
        <w:rPr>
          <w:rFonts w:ascii="Times New Roman" w:hAnsi="Times New Roman" w:cs="Times New Roman"/>
          <w:sz w:val="24"/>
          <w:szCs w:val="24"/>
        </w:rPr>
        <w:t>Xu</w:t>
      </w:r>
      <w:proofErr w:type="spellEnd"/>
      <w:r w:rsidR="00CA3BD9" w:rsidRPr="00734837">
        <w:rPr>
          <w:rFonts w:ascii="Times New Roman" w:hAnsi="Times New Roman" w:cs="Times New Roman"/>
          <w:sz w:val="24"/>
          <w:szCs w:val="24"/>
        </w:rPr>
        <w:t xml:space="preserve">, 2012; </w:t>
      </w:r>
      <w:proofErr w:type="spellStart"/>
      <w:r w:rsidR="00FE133B" w:rsidRPr="00734837">
        <w:rPr>
          <w:rFonts w:ascii="Times New Roman" w:hAnsi="Times New Roman" w:cs="Times New Roman"/>
          <w:sz w:val="24"/>
          <w:szCs w:val="24"/>
        </w:rPr>
        <w:t>Calafiore</w:t>
      </w:r>
      <w:proofErr w:type="spellEnd"/>
      <w:r w:rsidR="00FE133B" w:rsidRPr="00734837">
        <w:rPr>
          <w:rFonts w:ascii="Times New Roman" w:hAnsi="Times New Roman" w:cs="Times New Roman"/>
          <w:sz w:val="24"/>
          <w:szCs w:val="24"/>
        </w:rPr>
        <w:t>, 2008)</w:t>
      </w:r>
      <w:r w:rsidR="003D6B4C" w:rsidRPr="00734837">
        <w:rPr>
          <w:rFonts w:ascii="Times New Roman" w:hAnsi="Times New Roman" w:cs="Times New Roman"/>
          <w:sz w:val="24"/>
          <w:szCs w:val="24"/>
        </w:rPr>
        <w:t xml:space="preserve">.  </w:t>
      </w:r>
      <w:r w:rsidR="009F7409" w:rsidRPr="00734837">
        <w:rPr>
          <w:rFonts w:ascii="Times New Roman" w:hAnsi="Times New Roman" w:cs="Times New Roman"/>
          <w:sz w:val="24"/>
          <w:szCs w:val="24"/>
        </w:rPr>
        <w:t>In addition</w:t>
      </w:r>
      <w:r w:rsidR="00057B0D" w:rsidRPr="00734837">
        <w:rPr>
          <w:rFonts w:ascii="Times New Roman" w:hAnsi="Times New Roman" w:cs="Times New Roman"/>
          <w:sz w:val="24"/>
          <w:szCs w:val="24"/>
        </w:rPr>
        <w:t xml:space="preserve">, </w:t>
      </w:r>
      <w:r w:rsidR="00651582" w:rsidRPr="00734837">
        <w:rPr>
          <w:rFonts w:ascii="Times New Roman" w:hAnsi="Times New Roman" w:cs="Times New Roman"/>
          <w:sz w:val="24"/>
          <w:szCs w:val="24"/>
        </w:rPr>
        <w:t xml:space="preserve">the application of a dynamic model would require a huge data set, since </w:t>
      </w:r>
      <w:r w:rsidR="006F3EB7" w:rsidRPr="00734837">
        <w:rPr>
          <w:rFonts w:ascii="Times New Roman" w:hAnsi="Times New Roman" w:cs="Times New Roman"/>
          <w:sz w:val="24"/>
          <w:szCs w:val="24"/>
        </w:rPr>
        <w:t xml:space="preserve">the </w:t>
      </w:r>
      <w:r w:rsidR="00651582" w:rsidRPr="00734837">
        <w:rPr>
          <w:rFonts w:ascii="Times New Roman" w:hAnsi="Times New Roman" w:cs="Times New Roman"/>
          <w:sz w:val="24"/>
          <w:szCs w:val="24"/>
        </w:rPr>
        <w:t xml:space="preserve">time period would be sub-divided </w:t>
      </w:r>
      <w:r w:rsidR="006F3EB7" w:rsidRPr="00734837">
        <w:rPr>
          <w:rFonts w:ascii="Times New Roman" w:hAnsi="Times New Roman" w:cs="Times New Roman"/>
          <w:sz w:val="24"/>
          <w:szCs w:val="24"/>
        </w:rPr>
        <w:t>in</w:t>
      </w:r>
      <w:r w:rsidR="00651582" w:rsidRPr="00734837">
        <w:rPr>
          <w:rFonts w:ascii="Times New Roman" w:hAnsi="Times New Roman" w:cs="Times New Roman"/>
          <w:sz w:val="24"/>
          <w:szCs w:val="24"/>
        </w:rPr>
        <w:t>to several time period</w:t>
      </w:r>
      <w:r w:rsidR="00D77E81" w:rsidRPr="00734837">
        <w:rPr>
          <w:rFonts w:ascii="Times New Roman" w:hAnsi="Times New Roman" w:cs="Times New Roman"/>
          <w:sz w:val="24"/>
          <w:szCs w:val="24"/>
        </w:rPr>
        <w:t xml:space="preserve">s to obtain </w:t>
      </w:r>
      <w:r w:rsidR="00DC6739" w:rsidRPr="00734837">
        <w:rPr>
          <w:rFonts w:ascii="Times New Roman" w:hAnsi="Times New Roman" w:cs="Times New Roman"/>
          <w:sz w:val="24"/>
          <w:szCs w:val="24"/>
        </w:rPr>
        <w:t>a multi</w:t>
      </w:r>
      <w:r w:rsidR="00D35C69" w:rsidRPr="00734837">
        <w:rPr>
          <w:rFonts w:ascii="Times New Roman" w:hAnsi="Times New Roman" w:cs="Times New Roman"/>
          <w:sz w:val="24"/>
          <w:szCs w:val="24"/>
        </w:rPr>
        <w:t>-</w:t>
      </w:r>
      <w:r w:rsidR="00BF5170" w:rsidRPr="00734837">
        <w:rPr>
          <w:rFonts w:ascii="Times New Roman" w:hAnsi="Times New Roman" w:cs="Times New Roman"/>
          <w:sz w:val="24"/>
          <w:szCs w:val="24"/>
        </w:rPr>
        <w:t>period situation</w:t>
      </w:r>
      <w:r w:rsidR="00695EE3" w:rsidRPr="00734837">
        <w:rPr>
          <w:rFonts w:ascii="Times New Roman" w:hAnsi="Times New Roman" w:cs="Times New Roman"/>
          <w:sz w:val="24"/>
          <w:szCs w:val="24"/>
        </w:rPr>
        <w:t xml:space="preserve"> (</w:t>
      </w:r>
      <w:proofErr w:type="spellStart"/>
      <w:r w:rsidR="00695EE3" w:rsidRPr="00734837">
        <w:rPr>
          <w:rFonts w:ascii="Times New Roman" w:hAnsi="Times New Roman" w:cs="Times New Roman"/>
          <w:sz w:val="24"/>
          <w:szCs w:val="24"/>
        </w:rPr>
        <w:t>Mossin</w:t>
      </w:r>
      <w:proofErr w:type="spellEnd"/>
      <w:r w:rsidR="00695EE3" w:rsidRPr="00734837">
        <w:rPr>
          <w:rFonts w:ascii="Times New Roman" w:hAnsi="Times New Roman" w:cs="Times New Roman"/>
          <w:sz w:val="24"/>
          <w:szCs w:val="24"/>
        </w:rPr>
        <w:t>, 1968)</w:t>
      </w:r>
      <w:r w:rsidR="00651582" w:rsidRPr="00734837">
        <w:rPr>
          <w:rFonts w:ascii="Times New Roman" w:hAnsi="Times New Roman" w:cs="Times New Roman"/>
          <w:sz w:val="24"/>
          <w:szCs w:val="24"/>
        </w:rPr>
        <w:t>.</w:t>
      </w:r>
      <w:r w:rsidR="001203C7" w:rsidRPr="00734837">
        <w:rPr>
          <w:rFonts w:ascii="Times New Roman" w:hAnsi="Times New Roman" w:cs="Times New Roman"/>
          <w:sz w:val="24"/>
          <w:szCs w:val="24"/>
        </w:rPr>
        <w:t xml:space="preserve"> </w:t>
      </w:r>
      <w:r w:rsidR="00EF6879" w:rsidRPr="00734837">
        <w:rPr>
          <w:rFonts w:ascii="Times New Roman" w:hAnsi="Times New Roman" w:cs="Times New Roman"/>
          <w:sz w:val="24"/>
          <w:szCs w:val="24"/>
        </w:rPr>
        <w:t xml:space="preserve">This is </w:t>
      </w:r>
      <w:r w:rsidR="00F70D95" w:rsidRPr="00734837">
        <w:rPr>
          <w:rFonts w:ascii="Times New Roman" w:hAnsi="Times New Roman" w:cs="Times New Roman"/>
          <w:sz w:val="24"/>
          <w:szCs w:val="24"/>
        </w:rPr>
        <w:t>difficult to attain</w:t>
      </w:r>
      <w:r w:rsidR="000841FA" w:rsidRPr="00734837">
        <w:rPr>
          <w:rFonts w:ascii="Times New Roman" w:hAnsi="Times New Roman" w:cs="Times New Roman"/>
          <w:sz w:val="24"/>
          <w:szCs w:val="24"/>
        </w:rPr>
        <w:t>,</w:t>
      </w:r>
      <w:r w:rsidR="00F70D95" w:rsidRPr="00734837">
        <w:rPr>
          <w:rFonts w:ascii="Times New Roman" w:hAnsi="Times New Roman" w:cs="Times New Roman"/>
          <w:sz w:val="24"/>
          <w:szCs w:val="24"/>
        </w:rPr>
        <w:t xml:space="preserve"> </w:t>
      </w:r>
      <w:r w:rsidR="000841FA" w:rsidRPr="00734837">
        <w:rPr>
          <w:rFonts w:ascii="Times New Roman" w:hAnsi="Times New Roman" w:cs="Times New Roman"/>
          <w:sz w:val="24"/>
          <w:szCs w:val="24"/>
        </w:rPr>
        <w:t>especially</w:t>
      </w:r>
      <w:r w:rsidR="00EF6879" w:rsidRPr="00734837">
        <w:rPr>
          <w:rFonts w:ascii="Times New Roman" w:hAnsi="Times New Roman" w:cs="Times New Roman"/>
          <w:sz w:val="24"/>
          <w:szCs w:val="24"/>
        </w:rPr>
        <w:t xml:space="preserve"> </w:t>
      </w:r>
      <w:r w:rsidR="000841FA" w:rsidRPr="00734837">
        <w:rPr>
          <w:rFonts w:ascii="Times New Roman" w:hAnsi="Times New Roman" w:cs="Times New Roman"/>
          <w:sz w:val="24"/>
          <w:szCs w:val="24"/>
        </w:rPr>
        <w:t xml:space="preserve">in the context of </w:t>
      </w:r>
      <w:r w:rsidR="00F70D95" w:rsidRPr="00734837">
        <w:rPr>
          <w:rFonts w:ascii="Times New Roman" w:hAnsi="Times New Roman" w:cs="Times New Roman"/>
          <w:sz w:val="24"/>
          <w:szCs w:val="24"/>
        </w:rPr>
        <w:t xml:space="preserve">Africa </w:t>
      </w:r>
      <w:r w:rsidR="000841FA" w:rsidRPr="00734837">
        <w:rPr>
          <w:rFonts w:ascii="Times New Roman" w:hAnsi="Times New Roman" w:cs="Times New Roman"/>
          <w:sz w:val="24"/>
          <w:szCs w:val="24"/>
        </w:rPr>
        <w:t xml:space="preserve">where the data is limited </w:t>
      </w:r>
      <w:proofErr w:type="gramStart"/>
      <w:r w:rsidR="000841FA" w:rsidRPr="00734837">
        <w:rPr>
          <w:rFonts w:ascii="Times New Roman" w:hAnsi="Times New Roman" w:cs="Times New Roman"/>
          <w:sz w:val="24"/>
          <w:szCs w:val="24"/>
        </w:rPr>
        <w:t>as a result</w:t>
      </w:r>
      <w:proofErr w:type="gramEnd"/>
      <w:r w:rsidR="000841FA" w:rsidRPr="00734837">
        <w:rPr>
          <w:rFonts w:ascii="Times New Roman" w:hAnsi="Times New Roman" w:cs="Times New Roman"/>
          <w:sz w:val="24"/>
          <w:szCs w:val="24"/>
        </w:rPr>
        <w:t xml:space="preserve"> of the age of the stock markets.</w:t>
      </w:r>
      <w:r w:rsidR="00803CF5" w:rsidRPr="00734837">
        <w:rPr>
          <w:rFonts w:ascii="Times New Roman" w:hAnsi="Times New Roman" w:cs="Times New Roman"/>
          <w:sz w:val="24"/>
          <w:szCs w:val="24"/>
        </w:rPr>
        <w:t xml:space="preserve"> </w:t>
      </w:r>
      <w:r w:rsidR="00BF5170" w:rsidRPr="00734837">
        <w:rPr>
          <w:rFonts w:ascii="Times New Roman" w:hAnsi="Times New Roman" w:cs="Times New Roman"/>
          <w:sz w:val="24"/>
          <w:szCs w:val="24"/>
        </w:rPr>
        <w:t>Hence</w:t>
      </w:r>
      <w:r w:rsidR="00042F8F" w:rsidRPr="00734837">
        <w:rPr>
          <w:rFonts w:ascii="Times New Roman" w:hAnsi="Times New Roman" w:cs="Times New Roman"/>
          <w:sz w:val="24"/>
          <w:szCs w:val="24"/>
        </w:rPr>
        <w:t>,</w:t>
      </w:r>
      <w:r w:rsidR="00BF5170" w:rsidRPr="00734837">
        <w:rPr>
          <w:rFonts w:ascii="Times New Roman" w:hAnsi="Times New Roman" w:cs="Times New Roman"/>
          <w:sz w:val="24"/>
          <w:szCs w:val="24"/>
        </w:rPr>
        <w:t xml:space="preserve"> this study em</w:t>
      </w:r>
      <w:r w:rsidR="00DC6739" w:rsidRPr="00734837">
        <w:rPr>
          <w:rFonts w:ascii="Times New Roman" w:hAnsi="Times New Roman" w:cs="Times New Roman"/>
          <w:sz w:val="24"/>
          <w:szCs w:val="24"/>
        </w:rPr>
        <w:t>ploys a static asset allocation.</w:t>
      </w:r>
      <w:r w:rsidR="00A448BE" w:rsidRPr="00734837">
        <w:rPr>
          <w:rFonts w:ascii="Times New Roman" w:hAnsi="Times New Roman" w:cs="Times New Roman"/>
          <w:sz w:val="24"/>
          <w:szCs w:val="24"/>
        </w:rPr>
        <w:t xml:space="preserve"> </w:t>
      </w:r>
      <w:r w:rsidR="00AC0A64" w:rsidRPr="00734837">
        <w:rPr>
          <w:rFonts w:ascii="Times New Roman" w:hAnsi="Times New Roman" w:cs="Times New Roman"/>
          <w:sz w:val="24"/>
          <w:szCs w:val="24"/>
        </w:rPr>
        <w:t>T</w:t>
      </w:r>
      <w:r w:rsidR="00AC0A64" w:rsidRPr="00734837">
        <w:rPr>
          <w:rFonts w:ascii="Times New Roman" w:eastAsia="MacmillanRoman" w:hAnsi="Times New Roman" w:cs="Times New Roman"/>
          <w:color w:val="000000"/>
          <w:sz w:val="24"/>
          <w:szCs w:val="24"/>
        </w:rPr>
        <w:t>he basic allocation problem is to decide which asset classes to include in a portfolio and in what proportions (</w:t>
      </w:r>
      <w:proofErr w:type="spellStart"/>
      <w:r w:rsidR="00AC0A64" w:rsidRPr="00734837">
        <w:rPr>
          <w:rFonts w:ascii="Times New Roman" w:eastAsia="MacmillanRoman" w:hAnsi="Times New Roman" w:cs="Times New Roman"/>
          <w:color w:val="000000"/>
          <w:sz w:val="24"/>
          <w:szCs w:val="24"/>
        </w:rPr>
        <w:t>Gratcheva</w:t>
      </w:r>
      <w:proofErr w:type="spellEnd"/>
      <w:r w:rsidR="00AC0A64"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00AC0A64" w:rsidRPr="00734837">
        <w:rPr>
          <w:rFonts w:ascii="Times New Roman" w:eastAsia="MacmillanRoman" w:hAnsi="Times New Roman" w:cs="Times New Roman"/>
          <w:color w:val="000000"/>
          <w:sz w:val="24"/>
          <w:szCs w:val="24"/>
        </w:rPr>
        <w:t xml:space="preserve"> Falk, 2003). This is because the asset allocation decision has a cumulative influence on the portfolios overall performance than any other decision. </w:t>
      </w:r>
      <w:r w:rsidR="00444ED4" w:rsidRPr="00734837">
        <w:rPr>
          <w:rFonts w:ascii="Times New Roman" w:eastAsia="MacmillanRoman" w:hAnsi="Times New Roman" w:cs="Times New Roman"/>
          <w:color w:val="000000"/>
          <w:sz w:val="24"/>
          <w:szCs w:val="24"/>
        </w:rPr>
        <w:t>The</w:t>
      </w:r>
      <w:r w:rsidR="00AC0A64" w:rsidRPr="00734837">
        <w:rPr>
          <w:rFonts w:ascii="Times New Roman" w:eastAsia="MacmillanRoman" w:hAnsi="Times New Roman" w:cs="Times New Roman"/>
          <w:color w:val="000000"/>
          <w:sz w:val="24"/>
          <w:szCs w:val="24"/>
        </w:rPr>
        <w:t xml:space="preserve"> asset allocation decision may not necessarily imply diversification in one market, but </w:t>
      </w:r>
      <w:proofErr w:type="gramStart"/>
      <w:r w:rsidR="00AC0A64" w:rsidRPr="00734837">
        <w:rPr>
          <w:rFonts w:ascii="Times New Roman" w:eastAsia="MacmillanRoman" w:hAnsi="Times New Roman" w:cs="Times New Roman"/>
          <w:color w:val="000000"/>
          <w:sz w:val="24"/>
          <w:szCs w:val="24"/>
        </w:rPr>
        <w:t>cross country</w:t>
      </w:r>
      <w:proofErr w:type="gramEnd"/>
      <w:r w:rsidR="00AC0A64" w:rsidRPr="00734837">
        <w:rPr>
          <w:rFonts w:ascii="Times New Roman" w:eastAsia="MacmillanRoman" w:hAnsi="Times New Roman" w:cs="Times New Roman"/>
          <w:color w:val="000000"/>
          <w:sz w:val="24"/>
          <w:szCs w:val="24"/>
        </w:rPr>
        <w:t xml:space="preserve"> diversification may also apply. Cross </w:t>
      </w:r>
      <w:proofErr w:type="gramStart"/>
      <w:r w:rsidR="00AC0A64" w:rsidRPr="00734837">
        <w:rPr>
          <w:rFonts w:ascii="Times New Roman" w:eastAsia="MacmillanRoman" w:hAnsi="Times New Roman" w:cs="Times New Roman"/>
          <w:color w:val="000000"/>
          <w:sz w:val="24"/>
          <w:szCs w:val="24"/>
        </w:rPr>
        <w:t>border</w:t>
      </w:r>
      <w:proofErr w:type="gramEnd"/>
      <w:r w:rsidR="00AC0A64" w:rsidRPr="00734837">
        <w:rPr>
          <w:rFonts w:ascii="Times New Roman" w:eastAsia="MacmillanRoman" w:hAnsi="Times New Roman" w:cs="Times New Roman"/>
          <w:color w:val="000000"/>
          <w:sz w:val="24"/>
          <w:szCs w:val="24"/>
        </w:rPr>
        <w:t xml:space="preserve"> diversification of products</w:t>
      </w:r>
      <w:r w:rsidR="00760E23" w:rsidRPr="00734837">
        <w:rPr>
          <w:rFonts w:ascii="Times New Roman" w:eastAsia="MacmillanRoman" w:hAnsi="Times New Roman" w:cs="Times New Roman"/>
          <w:color w:val="000000"/>
          <w:sz w:val="24"/>
          <w:szCs w:val="24"/>
        </w:rPr>
        <w:t xml:space="preserve"> and processes has the tendency of improving the risk-</w:t>
      </w:r>
      <w:r w:rsidR="005E4A20" w:rsidRPr="00734837">
        <w:rPr>
          <w:rFonts w:ascii="Times New Roman" w:eastAsia="MacmillanRoman" w:hAnsi="Times New Roman" w:cs="Times New Roman"/>
          <w:color w:val="000000"/>
          <w:sz w:val="24"/>
          <w:szCs w:val="24"/>
        </w:rPr>
        <w:t xml:space="preserve">expected </w:t>
      </w:r>
      <w:r w:rsidR="00AC0A64" w:rsidRPr="00734837">
        <w:rPr>
          <w:rFonts w:ascii="Times New Roman" w:eastAsia="MacmillanRoman" w:hAnsi="Times New Roman" w:cs="Times New Roman"/>
          <w:color w:val="000000"/>
          <w:sz w:val="24"/>
          <w:szCs w:val="24"/>
        </w:rPr>
        <w:t>return performance</w:t>
      </w:r>
      <w:r w:rsidR="00760E23" w:rsidRPr="00734837">
        <w:rPr>
          <w:rFonts w:ascii="Times New Roman" w:eastAsia="MacmillanRoman" w:hAnsi="Times New Roman" w:cs="Times New Roman"/>
          <w:color w:val="000000"/>
          <w:sz w:val="24"/>
          <w:szCs w:val="24"/>
        </w:rPr>
        <w:t>s of portfolios and securities</w:t>
      </w:r>
      <w:r w:rsidR="00EB3942" w:rsidRPr="00734837">
        <w:rPr>
          <w:rFonts w:ascii="Times New Roman" w:eastAsia="MacmillanRoman" w:hAnsi="Times New Roman" w:cs="Times New Roman"/>
          <w:color w:val="000000"/>
          <w:sz w:val="24"/>
          <w:szCs w:val="24"/>
        </w:rPr>
        <w:t>. T</w:t>
      </w:r>
      <w:r w:rsidR="007C48EC" w:rsidRPr="00734837">
        <w:rPr>
          <w:rFonts w:ascii="Times New Roman" w:eastAsia="MacmillanRoman" w:hAnsi="Times New Roman" w:cs="Times New Roman"/>
          <w:color w:val="000000"/>
          <w:sz w:val="24"/>
          <w:szCs w:val="24"/>
        </w:rPr>
        <w:t xml:space="preserve">his is on the premise that, </w:t>
      </w:r>
      <w:r w:rsidR="0002258D" w:rsidRPr="00734837">
        <w:rPr>
          <w:rFonts w:ascii="Times New Roman" w:eastAsia="MacmillanRoman" w:hAnsi="Times New Roman" w:cs="Times New Roman"/>
          <w:color w:val="000000"/>
          <w:sz w:val="24"/>
          <w:szCs w:val="24"/>
        </w:rPr>
        <w:t>macro</w:t>
      </w:r>
      <w:r w:rsidR="00EB3942" w:rsidRPr="00734837">
        <w:rPr>
          <w:rFonts w:ascii="Times New Roman" w:eastAsia="MacmillanRoman" w:hAnsi="Times New Roman" w:cs="Times New Roman"/>
          <w:color w:val="000000"/>
          <w:sz w:val="24"/>
          <w:szCs w:val="24"/>
        </w:rPr>
        <w:t>ec</w:t>
      </w:r>
      <w:r w:rsidR="006E4701" w:rsidRPr="00734837">
        <w:rPr>
          <w:rFonts w:ascii="Times New Roman" w:eastAsia="MacmillanRoman" w:hAnsi="Times New Roman" w:cs="Times New Roman"/>
          <w:color w:val="000000"/>
          <w:sz w:val="24"/>
          <w:szCs w:val="24"/>
        </w:rPr>
        <w:t xml:space="preserve">onomic factors of the various countries </w:t>
      </w:r>
      <w:r w:rsidR="00395D84" w:rsidRPr="00734837">
        <w:rPr>
          <w:rFonts w:ascii="Times New Roman" w:eastAsia="MacmillanRoman" w:hAnsi="Times New Roman" w:cs="Times New Roman"/>
          <w:color w:val="000000"/>
          <w:sz w:val="24"/>
          <w:szCs w:val="24"/>
        </w:rPr>
        <w:t xml:space="preserve">do not </w:t>
      </w:r>
      <w:proofErr w:type="gramStart"/>
      <w:r w:rsidR="00395D84" w:rsidRPr="00734837">
        <w:rPr>
          <w:rFonts w:ascii="Times New Roman" w:eastAsia="MacmillanRoman" w:hAnsi="Times New Roman" w:cs="Times New Roman"/>
          <w:color w:val="000000"/>
          <w:sz w:val="24"/>
          <w:szCs w:val="24"/>
        </w:rPr>
        <w:t>cause</w:t>
      </w:r>
      <w:proofErr w:type="gramEnd"/>
      <w:r w:rsidR="00395D84" w:rsidRPr="00734837">
        <w:rPr>
          <w:rFonts w:ascii="Times New Roman" w:eastAsia="MacmillanRoman" w:hAnsi="Times New Roman" w:cs="Times New Roman"/>
          <w:color w:val="000000"/>
          <w:sz w:val="24"/>
          <w:szCs w:val="24"/>
        </w:rPr>
        <w:t xml:space="preserve"> </w:t>
      </w:r>
      <w:r w:rsidR="006E4701" w:rsidRPr="00734837">
        <w:rPr>
          <w:rFonts w:ascii="Times New Roman" w:eastAsia="MacmillanRoman" w:hAnsi="Times New Roman" w:cs="Times New Roman"/>
          <w:color w:val="000000"/>
          <w:sz w:val="24"/>
          <w:szCs w:val="24"/>
        </w:rPr>
        <w:t>stock</w:t>
      </w:r>
      <w:r w:rsidR="00EB3942" w:rsidRPr="00734837">
        <w:rPr>
          <w:rFonts w:ascii="Times New Roman" w:eastAsia="MacmillanRoman" w:hAnsi="Times New Roman" w:cs="Times New Roman"/>
          <w:color w:val="000000"/>
          <w:sz w:val="24"/>
          <w:szCs w:val="24"/>
        </w:rPr>
        <w:t xml:space="preserve"> returns to be strongly correlated </w:t>
      </w:r>
      <w:r w:rsidR="00AC0A64" w:rsidRPr="00734837">
        <w:rPr>
          <w:rFonts w:ascii="Times New Roman" w:eastAsia="MacmillanRoman" w:hAnsi="Times New Roman" w:cs="Times New Roman"/>
          <w:color w:val="000000"/>
          <w:sz w:val="24"/>
          <w:szCs w:val="24"/>
        </w:rPr>
        <w:t>(</w:t>
      </w:r>
      <w:proofErr w:type="spellStart"/>
      <w:r w:rsidR="00AC0A64" w:rsidRPr="00734837">
        <w:rPr>
          <w:rFonts w:ascii="Times New Roman" w:eastAsia="MacmillanRoman" w:hAnsi="Times New Roman" w:cs="Times New Roman"/>
          <w:color w:val="000000"/>
          <w:sz w:val="24"/>
          <w:szCs w:val="24"/>
        </w:rPr>
        <w:t>Obstfeld</w:t>
      </w:r>
      <w:proofErr w:type="spellEnd"/>
      <w:r w:rsidR="00AC0A64" w:rsidRPr="00734837">
        <w:rPr>
          <w:rFonts w:ascii="Times New Roman" w:eastAsia="MacmillanRoman" w:hAnsi="Times New Roman" w:cs="Times New Roman"/>
          <w:color w:val="000000"/>
          <w:sz w:val="24"/>
          <w:szCs w:val="24"/>
        </w:rPr>
        <w:t>, 1994).  However, investors prefer to invest locally or in countries close by or</w:t>
      </w:r>
      <w:r w:rsidR="00930B4B" w:rsidRPr="00734837">
        <w:rPr>
          <w:rFonts w:ascii="Times New Roman" w:eastAsia="MacmillanRoman" w:hAnsi="Times New Roman" w:cs="Times New Roman"/>
          <w:color w:val="000000"/>
          <w:sz w:val="24"/>
          <w:szCs w:val="24"/>
        </w:rPr>
        <w:t xml:space="preserve"> familiar, thus investors would prefer to invest in markets they are </w:t>
      </w:r>
      <w:r w:rsidR="00F6673F" w:rsidRPr="00734837">
        <w:rPr>
          <w:rFonts w:ascii="Times New Roman" w:eastAsia="MacmillanRoman" w:hAnsi="Times New Roman" w:cs="Times New Roman"/>
          <w:color w:val="000000"/>
          <w:sz w:val="24"/>
          <w:szCs w:val="24"/>
        </w:rPr>
        <w:t>conversant</w:t>
      </w:r>
      <w:r w:rsidR="00AC0A64" w:rsidRPr="00734837">
        <w:rPr>
          <w:rFonts w:ascii="Times New Roman" w:eastAsia="MacmillanRoman" w:hAnsi="Times New Roman" w:cs="Times New Roman"/>
          <w:color w:val="000000"/>
          <w:sz w:val="24"/>
          <w:szCs w:val="24"/>
        </w:rPr>
        <w:t xml:space="preserve"> </w:t>
      </w:r>
      <w:r w:rsidR="00930B4B" w:rsidRPr="00734837">
        <w:rPr>
          <w:rFonts w:ascii="Times New Roman" w:eastAsia="MacmillanRoman" w:hAnsi="Times New Roman" w:cs="Times New Roman"/>
          <w:color w:val="000000"/>
          <w:sz w:val="24"/>
          <w:szCs w:val="24"/>
        </w:rPr>
        <w:t>with</w:t>
      </w:r>
      <w:r w:rsidR="000A3688" w:rsidRPr="00734837">
        <w:rPr>
          <w:rFonts w:ascii="Times New Roman" w:eastAsia="MacmillanRoman" w:hAnsi="Times New Roman" w:cs="Times New Roman"/>
          <w:color w:val="000000"/>
          <w:sz w:val="24"/>
          <w:szCs w:val="24"/>
        </w:rPr>
        <w:t xml:space="preserve"> (</w:t>
      </w:r>
      <w:proofErr w:type="spellStart"/>
      <w:r w:rsidR="000A3688" w:rsidRPr="00734837">
        <w:rPr>
          <w:rFonts w:ascii="Times New Roman" w:eastAsia="MacmillanRoman" w:hAnsi="Times New Roman" w:cs="Times New Roman"/>
          <w:color w:val="000000"/>
          <w:sz w:val="24"/>
          <w:szCs w:val="24"/>
        </w:rPr>
        <w:t>C</w:t>
      </w:r>
      <w:r w:rsidR="00945121" w:rsidRPr="00734837">
        <w:rPr>
          <w:rFonts w:ascii="Times New Roman" w:eastAsia="MacmillanRoman" w:hAnsi="Times New Roman" w:cs="Times New Roman"/>
          <w:color w:val="000000"/>
          <w:sz w:val="24"/>
          <w:szCs w:val="24"/>
        </w:rPr>
        <w:t>oval</w:t>
      </w:r>
      <w:proofErr w:type="spellEnd"/>
      <w:r w:rsidR="00945121"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00945121" w:rsidRPr="00734837">
        <w:rPr>
          <w:rFonts w:ascii="Times New Roman" w:eastAsia="MacmillanRoman" w:hAnsi="Times New Roman" w:cs="Times New Roman"/>
          <w:color w:val="000000"/>
          <w:sz w:val="24"/>
          <w:szCs w:val="24"/>
        </w:rPr>
        <w:t xml:space="preserve"> </w:t>
      </w:r>
      <w:proofErr w:type="spellStart"/>
      <w:r w:rsidR="00945121" w:rsidRPr="00734837">
        <w:rPr>
          <w:rFonts w:ascii="Times New Roman" w:eastAsia="MacmillanRoman" w:hAnsi="Times New Roman" w:cs="Times New Roman"/>
          <w:color w:val="000000"/>
          <w:sz w:val="24"/>
          <w:szCs w:val="24"/>
        </w:rPr>
        <w:t>Moskowitz</w:t>
      </w:r>
      <w:proofErr w:type="spellEnd"/>
      <w:r w:rsidR="00945121" w:rsidRPr="00734837">
        <w:rPr>
          <w:rFonts w:ascii="Times New Roman" w:eastAsia="MacmillanRoman" w:hAnsi="Times New Roman" w:cs="Times New Roman"/>
          <w:color w:val="000000"/>
          <w:sz w:val="24"/>
          <w:szCs w:val="24"/>
        </w:rPr>
        <w:t>, 1999</w:t>
      </w:r>
      <w:r w:rsidR="00A828B7" w:rsidRPr="00734837">
        <w:rPr>
          <w:rFonts w:ascii="Times New Roman" w:eastAsia="MacmillanRoman" w:hAnsi="Times New Roman" w:cs="Times New Roman"/>
          <w:color w:val="000000"/>
          <w:sz w:val="24"/>
          <w:szCs w:val="24"/>
        </w:rPr>
        <w:t xml:space="preserve">). </w:t>
      </w:r>
    </w:p>
    <w:p w:rsidR="00657365" w:rsidRPr="00734837" w:rsidRDefault="00AC0A64" w:rsidP="00DB671E">
      <w:pPr>
        <w:spacing w:after="360" w:line="240" w:lineRule="auto"/>
        <w:jc w:val="both"/>
        <w:rPr>
          <w:rFonts w:ascii="Times New Roman" w:eastAsia="MacmillanRoman" w:hAnsi="Times New Roman" w:cs="Times New Roman"/>
          <w:color w:val="000000"/>
          <w:sz w:val="24"/>
          <w:szCs w:val="24"/>
        </w:rPr>
      </w:pPr>
      <w:r w:rsidRPr="00734837">
        <w:rPr>
          <w:rFonts w:ascii="Times New Roman" w:eastAsia="MacmillanRoman" w:hAnsi="Times New Roman" w:cs="Times New Roman"/>
          <w:color w:val="000000"/>
          <w:sz w:val="24"/>
          <w:szCs w:val="24"/>
        </w:rPr>
        <w:t xml:space="preserve">Recent studies have indicated that </w:t>
      </w:r>
      <w:r w:rsidR="007429D1" w:rsidRPr="00734837">
        <w:rPr>
          <w:rFonts w:ascii="Times New Roman" w:eastAsia="MacmillanRoman" w:hAnsi="Times New Roman" w:cs="Times New Roman"/>
          <w:color w:val="000000"/>
          <w:sz w:val="24"/>
          <w:szCs w:val="24"/>
        </w:rPr>
        <w:t>frontier markets such as most markets in Africa are</w:t>
      </w:r>
      <w:r w:rsidRPr="00734837">
        <w:rPr>
          <w:rFonts w:ascii="Times New Roman" w:eastAsia="MacmillanRoman" w:hAnsi="Times New Roman" w:cs="Times New Roman"/>
          <w:color w:val="000000"/>
          <w:sz w:val="24"/>
          <w:szCs w:val="24"/>
        </w:rPr>
        <w:t xml:space="preserve"> becoming a lucrative place to invest </w:t>
      </w:r>
      <w:r w:rsidR="00444ED4" w:rsidRPr="00734837">
        <w:rPr>
          <w:rFonts w:ascii="Times New Roman" w:eastAsia="MacmillanRoman" w:hAnsi="Times New Roman" w:cs="Times New Roman"/>
          <w:color w:val="000000"/>
          <w:sz w:val="24"/>
          <w:szCs w:val="24"/>
        </w:rPr>
        <w:t>since the correlation between African markets and the other developed markets is still low.</w:t>
      </w:r>
      <w:r w:rsidRPr="00734837">
        <w:rPr>
          <w:rFonts w:ascii="Times New Roman" w:eastAsia="MacmillanRoman" w:hAnsi="Times New Roman" w:cs="Times New Roman"/>
          <w:color w:val="000000"/>
          <w:sz w:val="24"/>
          <w:szCs w:val="24"/>
        </w:rPr>
        <w:t xml:space="preserve"> </w:t>
      </w:r>
      <w:r w:rsidR="00D46C42" w:rsidRPr="00734837">
        <w:rPr>
          <w:rFonts w:ascii="Times New Roman" w:eastAsia="MacmillanRoman" w:hAnsi="Times New Roman" w:cs="Times New Roman"/>
          <w:color w:val="000000"/>
          <w:sz w:val="24"/>
          <w:szCs w:val="24"/>
        </w:rPr>
        <w:t xml:space="preserve">Furthermore, over the years, </w:t>
      </w:r>
      <w:r w:rsidRPr="00734837">
        <w:rPr>
          <w:rFonts w:ascii="Times New Roman" w:eastAsia="MacmillanRoman" w:hAnsi="Times New Roman" w:cs="Times New Roman"/>
          <w:color w:val="000000"/>
          <w:sz w:val="24"/>
          <w:szCs w:val="24"/>
        </w:rPr>
        <w:t>developing markets have illustrated rapid fi</w:t>
      </w:r>
      <w:r w:rsidR="00BD017F" w:rsidRPr="00734837">
        <w:rPr>
          <w:rFonts w:ascii="Times New Roman" w:eastAsia="MacmillanRoman" w:hAnsi="Times New Roman" w:cs="Times New Roman"/>
          <w:color w:val="000000"/>
          <w:sz w:val="24"/>
          <w:szCs w:val="24"/>
        </w:rPr>
        <w:t xml:space="preserve">nancial, economic and </w:t>
      </w:r>
      <w:r w:rsidRPr="00734837">
        <w:rPr>
          <w:rFonts w:ascii="Times New Roman" w:eastAsia="MacmillanRoman" w:hAnsi="Times New Roman" w:cs="Times New Roman"/>
          <w:color w:val="000000"/>
          <w:sz w:val="24"/>
          <w:szCs w:val="24"/>
        </w:rPr>
        <w:t>development</w:t>
      </w:r>
      <w:r w:rsidR="00BD017F" w:rsidRPr="00734837">
        <w:rPr>
          <w:rFonts w:ascii="Times New Roman" w:eastAsia="MacmillanRoman" w:hAnsi="Times New Roman" w:cs="Times New Roman"/>
          <w:color w:val="000000"/>
          <w:sz w:val="24"/>
          <w:szCs w:val="24"/>
        </w:rPr>
        <w:t>al growths</w:t>
      </w:r>
      <w:r w:rsidRPr="00734837">
        <w:rPr>
          <w:rFonts w:ascii="Times New Roman" w:eastAsia="MacmillanRoman" w:hAnsi="Times New Roman" w:cs="Times New Roman"/>
          <w:color w:val="000000"/>
          <w:sz w:val="24"/>
          <w:szCs w:val="24"/>
        </w:rPr>
        <w:t xml:space="preserve"> (Groot, Pang</w:t>
      </w:r>
      <w:r w:rsidR="0032093F" w:rsidRPr="00734837">
        <w:rPr>
          <w:rFonts w:ascii="Times New Roman" w:eastAsia="MacmillanRoman" w:hAnsi="Times New Roman" w:cs="Times New Roman"/>
          <w:color w:val="000000"/>
          <w:sz w:val="24"/>
          <w:szCs w:val="24"/>
        </w:rPr>
        <w:t>,</w:t>
      </w:r>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w:t>
      </w:r>
      <w:proofErr w:type="spellStart"/>
      <w:r w:rsidRPr="00734837">
        <w:rPr>
          <w:rFonts w:ascii="Times New Roman" w:eastAsia="MacmillanRoman" w:hAnsi="Times New Roman" w:cs="Times New Roman"/>
          <w:color w:val="000000"/>
          <w:sz w:val="24"/>
          <w:szCs w:val="24"/>
        </w:rPr>
        <w:t>Swinkels</w:t>
      </w:r>
      <w:proofErr w:type="spellEnd"/>
      <w:r w:rsidRPr="00734837">
        <w:rPr>
          <w:rFonts w:ascii="Times New Roman" w:eastAsia="MacmillanRoman" w:hAnsi="Times New Roman" w:cs="Times New Roman"/>
          <w:color w:val="000000"/>
          <w:sz w:val="24"/>
          <w:szCs w:val="24"/>
        </w:rPr>
        <w:t xml:space="preserve">, 2012; Li, </w:t>
      </w:r>
      <w:proofErr w:type="spellStart"/>
      <w:r w:rsidRPr="00734837">
        <w:rPr>
          <w:rFonts w:ascii="Times New Roman" w:eastAsia="MacmillanRoman" w:hAnsi="Times New Roman" w:cs="Times New Roman"/>
          <w:color w:val="000000"/>
          <w:sz w:val="24"/>
          <w:szCs w:val="24"/>
        </w:rPr>
        <w:t>Sar</w:t>
      </w:r>
      <w:r w:rsidR="00220E41" w:rsidRPr="00734837">
        <w:rPr>
          <w:rFonts w:ascii="Times New Roman" w:eastAsia="MacmillanRoman" w:hAnsi="Times New Roman" w:cs="Times New Roman"/>
          <w:color w:val="000000"/>
          <w:sz w:val="24"/>
          <w:szCs w:val="24"/>
        </w:rPr>
        <w:t>kar</w:t>
      </w:r>
      <w:proofErr w:type="spellEnd"/>
      <w:r w:rsidR="0032093F" w:rsidRPr="00734837">
        <w:rPr>
          <w:rFonts w:ascii="Times New Roman" w:eastAsia="MacmillanRoman" w:hAnsi="Times New Roman" w:cs="Times New Roman"/>
          <w:color w:val="000000"/>
          <w:sz w:val="24"/>
          <w:szCs w:val="24"/>
        </w:rPr>
        <w:t>,</w:t>
      </w:r>
      <w:r w:rsidR="00220E41"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00220E41" w:rsidRPr="00734837">
        <w:rPr>
          <w:rFonts w:ascii="Times New Roman" w:eastAsia="MacmillanRoman" w:hAnsi="Times New Roman" w:cs="Times New Roman"/>
          <w:color w:val="000000"/>
          <w:sz w:val="24"/>
          <w:szCs w:val="24"/>
        </w:rPr>
        <w:t xml:space="preserve"> Wang, 2003). Groot et al.</w:t>
      </w:r>
      <w:r w:rsidRPr="00734837">
        <w:rPr>
          <w:rFonts w:ascii="Times New Roman" w:eastAsia="MacmillanRoman" w:hAnsi="Times New Roman" w:cs="Times New Roman"/>
          <w:color w:val="000000"/>
          <w:sz w:val="24"/>
          <w:szCs w:val="24"/>
        </w:rPr>
        <w:t xml:space="preserve"> (2012) found that investing in a frontier market</w:t>
      </w:r>
      <w:r w:rsidR="00A448BE" w:rsidRPr="00734837">
        <w:rPr>
          <w:rFonts w:ascii="Times New Roman" w:eastAsia="MacmillanRoman" w:hAnsi="Times New Roman" w:cs="Times New Roman"/>
          <w:color w:val="000000"/>
          <w:sz w:val="24"/>
          <w:szCs w:val="24"/>
        </w:rPr>
        <w:t>s tend</w:t>
      </w:r>
      <w:r w:rsidRPr="00734837">
        <w:rPr>
          <w:rFonts w:ascii="Times New Roman" w:eastAsia="MacmillanRoman" w:hAnsi="Times New Roman" w:cs="Times New Roman"/>
          <w:color w:val="000000"/>
          <w:sz w:val="24"/>
          <w:szCs w:val="24"/>
        </w:rPr>
        <w:t xml:space="preserve"> to significantly extend the mean-variance efficient frontiers and provides </w:t>
      </w:r>
      <w:r w:rsidR="007429D1" w:rsidRPr="00734837">
        <w:rPr>
          <w:rFonts w:ascii="Times New Roman" w:eastAsia="MacmillanRoman" w:hAnsi="Times New Roman" w:cs="Times New Roman"/>
          <w:color w:val="000000"/>
          <w:sz w:val="24"/>
          <w:szCs w:val="24"/>
        </w:rPr>
        <w:t xml:space="preserve">investment </w:t>
      </w:r>
      <w:proofErr w:type="gramStart"/>
      <w:r w:rsidR="007429D1" w:rsidRPr="00734837">
        <w:rPr>
          <w:rFonts w:ascii="Times New Roman" w:eastAsia="MacmillanRoman" w:hAnsi="Times New Roman" w:cs="Times New Roman"/>
          <w:color w:val="000000"/>
          <w:sz w:val="24"/>
          <w:szCs w:val="24"/>
        </w:rPr>
        <w:t>opportunities which</w:t>
      </w:r>
      <w:proofErr w:type="gramEnd"/>
      <w:r w:rsidR="007429D1" w:rsidRPr="00734837">
        <w:rPr>
          <w:rFonts w:ascii="Times New Roman" w:eastAsia="MacmillanRoman" w:hAnsi="Times New Roman" w:cs="Times New Roman"/>
          <w:color w:val="000000"/>
          <w:sz w:val="24"/>
          <w:szCs w:val="24"/>
        </w:rPr>
        <w:t xml:space="preserve"> yield</w:t>
      </w:r>
      <w:r w:rsidR="00D57867" w:rsidRPr="00734837">
        <w:rPr>
          <w:rFonts w:ascii="Times New Roman" w:eastAsia="MacmillanRoman" w:hAnsi="Times New Roman" w:cs="Times New Roman"/>
          <w:color w:val="000000"/>
          <w:sz w:val="24"/>
          <w:szCs w:val="24"/>
        </w:rPr>
        <w:t xml:space="preserve"> higher </w:t>
      </w:r>
      <w:r w:rsidR="00A52803" w:rsidRPr="00734837">
        <w:rPr>
          <w:rFonts w:ascii="Times New Roman" w:eastAsia="MacmillanRoman" w:hAnsi="Times New Roman" w:cs="Times New Roman"/>
          <w:color w:val="000000"/>
          <w:sz w:val="24"/>
          <w:szCs w:val="24"/>
        </w:rPr>
        <w:t>returns. We also believe</w:t>
      </w:r>
      <w:r w:rsidR="00D57867" w:rsidRPr="00734837">
        <w:rPr>
          <w:rFonts w:ascii="Times New Roman" w:eastAsia="MacmillanRoman" w:hAnsi="Times New Roman" w:cs="Times New Roman"/>
          <w:color w:val="000000"/>
          <w:sz w:val="24"/>
          <w:szCs w:val="24"/>
        </w:rPr>
        <w:t xml:space="preserve"> </w:t>
      </w:r>
      <w:r w:rsidRPr="00734837">
        <w:rPr>
          <w:rFonts w:ascii="Times New Roman" w:eastAsia="MacmillanRoman" w:hAnsi="Times New Roman" w:cs="Times New Roman"/>
          <w:color w:val="000000"/>
          <w:sz w:val="24"/>
          <w:szCs w:val="24"/>
        </w:rPr>
        <w:t>cross border diversification</w:t>
      </w:r>
      <w:r w:rsidR="00A52803" w:rsidRPr="00734837">
        <w:rPr>
          <w:rFonts w:ascii="Times New Roman" w:eastAsia="MacmillanRoman" w:hAnsi="Times New Roman" w:cs="Times New Roman"/>
          <w:color w:val="000000"/>
          <w:sz w:val="24"/>
          <w:szCs w:val="24"/>
        </w:rPr>
        <w:t xml:space="preserve"> on the African stock markets</w:t>
      </w:r>
      <w:r w:rsidR="00953E30" w:rsidRPr="00734837">
        <w:rPr>
          <w:rFonts w:ascii="Times New Roman" w:eastAsia="MacmillanRoman" w:hAnsi="Times New Roman" w:cs="Times New Roman"/>
          <w:color w:val="000000"/>
          <w:sz w:val="24"/>
          <w:szCs w:val="24"/>
        </w:rPr>
        <w:t xml:space="preserve"> can</w:t>
      </w:r>
      <w:r w:rsidRPr="00734837">
        <w:rPr>
          <w:rFonts w:ascii="Times New Roman" w:eastAsia="MacmillanRoman" w:hAnsi="Times New Roman" w:cs="Times New Roman"/>
          <w:color w:val="000000"/>
          <w:sz w:val="24"/>
          <w:szCs w:val="24"/>
        </w:rPr>
        <w:t xml:space="preserve"> serve as</w:t>
      </w:r>
      <w:r w:rsidR="00C619ED" w:rsidRPr="00734837">
        <w:rPr>
          <w:rFonts w:ascii="Times New Roman" w:eastAsia="MacmillanRoman" w:hAnsi="Times New Roman" w:cs="Times New Roman"/>
          <w:color w:val="000000"/>
          <w:sz w:val="24"/>
          <w:szCs w:val="24"/>
        </w:rPr>
        <w:t xml:space="preserve"> an ideal out of sample investment display</w:t>
      </w:r>
      <w:r w:rsidRPr="00734837">
        <w:rPr>
          <w:rFonts w:ascii="Times New Roman" w:eastAsia="MacmillanRoman" w:hAnsi="Times New Roman" w:cs="Times New Roman"/>
          <w:color w:val="000000"/>
          <w:sz w:val="24"/>
          <w:szCs w:val="24"/>
        </w:rPr>
        <w:t>, since most studies on cross country portfolio selection and diversification focused more on developed economies (</w:t>
      </w:r>
      <w:proofErr w:type="spellStart"/>
      <w:r w:rsidRPr="00734837">
        <w:rPr>
          <w:rFonts w:ascii="Times New Roman" w:eastAsia="MacmillanRoman" w:hAnsi="Times New Roman" w:cs="Times New Roman"/>
          <w:color w:val="000000"/>
          <w:sz w:val="24"/>
          <w:szCs w:val="24"/>
        </w:rPr>
        <w:t>Guidolin</w:t>
      </w:r>
      <w:proofErr w:type="spellEnd"/>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Hyde, 2012; </w:t>
      </w:r>
      <w:proofErr w:type="spellStart"/>
      <w:r w:rsidRPr="00734837">
        <w:rPr>
          <w:rFonts w:ascii="Times New Roman" w:eastAsia="MacmillanRoman" w:hAnsi="Times New Roman" w:cs="Times New Roman"/>
          <w:color w:val="000000"/>
          <w:sz w:val="24"/>
          <w:szCs w:val="24"/>
        </w:rPr>
        <w:t>Horneff</w:t>
      </w:r>
      <w:proofErr w:type="spellEnd"/>
      <w:r w:rsidRPr="00734837">
        <w:rPr>
          <w:rFonts w:ascii="Times New Roman" w:eastAsia="MacmillanRoman" w:hAnsi="Times New Roman" w:cs="Times New Roman"/>
          <w:color w:val="000000"/>
          <w:sz w:val="24"/>
          <w:szCs w:val="24"/>
        </w:rPr>
        <w:t>, Maurer, Mitchell</w:t>
      </w:r>
      <w:r w:rsidR="0032093F" w:rsidRPr="00734837">
        <w:rPr>
          <w:rFonts w:ascii="Times New Roman" w:eastAsia="MacmillanRoman" w:hAnsi="Times New Roman" w:cs="Times New Roman"/>
          <w:color w:val="000000"/>
          <w:sz w:val="24"/>
          <w:szCs w:val="24"/>
        </w:rPr>
        <w:t>,</w:t>
      </w:r>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w:t>
      </w:r>
      <w:proofErr w:type="spellStart"/>
      <w:r w:rsidRPr="00734837">
        <w:rPr>
          <w:rFonts w:ascii="Times New Roman" w:eastAsia="MacmillanRoman" w:hAnsi="Times New Roman" w:cs="Times New Roman"/>
          <w:color w:val="000000"/>
          <w:sz w:val="24"/>
          <w:szCs w:val="24"/>
        </w:rPr>
        <w:t>Stamos</w:t>
      </w:r>
      <w:proofErr w:type="spellEnd"/>
      <w:r w:rsidR="00947B2E" w:rsidRPr="00734837">
        <w:rPr>
          <w:rFonts w:ascii="Times New Roman" w:eastAsia="MacmillanRoman" w:hAnsi="Times New Roman" w:cs="Times New Roman"/>
          <w:color w:val="000000"/>
          <w:sz w:val="24"/>
          <w:szCs w:val="24"/>
        </w:rPr>
        <w:t>,</w:t>
      </w:r>
      <w:r w:rsidRPr="00734837">
        <w:rPr>
          <w:rFonts w:ascii="Times New Roman" w:eastAsia="MacmillanRoman" w:hAnsi="Times New Roman" w:cs="Times New Roman"/>
          <w:color w:val="000000"/>
          <w:sz w:val="24"/>
          <w:szCs w:val="24"/>
        </w:rPr>
        <w:t xml:space="preserve"> 2009). </w:t>
      </w:r>
    </w:p>
    <w:p w:rsidR="00D05EEC" w:rsidRPr="00734837" w:rsidRDefault="00AC0A64" w:rsidP="00D05EEC">
      <w:pPr>
        <w:spacing w:line="240" w:lineRule="auto"/>
        <w:jc w:val="both"/>
        <w:rPr>
          <w:rFonts w:ascii="Times New Roman" w:hAnsi="Times New Roman" w:cs="Times New Roman"/>
          <w:noProof/>
          <w:sz w:val="24"/>
          <w:szCs w:val="24"/>
        </w:rPr>
      </w:pPr>
      <w:r w:rsidRPr="00734837">
        <w:rPr>
          <w:rFonts w:ascii="Times New Roman" w:eastAsia="MacmillanRoman" w:hAnsi="Times New Roman" w:cs="Times New Roman"/>
          <w:color w:val="000000"/>
          <w:sz w:val="24"/>
          <w:szCs w:val="24"/>
        </w:rPr>
        <w:lastRenderedPageBreak/>
        <w:t xml:space="preserve">Klassen and </w:t>
      </w:r>
      <w:proofErr w:type="spellStart"/>
      <w:r w:rsidRPr="00734837">
        <w:rPr>
          <w:rFonts w:ascii="Times New Roman" w:eastAsia="MacmillanRoman" w:hAnsi="Times New Roman" w:cs="Times New Roman"/>
          <w:color w:val="000000"/>
          <w:sz w:val="24"/>
          <w:szCs w:val="24"/>
        </w:rPr>
        <w:t>Yoogaling</w:t>
      </w:r>
      <w:r w:rsidR="00773BC1" w:rsidRPr="00734837">
        <w:rPr>
          <w:rFonts w:ascii="Times New Roman" w:eastAsia="MacmillanRoman" w:hAnsi="Times New Roman" w:cs="Times New Roman"/>
          <w:color w:val="000000"/>
          <w:sz w:val="24"/>
          <w:szCs w:val="24"/>
        </w:rPr>
        <w:t>am</w:t>
      </w:r>
      <w:proofErr w:type="spellEnd"/>
      <w:r w:rsidR="00773BC1" w:rsidRPr="00734837">
        <w:rPr>
          <w:rFonts w:ascii="Times New Roman" w:eastAsia="MacmillanRoman" w:hAnsi="Times New Roman" w:cs="Times New Roman"/>
          <w:color w:val="000000"/>
          <w:sz w:val="24"/>
          <w:szCs w:val="24"/>
        </w:rPr>
        <w:t xml:space="preserve"> (2013) have also argued that</w:t>
      </w:r>
      <w:r w:rsidRPr="00734837">
        <w:rPr>
          <w:rFonts w:ascii="Times New Roman" w:eastAsia="MacmillanRoman" w:hAnsi="Times New Roman" w:cs="Times New Roman"/>
          <w:color w:val="000000"/>
          <w:sz w:val="24"/>
          <w:szCs w:val="24"/>
        </w:rPr>
        <w:t xml:space="preserve"> to determine </w:t>
      </w:r>
      <w:proofErr w:type="gramStart"/>
      <w:r w:rsidRPr="00734837">
        <w:rPr>
          <w:rFonts w:ascii="Times New Roman" w:eastAsia="MacmillanRoman" w:hAnsi="Times New Roman" w:cs="Times New Roman"/>
          <w:color w:val="000000"/>
          <w:sz w:val="24"/>
          <w:szCs w:val="24"/>
        </w:rPr>
        <w:t>whether or not</w:t>
      </w:r>
      <w:proofErr w:type="gramEnd"/>
      <w:r w:rsidRPr="00734837">
        <w:rPr>
          <w:rFonts w:ascii="Times New Roman" w:eastAsia="MacmillanRoman" w:hAnsi="Times New Roman" w:cs="Times New Roman"/>
          <w:color w:val="000000"/>
          <w:sz w:val="24"/>
          <w:szCs w:val="24"/>
        </w:rPr>
        <w:t xml:space="preserve"> a technique, strategy or model employed in the allocation and selection of the optimal portfolio would be able to withstand any variations in macroeconomic variables, as well as any other idiosyncratic errors in measurement, the simulation process must be adopted. T</w:t>
      </w:r>
      <w:r w:rsidR="00747043" w:rsidRPr="00734837">
        <w:rPr>
          <w:rFonts w:ascii="Times New Roman" w:eastAsia="MacmillanRoman" w:hAnsi="Times New Roman" w:cs="Times New Roman"/>
          <w:color w:val="000000"/>
          <w:sz w:val="24"/>
          <w:szCs w:val="24"/>
        </w:rPr>
        <w:t>his is because the simulation</w:t>
      </w:r>
      <w:r w:rsidR="00C04B9B" w:rsidRPr="00734837">
        <w:rPr>
          <w:rFonts w:ascii="Times New Roman" w:eastAsia="MacmillanRoman" w:hAnsi="Times New Roman" w:cs="Times New Roman"/>
          <w:color w:val="000000"/>
          <w:sz w:val="24"/>
          <w:szCs w:val="24"/>
        </w:rPr>
        <w:t xml:space="preserve"> process</w:t>
      </w:r>
      <w:r w:rsidR="00747043" w:rsidRPr="00734837">
        <w:rPr>
          <w:rFonts w:ascii="Times New Roman" w:eastAsia="MacmillanRoman" w:hAnsi="Times New Roman" w:cs="Times New Roman"/>
          <w:color w:val="000000"/>
          <w:sz w:val="24"/>
          <w:szCs w:val="24"/>
        </w:rPr>
        <w:t xml:space="preserve"> addresses the possible</w:t>
      </w:r>
      <w:r w:rsidRPr="00734837">
        <w:rPr>
          <w:rFonts w:ascii="Times New Roman" w:eastAsia="MacmillanRoman" w:hAnsi="Times New Roman" w:cs="Times New Roman"/>
          <w:color w:val="000000"/>
          <w:sz w:val="24"/>
          <w:szCs w:val="24"/>
        </w:rPr>
        <w:t xml:space="preserve"> stochastic </w:t>
      </w:r>
      <w:r w:rsidR="00747043" w:rsidRPr="00734837">
        <w:rPr>
          <w:rFonts w:ascii="Times New Roman" w:eastAsia="MacmillanRoman" w:hAnsi="Times New Roman" w:cs="Times New Roman"/>
          <w:color w:val="000000"/>
          <w:sz w:val="24"/>
          <w:szCs w:val="24"/>
        </w:rPr>
        <w:t>factors</w:t>
      </w:r>
      <w:r w:rsidRPr="00734837">
        <w:rPr>
          <w:rFonts w:ascii="Times New Roman" w:eastAsia="MacmillanRoman" w:hAnsi="Times New Roman" w:cs="Times New Roman"/>
          <w:color w:val="000000"/>
          <w:sz w:val="24"/>
          <w:szCs w:val="24"/>
        </w:rPr>
        <w:t xml:space="preserve"> of the sampling process</w:t>
      </w:r>
      <w:r w:rsidR="00747043" w:rsidRPr="00734837">
        <w:rPr>
          <w:rFonts w:ascii="Times New Roman" w:eastAsia="MacmillanRoman" w:hAnsi="Times New Roman" w:cs="Times New Roman"/>
          <w:color w:val="000000"/>
          <w:sz w:val="24"/>
          <w:szCs w:val="24"/>
        </w:rPr>
        <w:t xml:space="preserve"> while </w:t>
      </w:r>
      <w:r w:rsidR="00C04B9B" w:rsidRPr="00734837">
        <w:rPr>
          <w:rFonts w:ascii="Times New Roman" w:eastAsia="MacmillanRoman" w:hAnsi="Times New Roman" w:cs="Times New Roman"/>
          <w:color w:val="000000"/>
          <w:sz w:val="24"/>
          <w:szCs w:val="24"/>
        </w:rPr>
        <w:t xml:space="preserve">simultaneously </w:t>
      </w:r>
      <w:r w:rsidR="0097454C" w:rsidRPr="00734837">
        <w:rPr>
          <w:rFonts w:ascii="Times New Roman" w:eastAsia="MacmillanRoman" w:hAnsi="Times New Roman" w:cs="Times New Roman"/>
          <w:color w:val="000000"/>
          <w:sz w:val="24"/>
          <w:szCs w:val="24"/>
        </w:rPr>
        <w:t>determining</w:t>
      </w:r>
      <w:r w:rsidRPr="00734837">
        <w:rPr>
          <w:rFonts w:ascii="Times New Roman" w:eastAsia="MacmillanRoman" w:hAnsi="Times New Roman" w:cs="Times New Roman"/>
          <w:color w:val="000000"/>
          <w:sz w:val="24"/>
          <w:szCs w:val="24"/>
        </w:rPr>
        <w:t xml:space="preserve"> whether there exist significant differences between the simulated results to that of the original (</w:t>
      </w:r>
      <w:proofErr w:type="spellStart"/>
      <w:r w:rsidRPr="00734837">
        <w:rPr>
          <w:rFonts w:ascii="Times New Roman" w:eastAsia="MacmillanRoman" w:hAnsi="Times New Roman" w:cs="Times New Roman"/>
          <w:color w:val="000000"/>
          <w:sz w:val="24"/>
          <w:szCs w:val="24"/>
        </w:rPr>
        <w:t>Aslanidis</w:t>
      </w:r>
      <w:proofErr w:type="spellEnd"/>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Casas, 2013; Adachi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Gupta, 2005). The bootstrapping technique </w:t>
      </w:r>
      <w:proofErr w:type="gramStart"/>
      <w:r w:rsidRPr="00734837">
        <w:rPr>
          <w:rFonts w:ascii="Times New Roman" w:eastAsia="MacmillanRoman" w:hAnsi="Times New Roman" w:cs="Times New Roman"/>
          <w:color w:val="000000"/>
          <w:sz w:val="24"/>
          <w:szCs w:val="24"/>
        </w:rPr>
        <w:t xml:space="preserve">would </w:t>
      </w:r>
      <w:r w:rsidR="00A42AA0" w:rsidRPr="00734837">
        <w:rPr>
          <w:rFonts w:ascii="Times New Roman" w:eastAsia="MacmillanRoman" w:hAnsi="Times New Roman" w:cs="Times New Roman"/>
          <w:color w:val="000000"/>
          <w:sz w:val="24"/>
          <w:szCs w:val="24"/>
        </w:rPr>
        <w:t xml:space="preserve">therefore </w:t>
      </w:r>
      <w:r w:rsidRPr="00734837">
        <w:rPr>
          <w:rFonts w:ascii="Times New Roman" w:eastAsia="MacmillanRoman" w:hAnsi="Times New Roman" w:cs="Times New Roman"/>
          <w:color w:val="000000"/>
          <w:sz w:val="24"/>
          <w:szCs w:val="24"/>
        </w:rPr>
        <w:t>be employed</w:t>
      </w:r>
      <w:proofErr w:type="gramEnd"/>
      <w:r w:rsidRPr="00734837">
        <w:rPr>
          <w:rFonts w:ascii="Times New Roman" w:eastAsia="MacmillanRoman" w:hAnsi="Times New Roman" w:cs="Times New Roman"/>
          <w:color w:val="000000"/>
          <w:sz w:val="24"/>
          <w:szCs w:val="24"/>
        </w:rPr>
        <w:t xml:space="preserve"> as a simulation technique. Studies that employed bootstrapping as a simulation t</w:t>
      </w:r>
      <w:r w:rsidR="007D43AF" w:rsidRPr="00734837">
        <w:rPr>
          <w:rFonts w:ascii="Times New Roman" w:eastAsia="MacmillanRoman" w:hAnsi="Times New Roman" w:cs="Times New Roman"/>
          <w:color w:val="000000"/>
          <w:sz w:val="24"/>
          <w:szCs w:val="24"/>
        </w:rPr>
        <w:t xml:space="preserve">echnique used it </w:t>
      </w:r>
      <w:r w:rsidRPr="00734837">
        <w:rPr>
          <w:rFonts w:ascii="Times New Roman" w:eastAsia="MacmillanRoman" w:hAnsi="Times New Roman" w:cs="Times New Roman"/>
          <w:color w:val="000000"/>
          <w:sz w:val="24"/>
          <w:szCs w:val="24"/>
        </w:rPr>
        <w:t>mainly because of its independence to distribution of stock returns (Jacob et al</w:t>
      </w:r>
      <w:r w:rsidR="00397AB6" w:rsidRPr="00734837">
        <w:rPr>
          <w:rFonts w:ascii="Times New Roman" w:eastAsia="MacmillanRoman" w:hAnsi="Times New Roman" w:cs="Times New Roman"/>
          <w:color w:val="000000"/>
          <w:sz w:val="24"/>
          <w:szCs w:val="24"/>
        </w:rPr>
        <w:t>.</w:t>
      </w:r>
      <w:r w:rsidRPr="00734837">
        <w:rPr>
          <w:rFonts w:ascii="Times New Roman" w:eastAsia="MacmillanRoman" w:hAnsi="Times New Roman" w:cs="Times New Roman"/>
          <w:color w:val="000000"/>
          <w:sz w:val="24"/>
          <w:szCs w:val="24"/>
        </w:rPr>
        <w:t xml:space="preserve">, 2014). Bootstrapping can depict various and probable situations that could result in variations in stock returns in a given economy. That is, bootstrapping has the ability to provide various datasets (replicates) that can result from variations such as changes in business cycles, inflation and other diversifiable errors in the economy </w:t>
      </w:r>
      <w:r w:rsidRPr="00734837">
        <w:rPr>
          <w:rFonts w:ascii="Times New Roman" w:hAnsi="Times New Roman" w:cs="Times New Roman"/>
          <w:sz w:val="24"/>
          <w:szCs w:val="24"/>
        </w:rPr>
        <w:t>(</w:t>
      </w:r>
      <w:proofErr w:type="spellStart"/>
      <w:r w:rsidRPr="00734837">
        <w:rPr>
          <w:rFonts w:ascii="Times New Roman" w:hAnsi="Times New Roman" w:cs="Times New Roman"/>
          <w:sz w:val="24"/>
          <w:szCs w:val="24"/>
        </w:rPr>
        <w:t>Assaf</w:t>
      </w:r>
      <w:proofErr w:type="spellEnd"/>
      <w:r w:rsidRPr="00734837">
        <w:rPr>
          <w:rFonts w:ascii="Times New Roman" w:hAnsi="Times New Roman" w:cs="Times New Roman"/>
          <w:sz w:val="24"/>
          <w:szCs w:val="24"/>
        </w:rPr>
        <w:t>, Barros</w:t>
      </w:r>
      <w:r w:rsidR="00FA353D" w:rsidRPr="00734837">
        <w:rPr>
          <w:rFonts w:ascii="Times New Roman" w:hAnsi="Times New Roman" w:cs="Times New Roman"/>
          <w:sz w:val="24"/>
          <w:szCs w:val="24"/>
        </w:rPr>
        <w:t>,</w:t>
      </w:r>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Matousek</w:t>
      </w:r>
      <w:proofErr w:type="spellEnd"/>
      <w:r w:rsidRPr="00734837">
        <w:rPr>
          <w:rFonts w:ascii="Times New Roman" w:hAnsi="Times New Roman" w:cs="Times New Roman"/>
          <w:sz w:val="24"/>
          <w:szCs w:val="24"/>
        </w:rPr>
        <w:t xml:space="preserve">, 2011; </w:t>
      </w:r>
      <w:proofErr w:type="spellStart"/>
      <w:r w:rsidRPr="00734837">
        <w:rPr>
          <w:rFonts w:ascii="Times New Roman" w:hAnsi="Times New Roman" w:cs="Times New Roman"/>
          <w:sz w:val="24"/>
          <w:szCs w:val="24"/>
        </w:rPr>
        <w:t>Simar</w:t>
      </w:r>
      <w:proofErr w:type="spellEnd"/>
      <w:r w:rsidRPr="00734837">
        <w:rPr>
          <w:rFonts w:ascii="Times New Roman" w:hAnsi="Times New Roman" w:cs="Times New Roman"/>
          <w:sz w:val="24"/>
          <w:szCs w:val="24"/>
        </w:rPr>
        <w:t xml:space="preserve"> </w:t>
      </w:r>
      <w:proofErr w:type="spellStart"/>
      <w:r w:rsidR="00693D1C" w:rsidRPr="00734837">
        <w:rPr>
          <w:rFonts w:ascii="Times New Roman" w:hAnsi="Times New Roman" w:cs="Times New Roman"/>
          <w:sz w:val="24"/>
          <w:szCs w:val="24"/>
        </w:rPr>
        <w:t>and</w:t>
      </w:r>
      <w:r w:rsidRPr="00734837">
        <w:rPr>
          <w:rFonts w:ascii="Times New Roman" w:hAnsi="Times New Roman" w:cs="Times New Roman"/>
          <w:sz w:val="24"/>
          <w:szCs w:val="24"/>
        </w:rPr>
        <w:t>Wilson</w:t>
      </w:r>
      <w:proofErr w:type="spellEnd"/>
      <w:r w:rsidRPr="00734837">
        <w:rPr>
          <w:rFonts w:ascii="Times New Roman" w:hAnsi="Times New Roman" w:cs="Times New Roman"/>
          <w:sz w:val="24"/>
          <w:szCs w:val="24"/>
        </w:rPr>
        <w:t xml:space="preserve">, 2007; </w:t>
      </w:r>
      <w:proofErr w:type="spellStart"/>
      <w:r w:rsidRPr="00734837">
        <w:rPr>
          <w:rFonts w:ascii="Times New Roman" w:hAnsi="Times New Roman" w:cs="Times New Roman"/>
          <w:sz w:val="24"/>
          <w:szCs w:val="24"/>
        </w:rPr>
        <w:t>Simar</w:t>
      </w:r>
      <w:proofErr w:type="spellEnd"/>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Wilson, 2000; </w:t>
      </w:r>
      <w:proofErr w:type="spellStart"/>
      <w:r w:rsidRPr="00734837">
        <w:rPr>
          <w:rFonts w:ascii="Times New Roman" w:hAnsi="Times New Roman" w:cs="Times New Roman"/>
          <w:sz w:val="24"/>
          <w:szCs w:val="24"/>
        </w:rPr>
        <w:t>Simar</w:t>
      </w:r>
      <w:proofErr w:type="spellEnd"/>
      <w:r w:rsidRPr="00734837">
        <w:rPr>
          <w:rFonts w:ascii="Times New Roman" w:hAnsi="Times New Roman" w:cs="Times New Roman"/>
          <w:sz w:val="24"/>
          <w:szCs w:val="24"/>
        </w:rPr>
        <w:t xml:space="preserve"> </w:t>
      </w:r>
      <w:proofErr w:type="spellStart"/>
      <w:r w:rsidR="00693D1C" w:rsidRPr="00734837">
        <w:rPr>
          <w:rFonts w:ascii="Times New Roman" w:hAnsi="Times New Roman" w:cs="Times New Roman"/>
          <w:sz w:val="24"/>
          <w:szCs w:val="24"/>
        </w:rPr>
        <w:t>and</w:t>
      </w:r>
      <w:r w:rsidRPr="00734837">
        <w:rPr>
          <w:rFonts w:ascii="Times New Roman" w:hAnsi="Times New Roman" w:cs="Times New Roman"/>
          <w:sz w:val="24"/>
          <w:szCs w:val="24"/>
        </w:rPr>
        <w:t>Wilson</w:t>
      </w:r>
      <w:proofErr w:type="spellEnd"/>
      <w:r w:rsidRPr="00734837">
        <w:rPr>
          <w:rFonts w:ascii="Times New Roman" w:hAnsi="Times New Roman" w:cs="Times New Roman"/>
          <w:sz w:val="24"/>
          <w:szCs w:val="24"/>
        </w:rPr>
        <w:t xml:space="preserve">, 1998). </w:t>
      </w:r>
      <w:proofErr w:type="gramStart"/>
      <w:r w:rsidRPr="00734837">
        <w:rPr>
          <w:rFonts w:ascii="Times New Roman" w:eastAsia="MacmillanRoman" w:hAnsi="Times New Roman" w:cs="Times New Roman"/>
          <w:color w:val="000000"/>
          <w:sz w:val="24"/>
          <w:szCs w:val="24"/>
        </w:rPr>
        <w:t>Also</w:t>
      </w:r>
      <w:proofErr w:type="gramEnd"/>
      <w:r w:rsidRPr="00734837">
        <w:rPr>
          <w:rFonts w:ascii="Times New Roman" w:eastAsia="MacmillanRoman" w:hAnsi="Times New Roman" w:cs="Times New Roman"/>
          <w:color w:val="000000"/>
          <w:sz w:val="24"/>
          <w:szCs w:val="24"/>
        </w:rPr>
        <w:t xml:space="preserve"> the bootstrap is a more effective and efficient way of obtaining possible data</w:t>
      </w:r>
      <w:r w:rsidR="00773BC1" w:rsidRPr="00734837">
        <w:rPr>
          <w:rFonts w:ascii="Times New Roman" w:eastAsia="MacmillanRoman" w:hAnsi="Times New Roman" w:cs="Times New Roman"/>
          <w:color w:val="000000"/>
          <w:sz w:val="24"/>
          <w:szCs w:val="24"/>
        </w:rPr>
        <w:t>sets that can</w:t>
      </w:r>
      <w:r w:rsidRPr="00734837">
        <w:rPr>
          <w:rFonts w:ascii="Times New Roman" w:eastAsia="MacmillanRoman" w:hAnsi="Times New Roman" w:cs="Times New Roman"/>
          <w:color w:val="000000"/>
          <w:sz w:val="24"/>
          <w:szCs w:val="24"/>
        </w:rPr>
        <w:t xml:space="preserve"> result from var</w:t>
      </w:r>
      <w:r w:rsidR="00AC49A3" w:rsidRPr="00734837">
        <w:rPr>
          <w:rFonts w:ascii="Times New Roman" w:eastAsia="MacmillanRoman" w:hAnsi="Times New Roman" w:cs="Times New Roman"/>
          <w:color w:val="000000"/>
          <w:sz w:val="24"/>
          <w:szCs w:val="24"/>
        </w:rPr>
        <w:t>iations in the economy and will</w:t>
      </w:r>
      <w:r w:rsidRPr="00734837">
        <w:rPr>
          <w:rFonts w:ascii="Times New Roman" w:eastAsia="MacmillanRoman" w:hAnsi="Times New Roman" w:cs="Times New Roman"/>
          <w:color w:val="000000"/>
          <w:sz w:val="24"/>
          <w:szCs w:val="24"/>
        </w:rPr>
        <w:t xml:space="preserve"> be difficult to gather and collect for this purpose (</w:t>
      </w:r>
      <w:proofErr w:type="spellStart"/>
      <w:r w:rsidRPr="00734837">
        <w:rPr>
          <w:rFonts w:ascii="Times New Roman" w:hAnsi="Times New Roman" w:cs="Times New Roman"/>
          <w:sz w:val="24"/>
          <w:szCs w:val="24"/>
        </w:rPr>
        <w:t>Tortosa-Ausina</w:t>
      </w:r>
      <w:proofErr w:type="spellEnd"/>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Armero</w:t>
      </w:r>
      <w:proofErr w:type="spellEnd"/>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Conesa</w:t>
      </w:r>
      <w:proofErr w:type="spellEnd"/>
      <w:r w:rsidR="00FA353D" w:rsidRPr="00734837">
        <w:rPr>
          <w:rFonts w:ascii="Times New Roman" w:hAnsi="Times New Roman" w:cs="Times New Roman"/>
          <w:sz w:val="24"/>
          <w:szCs w:val="24"/>
        </w:rPr>
        <w:t>,</w:t>
      </w:r>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Grifell-Tatje</w:t>
      </w:r>
      <w:proofErr w:type="spellEnd"/>
      <w:r w:rsidRPr="00734837">
        <w:rPr>
          <w:rFonts w:ascii="Times New Roman" w:hAnsi="Times New Roman" w:cs="Times New Roman"/>
          <w:sz w:val="24"/>
          <w:szCs w:val="24"/>
        </w:rPr>
        <w:t>, 2012).</w:t>
      </w:r>
      <w:r w:rsidR="00D05EEC" w:rsidRPr="00734837">
        <w:rPr>
          <w:rFonts w:ascii="Times New Roman" w:hAnsi="Times New Roman" w:cs="Times New Roman"/>
          <w:sz w:val="24"/>
          <w:szCs w:val="24"/>
        </w:rPr>
        <w:t xml:space="preserve"> Therefore, this study</w:t>
      </w:r>
      <w:r w:rsidR="00D05EEC" w:rsidRPr="00734837">
        <w:rPr>
          <w:rFonts w:ascii="Times New Roman" w:hAnsi="Times New Roman" w:cs="Times New Roman"/>
          <w:noProof/>
          <w:sz w:val="24"/>
          <w:szCs w:val="24"/>
        </w:rPr>
        <w:t xml:space="preserve"> goes beyond the literature on cross-border asset allocation and portfolio diversification by including bootstrapping as a simulation technique to cater for any variations that can occur in stock returns. </w:t>
      </w:r>
    </w:p>
    <w:p w:rsidR="00E14573" w:rsidRPr="00734837" w:rsidRDefault="00AC0A64" w:rsidP="00DB671E">
      <w:pPr>
        <w:spacing w:line="240" w:lineRule="auto"/>
        <w:jc w:val="both"/>
        <w:rPr>
          <w:rFonts w:ascii="Times New Roman" w:hAnsi="Times New Roman" w:cs="Times New Roman"/>
          <w:color w:val="000000"/>
          <w:sz w:val="24"/>
          <w:szCs w:val="24"/>
          <w:shd w:val="clear" w:color="auto" w:fill="FFFFFF"/>
        </w:rPr>
      </w:pPr>
      <w:r w:rsidRPr="00734837">
        <w:rPr>
          <w:rFonts w:ascii="Times New Roman" w:eastAsia="MacmillanRoman" w:hAnsi="Times New Roman" w:cs="Times New Roman"/>
          <w:color w:val="000000"/>
          <w:sz w:val="24"/>
          <w:szCs w:val="24"/>
        </w:rPr>
        <w:t>Another important observation from</w:t>
      </w:r>
      <w:r w:rsidR="00583659" w:rsidRPr="00734837">
        <w:rPr>
          <w:rFonts w:ascii="Times New Roman" w:eastAsia="MacmillanRoman" w:hAnsi="Times New Roman" w:cs="Times New Roman"/>
          <w:color w:val="000000"/>
          <w:sz w:val="24"/>
          <w:szCs w:val="24"/>
        </w:rPr>
        <w:t xml:space="preserve"> the</w:t>
      </w:r>
      <w:r w:rsidRPr="00734837">
        <w:rPr>
          <w:rFonts w:ascii="Times New Roman" w:eastAsia="MacmillanRoman" w:hAnsi="Times New Roman" w:cs="Times New Roman"/>
          <w:color w:val="000000"/>
          <w:sz w:val="24"/>
          <w:szCs w:val="24"/>
        </w:rPr>
        <w:t xml:space="preserve"> literature on</w:t>
      </w:r>
      <w:r w:rsidR="00D474D7" w:rsidRPr="00734837">
        <w:rPr>
          <w:rFonts w:ascii="Times New Roman" w:eastAsia="MacmillanRoman" w:hAnsi="Times New Roman" w:cs="Times New Roman"/>
          <w:color w:val="000000"/>
          <w:sz w:val="24"/>
          <w:szCs w:val="24"/>
        </w:rPr>
        <w:t xml:space="preserve"> asset allocation is that, the</w:t>
      </w:r>
      <w:r w:rsidRPr="00734837">
        <w:rPr>
          <w:rFonts w:ascii="Times New Roman" w:eastAsia="MacmillanRoman" w:hAnsi="Times New Roman" w:cs="Times New Roman"/>
          <w:color w:val="000000"/>
          <w:sz w:val="24"/>
          <w:szCs w:val="24"/>
        </w:rPr>
        <w:t xml:space="preserve"> studies</w:t>
      </w:r>
      <w:r w:rsidR="00D474D7" w:rsidRPr="00734837">
        <w:rPr>
          <w:rFonts w:ascii="Times New Roman" w:eastAsia="MacmillanRoman" w:hAnsi="Times New Roman" w:cs="Times New Roman"/>
          <w:color w:val="000000"/>
          <w:sz w:val="24"/>
          <w:szCs w:val="24"/>
        </w:rPr>
        <w:t xml:space="preserve"> turn to concentrate </w:t>
      </w:r>
      <w:r w:rsidRPr="00734837">
        <w:rPr>
          <w:rFonts w:ascii="Times New Roman" w:eastAsia="MacmillanRoman" w:hAnsi="Times New Roman" w:cs="Times New Roman"/>
          <w:color w:val="000000"/>
          <w:sz w:val="24"/>
          <w:szCs w:val="24"/>
        </w:rPr>
        <w:t>primarily</w:t>
      </w:r>
      <w:r w:rsidR="00D474D7" w:rsidRPr="00734837">
        <w:rPr>
          <w:rFonts w:ascii="Times New Roman" w:eastAsia="MacmillanRoman" w:hAnsi="Times New Roman" w:cs="Times New Roman"/>
          <w:color w:val="000000"/>
          <w:sz w:val="24"/>
          <w:szCs w:val="24"/>
        </w:rPr>
        <w:t xml:space="preserve"> on</w:t>
      </w:r>
      <w:r w:rsidRPr="00734837">
        <w:rPr>
          <w:rFonts w:ascii="Times New Roman" w:eastAsia="MacmillanRoman" w:hAnsi="Times New Roman" w:cs="Times New Roman"/>
          <w:color w:val="000000"/>
          <w:sz w:val="24"/>
          <w:szCs w:val="24"/>
        </w:rPr>
        <w:t xml:space="preserve"> developed economies to the neglect of emerging </w:t>
      </w:r>
      <w:r w:rsidR="00D474D7" w:rsidRPr="00734837">
        <w:rPr>
          <w:rFonts w:ascii="Times New Roman" w:eastAsia="MacmillanRoman" w:hAnsi="Times New Roman" w:cs="Times New Roman"/>
          <w:color w:val="000000"/>
          <w:sz w:val="24"/>
          <w:szCs w:val="24"/>
        </w:rPr>
        <w:t>and developing economies.</w:t>
      </w:r>
      <w:r w:rsidRPr="00734837">
        <w:rPr>
          <w:rFonts w:ascii="Times New Roman" w:eastAsia="MacmillanRoman" w:hAnsi="Times New Roman" w:cs="Times New Roman"/>
          <w:color w:val="000000"/>
          <w:sz w:val="24"/>
          <w:szCs w:val="24"/>
        </w:rPr>
        <w:t xml:space="preserve"> For example, </w:t>
      </w:r>
      <w:proofErr w:type="spellStart"/>
      <w:r w:rsidRPr="00734837">
        <w:rPr>
          <w:rFonts w:ascii="Times New Roman" w:eastAsia="MacmillanRoman" w:hAnsi="Times New Roman" w:cs="Times New Roman"/>
          <w:color w:val="000000"/>
          <w:sz w:val="24"/>
          <w:szCs w:val="24"/>
        </w:rPr>
        <w:t>Aslanidis</w:t>
      </w:r>
      <w:proofErr w:type="spellEnd"/>
      <w:r w:rsidRPr="00734837">
        <w:rPr>
          <w:rFonts w:ascii="Times New Roman" w:eastAsia="MacmillanRoman" w:hAnsi="Times New Roman" w:cs="Times New Roman"/>
          <w:color w:val="000000"/>
          <w:sz w:val="24"/>
          <w:szCs w:val="24"/>
        </w:rPr>
        <w:t xml:space="preserve"> and Casas (2013), </w:t>
      </w:r>
      <w:r w:rsidR="001A5F61" w:rsidRPr="00734837">
        <w:rPr>
          <w:rFonts w:ascii="Times New Roman" w:eastAsia="MacmillanRoman" w:hAnsi="Times New Roman" w:cs="Times New Roman"/>
          <w:color w:val="000000"/>
          <w:sz w:val="24"/>
          <w:szCs w:val="24"/>
        </w:rPr>
        <w:t xml:space="preserve">Chu (2011), </w:t>
      </w:r>
      <w:proofErr w:type="spellStart"/>
      <w:r w:rsidR="001A5F61" w:rsidRPr="00734837">
        <w:rPr>
          <w:rFonts w:ascii="Times New Roman" w:eastAsia="MacmillanRoman" w:hAnsi="Times New Roman" w:cs="Times New Roman"/>
          <w:color w:val="000000"/>
          <w:sz w:val="24"/>
          <w:szCs w:val="24"/>
        </w:rPr>
        <w:t>Cesari</w:t>
      </w:r>
      <w:proofErr w:type="spellEnd"/>
      <w:r w:rsidR="001A5F61" w:rsidRPr="00734837">
        <w:rPr>
          <w:rFonts w:ascii="Times New Roman" w:eastAsia="MacmillanRoman" w:hAnsi="Times New Roman" w:cs="Times New Roman"/>
          <w:color w:val="000000"/>
          <w:sz w:val="24"/>
          <w:szCs w:val="24"/>
        </w:rPr>
        <w:t xml:space="preserve"> and </w:t>
      </w:r>
      <w:proofErr w:type="spellStart"/>
      <w:r w:rsidR="001A5F61" w:rsidRPr="00734837">
        <w:rPr>
          <w:rFonts w:ascii="Times New Roman" w:eastAsia="MacmillanRoman" w:hAnsi="Times New Roman" w:cs="Times New Roman"/>
          <w:color w:val="000000"/>
          <w:sz w:val="24"/>
          <w:szCs w:val="24"/>
        </w:rPr>
        <w:t>Cremonini</w:t>
      </w:r>
      <w:proofErr w:type="spellEnd"/>
      <w:r w:rsidR="001A5F61" w:rsidRPr="00734837">
        <w:rPr>
          <w:rFonts w:ascii="Times New Roman" w:eastAsia="MacmillanRoman" w:hAnsi="Times New Roman" w:cs="Times New Roman"/>
          <w:color w:val="000000"/>
          <w:sz w:val="24"/>
          <w:szCs w:val="24"/>
        </w:rPr>
        <w:t xml:space="preserve"> (2003) and </w:t>
      </w:r>
      <w:r w:rsidRPr="00734837">
        <w:rPr>
          <w:rFonts w:ascii="Times New Roman" w:eastAsia="MacmillanRoman" w:hAnsi="Times New Roman" w:cs="Times New Roman"/>
          <w:color w:val="000000"/>
          <w:sz w:val="24"/>
          <w:szCs w:val="24"/>
        </w:rPr>
        <w:t>Campbe</w:t>
      </w:r>
      <w:r w:rsidR="005271B9" w:rsidRPr="00734837">
        <w:rPr>
          <w:rFonts w:ascii="Times New Roman" w:eastAsia="MacmillanRoman" w:hAnsi="Times New Roman" w:cs="Times New Roman"/>
          <w:color w:val="000000"/>
          <w:sz w:val="24"/>
          <w:szCs w:val="24"/>
        </w:rPr>
        <w:t xml:space="preserve">ll, </w:t>
      </w:r>
      <w:proofErr w:type="spellStart"/>
      <w:r w:rsidR="005271B9" w:rsidRPr="00734837">
        <w:rPr>
          <w:rFonts w:ascii="Times New Roman" w:eastAsia="MacmillanRoman" w:hAnsi="Times New Roman" w:cs="Times New Roman"/>
          <w:color w:val="000000"/>
          <w:sz w:val="24"/>
          <w:szCs w:val="24"/>
        </w:rPr>
        <w:t>Huisman</w:t>
      </w:r>
      <w:proofErr w:type="spellEnd"/>
      <w:r w:rsidR="005271B9" w:rsidRPr="00734837">
        <w:rPr>
          <w:rFonts w:ascii="Times New Roman" w:eastAsia="MacmillanRoman" w:hAnsi="Times New Roman" w:cs="Times New Roman"/>
          <w:color w:val="000000"/>
          <w:sz w:val="24"/>
          <w:szCs w:val="24"/>
        </w:rPr>
        <w:t xml:space="preserve"> and </w:t>
      </w:r>
      <w:proofErr w:type="spellStart"/>
      <w:r w:rsidR="005271B9" w:rsidRPr="00734837">
        <w:rPr>
          <w:rFonts w:ascii="Times New Roman" w:eastAsia="MacmillanRoman" w:hAnsi="Times New Roman" w:cs="Times New Roman"/>
          <w:color w:val="000000"/>
          <w:sz w:val="24"/>
          <w:szCs w:val="24"/>
        </w:rPr>
        <w:t>Koedijk</w:t>
      </w:r>
      <w:proofErr w:type="spellEnd"/>
      <w:r w:rsidR="005271B9" w:rsidRPr="00734837">
        <w:rPr>
          <w:rFonts w:ascii="Times New Roman" w:eastAsia="MacmillanRoman" w:hAnsi="Times New Roman" w:cs="Times New Roman"/>
          <w:color w:val="000000"/>
          <w:sz w:val="24"/>
          <w:szCs w:val="24"/>
        </w:rPr>
        <w:t xml:space="preserve"> (2001) </w:t>
      </w:r>
      <w:r w:rsidR="00F148BB" w:rsidRPr="00734837">
        <w:rPr>
          <w:rFonts w:ascii="Times New Roman" w:eastAsia="MacmillanRoman" w:hAnsi="Times New Roman" w:cs="Times New Roman"/>
          <w:color w:val="000000"/>
          <w:sz w:val="24"/>
          <w:szCs w:val="24"/>
        </w:rPr>
        <w:t>have all focused on deve</w:t>
      </w:r>
      <w:r w:rsidR="007B38E2" w:rsidRPr="00734837">
        <w:rPr>
          <w:rFonts w:ascii="Times New Roman" w:eastAsia="MacmillanRoman" w:hAnsi="Times New Roman" w:cs="Times New Roman"/>
          <w:color w:val="000000"/>
          <w:sz w:val="24"/>
          <w:szCs w:val="24"/>
        </w:rPr>
        <w:t>l</w:t>
      </w:r>
      <w:r w:rsidR="00F148BB" w:rsidRPr="00734837">
        <w:rPr>
          <w:rFonts w:ascii="Times New Roman" w:eastAsia="MacmillanRoman" w:hAnsi="Times New Roman" w:cs="Times New Roman"/>
          <w:color w:val="000000"/>
          <w:sz w:val="24"/>
          <w:szCs w:val="24"/>
        </w:rPr>
        <w:t>oped</w:t>
      </w:r>
      <w:r w:rsidRPr="00734837">
        <w:rPr>
          <w:rFonts w:ascii="Times New Roman" w:eastAsia="MacmillanRoman" w:hAnsi="Times New Roman" w:cs="Times New Roman"/>
          <w:color w:val="000000"/>
          <w:sz w:val="24"/>
          <w:szCs w:val="24"/>
        </w:rPr>
        <w:t xml:space="preserve"> economies. Even the few papers that conduct</w:t>
      </w:r>
      <w:r w:rsidR="00AD1AC3" w:rsidRPr="00734837">
        <w:rPr>
          <w:rFonts w:ascii="Times New Roman" w:eastAsia="MacmillanRoman" w:hAnsi="Times New Roman" w:cs="Times New Roman"/>
          <w:color w:val="000000"/>
          <w:sz w:val="24"/>
          <w:szCs w:val="24"/>
        </w:rPr>
        <w:t>ed</w:t>
      </w:r>
      <w:r w:rsidRPr="00734837">
        <w:rPr>
          <w:rFonts w:ascii="Times New Roman" w:eastAsia="MacmillanRoman" w:hAnsi="Times New Roman" w:cs="Times New Roman"/>
          <w:color w:val="000000"/>
          <w:sz w:val="24"/>
          <w:szCs w:val="24"/>
        </w:rPr>
        <w:t xml:space="preserve"> cross-country assessment</w:t>
      </w:r>
      <w:r w:rsidR="00AD1AC3" w:rsidRPr="00734837">
        <w:rPr>
          <w:rFonts w:ascii="Times New Roman" w:eastAsia="MacmillanRoman" w:hAnsi="Times New Roman" w:cs="Times New Roman"/>
          <w:color w:val="000000"/>
          <w:sz w:val="24"/>
          <w:szCs w:val="24"/>
        </w:rPr>
        <w:t>s</w:t>
      </w:r>
      <w:r w:rsidRPr="00734837">
        <w:rPr>
          <w:rFonts w:ascii="Times New Roman" w:eastAsia="MacmillanRoman" w:hAnsi="Times New Roman" w:cs="Times New Roman"/>
          <w:color w:val="000000"/>
          <w:sz w:val="24"/>
          <w:szCs w:val="24"/>
        </w:rPr>
        <w:t xml:space="preserve"> use</w:t>
      </w:r>
      <w:r w:rsidR="00AD1AC3" w:rsidRPr="00734837">
        <w:rPr>
          <w:rFonts w:ascii="Times New Roman" w:eastAsia="MacmillanRoman" w:hAnsi="Times New Roman" w:cs="Times New Roman"/>
          <w:color w:val="000000"/>
          <w:sz w:val="24"/>
          <w:szCs w:val="24"/>
        </w:rPr>
        <w:t>d</w:t>
      </w:r>
      <w:r w:rsidRPr="00734837">
        <w:rPr>
          <w:rFonts w:ascii="Times New Roman" w:eastAsia="MacmillanRoman" w:hAnsi="Times New Roman" w:cs="Times New Roman"/>
          <w:color w:val="000000"/>
          <w:sz w:val="24"/>
          <w:szCs w:val="24"/>
        </w:rPr>
        <w:t xml:space="preserve"> samples dominated by developed countries. For example, whereas Chen et al</w:t>
      </w:r>
      <w:r w:rsidR="00C61D7E" w:rsidRPr="00734837">
        <w:rPr>
          <w:rFonts w:ascii="Times New Roman" w:eastAsia="MacmillanRoman" w:hAnsi="Times New Roman" w:cs="Times New Roman"/>
          <w:color w:val="000000"/>
          <w:sz w:val="24"/>
          <w:szCs w:val="24"/>
        </w:rPr>
        <w:t xml:space="preserve">. </w:t>
      </w:r>
      <w:r w:rsidRPr="00734837">
        <w:rPr>
          <w:rFonts w:ascii="Times New Roman" w:eastAsia="MacmillanRoman" w:hAnsi="Times New Roman" w:cs="Times New Roman"/>
          <w:color w:val="000000"/>
          <w:sz w:val="24"/>
          <w:szCs w:val="24"/>
        </w:rPr>
        <w:t xml:space="preserve">(2014) only focused on </w:t>
      </w:r>
      <w:proofErr w:type="gramStart"/>
      <w:r w:rsidRPr="00734837">
        <w:rPr>
          <w:rFonts w:ascii="Times New Roman" w:eastAsia="MacmillanRoman" w:hAnsi="Times New Roman" w:cs="Times New Roman"/>
          <w:color w:val="000000"/>
          <w:sz w:val="24"/>
          <w:szCs w:val="24"/>
        </w:rPr>
        <w:t>8</w:t>
      </w:r>
      <w:proofErr w:type="gramEnd"/>
      <w:r w:rsidRPr="00734837">
        <w:rPr>
          <w:rFonts w:ascii="Times New Roman" w:eastAsia="MacmillanRoman" w:hAnsi="Times New Roman" w:cs="Times New Roman"/>
          <w:color w:val="000000"/>
          <w:sz w:val="24"/>
          <w:szCs w:val="24"/>
        </w:rPr>
        <w:t xml:space="preserve"> developed countries, </w:t>
      </w:r>
      <w:proofErr w:type="spellStart"/>
      <w:r w:rsidR="00D474D7" w:rsidRPr="00734837">
        <w:rPr>
          <w:rFonts w:ascii="Times New Roman" w:eastAsia="MacmillanRoman" w:hAnsi="Times New Roman" w:cs="Times New Roman"/>
          <w:color w:val="000000"/>
          <w:sz w:val="24"/>
          <w:szCs w:val="24"/>
        </w:rPr>
        <w:t>Driessen</w:t>
      </w:r>
      <w:proofErr w:type="spellEnd"/>
      <w:r w:rsidR="00D474D7" w:rsidRPr="00734837">
        <w:rPr>
          <w:rFonts w:ascii="Times New Roman" w:eastAsia="MacmillanRoman" w:hAnsi="Times New Roman" w:cs="Times New Roman"/>
          <w:color w:val="000000"/>
          <w:sz w:val="24"/>
          <w:szCs w:val="24"/>
        </w:rPr>
        <w:t xml:space="preserve"> and </w:t>
      </w:r>
      <w:proofErr w:type="spellStart"/>
      <w:r w:rsidR="00D474D7" w:rsidRPr="00734837">
        <w:rPr>
          <w:rFonts w:ascii="Times New Roman" w:eastAsia="MacmillanRoman" w:hAnsi="Times New Roman" w:cs="Times New Roman"/>
          <w:color w:val="000000"/>
          <w:sz w:val="24"/>
          <w:szCs w:val="24"/>
        </w:rPr>
        <w:t>Laevan</w:t>
      </w:r>
      <w:proofErr w:type="spellEnd"/>
      <w:r w:rsidR="00D474D7" w:rsidRPr="00734837">
        <w:rPr>
          <w:rFonts w:ascii="Times New Roman" w:eastAsia="MacmillanRoman" w:hAnsi="Times New Roman" w:cs="Times New Roman"/>
          <w:color w:val="000000"/>
          <w:sz w:val="24"/>
          <w:szCs w:val="24"/>
        </w:rPr>
        <w:t xml:space="preserve"> (2007) considered </w:t>
      </w:r>
      <w:r w:rsidRPr="00734837">
        <w:rPr>
          <w:rFonts w:ascii="Times New Roman" w:eastAsia="MacmillanRoman" w:hAnsi="Times New Roman" w:cs="Times New Roman"/>
          <w:color w:val="000000"/>
          <w:sz w:val="24"/>
          <w:szCs w:val="24"/>
        </w:rPr>
        <w:t xml:space="preserve">52 countries, only 18 were developing economies of which 6 were African countries. To </w:t>
      </w:r>
      <w:r w:rsidR="00FD3FFE" w:rsidRPr="00734837">
        <w:rPr>
          <w:rFonts w:ascii="Times New Roman" w:eastAsia="MacmillanRoman" w:hAnsi="Times New Roman" w:cs="Times New Roman"/>
          <w:color w:val="000000"/>
          <w:sz w:val="24"/>
          <w:szCs w:val="24"/>
        </w:rPr>
        <w:t xml:space="preserve">the </w:t>
      </w:r>
      <w:r w:rsidRPr="00734837">
        <w:rPr>
          <w:rFonts w:ascii="Times New Roman" w:eastAsia="MacmillanRoman" w:hAnsi="Times New Roman" w:cs="Times New Roman"/>
          <w:color w:val="000000"/>
          <w:sz w:val="24"/>
          <w:szCs w:val="24"/>
        </w:rPr>
        <w:t>best of o</w:t>
      </w:r>
      <w:r w:rsidR="00C61D7E" w:rsidRPr="00734837">
        <w:rPr>
          <w:rFonts w:ascii="Times New Roman" w:eastAsia="MacmillanRoman" w:hAnsi="Times New Roman" w:cs="Times New Roman"/>
          <w:color w:val="000000"/>
          <w:sz w:val="24"/>
          <w:szCs w:val="24"/>
        </w:rPr>
        <w:t>ur knowledge, only Mensah et al.</w:t>
      </w:r>
      <w:r w:rsidRPr="00734837">
        <w:rPr>
          <w:rFonts w:ascii="Times New Roman" w:eastAsia="MacmillanRoman" w:hAnsi="Times New Roman" w:cs="Times New Roman"/>
          <w:color w:val="000000"/>
          <w:sz w:val="24"/>
          <w:szCs w:val="24"/>
        </w:rPr>
        <w:t xml:space="preserve"> (2013) have considered </w:t>
      </w:r>
      <w:r w:rsidR="00D2726E" w:rsidRPr="00734837">
        <w:rPr>
          <w:rFonts w:ascii="Times New Roman" w:eastAsia="MacmillanRoman" w:hAnsi="Times New Roman" w:cs="Times New Roman"/>
          <w:color w:val="000000"/>
          <w:sz w:val="24"/>
          <w:szCs w:val="24"/>
        </w:rPr>
        <w:t xml:space="preserve">country specific </w:t>
      </w:r>
      <w:r w:rsidRPr="00734837">
        <w:rPr>
          <w:rFonts w:ascii="Times New Roman" w:eastAsia="MacmillanRoman" w:hAnsi="Times New Roman" w:cs="Times New Roman"/>
          <w:color w:val="000000"/>
          <w:sz w:val="24"/>
          <w:szCs w:val="24"/>
        </w:rPr>
        <w:t xml:space="preserve">optimized portfolio choice in Africa, and specifically Ghana. It is important for more insights on investment portfolios in developing economies, especially Africa. This is because Africa is gradually becoming a lucrative investment destination. Forbes Report (2014) suggests that </w:t>
      </w:r>
      <w:r w:rsidRPr="00734837">
        <w:rPr>
          <w:rFonts w:ascii="Times New Roman" w:hAnsi="Times New Roman" w:cs="Times New Roman"/>
          <w:color w:val="000000"/>
          <w:sz w:val="24"/>
          <w:szCs w:val="24"/>
          <w:shd w:val="clear" w:color="auto" w:fill="FFFFFF"/>
        </w:rPr>
        <w:t xml:space="preserve">Africa is a two trillion dollar economy with about a third of </w:t>
      </w:r>
      <w:r w:rsidR="008577B5" w:rsidRPr="00734837">
        <w:rPr>
          <w:rFonts w:ascii="Times New Roman" w:hAnsi="Times New Roman" w:cs="Times New Roman"/>
          <w:color w:val="000000"/>
          <w:sz w:val="24"/>
          <w:szCs w:val="24"/>
          <w:shd w:val="clear" w:color="auto" w:fill="FFFFFF"/>
        </w:rPr>
        <w:t>its fifty-four countries having</w:t>
      </w:r>
      <w:r w:rsidRPr="00734837">
        <w:rPr>
          <w:rFonts w:ascii="Times New Roman" w:hAnsi="Times New Roman" w:cs="Times New Roman"/>
          <w:color w:val="000000"/>
          <w:sz w:val="24"/>
          <w:szCs w:val="24"/>
          <w:shd w:val="clear" w:color="auto" w:fill="FFFFFF"/>
        </w:rPr>
        <w:t xml:space="preserve"> Gross Domestic Product (GDP) gro</w:t>
      </w:r>
      <w:r w:rsidR="00E017CA" w:rsidRPr="00734837">
        <w:rPr>
          <w:rFonts w:ascii="Times New Roman" w:hAnsi="Times New Roman" w:cs="Times New Roman"/>
          <w:color w:val="000000"/>
          <w:sz w:val="24"/>
          <w:szCs w:val="24"/>
          <w:shd w:val="clear" w:color="auto" w:fill="FFFFFF"/>
        </w:rPr>
        <w:t xml:space="preserve">wth rates of </w:t>
      </w:r>
      <w:r w:rsidR="002C3485" w:rsidRPr="00734837">
        <w:rPr>
          <w:rFonts w:ascii="Times New Roman" w:hAnsi="Times New Roman" w:cs="Times New Roman"/>
          <w:color w:val="000000"/>
          <w:sz w:val="24"/>
          <w:szCs w:val="24"/>
          <w:shd w:val="clear" w:color="auto" w:fill="FFFFFF"/>
        </w:rPr>
        <w:t>at least 6</w:t>
      </w:r>
      <w:r w:rsidR="002B1217" w:rsidRPr="00734837">
        <w:rPr>
          <w:rFonts w:ascii="Times New Roman" w:hAnsi="Times New Roman" w:cs="Times New Roman"/>
          <w:color w:val="000000"/>
          <w:sz w:val="24"/>
          <w:szCs w:val="24"/>
          <w:shd w:val="clear" w:color="auto" w:fill="FFFFFF"/>
        </w:rPr>
        <w:t>%</w:t>
      </w:r>
      <w:r w:rsidR="00E017CA" w:rsidRPr="00734837">
        <w:rPr>
          <w:rFonts w:ascii="Times New Roman" w:hAnsi="Times New Roman" w:cs="Times New Roman"/>
          <w:color w:val="000000"/>
          <w:sz w:val="24"/>
          <w:szCs w:val="24"/>
          <w:shd w:val="clear" w:color="auto" w:fill="FFFFFF"/>
        </w:rPr>
        <w:t xml:space="preserve"> </w:t>
      </w:r>
      <w:r w:rsidR="008577B5" w:rsidRPr="00734837">
        <w:rPr>
          <w:rFonts w:ascii="Times New Roman" w:hAnsi="Times New Roman" w:cs="Times New Roman"/>
          <w:color w:val="000000"/>
          <w:sz w:val="24"/>
          <w:szCs w:val="24"/>
          <w:shd w:val="clear" w:color="auto" w:fill="FFFFFF"/>
        </w:rPr>
        <w:t>annually</w:t>
      </w:r>
      <w:r w:rsidR="00E017CA" w:rsidRPr="00734837">
        <w:rPr>
          <w:rFonts w:ascii="Times New Roman" w:hAnsi="Times New Roman" w:cs="Times New Roman"/>
          <w:color w:val="000000"/>
          <w:sz w:val="24"/>
          <w:szCs w:val="24"/>
          <w:shd w:val="clear" w:color="auto" w:fill="FFFFFF"/>
        </w:rPr>
        <w:t>.</w:t>
      </w:r>
      <w:r w:rsidRPr="00734837">
        <w:rPr>
          <w:rFonts w:ascii="Times New Roman" w:hAnsi="Times New Roman" w:cs="Times New Roman"/>
          <w:color w:val="000000"/>
          <w:sz w:val="24"/>
          <w:szCs w:val="24"/>
          <w:shd w:val="clear" w:color="auto" w:fill="FFFFFF"/>
        </w:rPr>
        <w:t xml:space="preserve"> Out of the top ten fastest growing economies in the world, six are in Africa. This lays a strong foundation for studies targeting developing economies, especially in Africa.</w:t>
      </w:r>
      <w:r w:rsidR="00CA38C5" w:rsidRPr="00734837">
        <w:rPr>
          <w:rFonts w:ascii="Times New Roman" w:hAnsi="Times New Roman" w:cs="Times New Roman"/>
          <w:color w:val="000000"/>
          <w:sz w:val="24"/>
          <w:szCs w:val="24"/>
          <w:shd w:val="clear" w:color="auto" w:fill="FFFFFF"/>
        </w:rPr>
        <w:t xml:space="preserve"> </w:t>
      </w:r>
    </w:p>
    <w:p w:rsidR="00513C55" w:rsidRPr="00734837" w:rsidRDefault="00513C55" w:rsidP="00A00605">
      <w:pPr>
        <w:spacing w:line="240" w:lineRule="auto"/>
        <w:jc w:val="both"/>
        <w:rPr>
          <w:rFonts w:ascii="Times New Roman" w:eastAsia="MacmillanRoman" w:hAnsi="Times New Roman" w:cs="Times New Roman"/>
          <w:color w:val="000000"/>
          <w:sz w:val="24"/>
          <w:szCs w:val="24"/>
        </w:rPr>
      </w:pPr>
      <w:r w:rsidRPr="00734837">
        <w:rPr>
          <w:rFonts w:ascii="Times New Roman" w:hAnsi="Times New Roman" w:cs="Times New Roman"/>
          <w:noProof/>
          <w:sz w:val="24"/>
          <w:szCs w:val="24"/>
        </w:rPr>
        <w:t>Subsequent sections of the paper is organized as follows; section II review both the theoreti</w:t>
      </w:r>
      <w:r w:rsidR="000F7895" w:rsidRPr="00734837">
        <w:rPr>
          <w:rFonts w:ascii="Times New Roman" w:hAnsi="Times New Roman" w:cs="Times New Roman"/>
          <w:noProof/>
          <w:sz w:val="24"/>
          <w:szCs w:val="24"/>
        </w:rPr>
        <w:t>cal and empirical literature related to the topic understudy. Section III discusses the</w:t>
      </w:r>
      <w:r w:rsidR="00DE78C7" w:rsidRPr="00734837">
        <w:rPr>
          <w:rFonts w:ascii="Times New Roman" w:hAnsi="Times New Roman" w:cs="Times New Roman"/>
          <w:noProof/>
          <w:sz w:val="24"/>
          <w:szCs w:val="24"/>
        </w:rPr>
        <w:t xml:space="preserve"> source of data and </w:t>
      </w:r>
      <w:r w:rsidR="000F7895" w:rsidRPr="00734837">
        <w:rPr>
          <w:rFonts w:ascii="Times New Roman" w:hAnsi="Times New Roman" w:cs="Times New Roman"/>
          <w:noProof/>
          <w:sz w:val="24"/>
          <w:szCs w:val="24"/>
        </w:rPr>
        <w:t>methodology. In sections IV, we present the results, and finally conclusions and recommendations are discussed in section V.</w:t>
      </w:r>
    </w:p>
    <w:p w:rsidR="00AC0A64" w:rsidRPr="00734837" w:rsidRDefault="00AC0A64" w:rsidP="00A00605">
      <w:pPr>
        <w:pStyle w:val="Heading1"/>
        <w:numPr>
          <w:ilvl w:val="0"/>
          <w:numId w:val="5"/>
        </w:numPr>
        <w:spacing w:line="240" w:lineRule="auto"/>
        <w:jc w:val="left"/>
        <w:rPr>
          <w:rFonts w:cs="Times New Roman"/>
          <w:sz w:val="24"/>
          <w:szCs w:val="24"/>
        </w:rPr>
      </w:pPr>
      <w:bookmarkStart w:id="3" w:name="_Toc423924913"/>
      <w:r w:rsidRPr="00734837">
        <w:rPr>
          <w:rFonts w:cs="Times New Roman"/>
          <w:noProof/>
          <w:sz w:val="24"/>
          <w:szCs w:val="24"/>
        </w:rPr>
        <w:t xml:space="preserve">LITERATURE </w:t>
      </w:r>
      <w:r w:rsidRPr="00734837">
        <w:rPr>
          <w:rFonts w:cs="Times New Roman"/>
          <w:sz w:val="24"/>
          <w:szCs w:val="24"/>
        </w:rPr>
        <w:t>REVIEW</w:t>
      </w:r>
      <w:bookmarkEnd w:id="3"/>
    </w:p>
    <w:p w:rsidR="00AC0A64" w:rsidRPr="00734837" w:rsidRDefault="00AC0A64" w:rsidP="00693D1C">
      <w:pPr>
        <w:jc w:val="both"/>
        <w:rPr>
          <w:rFonts w:ascii="Times New Roman" w:hAnsi="Times New Roman" w:cs="Times New Roman"/>
          <w:sz w:val="24"/>
          <w:szCs w:val="24"/>
        </w:rPr>
      </w:pPr>
      <w:r w:rsidRPr="00734837">
        <w:rPr>
          <w:rFonts w:ascii="Times New Roman" w:hAnsi="Times New Roman" w:cs="Times New Roman"/>
          <w:sz w:val="24"/>
          <w:szCs w:val="24"/>
        </w:rPr>
        <w:t xml:space="preserve">Diversification is a fundamental principle in finance, which aims at minimizing the risk </w:t>
      </w:r>
      <w:r w:rsidR="00750322" w:rsidRPr="00734837">
        <w:rPr>
          <w:rFonts w:ascii="Times New Roman" w:hAnsi="Times New Roman" w:cs="Times New Roman"/>
          <w:sz w:val="24"/>
          <w:szCs w:val="24"/>
        </w:rPr>
        <w:t xml:space="preserve">faced by investors </w:t>
      </w:r>
      <w:r w:rsidRPr="00734837">
        <w:rPr>
          <w:rFonts w:ascii="Times New Roman" w:hAnsi="Times New Roman" w:cs="Times New Roman"/>
          <w:sz w:val="24"/>
          <w:szCs w:val="24"/>
        </w:rPr>
        <w:t>(</w:t>
      </w:r>
      <w:proofErr w:type="spellStart"/>
      <w:r w:rsidRPr="00734837">
        <w:rPr>
          <w:rFonts w:ascii="Times New Roman" w:hAnsi="Times New Roman" w:cs="Times New Roman"/>
          <w:sz w:val="24"/>
          <w:szCs w:val="24"/>
        </w:rPr>
        <w:t>Gaudecker</w:t>
      </w:r>
      <w:proofErr w:type="spellEnd"/>
      <w:r w:rsidRPr="00734837">
        <w:rPr>
          <w:rFonts w:ascii="Times New Roman" w:hAnsi="Times New Roman" w:cs="Times New Roman"/>
          <w:sz w:val="24"/>
          <w:szCs w:val="24"/>
        </w:rPr>
        <w:t xml:space="preserve">, 2015; </w:t>
      </w:r>
      <w:proofErr w:type="spellStart"/>
      <w:r w:rsidRPr="00734837">
        <w:rPr>
          <w:rFonts w:ascii="Times New Roman" w:hAnsi="Times New Roman" w:cs="Times New Roman"/>
          <w:sz w:val="24"/>
          <w:szCs w:val="24"/>
        </w:rPr>
        <w:t>Amenc</w:t>
      </w:r>
      <w:proofErr w:type="spellEnd"/>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Martellini</w:t>
      </w:r>
      <w:proofErr w:type="spellEnd"/>
      <w:r w:rsidRPr="00734837">
        <w:rPr>
          <w:rFonts w:ascii="Times New Roman" w:hAnsi="Times New Roman" w:cs="Times New Roman"/>
          <w:sz w:val="24"/>
          <w:szCs w:val="24"/>
        </w:rPr>
        <w:t xml:space="preserve">, 2011; </w:t>
      </w:r>
      <w:proofErr w:type="spellStart"/>
      <w:r w:rsidRPr="00734837">
        <w:rPr>
          <w:rFonts w:ascii="Times New Roman" w:hAnsi="Times New Roman" w:cs="Times New Roman"/>
          <w:sz w:val="24"/>
          <w:szCs w:val="24"/>
        </w:rPr>
        <w:t>Goet</w:t>
      </w:r>
      <w:r w:rsidR="00A0425E" w:rsidRPr="00734837">
        <w:rPr>
          <w:rFonts w:ascii="Times New Roman" w:hAnsi="Times New Roman" w:cs="Times New Roman"/>
          <w:sz w:val="24"/>
          <w:szCs w:val="24"/>
        </w:rPr>
        <w:t>z</w:t>
      </w:r>
      <w:r w:rsidRPr="00734837">
        <w:rPr>
          <w:rFonts w:ascii="Times New Roman" w:hAnsi="Times New Roman" w:cs="Times New Roman"/>
          <w:sz w:val="24"/>
          <w:szCs w:val="24"/>
        </w:rPr>
        <w:t>mann</w:t>
      </w:r>
      <w:proofErr w:type="spellEnd"/>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Kumar, 2008</w:t>
      </w:r>
      <w:r w:rsidR="00EA0FCE" w:rsidRPr="00734837">
        <w:rPr>
          <w:rFonts w:ascii="Times New Roman" w:hAnsi="Times New Roman" w:cs="Times New Roman"/>
          <w:sz w:val="24"/>
          <w:szCs w:val="24"/>
        </w:rPr>
        <w:t xml:space="preserve">; De </w:t>
      </w:r>
      <w:proofErr w:type="spellStart"/>
      <w:r w:rsidR="00EA0FCE" w:rsidRPr="00734837">
        <w:rPr>
          <w:rFonts w:ascii="Times New Roman" w:hAnsi="Times New Roman" w:cs="Times New Roman"/>
          <w:sz w:val="24"/>
          <w:szCs w:val="24"/>
        </w:rPr>
        <w:t>Santis</w:t>
      </w:r>
      <w:proofErr w:type="spellEnd"/>
      <w:r w:rsidR="00EA0FCE"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EA0FCE" w:rsidRPr="00734837">
        <w:rPr>
          <w:rFonts w:ascii="Times New Roman" w:hAnsi="Times New Roman" w:cs="Times New Roman"/>
          <w:sz w:val="24"/>
          <w:szCs w:val="24"/>
        </w:rPr>
        <w:t xml:space="preserve"> Gerard, 1997; </w:t>
      </w:r>
      <w:proofErr w:type="spellStart"/>
      <w:r w:rsidR="00EA0FCE" w:rsidRPr="00734837">
        <w:rPr>
          <w:rFonts w:ascii="Times New Roman" w:hAnsi="Times New Roman" w:cs="Times New Roman"/>
          <w:sz w:val="24"/>
          <w:szCs w:val="24"/>
        </w:rPr>
        <w:t>Mer</w:t>
      </w:r>
      <w:r w:rsidRPr="00734837">
        <w:rPr>
          <w:rFonts w:ascii="Times New Roman" w:hAnsi="Times New Roman" w:cs="Times New Roman"/>
          <w:sz w:val="24"/>
          <w:szCs w:val="24"/>
        </w:rPr>
        <w:t>ic</w:t>
      </w:r>
      <w:proofErr w:type="spellEnd"/>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A0425E" w:rsidRPr="00734837">
        <w:rPr>
          <w:rFonts w:ascii="Times New Roman" w:hAnsi="Times New Roman" w:cs="Times New Roman"/>
          <w:sz w:val="24"/>
          <w:szCs w:val="24"/>
        </w:rPr>
        <w:t xml:space="preserve"> </w:t>
      </w:r>
      <w:proofErr w:type="spellStart"/>
      <w:r w:rsidR="00A0425E" w:rsidRPr="00734837">
        <w:rPr>
          <w:rFonts w:ascii="Times New Roman" w:hAnsi="Times New Roman" w:cs="Times New Roman"/>
          <w:sz w:val="24"/>
          <w:szCs w:val="24"/>
        </w:rPr>
        <w:t>Meric</w:t>
      </w:r>
      <w:proofErr w:type="spellEnd"/>
      <w:r w:rsidR="00A0425E" w:rsidRPr="00734837">
        <w:rPr>
          <w:rFonts w:ascii="Times New Roman" w:hAnsi="Times New Roman" w:cs="Times New Roman"/>
          <w:sz w:val="24"/>
          <w:szCs w:val="24"/>
        </w:rPr>
        <w:t xml:space="preserve">, 1989; Klein </w:t>
      </w:r>
      <w:r w:rsidR="00693D1C" w:rsidRPr="00734837">
        <w:rPr>
          <w:rFonts w:ascii="Times New Roman" w:hAnsi="Times New Roman" w:cs="Times New Roman"/>
          <w:sz w:val="24"/>
          <w:szCs w:val="24"/>
        </w:rPr>
        <w:t>and</w:t>
      </w:r>
      <w:r w:rsidR="00A0425E" w:rsidRPr="00734837">
        <w:rPr>
          <w:rFonts w:ascii="Times New Roman" w:hAnsi="Times New Roman" w:cs="Times New Roman"/>
          <w:sz w:val="24"/>
          <w:szCs w:val="24"/>
        </w:rPr>
        <w:t xml:space="preserve"> </w:t>
      </w:r>
      <w:proofErr w:type="spellStart"/>
      <w:r w:rsidR="00A0425E" w:rsidRPr="00734837">
        <w:rPr>
          <w:rFonts w:ascii="Times New Roman" w:hAnsi="Times New Roman" w:cs="Times New Roman"/>
          <w:sz w:val="24"/>
          <w:szCs w:val="24"/>
        </w:rPr>
        <w:t>Bawa</w:t>
      </w:r>
      <w:proofErr w:type="spellEnd"/>
      <w:r w:rsidR="00A0425E" w:rsidRPr="00734837">
        <w:rPr>
          <w:rFonts w:ascii="Times New Roman" w:hAnsi="Times New Roman" w:cs="Times New Roman"/>
          <w:sz w:val="24"/>
          <w:szCs w:val="24"/>
        </w:rPr>
        <w:t>, 1976</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Lessard</w:t>
      </w:r>
      <w:proofErr w:type="spellEnd"/>
      <w:r w:rsidRPr="00734837">
        <w:rPr>
          <w:rFonts w:ascii="Times New Roman" w:hAnsi="Times New Roman" w:cs="Times New Roman"/>
          <w:sz w:val="24"/>
          <w:szCs w:val="24"/>
        </w:rPr>
        <w:t xml:space="preserve">, 1973). This </w:t>
      </w:r>
      <w:proofErr w:type="gramStart"/>
      <w:r w:rsidRPr="00734837">
        <w:rPr>
          <w:rFonts w:ascii="Times New Roman" w:hAnsi="Times New Roman" w:cs="Times New Roman"/>
          <w:sz w:val="24"/>
          <w:szCs w:val="24"/>
        </w:rPr>
        <w:t>is done</w:t>
      </w:r>
      <w:proofErr w:type="gramEnd"/>
      <w:r w:rsidRPr="00734837">
        <w:rPr>
          <w:rFonts w:ascii="Times New Roman" w:hAnsi="Times New Roman" w:cs="Times New Roman"/>
          <w:sz w:val="24"/>
          <w:szCs w:val="24"/>
        </w:rPr>
        <w:t xml:space="preserve"> by investing in different assets, asset classes and markets that have low, negative or </w:t>
      </w:r>
      <w:r w:rsidR="00EC310C" w:rsidRPr="00734837">
        <w:rPr>
          <w:rFonts w:ascii="Times New Roman" w:hAnsi="Times New Roman" w:cs="Times New Roman"/>
          <w:sz w:val="24"/>
          <w:szCs w:val="24"/>
        </w:rPr>
        <w:lastRenderedPageBreak/>
        <w:t>possibly</w:t>
      </w:r>
      <w:r w:rsidRPr="00734837">
        <w:rPr>
          <w:rFonts w:ascii="Times New Roman" w:hAnsi="Times New Roman" w:cs="Times New Roman"/>
          <w:sz w:val="24"/>
          <w:szCs w:val="24"/>
        </w:rPr>
        <w:t xml:space="preserve"> no correlations </w:t>
      </w:r>
      <w:r w:rsidR="00EC310C" w:rsidRPr="00734837">
        <w:rPr>
          <w:rFonts w:ascii="Times New Roman" w:hAnsi="Times New Roman" w:cs="Times New Roman"/>
          <w:sz w:val="24"/>
          <w:szCs w:val="24"/>
        </w:rPr>
        <w:t>between</w:t>
      </w:r>
      <w:r w:rsidRPr="00734837">
        <w:rPr>
          <w:rFonts w:ascii="Times New Roman" w:hAnsi="Times New Roman" w:cs="Times New Roman"/>
          <w:sz w:val="24"/>
          <w:szCs w:val="24"/>
        </w:rPr>
        <w:t xml:space="preserve"> their returns, thereby reducing the risk </w:t>
      </w:r>
      <w:r w:rsidR="00D65FC8" w:rsidRPr="00734837">
        <w:rPr>
          <w:rFonts w:ascii="Times New Roman" w:hAnsi="Times New Roman" w:cs="Times New Roman"/>
          <w:sz w:val="24"/>
          <w:szCs w:val="24"/>
        </w:rPr>
        <w:t xml:space="preserve">subject exposed to </w:t>
      </w:r>
      <w:r w:rsidRPr="00734837">
        <w:rPr>
          <w:rFonts w:ascii="Times New Roman" w:hAnsi="Times New Roman" w:cs="Times New Roman"/>
          <w:sz w:val="24"/>
          <w:szCs w:val="24"/>
        </w:rPr>
        <w:t>investors</w:t>
      </w:r>
      <w:r w:rsidR="00D65FC8" w:rsidRPr="00734837">
        <w:rPr>
          <w:rFonts w:ascii="Times New Roman" w:hAnsi="Times New Roman" w:cs="Times New Roman"/>
          <w:sz w:val="24"/>
          <w:szCs w:val="24"/>
        </w:rPr>
        <w:t>.</w:t>
      </w:r>
      <w:r w:rsidRPr="00734837">
        <w:rPr>
          <w:rFonts w:ascii="Times New Roman" w:hAnsi="Times New Roman" w:cs="Times New Roman"/>
          <w:sz w:val="24"/>
          <w:szCs w:val="24"/>
        </w:rPr>
        <w:t xml:space="preserve"> The Markowitz mean-variance criterion incorporates the benefits of portfolio diversification (</w:t>
      </w:r>
      <w:proofErr w:type="spellStart"/>
      <w:r w:rsidR="00693D1C" w:rsidRPr="00734837">
        <w:rPr>
          <w:rFonts w:ascii="Times New Roman" w:hAnsi="Times New Roman" w:cs="Times New Roman"/>
          <w:noProof/>
          <w:sz w:val="24"/>
          <w:szCs w:val="24"/>
        </w:rPr>
        <w:t>García-Herrero</w:t>
      </w:r>
      <w:proofErr w:type="spellEnd"/>
      <w:r w:rsidR="00693D1C" w:rsidRPr="00734837">
        <w:rPr>
          <w:rFonts w:ascii="Times New Roman" w:hAnsi="Times New Roman" w:cs="Times New Roman"/>
          <w:noProof/>
          <w:sz w:val="24"/>
          <w:szCs w:val="24"/>
        </w:rPr>
        <w:t xml:space="preserve"> and Vázquez,</w:t>
      </w:r>
      <w:r w:rsidR="00693D1C" w:rsidRPr="00734837">
        <w:rPr>
          <w:rFonts w:ascii="Times New Roman" w:hAnsi="Times New Roman" w:cs="Times New Roman"/>
          <w:noProof/>
        </w:rPr>
        <w:t xml:space="preserve"> </w:t>
      </w:r>
      <w:r w:rsidRPr="00734837">
        <w:rPr>
          <w:rFonts w:ascii="Times New Roman" w:hAnsi="Times New Roman" w:cs="Times New Roman"/>
          <w:sz w:val="24"/>
          <w:szCs w:val="24"/>
        </w:rPr>
        <w:t xml:space="preserve">2013; </w:t>
      </w:r>
      <w:proofErr w:type="spellStart"/>
      <w:r w:rsidRPr="00734837">
        <w:rPr>
          <w:rFonts w:ascii="Times New Roman" w:hAnsi="Times New Roman" w:cs="Times New Roman"/>
          <w:sz w:val="24"/>
          <w:szCs w:val="24"/>
        </w:rPr>
        <w:t>Driessen</w:t>
      </w:r>
      <w:proofErr w:type="spellEnd"/>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Laeven</w:t>
      </w:r>
      <w:proofErr w:type="spellEnd"/>
      <w:r w:rsidRPr="00734837">
        <w:rPr>
          <w:rFonts w:ascii="Times New Roman" w:hAnsi="Times New Roman" w:cs="Times New Roman"/>
          <w:sz w:val="24"/>
          <w:szCs w:val="24"/>
        </w:rPr>
        <w:t xml:space="preserve">, 2007). </w:t>
      </w:r>
      <w:r w:rsidRPr="00734837">
        <w:rPr>
          <w:rFonts w:ascii="Times New Roman" w:hAnsi="Times New Roman" w:cs="Times New Roman"/>
          <w:noProof/>
          <w:sz w:val="24"/>
          <w:szCs w:val="24"/>
        </w:rPr>
        <w:t>That is, the theory postulates that</w:t>
      </w:r>
      <w:r w:rsidR="00EC310C" w:rsidRPr="00734837">
        <w:rPr>
          <w:rFonts w:ascii="Times New Roman" w:hAnsi="Times New Roman" w:cs="Times New Roman"/>
          <w:noProof/>
          <w:sz w:val="24"/>
          <w:szCs w:val="24"/>
        </w:rPr>
        <w:t xml:space="preserve">, </w:t>
      </w:r>
      <w:r w:rsidRPr="00734837">
        <w:rPr>
          <w:rFonts w:ascii="Times New Roman" w:hAnsi="Times New Roman" w:cs="Times New Roman"/>
          <w:noProof/>
          <w:sz w:val="24"/>
          <w:szCs w:val="24"/>
        </w:rPr>
        <w:t>assets cannot be chosen based on only attributes specific to a security. Ins</w:t>
      </w:r>
      <w:r w:rsidR="007C421A" w:rsidRPr="00734837">
        <w:rPr>
          <w:rFonts w:ascii="Times New Roman" w:hAnsi="Times New Roman" w:cs="Times New Roman"/>
          <w:noProof/>
          <w:sz w:val="24"/>
          <w:szCs w:val="24"/>
        </w:rPr>
        <w:t xml:space="preserve">tead, investors are required to take into consideration the correlation </w:t>
      </w:r>
      <w:r w:rsidR="00875054" w:rsidRPr="00734837">
        <w:rPr>
          <w:rFonts w:ascii="Times New Roman" w:hAnsi="Times New Roman" w:cs="Times New Roman"/>
          <w:noProof/>
          <w:sz w:val="24"/>
          <w:szCs w:val="24"/>
        </w:rPr>
        <w:t>between the various</w:t>
      </w:r>
      <w:r w:rsidR="007C421A" w:rsidRPr="00734837">
        <w:rPr>
          <w:rFonts w:ascii="Times New Roman" w:hAnsi="Times New Roman" w:cs="Times New Roman"/>
          <w:noProof/>
          <w:sz w:val="24"/>
          <w:szCs w:val="24"/>
        </w:rPr>
        <w:t xml:space="preserve"> assets </w:t>
      </w:r>
      <w:r w:rsidR="00EC310C" w:rsidRPr="00734837">
        <w:rPr>
          <w:rFonts w:ascii="Times New Roman" w:hAnsi="Times New Roman" w:cs="Times New Roman"/>
          <w:noProof/>
          <w:sz w:val="24"/>
          <w:szCs w:val="24"/>
        </w:rPr>
        <w:t>(</w:t>
      </w:r>
      <w:r w:rsidRPr="00734837">
        <w:rPr>
          <w:rFonts w:ascii="Times New Roman" w:hAnsi="Times New Roman" w:cs="Times New Roman"/>
          <w:noProof/>
          <w:sz w:val="24"/>
          <w:szCs w:val="24"/>
        </w:rPr>
        <w:t>Kisaka et al</w:t>
      </w:r>
      <w:r w:rsidR="00D36470" w:rsidRPr="00734837">
        <w:rPr>
          <w:rFonts w:ascii="Times New Roman" w:hAnsi="Times New Roman" w:cs="Times New Roman"/>
          <w:noProof/>
          <w:sz w:val="24"/>
          <w:szCs w:val="24"/>
        </w:rPr>
        <w:t>.</w:t>
      </w:r>
      <w:r w:rsidRPr="00734837">
        <w:rPr>
          <w:rFonts w:ascii="Times New Roman" w:hAnsi="Times New Roman" w:cs="Times New Roman"/>
          <w:noProof/>
          <w:sz w:val="24"/>
          <w:szCs w:val="24"/>
        </w:rPr>
        <w:t xml:space="preserve">, 2015). In </w:t>
      </w:r>
      <w:r w:rsidR="00EC310C" w:rsidRPr="00734837">
        <w:rPr>
          <w:rFonts w:ascii="Times New Roman" w:hAnsi="Times New Roman" w:cs="Times New Roman"/>
          <w:noProof/>
          <w:sz w:val="24"/>
          <w:szCs w:val="24"/>
        </w:rPr>
        <w:t>other words</w:t>
      </w:r>
      <w:r w:rsidRPr="00734837">
        <w:rPr>
          <w:rFonts w:ascii="Times New Roman" w:hAnsi="Times New Roman" w:cs="Times New Roman"/>
          <w:noProof/>
          <w:sz w:val="24"/>
          <w:szCs w:val="24"/>
        </w:rPr>
        <w:t xml:space="preserve">, investors should allocate their wealth among securities that are not highly correlated so </w:t>
      </w:r>
      <w:r w:rsidR="00EC310C" w:rsidRPr="00734837">
        <w:rPr>
          <w:rFonts w:ascii="Times New Roman" w:hAnsi="Times New Roman" w:cs="Times New Roman"/>
          <w:noProof/>
          <w:sz w:val="24"/>
          <w:szCs w:val="24"/>
        </w:rPr>
        <w:t>that events such</w:t>
      </w:r>
      <w:r w:rsidRPr="00734837">
        <w:rPr>
          <w:rFonts w:ascii="Times New Roman" w:hAnsi="Times New Roman" w:cs="Times New Roman"/>
          <w:noProof/>
          <w:sz w:val="24"/>
          <w:szCs w:val="24"/>
        </w:rPr>
        <w:t xml:space="preserve"> as changes in business cycles and macroeconomic conditions, they can b</w:t>
      </w:r>
      <w:r w:rsidR="00693D1C" w:rsidRPr="00734837">
        <w:rPr>
          <w:rFonts w:ascii="Times New Roman" w:hAnsi="Times New Roman" w:cs="Times New Roman"/>
          <w:noProof/>
          <w:sz w:val="24"/>
          <w:szCs w:val="24"/>
        </w:rPr>
        <w:t>enefit from the diversification (Gökgöz</w:t>
      </w:r>
      <w:r w:rsidR="00693D1C" w:rsidRPr="00734837">
        <w:rPr>
          <w:rFonts w:ascii="Times New Roman" w:hAnsi="Times New Roman" w:cs="Times New Roman"/>
          <w:sz w:val="24"/>
          <w:szCs w:val="24"/>
        </w:rPr>
        <w:t xml:space="preserve"> and </w:t>
      </w:r>
      <w:r w:rsidR="00693D1C" w:rsidRPr="00734837">
        <w:rPr>
          <w:rFonts w:ascii="Times New Roman" w:hAnsi="Times New Roman" w:cs="Times New Roman"/>
          <w:noProof/>
          <w:sz w:val="24"/>
          <w:szCs w:val="24"/>
        </w:rPr>
        <w:t>Atmaca, 2012).</w:t>
      </w:r>
    </w:p>
    <w:p w:rsidR="00AA1EBC" w:rsidRPr="00734837" w:rsidRDefault="0018532A" w:rsidP="00DB671E">
      <w:pPr>
        <w:spacing w:after="360" w:line="240" w:lineRule="auto"/>
        <w:jc w:val="both"/>
        <w:rPr>
          <w:rFonts w:ascii="Times New Roman" w:hAnsi="Times New Roman" w:cs="Times New Roman"/>
          <w:sz w:val="24"/>
          <w:szCs w:val="24"/>
        </w:rPr>
      </w:pPr>
      <w:r w:rsidRPr="00734837">
        <w:rPr>
          <w:rFonts w:ascii="Times New Roman" w:hAnsi="Times New Roman" w:cs="Times New Roman"/>
          <w:sz w:val="24"/>
          <w:szCs w:val="24"/>
        </w:rPr>
        <w:t xml:space="preserve">There </w:t>
      </w:r>
      <w:proofErr w:type="gramStart"/>
      <w:r w:rsidRPr="00734837">
        <w:rPr>
          <w:rFonts w:ascii="Times New Roman" w:hAnsi="Times New Roman" w:cs="Times New Roman"/>
          <w:sz w:val="24"/>
          <w:szCs w:val="24"/>
        </w:rPr>
        <w:t>has</w:t>
      </w:r>
      <w:proofErr w:type="gramEnd"/>
      <w:r w:rsidR="00FF327C" w:rsidRPr="00734837">
        <w:rPr>
          <w:rFonts w:ascii="Times New Roman" w:hAnsi="Times New Roman" w:cs="Times New Roman"/>
          <w:sz w:val="24"/>
          <w:szCs w:val="24"/>
        </w:rPr>
        <w:t xml:space="preserve"> been several studies on the need and benefi</w:t>
      </w:r>
      <w:r w:rsidR="0076473A" w:rsidRPr="00734837">
        <w:rPr>
          <w:rFonts w:ascii="Times New Roman" w:hAnsi="Times New Roman" w:cs="Times New Roman"/>
          <w:sz w:val="24"/>
          <w:szCs w:val="24"/>
        </w:rPr>
        <w:t>t</w:t>
      </w:r>
      <w:r w:rsidR="00346B6F" w:rsidRPr="00734837">
        <w:rPr>
          <w:rFonts w:ascii="Times New Roman" w:hAnsi="Times New Roman" w:cs="Times New Roman"/>
          <w:sz w:val="24"/>
          <w:szCs w:val="24"/>
        </w:rPr>
        <w:t>s of portfolio diversification (</w:t>
      </w:r>
      <w:proofErr w:type="spellStart"/>
      <w:r w:rsidR="00346B6F" w:rsidRPr="00734837">
        <w:rPr>
          <w:rFonts w:ascii="Times New Roman" w:hAnsi="Times New Roman" w:cs="Times New Roman"/>
          <w:sz w:val="24"/>
          <w:szCs w:val="24"/>
        </w:rPr>
        <w:t>Gaudecker</w:t>
      </w:r>
      <w:proofErr w:type="spellEnd"/>
      <w:r w:rsidR="00346B6F" w:rsidRPr="00734837">
        <w:rPr>
          <w:rFonts w:ascii="Times New Roman" w:hAnsi="Times New Roman" w:cs="Times New Roman"/>
          <w:sz w:val="24"/>
          <w:szCs w:val="24"/>
        </w:rPr>
        <w:t xml:space="preserve">, 2015; </w:t>
      </w:r>
      <w:r w:rsidR="00604948" w:rsidRPr="00734837">
        <w:rPr>
          <w:rFonts w:ascii="Times New Roman" w:hAnsi="Times New Roman" w:cs="Times New Roman"/>
          <w:sz w:val="24"/>
          <w:szCs w:val="24"/>
        </w:rPr>
        <w:t xml:space="preserve">Levy </w:t>
      </w:r>
      <w:r w:rsidR="00693D1C" w:rsidRPr="00734837">
        <w:rPr>
          <w:rFonts w:ascii="Times New Roman" w:hAnsi="Times New Roman" w:cs="Times New Roman"/>
          <w:sz w:val="24"/>
          <w:szCs w:val="24"/>
        </w:rPr>
        <w:t>and</w:t>
      </w:r>
      <w:r w:rsidR="00604948" w:rsidRPr="00734837">
        <w:rPr>
          <w:rFonts w:ascii="Times New Roman" w:hAnsi="Times New Roman" w:cs="Times New Roman"/>
          <w:sz w:val="24"/>
          <w:szCs w:val="24"/>
        </w:rPr>
        <w:t xml:space="preserve"> L</w:t>
      </w:r>
      <w:r w:rsidR="004B19C6" w:rsidRPr="00734837">
        <w:rPr>
          <w:rFonts w:ascii="Times New Roman" w:hAnsi="Times New Roman" w:cs="Times New Roman"/>
          <w:sz w:val="24"/>
          <w:szCs w:val="24"/>
        </w:rPr>
        <w:t xml:space="preserve">evy, 2015; </w:t>
      </w:r>
      <w:r w:rsidR="00280A8B" w:rsidRPr="00734837">
        <w:rPr>
          <w:rFonts w:ascii="Times New Roman" w:hAnsi="Times New Roman" w:cs="Times New Roman"/>
          <w:sz w:val="24"/>
          <w:szCs w:val="24"/>
        </w:rPr>
        <w:t xml:space="preserve">Zhou </w:t>
      </w:r>
      <w:r w:rsidR="00693D1C" w:rsidRPr="00734837">
        <w:rPr>
          <w:rFonts w:ascii="Times New Roman" w:hAnsi="Times New Roman" w:cs="Times New Roman"/>
          <w:sz w:val="24"/>
          <w:szCs w:val="24"/>
        </w:rPr>
        <w:t>and</w:t>
      </w:r>
      <w:r w:rsidR="00280A8B" w:rsidRPr="00734837">
        <w:rPr>
          <w:rFonts w:ascii="Times New Roman" w:hAnsi="Times New Roman" w:cs="Times New Roman"/>
          <w:sz w:val="24"/>
          <w:szCs w:val="24"/>
        </w:rPr>
        <w:t xml:space="preserve"> Nicholson, 2015; </w:t>
      </w:r>
      <w:proofErr w:type="spellStart"/>
      <w:r w:rsidR="002B37C2" w:rsidRPr="00734837">
        <w:rPr>
          <w:rFonts w:ascii="Times New Roman" w:hAnsi="Times New Roman" w:cs="Times New Roman"/>
          <w:sz w:val="24"/>
          <w:szCs w:val="24"/>
        </w:rPr>
        <w:t>Brandtner</w:t>
      </w:r>
      <w:proofErr w:type="spellEnd"/>
      <w:r w:rsidR="002B37C2" w:rsidRPr="00734837">
        <w:rPr>
          <w:rFonts w:ascii="Times New Roman" w:hAnsi="Times New Roman" w:cs="Times New Roman"/>
          <w:sz w:val="24"/>
          <w:szCs w:val="24"/>
        </w:rPr>
        <w:t xml:space="preserve">, 2013; </w:t>
      </w:r>
      <w:r w:rsidR="00043B6B" w:rsidRPr="00734837">
        <w:rPr>
          <w:rFonts w:ascii="Times New Roman" w:hAnsi="Times New Roman" w:cs="Times New Roman"/>
          <w:sz w:val="24"/>
          <w:szCs w:val="24"/>
        </w:rPr>
        <w:t>Hu</w:t>
      </w:r>
      <w:r w:rsidR="00EC68FA" w:rsidRPr="00734837">
        <w:rPr>
          <w:rFonts w:ascii="Times New Roman" w:hAnsi="Times New Roman" w:cs="Times New Roman"/>
          <w:sz w:val="24"/>
          <w:szCs w:val="24"/>
        </w:rPr>
        <w:t>ng, Liu</w:t>
      </w:r>
      <w:r w:rsidR="00E217B9" w:rsidRPr="00734837">
        <w:rPr>
          <w:rFonts w:ascii="Times New Roman" w:hAnsi="Times New Roman" w:cs="Times New Roman"/>
          <w:sz w:val="24"/>
          <w:szCs w:val="24"/>
        </w:rPr>
        <w:t>,</w:t>
      </w:r>
      <w:r w:rsidR="00EC68FA"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EC68FA" w:rsidRPr="00734837">
        <w:rPr>
          <w:rFonts w:ascii="Times New Roman" w:hAnsi="Times New Roman" w:cs="Times New Roman"/>
          <w:sz w:val="24"/>
          <w:szCs w:val="24"/>
        </w:rPr>
        <w:t xml:space="preserve"> Tsai, 2012; </w:t>
      </w:r>
      <w:proofErr w:type="spellStart"/>
      <w:r w:rsidR="00346B6F" w:rsidRPr="00734837">
        <w:rPr>
          <w:rFonts w:ascii="Times New Roman" w:hAnsi="Times New Roman" w:cs="Times New Roman"/>
          <w:sz w:val="24"/>
          <w:szCs w:val="24"/>
        </w:rPr>
        <w:t>Amenc</w:t>
      </w:r>
      <w:proofErr w:type="spellEnd"/>
      <w:r w:rsidR="00346B6F"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346B6F" w:rsidRPr="00734837">
        <w:rPr>
          <w:rFonts w:ascii="Times New Roman" w:hAnsi="Times New Roman" w:cs="Times New Roman"/>
          <w:sz w:val="24"/>
          <w:szCs w:val="24"/>
        </w:rPr>
        <w:t xml:space="preserve"> </w:t>
      </w:r>
      <w:proofErr w:type="spellStart"/>
      <w:r w:rsidR="00346B6F" w:rsidRPr="00734837">
        <w:rPr>
          <w:rFonts w:ascii="Times New Roman" w:hAnsi="Times New Roman" w:cs="Times New Roman"/>
          <w:sz w:val="24"/>
          <w:szCs w:val="24"/>
        </w:rPr>
        <w:t>Martellini</w:t>
      </w:r>
      <w:proofErr w:type="spellEnd"/>
      <w:r w:rsidR="00346B6F" w:rsidRPr="00734837">
        <w:rPr>
          <w:rFonts w:ascii="Times New Roman" w:hAnsi="Times New Roman" w:cs="Times New Roman"/>
          <w:sz w:val="24"/>
          <w:szCs w:val="24"/>
        </w:rPr>
        <w:t xml:space="preserve">, 2011; </w:t>
      </w:r>
      <w:proofErr w:type="spellStart"/>
      <w:r w:rsidR="00DC52DC" w:rsidRPr="00734837">
        <w:rPr>
          <w:rFonts w:ascii="Times New Roman" w:hAnsi="Times New Roman" w:cs="Times New Roman"/>
          <w:sz w:val="24"/>
          <w:szCs w:val="24"/>
        </w:rPr>
        <w:t>Goetzmann</w:t>
      </w:r>
      <w:proofErr w:type="spellEnd"/>
      <w:r w:rsidR="00DC52DC"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346B6F" w:rsidRPr="00734837">
        <w:rPr>
          <w:rFonts w:ascii="Times New Roman" w:hAnsi="Times New Roman" w:cs="Times New Roman"/>
          <w:sz w:val="24"/>
          <w:szCs w:val="24"/>
        </w:rPr>
        <w:t xml:space="preserve"> Kumar, 2008; De </w:t>
      </w:r>
      <w:proofErr w:type="spellStart"/>
      <w:r w:rsidR="00346B6F" w:rsidRPr="00734837">
        <w:rPr>
          <w:rFonts w:ascii="Times New Roman" w:hAnsi="Times New Roman" w:cs="Times New Roman"/>
          <w:sz w:val="24"/>
          <w:szCs w:val="24"/>
        </w:rPr>
        <w:t>Santis</w:t>
      </w:r>
      <w:proofErr w:type="spellEnd"/>
      <w:r w:rsidR="00346B6F"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346B6F" w:rsidRPr="00734837">
        <w:rPr>
          <w:rFonts w:ascii="Times New Roman" w:hAnsi="Times New Roman" w:cs="Times New Roman"/>
          <w:sz w:val="24"/>
          <w:szCs w:val="24"/>
        </w:rPr>
        <w:t xml:space="preserve"> Gerar</w:t>
      </w:r>
      <w:r w:rsidR="00EA0FCE" w:rsidRPr="00734837">
        <w:rPr>
          <w:rFonts w:ascii="Times New Roman" w:hAnsi="Times New Roman" w:cs="Times New Roman"/>
          <w:sz w:val="24"/>
          <w:szCs w:val="24"/>
        </w:rPr>
        <w:t xml:space="preserve">d, 1997; </w:t>
      </w:r>
      <w:proofErr w:type="spellStart"/>
      <w:r w:rsidR="00EA0FCE" w:rsidRPr="00734837">
        <w:rPr>
          <w:rFonts w:ascii="Times New Roman" w:hAnsi="Times New Roman" w:cs="Times New Roman"/>
          <w:sz w:val="24"/>
          <w:szCs w:val="24"/>
        </w:rPr>
        <w:t>Meric</w:t>
      </w:r>
      <w:proofErr w:type="spellEnd"/>
      <w:r w:rsidR="00EA0FCE"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00EA0FCE" w:rsidRPr="00734837">
        <w:rPr>
          <w:rFonts w:ascii="Times New Roman" w:hAnsi="Times New Roman" w:cs="Times New Roman"/>
          <w:sz w:val="24"/>
          <w:szCs w:val="24"/>
        </w:rPr>
        <w:t xml:space="preserve"> </w:t>
      </w:r>
      <w:proofErr w:type="spellStart"/>
      <w:r w:rsidR="00EA0FCE" w:rsidRPr="00734837">
        <w:rPr>
          <w:rFonts w:ascii="Times New Roman" w:hAnsi="Times New Roman" w:cs="Times New Roman"/>
          <w:sz w:val="24"/>
          <w:szCs w:val="24"/>
        </w:rPr>
        <w:t>Me</w:t>
      </w:r>
      <w:r w:rsidR="005C233E" w:rsidRPr="00734837">
        <w:rPr>
          <w:rFonts w:ascii="Times New Roman" w:hAnsi="Times New Roman" w:cs="Times New Roman"/>
          <w:sz w:val="24"/>
          <w:szCs w:val="24"/>
        </w:rPr>
        <w:t>ric</w:t>
      </w:r>
      <w:proofErr w:type="spellEnd"/>
      <w:r w:rsidR="00EC68FA" w:rsidRPr="00734837">
        <w:rPr>
          <w:rFonts w:ascii="Times New Roman" w:hAnsi="Times New Roman" w:cs="Times New Roman"/>
          <w:sz w:val="24"/>
          <w:szCs w:val="24"/>
        </w:rPr>
        <w:t>, 1989</w:t>
      </w:r>
      <w:r w:rsidR="00346B6F" w:rsidRPr="00734837">
        <w:rPr>
          <w:rFonts w:ascii="Times New Roman" w:hAnsi="Times New Roman" w:cs="Times New Roman"/>
          <w:sz w:val="24"/>
          <w:szCs w:val="24"/>
        </w:rPr>
        <w:t>).</w:t>
      </w:r>
      <w:r w:rsidR="00280A8B" w:rsidRPr="00734837">
        <w:rPr>
          <w:rFonts w:ascii="Times New Roman" w:hAnsi="Times New Roman" w:cs="Times New Roman"/>
          <w:sz w:val="24"/>
          <w:szCs w:val="24"/>
        </w:rPr>
        <w:t xml:space="preserve"> </w:t>
      </w:r>
      <w:r w:rsidR="0024292A" w:rsidRPr="00734837">
        <w:rPr>
          <w:rFonts w:ascii="Times New Roman" w:hAnsi="Times New Roman" w:cs="Times New Roman"/>
          <w:sz w:val="24"/>
          <w:szCs w:val="24"/>
        </w:rPr>
        <w:t xml:space="preserve">Zhou </w:t>
      </w:r>
      <w:r w:rsidR="00693D1C" w:rsidRPr="00734837">
        <w:rPr>
          <w:rFonts w:ascii="Times New Roman" w:hAnsi="Times New Roman" w:cs="Times New Roman"/>
          <w:sz w:val="24"/>
          <w:szCs w:val="24"/>
        </w:rPr>
        <w:t>and</w:t>
      </w:r>
      <w:r w:rsidR="0024292A" w:rsidRPr="00734837">
        <w:rPr>
          <w:rFonts w:ascii="Times New Roman" w:hAnsi="Times New Roman" w:cs="Times New Roman"/>
          <w:sz w:val="24"/>
          <w:szCs w:val="24"/>
        </w:rPr>
        <w:t xml:space="preserve"> Nicholson (2015) constructed a diversified portfolio across </w:t>
      </w:r>
      <w:proofErr w:type="gramStart"/>
      <w:r w:rsidR="0024292A" w:rsidRPr="00734837">
        <w:rPr>
          <w:rFonts w:ascii="Times New Roman" w:hAnsi="Times New Roman" w:cs="Times New Roman"/>
          <w:sz w:val="24"/>
          <w:szCs w:val="24"/>
        </w:rPr>
        <w:t>3</w:t>
      </w:r>
      <w:proofErr w:type="gramEnd"/>
      <w:r w:rsidR="0024292A" w:rsidRPr="00734837">
        <w:rPr>
          <w:rFonts w:ascii="Times New Roman" w:hAnsi="Times New Roman" w:cs="Times New Roman"/>
          <w:sz w:val="24"/>
          <w:szCs w:val="24"/>
        </w:rPr>
        <w:t xml:space="preserve"> asset classes in the US economy. They found that by </w:t>
      </w:r>
      <w:proofErr w:type="spellStart"/>
      <w:r w:rsidR="0024292A" w:rsidRPr="00734837">
        <w:rPr>
          <w:rFonts w:ascii="Times New Roman" w:hAnsi="Times New Roman" w:cs="Times New Roman"/>
          <w:sz w:val="24"/>
          <w:szCs w:val="24"/>
        </w:rPr>
        <w:t>modelling</w:t>
      </w:r>
      <w:proofErr w:type="spellEnd"/>
      <w:r w:rsidR="0024292A" w:rsidRPr="00734837">
        <w:rPr>
          <w:rFonts w:ascii="Times New Roman" w:hAnsi="Times New Roman" w:cs="Times New Roman"/>
          <w:sz w:val="24"/>
          <w:szCs w:val="24"/>
        </w:rPr>
        <w:t xml:space="preserve"> a covariance asymmetry</w:t>
      </w:r>
      <w:r w:rsidR="00062CC0" w:rsidRPr="00734837">
        <w:rPr>
          <w:rFonts w:ascii="Times New Roman" w:hAnsi="Times New Roman" w:cs="Times New Roman"/>
          <w:sz w:val="24"/>
          <w:szCs w:val="24"/>
        </w:rPr>
        <w:t xml:space="preserve"> </w:t>
      </w:r>
      <w:proofErr w:type="gramStart"/>
      <w:r w:rsidR="00062CC0" w:rsidRPr="00734837">
        <w:rPr>
          <w:rFonts w:ascii="Times New Roman" w:hAnsi="Times New Roman" w:cs="Times New Roman"/>
          <w:sz w:val="24"/>
          <w:szCs w:val="24"/>
        </w:rPr>
        <w:t>as a result</w:t>
      </w:r>
      <w:proofErr w:type="gramEnd"/>
      <w:r w:rsidR="00062CC0" w:rsidRPr="00734837">
        <w:rPr>
          <w:rFonts w:ascii="Times New Roman" w:hAnsi="Times New Roman" w:cs="Times New Roman"/>
          <w:sz w:val="24"/>
          <w:szCs w:val="24"/>
        </w:rPr>
        <w:t xml:space="preserve"> of </w:t>
      </w:r>
      <w:r w:rsidR="00DA2422" w:rsidRPr="00734837">
        <w:rPr>
          <w:rFonts w:ascii="Times New Roman" w:hAnsi="Times New Roman" w:cs="Times New Roman"/>
          <w:sz w:val="24"/>
          <w:szCs w:val="24"/>
        </w:rPr>
        <w:t xml:space="preserve">the </w:t>
      </w:r>
      <w:r w:rsidR="00062CC0" w:rsidRPr="00734837">
        <w:rPr>
          <w:rFonts w:ascii="Times New Roman" w:hAnsi="Times New Roman" w:cs="Times New Roman"/>
          <w:sz w:val="24"/>
          <w:szCs w:val="24"/>
        </w:rPr>
        <w:t>asymmetric response</w:t>
      </w:r>
      <w:r w:rsidR="00C90460" w:rsidRPr="00734837">
        <w:rPr>
          <w:rFonts w:ascii="Times New Roman" w:hAnsi="Times New Roman" w:cs="Times New Roman"/>
          <w:sz w:val="24"/>
          <w:szCs w:val="24"/>
        </w:rPr>
        <w:t xml:space="preserve"> </w:t>
      </w:r>
      <w:r w:rsidR="00062CC0" w:rsidRPr="00734837">
        <w:rPr>
          <w:rFonts w:ascii="Times New Roman" w:hAnsi="Times New Roman" w:cs="Times New Roman"/>
          <w:sz w:val="24"/>
          <w:szCs w:val="24"/>
        </w:rPr>
        <w:t xml:space="preserve">correlation and volatility has </w:t>
      </w:r>
      <w:r w:rsidR="00DA2422" w:rsidRPr="00734837">
        <w:rPr>
          <w:rFonts w:ascii="Times New Roman" w:hAnsi="Times New Roman" w:cs="Times New Roman"/>
          <w:sz w:val="24"/>
          <w:szCs w:val="24"/>
        </w:rPr>
        <w:t>possible</w:t>
      </w:r>
      <w:r w:rsidR="00062CC0" w:rsidRPr="00734837">
        <w:rPr>
          <w:rFonts w:ascii="Times New Roman" w:hAnsi="Times New Roman" w:cs="Times New Roman"/>
          <w:sz w:val="24"/>
          <w:szCs w:val="24"/>
        </w:rPr>
        <w:t xml:space="preserve"> sho</w:t>
      </w:r>
      <w:r w:rsidR="00CD7F26" w:rsidRPr="00734837">
        <w:rPr>
          <w:rFonts w:ascii="Times New Roman" w:hAnsi="Times New Roman" w:cs="Times New Roman"/>
          <w:sz w:val="24"/>
          <w:szCs w:val="24"/>
        </w:rPr>
        <w:t xml:space="preserve">cks that could occur in returns, </w:t>
      </w:r>
      <w:r w:rsidR="0024292A" w:rsidRPr="00734837">
        <w:rPr>
          <w:rFonts w:ascii="Times New Roman" w:hAnsi="Times New Roman" w:cs="Times New Roman"/>
          <w:sz w:val="24"/>
          <w:szCs w:val="24"/>
        </w:rPr>
        <w:t xml:space="preserve">US investors </w:t>
      </w:r>
      <w:r w:rsidR="00282F3E" w:rsidRPr="00734837">
        <w:rPr>
          <w:rFonts w:ascii="Times New Roman" w:hAnsi="Times New Roman" w:cs="Times New Roman"/>
          <w:sz w:val="24"/>
          <w:szCs w:val="24"/>
        </w:rPr>
        <w:t xml:space="preserve">tend to </w:t>
      </w:r>
      <w:r w:rsidR="0024292A" w:rsidRPr="00734837">
        <w:rPr>
          <w:rFonts w:ascii="Times New Roman" w:hAnsi="Times New Roman" w:cs="Times New Roman"/>
          <w:sz w:val="24"/>
          <w:szCs w:val="24"/>
        </w:rPr>
        <w:t>obtain significant gains on a diversified portfolio across these asset classes.</w:t>
      </w:r>
      <w:r w:rsidR="00062CC0" w:rsidRPr="00734837">
        <w:rPr>
          <w:rFonts w:ascii="Times New Roman" w:hAnsi="Times New Roman" w:cs="Times New Roman"/>
          <w:sz w:val="24"/>
          <w:szCs w:val="24"/>
        </w:rPr>
        <w:t xml:space="preserve"> </w:t>
      </w:r>
      <w:proofErr w:type="spellStart"/>
      <w:r w:rsidR="002B37C2" w:rsidRPr="00734837">
        <w:rPr>
          <w:rFonts w:ascii="Times New Roman" w:hAnsi="Times New Roman" w:cs="Times New Roman"/>
          <w:sz w:val="24"/>
          <w:szCs w:val="24"/>
        </w:rPr>
        <w:t>Brandtner</w:t>
      </w:r>
      <w:proofErr w:type="spellEnd"/>
      <w:r w:rsidR="002B37C2" w:rsidRPr="00734837">
        <w:rPr>
          <w:rFonts w:ascii="Times New Roman" w:hAnsi="Times New Roman" w:cs="Times New Roman"/>
          <w:sz w:val="24"/>
          <w:szCs w:val="24"/>
        </w:rPr>
        <w:t xml:space="preserve"> (2013)</w:t>
      </w:r>
      <w:r w:rsidR="00D77F18" w:rsidRPr="00734837">
        <w:rPr>
          <w:rFonts w:ascii="Times New Roman" w:hAnsi="Times New Roman" w:cs="Times New Roman"/>
          <w:sz w:val="24"/>
          <w:szCs w:val="24"/>
        </w:rPr>
        <w:t xml:space="preserve"> also</w:t>
      </w:r>
      <w:r w:rsidR="007B4DDD" w:rsidRPr="00734837">
        <w:rPr>
          <w:rFonts w:ascii="Times New Roman" w:hAnsi="Times New Roman" w:cs="Times New Roman"/>
          <w:sz w:val="24"/>
          <w:szCs w:val="24"/>
        </w:rPr>
        <w:t xml:space="preserve"> examined</w:t>
      </w:r>
      <w:r w:rsidR="002B37C2" w:rsidRPr="00734837">
        <w:rPr>
          <w:rFonts w:ascii="Times New Roman" w:hAnsi="Times New Roman" w:cs="Times New Roman"/>
          <w:sz w:val="24"/>
          <w:szCs w:val="24"/>
        </w:rPr>
        <w:t xml:space="preserve"> the optimal choices for a mean-variance technique as compared to a value at risk</w:t>
      </w:r>
      <w:r w:rsidR="00DC4D14" w:rsidRPr="00734837">
        <w:rPr>
          <w:rFonts w:ascii="Times New Roman" w:hAnsi="Times New Roman" w:cs="Times New Roman"/>
          <w:sz w:val="24"/>
          <w:szCs w:val="24"/>
        </w:rPr>
        <w:t xml:space="preserve"> (</w:t>
      </w:r>
      <w:proofErr w:type="spellStart"/>
      <w:r w:rsidR="00DC4D14" w:rsidRPr="00734837">
        <w:rPr>
          <w:rFonts w:ascii="Times New Roman" w:hAnsi="Times New Roman" w:cs="Times New Roman"/>
          <w:sz w:val="24"/>
          <w:szCs w:val="24"/>
        </w:rPr>
        <w:t>Va</w:t>
      </w:r>
      <w:r w:rsidR="005D30FC" w:rsidRPr="00734837">
        <w:rPr>
          <w:rFonts w:ascii="Times New Roman" w:hAnsi="Times New Roman" w:cs="Times New Roman"/>
          <w:sz w:val="24"/>
          <w:szCs w:val="24"/>
        </w:rPr>
        <w:t>R</w:t>
      </w:r>
      <w:proofErr w:type="spellEnd"/>
      <w:r w:rsidR="005D30FC" w:rsidRPr="00734837">
        <w:rPr>
          <w:rFonts w:ascii="Times New Roman" w:hAnsi="Times New Roman" w:cs="Times New Roman"/>
          <w:sz w:val="24"/>
          <w:szCs w:val="24"/>
        </w:rPr>
        <w:t>)</w:t>
      </w:r>
      <w:r w:rsidR="002B37C2" w:rsidRPr="00734837">
        <w:rPr>
          <w:rFonts w:ascii="Times New Roman" w:hAnsi="Times New Roman" w:cs="Times New Roman"/>
          <w:sz w:val="24"/>
          <w:szCs w:val="24"/>
        </w:rPr>
        <w:t xml:space="preserve"> technique, specifically </w:t>
      </w:r>
      <w:r w:rsidR="005238FE" w:rsidRPr="00734837">
        <w:rPr>
          <w:rFonts w:ascii="Times New Roman" w:hAnsi="Times New Roman" w:cs="Times New Roman"/>
          <w:sz w:val="24"/>
          <w:szCs w:val="24"/>
        </w:rPr>
        <w:t>the spectral risk approach. He</w:t>
      </w:r>
      <w:r w:rsidR="002B37C2" w:rsidRPr="00734837">
        <w:rPr>
          <w:rFonts w:ascii="Times New Roman" w:hAnsi="Times New Roman" w:cs="Times New Roman"/>
          <w:sz w:val="24"/>
          <w:szCs w:val="24"/>
        </w:rPr>
        <w:t xml:space="preserve"> found that the benefits of diversification </w:t>
      </w:r>
      <w:proofErr w:type="gramStart"/>
      <w:r w:rsidR="002B37C2" w:rsidRPr="00734837">
        <w:rPr>
          <w:rFonts w:ascii="Times New Roman" w:hAnsi="Times New Roman" w:cs="Times New Roman"/>
          <w:sz w:val="24"/>
          <w:szCs w:val="24"/>
        </w:rPr>
        <w:t>are not optimized</w:t>
      </w:r>
      <w:proofErr w:type="gramEnd"/>
      <w:r w:rsidR="002B37C2" w:rsidRPr="00734837">
        <w:rPr>
          <w:rFonts w:ascii="Times New Roman" w:hAnsi="Times New Roman" w:cs="Times New Roman"/>
          <w:sz w:val="24"/>
          <w:szCs w:val="24"/>
        </w:rPr>
        <w:t xml:space="preserve"> when employing this risk (spectral risk)</w:t>
      </w:r>
      <w:r w:rsidR="007B1295" w:rsidRPr="00734837">
        <w:rPr>
          <w:rFonts w:ascii="Times New Roman" w:hAnsi="Times New Roman" w:cs="Times New Roman"/>
          <w:sz w:val="24"/>
          <w:szCs w:val="24"/>
        </w:rPr>
        <w:t xml:space="preserve"> measure since it </w:t>
      </w:r>
      <w:r w:rsidR="002B37C2" w:rsidRPr="00734837">
        <w:rPr>
          <w:rFonts w:ascii="Times New Roman" w:hAnsi="Times New Roman" w:cs="Times New Roman"/>
          <w:sz w:val="24"/>
          <w:szCs w:val="24"/>
        </w:rPr>
        <w:t>deviate</w:t>
      </w:r>
      <w:r w:rsidR="007B1295" w:rsidRPr="00734837">
        <w:rPr>
          <w:rFonts w:ascii="Times New Roman" w:hAnsi="Times New Roman" w:cs="Times New Roman"/>
          <w:sz w:val="24"/>
          <w:szCs w:val="24"/>
        </w:rPr>
        <w:t>s</w:t>
      </w:r>
      <w:r w:rsidR="002B37C2" w:rsidRPr="00734837">
        <w:rPr>
          <w:rFonts w:ascii="Times New Roman" w:hAnsi="Times New Roman" w:cs="Times New Roman"/>
          <w:sz w:val="24"/>
          <w:szCs w:val="24"/>
        </w:rPr>
        <w:t xml:space="preserve"> from the </w:t>
      </w:r>
      <w:r w:rsidR="00E76392" w:rsidRPr="00734837">
        <w:rPr>
          <w:rFonts w:ascii="Times New Roman" w:hAnsi="Times New Roman" w:cs="Times New Roman"/>
          <w:sz w:val="24"/>
          <w:szCs w:val="24"/>
        </w:rPr>
        <w:t>typical</w:t>
      </w:r>
      <w:r w:rsidR="0001416B" w:rsidRPr="00734837">
        <w:rPr>
          <w:rFonts w:ascii="Times New Roman" w:hAnsi="Times New Roman" w:cs="Times New Roman"/>
          <w:sz w:val="24"/>
          <w:szCs w:val="24"/>
        </w:rPr>
        <w:t xml:space="preserve"> trade-off between risk and </w:t>
      </w:r>
      <w:r w:rsidR="002B37C2" w:rsidRPr="00734837">
        <w:rPr>
          <w:rFonts w:ascii="Times New Roman" w:hAnsi="Times New Roman" w:cs="Times New Roman"/>
          <w:sz w:val="24"/>
          <w:szCs w:val="24"/>
        </w:rPr>
        <w:t>expected</w:t>
      </w:r>
      <w:r w:rsidR="0001416B" w:rsidRPr="00734837">
        <w:rPr>
          <w:rFonts w:ascii="Times New Roman" w:hAnsi="Times New Roman" w:cs="Times New Roman"/>
          <w:sz w:val="24"/>
          <w:szCs w:val="24"/>
        </w:rPr>
        <w:t xml:space="preserve"> return </w:t>
      </w:r>
      <w:r w:rsidR="002B37C2" w:rsidRPr="00734837">
        <w:rPr>
          <w:rFonts w:ascii="Times New Roman" w:hAnsi="Times New Roman" w:cs="Times New Roman"/>
          <w:sz w:val="24"/>
          <w:szCs w:val="24"/>
        </w:rPr>
        <w:t xml:space="preserve">captured in Markowitz’s optimization technique. </w:t>
      </w:r>
    </w:p>
    <w:p w:rsidR="00A14790" w:rsidRPr="00734837" w:rsidRDefault="00FF7E2D" w:rsidP="006C1C48">
      <w:pPr>
        <w:spacing w:after="360" w:line="240" w:lineRule="auto"/>
        <w:jc w:val="both"/>
        <w:rPr>
          <w:rFonts w:ascii="Times New Roman" w:eastAsia="MacmillanRoman" w:hAnsi="Times New Roman" w:cs="Times New Roman"/>
          <w:color w:val="000000"/>
          <w:sz w:val="24"/>
          <w:szCs w:val="24"/>
        </w:rPr>
      </w:pPr>
      <w:r w:rsidRPr="00734837">
        <w:rPr>
          <w:rFonts w:ascii="Times New Roman" w:eastAsia="MacmillanRoman" w:hAnsi="Times New Roman" w:cs="Times New Roman"/>
          <w:color w:val="000000"/>
          <w:sz w:val="24"/>
          <w:szCs w:val="24"/>
        </w:rPr>
        <w:t>However,</w:t>
      </w:r>
      <w:r w:rsidR="00A61C4D" w:rsidRPr="00734837">
        <w:rPr>
          <w:rFonts w:ascii="Times New Roman" w:eastAsia="MacmillanRoman" w:hAnsi="Times New Roman" w:cs="Times New Roman"/>
          <w:color w:val="000000"/>
          <w:sz w:val="24"/>
          <w:szCs w:val="24"/>
        </w:rPr>
        <w:t xml:space="preserve"> all</w:t>
      </w:r>
      <w:r w:rsidRPr="00734837">
        <w:rPr>
          <w:rFonts w:ascii="Times New Roman" w:eastAsia="MacmillanRoman" w:hAnsi="Times New Roman" w:cs="Times New Roman"/>
          <w:color w:val="000000"/>
          <w:sz w:val="24"/>
          <w:szCs w:val="24"/>
        </w:rPr>
        <w:t xml:space="preserve"> the studies </w:t>
      </w:r>
      <w:r w:rsidR="00B826DD" w:rsidRPr="00734837">
        <w:rPr>
          <w:rFonts w:ascii="Times New Roman" w:eastAsia="MacmillanRoman" w:hAnsi="Times New Roman" w:cs="Times New Roman"/>
          <w:color w:val="000000"/>
          <w:sz w:val="24"/>
          <w:szCs w:val="24"/>
        </w:rPr>
        <w:t>above focused on</w:t>
      </w:r>
      <w:r w:rsidRPr="00734837">
        <w:rPr>
          <w:rFonts w:ascii="Times New Roman" w:eastAsia="MacmillanRoman" w:hAnsi="Times New Roman" w:cs="Times New Roman"/>
          <w:color w:val="000000"/>
          <w:sz w:val="24"/>
          <w:szCs w:val="24"/>
        </w:rPr>
        <w:t xml:space="preserve"> </w:t>
      </w:r>
      <w:r w:rsidR="00A06246" w:rsidRPr="00734837">
        <w:rPr>
          <w:rFonts w:ascii="Times New Roman" w:eastAsia="MacmillanRoman" w:hAnsi="Times New Roman" w:cs="Times New Roman"/>
          <w:color w:val="000000"/>
          <w:sz w:val="24"/>
          <w:szCs w:val="24"/>
        </w:rPr>
        <w:t xml:space="preserve">the benefits of </w:t>
      </w:r>
      <w:r w:rsidRPr="00734837">
        <w:rPr>
          <w:rFonts w:ascii="Times New Roman" w:eastAsia="MacmillanRoman" w:hAnsi="Times New Roman" w:cs="Times New Roman"/>
          <w:color w:val="000000"/>
          <w:sz w:val="24"/>
          <w:szCs w:val="24"/>
        </w:rPr>
        <w:t>portfolio diversification within a</w:t>
      </w:r>
      <w:r w:rsidR="00407A77" w:rsidRPr="00734837">
        <w:rPr>
          <w:rFonts w:ascii="Times New Roman" w:eastAsia="MacmillanRoman" w:hAnsi="Times New Roman" w:cs="Times New Roman"/>
          <w:color w:val="000000"/>
          <w:sz w:val="24"/>
          <w:szCs w:val="24"/>
        </w:rPr>
        <w:t>n</w:t>
      </w:r>
      <w:r w:rsidRPr="00734837">
        <w:rPr>
          <w:rFonts w:ascii="Times New Roman" w:eastAsia="MacmillanRoman" w:hAnsi="Times New Roman" w:cs="Times New Roman"/>
          <w:color w:val="000000"/>
          <w:sz w:val="24"/>
          <w:szCs w:val="24"/>
        </w:rPr>
        <w:t xml:space="preserve"> economy. T</w:t>
      </w:r>
      <w:r w:rsidR="00407A77" w:rsidRPr="00734837">
        <w:rPr>
          <w:rFonts w:ascii="Times New Roman" w:eastAsia="MacmillanRoman" w:hAnsi="Times New Roman" w:cs="Times New Roman"/>
          <w:color w:val="000000"/>
          <w:sz w:val="24"/>
          <w:szCs w:val="24"/>
        </w:rPr>
        <w:t xml:space="preserve">his is </w:t>
      </w:r>
      <w:proofErr w:type="gramStart"/>
      <w:r w:rsidR="00407A77" w:rsidRPr="00734837">
        <w:rPr>
          <w:rFonts w:ascii="Times New Roman" w:eastAsia="MacmillanRoman" w:hAnsi="Times New Roman" w:cs="Times New Roman"/>
          <w:color w:val="000000"/>
          <w:sz w:val="24"/>
          <w:szCs w:val="24"/>
        </w:rPr>
        <w:t>because,</w:t>
      </w:r>
      <w:proofErr w:type="gramEnd"/>
      <w:r w:rsidR="00407A77" w:rsidRPr="00734837">
        <w:rPr>
          <w:rFonts w:ascii="Times New Roman" w:eastAsia="MacmillanRoman" w:hAnsi="Times New Roman" w:cs="Times New Roman"/>
          <w:color w:val="000000"/>
          <w:sz w:val="24"/>
          <w:szCs w:val="24"/>
        </w:rPr>
        <w:t xml:space="preserve"> practically</w:t>
      </w:r>
      <w:r w:rsidR="00946AE2" w:rsidRPr="00734837">
        <w:rPr>
          <w:rFonts w:ascii="Times New Roman" w:eastAsia="MacmillanRoman" w:hAnsi="Times New Roman" w:cs="Times New Roman"/>
          <w:color w:val="000000"/>
          <w:sz w:val="24"/>
          <w:szCs w:val="24"/>
        </w:rPr>
        <w:t xml:space="preserve"> most investors </w:t>
      </w:r>
      <w:r w:rsidR="00150F05" w:rsidRPr="00734837">
        <w:rPr>
          <w:rFonts w:ascii="Times New Roman" w:eastAsia="MacmillanRoman" w:hAnsi="Times New Roman" w:cs="Times New Roman"/>
          <w:color w:val="000000"/>
          <w:sz w:val="24"/>
          <w:szCs w:val="24"/>
        </w:rPr>
        <w:t xml:space="preserve">prefer local </w:t>
      </w:r>
      <w:r w:rsidRPr="00734837">
        <w:rPr>
          <w:rFonts w:ascii="Times New Roman" w:eastAsia="MacmillanRoman" w:hAnsi="Times New Roman" w:cs="Times New Roman"/>
          <w:color w:val="000000"/>
          <w:sz w:val="24"/>
          <w:szCs w:val="24"/>
        </w:rPr>
        <w:t>invest</w:t>
      </w:r>
      <w:r w:rsidR="00150F05" w:rsidRPr="00734837">
        <w:rPr>
          <w:rFonts w:ascii="Times New Roman" w:eastAsia="MacmillanRoman" w:hAnsi="Times New Roman" w:cs="Times New Roman"/>
          <w:color w:val="000000"/>
          <w:sz w:val="24"/>
          <w:szCs w:val="24"/>
        </w:rPr>
        <w:t>ment to cross border investment</w:t>
      </w:r>
      <w:r w:rsidRPr="00734837">
        <w:rPr>
          <w:rFonts w:ascii="Times New Roman" w:eastAsia="MacmillanRoman" w:hAnsi="Times New Roman" w:cs="Times New Roman"/>
          <w:color w:val="000000"/>
          <w:sz w:val="24"/>
          <w:szCs w:val="24"/>
        </w:rPr>
        <w:t xml:space="preserve"> (</w:t>
      </w:r>
      <w:proofErr w:type="spellStart"/>
      <w:r w:rsidRPr="00734837">
        <w:rPr>
          <w:rFonts w:ascii="Times New Roman" w:eastAsia="MacmillanRoman" w:hAnsi="Times New Roman" w:cs="Times New Roman"/>
          <w:color w:val="000000"/>
          <w:sz w:val="24"/>
          <w:szCs w:val="24"/>
        </w:rPr>
        <w:t>Driessen</w:t>
      </w:r>
      <w:proofErr w:type="spellEnd"/>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w:t>
      </w:r>
      <w:proofErr w:type="spellStart"/>
      <w:r w:rsidRPr="00734837">
        <w:rPr>
          <w:rFonts w:ascii="Times New Roman" w:eastAsia="MacmillanRoman" w:hAnsi="Times New Roman" w:cs="Times New Roman"/>
          <w:color w:val="000000"/>
          <w:sz w:val="24"/>
          <w:szCs w:val="24"/>
        </w:rPr>
        <w:t>Laevan</w:t>
      </w:r>
      <w:proofErr w:type="spellEnd"/>
      <w:r w:rsidRPr="00734837">
        <w:rPr>
          <w:rFonts w:ascii="Times New Roman" w:eastAsia="MacmillanRoman" w:hAnsi="Times New Roman" w:cs="Times New Roman"/>
          <w:color w:val="000000"/>
          <w:sz w:val="24"/>
          <w:szCs w:val="24"/>
        </w:rPr>
        <w:t>, 2007)</w:t>
      </w:r>
      <w:r w:rsidR="00B2031B" w:rsidRPr="00734837">
        <w:rPr>
          <w:rFonts w:ascii="Times New Roman" w:eastAsia="MacmillanRoman" w:hAnsi="Times New Roman" w:cs="Times New Roman"/>
          <w:color w:val="000000"/>
          <w:sz w:val="24"/>
          <w:szCs w:val="24"/>
        </w:rPr>
        <w:t xml:space="preserve">. </w:t>
      </w:r>
      <w:r w:rsidR="00875054" w:rsidRPr="00734837">
        <w:rPr>
          <w:rFonts w:ascii="Times New Roman" w:eastAsia="MacmillanRoman" w:hAnsi="Times New Roman" w:cs="Times New Roman"/>
          <w:color w:val="000000"/>
          <w:sz w:val="24"/>
          <w:szCs w:val="24"/>
        </w:rPr>
        <w:t>S</w:t>
      </w:r>
      <w:r w:rsidR="00A06246" w:rsidRPr="00734837">
        <w:rPr>
          <w:rFonts w:ascii="Times New Roman" w:eastAsia="MacmillanRoman" w:hAnsi="Times New Roman" w:cs="Times New Roman"/>
          <w:color w:val="000000"/>
          <w:sz w:val="24"/>
          <w:szCs w:val="24"/>
        </w:rPr>
        <w:t xml:space="preserve">tudies </w:t>
      </w:r>
      <w:r w:rsidR="00D23E95" w:rsidRPr="00734837">
        <w:rPr>
          <w:rFonts w:ascii="Times New Roman" w:eastAsia="MacmillanRoman" w:hAnsi="Times New Roman" w:cs="Times New Roman"/>
          <w:color w:val="000000"/>
          <w:sz w:val="24"/>
          <w:szCs w:val="24"/>
        </w:rPr>
        <w:t>such as</w:t>
      </w:r>
      <w:r w:rsidR="001C1897" w:rsidRPr="00734837">
        <w:rPr>
          <w:rFonts w:ascii="Times New Roman" w:eastAsia="MacmillanRoman" w:hAnsi="Times New Roman" w:cs="Times New Roman"/>
          <w:color w:val="000000"/>
          <w:sz w:val="24"/>
          <w:szCs w:val="24"/>
        </w:rPr>
        <w:t xml:space="preserve">, that </w:t>
      </w:r>
      <w:r w:rsidR="00875054" w:rsidRPr="00734837">
        <w:rPr>
          <w:rFonts w:ascii="Times New Roman" w:eastAsia="MacmillanRoman" w:hAnsi="Times New Roman" w:cs="Times New Roman"/>
          <w:color w:val="000000"/>
          <w:sz w:val="24"/>
          <w:szCs w:val="24"/>
        </w:rPr>
        <w:t xml:space="preserve">of </w:t>
      </w:r>
      <w:proofErr w:type="spellStart"/>
      <w:r w:rsidR="00146817" w:rsidRPr="00734837">
        <w:rPr>
          <w:rFonts w:ascii="Times New Roman" w:eastAsia="MacmillanRoman" w:hAnsi="Times New Roman" w:cs="Times New Roman"/>
          <w:color w:val="000000"/>
          <w:sz w:val="24"/>
          <w:szCs w:val="24"/>
        </w:rPr>
        <w:t>Miralles</w:t>
      </w:r>
      <w:proofErr w:type="spellEnd"/>
      <w:r w:rsidR="00146817" w:rsidRPr="00734837">
        <w:rPr>
          <w:rFonts w:ascii="Times New Roman" w:eastAsia="MacmillanRoman" w:hAnsi="Times New Roman" w:cs="Times New Roman"/>
          <w:color w:val="000000"/>
          <w:sz w:val="24"/>
          <w:szCs w:val="24"/>
        </w:rPr>
        <w:t xml:space="preserve">-Marcelo, </w:t>
      </w:r>
      <w:proofErr w:type="spellStart"/>
      <w:r w:rsidR="00146817" w:rsidRPr="00734837">
        <w:rPr>
          <w:rFonts w:ascii="Times New Roman" w:eastAsia="MacmillanRoman" w:hAnsi="Times New Roman" w:cs="Times New Roman"/>
          <w:color w:val="000000"/>
          <w:sz w:val="24"/>
          <w:szCs w:val="24"/>
        </w:rPr>
        <w:t>Miralles-Quiros</w:t>
      </w:r>
      <w:proofErr w:type="spellEnd"/>
      <w:r w:rsidR="00E217B9" w:rsidRPr="00734837">
        <w:rPr>
          <w:rFonts w:ascii="Times New Roman" w:eastAsia="MacmillanRoman" w:hAnsi="Times New Roman" w:cs="Times New Roman"/>
          <w:color w:val="000000"/>
          <w:sz w:val="24"/>
          <w:szCs w:val="24"/>
        </w:rPr>
        <w:t>,</w:t>
      </w:r>
      <w:r w:rsidR="00146817" w:rsidRPr="00734837">
        <w:rPr>
          <w:rFonts w:ascii="Times New Roman" w:eastAsia="MacmillanRoman" w:hAnsi="Times New Roman" w:cs="Times New Roman"/>
          <w:color w:val="000000"/>
          <w:sz w:val="24"/>
          <w:szCs w:val="24"/>
        </w:rPr>
        <w:t xml:space="preserve"> and </w:t>
      </w:r>
      <w:proofErr w:type="spellStart"/>
      <w:r w:rsidR="00146817" w:rsidRPr="00734837">
        <w:rPr>
          <w:rFonts w:ascii="Times New Roman" w:eastAsia="MacmillanRoman" w:hAnsi="Times New Roman" w:cs="Times New Roman"/>
          <w:color w:val="000000"/>
          <w:sz w:val="24"/>
          <w:szCs w:val="24"/>
        </w:rPr>
        <w:t>Miralles-Quiros</w:t>
      </w:r>
      <w:proofErr w:type="spellEnd"/>
      <w:r w:rsidR="00146817" w:rsidRPr="00734837">
        <w:rPr>
          <w:rFonts w:ascii="Times New Roman" w:eastAsia="MacmillanRoman" w:hAnsi="Times New Roman" w:cs="Times New Roman"/>
          <w:color w:val="000000"/>
          <w:sz w:val="24"/>
          <w:szCs w:val="24"/>
        </w:rPr>
        <w:t xml:space="preserve"> (2015) as well as </w:t>
      </w:r>
      <w:r w:rsidR="00693D1C" w:rsidRPr="00734837">
        <w:rPr>
          <w:rFonts w:ascii="Times New Roman" w:hAnsi="Times New Roman" w:cs="Times New Roman"/>
          <w:noProof/>
          <w:sz w:val="24"/>
          <w:szCs w:val="24"/>
        </w:rPr>
        <w:t>García-Herrero and Vázquez</w:t>
      </w:r>
      <w:r w:rsidR="00C972C6" w:rsidRPr="00734837">
        <w:rPr>
          <w:rFonts w:ascii="Times New Roman" w:eastAsia="MacmillanRoman" w:hAnsi="Times New Roman" w:cs="Times New Roman"/>
          <w:color w:val="000000"/>
          <w:sz w:val="24"/>
          <w:szCs w:val="24"/>
        </w:rPr>
        <w:t xml:space="preserve"> (2013) </w:t>
      </w:r>
      <w:r w:rsidR="00A06246" w:rsidRPr="00734837">
        <w:rPr>
          <w:rFonts w:ascii="Times New Roman" w:eastAsia="MacmillanRoman" w:hAnsi="Times New Roman" w:cs="Times New Roman"/>
          <w:color w:val="000000"/>
          <w:sz w:val="24"/>
          <w:szCs w:val="24"/>
        </w:rPr>
        <w:t>have</w:t>
      </w:r>
      <w:r w:rsidR="00143329" w:rsidRPr="00734837">
        <w:rPr>
          <w:rFonts w:ascii="Times New Roman" w:eastAsia="MacmillanRoman" w:hAnsi="Times New Roman" w:cs="Times New Roman"/>
          <w:color w:val="000000"/>
          <w:sz w:val="24"/>
          <w:szCs w:val="24"/>
        </w:rPr>
        <w:t xml:space="preserve"> </w:t>
      </w:r>
      <w:r w:rsidR="00B2031B" w:rsidRPr="00734837">
        <w:rPr>
          <w:rFonts w:ascii="Times New Roman" w:eastAsia="MacmillanRoman" w:hAnsi="Times New Roman" w:cs="Times New Roman"/>
          <w:color w:val="000000"/>
          <w:sz w:val="24"/>
          <w:szCs w:val="24"/>
        </w:rPr>
        <w:t>indicated the possible</w:t>
      </w:r>
      <w:r w:rsidR="00A06246" w:rsidRPr="00734837">
        <w:rPr>
          <w:rFonts w:ascii="Times New Roman" w:eastAsia="MacmillanRoman" w:hAnsi="Times New Roman" w:cs="Times New Roman"/>
          <w:color w:val="000000"/>
          <w:sz w:val="24"/>
          <w:szCs w:val="24"/>
        </w:rPr>
        <w:t xml:space="preserve"> benefits of cross-border portfolio diversification when the stock returns of the count</w:t>
      </w:r>
      <w:r w:rsidR="00A61C4D" w:rsidRPr="00734837">
        <w:rPr>
          <w:rFonts w:ascii="Times New Roman" w:eastAsia="MacmillanRoman" w:hAnsi="Times New Roman" w:cs="Times New Roman"/>
          <w:color w:val="000000"/>
          <w:sz w:val="24"/>
          <w:szCs w:val="24"/>
        </w:rPr>
        <w:t xml:space="preserve">ries are not highly correlated. </w:t>
      </w:r>
      <w:proofErr w:type="spellStart"/>
      <w:r w:rsidR="007F4719" w:rsidRPr="00734837">
        <w:rPr>
          <w:rFonts w:ascii="Times New Roman" w:eastAsia="MacmillanRoman" w:hAnsi="Times New Roman" w:cs="Times New Roman"/>
          <w:color w:val="000000"/>
          <w:sz w:val="24"/>
          <w:szCs w:val="24"/>
        </w:rPr>
        <w:t>Mirall</w:t>
      </w:r>
      <w:r w:rsidR="002C5F5F" w:rsidRPr="00734837">
        <w:rPr>
          <w:rFonts w:ascii="Times New Roman" w:eastAsia="MacmillanRoman" w:hAnsi="Times New Roman" w:cs="Times New Roman"/>
          <w:color w:val="000000"/>
          <w:sz w:val="24"/>
          <w:szCs w:val="24"/>
        </w:rPr>
        <w:t>es</w:t>
      </w:r>
      <w:proofErr w:type="spellEnd"/>
      <w:r w:rsidR="002C5F5F" w:rsidRPr="00734837">
        <w:rPr>
          <w:rFonts w:ascii="Times New Roman" w:eastAsia="MacmillanRoman" w:hAnsi="Times New Roman" w:cs="Times New Roman"/>
          <w:color w:val="000000"/>
          <w:sz w:val="24"/>
          <w:szCs w:val="24"/>
        </w:rPr>
        <w:t>-Marcelo et al</w:t>
      </w:r>
      <w:r w:rsidR="00D42291" w:rsidRPr="00734837">
        <w:rPr>
          <w:rFonts w:ascii="Times New Roman" w:eastAsia="MacmillanRoman" w:hAnsi="Times New Roman" w:cs="Times New Roman"/>
          <w:color w:val="000000"/>
          <w:sz w:val="24"/>
          <w:szCs w:val="24"/>
        </w:rPr>
        <w:t>.</w:t>
      </w:r>
      <w:r w:rsidR="002C5F5F" w:rsidRPr="00734837">
        <w:rPr>
          <w:rFonts w:ascii="Times New Roman" w:eastAsia="MacmillanRoman" w:hAnsi="Times New Roman" w:cs="Times New Roman"/>
          <w:color w:val="000000"/>
          <w:sz w:val="24"/>
          <w:szCs w:val="24"/>
        </w:rPr>
        <w:t xml:space="preserve"> (2015) examined how to increase</w:t>
      </w:r>
      <w:r w:rsidR="00802A8C" w:rsidRPr="00734837">
        <w:rPr>
          <w:rFonts w:ascii="Times New Roman" w:eastAsia="MacmillanRoman" w:hAnsi="Times New Roman" w:cs="Times New Roman"/>
          <w:color w:val="000000"/>
          <w:sz w:val="24"/>
          <w:szCs w:val="24"/>
        </w:rPr>
        <w:t xml:space="preserve"> the benefits </w:t>
      </w:r>
      <w:r w:rsidR="00573123" w:rsidRPr="00734837">
        <w:rPr>
          <w:rFonts w:ascii="Times New Roman" w:eastAsia="MacmillanRoman" w:hAnsi="Times New Roman" w:cs="Times New Roman"/>
          <w:color w:val="000000"/>
          <w:sz w:val="24"/>
          <w:szCs w:val="24"/>
        </w:rPr>
        <w:t>and make</w:t>
      </w:r>
      <w:r w:rsidR="00802A8C" w:rsidRPr="00734837">
        <w:rPr>
          <w:rFonts w:ascii="Times New Roman" w:eastAsia="MacmillanRoman" w:hAnsi="Times New Roman" w:cs="Times New Roman"/>
          <w:color w:val="000000"/>
          <w:sz w:val="24"/>
          <w:szCs w:val="24"/>
        </w:rPr>
        <w:t xml:space="preserve"> cross borders diversification </w:t>
      </w:r>
      <w:r w:rsidR="00573123" w:rsidRPr="00734837">
        <w:rPr>
          <w:rFonts w:ascii="Times New Roman" w:eastAsia="MacmillanRoman" w:hAnsi="Times New Roman" w:cs="Times New Roman"/>
          <w:color w:val="000000"/>
          <w:sz w:val="24"/>
          <w:szCs w:val="24"/>
        </w:rPr>
        <w:t>more attractive to</w:t>
      </w:r>
      <w:r w:rsidR="00802A8C" w:rsidRPr="00734837">
        <w:rPr>
          <w:rFonts w:ascii="Times New Roman" w:eastAsia="MacmillanRoman" w:hAnsi="Times New Roman" w:cs="Times New Roman"/>
          <w:color w:val="000000"/>
          <w:sz w:val="24"/>
          <w:szCs w:val="24"/>
        </w:rPr>
        <w:t xml:space="preserve"> prospective US investors</w:t>
      </w:r>
      <w:r w:rsidR="00264DA6" w:rsidRPr="00734837">
        <w:rPr>
          <w:rFonts w:ascii="Times New Roman" w:eastAsia="MacmillanRoman" w:hAnsi="Times New Roman" w:cs="Times New Roman"/>
          <w:color w:val="000000"/>
          <w:sz w:val="24"/>
          <w:szCs w:val="24"/>
        </w:rPr>
        <w:t xml:space="preserve"> using </w:t>
      </w:r>
      <w:r w:rsidR="00C7782D" w:rsidRPr="00734837">
        <w:rPr>
          <w:rFonts w:ascii="Times New Roman" w:eastAsia="MacmillanRoman" w:hAnsi="Times New Roman" w:cs="Times New Roman"/>
          <w:color w:val="000000"/>
          <w:sz w:val="24"/>
          <w:szCs w:val="24"/>
        </w:rPr>
        <w:t>stocks from the Japan, UK and US markets</w:t>
      </w:r>
      <w:r w:rsidR="00802A8C" w:rsidRPr="00734837">
        <w:rPr>
          <w:rFonts w:ascii="Times New Roman" w:eastAsia="MacmillanRoman" w:hAnsi="Times New Roman" w:cs="Times New Roman"/>
          <w:color w:val="000000"/>
          <w:sz w:val="24"/>
          <w:szCs w:val="24"/>
        </w:rPr>
        <w:t>.</w:t>
      </w:r>
      <w:r w:rsidR="002C5F5F" w:rsidRPr="00734837">
        <w:rPr>
          <w:rFonts w:ascii="Times New Roman" w:eastAsia="MacmillanRoman" w:hAnsi="Times New Roman" w:cs="Times New Roman"/>
          <w:color w:val="000000"/>
          <w:sz w:val="24"/>
          <w:szCs w:val="24"/>
        </w:rPr>
        <w:t xml:space="preserve"> </w:t>
      </w:r>
      <w:r w:rsidR="00802A8C" w:rsidRPr="00734837">
        <w:rPr>
          <w:rFonts w:ascii="Times New Roman" w:eastAsia="MacmillanRoman" w:hAnsi="Times New Roman" w:cs="Times New Roman"/>
          <w:color w:val="000000"/>
          <w:sz w:val="24"/>
          <w:szCs w:val="24"/>
        </w:rPr>
        <w:t>They found</w:t>
      </w:r>
      <w:r w:rsidR="00AF1574" w:rsidRPr="00734837">
        <w:rPr>
          <w:rFonts w:ascii="Times New Roman" w:eastAsia="MacmillanRoman" w:hAnsi="Times New Roman" w:cs="Times New Roman"/>
          <w:color w:val="000000"/>
          <w:sz w:val="24"/>
          <w:szCs w:val="24"/>
        </w:rPr>
        <w:t xml:space="preserve"> t</w:t>
      </w:r>
      <w:r w:rsidR="007D54CB" w:rsidRPr="00734837">
        <w:rPr>
          <w:rFonts w:ascii="Times New Roman" w:eastAsia="MacmillanRoman" w:hAnsi="Times New Roman" w:cs="Times New Roman"/>
          <w:color w:val="000000"/>
          <w:sz w:val="24"/>
          <w:szCs w:val="24"/>
        </w:rPr>
        <w:t xml:space="preserve">hat the benefits of cross border portfolio diversifications are more significant and </w:t>
      </w:r>
      <w:r w:rsidR="008232D2" w:rsidRPr="00734837">
        <w:rPr>
          <w:rFonts w:ascii="Times New Roman" w:eastAsia="MacmillanRoman" w:hAnsi="Times New Roman" w:cs="Times New Roman"/>
          <w:color w:val="000000"/>
          <w:sz w:val="24"/>
          <w:szCs w:val="24"/>
        </w:rPr>
        <w:t>realized</w:t>
      </w:r>
      <w:r w:rsidR="007D54CB" w:rsidRPr="00734837">
        <w:rPr>
          <w:rFonts w:ascii="Times New Roman" w:eastAsia="MacmillanRoman" w:hAnsi="Times New Roman" w:cs="Times New Roman"/>
          <w:color w:val="000000"/>
          <w:sz w:val="24"/>
          <w:szCs w:val="24"/>
        </w:rPr>
        <w:t xml:space="preserve"> when investors invest </w:t>
      </w:r>
      <w:r w:rsidR="00785E79" w:rsidRPr="00734837">
        <w:rPr>
          <w:rFonts w:ascii="Times New Roman" w:eastAsia="MacmillanRoman" w:hAnsi="Times New Roman" w:cs="Times New Roman"/>
          <w:color w:val="000000"/>
          <w:sz w:val="24"/>
          <w:szCs w:val="24"/>
        </w:rPr>
        <w:t xml:space="preserve">in </w:t>
      </w:r>
      <w:r w:rsidR="00F34D9A" w:rsidRPr="00734837">
        <w:rPr>
          <w:rFonts w:ascii="Times New Roman" w:eastAsia="MacmillanRoman" w:hAnsi="Times New Roman" w:cs="Times New Roman"/>
          <w:color w:val="000000"/>
          <w:sz w:val="24"/>
          <w:szCs w:val="24"/>
        </w:rPr>
        <w:t xml:space="preserve">the </w:t>
      </w:r>
      <w:r w:rsidR="00785E79" w:rsidRPr="00734837">
        <w:rPr>
          <w:rFonts w:ascii="Times New Roman" w:eastAsia="MacmillanRoman" w:hAnsi="Times New Roman" w:cs="Times New Roman"/>
          <w:color w:val="000000"/>
          <w:sz w:val="24"/>
          <w:szCs w:val="24"/>
        </w:rPr>
        <w:t xml:space="preserve">US </w:t>
      </w:r>
      <w:r w:rsidR="00F34D9A" w:rsidRPr="00734837">
        <w:rPr>
          <w:rFonts w:ascii="Times New Roman" w:eastAsia="MacmillanRoman" w:hAnsi="Times New Roman" w:cs="Times New Roman"/>
          <w:color w:val="000000"/>
          <w:sz w:val="24"/>
          <w:szCs w:val="24"/>
        </w:rPr>
        <w:t>currency (dollar)</w:t>
      </w:r>
      <w:r w:rsidR="00785E79" w:rsidRPr="00734837">
        <w:rPr>
          <w:rFonts w:ascii="Times New Roman" w:eastAsia="MacmillanRoman" w:hAnsi="Times New Roman" w:cs="Times New Roman"/>
          <w:color w:val="000000"/>
          <w:sz w:val="24"/>
          <w:szCs w:val="24"/>
        </w:rPr>
        <w:t xml:space="preserve"> instead of</w:t>
      </w:r>
      <w:r w:rsidR="007D54CB" w:rsidRPr="00734837">
        <w:rPr>
          <w:rFonts w:ascii="Times New Roman" w:eastAsia="MacmillanRoman" w:hAnsi="Times New Roman" w:cs="Times New Roman"/>
          <w:color w:val="000000"/>
          <w:sz w:val="24"/>
          <w:szCs w:val="24"/>
        </w:rPr>
        <w:t xml:space="preserve"> their individual </w:t>
      </w:r>
      <w:r w:rsidR="004505D2" w:rsidRPr="00734837">
        <w:rPr>
          <w:rFonts w:ascii="Times New Roman" w:eastAsia="MacmillanRoman" w:hAnsi="Times New Roman" w:cs="Times New Roman"/>
          <w:color w:val="000000"/>
          <w:sz w:val="24"/>
          <w:szCs w:val="24"/>
        </w:rPr>
        <w:t>countries’</w:t>
      </w:r>
      <w:r w:rsidR="008D29A8" w:rsidRPr="00734837">
        <w:rPr>
          <w:rFonts w:ascii="Times New Roman" w:eastAsia="MacmillanRoman" w:hAnsi="Times New Roman" w:cs="Times New Roman"/>
          <w:color w:val="000000"/>
          <w:sz w:val="24"/>
          <w:szCs w:val="24"/>
        </w:rPr>
        <w:t xml:space="preserve"> </w:t>
      </w:r>
      <w:r w:rsidR="007D54CB" w:rsidRPr="00734837">
        <w:rPr>
          <w:rFonts w:ascii="Times New Roman" w:eastAsia="MacmillanRoman" w:hAnsi="Times New Roman" w:cs="Times New Roman"/>
          <w:color w:val="000000"/>
          <w:sz w:val="24"/>
          <w:szCs w:val="24"/>
        </w:rPr>
        <w:t xml:space="preserve">currencies. </w:t>
      </w:r>
      <w:r w:rsidR="00693D1C" w:rsidRPr="00734837">
        <w:rPr>
          <w:rFonts w:ascii="Times New Roman" w:hAnsi="Times New Roman" w:cs="Times New Roman"/>
          <w:noProof/>
          <w:sz w:val="24"/>
          <w:szCs w:val="24"/>
        </w:rPr>
        <w:t>García-Herrero and Vázquez</w:t>
      </w:r>
      <w:r w:rsidR="00303B30" w:rsidRPr="00734837">
        <w:rPr>
          <w:rFonts w:ascii="Times New Roman" w:eastAsia="MacmillanRoman" w:hAnsi="Times New Roman" w:cs="Times New Roman"/>
          <w:color w:val="000000"/>
          <w:sz w:val="24"/>
          <w:szCs w:val="24"/>
        </w:rPr>
        <w:t xml:space="preserve"> (2013) found that the benefits of diversification are also realized in the banking industry when banks have subsidiaries</w:t>
      </w:r>
      <w:r w:rsidR="00DC6C7B" w:rsidRPr="00734837">
        <w:rPr>
          <w:rFonts w:ascii="Times New Roman" w:eastAsia="MacmillanRoman" w:hAnsi="Times New Roman" w:cs="Times New Roman"/>
          <w:color w:val="000000"/>
          <w:sz w:val="24"/>
          <w:szCs w:val="24"/>
        </w:rPr>
        <w:t xml:space="preserve"> by</w:t>
      </w:r>
      <w:r w:rsidR="0030721E" w:rsidRPr="00734837">
        <w:rPr>
          <w:rFonts w:ascii="Times New Roman" w:eastAsia="MacmillanRoman" w:hAnsi="Times New Roman" w:cs="Times New Roman"/>
          <w:color w:val="000000"/>
          <w:sz w:val="24"/>
          <w:szCs w:val="24"/>
        </w:rPr>
        <w:t xml:space="preserve"> employing a sample of 38 banks from </w:t>
      </w:r>
      <w:proofErr w:type="gramStart"/>
      <w:r w:rsidR="0030721E" w:rsidRPr="00734837">
        <w:rPr>
          <w:rFonts w:ascii="Times New Roman" w:eastAsia="MacmillanRoman" w:hAnsi="Times New Roman" w:cs="Times New Roman"/>
          <w:color w:val="000000"/>
          <w:sz w:val="24"/>
          <w:szCs w:val="24"/>
        </w:rPr>
        <w:t>8</w:t>
      </w:r>
      <w:proofErr w:type="gramEnd"/>
      <w:r w:rsidR="0030721E" w:rsidRPr="00734837">
        <w:rPr>
          <w:rFonts w:ascii="Times New Roman" w:eastAsia="MacmillanRoman" w:hAnsi="Times New Roman" w:cs="Times New Roman"/>
          <w:color w:val="000000"/>
          <w:sz w:val="24"/>
          <w:szCs w:val="24"/>
        </w:rPr>
        <w:t xml:space="preserve"> developed economies (US, UK, Spain, France, Germany, Canada</w:t>
      </w:r>
      <w:r w:rsidR="00085675" w:rsidRPr="00734837">
        <w:rPr>
          <w:rFonts w:ascii="Times New Roman" w:eastAsia="MacmillanRoman" w:hAnsi="Times New Roman" w:cs="Times New Roman"/>
          <w:color w:val="000000"/>
          <w:sz w:val="24"/>
          <w:szCs w:val="24"/>
        </w:rPr>
        <w:t>, Japan and Italy</w:t>
      </w:r>
      <w:r w:rsidR="00AA35FF" w:rsidRPr="00734837">
        <w:rPr>
          <w:rFonts w:ascii="Times New Roman" w:eastAsia="MacmillanRoman" w:hAnsi="Times New Roman" w:cs="Times New Roman"/>
          <w:color w:val="000000"/>
          <w:sz w:val="24"/>
          <w:szCs w:val="24"/>
        </w:rPr>
        <w:t>)</w:t>
      </w:r>
      <w:r w:rsidR="00303B30" w:rsidRPr="00734837">
        <w:rPr>
          <w:rFonts w:ascii="Times New Roman" w:eastAsia="MacmillanRoman" w:hAnsi="Times New Roman" w:cs="Times New Roman"/>
          <w:color w:val="000000"/>
          <w:sz w:val="24"/>
          <w:szCs w:val="24"/>
        </w:rPr>
        <w:t xml:space="preserve">. </w:t>
      </w:r>
      <w:r w:rsidR="0016791B" w:rsidRPr="00734837">
        <w:rPr>
          <w:rFonts w:ascii="Times New Roman" w:eastAsia="MacmillanRoman" w:hAnsi="Times New Roman" w:cs="Times New Roman"/>
          <w:color w:val="000000"/>
          <w:sz w:val="24"/>
          <w:szCs w:val="24"/>
        </w:rPr>
        <w:t>They also found that, subsidiaries of banks situated outside the</w:t>
      </w:r>
      <w:r w:rsidR="00045192" w:rsidRPr="00734837">
        <w:rPr>
          <w:rFonts w:ascii="Times New Roman" w:eastAsia="MacmillanRoman" w:hAnsi="Times New Roman" w:cs="Times New Roman"/>
          <w:color w:val="000000"/>
          <w:sz w:val="24"/>
          <w:szCs w:val="24"/>
        </w:rPr>
        <w:t>ir</w:t>
      </w:r>
      <w:r w:rsidR="0016791B" w:rsidRPr="00734837">
        <w:rPr>
          <w:rFonts w:ascii="Times New Roman" w:eastAsia="MacmillanRoman" w:hAnsi="Times New Roman" w:cs="Times New Roman"/>
          <w:color w:val="000000"/>
          <w:sz w:val="24"/>
          <w:szCs w:val="24"/>
        </w:rPr>
        <w:t xml:space="preserve"> respective home countries</w:t>
      </w:r>
      <w:r w:rsidR="0086377E" w:rsidRPr="00734837">
        <w:rPr>
          <w:rFonts w:ascii="Times New Roman" w:eastAsia="MacmillanRoman" w:hAnsi="Times New Roman" w:cs="Times New Roman"/>
          <w:color w:val="000000"/>
          <w:sz w:val="24"/>
          <w:szCs w:val="24"/>
        </w:rPr>
        <w:t>, specifically developing economies</w:t>
      </w:r>
      <w:r w:rsidR="0016791B" w:rsidRPr="00734837">
        <w:rPr>
          <w:rFonts w:ascii="Times New Roman" w:eastAsia="MacmillanRoman" w:hAnsi="Times New Roman" w:cs="Times New Roman"/>
          <w:color w:val="000000"/>
          <w:sz w:val="24"/>
          <w:szCs w:val="24"/>
        </w:rPr>
        <w:t xml:space="preserve"> tend to offer better risk-expected return trade-offs than their parent banks.</w:t>
      </w:r>
      <w:r w:rsidR="0030721E" w:rsidRPr="00734837">
        <w:rPr>
          <w:rFonts w:ascii="Times New Roman" w:eastAsia="MacmillanRoman" w:hAnsi="Times New Roman" w:cs="Times New Roman"/>
          <w:color w:val="000000"/>
          <w:sz w:val="24"/>
          <w:szCs w:val="24"/>
        </w:rPr>
        <w:t xml:space="preserve"> </w:t>
      </w:r>
      <w:r w:rsidR="0016791B" w:rsidRPr="00734837">
        <w:rPr>
          <w:rFonts w:ascii="Times New Roman" w:eastAsia="MacmillanRoman" w:hAnsi="Times New Roman" w:cs="Times New Roman"/>
          <w:color w:val="000000"/>
          <w:sz w:val="24"/>
          <w:szCs w:val="24"/>
        </w:rPr>
        <w:t>This, therefore further indicates the substantial benefits o</w:t>
      </w:r>
      <w:r w:rsidR="0030721E" w:rsidRPr="00734837">
        <w:rPr>
          <w:rFonts w:ascii="Times New Roman" w:eastAsia="MacmillanRoman" w:hAnsi="Times New Roman" w:cs="Times New Roman"/>
          <w:color w:val="000000"/>
          <w:sz w:val="24"/>
          <w:szCs w:val="24"/>
        </w:rPr>
        <w:t xml:space="preserve">f cross border diversification. </w:t>
      </w:r>
      <w:r w:rsidR="00AA35FF" w:rsidRPr="00734837">
        <w:rPr>
          <w:rFonts w:ascii="Times New Roman" w:eastAsia="MacmillanRoman" w:hAnsi="Times New Roman" w:cs="Times New Roman"/>
          <w:color w:val="000000"/>
          <w:sz w:val="24"/>
          <w:szCs w:val="24"/>
        </w:rPr>
        <w:t xml:space="preserve">Despite, the substantial </w:t>
      </w:r>
      <w:r w:rsidR="007452D9" w:rsidRPr="00734837">
        <w:rPr>
          <w:rFonts w:ascii="Times New Roman" w:eastAsia="MacmillanRoman" w:hAnsi="Times New Roman" w:cs="Times New Roman"/>
          <w:color w:val="000000"/>
          <w:sz w:val="24"/>
          <w:szCs w:val="24"/>
        </w:rPr>
        <w:t xml:space="preserve">studies on the benefits of </w:t>
      </w:r>
      <w:r w:rsidR="002E2FCF" w:rsidRPr="00734837">
        <w:rPr>
          <w:rFonts w:ascii="Times New Roman" w:eastAsia="MacmillanRoman" w:hAnsi="Times New Roman" w:cs="Times New Roman"/>
          <w:color w:val="000000"/>
          <w:sz w:val="24"/>
          <w:szCs w:val="24"/>
        </w:rPr>
        <w:t>portfolio diversificatio</w:t>
      </w:r>
      <w:r w:rsidR="00531C10" w:rsidRPr="00734837">
        <w:rPr>
          <w:rFonts w:ascii="Times New Roman" w:eastAsia="MacmillanRoman" w:hAnsi="Times New Roman" w:cs="Times New Roman"/>
          <w:color w:val="000000"/>
          <w:sz w:val="24"/>
          <w:szCs w:val="24"/>
        </w:rPr>
        <w:t>n within an economy and a few c</w:t>
      </w:r>
      <w:r w:rsidR="002E2FCF" w:rsidRPr="00734837">
        <w:rPr>
          <w:rFonts w:ascii="Times New Roman" w:eastAsia="MacmillanRoman" w:hAnsi="Times New Roman" w:cs="Times New Roman"/>
          <w:color w:val="000000"/>
          <w:sz w:val="24"/>
          <w:szCs w:val="24"/>
        </w:rPr>
        <w:t>ross borders</w:t>
      </w:r>
      <w:r w:rsidR="00AA35FF" w:rsidRPr="00734837">
        <w:rPr>
          <w:rFonts w:ascii="Times New Roman" w:eastAsia="MacmillanRoman" w:hAnsi="Times New Roman" w:cs="Times New Roman"/>
          <w:color w:val="000000"/>
          <w:sz w:val="24"/>
          <w:szCs w:val="24"/>
        </w:rPr>
        <w:t xml:space="preserve">, most of </w:t>
      </w:r>
      <w:r w:rsidR="00D27367" w:rsidRPr="00734837">
        <w:rPr>
          <w:rFonts w:ascii="Times New Roman" w:eastAsia="MacmillanRoman" w:hAnsi="Times New Roman" w:cs="Times New Roman"/>
          <w:color w:val="000000"/>
          <w:sz w:val="24"/>
          <w:szCs w:val="24"/>
        </w:rPr>
        <w:t xml:space="preserve">the samples of </w:t>
      </w:r>
      <w:r w:rsidR="00AA35FF" w:rsidRPr="00734837">
        <w:rPr>
          <w:rFonts w:ascii="Times New Roman" w:eastAsia="MacmillanRoman" w:hAnsi="Times New Roman" w:cs="Times New Roman"/>
          <w:color w:val="000000"/>
          <w:sz w:val="24"/>
          <w:szCs w:val="24"/>
        </w:rPr>
        <w:t>t</w:t>
      </w:r>
      <w:r w:rsidR="002832D7" w:rsidRPr="00734837">
        <w:rPr>
          <w:rFonts w:ascii="Times New Roman" w:eastAsia="MacmillanRoman" w:hAnsi="Times New Roman" w:cs="Times New Roman"/>
          <w:color w:val="000000"/>
          <w:sz w:val="24"/>
          <w:szCs w:val="24"/>
        </w:rPr>
        <w:t xml:space="preserve">hese studies </w:t>
      </w:r>
      <w:proofErr w:type="gramStart"/>
      <w:r w:rsidR="00DA0C23" w:rsidRPr="00734837">
        <w:rPr>
          <w:rFonts w:ascii="Times New Roman" w:eastAsia="MacmillanRoman" w:hAnsi="Times New Roman" w:cs="Times New Roman"/>
          <w:color w:val="000000"/>
          <w:sz w:val="24"/>
          <w:szCs w:val="24"/>
        </w:rPr>
        <w:t xml:space="preserve">focused </w:t>
      </w:r>
      <w:r w:rsidR="00576605" w:rsidRPr="00734837">
        <w:rPr>
          <w:rFonts w:ascii="Times New Roman" w:eastAsia="MacmillanRoman" w:hAnsi="Times New Roman" w:cs="Times New Roman"/>
          <w:color w:val="000000"/>
          <w:sz w:val="24"/>
          <w:szCs w:val="24"/>
        </w:rPr>
        <w:t>either</w:t>
      </w:r>
      <w:proofErr w:type="gramEnd"/>
      <w:r w:rsidR="00576605" w:rsidRPr="00734837">
        <w:rPr>
          <w:rFonts w:ascii="Times New Roman" w:eastAsia="MacmillanRoman" w:hAnsi="Times New Roman" w:cs="Times New Roman"/>
          <w:color w:val="000000"/>
          <w:sz w:val="24"/>
          <w:szCs w:val="24"/>
        </w:rPr>
        <w:t xml:space="preserve"> </w:t>
      </w:r>
      <w:r w:rsidR="00DA0C23" w:rsidRPr="00734837">
        <w:rPr>
          <w:rFonts w:ascii="Times New Roman" w:eastAsia="MacmillanRoman" w:hAnsi="Times New Roman" w:cs="Times New Roman"/>
          <w:color w:val="000000"/>
          <w:sz w:val="24"/>
          <w:szCs w:val="24"/>
        </w:rPr>
        <w:t xml:space="preserve">only on or </w:t>
      </w:r>
      <w:r w:rsidR="00AA35FF" w:rsidRPr="00734837">
        <w:rPr>
          <w:rFonts w:ascii="Times New Roman" w:eastAsia="MacmillanRoman" w:hAnsi="Times New Roman" w:cs="Times New Roman"/>
          <w:color w:val="000000"/>
          <w:sz w:val="24"/>
          <w:szCs w:val="24"/>
        </w:rPr>
        <w:t>dominated by the developed economies</w:t>
      </w:r>
      <w:r w:rsidR="00BD2FC7" w:rsidRPr="00734837">
        <w:rPr>
          <w:rFonts w:ascii="Times New Roman" w:eastAsia="MacmillanRoman" w:hAnsi="Times New Roman" w:cs="Times New Roman"/>
          <w:color w:val="000000"/>
          <w:sz w:val="24"/>
          <w:szCs w:val="24"/>
        </w:rPr>
        <w:t xml:space="preserve"> to the neglect of developing economies</w:t>
      </w:r>
      <w:r w:rsidR="00D83D54" w:rsidRPr="00734837">
        <w:rPr>
          <w:rFonts w:ascii="Times New Roman" w:eastAsia="MacmillanRoman" w:hAnsi="Times New Roman" w:cs="Times New Roman"/>
          <w:color w:val="000000"/>
          <w:sz w:val="24"/>
          <w:szCs w:val="24"/>
        </w:rPr>
        <w:t xml:space="preserve">. For example, </w:t>
      </w:r>
      <w:r w:rsidR="00F4723A" w:rsidRPr="00734837">
        <w:rPr>
          <w:rFonts w:ascii="Times New Roman" w:eastAsia="MacmillanRoman" w:hAnsi="Times New Roman" w:cs="Times New Roman"/>
          <w:color w:val="000000"/>
          <w:sz w:val="24"/>
          <w:szCs w:val="24"/>
        </w:rPr>
        <w:t>Chen</w:t>
      </w:r>
      <w:r w:rsidR="00363F09" w:rsidRPr="00734837">
        <w:rPr>
          <w:rFonts w:ascii="Times New Roman" w:eastAsia="MacmillanRoman" w:hAnsi="Times New Roman" w:cs="Times New Roman"/>
          <w:color w:val="000000"/>
          <w:sz w:val="24"/>
          <w:szCs w:val="24"/>
        </w:rPr>
        <w:t xml:space="preserve"> et al</w:t>
      </w:r>
      <w:r w:rsidR="00D42291" w:rsidRPr="00734837">
        <w:rPr>
          <w:rFonts w:ascii="Times New Roman" w:eastAsia="MacmillanRoman" w:hAnsi="Times New Roman" w:cs="Times New Roman"/>
          <w:color w:val="000000"/>
          <w:sz w:val="24"/>
          <w:szCs w:val="24"/>
        </w:rPr>
        <w:t>.</w:t>
      </w:r>
      <w:r w:rsidR="00363F09" w:rsidRPr="00734837">
        <w:rPr>
          <w:rFonts w:ascii="Times New Roman" w:eastAsia="MacmillanRoman" w:hAnsi="Times New Roman" w:cs="Times New Roman"/>
          <w:color w:val="000000"/>
          <w:sz w:val="24"/>
          <w:szCs w:val="24"/>
        </w:rPr>
        <w:t xml:space="preserve"> (2014) </w:t>
      </w:r>
      <w:r w:rsidR="008232D2" w:rsidRPr="00734837">
        <w:rPr>
          <w:rFonts w:ascii="Times New Roman" w:eastAsia="MacmillanRoman" w:hAnsi="Times New Roman" w:cs="Times New Roman"/>
          <w:color w:val="000000"/>
          <w:sz w:val="24"/>
          <w:szCs w:val="24"/>
        </w:rPr>
        <w:t>modeled</w:t>
      </w:r>
      <w:r w:rsidR="00625073" w:rsidRPr="00734837">
        <w:rPr>
          <w:rFonts w:ascii="Times New Roman" w:eastAsia="MacmillanRoman" w:hAnsi="Times New Roman" w:cs="Times New Roman"/>
          <w:color w:val="000000"/>
          <w:sz w:val="24"/>
          <w:szCs w:val="24"/>
        </w:rPr>
        <w:t xml:space="preserve"> the stock and bond returns of </w:t>
      </w:r>
      <w:proofErr w:type="gramStart"/>
      <w:r w:rsidR="00625073" w:rsidRPr="00734837">
        <w:rPr>
          <w:rFonts w:ascii="Times New Roman" w:eastAsia="MacmillanRoman" w:hAnsi="Times New Roman" w:cs="Times New Roman"/>
          <w:color w:val="000000"/>
          <w:sz w:val="24"/>
          <w:szCs w:val="24"/>
        </w:rPr>
        <w:t>8</w:t>
      </w:r>
      <w:proofErr w:type="gramEnd"/>
      <w:r w:rsidR="00625073" w:rsidRPr="00734837">
        <w:rPr>
          <w:rFonts w:ascii="Times New Roman" w:eastAsia="MacmillanRoman" w:hAnsi="Times New Roman" w:cs="Times New Roman"/>
          <w:color w:val="000000"/>
          <w:sz w:val="24"/>
          <w:szCs w:val="24"/>
        </w:rPr>
        <w:t xml:space="preserve"> developed economies</w:t>
      </w:r>
      <w:r w:rsidR="0031415C" w:rsidRPr="00734837">
        <w:rPr>
          <w:rFonts w:ascii="Times New Roman" w:eastAsia="MacmillanRoman" w:hAnsi="Times New Roman" w:cs="Times New Roman"/>
          <w:color w:val="000000"/>
          <w:sz w:val="24"/>
          <w:szCs w:val="24"/>
        </w:rPr>
        <w:t xml:space="preserve"> (US, UK, Australia, France, Germany, Canada, Japan and Italy)</w:t>
      </w:r>
      <w:r w:rsidR="006F6882" w:rsidRPr="00734837">
        <w:rPr>
          <w:rFonts w:ascii="Times New Roman" w:eastAsia="MacmillanRoman" w:hAnsi="Times New Roman" w:cs="Times New Roman"/>
          <w:color w:val="000000"/>
          <w:sz w:val="24"/>
          <w:szCs w:val="24"/>
        </w:rPr>
        <w:t xml:space="preserve"> </w:t>
      </w:r>
      <w:r w:rsidR="00625073" w:rsidRPr="00734837">
        <w:rPr>
          <w:rFonts w:ascii="Times New Roman" w:eastAsia="MacmillanRoman" w:hAnsi="Times New Roman" w:cs="Times New Roman"/>
          <w:color w:val="000000"/>
          <w:sz w:val="24"/>
          <w:szCs w:val="24"/>
        </w:rPr>
        <w:t>using a semi-parametric copula technique. This model was then used to</w:t>
      </w:r>
      <w:r w:rsidR="00670D3C" w:rsidRPr="00734837">
        <w:rPr>
          <w:rFonts w:ascii="Times New Roman" w:eastAsia="MacmillanRoman" w:hAnsi="Times New Roman" w:cs="Times New Roman"/>
          <w:color w:val="000000"/>
          <w:sz w:val="24"/>
          <w:szCs w:val="24"/>
        </w:rPr>
        <w:t xml:space="preserve"> estimate two </w:t>
      </w:r>
      <w:r w:rsidR="00670D3C" w:rsidRPr="00734837">
        <w:rPr>
          <w:rFonts w:ascii="Times New Roman" w:eastAsia="MacmillanRoman" w:hAnsi="Times New Roman" w:cs="Times New Roman"/>
          <w:color w:val="000000"/>
          <w:sz w:val="24"/>
          <w:szCs w:val="24"/>
        </w:rPr>
        <w:lastRenderedPageBreak/>
        <w:t>risk measures (expected shortfall and value at risk) in</w:t>
      </w:r>
      <w:r w:rsidR="00180900" w:rsidRPr="00734837">
        <w:rPr>
          <w:rFonts w:ascii="Times New Roman" w:eastAsia="MacmillanRoman" w:hAnsi="Times New Roman" w:cs="Times New Roman"/>
          <w:color w:val="000000"/>
          <w:sz w:val="24"/>
          <w:szCs w:val="24"/>
        </w:rPr>
        <w:t xml:space="preserve"> </w:t>
      </w:r>
      <w:r w:rsidR="00670D3C" w:rsidRPr="00734837">
        <w:rPr>
          <w:rFonts w:ascii="Times New Roman" w:eastAsia="MacmillanRoman" w:hAnsi="Times New Roman" w:cs="Times New Roman"/>
          <w:color w:val="000000"/>
          <w:sz w:val="24"/>
          <w:szCs w:val="24"/>
        </w:rPr>
        <w:t xml:space="preserve">order to </w:t>
      </w:r>
      <w:r w:rsidR="00101D2B" w:rsidRPr="00734837">
        <w:rPr>
          <w:rFonts w:ascii="Times New Roman" w:eastAsia="MacmillanRoman" w:hAnsi="Times New Roman" w:cs="Times New Roman"/>
          <w:color w:val="000000"/>
          <w:sz w:val="24"/>
          <w:szCs w:val="24"/>
        </w:rPr>
        <w:t xml:space="preserve">construct </w:t>
      </w:r>
      <w:r w:rsidR="00472B41" w:rsidRPr="00734837">
        <w:rPr>
          <w:rFonts w:ascii="Times New Roman" w:eastAsia="MacmillanRoman" w:hAnsi="Times New Roman" w:cs="Times New Roman"/>
          <w:color w:val="000000"/>
          <w:sz w:val="24"/>
          <w:szCs w:val="24"/>
        </w:rPr>
        <w:t xml:space="preserve">diversified </w:t>
      </w:r>
      <w:r w:rsidR="00625073" w:rsidRPr="00734837">
        <w:rPr>
          <w:rFonts w:ascii="Times New Roman" w:eastAsia="MacmillanRoman" w:hAnsi="Times New Roman" w:cs="Times New Roman"/>
          <w:color w:val="000000"/>
          <w:sz w:val="24"/>
          <w:szCs w:val="24"/>
        </w:rPr>
        <w:t>portfolio</w:t>
      </w:r>
      <w:r w:rsidR="00101D2B" w:rsidRPr="00734837">
        <w:rPr>
          <w:rFonts w:ascii="Times New Roman" w:eastAsia="MacmillanRoman" w:hAnsi="Times New Roman" w:cs="Times New Roman"/>
          <w:color w:val="000000"/>
          <w:sz w:val="24"/>
          <w:szCs w:val="24"/>
        </w:rPr>
        <w:t>s</w:t>
      </w:r>
      <w:r w:rsidR="00625073" w:rsidRPr="00734837">
        <w:rPr>
          <w:rFonts w:ascii="Times New Roman" w:eastAsia="MacmillanRoman" w:hAnsi="Times New Roman" w:cs="Times New Roman"/>
          <w:color w:val="000000"/>
          <w:sz w:val="24"/>
          <w:szCs w:val="24"/>
        </w:rPr>
        <w:t xml:space="preserve"> </w:t>
      </w:r>
      <w:r w:rsidR="00101D2B" w:rsidRPr="00734837">
        <w:rPr>
          <w:rFonts w:ascii="Times New Roman" w:eastAsia="MacmillanRoman" w:hAnsi="Times New Roman" w:cs="Times New Roman"/>
          <w:color w:val="000000"/>
          <w:sz w:val="24"/>
          <w:szCs w:val="24"/>
        </w:rPr>
        <w:t xml:space="preserve">across the two asset classes. </w:t>
      </w:r>
    </w:p>
    <w:p w:rsidR="00AC0A64" w:rsidRPr="00734837" w:rsidRDefault="005003FB" w:rsidP="008F5C4E">
      <w:pPr>
        <w:pStyle w:val="Heading1"/>
        <w:numPr>
          <w:ilvl w:val="0"/>
          <w:numId w:val="5"/>
        </w:numPr>
        <w:spacing w:line="240" w:lineRule="auto"/>
        <w:jc w:val="left"/>
        <w:rPr>
          <w:rFonts w:cs="Times New Roman"/>
          <w:noProof/>
        </w:rPr>
      </w:pPr>
      <w:bookmarkStart w:id="4" w:name="_Toc423924928"/>
      <w:r w:rsidRPr="00734837">
        <w:rPr>
          <w:rFonts w:cs="Times New Roman"/>
          <w:noProof/>
        </w:rPr>
        <w:t xml:space="preserve">SOURCE OF DATA  AND </w:t>
      </w:r>
      <w:r w:rsidR="00223031" w:rsidRPr="00734837">
        <w:rPr>
          <w:rFonts w:cs="Times New Roman"/>
          <w:noProof/>
        </w:rPr>
        <w:t>METHODOLOGY</w:t>
      </w:r>
      <w:bookmarkEnd w:id="4"/>
      <w:r w:rsidR="00223031" w:rsidRPr="00734837">
        <w:rPr>
          <w:rFonts w:cs="Times New Roman"/>
          <w:noProof/>
        </w:rPr>
        <w:t xml:space="preserve"> </w:t>
      </w:r>
      <w:r w:rsidR="006D6521" w:rsidRPr="00734837">
        <w:rPr>
          <w:rFonts w:cs="Times New Roman"/>
          <w:noProof/>
        </w:rPr>
        <w:t xml:space="preserve"> </w:t>
      </w:r>
    </w:p>
    <w:p w:rsidR="00AC0A64" w:rsidRPr="00734837" w:rsidRDefault="00AC0A64" w:rsidP="00642346">
      <w:pPr>
        <w:spacing w:after="360"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t xml:space="preserve">The </w:t>
      </w:r>
      <w:r w:rsidR="008232D2" w:rsidRPr="00734837">
        <w:rPr>
          <w:rFonts w:ascii="Times New Roman" w:hAnsi="Times New Roman" w:cs="Times New Roman"/>
          <w:noProof/>
          <w:sz w:val="24"/>
          <w:szCs w:val="24"/>
        </w:rPr>
        <w:t xml:space="preserve">study formulates an optimized portfolio across eleven African stock markets (Cote D’Ivoire, Mauritius, Kenya, Nigeria, </w:t>
      </w:r>
      <w:r w:rsidR="008232D2" w:rsidRPr="00734837">
        <w:rPr>
          <w:rFonts w:ascii="Times New Roman" w:hAnsi="Times New Roman" w:cs="Times New Roman"/>
          <w:sz w:val="24"/>
          <w:szCs w:val="24"/>
        </w:rPr>
        <w:t xml:space="preserve">Tunisia, South Africa, Morocco, Botswana, Ghana, Namibia and Zambia) </w:t>
      </w:r>
      <w:r w:rsidR="008232D2" w:rsidRPr="00734837">
        <w:rPr>
          <w:rFonts w:ascii="Times New Roman" w:hAnsi="Times New Roman" w:cs="Times New Roman"/>
          <w:noProof/>
          <w:sz w:val="24"/>
          <w:szCs w:val="24"/>
        </w:rPr>
        <w:t>by employing the Makowitz Portfolio Optimization technique and compares</w:t>
      </w:r>
      <w:r w:rsidRPr="00734837">
        <w:rPr>
          <w:rFonts w:ascii="Times New Roman" w:hAnsi="Times New Roman" w:cs="Times New Roman"/>
          <w:noProof/>
          <w:sz w:val="24"/>
          <w:szCs w:val="24"/>
        </w:rPr>
        <w:t xml:space="preserve"> it to that of the S</w:t>
      </w:r>
      <w:r w:rsidR="00693D1C" w:rsidRPr="00734837">
        <w:rPr>
          <w:rFonts w:ascii="Times New Roman" w:hAnsi="Times New Roman" w:cs="Times New Roman"/>
          <w:noProof/>
          <w:sz w:val="24"/>
          <w:szCs w:val="24"/>
        </w:rPr>
        <w:t>and</w:t>
      </w:r>
      <w:r w:rsidRPr="00734837">
        <w:rPr>
          <w:rFonts w:ascii="Times New Roman" w:hAnsi="Times New Roman" w:cs="Times New Roman"/>
          <w:noProof/>
          <w:sz w:val="24"/>
          <w:szCs w:val="24"/>
        </w:rPr>
        <w:t xml:space="preserve">P Dow Jones portfolio. Pairwise correlations </w:t>
      </w:r>
      <w:r w:rsidR="00295C52" w:rsidRPr="00734837">
        <w:rPr>
          <w:rFonts w:ascii="Times New Roman" w:hAnsi="Times New Roman" w:cs="Times New Roman"/>
          <w:noProof/>
          <w:sz w:val="24"/>
          <w:szCs w:val="24"/>
        </w:rPr>
        <w:t>are constructed</w:t>
      </w:r>
      <w:r w:rsidRPr="00734837">
        <w:rPr>
          <w:rFonts w:ascii="Times New Roman" w:hAnsi="Times New Roman" w:cs="Times New Roman"/>
          <w:noProof/>
          <w:sz w:val="24"/>
          <w:szCs w:val="24"/>
        </w:rPr>
        <w:t xml:space="preserve"> to check for the correlations among the eleven </w:t>
      </w:r>
      <w:r w:rsidR="00295C52" w:rsidRPr="00734837">
        <w:rPr>
          <w:rFonts w:ascii="Times New Roman" w:hAnsi="Times New Roman" w:cs="Times New Roman"/>
          <w:noProof/>
          <w:sz w:val="24"/>
          <w:szCs w:val="24"/>
        </w:rPr>
        <w:t>stocks</w:t>
      </w:r>
      <w:r w:rsidRPr="00734837">
        <w:rPr>
          <w:rFonts w:ascii="Times New Roman" w:hAnsi="Times New Roman" w:cs="Times New Roman"/>
          <w:noProof/>
          <w:sz w:val="24"/>
          <w:szCs w:val="24"/>
        </w:rPr>
        <w:t xml:space="preserve">. The correlation matrix is constructed in order to check if there exist low and negative correlations among the </w:t>
      </w:r>
      <w:r w:rsidR="00C07411" w:rsidRPr="00734837">
        <w:rPr>
          <w:rFonts w:ascii="Times New Roman" w:hAnsi="Times New Roman" w:cs="Times New Roman"/>
          <w:noProof/>
          <w:sz w:val="24"/>
          <w:szCs w:val="24"/>
        </w:rPr>
        <w:t xml:space="preserve">markets. It </w:t>
      </w:r>
      <w:r w:rsidRPr="00734837">
        <w:rPr>
          <w:rFonts w:ascii="Times New Roman" w:hAnsi="Times New Roman" w:cs="Times New Roman"/>
          <w:noProof/>
          <w:sz w:val="24"/>
          <w:szCs w:val="24"/>
        </w:rPr>
        <w:t>mentioned</w:t>
      </w:r>
      <w:r w:rsidR="00C07411" w:rsidRPr="00734837">
        <w:rPr>
          <w:rFonts w:ascii="Times New Roman" w:hAnsi="Times New Roman" w:cs="Times New Roman"/>
          <w:noProof/>
          <w:sz w:val="24"/>
          <w:szCs w:val="24"/>
        </w:rPr>
        <w:t xml:space="preserve"> earlier</w:t>
      </w:r>
      <w:r w:rsidRPr="00734837">
        <w:rPr>
          <w:rFonts w:ascii="Times New Roman" w:hAnsi="Times New Roman" w:cs="Times New Roman"/>
          <w:noProof/>
          <w:sz w:val="24"/>
          <w:szCs w:val="24"/>
        </w:rPr>
        <w:t xml:space="preserve"> that in order to benefit from international and portfolio diversification, there should be low and possibly negative correlation </w:t>
      </w:r>
      <w:r w:rsidR="00295C52" w:rsidRPr="00734837">
        <w:rPr>
          <w:rFonts w:ascii="Times New Roman" w:hAnsi="Times New Roman" w:cs="Times New Roman"/>
          <w:noProof/>
          <w:sz w:val="24"/>
          <w:szCs w:val="24"/>
        </w:rPr>
        <w:t>between</w:t>
      </w:r>
      <w:r w:rsidRPr="00734837">
        <w:rPr>
          <w:rFonts w:ascii="Times New Roman" w:hAnsi="Times New Roman" w:cs="Times New Roman"/>
          <w:noProof/>
          <w:sz w:val="24"/>
          <w:szCs w:val="24"/>
        </w:rPr>
        <w:t xml:space="preserve"> stock returns of </w:t>
      </w:r>
      <w:r w:rsidR="00295C52" w:rsidRPr="00734837">
        <w:rPr>
          <w:rFonts w:ascii="Times New Roman" w:hAnsi="Times New Roman" w:cs="Times New Roman"/>
          <w:noProof/>
          <w:sz w:val="24"/>
          <w:szCs w:val="24"/>
        </w:rPr>
        <w:t>the markets</w:t>
      </w:r>
      <w:r w:rsidRPr="00734837">
        <w:rPr>
          <w:rFonts w:ascii="Times New Roman" w:hAnsi="Times New Roman" w:cs="Times New Roman"/>
          <w:noProof/>
          <w:sz w:val="24"/>
          <w:szCs w:val="24"/>
        </w:rPr>
        <w:t xml:space="preserve"> (Gerstner, Griebel, Holtz, Goschnick</w:t>
      </w:r>
      <w:r w:rsidR="00A56959" w:rsidRPr="00734837">
        <w:rPr>
          <w:rFonts w:ascii="Times New Roman" w:hAnsi="Times New Roman" w:cs="Times New Roman"/>
          <w:noProof/>
          <w:sz w:val="24"/>
          <w:szCs w:val="24"/>
        </w:rPr>
        <w:t>,</w:t>
      </w:r>
      <w:r w:rsidRPr="00734837">
        <w:rPr>
          <w:rFonts w:ascii="Times New Roman" w:hAnsi="Times New Roman" w:cs="Times New Roman"/>
          <w:noProof/>
          <w:sz w:val="24"/>
          <w:szCs w:val="24"/>
        </w:rPr>
        <w:t xml:space="preserve"> </w:t>
      </w:r>
      <w:r w:rsidR="00693D1C" w:rsidRPr="00734837">
        <w:rPr>
          <w:rFonts w:ascii="Times New Roman" w:hAnsi="Times New Roman" w:cs="Times New Roman"/>
          <w:noProof/>
          <w:sz w:val="24"/>
          <w:szCs w:val="24"/>
        </w:rPr>
        <w:t>and</w:t>
      </w:r>
      <w:r w:rsidRPr="00734837">
        <w:rPr>
          <w:rFonts w:ascii="Times New Roman" w:hAnsi="Times New Roman" w:cs="Times New Roman"/>
          <w:noProof/>
          <w:sz w:val="24"/>
          <w:szCs w:val="24"/>
        </w:rPr>
        <w:t xml:space="preserve"> Haep, 2008). </w:t>
      </w:r>
      <w:r w:rsidR="00C07411" w:rsidRPr="00734837">
        <w:rPr>
          <w:rFonts w:ascii="Times New Roman" w:hAnsi="Times New Roman" w:cs="Times New Roman"/>
          <w:noProof/>
          <w:sz w:val="24"/>
          <w:szCs w:val="24"/>
        </w:rPr>
        <w:t>T</w:t>
      </w:r>
      <w:r w:rsidRPr="00734837">
        <w:rPr>
          <w:rFonts w:ascii="Times New Roman" w:hAnsi="Times New Roman" w:cs="Times New Roman"/>
          <w:noProof/>
          <w:color w:val="000000"/>
          <w:sz w:val="24"/>
          <w:szCs w:val="24"/>
        </w:rPr>
        <w:t xml:space="preserve">o construct an optimal portfolio, there is the need to gather information on dividend-adjusted market returns and treasury bill rates of the countries under consideration. Market indices are sourced from </w:t>
      </w:r>
      <w:r w:rsidR="00C928FB" w:rsidRPr="00734837">
        <w:rPr>
          <w:rFonts w:ascii="Times New Roman" w:hAnsi="Times New Roman" w:cs="Times New Roman"/>
          <w:noProof/>
          <w:color w:val="000000"/>
          <w:sz w:val="24"/>
          <w:szCs w:val="24"/>
        </w:rPr>
        <w:t>the Thomson Reuters Datastream database</w:t>
      </w:r>
      <w:r w:rsidR="009D2F0C" w:rsidRPr="00734837">
        <w:rPr>
          <w:rFonts w:ascii="Times New Roman" w:hAnsi="Times New Roman" w:cs="Times New Roman"/>
          <w:noProof/>
          <w:color w:val="000000"/>
          <w:sz w:val="24"/>
          <w:szCs w:val="24"/>
        </w:rPr>
        <w:t xml:space="preserve"> and </w:t>
      </w:r>
      <w:r w:rsidRPr="00734837">
        <w:rPr>
          <w:rFonts w:ascii="Times New Roman" w:hAnsi="Times New Roman" w:cs="Times New Roman"/>
          <w:noProof/>
          <w:color w:val="000000"/>
          <w:sz w:val="24"/>
          <w:szCs w:val="24"/>
        </w:rPr>
        <w:t xml:space="preserve">computed by Standard and Poor’s. Standard and Poor’s  has been considered to be one of </w:t>
      </w:r>
      <w:r w:rsidR="00C928FB" w:rsidRPr="00734837">
        <w:rPr>
          <w:rFonts w:ascii="Times New Roman" w:hAnsi="Times New Roman" w:cs="Times New Roman"/>
          <w:noProof/>
          <w:color w:val="000000"/>
          <w:sz w:val="24"/>
          <w:szCs w:val="24"/>
        </w:rPr>
        <w:t xml:space="preserve">the </w:t>
      </w:r>
      <w:r w:rsidRPr="00734837">
        <w:rPr>
          <w:rFonts w:ascii="Times New Roman" w:hAnsi="Times New Roman" w:cs="Times New Roman"/>
          <w:noProof/>
          <w:color w:val="000000"/>
          <w:sz w:val="24"/>
          <w:szCs w:val="24"/>
        </w:rPr>
        <w:t>larg</w:t>
      </w:r>
      <w:r w:rsidR="006F5A82" w:rsidRPr="00734837">
        <w:rPr>
          <w:rFonts w:ascii="Times New Roman" w:hAnsi="Times New Roman" w:cs="Times New Roman"/>
          <w:noProof/>
          <w:color w:val="000000"/>
          <w:sz w:val="24"/>
          <w:szCs w:val="24"/>
        </w:rPr>
        <w:t>est source of indices on</w:t>
      </w:r>
      <w:r w:rsidRPr="00734837">
        <w:rPr>
          <w:rFonts w:ascii="Times New Roman" w:hAnsi="Times New Roman" w:cs="Times New Roman"/>
          <w:noProof/>
          <w:color w:val="000000"/>
          <w:sz w:val="24"/>
          <w:szCs w:val="24"/>
        </w:rPr>
        <w:t xml:space="preserve"> capital markets across the globe</w:t>
      </w:r>
      <w:r w:rsidR="009D2F0C" w:rsidRPr="00734837">
        <w:rPr>
          <w:rFonts w:ascii="Times New Roman" w:hAnsi="Times New Roman" w:cs="Times New Roman"/>
          <w:noProof/>
          <w:color w:val="000000"/>
          <w:sz w:val="24"/>
          <w:szCs w:val="24"/>
        </w:rPr>
        <w:t xml:space="preserve">. It gathers </w:t>
      </w:r>
      <w:r w:rsidRPr="00734837">
        <w:rPr>
          <w:rFonts w:ascii="Times New Roman" w:hAnsi="Times New Roman" w:cs="Times New Roman"/>
          <w:noProof/>
          <w:color w:val="000000"/>
          <w:sz w:val="24"/>
          <w:szCs w:val="24"/>
        </w:rPr>
        <w:t xml:space="preserve">daily, weekly and monthly stock indices globally. </w:t>
      </w:r>
      <w:r w:rsidR="00BD6064" w:rsidRPr="00734837">
        <w:rPr>
          <w:rFonts w:ascii="Times New Roman" w:hAnsi="Times New Roman" w:cs="Times New Roman"/>
          <w:noProof/>
          <w:color w:val="000000"/>
          <w:sz w:val="24"/>
          <w:szCs w:val="24"/>
        </w:rPr>
        <w:t>Treasury bill rate</w:t>
      </w:r>
      <w:r w:rsidR="007E1DC5" w:rsidRPr="00734837">
        <w:rPr>
          <w:rFonts w:ascii="Times New Roman" w:hAnsi="Times New Roman" w:cs="Times New Roman"/>
          <w:noProof/>
          <w:color w:val="000000"/>
          <w:sz w:val="24"/>
          <w:szCs w:val="24"/>
        </w:rPr>
        <w:t xml:space="preserve"> is</w:t>
      </w:r>
      <w:r w:rsidR="00BD6064" w:rsidRPr="00734837">
        <w:rPr>
          <w:rFonts w:ascii="Times New Roman" w:hAnsi="Times New Roman" w:cs="Times New Roman"/>
          <w:noProof/>
          <w:color w:val="000000"/>
          <w:sz w:val="24"/>
          <w:szCs w:val="24"/>
        </w:rPr>
        <w:t xml:space="preserve"> used as a proxy for th</w:t>
      </w:r>
      <w:r w:rsidR="009F1938" w:rsidRPr="00734837">
        <w:rPr>
          <w:rFonts w:ascii="Times New Roman" w:hAnsi="Times New Roman" w:cs="Times New Roman"/>
          <w:noProof/>
          <w:color w:val="000000"/>
          <w:sz w:val="24"/>
          <w:szCs w:val="24"/>
        </w:rPr>
        <w:t>e risk</w:t>
      </w:r>
      <w:r w:rsidR="0063055A" w:rsidRPr="00734837">
        <w:rPr>
          <w:rFonts w:ascii="Times New Roman" w:hAnsi="Times New Roman" w:cs="Times New Roman"/>
          <w:noProof/>
          <w:color w:val="000000"/>
          <w:sz w:val="24"/>
          <w:szCs w:val="24"/>
        </w:rPr>
        <w:t>-</w:t>
      </w:r>
      <w:r w:rsidR="009F1938" w:rsidRPr="00734837">
        <w:rPr>
          <w:rFonts w:ascii="Times New Roman" w:hAnsi="Times New Roman" w:cs="Times New Roman"/>
          <w:noProof/>
          <w:color w:val="000000"/>
          <w:sz w:val="24"/>
          <w:szCs w:val="24"/>
        </w:rPr>
        <w:t>free asset in the</w:t>
      </w:r>
      <w:r w:rsidR="00BD6064" w:rsidRPr="00734837">
        <w:rPr>
          <w:rFonts w:ascii="Times New Roman" w:hAnsi="Times New Roman" w:cs="Times New Roman"/>
          <w:noProof/>
          <w:color w:val="000000"/>
          <w:sz w:val="24"/>
          <w:szCs w:val="24"/>
        </w:rPr>
        <w:t xml:space="preserve"> study. </w:t>
      </w:r>
      <w:r w:rsidR="00CF4F1F" w:rsidRPr="00734837">
        <w:rPr>
          <w:rFonts w:ascii="Times New Roman" w:hAnsi="Times New Roman" w:cs="Times New Roman"/>
          <w:noProof/>
          <w:color w:val="000000"/>
          <w:sz w:val="24"/>
          <w:szCs w:val="24"/>
        </w:rPr>
        <w:t>The treasury bill rates</w:t>
      </w:r>
      <w:r w:rsidR="0084110C" w:rsidRPr="00734837">
        <w:rPr>
          <w:rFonts w:ascii="Times New Roman" w:hAnsi="Times New Roman" w:cs="Times New Roman"/>
          <w:noProof/>
          <w:color w:val="000000"/>
          <w:sz w:val="24"/>
          <w:szCs w:val="24"/>
        </w:rPr>
        <w:t xml:space="preserve"> </w:t>
      </w:r>
      <w:r w:rsidR="00232A11" w:rsidRPr="00734837">
        <w:rPr>
          <w:rFonts w:ascii="Times New Roman" w:hAnsi="Times New Roman" w:cs="Times New Roman"/>
          <w:noProof/>
          <w:color w:val="000000"/>
          <w:sz w:val="24"/>
          <w:szCs w:val="24"/>
        </w:rPr>
        <w:t xml:space="preserve">were </w:t>
      </w:r>
      <w:r w:rsidR="00000411" w:rsidRPr="00734837">
        <w:rPr>
          <w:rFonts w:ascii="Times New Roman" w:hAnsi="Times New Roman" w:cs="Times New Roman"/>
          <w:noProof/>
          <w:color w:val="000000"/>
          <w:sz w:val="24"/>
          <w:szCs w:val="24"/>
        </w:rPr>
        <w:t xml:space="preserve">derived from the World Development Indicators database. These are computed as </w:t>
      </w:r>
      <w:r w:rsidRPr="00734837">
        <w:rPr>
          <w:rFonts w:ascii="Times New Roman" w:hAnsi="Times New Roman" w:cs="Times New Roman"/>
          <w:noProof/>
          <w:color w:val="000000"/>
          <w:sz w:val="24"/>
          <w:szCs w:val="24"/>
        </w:rPr>
        <w:t xml:space="preserve">the difference between the yearly lending rates and risk premiums </w:t>
      </w:r>
      <w:r w:rsidR="00EA47E1" w:rsidRPr="00734837">
        <w:rPr>
          <w:rFonts w:ascii="Times New Roman" w:hAnsi="Times New Roman" w:cs="Times New Roman"/>
          <w:noProof/>
          <w:color w:val="000000"/>
          <w:sz w:val="24"/>
          <w:szCs w:val="24"/>
        </w:rPr>
        <w:t>on</w:t>
      </w:r>
      <w:r w:rsidRPr="00734837">
        <w:rPr>
          <w:rFonts w:ascii="Times New Roman" w:hAnsi="Times New Roman" w:cs="Times New Roman"/>
          <w:noProof/>
          <w:color w:val="000000"/>
          <w:sz w:val="24"/>
          <w:szCs w:val="24"/>
        </w:rPr>
        <w:t xml:space="preserve"> each of the eleven countries. This method is used in obtaining the treasury bill rates since it may be  difficult to obtain the treasury bill rates for all </w:t>
      </w:r>
      <w:r w:rsidR="006F5A82" w:rsidRPr="00734837">
        <w:rPr>
          <w:rFonts w:ascii="Times New Roman" w:hAnsi="Times New Roman" w:cs="Times New Roman"/>
          <w:noProof/>
          <w:color w:val="000000"/>
          <w:sz w:val="24"/>
          <w:szCs w:val="24"/>
        </w:rPr>
        <w:t xml:space="preserve">the </w:t>
      </w:r>
      <w:r w:rsidRPr="00734837">
        <w:rPr>
          <w:rFonts w:ascii="Times New Roman" w:hAnsi="Times New Roman" w:cs="Times New Roman"/>
          <w:noProof/>
          <w:color w:val="000000"/>
          <w:sz w:val="24"/>
          <w:szCs w:val="24"/>
        </w:rPr>
        <w:t>eleven countries directly. Hence, for uniformity and prevention of bias this technique is employed.</w:t>
      </w:r>
    </w:p>
    <w:p w:rsidR="00AC0A64" w:rsidRPr="00734837" w:rsidRDefault="00AC0A64" w:rsidP="00AF6978">
      <w:pPr>
        <w:spacing w:line="240" w:lineRule="auto"/>
        <w:jc w:val="both"/>
        <w:rPr>
          <w:rFonts w:ascii="Times New Roman" w:hAnsi="Times New Roman" w:cs="Times New Roman"/>
          <w:noProof/>
          <w:sz w:val="24"/>
          <w:szCs w:val="24"/>
        </w:rPr>
      </w:pPr>
      <w:r w:rsidRPr="00734837">
        <w:rPr>
          <w:rFonts w:ascii="Times New Roman" w:hAnsi="Times New Roman" w:cs="Times New Roman"/>
          <w:noProof/>
          <w:color w:val="000000"/>
          <w:sz w:val="24"/>
          <w:szCs w:val="24"/>
        </w:rPr>
        <w:t xml:space="preserve">The </w:t>
      </w:r>
      <w:r w:rsidR="00191BC8" w:rsidRPr="00734837">
        <w:rPr>
          <w:rFonts w:ascii="Times New Roman" w:hAnsi="Times New Roman" w:cs="Times New Roman"/>
          <w:noProof/>
          <w:sz w:val="24"/>
          <w:szCs w:val="24"/>
        </w:rPr>
        <w:t>data is monthly price data between the years</w:t>
      </w:r>
      <w:r w:rsidRPr="00734837">
        <w:rPr>
          <w:rFonts w:ascii="Times New Roman" w:hAnsi="Times New Roman" w:cs="Times New Roman"/>
          <w:noProof/>
          <w:sz w:val="24"/>
          <w:szCs w:val="24"/>
        </w:rPr>
        <w:t xml:space="preserve"> 2000 and 2014</w:t>
      </w:r>
      <w:r w:rsidR="00191BC8" w:rsidRPr="00734837">
        <w:rPr>
          <w:rFonts w:ascii="Times New Roman" w:hAnsi="Times New Roman" w:cs="Times New Roman"/>
          <w:noProof/>
          <w:sz w:val="24"/>
          <w:szCs w:val="24"/>
        </w:rPr>
        <w:t>.</w:t>
      </w:r>
      <w:r w:rsidR="006E0DAE" w:rsidRPr="00734837">
        <w:rPr>
          <w:rFonts w:ascii="Times New Roman" w:hAnsi="Times New Roman" w:cs="Times New Roman"/>
          <w:noProof/>
          <w:sz w:val="24"/>
          <w:szCs w:val="24"/>
        </w:rPr>
        <w:t xml:space="preserve"> </w:t>
      </w:r>
      <w:r w:rsidR="006F5A82" w:rsidRPr="00734837">
        <w:rPr>
          <w:rFonts w:ascii="Times New Roman" w:hAnsi="Times New Roman" w:cs="Times New Roman"/>
          <w:sz w:val="24"/>
          <w:szCs w:val="24"/>
        </w:rPr>
        <w:t>Usin</w:t>
      </w:r>
      <w:r w:rsidR="009D2F0C" w:rsidRPr="00734837">
        <w:rPr>
          <w:rFonts w:ascii="Times New Roman" w:hAnsi="Times New Roman" w:cs="Times New Roman"/>
          <w:sz w:val="24"/>
          <w:szCs w:val="24"/>
        </w:rPr>
        <w:t>g</w:t>
      </w:r>
      <w:r w:rsidR="006F5A82" w:rsidRPr="00734837">
        <w:rPr>
          <w:rFonts w:ascii="Times New Roman" w:hAnsi="Times New Roman" w:cs="Times New Roman"/>
          <w:sz w:val="24"/>
          <w:szCs w:val="24"/>
        </w:rPr>
        <w:t xml:space="preserve"> data availability </w:t>
      </w:r>
      <w:r w:rsidR="008232D2" w:rsidRPr="00734837">
        <w:rPr>
          <w:rFonts w:ascii="Times New Roman" w:hAnsi="Times New Roman" w:cs="Times New Roman"/>
          <w:sz w:val="24"/>
          <w:szCs w:val="24"/>
        </w:rPr>
        <w:t>as criteria</w:t>
      </w:r>
      <w:r w:rsidR="006F5A82" w:rsidRPr="00734837">
        <w:rPr>
          <w:rFonts w:ascii="Times New Roman" w:hAnsi="Times New Roman" w:cs="Times New Roman"/>
          <w:sz w:val="24"/>
          <w:szCs w:val="24"/>
        </w:rPr>
        <w:t xml:space="preserve">, </w:t>
      </w:r>
      <w:r w:rsidR="008F5E0C" w:rsidRPr="00734837">
        <w:rPr>
          <w:rFonts w:ascii="Times New Roman" w:hAnsi="Times New Roman" w:cs="Times New Roman"/>
          <w:sz w:val="24"/>
          <w:szCs w:val="24"/>
        </w:rPr>
        <w:t>only 11</w:t>
      </w:r>
      <w:r w:rsidRPr="00734837">
        <w:rPr>
          <w:rFonts w:ascii="Times New Roman" w:hAnsi="Times New Roman" w:cs="Times New Roman"/>
          <w:sz w:val="24"/>
          <w:szCs w:val="24"/>
        </w:rPr>
        <w:t xml:space="preserve"> </w:t>
      </w:r>
      <w:r w:rsidR="006F5A82" w:rsidRPr="00734837">
        <w:rPr>
          <w:rFonts w:ascii="Times New Roman" w:hAnsi="Times New Roman" w:cs="Times New Roman"/>
          <w:sz w:val="24"/>
          <w:szCs w:val="24"/>
        </w:rPr>
        <w:t xml:space="preserve">countries </w:t>
      </w:r>
      <w:proofErr w:type="gramStart"/>
      <w:r w:rsidR="006F5A82" w:rsidRPr="00734837">
        <w:rPr>
          <w:rFonts w:ascii="Times New Roman" w:hAnsi="Times New Roman" w:cs="Times New Roman"/>
          <w:sz w:val="24"/>
          <w:szCs w:val="24"/>
        </w:rPr>
        <w:t>were captured</w:t>
      </w:r>
      <w:proofErr w:type="gramEnd"/>
      <w:r w:rsidR="006F5A82" w:rsidRPr="00734837">
        <w:rPr>
          <w:rFonts w:ascii="Times New Roman" w:hAnsi="Times New Roman" w:cs="Times New Roman"/>
          <w:sz w:val="24"/>
          <w:szCs w:val="24"/>
        </w:rPr>
        <w:t xml:space="preserve"> in our sample. </w:t>
      </w:r>
      <w:r w:rsidRPr="00734837">
        <w:rPr>
          <w:rFonts w:ascii="Times New Roman" w:hAnsi="Times New Roman" w:cs="Times New Roman"/>
          <w:sz w:val="24"/>
          <w:szCs w:val="24"/>
        </w:rPr>
        <w:t>This study also focuses on these 11 countries because they may offer better investment opportunities and portfolios with high returns (Groot et al</w:t>
      </w:r>
      <w:r w:rsidR="00B82E5D" w:rsidRPr="00734837">
        <w:rPr>
          <w:rFonts w:ascii="Times New Roman" w:hAnsi="Times New Roman" w:cs="Times New Roman"/>
          <w:sz w:val="24"/>
          <w:szCs w:val="24"/>
        </w:rPr>
        <w:t>.</w:t>
      </w:r>
      <w:r w:rsidRPr="00734837">
        <w:rPr>
          <w:rFonts w:ascii="Times New Roman" w:hAnsi="Times New Roman" w:cs="Times New Roman"/>
          <w:color w:val="000000"/>
          <w:sz w:val="24"/>
          <w:szCs w:val="24"/>
        </w:rPr>
        <w:t>, 2012</w:t>
      </w:r>
      <w:r w:rsidRPr="00734837">
        <w:rPr>
          <w:rFonts w:ascii="Times New Roman" w:hAnsi="Times New Roman" w:cs="Times New Roman"/>
          <w:sz w:val="24"/>
          <w:szCs w:val="24"/>
        </w:rPr>
        <w:t xml:space="preserve">; </w:t>
      </w:r>
      <w:r w:rsidRPr="00734837">
        <w:rPr>
          <w:rFonts w:ascii="Times New Roman" w:eastAsia="MacmillanRoman" w:hAnsi="Times New Roman" w:cs="Times New Roman"/>
          <w:color w:val="000000"/>
          <w:sz w:val="24"/>
          <w:szCs w:val="24"/>
        </w:rPr>
        <w:t>Jacobs et al</w:t>
      </w:r>
      <w:r w:rsidR="00B82E5D" w:rsidRPr="00734837">
        <w:rPr>
          <w:rFonts w:ascii="Times New Roman" w:eastAsia="MacmillanRoman" w:hAnsi="Times New Roman" w:cs="Times New Roman"/>
          <w:color w:val="000000"/>
          <w:sz w:val="24"/>
          <w:szCs w:val="24"/>
        </w:rPr>
        <w:t>.</w:t>
      </w:r>
      <w:r w:rsidRPr="00734837">
        <w:rPr>
          <w:rFonts w:ascii="Times New Roman" w:eastAsia="MacmillanRoman" w:hAnsi="Times New Roman" w:cs="Times New Roman"/>
          <w:color w:val="000000"/>
          <w:sz w:val="24"/>
          <w:szCs w:val="24"/>
        </w:rPr>
        <w:t>, 2014</w:t>
      </w:r>
      <w:r w:rsidRPr="00734837">
        <w:rPr>
          <w:rFonts w:ascii="Times New Roman" w:hAnsi="Times New Roman" w:cs="Times New Roman"/>
          <w:sz w:val="24"/>
          <w:szCs w:val="24"/>
        </w:rPr>
        <w:t xml:space="preserve">). </w:t>
      </w:r>
      <w:r w:rsidRPr="00734837">
        <w:rPr>
          <w:rFonts w:ascii="Times New Roman" w:hAnsi="Times New Roman" w:cs="Times New Roman"/>
          <w:noProof/>
          <w:sz w:val="24"/>
          <w:szCs w:val="24"/>
        </w:rPr>
        <w:t xml:space="preserve">In computing the stock returns, the monthly stock price indices of each country </w:t>
      </w:r>
      <w:r w:rsidR="00EA47E1" w:rsidRPr="00734837">
        <w:rPr>
          <w:rFonts w:ascii="Times New Roman" w:hAnsi="Times New Roman" w:cs="Times New Roman"/>
          <w:noProof/>
          <w:sz w:val="24"/>
          <w:szCs w:val="24"/>
        </w:rPr>
        <w:t>are used</w:t>
      </w:r>
      <w:r w:rsidRPr="00734837">
        <w:rPr>
          <w:rFonts w:ascii="Times New Roman" w:hAnsi="Times New Roman" w:cs="Times New Roman"/>
          <w:noProof/>
          <w:sz w:val="24"/>
          <w:szCs w:val="24"/>
        </w:rPr>
        <w:t xml:space="preserve">. </w:t>
      </w:r>
      <w:r w:rsidR="00D57B27" w:rsidRPr="00734837">
        <w:rPr>
          <w:rFonts w:ascii="Times New Roman" w:hAnsi="Times New Roman" w:cs="Times New Roman"/>
          <w:sz w:val="24"/>
        </w:rPr>
        <w:t>The asset allocation and portfolio optimization literature indicates that in order to take advantage of diversification in portfolio optimization and asset allocation, low and negative correlations need to exist between stock returns of markets or securities (</w:t>
      </w:r>
      <w:r w:rsidR="00D57B27" w:rsidRPr="00734837">
        <w:rPr>
          <w:rFonts w:ascii="Times New Roman" w:hAnsi="Times New Roman" w:cs="Times New Roman"/>
          <w:color w:val="000000" w:themeColor="text1"/>
          <w:sz w:val="24"/>
        </w:rPr>
        <w:t xml:space="preserve">Mensah et al., 2013; </w:t>
      </w:r>
      <w:r w:rsidR="00D57B27" w:rsidRPr="00734837">
        <w:rPr>
          <w:rFonts w:ascii="Times New Roman" w:hAnsi="Times New Roman" w:cs="Times New Roman"/>
          <w:noProof/>
          <w:color w:val="000000" w:themeColor="text1"/>
          <w:sz w:val="24"/>
          <w:szCs w:val="24"/>
        </w:rPr>
        <w:t xml:space="preserve">Alagidede </w:t>
      </w:r>
      <w:r w:rsidR="00693D1C" w:rsidRPr="00734837">
        <w:rPr>
          <w:rFonts w:ascii="Times New Roman" w:hAnsi="Times New Roman" w:cs="Times New Roman"/>
          <w:noProof/>
          <w:color w:val="000000" w:themeColor="text1"/>
          <w:sz w:val="24"/>
          <w:szCs w:val="24"/>
        </w:rPr>
        <w:t>and</w:t>
      </w:r>
      <w:r w:rsidR="00D57B27" w:rsidRPr="00734837">
        <w:rPr>
          <w:rFonts w:ascii="Times New Roman" w:hAnsi="Times New Roman" w:cs="Times New Roman"/>
          <w:noProof/>
          <w:color w:val="000000" w:themeColor="text1"/>
          <w:sz w:val="24"/>
          <w:szCs w:val="24"/>
        </w:rPr>
        <w:t xml:space="preserve"> Panagiotidis, 2009</w:t>
      </w:r>
      <w:r w:rsidR="00D57B27" w:rsidRPr="00734837">
        <w:rPr>
          <w:rFonts w:ascii="Times New Roman" w:hAnsi="Times New Roman" w:cs="Times New Roman"/>
          <w:color w:val="000000" w:themeColor="text1"/>
          <w:sz w:val="24"/>
        </w:rPr>
        <w:t xml:space="preserve">). </w:t>
      </w:r>
      <w:r w:rsidR="00D57B27" w:rsidRPr="00734837">
        <w:rPr>
          <w:rFonts w:ascii="Times New Roman" w:hAnsi="Times New Roman" w:cs="Times New Roman"/>
          <w:sz w:val="24"/>
        </w:rPr>
        <w:t>This study also performs hypothesis testing to determine if these correlations are significantly different from zero.</w:t>
      </w:r>
      <w:r w:rsidR="00AF6978" w:rsidRPr="00734837">
        <w:rPr>
          <w:rFonts w:ascii="Times New Roman" w:hAnsi="Times New Roman" w:cs="Times New Roman"/>
          <w:noProof/>
          <w:sz w:val="24"/>
          <w:szCs w:val="24"/>
        </w:rPr>
        <w:t xml:space="preserve"> </w:t>
      </w:r>
      <w:r w:rsidR="001B0F96" w:rsidRPr="00734837">
        <w:rPr>
          <w:rFonts w:ascii="Times New Roman" w:hAnsi="Times New Roman" w:cs="Times New Roman"/>
          <w:sz w:val="24"/>
        </w:rPr>
        <w:t xml:space="preserve">The price indices obtained for the various countries </w:t>
      </w:r>
      <w:proofErr w:type="gramStart"/>
      <w:r w:rsidR="001B0F96" w:rsidRPr="00734837">
        <w:rPr>
          <w:rFonts w:ascii="Times New Roman" w:hAnsi="Times New Roman" w:cs="Times New Roman"/>
          <w:sz w:val="24"/>
        </w:rPr>
        <w:t>are transformed</w:t>
      </w:r>
      <w:proofErr w:type="gramEnd"/>
      <w:r w:rsidR="001B0F96" w:rsidRPr="00734837">
        <w:rPr>
          <w:rFonts w:ascii="Times New Roman" w:hAnsi="Times New Roman" w:cs="Times New Roman"/>
          <w:sz w:val="24"/>
        </w:rPr>
        <w:t xml:space="preserve"> into returns</w:t>
      </w:r>
      <w:r w:rsidR="004B4E43" w:rsidRPr="00734837">
        <w:rPr>
          <w:rFonts w:ascii="Times New Roman" w:hAnsi="Times New Roman" w:cs="Times New Roman"/>
          <w:sz w:val="24"/>
        </w:rPr>
        <w:t>.</w:t>
      </w:r>
      <w:r w:rsidR="001B0F96" w:rsidRPr="00734837">
        <w:rPr>
          <w:rFonts w:ascii="Times New Roman" w:hAnsi="Times New Roman" w:cs="Times New Roman"/>
          <w:sz w:val="24"/>
        </w:rPr>
        <w:t xml:space="preserve"> </w:t>
      </w:r>
      <w:r w:rsidR="007A3FA0" w:rsidRPr="00734837">
        <w:rPr>
          <w:rFonts w:ascii="Times New Roman" w:hAnsi="Times New Roman" w:cs="Times New Roman"/>
          <w:sz w:val="24"/>
        </w:rPr>
        <w:t>The</w:t>
      </w:r>
      <w:r w:rsidR="001B0F96" w:rsidRPr="00734837">
        <w:rPr>
          <w:rFonts w:ascii="Times New Roman" w:hAnsi="Times New Roman" w:cs="Times New Roman"/>
          <w:sz w:val="24"/>
        </w:rPr>
        <w:t xml:space="preserve"> stock returns </w:t>
      </w:r>
      <w:proofErr w:type="gramStart"/>
      <w:r w:rsidR="001B0F96" w:rsidRPr="00734837">
        <w:rPr>
          <w:rFonts w:ascii="Times New Roman" w:hAnsi="Times New Roman" w:cs="Times New Roman"/>
          <w:sz w:val="24"/>
        </w:rPr>
        <w:t>are then tested</w:t>
      </w:r>
      <w:proofErr w:type="gramEnd"/>
      <w:r w:rsidR="001B0F96" w:rsidRPr="00734837">
        <w:rPr>
          <w:rFonts w:ascii="Times New Roman" w:hAnsi="Times New Roman" w:cs="Times New Roman"/>
          <w:sz w:val="24"/>
        </w:rPr>
        <w:t xml:space="preserve"> to determine if they are normally distributed since it</w:t>
      </w:r>
      <w:r w:rsidR="007A3FA0" w:rsidRPr="00734837">
        <w:rPr>
          <w:rFonts w:ascii="Times New Roman" w:hAnsi="Times New Roman" w:cs="Times New Roman"/>
          <w:sz w:val="24"/>
        </w:rPr>
        <w:t xml:space="preserve"> is an assumption for</w:t>
      </w:r>
      <w:r w:rsidR="001B0F96" w:rsidRPr="00734837">
        <w:rPr>
          <w:rFonts w:ascii="Times New Roman" w:hAnsi="Times New Roman" w:cs="Times New Roman"/>
          <w:sz w:val="24"/>
        </w:rPr>
        <w:t xml:space="preserve"> </w:t>
      </w:r>
      <w:r w:rsidR="004B4E43" w:rsidRPr="00734837">
        <w:rPr>
          <w:rFonts w:ascii="Times New Roman" w:hAnsi="Times New Roman" w:cs="Times New Roman"/>
          <w:sz w:val="24"/>
        </w:rPr>
        <w:t>the Markowitz o</w:t>
      </w:r>
      <w:r w:rsidR="001B0F96" w:rsidRPr="00734837">
        <w:rPr>
          <w:rFonts w:ascii="Times New Roman" w:hAnsi="Times New Roman" w:cs="Times New Roman"/>
          <w:sz w:val="24"/>
        </w:rPr>
        <w:t>ptimization technique (</w:t>
      </w:r>
      <w:proofErr w:type="spellStart"/>
      <w:r w:rsidR="001B0F96" w:rsidRPr="00734837">
        <w:rPr>
          <w:rFonts w:ascii="Times New Roman" w:hAnsi="Times New Roman" w:cs="Times New Roman"/>
          <w:sz w:val="24"/>
        </w:rPr>
        <w:t>Guo</w:t>
      </w:r>
      <w:proofErr w:type="spellEnd"/>
      <w:r w:rsidR="001B0F96" w:rsidRPr="00734837">
        <w:rPr>
          <w:rFonts w:ascii="Times New Roman" w:hAnsi="Times New Roman" w:cs="Times New Roman"/>
          <w:sz w:val="24"/>
        </w:rPr>
        <w:t xml:space="preserve">, Ye, </w:t>
      </w:r>
      <w:r w:rsidR="00693D1C" w:rsidRPr="00734837">
        <w:rPr>
          <w:rFonts w:ascii="Times New Roman" w:hAnsi="Times New Roman" w:cs="Times New Roman"/>
          <w:sz w:val="24"/>
        </w:rPr>
        <w:t>and</w:t>
      </w:r>
      <w:r w:rsidR="001B0F96" w:rsidRPr="00734837">
        <w:rPr>
          <w:rFonts w:ascii="Times New Roman" w:hAnsi="Times New Roman" w:cs="Times New Roman"/>
          <w:sz w:val="24"/>
        </w:rPr>
        <w:t xml:space="preserve"> Yin, 2012). </w:t>
      </w:r>
      <w:r w:rsidR="00793182" w:rsidRPr="00734837">
        <w:rPr>
          <w:rFonts w:ascii="Times New Roman" w:hAnsi="Times New Roman" w:cs="Times New Roman"/>
          <w:noProof/>
          <w:sz w:val="24"/>
          <w:szCs w:val="24"/>
        </w:rPr>
        <w:tab/>
      </w:r>
    </w:p>
    <w:p w:rsidR="00AC0A64" w:rsidRPr="00734837" w:rsidRDefault="00F04009" w:rsidP="00DB671E">
      <w:pPr>
        <w:spacing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t>The</w:t>
      </w:r>
      <w:r w:rsidR="00AC0A64" w:rsidRPr="00734837">
        <w:rPr>
          <w:rFonts w:ascii="Times New Roman" w:hAnsi="Times New Roman" w:cs="Times New Roman"/>
          <w:noProof/>
          <w:sz w:val="24"/>
          <w:szCs w:val="24"/>
        </w:rPr>
        <w:t xml:space="preserve"> study employs the</w:t>
      </w:r>
      <w:r w:rsidR="0056788C" w:rsidRPr="00734837">
        <w:rPr>
          <w:rFonts w:ascii="Times New Roman" w:hAnsi="Times New Roman" w:cs="Times New Roman"/>
          <w:noProof/>
          <w:sz w:val="24"/>
          <w:szCs w:val="24"/>
        </w:rPr>
        <w:t xml:space="preserve"> Markowitz </w:t>
      </w:r>
      <w:r w:rsidR="00974530" w:rsidRPr="00734837">
        <w:rPr>
          <w:rFonts w:ascii="Times New Roman" w:hAnsi="Times New Roman" w:cs="Times New Roman"/>
          <w:noProof/>
          <w:sz w:val="24"/>
          <w:szCs w:val="24"/>
        </w:rPr>
        <w:t xml:space="preserve">Portfolio </w:t>
      </w:r>
      <w:r w:rsidRPr="00734837">
        <w:rPr>
          <w:rFonts w:ascii="Times New Roman" w:hAnsi="Times New Roman" w:cs="Times New Roman"/>
          <w:noProof/>
          <w:sz w:val="24"/>
          <w:szCs w:val="24"/>
        </w:rPr>
        <w:t>Optimization model, thus</w:t>
      </w:r>
      <w:r w:rsidR="004E3E99" w:rsidRPr="00734837">
        <w:rPr>
          <w:rFonts w:ascii="Times New Roman" w:hAnsi="Times New Roman" w:cs="Times New Roman"/>
          <w:noProof/>
          <w:sz w:val="24"/>
          <w:szCs w:val="24"/>
        </w:rPr>
        <w:t xml:space="preserve"> to determine the </w:t>
      </w:r>
      <w:r w:rsidR="006938F7" w:rsidRPr="00734837">
        <w:rPr>
          <w:rFonts w:ascii="Times New Roman" w:hAnsi="Times New Roman" w:cs="Times New Roman"/>
          <w:noProof/>
          <w:sz w:val="24"/>
          <w:szCs w:val="24"/>
        </w:rPr>
        <w:t xml:space="preserve">optimal risky portfolio that </w:t>
      </w:r>
      <w:r w:rsidR="00AC0A64" w:rsidRPr="00734837">
        <w:rPr>
          <w:rFonts w:ascii="Times New Roman" w:hAnsi="Times New Roman" w:cs="Times New Roman"/>
          <w:noProof/>
          <w:sz w:val="24"/>
          <w:szCs w:val="24"/>
        </w:rPr>
        <w:t>investor</w:t>
      </w:r>
      <w:r w:rsidR="006938F7" w:rsidRPr="00734837">
        <w:rPr>
          <w:rFonts w:ascii="Times New Roman" w:hAnsi="Times New Roman" w:cs="Times New Roman"/>
          <w:noProof/>
          <w:sz w:val="24"/>
          <w:szCs w:val="24"/>
        </w:rPr>
        <w:t>s</w:t>
      </w:r>
      <w:r w:rsidR="00AC0A64" w:rsidRPr="00734837">
        <w:rPr>
          <w:rFonts w:ascii="Times New Roman" w:hAnsi="Times New Roman" w:cs="Times New Roman"/>
          <w:noProof/>
          <w:sz w:val="24"/>
          <w:szCs w:val="24"/>
        </w:rPr>
        <w:t xml:space="preserve"> can hold by investing </w:t>
      </w:r>
      <w:r w:rsidR="0031620D" w:rsidRPr="00734837">
        <w:rPr>
          <w:rFonts w:ascii="Times New Roman" w:hAnsi="Times New Roman" w:cs="Times New Roman"/>
          <w:noProof/>
          <w:sz w:val="24"/>
          <w:szCs w:val="24"/>
        </w:rPr>
        <w:t>in stock markets</w:t>
      </w:r>
      <w:r w:rsidRPr="00734837">
        <w:rPr>
          <w:rFonts w:ascii="Times New Roman" w:hAnsi="Times New Roman" w:cs="Times New Roman"/>
          <w:noProof/>
          <w:sz w:val="24"/>
          <w:szCs w:val="24"/>
        </w:rPr>
        <w:t xml:space="preserve"> indices</w:t>
      </w:r>
      <w:r w:rsidR="0031620D" w:rsidRPr="00734837">
        <w:rPr>
          <w:rFonts w:ascii="Times New Roman" w:hAnsi="Times New Roman" w:cs="Times New Roman"/>
          <w:noProof/>
          <w:sz w:val="24"/>
          <w:szCs w:val="24"/>
        </w:rPr>
        <w:t xml:space="preserve"> across the eleven</w:t>
      </w:r>
      <w:r w:rsidR="00AC0A64" w:rsidRPr="00734837">
        <w:rPr>
          <w:rFonts w:ascii="Times New Roman" w:hAnsi="Times New Roman" w:cs="Times New Roman"/>
          <w:noProof/>
          <w:sz w:val="24"/>
          <w:szCs w:val="24"/>
        </w:rPr>
        <w:t xml:space="preserve"> African stock exchanges</w:t>
      </w:r>
      <w:r w:rsidR="00D73AED" w:rsidRPr="00734837">
        <w:rPr>
          <w:rFonts w:ascii="Times New Roman" w:hAnsi="Times New Roman" w:cs="Times New Roman"/>
          <w:noProof/>
          <w:sz w:val="24"/>
          <w:szCs w:val="24"/>
        </w:rPr>
        <w:t xml:space="preserve"> mentioned above</w:t>
      </w:r>
      <w:r w:rsidR="00AC0A64" w:rsidRPr="00734837">
        <w:rPr>
          <w:rFonts w:ascii="Times New Roman" w:hAnsi="Times New Roman" w:cs="Times New Roman"/>
          <w:noProof/>
          <w:sz w:val="24"/>
          <w:szCs w:val="24"/>
        </w:rPr>
        <w:t>.</w:t>
      </w:r>
      <w:r w:rsidR="00191BC8" w:rsidRPr="00734837">
        <w:rPr>
          <w:rFonts w:ascii="Times New Roman" w:hAnsi="Times New Roman" w:cs="Times New Roman"/>
          <w:noProof/>
          <w:sz w:val="24"/>
          <w:szCs w:val="24"/>
        </w:rPr>
        <w:t xml:space="preserve"> Given the prcie indices for country </w:t>
      </w:r>
      <m:oMath>
        <m:r>
          <w:rPr>
            <w:rFonts w:ascii="Cambria Math" w:hAnsi="Cambria Math" w:cs="Times New Roman"/>
            <w:noProof/>
            <w:sz w:val="24"/>
            <w:szCs w:val="24"/>
          </w:rPr>
          <m:t>i</m:t>
        </m:r>
      </m:oMath>
      <w:r w:rsidR="00191BC8" w:rsidRPr="00734837">
        <w:rPr>
          <w:rFonts w:ascii="Times New Roman" w:hAnsi="Times New Roman" w:cs="Times New Roman"/>
          <w:noProof/>
          <w:sz w:val="24"/>
          <w:szCs w:val="24"/>
        </w:rPr>
        <w:t xml:space="preserve"> as </w:t>
      </w:r>
      <m:oMath>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it</m:t>
            </m:r>
          </m:sub>
        </m:sSub>
      </m:oMath>
      <w:r w:rsidR="00C41E2F" w:rsidRPr="00734837">
        <w:rPr>
          <w:rFonts w:ascii="Times New Roman" w:hAnsi="Times New Roman" w:cs="Times New Roman"/>
          <w:noProof/>
          <w:sz w:val="24"/>
          <w:szCs w:val="24"/>
        </w:rPr>
        <w:t xml:space="preserve">, where </w:t>
      </w:r>
      <m:oMath>
        <m:r>
          <w:rPr>
            <w:rFonts w:ascii="Cambria Math" w:hAnsi="Cambria Math" w:cs="Times New Roman"/>
            <w:noProof/>
            <w:sz w:val="24"/>
            <w:szCs w:val="24"/>
          </w:rPr>
          <m:t xml:space="preserve">t=1,⋯,T </m:t>
        </m:r>
      </m:oMath>
      <w:r w:rsidR="00C41E2F" w:rsidRPr="00734837">
        <w:rPr>
          <w:rFonts w:ascii="Times New Roman" w:eastAsiaTheme="minorEastAsia" w:hAnsi="Times New Roman" w:cs="Times New Roman"/>
          <w:noProof/>
          <w:sz w:val="24"/>
          <w:szCs w:val="24"/>
        </w:rPr>
        <w:t xml:space="preserve"> and </w:t>
      </w:r>
      <m:oMath>
        <m:r>
          <w:rPr>
            <w:rFonts w:ascii="Cambria Math" w:eastAsiaTheme="minorEastAsia" w:hAnsi="Cambria Math" w:cs="Times New Roman"/>
            <w:noProof/>
            <w:sz w:val="24"/>
            <w:szCs w:val="24"/>
          </w:rPr>
          <m:t>i=1, ⋯,11</m:t>
        </m:r>
      </m:oMath>
      <w:r w:rsidR="00C41E2F" w:rsidRPr="00734837">
        <w:rPr>
          <w:rFonts w:ascii="Times New Roman" w:eastAsiaTheme="minorEastAsia" w:hAnsi="Times New Roman" w:cs="Times New Roman"/>
          <w:noProof/>
          <w:sz w:val="24"/>
          <w:szCs w:val="24"/>
        </w:rPr>
        <w:t xml:space="preserve">. </w:t>
      </w:r>
      <w:r w:rsidR="00C41E2F" w:rsidRPr="00734837">
        <w:rPr>
          <w:rFonts w:ascii="Times New Roman" w:hAnsi="Times New Roman" w:cs="Times New Roman"/>
          <w:noProof/>
          <w:sz w:val="24"/>
          <w:szCs w:val="24"/>
        </w:rPr>
        <w:t xml:space="preserve"> </w:t>
      </w:r>
      <w:r w:rsidR="00AC0A64" w:rsidRPr="00734837">
        <w:rPr>
          <w:rFonts w:ascii="Times New Roman" w:hAnsi="Times New Roman" w:cs="Times New Roman"/>
          <w:noProof/>
          <w:sz w:val="24"/>
          <w:szCs w:val="24"/>
        </w:rPr>
        <w:t>The return</w:t>
      </w:r>
      <w:r w:rsidR="00C41E2F" w:rsidRPr="00734837">
        <w:rPr>
          <w:rFonts w:ascii="Times New Roman" w:hAnsi="Times New Roman" w:cs="Times New Roman"/>
          <w:noProof/>
          <w:sz w:val="24"/>
          <w:szCs w:val="24"/>
        </w:rPr>
        <w:t xml:space="preserve"> of country indices</w:t>
      </w:r>
      <w:r w:rsidR="00AC0A64" w:rsidRPr="00734837">
        <w:rPr>
          <w:rFonts w:ascii="Times New Roman" w:hAnsi="Times New Roman" w:cs="Times New Roman"/>
          <w:noProof/>
          <w:sz w:val="24"/>
          <w:szCs w:val="24"/>
        </w:rPr>
        <w:t xml:space="preserve"> </w:t>
      </w:r>
      <w:r w:rsidR="00AC0A64" w:rsidRPr="00734837">
        <w:rPr>
          <w:rFonts w:ascii="Times New Roman" w:hAnsi="Times New Roman" w:cs="Times New Roman"/>
          <w:noProof/>
          <w:position w:val="-6"/>
          <w:sz w:val="24"/>
          <w:szCs w:val="24"/>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0.5pt" o:ole="">
            <v:imagedata r:id="rId10" o:title=""/>
          </v:shape>
          <o:OLEObject Type="Embed" ProgID="Equation.3" ShapeID="_x0000_i1025" DrawAspect="Content" ObjectID="_1515257791" r:id="rId11"/>
        </w:object>
      </w:r>
      <w:r w:rsidR="00B60586" w:rsidRPr="00734837">
        <w:rPr>
          <w:rFonts w:ascii="Times New Roman" w:hAnsi="Times New Roman" w:cs="Times New Roman"/>
          <w:noProof/>
          <w:sz w:val="24"/>
          <w:szCs w:val="24"/>
        </w:rPr>
        <w:t xml:space="preserve"> at </w:t>
      </w:r>
      <w:r w:rsidR="00AC0A64" w:rsidRPr="00734837">
        <w:rPr>
          <w:rFonts w:ascii="Times New Roman" w:hAnsi="Times New Roman" w:cs="Times New Roman"/>
          <w:noProof/>
          <w:sz w:val="24"/>
          <w:szCs w:val="24"/>
        </w:rPr>
        <w:t xml:space="preserve">month </w:t>
      </w:r>
      <w:r w:rsidR="00AC0A64" w:rsidRPr="00734837">
        <w:rPr>
          <w:rFonts w:ascii="Times New Roman" w:hAnsi="Times New Roman" w:cs="Times New Roman"/>
          <w:i/>
          <w:noProof/>
          <w:sz w:val="24"/>
          <w:szCs w:val="24"/>
        </w:rPr>
        <w:t>t</w:t>
      </w:r>
      <w:r w:rsidR="00D0439B" w:rsidRPr="00734837">
        <w:rPr>
          <w:rFonts w:ascii="Times New Roman" w:hAnsi="Times New Roman" w:cs="Times New Roman"/>
          <w:noProof/>
          <w:sz w:val="24"/>
          <w:szCs w:val="24"/>
        </w:rPr>
        <w:t xml:space="preserve"> is therefore </w:t>
      </w:r>
      <w:r w:rsidR="00AC0A64" w:rsidRPr="00734837">
        <w:rPr>
          <w:rFonts w:ascii="Times New Roman" w:hAnsi="Times New Roman" w:cs="Times New Roman"/>
          <w:noProof/>
          <w:sz w:val="24"/>
          <w:szCs w:val="24"/>
        </w:rPr>
        <w:t>comp</w:t>
      </w:r>
      <w:r w:rsidR="00B60586" w:rsidRPr="00734837">
        <w:rPr>
          <w:rFonts w:ascii="Times New Roman" w:hAnsi="Times New Roman" w:cs="Times New Roman"/>
          <w:noProof/>
          <w:sz w:val="24"/>
          <w:szCs w:val="24"/>
        </w:rPr>
        <w:t>uted by the</w:t>
      </w:r>
      <w:r w:rsidR="0031620D" w:rsidRPr="00734837">
        <w:rPr>
          <w:rFonts w:ascii="Times New Roman" w:hAnsi="Times New Roman" w:cs="Times New Roman"/>
          <w:noProof/>
          <w:sz w:val="24"/>
          <w:szCs w:val="24"/>
        </w:rPr>
        <w:t xml:space="preserve"> formula</w:t>
      </w:r>
      <w:r w:rsidR="00AC0A64" w:rsidRPr="00734837">
        <w:rPr>
          <w:rFonts w:ascii="Times New Roman" w:hAnsi="Times New Roman" w:cs="Times New Roman"/>
          <w:noProof/>
          <w:sz w:val="24"/>
          <w:szCs w:val="24"/>
        </w:rPr>
        <w:t>:</w:t>
      </w:r>
    </w:p>
    <w:p w:rsidR="00AC0A64" w:rsidRPr="00734837" w:rsidRDefault="0004618A" w:rsidP="00DB671E">
      <w:pPr>
        <w:spacing w:line="240" w:lineRule="auto"/>
        <w:jc w:val="center"/>
        <w:rPr>
          <w:rFonts w:ascii="Times New Roman" w:hAnsi="Times New Roman" w:cs="Times New Roman"/>
          <w:noProof/>
          <w:sz w:val="24"/>
          <w:szCs w:val="24"/>
        </w:rPr>
      </w:pPr>
      <w:r w:rsidRPr="00734837">
        <w:rPr>
          <w:rFonts w:ascii="Times New Roman" w:hAnsi="Times New Roman" w:cs="Times New Roman"/>
          <w:noProof/>
          <w:position w:val="-32"/>
          <w:sz w:val="24"/>
          <w:szCs w:val="24"/>
        </w:rPr>
        <w:t xml:space="preserve">                                     </w:t>
      </w:r>
      <w:r w:rsidR="004448C3" w:rsidRPr="00734837">
        <w:rPr>
          <w:rFonts w:ascii="Times New Roman" w:hAnsi="Times New Roman" w:cs="Times New Roman"/>
          <w:noProof/>
          <w:position w:val="-32"/>
          <w:sz w:val="24"/>
          <w:szCs w:val="24"/>
        </w:rPr>
        <w:object w:dxaOrig="2380" w:dyaOrig="760">
          <v:shape id="_x0000_i1026" type="#_x0000_t75" style="width:118.5pt;height:35.25pt" o:ole="">
            <v:imagedata r:id="rId12" o:title=""/>
          </v:shape>
          <o:OLEObject Type="Embed" ProgID="Equation.3" ShapeID="_x0000_i1026" DrawAspect="Content" ObjectID="_1515257792" r:id="rId13"/>
        </w:object>
      </w:r>
      <w:r w:rsidR="00AC0A64" w:rsidRPr="00734837">
        <w:rPr>
          <w:rFonts w:ascii="Times New Roman" w:hAnsi="Times New Roman" w:cs="Times New Roman"/>
          <w:noProof/>
          <w:sz w:val="24"/>
          <w:szCs w:val="24"/>
        </w:rPr>
        <w:t xml:space="preserve">                                                    (1)</w:t>
      </w:r>
    </w:p>
    <w:p w:rsidR="00AC0A64" w:rsidRPr="00734837" w:rsidRDefault="0031620D" w:rsidP="00032721">
      <w:pPr>
        <w:spacing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lastRenderedPageBreak/>
        <w:t>Dividend payments are not included</w:t>
      </w:r>
      <w:r w:rsidR="00AC0A64" w:rsidRPr="00734837">
        <w:rPr>
          <w:rFonts w:ascii="Times New Roman" w:hAnsi="Times New Roman" w:cs="Times New Roman"/>
          <w:noProof/>
          <w:sz w:val="24"/>
          <w:szCs w:val="24"/>
        </w:rPr>
        <w:t xml:space="preserve"> in the computation of returns since</w:t>
      </w:r>
      <w:r w:rsidR="00032721" w:rsidRPr="00734837">
        <w:rPr>
          <w:rFonts w:ascii="Times New Roman" w:hAnsi="Times New Roman" w:cs="Times New Roman"/>
          <w:noProof/>
          <w:sz w:val="24"/>
          <w:szCs w:val="24"/>
        </w:rPr>
        <w:t xml:space="preserve"> all the indices are divided adjusted.</w:t>
      </w:r>
      <w:r w:rsidR="00032721" w:rsidRPr="00734837">
        <w:rPr>
          <w:rFonts w:ascii="Times New Roman" w:hAnsi="Times New Roman" w:cs="Times New Roman"/>
          <w:position w:val="-28"/>
        </w:rPr>
        <w:t xml:space="preserve"> </w:t>
      </w:r>
      <w:r w:rsidR="00AC0A64" w:rsidRPr="00734837">
        <w:rPr>
          <w:rFonts w:ascii="Times New Roman" w:hAnsi="Times New Roman" w:cs="Times New Roman"/>
          <w:sz w:val="24"/>
          <w:szCs w:val="24"/>
        </w:rPr>
        <w:t xml:space="preserve">Markowitz’s model </w:t>
      </w:r>
      <w:proofErr w:type="gramStart"/>
      <w:r w:rsidR="00AC0A64" w:rsidRPr="00734837">
        <w:rPr>
          <w:rFonts w:ascii="Times New Roman" w:hAnsi="Times New Roman" w:cs="Times New Roman"/>
          <w:sz w:val="24"/>
          <w:szCs w:val="24"/>
        </w:rPr>
        <w:t>is therefore formulated</w:t>
      </w:r>
      <w:proofErr w:type="gramEnd"/>
      <w:r w:rsidR="00AC0A64" w:rsidRPr="00734837">
        <w:rPr>
          <w:rFonts w:ascii="Times New Roman" w:hAnsi="Times New Roman" w:cs="Times New Roman"/>
          <w:sz w:val="24"/>
          <w:szCs w:val="24"/>
        </w:rPr>
        <w:t xml:space="preserve"> using the </w:t>
      </w:r>
      <w:r w:rsidR="00032721" w:rsidRPr="00734837">
        <w:rPr>
          <w:rFonts w:ascii="Times New Roman" w:hAnsi="Times New Roman" w:cs="Times New Roman"/>
          <w:sz w:val="24"/>
          <w:szCs w:val="24"/>
        </w:rPr>
        <w:t>optimization formulation (2</w:t>
      </w:r>
      <w:r w:rsidR="00AC0A64" w:rsidRPr="00734837">
        <w:rPr>
          <w:rFonts w:ascii="Times New Roman" w:hAnsi="Times New Roman" w:cs="Times New Roman"/>
          <w:sz w:val="24"/>
          <w:szCs w:val="24"/>
        </w:rPr>
        <w:t>) and (</w:t>
      </w:r>
      <w:r w:rsidR="00032721" w:rsidRPr="00734837">
        <w:rPr>
          <w:rFonts w:ascii="Times New Roman" w:hAnsi="Times New Roman" w:cs="Times New Roman"/>
          <w:sz w:val="24"/>
          <w:szCs w:val="24"/>
        </w:rPr>
        <w:t>3</w:t>
      </w:r>
      <w:r w:rsidR="00AC0A64" w:rsidRPr="00734837">
        <w:rPr>
          <w:rFonts w:ascii="Times New Roman" w:hAnsi="Times New Roman" w:cs="Times New Roman"/>
          <w:sz w:val="24"/>
          <w:szCs w:val="24"/>
        </w:rPr>
        <w:t>)</w:t>
      </w:r>
      <w:r w:rsidR="00890C6C" w:rsidRPr="00734837">
        <w:rPr>
          <w:rFonts w:ascii="Times New Roman" w:hAnsi="Times New Roman" w:cs="Times New Roman"/>
          <w:sz w:val="24"/>
          <w:szCs w:val="24"/>
        </w:rPr>
        <w:t xml:space="preserve"> below</w:t>
      </w:r>
      <w:r w:rsidR="00032721" w:rsidRPr="00734837">
        <w:rPr>
          <w:rFonts w:ascii="Times New Roman" w:hAnsi="Times New Roman" w:cs="Times New Roman"/>
          <w:sz w:val="24"/>
          <w:szCs w:val="24"/>
        </w:rPr>
        <w:t>. Model (2</w:t>
      </w:r>
      <w:r w:rsidR="00AC0A64" w:rsidRPr="00734837">
        <w:rPr>
          <w:rFonts w:ascii="Times New Roman" w:hAnsi="Times New Roman" w:cs="Times New Roman"/>
          <w:sz w:val="24"/>
          <w:szCs w:val="24"/>
        </w:rPr>
        <w:t>) is a minimization prob</w:t>
      </w:r>
      <w:r w:rsidR="00D772EE" w:rsidRPr="00734837">
        <w:rPr>
          <w:rFonts w:ascii="Times New Roman" w:hAnsi="Times New Roman" w:cs="Times New Roman"/>
          <w:sz w:val="24"/>
          <w:szCs w:val="24"/>
        </w:rPr>
        <w:t>lem that aids in computing the minimum variance portfolio</w:t>
      </w:r>
      <w:r w:rsidR="00B60586" w:rsidRPr="00734837">
        <w:rPr>
          <w:rFonts w:ascii="Times New Roman" w:hAnsi="Times New Roman" w:cs="Times New Roman"/>
          <w:sz w:val="24"/>
          <w:szCs w:val="24"/>
        </w:rPr>
        <w:t xml:space="preserve"> MVP</w:t>
      </w:r>
      <w:r w:rsidR="00AC0A64" w:rsidRPr="00734837">
        <w:rPr>
          <w:rFonts w:ascii="Times New Roman" w:hAnsi="Times New Roman" w:cs="Times New Roman"/>
          <w:sz w:val="24"/>
          <w:szCs w:val="24"/>
        </w:rPr>
        <w:t xml:space="preserve">. </w:t>
      </w:r>
      <w:r w:rsidR="00060C28" w:rsidRPr="00734837">
        <w:rPr>
          <w:rFonts w:ascii="Times New Roman" w:hAnsi="Times New Roman" w:cs="Times New Roman"/>
          <w:sz w:val="24"/>
          <w:szCs w:val="24"/>
        </w:rPr>
        <w:t>Conversely</w:t>
      </w:r>
      <w:r w:rsidR="00032721" w:rsidRPr="00734837">
        <w:rPr>
          <w:rFonts w:ascii="Times New Roman" w:hAnsi="Times New Roman" w:cs="Times New Roman"/>
          <w:sz w:val="24"/>
          <w:szCs w:val="24"/>
        </w:rPr>
        <w:t>, model (3</w:t>
      </w:r>
      <w:r w:rsidR="00F41BB5" w:rsidRPr="00734837">
        <w:rPr>
          <w:rFonts w:ascii="Times New Roman" w:hAnsi="Times New Roman" w:cs="Times New Roman"/>
          <w:sz w:val="24"/>
          <w:szCs w:val="24"/>
        </w:rPr>
        <w:t>) is</w:t>
      </w:r>
      <w:r w:rsidR="009C2CA8" w:rsidRPr="00734837">
        <w:rPr>
          <w:rFonts w:ascii="Times New Roman" w:hAnsi="Times New Roman" w:cs="Times New Roman"/>
          <w:sz w:val="24"/>
          <w:szCs w:val="24"/>
        </w:rPr>
        <w:t xml:space="preserve"> a</w:t>
      </w:r>
      <w:r w:rsidR="00AC0A64" w:rsidRPr="00734837">
        <w:rPr>
          <w:rFonts w:ascii="Times New Roman" w:hAnsi="Times New Roman" w:cs="Times New Roman"/>
          <w:sz w:val="24"/>
          <w:szCs w:val="24"/>
        </w:rPr>
        <w:t xml:space="preserve"> maximization problem aimed at maximizing the Sharpe ratio in order to generate the Tangency Portfolio (Mensah et al</w:t>
      </w:r>
      <w:r w:rsidR="00681AAE" w:rsidRPr="00734837">
        <w:rPr>
          <w:rFonts w:ascii="Times New Roman" w:hAnsi="Times New Roman" w:cs="Times New Roman"/>
          <w:sz w:val="24"/>
          <w:szCs w:val="24"/>
        </w:rPr>
        <w:t>.</w:t>
      </w:r>
      <w:r w:rsidR="00AC0A64" w:rsidRPr="00734837">
        <w:rPr>
          <w:rFonts w:ascii="Times New Roman" w:hAnsi="Times New Roman" w:cs="Times New Roman"/>
          <w:sz w:val="24"/>
          <w:szCs w:val="24"/>
        </w:rPr>
        <w:t xml:space="preserve">, 2013). </w:t>
      </w:r>
    </w:p>
    <w:p w:rsidR="00AC0A64" w:rsidRPr="00734837" w:rsidRDefault="0091361B" w:rsidP="00DB671E">
      <w:pPr>
        <w:spacing w:line="240" w:lineRule="auto"/>
        <w:jc w:val="center"/>
        <w:rPr>
          <w:rFonts w:ascii="Times New Roman" w:hAnsi="Times New Roman" w:cs="Times New Roman"/>
        </w:rPr>
      </w:pPr>
      <w:r w:rsidRPr="00734837">
        <w:rPr>
          <w:rFonts w:ascii="Times New Roman" w:hAnsi="Times New Roman" w:cs="Times New Roman"/>
          <w:position w:val="-140"/>
        </w:rPr>
        <w:object w:dxaOrig="6440" w:dyaOrig="2900">
          <v:shape id="_x0000_i1027" type="#_x0000_t75" style="width:321.75pt;height:2in" o:ole="">
            <v:imagedata r:id="rId14" o:title=""/>
          </v:shape>
          <o:OLEObject Type="Embed" ProgID="Equation.3" ShapeID="_x0000_i1027" DrawAspect="Content" ObjectID="_1515257793" r:id="rId15"/>
        </w:object>
      </w:r>
      <w:r w:rsidR="00032721" w:rsidRPr="00734837">
        <w:rPr>
          <w:rFonts w:ascii="Times New Roman" w:hAnsi="Times New Roman" w:cs="Times New Roman"/>
        </w:rPr>
        <w:t xml:space="preserve">                          (2</w:t>
      </w:r>
      <w:r w:rsidR="00AC0A64" w:rsidRPr="00734837">
        <w:rPr>
          <w:rFonts w:ascii="Times New Roman" w:hAnsi="Times New Roman" w:cs="Times New Roman"/>
        </w:rPr>
        <w:t>)</w:t>
      </w:r>
    </w:p>
    <w:p w:rsidR="00AC0A64" w:rsidRPr="00734837" w:rsidRDefault="00A90836" w:rsidP="00DB671E">
      <w:pPr>
        <w:spacing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t xml:space="preserve">where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w</m:t>
            </m:r>
          </m:e>
          <m:sub>
            <m:r>
              <w:rPr>
                <w:rFonts w:ascii="Cambria Math" w:hAnsi="Cambria Math" w:cs="Times New Roman"/>
                <w:noProof/>
                <w:sz w:val="24"/>
                <w:szCs w:val="24"/>
              </w:rPr>
              <m:t>i</m:t>
            </m:r>
          </m:sub>
        </m:sSub>
      </m:oMath>
      <w:r w:rsidRPr="00734837">
        <w:rPr>
          <w:rFonts w:ascii="Times New Roman" w:hAnsi="Times New Roman" w:cs="Times New Roman"/>
          <w:noProof/>
          <w:sz w:val="24"/>
          <w:szCs w:val="24"/>
        </w:rPr>
        <w:t xml:space="preserve"> are the weights </w:t>
      </w:r>
      <w:r w:rsidR="00E124B9" w:rsidRPr="00734837">
        <w:rPr>
          <w:rFonts w:ascii="Times New Roman" w:hAnsi="Times New Roman" w:cs="Times New Roman"/>
          <w:noProof/>
          <w:sz w:val="24"/>
          <w:szCs w:val="24"/>
        </w:rPr>
        <w:t xml:space="preserve">of </w:t>
      </w:r>
      <w:r w:rsidRPr="00734837">
        <w:rPr>
          <w:rFonts w:ascii="Times New Roman" w:hAnsi="Times New Roman" w:cs="Times New Roman"/>
          <w:noProof/>
          <w:sz w:val="24"/>
          <w:szCs w:val="24"/>
        </w:rPr>
        <w:t xml:space="preserve">individual indices from different countries,  </w:t>
      </w:r>
      <m:oMath>
        <m:sSub>
          <m:sSubPr>
            <m:ctrlPr>
              <w:rPr>
                <w:rFonts w:ascii="Cambria Math" w:hAnsi="Cambria Math" w:cs="Times New Roman"/>
                <w:i/>
                <w:noProof/>
                <w:sz w:val="24"/>
                <w:szCs w:val="24"/>
              </w:rPr>
            </m:ctrlPr>
          </m:sSubPr>
          <m:e>
            <m:r>
              <w:rPr>
                <w:rFonts w:ascii="Cambria Math" w:hAnsi="Cambria Math" w:cs="Times New Roman"/>
                <w:noProof/>
                <w:sz w:val="24"/>
                <w:szCs w:val="24"/>
              </w:rPr>
              <m:t>σ</m:t>
            </m:r>
          </m:e>
          <m:sub>
            <m:r>
              <w:rPr>
                <w:rFonts w:ascii="Cambria Math" w:hAnsi="Cambria Math" w:cs="Times New Roman"/>
                <w:noProof/>
                <w:sz w:val="24"/>
                <w:szCs w:val="24"/>
              </w:rPr>
              <m:t>i</m:t>
            </m:r>
          </m:sub>
        </m:sSub>
      </m:oMath>
      <w:r w:rsidRPr="00734837">
        <w:rPr>
          <w:rFonts w:ascii="Times New Roman" w:eastAsiaTheme="minorEastAsia" w:hAnsi="Times New Roman" w:cs="Times New Roman"/>
          <w:noProof/>
          <w:sz w:val="24"/>
          <w:szCs w:val="24"/>
        </w:rPr>
        <w:t xml:space="preserve"> is the standard deviation of</w:t>
      </w:r>
      <w:r w:rsidR="00B73E9E" w:rsidRPr="00734837">
        <w:rPr>
          <w:rFonts w:ascii="Times New Roman" w:eastAsiaTheme="minorEastAsia" w:hAnsi="Times New Roman" w:cs="Times New Roman"/>
          <w:noProof/>
          <w:sz w:val="24"/>
          <w:szCs w:val="24"/>
        </w:rPr>
        <w:t xml:space="preserve"> the country specific index returns, representing the total risk.</w:t>
      </w:r>
      <w:r w:rsidR="00BC7C26" w:rsidRPr="00734837">
        <w:rPr>
          <w:rFonts w:ascii="Times New Roman" w:eastAsiaTheme="minorEastAsia" w:hAnsi="Times New Roman" w:cs="Times New Roman"/>
          <w:noProof/>
          <w:sz w:val="24"/>
          <w:szCs w:val="24"/>
        </w:rPr>
        <w:t xml:space="preserve"> </w:t>
      </w:r>
      <m:oMath>
        <m:r>
          <m:rPr>
            <m:sty m:val="p"/>
          </m:rPr>
          <w:rPr>
            <w:rFonts w:ascii="Cambria Math" w:eastAsiaTheme="minorEastAsia" w:hAnsi="Cambria Math" w:cs="Times New Roman"/>
            <w:noProof/>
            <w:sz w:val="24"/>
            <w:szCs w:val="24"/>
          </w:rPr>
          <m:t>cov</m:t>
        </m:r>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i</m:t>
                </m:r>
              </m:sub>
            </m:sSub>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j</m:t>
                </m:r>
              </m:sub>
            </m:sSub>
          </m:e>
        </m:d>
      </m:oMath>
      <w:r w:rsidR="00B73E9E" w:rsidRPr="00734837">
        <w:rPr>
          <w:rFonts w:ascii="Times New Roman" w:eastAsiaTheme="minorEastAsia" w:hAnsi="Times New Roman" w:cs="Times New Roman"/>
          <w:noProof/>
          <w:sz w:val="24"/>
          <w:szCs w:val="24"/>
        </w:rPr>
        <w:t xml:space="preserve"> </w:t>
      </w:r>
      <w:r w:rsidR="00D04331" w:rsidRPr="00734837">
        <w:rPr>
          <w:rFonts w:ascii="Times New Roman" w:eastAsiaTheme="minorEastAsia" w:hAnsi="Times New Roman" w:cs="Times New Roman"/>
          <w:noProof/>
          <w:sz w:val="24"/>
          <w:szCs w:val="24"/>
        </w:rPr>
        <w:t xml:space="preserve">is the variance-covariance matrix of all the eleven country indices. </w:t>
      </w:r>
      <w:r w:rsidR="00AC0A64" w:rsidRPr="00734837">
        <w:rPr>
          <w:rFonts w:ascii="Times New Roman" w:hAnsi="Times New Roman" w:cs="Times New Roman"/>
          <w:noProof/>
          <w:sz w:val="24"/>
          <w:szCs w:val="24"/>
        </w:rPr>
        <w:t xml:space="preserve">The objective here is to determine how much to invest </w:t>
      </w:r>
      <w:r w:rsidR="0031620D" w:rsidRPr="00734837">
        <w:rPr>
          <w:rFonts w:ascii="Times New Roman" w:hAnsi="Times New Roman" w:cs="Times New Roman"/>
          <w:noProof/>
          <w:sz w:val="24"/>
          <w:szCs w:val="24"/>
        </w:rPr>
        <w:t>in</w:t>
      </w:r>
      <w:r w:rsidR="00AC0A64" w:rsidRPr="00734837">
        <w:rPr>
          <w:rFonts w:ascii="Times New Roman" w:hAnsi="Times New Roman" w:cs="Times New Roman"/>
          <w:noProof/>
          <w:sz w:val="24"/>
          <w:szCs w:val="24"/>
        </w:rPr>
        <w:t xml:space="preserve"> the various markets </w:t>
      </w:r>
      <w:r w:rsidR="00DF4D19" w:rsidRPr="00734837">
        <w:rPr>
          <w:rFonts w:ascii="Times New Roman" w:hAnsi="Times New Roman" w:cs="Times New Roman"/>
          <w:noProof/>
          <w:sz w:val="24"/>
          <w:szCs w:val="24"/>
        </w:rPr>
        <w:t xml:space="preserve">so as to minimise the variance of this portfolio. </w:t>
      </w:r>
      <w:r w:rsidR="00AC0A64" w:rsidRPr="00734837">
        <w:rPr>
          <w:rFonts w:ascii="Times New Roman" w:hAnsi="Times New Roman" w:cs="Times New Roman"/>
          <w:noProof/>
          <w:sz w:val="24"/>
          <w:szCs w:val="24"/>
        </w:rPr>
        <w:t xml:space="preserve">However, this is subject to some constraints. The first constraint ensures that the total budget is invested </w:t>
      </w:r>
      <w:r w:rsidR="0031620D" w:rsidRPr="00734837">
        <w:rPr>
          <w:rFonts w:ascii="Times New Roman" w:hAnsi="Times New Roman" w:cs="Times New Roman"/>
          <w:noProof/>
          <w:sz w:val="24"/>
          <w:szCs w:val="24"/>
        </w:rPr>
        <w:t>in</w:t>
      </w:r>
      <w:r w:rsidR="00AC0A64" w:rsidRPr="00734837">
        <w:rPr>
          <w:rFonts w:ascii="Times New Roman" w:hAnsi="Times New Roman" w:cs="Times New Roman"/>
          <w:noProof/>
          <w:sz w:val="24"/>
          <w:szCs w:val="24"/>
        </w:rPr>
        <w:t xml:space="preserve"> the markets (Fari</w:t>
      </w:r>
      <w:r w:rsidR="006938F7" w:rsidRPr="00734837">
        <w:rPr>
          <w:rFonts w:ascii="Times New Roman" w:hAnsi="Times New Roman" w:cs="Times New Roman"/>
          <w:noProof/>
          <w:sz w:val="24"/>
          <w:szCs w:val="24"/>
        </w:rPr>
        <w:t>nelli et al.</w:t>
      </w:r>
      <w:r w:rsidR="00AC0A64" w:rsidRPr="00734837">
        <w:rPr>
          <w:rFonts w:ascii="Times New Roman" w:hAnsi="Times New Roman" w:cs="Times New Roman"/>
          <w:noProof/>
          <w:sz w:val="24"/>
          <w:szCs w:val="24"/>
        </w:rPr>
        <w:t xml:space="preserve">, 2008). This means that the sum of the weights for the various markets should be equal to 1, not less or greater. The </w:t>
      </w:r>
      <w:r w:rsidR="00495A46" w:rsidRPr="00734837">
        <w:rPr>
          <w:rFonts w:ascii="Times New Roman" w:hAnsi="Times New Roman" w:cs="Times New Roman"/>
          <w:noProof/>
          <w:sz w:val="24"/>
          <w:szCs w:val="24"/>
        </w:rPr>
        <w:t>second constraint requires</w:t>
      </w:r>
      <w:r w:rsidR="00AC0A64" w:rsidRPr="00734837">
        <w:rPr>
          <w:rFonts w:ascii="Times New Roman" w:hAnsi="Times New Roman" w:cs="Times New Roman"/>
          <w:noProof/>
          <w:sz w:val="24"/>
          <w:szCs w:val="24"/>
        </w:rPr>
        <w:t xml:space="preserve"> the optimal expecte</w:t>
      </w:r>
      <w:r w:rsidR="00ED497A" w:rsidRPr="00734837">
        <w:rPr>
          <w:rFonts w:ascii="Times New Roman" w:hAnsi="Times New Roman" w:cs="Times New Roman"/>
          <w:noProof/>
          <w:sz w:val="24"/>
          <w:szCs w:val="24"/>
        </w:rPr>
        <w:t xml:space="preserve">d return of the portfolio to be either equal to or greater than the minimum portfolio return. </w:t>
      </w:r>
      <w:r w:rsidR="00AC0A64" w:rsidRPr="00734837">
        <w:rPr>
          <w:rFonts w:ascii="Times New Roman" w:hAnsi="Times New Roman" w:cs="Times New Roman"/>
          <w:noProof/>
          <w:sz w:val="24"/>
          <w:szCs w:val="24"/>
        </w:rPr>
        <w:t>The minimum portfolio return is defined as the expected return from investing equally across the markets. It is therefore expected that,</w:t>
      </w:r>
      <w:r w:rsidR="0031620D" w:rsidRPr="00734837">
        <w:rPr>
          <w:rFonts w:ascii="Times New Roman" w:hAnsi="Times New Roman" w:cs="Times New Roman"/>
          <w:noProof/>
          <w:sz w:val="24"/>
          <w:szCs w:val="24"/>
        </w:rPr>
        <w:t xml:space="preserve"> the optimal solution is not dominated by this heuri</w:t>
      </w:r>
      <w:r w:rsidR="00AC0A64" w:rsidRPr="00734837">
        <w:rPr>
          <w:rFonts w:ascii="Times New Roman" w:hAnsi="Times New Roman" w:cs="Times New Roman"/>
          <w:noProof/>
          <w:sz w:val="24"/>
          <w:szCs w:val="24"/>
        </w:rPr>
        <w:t>stic choice. The final constraint, the non-negativity constraint requires that either nothing or strictly positive weight is to be assigned to a market</w:t>
      </w:r>
      <w:r w:rsidR="00181D61" w:rsidRPr="00734837">
        <w:rPr>
          <w:rFonts w:ascii="Times New Roman" w:hAnsi="Times New Roman" w:cs="Times New Roman"/>
          <w:noProof/>
          <w:sz w:val="24"/>
          <w:szCs w:val="24"/>
        </w:rPr>
        <w:t>.</w:t>
      </w:r>
      <w:r w:rsidR="00AC0A64" w:rsidRPr="00734837">
        <w:rPr>
          <w:rFonts w:ascii="Times New Roman" w:hAnsi="Times New Roman" w:cs="Times New Roman"/>
          <w:noProof/>
          <w:sz w:val="24"/>
          <w:szCs w:val="24"/>
        </w:rPr>
        <w:t xml:space="preserve"> It also shows the absence of short-selling. Short selling is not assumed since</w:t>
      </w:r>
      <w:r w:rsidR="008C42C9" w:rsidRPr="00734837">
        <w:rPr>
          <w:rFonts w:ascii="Times New Roman" w:hAnsi="Times New Roman" w:cs="Times New Roman"/>
          <w:noProof/>
          <w:sz w:val="24"/>
          <w:szCs w:val="24"/>
        </w:rPr>
        <w:t xml:space="preserve"> in developing markets like those</w:t>
      </w:r>
      <w:r w:rsidR="00AC0A64" w:rsidRPr="00734837">
        <w:rPr>
          <w:rFonts w:ascii="Times New Roman" w:hAnsi="Times New Roman" w:cs="Times New Roman"/>
          <w:noProof/>
          <w:sz w:val="24"/>
          <w:szCs w:val="24"/>
        </w:rPr>
        <w:t xml:space="preserve"> in Africa, it is hardly practised</w:t>
      </w:r>
      <w:r w:rsidR="008C42C9" w:rsidRPr="00734837">
        <w:rPr>
          <w:rFonts w:ascii="Times New Roman" w:hAnsi="Times New Roman" w:cs="Times New Roman"/>
          <w:noProof/>
          <w:sz w:val="24"/>
          <w:szCs w:val="24"/>
        </w:rPr>
        <w:t xml:space="preserve"> due</w:t>
      </w:r>
      <w:r w:rsidR="00E124B9" w:rsidRPr="00734837">
        <w:rPr>
          <w:rFonts w:ascii="Times New Roman" w:hAnsi="Times New Roman" w:cs="Times New Roman"/>
          <w:noProof/>
          <w:sz w:val="24"/>
          <w:szCs w:val="24"/>
        </w:rPr>
        <w:t xml:space="preserve"> to the illiquid nature of</w:t>
      </w:r>
      <w:r w:rsidR="008C42C9" w:rsidRPr="00734837">
        <w:rPr>
          <w:rFonts w:ascii="Times New Roman" w:hAnsi="Times New Roman" w:cs="Times New Roman"/>
          <w:noProof/>
          <w:sz w:val="24"/>
          <w:szCs w:val="24"/>
        </w:rPr>
        <w:t xml:space="preserve"> stock markets</w:t>
      </w:r>
      <w:r w:rsidR="00B63CEA" w:rsidRPr="00734837">
        <w:rPr>
          <w:rFonts w:ascii="Times New Roman" w:hAnsi="Times New Roman" w:cs="Times New Roman"/>
          <w:noProof/>
          <w:sz w:val="24"/>
          <w:szCs w:val="24"/>
        </w:rPr>
        <w:t xml:space="preserve"> </w:t>
      </w:r>
      <w:r w:rsidR="00AC0A64" w:rsidRPr="00734837">
        <w:rPr>
          <w:rFonts w:ascii="Times New Roman" w:hAnsi="Times New Roman" w:cs="Times New Roman"/>
          <w:noProof/>
          <w:sz w:val="24"/>
          <w:szCs w:val="24"/>
        </w:rPr>
        <w:t>(Mensah et al</w:t>
      </w:r>
      <w:r w:rsidR="00F25869" w:rsidRPr="00734837">
        <w:rPr>
          <w:rFonts w:ascii="Times New Roman" w:hAnsi="Times New Roman" w:cs="Times New Roman"/>
          <w:noProof/>
          <w:sz w:val="24"/>
          <w:szCs w:val="24"/>
        </w:rPr>
        <w:t>.</w:t>
      </w:r>
      <w:r w:rsidR="00AC0A64" w:rsidRPr="00734837">
        <w:rPr>
          <w:rFonts w:ascii="Times New Roman" w:hAnsi="Times New Roman" w:cs="Times New Roman"/>
          <w:noProof/>
          <w:sz w:val="24"/>
          <w:szCs w:val="24"/>
        </w:rPr>
        <w:t xml:space="preserve">, 2013). </w:t>
      </w:r>
    </w:p>
    <w:p w:rsidR="00AC0A64" w:rsidRPr="00734837" w:rsidRDefault="00525814" w:rsidP="00DB671E">
      <w:pPr>
        <w:spacing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t>For the tangency portfolio</w:t>
      </w:r>
      <w:r w:rsidR="00BF4CA2" w:rsidRPr="00734837">
        <w:rPr>
          <w:rFonts w:ascii="Times New Roman" w:hAnsi="Times New Roman" w:cs="Times New Roman"/>
          <w:noProof/>
          <w:sz w:val="24"/>
          <w:szCs w:val="24"/>
        </w:rPr>
        <w:t xml:space="preserve"> (TP, optimal portfolio), we </w:t>
      </w:r>
      <w:r w:rsidR="00AC0A64" w:rsidRPr="00734837">
        <w:rPr>
          <w:rFonts w:ascii="Times New Roman" w:hAnsi="Times New Roman" w:cs="Times New Roman"/>
          <w:noProof/>
          <w:sz w:val="24"/>
          <w:szCs w:val="24"/>
        </w:rPr>
        <w:t xml:space="preserve">maximize the </w:t>
      </w:r>
      <w:r w:rsidR="0031620D" w:rsidRPr="00734837">
        <w:rPr>
          <w:rFonts w:ascii="Times New Roman" w:hAnsi="Times New Roman" w:cs="Times New Roman"/>
          <w:noProof/>
          <w:sz w:val="24"/>
          <w:szCs w:val="24"/>
        </w:rPr>
        <w:t>Sharpe</w:t>
      </w:r>
      <w:r w:rsidR="00A7218A" w:rsidRPr="00734837">
        <w:rPr>
          <w:rFonts w:ascii="Times New Roman" w:hAnsi="Times New Roman" w:cs="Times New Roman"/>
          <w:noProof/>
          <w:sz w:val="24"/>
          <w:szCs w:val="24"/>
        </w:rPr>
        <w:t xml:space="preserve"> ratio subject to the</w:t>
      </w:r>
      <w:r w:rsidR="00BC7C26" w:rsidRPr="00734837">
        <w:rPr>
          <w:rFonts w:ascii="Times New Roman" w:hAnsi="Times New Roman" w:cs="Times New Roman"/>
          <w:noProof/>
          <w:sz w:val="24"/>
          <w:szCs w:val="24"/>
        </w:rPr>
        <w:t xml:space="preserve"> same constraints as in model (2). It is </w:t>
      </w:r>
      <w:r w:rsidR="00AC0A64" w:rsidRPr="00734837">
        <w:rPr>
          <w:rFonts w:ascii="Times New Roman" w:hAnsi="Times New Roman" w:cs="Times New Roman"/>
          <w:noProof/>
          <w:sz w:val="24"/>
          <w:szCs w:val="24"/>
        </w:rPr>
        <w:t>expressed as follows:</w:t>
      </w:r>
    </w:p>
    <w:p w:rsidR="00AC0A64" w:rsidRPr="00734837" w:rsidRDefault="000A70A6" w:rsidP="00DB671E">
      <w:pPr>
        <w:spacing w:line="240" w:lineRule="auto"/>
        <w:jc w:val="center"/>
        <w:rPr>
          <w:rFonts w:ascii="Times New Roman" w:hAnsi="Times New Roman" w:cs="Times New Roman"/>
          <w:noProof/>
          <w:sz w:val="24"/>
          <w:szCs w:val="24"/>
        </w:rPr>
      </w:pPr>
      <w:r w:rsidRPr="00734837">
        <w:rPr>
          <w:rFonts w:ascii="Times New Roman" w:hAnsi="Times New Roman" w:cs="Times New Roman"/>
          <w:position w:val="-140"/>
        </w:rPr>
        <w:object w:dxaOrig="5300" w:dyaOrig="2900">
          <v:shape id="_x0000_i1028" type="#_x0000_t75" style="width:259.5pt;height:2in" o:ole="">
            <v:imagedata r:id="rId16" o:title=""/>
          </v:shape>
          <o:OLEObject Type="Embed" ProgID="Equation.3" ShapeID="_x0000_i1028" DrawAspect="Content" ObjectID="_1515257794" r:id="rId17"/>
        </w:object>
      </w:r>
      <w:r w:rsidR="00032721" w:rsidRPr="00734837">
        <w:rPr>
          <w:rFonts w:ascii="Times New Roman" w:hAnsi="Times New Roman" w:cs="Times New Roman"/>
        </w:rPr>
        <w:t xml:space="preserve">                          (3</w:t>
      </w:r>
      <w:r w:rsidR="00AC0A64" w:rsidRPr="00734837">
        <w:rPr>
          <w:rFonts w:ascii="Times New Roman" w:hAnsi="Times New Roman" w:cs="Times New Roman"/>
        </w:rPr>
        <w:t>)</w:t>
      </w:r>
    </w:p>
    <w:p w:rsidR="00AC0A64" w:rsidRPr="00734837" w:rsidRDefault="00AC0A64" w:rsidP="002C5078">
      <w:pPr>
        <w:spacing w:line="240" w:lineRule="auto"/>
        <w:jc w:val="both"/>
        <w:rPr>
          <w:rFonts w:ascii="Times New Roman" w:eastAsia="Times New Roman" w:hAnsi="Times New Roman" w:cs="Times New Roman"/>
          <w:sz w:val="24"/>
          <w:szCs w:val="24"/>
        </w:rPr>
      </w:pPr>
      <w:r w:rsidRPr="00734837">
        <w:rPr>
          <w:rFonts w:ascii="Times New Roman" w:hAnsi="Times New Roman" w:cs="Times New Roman"/>
          <w:noProof/>
          <w:sz w:val="24"/>
          <w:szCs w:val="24"/>
        </w:rPr>
        <w:lastRenderedPageBreak/>
        <w:t xml:space="preserve">It must be noted that </w:t>
      </w:r>
      <w:r w:rsidR="0069077E" w:rsidRPr="00734837">
        <w:rPr>
          <w:rFonts w:ascii="Times New Roman" w:hAnsi="Times New Roman" w:cs="Times New Roman"/>
          <w:position w:val="-28"/>
        </w:rPr>
        <w:object w:dxaOrig="1100" w:dyaOrig="680">
          <v:shape id="_x0000_i1029" type="#_x0000_t75" style="width:54.75pt;height:36.75pt" o:ole="">
            <v:imagedata r:id="rId18" o:title=""/>
          </v:shape>
          <o:OLEObject Type="Embed" ProgID="Equation.3" ShapeID="_x0000_i1029" DrawAspect="Content" ObjectID="_1515257795" r:id="rId19"/>
        </w:object>
      </w:r>
      <w:r w:rsidR="00BC7C26" w:rsidRPr="00734837">
        <w:rPr>
          <w:rFonts w:ascii="Times New Roman" w:hAnsi="Times New Roman" w:cs="Times New Roman"/>
          <w:position w:val="-28"/>
        </w:rPr>
        <w:t xml:space="preserve"> </w:t>
      </w:r>
      <w:r w:rsidRPr="00734837">
        <w:rPr>
          <w:rFonts w:ascii="Times New Roman" w:hAnsi="Times New Roman" w:cs="Times New Roman"/>
          <w:sz w:val="24"/>
        </w:rPr>
        <w:t xml:space="preserve">is the expected return of the portfolio. </w:t>
      </w:r>
      <w:r w:rsidRPr="00734837">
        <w:rPr>
          <w:rFonts w:ascii="Times New Roman" w:hAnsi="Times New Roman" w:cs="Times New Roman"/>
          <w:position w:val="-14"/>
        </w:rPr>
        <w:object w:dxaOrig="240" w:dyaOrig="380">
          <v:shape id="_x0000_i1030" type="#_x0000_t75" style="width:10.5pt;height:21pt" o:ole="">
            <v:imagedata r:id="rId20" o:title=""/>
          </v:shape>
          <o:OLEObject Type="Embed" ProgID="Equation.3" ShapeID="_x0000_i1030" DrawAspect="Content" ObjectID="_1515257796" r:id="rId21"/>
        </w:object>
      </w:r>
      <w:r w:rsidR="00D04331" w:rsidRPr="00734837">
        <w:rPr>
          <w:rFonts w:ascii="Times New Roman" w:hAnsi="Times New Roman" w:cs="Times New Roman"/>
          <w:position w:val="-14"/>
        </w:rPr>
        <w:t xml:space="preserve"> </w:t>
      </w:r>
      <w:proofErr w:type="gramStart"/>
      <w:r w:rsidR="007830F8" w:rsidRPr="00734837">
        <w:rPr>
          <w:rFonts w:ascii="Times New Roman" w:hAnsi="Times New Roman" w:cs="Times New Roman"/>
          <w:sz w:val="24"/>
        </w:rPr>
        <w:t>is</w:t>
      </w:r>
      <w:proofErr w:type="gramEnd"/>
      <w:r w:rsidR="007830F8" w:rsidRPr="00734837">
        <w:rPr>
          <w:rFonts w:ascii="Times New Roman" w:hAnsi="Times New Roman" w:cs="Times New Roman"/>
          <w:sz w:val="24"/>
        </w:rPr>
        <w:t xml:space="preserve"> the </w:t>
      </w:r>
      <w:r w:rsidR="00226190" w:rsidRPr="00734837">
        <w:rPr>
          <w:rFonts w:ascii="Times New Roman" w:hAnsi="Times New Roman" w:cs="Times New Roman"/>
          <w:sz w:val="24"/>
        </w:rPr>
        <w:t>risk-</w:t>
      </w:r>
      <w:r w:rsidRPr="00734837">
        <w:rPr>
          <w:rFonts w:ascii="Times New Roman" w:hAnsi="Times New Roman" w:cs="Times New Roman"/>
          <w:sz w:val="24"/>
        </w:rPr>
        <w:t xml:space="preserve">free </w:t>
      </w:r>
      <w:r w:rsidR="007830F8" w:rsidRPr="00734837">
        <w:rPr>
          <w:rFonts w:ascii="Times New Roman" w:hAnsi="Times New Roman" w:cs="Times New Roman"/>
          <w:sz w:val="24"/>
        </w:rPr>
        <w:t xml:space="preserve"> rates </w:t>
      </w:r>
      <w:r w:rsidR="00C9192D" w:rsidRPr="00734837">
        <w:rPr>
          <w:rFonts w:ascii="Times New Roman" w:hAnsi="Times New Roman" w:cs="Times New Roman"/>
          <w:sz w:val="24"/>
        </w:rPr>
        <w:t xml:space="preserve">of the markets under study. </w:t>
      </w:r>
      <w:r w:rsidRPr="00734837">
        <w:rPr>
          <w:rFonts w:ascii="Times New Roman" w:hAnsi="Times New Roman" w:cs="Times New Roman"/>
          <w:position w:val="-14"/>
        </w:rPr>
        <w:object w:dxaOrig="380" w:dyaOrig="400">
          <v:shape id="_x0000_i1031" type="#_x0000_t75" style="width:21pt;height:21pt" o:ole="">
            <v:imagedata r:id="rId22" o:title=""/>
          </v:shape>
          <o:OLEObject Type="Embed" ProgID="Equation.3" ShapeID="_x0000_i1031" DrawAspect="Content" ObjectID="_1515257797" r:id="rId23"/>
        </w:object>
      </w:r>
      <w:proofErr w:type="gramStart"/>
      <w:r w:rsidRPr="00734837">
        <w:rPr>
          <w:rFonts w:ascii="Times New Roman" w:hAnsi="Times New Roman" w:cs="Times New Roman"/>
          <w:sz w:val="24"/>
        </w:rPr>
        <w:t>denotes</w:t>
      </w:r>
      <w:proofErr w:type="gramEnd"/>
      <w:r w:rsidRPr="00734837">
        <w:rPr>
          <w:rFonts w:ascii="Times New Roman" w:hAnsi="Times New Roman" w:cs="Times New Roman"/>
          <w:sz w:val="24"/>
        </w:rPr>
        <w:t xml:space="preserve"> th</w:t>
      </w:r>
      <w:r w:rsidR="001757D0" w:rsidRPr="00734837">
        <w:rPr>
          <w:rFonts w:ascii="Times New Roman" w:hAnsi="Times New Roman" w:cs="Times New Roman"/>
          <w:sz w:val="24"/>
        </w:rPr>
        <w:t>e inverse of the portfolio’</w:t>
      </w:r>
      <w:r w:rsidR="00E40977" w:rsidRPr="00734837">
        <w:rPr>
          <w:rFonts w:ascii="Times New Roman" w:hAnsi="Times New Roman" w:cs="Times New Roman"/>
          <w:sz w:val="24"/>
        </w:rPr>
        <w:t xml:space="preserve">s risk which is measured using the </w:t>
      </w:r>
      <w:r w:rsidR="001757D0" w:rsidRPr="00734837">
        <w:rPr>
          <w:rFonts w:ascii="Times New Roman" w:hAnsi="Times New Roman" w:cs="Times New Roman"/>
          <w:sz w:val="24"/>
        </w:rPr>
        <w:t>standard deviation</w:t>
      </w:r>
      <w:r w:rsidR="00E40977" w:rsidRPr="00734837">
        <w:rPr>
          <w:rFonts w:ascii="Times New Roman" w:hAnsi="Times New Roman" w:cs="Times New Roman"/>
          <w:sz w:val="24"/>
        </w:rPr>
        <w:t xml:space="preserve"> of the portfolio</w:t>
      </w:r>
      <w:r w:rsidR="00D04331" w:rsidRPr="00734837">
        <w:rPr>
          <w:rFonts w:ascii="Times New Roman" w:hAnsi="Times New Roman" w:cs="Times New Roman"/>
          <w:sz w:val="24"/>
        </w:rPr>
        <w:t xml:space="preserve"> obtained from the combination of all the African market indices</w:t>
      </w:r>
      <w:r w:rsidR="001757D0" w:rsidRPr="00734837">
        <w:rPr>
          <w:rFonts w:ascii="Times New Roman" w:hAnsi="Times New Roman" w:cs="Times New Roman"/>
          <w:sz w:val="24"/>
        </w:rPr>
        <w:t>.</w:t>
      </w:r>
      <w:r w:rsidR="00E40977" w:rsidRPr="00734837">
        <w:rPr>
          <w:rFonts w:ascii="Times New Roman" w:hAnsi="Times New Roman" w:cs="Times New Roman"/>
          <w:sz w:val="24"/>
        </w:rPr>
        <w:t xml:space="preserve"> </w:t>
      </w:r>
    </w:p>
    <w:p w:rsidR="00AC0A64" w:rsidRPr="00734837" w:rsidRDefault="00AC0A64" w:rsidP="00DB671E">
      <w:pPr>
        <w:spacing w:after="360" w:line="240" w:lineRule="auto"/>
        <w:jc w:val="both"/>
        <w:rPr>
          <w:rFonts w:ascii="Times New Roman" w:hAnsi="Times New Roman" w:cs="Times New Roman"/>
          <w:sz w:val="24"/>
        </w:rPr>
      </w:pPr>
      <w:r w:rsidRPr="00734837">
        <w:rPr>
          <w:rFonts w:ascii="Times New Roman" w:hAnsi="Times New Roman" w:cs="Times New Roman"/>
          <w:sz w:val="24"/>
        </w:rPr>
        <w:t xml:space="preserve">Bootstrapping is related to simulation, except that with simulation data is completely artificially generated </w:t>
      </w:r>
      <w:proofErr w:type="gramStart"/>
      <w:r w:rsidRPr="00734837">
        <w:rPr>
          <w:rFonts w:ascii="Times New Roman" w:hAnsi="Times New Roman" w:cs="Times New Roman"/>
          <w:sz w:val="24"/>
        </w:rPr>
        <w:t>for the purpose of</w:t>
      </w:r>
      <w:proofErr w:type="gramEnd"/>
      <w:r w:rsidRPr="00734837">
        <w:rPr>
          <w:rFonts w:ascii="Times New Roman" w:hAnsi="Times New Roman" w:cs="Times New Roman"/>
          <w:sz w:val="24"/>
        </w:rPr>
        <w:t xml:space="preserve"> making statistical inferences. However, in bootstrapping empirical estimators are generated using data points sampled repeatedly (with replacemen</w:t>
      </w:r>
      <w:r w:rsidR="001E3252" w:rsidRPr="00734837">
        <w:rPr>
          <w:rFonts w:ascii="Times New Roman" w:hAnsi="Times New Roman" w:cs="Times New Roman"/>
          <w:sz w:val="24"/>
        </w:rPr>
        <w:t xml:space="preserve">t) from the sample. </w:t>
      </w:r>
      <w:r w:rsidRPr="00734837">
        <w:rPr>
          <w:rFonts w:ascii="Times New Roman" w:hAnsi="Times New Roman" w:cs="Times New Roman"/>
          <w:sz w:val="24"/>
        </w:rPr>
        <w:t xml:space="preserve">The basic assumption underlining </w:t>
      </w:r>
      <w:r w:rsidR="00531D2C" w:rsidRPr="00734837">
        <w:rPr>
          <w:rFonts w:ascii="Times New Roman" w:hAnsi="Times New Roman" w:cs="Times New Roman"/>
          <w:sz w:val="24"/>
        </w:rPr>
        <w:t xml:space="preserve">the </w:t>
      </w:r>
      <w:r w:rsidRPr="00734837">
        <w:rPr>
          <w:rFonts w:ascii="Times New Roman" w:hAnsi="Times New Roman" w:cs="Times New Roman"/>
          <w:sz w:val="24"/>
        </w:rPr>
        <w:t xml:space="preserve">bootstrapping algorithm is that, </w:t>
      </w:r>
      <w:r w:rsidR="00CD1D73" w:rsidRPr="00734837">
        <w:rPr>
          <w:rFonts w:ascii="Times New Roman" w:hAnsi="Times New Roman" w:cs="Times New Roman"/>
          <w:sz w:val="24"/>
        </w:rPr>
        <w:t xml:space="preserve">the sample if </w:t>
      </w:r>
      <w:proofErr w:type="spellStart"/>
      <w:r w:rsidR="008232D2" w:rsidRPr="00734837">
        <w:rPr>
          <w:rFonts w:ascii="Times New Roman" w:hAnsi="Times New Roman" w:cs="Times New Roman"/>
          <w:sz w:val="24"/>
        </w:rPr>
        <w:t>well constructed</w:t>
      </w:r>
      <w:proofErr w:type="spellEnd"/>
      <w:r w:rsidR="00A3227D" w:rsidRPr="00734837">
        <w:rPr>
          <w:rFonts w:ascii="Times New Roman" w:hAnsi="Times New Roman" w:cs="Times New Roman"/>
          <w:sz w:val="24"/>
        </w:rPr>
        <w:t xml:space="preserve"> is a </w:t>
      </w:r>
      <w:r w:rsidR="00CD1D73" w:rsidRPr="00734837">
        <w:rPr>
          <w:rFonts w:ascii="Times New Roman" w:hAnsi="Times New Roman" w:cs="Times New Roman"/>
          <w:sz w:val="24"/>
        </w:rPr>
        <w:t xml:space="preserve">good </w:t>
      </w:r>
      <w:r w:rsidR="00651BF9" w:rsidRPr="00734837">
        <w:rPr>
          <w:rFonts w:ascii="Times New Roman" w:hAnsi="Times New Roman" w:cs="Times New Roman"/>
          <w:sz w:val="24"/>
        </w:rPr>
        <w:t>representative</w:t>
      </w:r>
      <w:r w:rsidR="00CD1D73" w:rsidRPr="00734837">
        <w:rPr>
          <w:rFonts w:ascii="Times New Roman" w:hAnsi="Times New Roman" w:cs="Times New Roman"/>
          <w:sz w:val="24"/>
        </w:rPr>
        <w:t xml:space="preserve"> of the actual population. </w:t>
      </w:r>
      <w:r w:rsidRPr="00734837">
        <w:rPr>
          <w:rFonts w:ascii="Times New Roman" w:hAnsi="Times New Roman" w:cs="Times New Roman"/>
          <w:sz w:val="24"/>
        </w:rPr>
        <w:t>Therefore, by resampling randomly from the sampling distribution, we can get an approximation of the exact nature of the population distribution by correcting the bias in the sampling distribution.</w:t>
      </w:r>
    </w:p>
    <w:p w:rsidR="00AC0A64" w:rsidRPr="00734837" w:rsidRDefault="009026AF" w:rsidP="00DB671E">
      <w:pPr>
        <w:spacing w:line="240" w:lineRule="auto"/>
        <w:jc w:val="both"/>
        <w:rPr>
          <w:rFonts w:ascii="Times New Roman" w:hAnsi="Times New Roman" w:cs="Times New Roman"/>
          <w:sz w:val="24"/>
        </w:rPr>
      </w:pPr>
      <w:r w:rsidRPr="00734837">
        <w:rPr>
          <w:rFonts w:ascii="Times New Roman" w:hAnsi="Times New Roman" w:cs="Times New Roman"/>
          <w:sz w:val="24"/>
        </w:rPr>
        <w:t>Given that</w:t>
      </w:r>
      <w:r w:rsidR="00AC0A64" w:rsidRPr="00734837">
        <w:rPr>
          <w:rFonts w:ascii="Times New Roman" w:hAnsi="Times New Roman" w:cs="Times New Roman"/>
          <w:sz w:val="24"/>
        </w:rPr>
        <w:t xml:space="preserve"> sample data of </w:t>
      </w:r>
      <w:r w:rsidR="008F2AA8" w:rsidRPr="00734837">
        <w:rPr>
          <w:rFonts w:ascii="Times New Roman" w:hAnsi="Times New Roman" w:cs="Times New Roman"/>
          <w:position w:val="-10"/>
          <w:sz w:val="24"/>
        </w:rPr>
        <w:object w:dxaOrig="1340" w:dyaOrig="340">
          <v:shape id="_x0000_i1032" type="#_x0000_t75" style="width:69pt;height:15.75pt" o:ole="">
            <v:imagedata r:id="rId24" o:title=""/>
          </v:shape>
          <o:OLEObject Type="Embed" ProgID="Equation.3" ShapeID="_x0000_i1032" DrawAspect="Content" ObjectID="_1515257798" r:id="rId25"/>
        </w:object>
      </w:r>
      <w:r w:rsidR="00AC0A64" w:rsidRPr="00734837">
        <w:rPr>
          <w:rFonts w:ascii="Times New Roman" w:hAnsi="Times New Roman" w:cs="Times New Roman"/>
          <w:sz w:val="24"/>
        </w:rPr>
        <w:t xml:space="preserve"> are available to estimate a desired parameter</w:t>
      </w:r>
      <w:r w:rsidR="008F2AA8" w:rsidRPr="00734837">
        <w:rPr>
          <w:rFonts w:ascii="Times New Roman" w:hAnsi="Times New Roman" w:cs="Times New Roman"/>
          <w:position w:val="-10"/>
          <w:sz w:val="24"/>
        </w:rPr>
        <w:object w:dxaOrig="540" w:dyaOrig="320">
          <v:shape id="_x0000_i1033" type="#_x0000_t75" style="width:29.25pt;height:15.75pt" o:ole="">
            <v:imagedata r:id="rId26" o:title=""/>
          </v:shape>
          <o:OLEObject Type="Embed" ProgID="Equation.3" ShapeID="_x0000_i1033" DrawAspect="Content" ObjectID="_1515257799" r:id="rId27"/>
        </w:object>
      </w:r>
      <w:r w:rsidR="00AC0A64" w:rsidRPr="00734837">
        <w:rPr>
          <w:rFonts w:ascii="Times New Roman" w:hAnsi="Times New Roman" w:cs="Times New Roman"/>
          <w:sz w:val="24"/>
        </w:rPr>
        <w:t xml:space="preserve">. Since the true population </w:t>
      </w:r>
      <w:r w:rsidR="00AC0A64" w:rsidRPr="00734837">
        <w:rPr>
          <w:rFonts w:ascii="Times New Roman" w:hAnsi="Times New Roman" w:cs="Times New Roman"/>
          <w:position w:val="-4"/>
          <w:sz w:val="24"/>
        </w:rPr>
        <w:object w:dxaOrig="260" w:dyaOrig="260">
          <v:shape id="_x0000_i1034" type="#_x0000_t75" style="width:10.5pt;height:10.5pt" o:ole="">
            <v:imagedata r:id="rId28" o:title=""/>
          </v:shape>
          <o:OLEObject Type="Embed" ProgID="Equation.3" ShapeID="_x0000_i1034" DrawAspect="Content" ObjectID="_1515257800" r:id="rId29"/>
        </w:object>
      </w:r>
      <w:r w:rsidR="00AC0A64" w:rsidRPr="00734837">
        <w:rPr>
          <w:rFonts w:ascii="Times New Roman" w:hAnsi="Times New Roman" w:cs="Times New Roman"/>
          <w:sz w:val="24"/>
        </w:rPr>
        <w:t xml:space="preserve"> is unknown, the true parameter </w:t>
      </w:r>
      <w:r w:rsidR="00AC0A64" w:rsidRPr="00734837">
        <w:rPr>
          <w:rFonts w:ascii="Times New Roman" w:hAnsi="Times New Roman" w:cs="Times New Roman"/>
          <w:position w:val="-10"/>
          <w:sz w:val="24"/>
        </w:rPr>
        <w:object w:dxaOrig="560" w:dyaOrig="380">
          <v:shape id="_x0000_i1035" type="#_x0000_t75" style="width:25.5pt;height:21pt" o:ole="">
            <v:imagedata r:id="rId30" o:title=""/>
          </v:shape>
          <o:OLEObject Type="Embed" ProgID="Equation.3" ShapeID="_x0000_i1035" DrawAspect="Content" ObjectID="_1515257801" r:id="rId31"/>
        </w:object>
      </w:r>
      <w:r w:rsidR="00AC0A64" w:rsidRPr="00734837">
        <w:rPr>
          <w:rFonts w:ascii="Times New Roman" w:hAnsi="Times New Roman" w:cs="Times New Roman"/>
          <w:sz w:val="24"/>
        </w:rPr>
        <w:t xml:space="preserve"> is also unknown. </w:t>
      </w:r>
      <w:r w:rsidR="0031620D" w:rsidRPr="00734837">
        <w:rPr>
          <w:rFonts w:ascii="Times New Roman" w:hAnsi="Times New Roman" w:cs="Times New Roman"/>
          <w:sz w:val="24"/>
        </w:rPr>
        <w:t>Therefore, we</w:t>
      </w:r>
      <w:r w:rsidR="00AC0A64" w:rsidRPr="00734837">
        <w:rPr>
          <w:rFonts w:ascii="Times New Roman" w:hAnsi="Times New Roman" w:cs="Times New Roman"/>
          <w:sz w:val="24"/>
        </w:rPr>
        <w:t xml:space="preserve"> draw </w:t>
      </w:r>
      <w:r w:rsidR="00AC0A64" w:rsidRPr="00734837">
        <w:rPr>
          <w:rFonts w:ascii="Times New Roman" w:hAnsi="Times New Roman" w:cs="Times New Roman"/>
          <w:position w:val="-4"/>
          <w:sz w:val="24"/>
        </w:rPr>
        <w:object w:dxaOrig="240" w:dyaOrig="260">
          <v:shape id="_x0000_i1036" type="#_x0000_t75" style="width:10.5pt;height:10.5pt" o:ole="">
            <v:imagedata r:id="rId32" o:title=""/>
          </v:shape>
          <o:OLEObject Type="Embed" ProgID="Equation.3" ShapeID="_x0000_i1036" DrawAspect="Content" ObjectID="_1515257802" r:id="rId33"/>
        </w:object>
      </w:r>
      <w:r w:rsidR="00AC0A64" w:rsidRPr="00734837">
        <w:rPr>
          <w:rFonts w:ascii="Times New Roman" w:hAnsi="Times New Roman" w:cs="Times New Roman"/>
          <w:sz w:val="24"/>
        </w:rPr>
        <w:t xml:space="preserve"> samples of </w:t>
      </w:r>
      <w:r w:rsidR="00313CD3" w:rsidRPr="00734837">
        <w:rPr>
          <w:rFonts w:ascii="Times New Roman" w:hAnsi="Times New Roman" w:cs="Times New Roman"/>
          <w:position w:val="-16"/>
          <w:sz w:val="24"/>
        </w:rPr>
        <w:object w:dxaOrig="1440" w:dyaOrig="440">
          <v:shape id="_x0000_i1037" type="#_x0000_t75" style="width:69.75pt;height:21pt" o:ole="">
            <v:imagedata r:id="rId34" o:title=""/>
          </v:shape>
          <o:OLEObject Type="Embed" ProgID="Equation.3" ShapeID="_x0000_i1037" DrawAspect="Content" ObjectID="_1515257803" r:id="rId35"/>
        </w:object>
      </w:r>
      <w:r w:rsidR="00AC0A64" w:rsidRPr="00734837">
        <w:rPr>
          <w:rFonts w:ascii="Times New Roman" w:hAnsi="Times New Roman" w:cs="Times New Roman"/>
          <w:sz w:val="24"/>
        </w:rPr>
        <w:t xml:space="preserve"> from the actual data. This provides </w:t>
      </w:r>
      <w:r w:rsidR="00AC0A64" w:rsidRPr="00734837">
        <w:rPr>
          <w:rFonts w:ascii="Times New Roman" w:hAnsi="Times New Roman" w:cs="Times New Roman"/>
          <w:position w:val="-4"/>
          <w:sz w:val="24"/>
        </w:rPr>
        <w:object w:dxaOrig="240" w:dyaOrig="260">
          <v:shape id="_x0000_i1038" type="#_x0000_t75" style="width:10.5pt;height:10.5pt" o:ole="">
            <v:imagedata r:id="rId32" o:title=""/>
          </v:shape>
          <o:OLEObject Type="Embed" ProgID="Equation.3" ShapeID="_x0000_i1038" DrawAspect="Content" ObjectID="_1515257804" r:id="rId36"/>
        </w:object>
      </w:r>
      <w:r w:rsidR="00AC0A64" w:rsidRPr="00734837">
        <w:rPr>
          <w:rFonts w:ascii="Times New Roman" w:hAnsi="Times New Roman" w:cs="Times New Roman"/>
          <w:sz w:val="24"/>
        </w:rPr>
        <w:t xml:space="preserve"> number of pseudo samples each of the </w:t>
      </w:r>
      <w:proofErr w:type="gramStart"/>
      <w:r w:rsidR="00AC0A64" w:rsidRPr="00734837">
        <w:rPr>
          <w:rFonts w:ascii="Times New Roman" w:hAnsi="Times New Roman" w:cs="Times New Roman"/>
          <w:sz w:val="24"/>
        </w:rPr>
        <w:t xml:space="preserve">size </w:t>
      </w:r>
      <w:proofErr w:type="gramEnd"/>
      <w:r w:rsidR="00AC0A64" w:rsidRPr="00734837">
        <w:rPr>
          <w:rFonts w:ascii="Times New Roman" w:hAnsi="Times New Roman" w:cs="Times New Roman"/>
          <w:position w:val="-4"/>
          <w:sz w:val="24"/>
        </w:rPr>
        <w:object w:dxaOrig="220" w:dyaOrig="260">
          <v:shape id="_x0000_i1039" type="#_x0000_t75" style="width:10.5pt;height:10.5pt" o:ole="">
            <v:imagedata r:id="rId37" o:title=""/>
          </v:shape>
          <o:OLEObject Type="Embed" ProgID="Equation.3" ShapeID="_x0000_i1039" DrawAspect="Content" ObjectID="_1515257805" r:id="rId38"/>
        </w:object>
      </w:r>
      <w:r w:rsidR="00AC0A64" w:rsidRPr="00734837">
        <w:rPr>
          <w:rFonts w:ascii="Times New Roman" w:hAnsi="Times New Roman" w:cs="Times New Roman"/>
          <w:sz w:val="24"/>
        </w:rPr>
        <w:t xml:space="preserve">: </w:t>
      </w:r>
      <w:r w:rsidR="00614CE9" w:rsidRPr="00734837">
        <w:rPr>
          <w:rFonts w:ascii="Times New Roman" w:hAnsi="Times New Roman" w:cs="Times New Roman"/>
          <w:position w:val="-10"/>
          <w:sz w:val="24"/>
        </w:rPr>
        <w:object w:dxaOrig="2000" w:dyaOrig="360">
          <v:shape id="_x0000_i1040" type="#_x0000_t75" style="width:100.5pt;height:21pt" o:ole="">
            <v:imagedata r:id="rId39" o:title=""/>
          </v:shape>
          <o:OLEObject Type="Embed" ProgID="Equation.3" ShapeID="_x0000_i1040" DrawAspect="Content" ObjectID="_1515257806" r:id="rId40"/>
        </w:object>
      </w:r>
      <w:r w:rsidR="00AC0A64" w:rsidRPr="00734837">
        <w:rPr>
          <w:rFonts w:ascii="Times New Roman" w:hAnsi="Times New Roman" w:cs="Times New Roman"/>
          <w:sz w:val="24"/>
        </w:rPr>
        <w:t>. We can therefore compute</w:t>
      </w:r>
      <w:r w:rsidR="00DA288F" w:rsidRPr="00734837">
        <w:rPr>
          <w:rFonts w:ascii="Times New Roman" w:hAnsi="Times New Roman" w:cs="Times New Roman"/>
          <w:sz w:val="24"/>
        </w:rPr>
        <w:t xml:space="preserve"> </w:t>
      </w:r>
      <m:oMath>
        <m:sSup>
          <m:sSupPr>
            <m:ctrlPr>
              <w:rPr>
                <w:rFonts w:ascii="Cambria Math" w:hAnsi="Cambria Math" w:cs="Times New Roman"/>
                <w:i/>
                <w:sz w:val="24"/>
              </w:rPr>
            </m:ctrlPr>
          </m:sSupPr>
          <m:e>
            <m:r>
              <w:rPr>
                <w:rFonts w:ascii="Cambria Math" w:hAnsi="Cambria Math" w:cs="Times New Roman"/>
                <w:sz w:val="24"/>
              </w:rPr>
              <m:t>θ</m:t>
            </m:r>
          </m:e>
          <m:sup>
            <m:r>
              <w:rPr>
                <w:rFonts w:ascii="Cambria Math" w:hAnsi="Cambria Math" w:cs="Times New Roman"/>
                <w:sz w:val="24"/>
              </w:rPr>
              <m:t>*</m:t>
            </m:r>
          </m:sup>
        </m:sSup>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(b)</m:t>
                </m:r>
              </m:sup>
            </m:sSup>
          </m:e>
        </m:d>
      </m:oMath>
      <w:r w:rsidR="00AC0A64" w:rsidRPr="00734837">
        <w:rPr>
          <w:rFonts w:ascii="Times New Roman" w:hAnsi="Times New Roman" w:cs="Times New Roman"/>
          <w:sz w:val="24"/>
        </w:rPr>
        <w:t xml:space="preserve">  for </w:t>
      </w:r>
      <w:r w:rsidR="008232D2" w:rsidRPr="00734837">
        <w:rPr>
          <w:rFonts w:ascii="Times New Roman" w:hAnsi="Times New Roman" w:cs="Times New Roman"/>
          <w:sz w:val="24"/>
        </w:rPr>
        <w:t>each</w:t>
      </w:r>
      <w:r w:rsidR="00AC0A64" w:rsidRPr="00734837">
        <w:rPr>
          <w:rFonts w:ascii="Times New Roman" w:hAnsi="Times New Roman" w:cs="Times New Roman"/>
          <w:position w:val="-10"/>
          <w:sz w:val="24"/>
        </w:rPr>
        <w:object w:dxaOrig="940" w:dyaOrig="320">
          <v:shape id="_x0000_i1041" type="#_x0000_t75" style="width:46.5pt;height:15.75pt" o:ole="">
            <v:imagedata r:id="rId41" o:title=""/>
          </v:shape>
          <o:OLEObject Type="Embed" ProgID="Equation.3" ShapeID="_x0000_i1041" DrawAspect="Content" ObjectID="_1515257807" r:id="rId42"/>
        </w:object>
      </w:r>
      <w:r w:rsidR="005E51D3" w:rsidRPr="00734837">
        <w:rPr>
          <w:rFonts w:ascii="Times New Roman" w:hAnsi="Times New Roman" w:cs="Times New Roman"/>
          <w:sz w:val="24"/>
        </w:rPr>
        <w:t xml:space="preserve">. </w:t>
      </w:r>
      <w:proofErr w:type="gramStart"/>
      <w:r w:rsidR="00AC0A64" w:rsidRPr="00734837">
        <w:rPr>
          <w:rFonts w:ascii="Times New Roman" w:hAnsi="Times New Roman" w:cs="Times New Roman"/>
          <w:sz w:val="24"/>
        </w:rPr>
        <w:t>Therefore</w:t>
      </w:r>
      <w:proofErr w:type="gramEnd"/>
      <w:r w:rsidR="00AC0A64" w:rsidRPr="00734837">
        <w:rPr>
          <w:rFonts w:ascii="Times New Roman" w:hAnsi="Times New Roman" w:cs="Times New Roman"/>
          <w:sz w:val="24"/>
        </w:rPr>
        <w:t xml:space="preserve"> the relationship between the true and sample estimates can be computed using the relationship between the sample and bootstrapped estimates (</w:t>
      </w:r>
      <w:r w:rsidR="004A2AB5" w:rsidRPr="00734837">
        <w:rPr>
          <w:rFonts w:ascii="Times New Roman" w:hAnsi="Times New Roman" w:cs="Times New Roman"/>
          <w:sz w:val="24"/>
        </w:rPr>
        <w:t>d</w:t>
      </w:r>
      <w:r w:rsidR="00011D0B" w:rsidRPr="00734837">
        <w:rPr>
          <w:rFonts w:ascii="Times New Roman" w:hAnsi="Times New Roman" w:cs="Times New Roman"/>
          <w:sz w:val="24"/>
        </w:rPr>
        <w:t xml:space="preserve">e Borger, </w:t>
      </w:r>
      <w:proofErr w:type="spellStart"/>
      <w:r w:rsidR="00FC4BF3" w:rsidRPr="00734837">
        <w:rPr>
          <w:rFonts w:ascii="Times New Roman" w:eastAsiaTheme="minorEastAsia" w:hAnsi="Times New Roman" w:cs="Times New Roman"/>
          <w:sz w:val="24"/>
          <w:szCs w:val="24"/>
        </w:rPr>
        <w:t>Kerstens</w:t>
      </w:r>
      <w:proofErr w:type="spellEnd"/>
      <w:r w:rsidR="00FC4BF3" w:rsidRPr="00734837">
        <w:rPr>
          <w:rFonts w:ascii="Times New Roman" w:eastAsiaTheme="minorEastAsia" w:hAnsi="Times New Roman" w:cs="Times New Roman"/>
          <w:sz w:val="24"/>
          <w:szCs w:val="24"/>
        </w:rPr>
        <w:t xml:space="preserve"> </w:t>
      </w:r>
      <w:r w:rsidR="00693D1C" w:rsidRPr="00734837">
        <w:rPr>
          <w:rFonts w:ascii="Times New Roman" w:eastAsiaTheme="minorEastAsia" w:hAnsi="Times New Roman" w:cs="Times New Roman"/>
          <w:sz w:val="24"/>
          <w:szCs w:val="24"/>
        </w:rPr>
        <w:t>and</w:t>
      </w:r>
      <w:r w:rsidR="00AC0A64" w:rsidRPr="00734837">
        <w:rPr>
          <w:rFonts w:ascii="Times New Roman" w:eastAsiaTheme="minorEastAsia" w:hAnsi="Times New Roman" w:cs="Times New Roman"/>
          <w:sz w:val="24"/>
          <w:szCs w:val="24"/>
        </w:rPr>
        <w:t xml:space="preserve"> </w:t>
      </w:r>
      <w:proofErr w:type="spellStart"/>
      <w:r w:rsidR="00AC0A64" w:rsidRPr="00734837">
        <w:rPr>
          <w:rFonts w:ascii="Times New Roman" w:eastAsiaTheme="minorEastAsia" w:hAnsi="Times New Roman" w:cs="Times New Roman"/>
          <w:sz w:val="24"/>
          <w:szCs w:val="24"/>
        </w:rPr>
        <w:t>Staat</w:t>
      </w:r>
      <w:proofErr w:type="spellEnd"/>
      <w:r w:rsidR="00AC0A64" w:rsidRPr="00734837">
        <w:rPr>
          <w:rFonts w:ascii="Times New Roman" w:eastAsiaTheme="minorEastAsia" w:hAnsi="Times New Roman" w:cs="Times New Roman"/>
          <w:sz w:val="24"/>
          <w:szCs w:val="24"/>
        </w:rPr>
        <w:t>, 2008)</w:t>
      </w:r>
    </w:p>
    <w:p w:rsidR="00AC0A64" w:rsidRPr="00734837" w:rsidRDefault="00AC0A64" w:rsidP="00DB671E">
      <w:pPr>
        <w:spacing w:line="240" w:lineRule="auto"/>
        <w:jc w:val="both"/>
        <w:rPr>
          <w:rFonts w:ascii="Times New Roman" w:hAnsi="Times New Roman" w:cs="Times New Roman"/>
          <w:sz w:val="24"/>
        </w:rPr>
      </w:pPr>
      <w:r w:rsidRPr="00734837">
        <w:rPr>
          <w:rFonts w:ascii="Times New Roman" w:hAnsi="Times New Roman" w:cs="Times New Roman"/>
          <w:sz w:val="24"/>
        </w:rPr>
        <w:t>For example,</w:t>
      </w:r>
    </w:p>
    <w:p w:rsidR="00AC0A64" w:rsidRPr="00734837" w:rsidRDefault="00E9272E" w:rsidP="00DB671E">
      <w:pPr>
        <w:spacing w:line="240" w:lineRule="auto"/>
        <w:jc w:val="center"/>
        <w:rPr>
          <w:rFonts w:ascii="Times New Roman" w:hAnsi="Times New Roman" w:cs="Times New Roman"/>
          <w:sz w:val="24"/>
        </w:rPr>
      </w:pPr>
      <w:r w:rsidRPr="00734837">
        <w:rPr>
          <w:rFonts w:ascii="Times New Roman" w:hAnsi="Times New Roman" w:cs="Times New Roman"/>
          <w:position w:val="-18"/>
          <w:sz w:val="24"/>
        </w:rPr>
        <w:object w:dxaOrig="3800" w:dyaOrig="480">
          <v:shape id="_x0000_i1042" type="#_x0000_t75" style="width:190.5pt;height:25.5pt" o:ole="">
            <v:imagedata r:id="rId43" o:title=""/>
          </v:shape>
          <o:OLEObject Type="Embed" ProgID="Equation.3" ShapeID="_x0000_i1042" DrawAspect="Content" ObjectID="_1515257808" r:id="rId44"/>
        </w:object>
      </w:r>
    </w:p>
    <w:p w:rsidR="00AC0A64" w:rsidRPr="00734837" w:rsidRDefault="00F27CCF" w:rsidP="00DB671E">
      <w:pPr>
        <w:spacing w:line="240" w:lineRule="auto"/>
        <w:jc w:val="both"/>
        <w:rPr>
          <w:rFonts w:ascii="Times New Roman" w:hAnsi="Times New Roman" w:cs="Times New Roman"/>
          <w:sz w:val="24"/>
          <w:szCs w:val="24"/>
        </w:rPr>
      </w:pPr>
      <w:r w:rsidRPr="00734837">
        <w:rPr>
          <w:rFonts w:ascii="Times New Roman" w:hAnsi="Times New Roman" w:cs="Times New Roman"/>
          <w:sz w:val="24"/>
          <w:szCs w:val="24"/>
        </w:rPr>
        <w:t>This means that</w:t>
      </w:r>
      <w:r w:rsidR="00AC0A64" w:rsidRPr="00734837">
        <w:rPr>
          <w:rFonts w:ascii="Times New Roman" w:hAnsi="Times New Roman" w:cs="Times New Roman"/>
          <w:sz w:val="24"/>
          <w:szCs w:val="24"/>
        </w:rPr>
        <w:t xml:space="preserve">, the difference between the true (but unknown) estimate </w:t>
      </w:r>
      <w:r w:rsidR="00AC0A64" w:rsidRPr="00734837">
        <w:rPr>
          <w:rFonts w:ascii="Times New Roman" w:hAnsi="Times New Roman" w:cs="Times New Roman"/>
          <w:position w:val="-10"/>
          <w:sz w:val="24"/>
          <w:szCs w:val="24"/>
        </w:rPr>
        <w:object w:dxaOrig="560" w:dyaOrig="380">
          <v:shape id="_x0000_i1043" type="#_x0000_t75" style="width:25.5pt;height:21pt" o:ole="">
            <v:imagedata r:id="rId45" o:title=""/>
          </v:shape>
          <o:OLEObject Type="Embed" ProgID="Equation.3" ShapeID="_x0000_i1043" DrawAspect="Content" ObjectID="_1515257809" r:id="rId46"/>
        </w:object>
      </w:r>
      <w:r w:rsidR="00AC0A64" w:rsidRPr="00734837">
        <w:rPr>
          <w:rFonts w:ascii="Times New Roman" w:hAnsi="Times New Roman" w:cs="Times New Roman"/>
          <w:sz w:val="24"/>
          <w:szCs w:val="24"/>
        </w:rPr>
        <w:t xml:space="preserve"> an</w:t>
      </w:r>
      <w:r w:rsidR="00E93414" w:rsidRPr="00734837">
        <w:rPr>
          <w:rFonts w:ascii="Times New Roman" w:hAnsi="Times New Roman" w:cs="Times New Roman"/>
          <w:sz w:val="24"/>
          <w:szCs w:val="24"/>
        </w:rPr>
        <w:t>d t</w:t>
      </w:r>
      <w:r w:rsidR="00AC0A64" w:rsidRPr="00734837">
        <w:rPr>
          <w:rFonts w:ascii="Times New Roman" w:hAnsi="Times New Roman" w:cs="Times New Roman"/>
          <w:sz w:val="24"/>
          <w:szCs w:val="24"/>
        </w:rPr>
        <w:t xml:space="preserve">he sample </w:t>
      </w:r>
      <w:r w:rsidR="008232D2" w:rsidRPr="00734837">
        <w:rPr>
          <w:rFonts w:ascii="Times New Roman" w:hAnsi="Times New Roman" w:cs="Times New Roman"/>
          <w:sz w:val="24"/>
          <w:szCs w:val="24"/>
        </w:rPr>
        <w:t>estimate</w:t>
      </w:r>
      <w:r w:rsidR="005C6ACD" w:rsidRPr="00734837">
        <w:rPr>
          <w:rFonts w:ascii="Times New Roman" w:hAnsi="Times New Roman" w:cs="Times New Roman"/>
          <w:position w:val="-10"/>
          <w:sz w:val="24"/>
          <w:szCs w:val="24"/>
        </w:rPr>
        <w:object w:dxaOrig="540" w:dyaOrig="320">
          <v:shape id="_x0000_i1044" type="#_x0000_t75" style="width:29.25pt;height:15.75pt" o:ole="">
            <v:imagedata r:id="rId47" o:title=""/>
          </v:shape>
          <o:OLEObject Type="Embed" ProgID="Equation.3" ShapeID="_x0000_i1044" DrawAspect="Content" ObjectID="_1515257810" r:id="rId48"/>
        </w:object>
      </w:r>
      <w:proofErr w:type="gramStart"/>
      <w:r w:rsidR="00AC0A64" w:rsidRPr="00734837">
        <w:rPr>
          <w:rFonts w:ascii="Times New Roman" w:hAnsi="Times New Roman" w:cs="Times New Roman"/>
          <w:sz w:val="24"/>
          <w:szCs w:val="24"/>
        </w:rPr>
        <w:t>,</w:t>
      </w:r>
      <w:proofErr w:type="gramEnd"/>
      <w:r w:rsidR="00AC0A64" w:rsidRPr="00734837">
        <w:rPr>
          <w:rFonts w:ascii="Times New Roman" w:hAnsi="Times New Roman" w:cs="Times New Roman"/>
          <w:sz w:val="24"/>
          <w:szCs w:val="24"/>
        </w:rPr>
        <w:t xml:space="preserve"> is approximately equal to the difference between the samp</w:t>
      </w:r>
      <w:r w:rsidR="003215C3" w:rsidRPr="00734837">
        <w:rPr>
          <w:rFonts w:ascii="Times New Roman" w:hAnsi="Times New Roman" w:cs="Times New Roman"/>
          <w:sz w:val="24"/>
          <w:szCs w:val="24"/>
        </w:rPr>
        <w:t xml:space="preserve">le </w:t>
      </w:r>
      <w:r w:rsidR="00AC0A64" w:rsidRPr="00734837">
        <w:rPr>
          <w:rFonts w:ascii="Times New Roman" w:hAnsi="Times New Roman" w:cs="Times New Roman"/>
          <w:sz w:val="24"/>
          <w:szCs w:val="24"/>
        </w:rPr>
        <w:t xml:space="preserve">estimate </w:t>
      </w:r>
      <w:r w:rsidR="005C6ACD" w:rsidRPr="00734837">
        <w:rPr>
          <w:rFonts w:ascii="Times New Roman" w:hAnsi="Times New Roman" w:cs="Times New Roman"/>
          <w:position w:val="-10"/>
          <w:sz w:val="24"/>
          <w:szCs w:val="24"/>
        </w:rPr>
        <w:object w:dxaOrig="540" w:dyaOrig="320">
          <v:shape id="_x0000_i1045" type="#_x0000_t75" style="width:29.25pt;height:15.75pt" o:ole="">
            <v:imagedata r:id="rId49" o:title=""/>
          </v:shape>
          <o:OLEObject Type="Embed" ProgID="Equation.3" ShapeID="_x0000_i1045" DrawAspect="Content" ObjectID="_1515257811" r:id="rId50"/>
        </w:object>
      </w:r>
      <w:r w:rsidR="00AC0A64" w:rsidRPr="00734837">
        <w:rPr>
          <w:rFonts w:ascii="Times New Roman" w:hAnsi="Times New Roman" w:cs="Times New Roman"/>
          <w:sz w:val="24"/>
          <w:szCs w:val="24"/>
        </w:rPr>
        <w:t xml:space="preserve">and the bootstrapped </w:t>
      </w:r>
      <w:r w:rsidR="008232D2" w:rsidRPr="00734837">
        <w:rPr>
          <w:rFonts w:ascii="Times New Roman" w:hAnsi="Times New Roman" w:cs="Times New Roman"/>
          <w:sz w:val="24"/>
          <w:szCs w:val="24"/>
        </w:rPr>
        <w:t>estimate</w:t>
      </w:r>
      <w:r w:rsidR="00231913" w:rsidRPr="00734837">
        <w:rPr>
          <w:rFonts w:ascii="Times New Roman" w:hAnsi="Times New Roman" w:cs="Times New Roman"/>
          <w:position w:val="-10"/>
          <w:sz w:val="24"/>
          <w:szCs w:val="24"/>
        </w:rPr>
        <w:object w:dxaOrig="780" w:dyaOrig="360">
          <v:shape id="_x0000_i1046" type="#_x0000_t75" style="width:38.25pt;height:21pt" o:ole="">
            <v:imagedata r:id="rId51" o:title=""/>
          </v:shape>
          <o:OLEObject Type="Embed" ProgID="Equation.3" ShapeID="_x0000_i1046" DrawAspect="Content" ObjectID="_1515257812" r:id="rId52"/>
        </w:object>
      </w:r>
      <w:r w:rsidR="00AC0A64" w:rsidRPr="00734837">
        <w:rPr>
          <w:rFonts w:ascii="Times New Roman" w:hAnsi="Times New Roman" w:cs="Times New Roman"/>
          <w:sz w:val="24"/>
          <w:szCs w:val="24"/>
        </w:rPr>
        <w:t xml:space="preserve">. The bias </w:t>
      </w:r>
      <w:r w:rsidR="0031620D" w:rsidRPr="00734837">
        <w:rPr>
          <w:rFonts w:ascii="Times New Roman" w:hAnsi="Times New Roman" w:cs="Times New Roman"/>
          <w:sz w:val="24"/>
          <w:szCs w:val="24"/>
        </w:rPr>
        <w:t>in</w:t>
      </w:r>
      <w:r w:rsidR="00AC0A64" w:rsidRPr="00734837">
        <w:rPr>
          <w:rFonts w:ascii="Times New Roman" w:hAnsi="Times New Roman" w:cs="Times New Roman"/>
          <w:sz w:val="24"/>
          <w:szCs w:val="24"/>
        </w:rPr>
        <w:t xml:space="preserve"> the e</w:t>
      </w:r>
      <w:r w:rsidR="0045501F" w:rsidRPr="00734837">
        <w:rPr>
          <w:rFonts w:ascii="Times New Roman" w:hAnsi="Times New Roman" w:cs="Times New Roman"/>
          <w:sz w:val="24"/>
          <w:szCs w:val="24"/>
        </w:rPr>
        <w:t xml:space="preserve">stimate </w:t>
      </w:r>
      <w:proofErr w:type="gramStart"/>
      <w:r w:rsidR="0045501F" w:rsidRPr="00734837">
        <w:rPr>
          <w:rFonts w:ascii="Times New Roman" w:hAnsi="Times New Roman" w:cs="Times New Roman"/>
          <w:sz w:val="24"/>
          <w:szCs w:val="24"/>
        </w:rPr>
        <w:t>is therefore computed</w:t>
      </w:r>
      <w:proofErr w:type="gramEnd"/>
      <w:r w:rsidR="0045501F" w:rsidRPr="00734837">
        <w:rPr>
          <w:rFonts w:ascii="Times New Roman" w:hAnsi="Times New Roman" w:cs="Times New Roman"/>
          <w:sz w:val="24"/>
          <w:szCs w:val="24"/>
        </w:rPr>
        <w:t xml:space="preserve"> as</w:t>
      </w:r>
      <w:r w:rsidR="00AC0A64" w:rsidRPr="00734837">
        <w:rPr>
          <w:rFonts w:ascii="Times New Roman" w:hAnsi="Times New Roman" w:cs="Times New Roman"/>
          <w:sz w:val="24"/>
          <w:szCs w:val="24"/>
        </w:rPr>
        <w:t>:</w:t>
      </w:r>
    </w:p>
    <w:p w:rsidR="00AC0A64" w:rsidRPr="00734837" w:rsidRDefault="00AC0A64" w:rsidP="00DB671E">
      <w:pPr>
        <w:spacing w:line="240" w:lineRule="auto"/>
        <w:ind w:left="36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Bias</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d>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B</m:t>
              </m:r>
            </m:den>
          </m:f>
          <m:nary>
            <m:naryPr>
              <m:chr m:val="∑"/>
              <m:ctrlPr>
                <w:rPr>
                  <w:rFonts w:ascii="Cambria Math" w:hAnsi="Cambria Math" w:cs="Times New Roman"/>
                  <w:i/>
                  <w:iCs/>
                  <w:sz w:val="24"/>
                  <w:szCs w:val="24"/>
                </w:rPr>
              </m:ctrlPr>
            </m:naryPr>
            <m:sub>
              <m:r>
                <w:rPr>
                  <w:rFonts w:ascii="Cambria Math" w:hAnsi="Cambria Math" w:cs="Times New Roman"/>
                  <w:sz w:val="24"/>
                  <w:szCs w:val="24"/>
                </w:rPr>
                <m:t>b=1</m:t>
              </m:r>
            </m:sub>
            <m:sup>
              <m:r>
                <w:rPr>
                  <w:rFonts w:ascii="Cambria Math" w:hAnsi="Cambria Math" w:cs="Times New Roman"/>
                  <w:sz w:val="24"/>
                  <w:szCs w:val="24"/>
                </w:rPr>
                <m:t>N</m:t>
              </m:r>
            </m:sup>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nary>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R</m:t>
                  </m:r>
                </m:e>
                <m:sup>
                  <m:d>
                    <m:dPr>
                      <m:ctrlPr>
                        <w:rPr>
                          <w:rFonts w:ascii="Cambria Math" w:hAnsi="Cambria Math" w:cs="Times New Roman"/>
                          <w:i/>
                          <w:iCs/>
                          <w:sz w:val="24"/>
                          <w:szCs w:val="24"/>
                        </w:rPr>
                      </m:ctrlPr>
                    </m:dPr>
                    <m:e>
                      <m:r>
                        <w:rPr>
                          <w:rFonts w:ascii="Cambria Math" w:hAnsi="Cambria Math" w:cs="Times New Roman"/>
                          <w:sz w:val="24"/>
                          <w:szCs w:val="24"/>
                        </w:rPr>
                        <m:t>b</m:t>
                      </m:r>
                    </m:e>
                  </m:d>
                </m:sup>
              </m:sSup>
            </m:e>
          </m:d>
          <m:r>
            <m:rPr>
              <m:sty m:val="p"/>
            </m:rPr>
            <w:rPr>
              <w:rFonts w:ascii="Cambria Math" w:hAnsi="Cambria Math" w:cs="Times New Roman"/>
              <w:sz w:val="24"/>
              <w:szCs w:val="24"/>
            </w:rPr>
            <m:t>-</m:t>
          </m:r>
          <m:r>
            <w:rPr>
              <w:rFonts w:ascii="Cambria Math" w:hAnsi="Cambria Math" w:cs="Times New Roman"/>
              <w:sz w:val="24"/>
              <w:szCs w:val="24"/>
              <w:lang w:val="el-GR"/>
            </w:rPr>
            <m:t>θ</m:t>
          </m:r>
          <m:r>
            <w:rPr>
              <w:rFonts w:ascii="Cambria Math" w:hAnsi="Cambria Math" w:cs="Times New Roman"/>
              <w:sz w:val="24"/>
              <w:szCs w:val="24"/>
            </w:rPr>
            <m:t>(R)</m:t>
          </m:r>
        </m:oMath>
      </m:oMathPara>
    </w:p>
    <w:p w:rsidR="00AC0A64" w:rsidRPr="00734837" w:rsidRDefault="00AC0A64" w:rsidP="00DB671E">
      <w:pPr>
        <w:spacing w:line="240" w:lineRule="auto"/>
        <w:jc w:val="both"/>
        <w:rPr>
          <w:rFonts w:ascii="Times New Roman" w:hAnsi="Times New Roman" w:cs="Times New Roman"/>
          <w:sz w:val="24"/>
          <w:szCs w:val="24"/>
        </w:rPr>
      </w:pPr>
      <w:r w:rsidRPr="00734837">
        <w:rPr>
          <w:rFonts w:ascii="Times New Roman" w:hAnsi="Times New Roman" w:cs="Times New Roman"/>
          <w:sz w:val="24"/>
          <w:szCs w:val="24"/>
        </w:rPr>
        <w:t xml:space="preserve">It </w:t>
      </w:r>
      <w:proofErr w:type="gramStart"/>
      <w:r w:rsidRPr="00734837">
        <w:rPr>
          <w:rFonts w:ascii="Times New Roman" w:hAnsi="Times New Roman" w:cs="Times New Roman"/>
          <w:sz w:val="24"/>
          <w:szCs w:val="24"/>
        </w:rPr>
        <w:t>should be noted</w:t>
      </w:r>
      <w:proofErr w:type="gramEnd"/>
      <w:r w:rsidRPr="00734837">
        <w:rPr>
          <w:rFonts w:ascii="Times New Roman" w:hAnsi="Times New Roman" w:cs="Times New Roman"/>
          <w:sz w:val="24"/>
          <w:szCs w:val="24"/>
        </w:rPr>
        <w:t xml:space="preserve"> that </w:t>
      </w:r>
      <w:r w:rsidR="00231913" w:rsidRPr="00734837">
        <w:rPr>
          <w:rFonts w:ascii="Times New Roman" w:hAnsi="Times New Roman" w:cs="Times New Roman"/>
          <w:position w:val="-28"/>
          <w:sz w:val="24"/>
          <w:szCs w:val="24"/>
        </w:rPr>
        <w:object w:dxaOrig="1359" w:dyaOrig="680">
          <v:shape id="_x0000_i1047" type="#_x0000_t75" style="width:66.75pt;height:36.75pt" o:ole="">
            <v:imagedata r:id="rId53" o:title=""/>
          </v:shape>
          <o:OLEObject Type="Embed" ProgID="Equation.3" ShapeID="_x0000_i1047" DrawAspect="Content" ObjectID="_1515257813" r:id="rId54"/>
        </w:object>
      </w:r>
      <w:r w:rsidRPr="00734837">
        <w:rPr>
          <w:rFonts w:ascii="Times New Roman" w:hAnsi="Times New Roman" w:cs="Times New Roman"/>
          <w:sz w:val="24"/>
          <w:szCs w:val="24"/>
        </w:rPr>
        <w:t xml:space="preserve"> represents the mea</w:t>
      </w:r>
      <w:r w:rsidR="005C6D8B" w:rsidRPr="00734837">
        <w:rPr>
          <w:rFonts w:ascii="Times New Roman" w:hAnsi="Times New Roman" w:cs="Times New Roman"/>
          <w:sz w:val="24"/>
          <w:szCs w:val="24"/>
        </w:rPr>
        <w:t xml:space="preserve">n of the bootstrapped estimate. </w:t>
      </w:r>
      <w:r w:rsidRPr="00734837">
        <w:rPr>
          <w:rFonts w:ascii="Times New Roman" w:hAnsi="Times New Roman" w:cs="Times New Roman"/>
          <w:sz w:val="24"/>
          <w:szCs w:val="24"/>
        </w:rPr>
        <w:t>The variance for t</w:t>
      </w:r>
      <w:r w:rsidR="00755D0C" w:rsidRPr="00734837">
        <w:rPr>
          <w:rFonts w:ascii="Times New Roman" w:hAnsi="Times New Roman" w:cs="Times New Roman"/>
          <w:sz w:val="24"/>
          <w:szCs w:val="24"/>
        </w:rPr>
        <w:t xml:space="preserve">he estimate is also computed </w:t>
      </w:r>
      <w:proofErr w:type="gramStart"/>
      <w:r w:rsidR="00755D0C" w:rsidRPr="00734837">
        <w:rPr>
          <w:rFonts w:ascii="Times New Roman" w:hAnsi="Times New Roman" w:cs="Times New Roman"/>
          <w:sz w:val="24"/>
          <w:szCs w:val="24"/>
        </w:rPr>
        <w:t xml:space="preserve">by </w:t>
      </w:r>
      <w:proofErr w:type="gramEnd"/>
      <m:oMath>
        <m:r>
          <w:rPr>
            <w:rFonts w:ascii="Cambria Math" w:hAnsi="Cambria Math" w:cs="Times New Roman"/>
            <w:sz w:val="24"/>
            <w:szCs w:val="24"/>
          </w:rPr>
          <m:t>var</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d>
        <m:r>
          <m:rPr>
            <m:sty m:val="p"/>
          </m:rPr>
          <w:rPr>
            <w:rFonts w:ascii="Cambria Math" w:hAnsi="Cambria Math" w:cs="Times New Roman"/>
            <w:sz w:val="24"/>
            <w:szCs w:val="24"/>
          </w:rPr>
          <m:t>=</m:t>
        </m:r>
        <m:sSup>
          <m:sSupPr>
            <m:ctrlPr>
              <w:rPr>
                <w:rFonts w:ascii="Cambria Math" w:hAnsi="Cambria Math" w:cs="Times New Roman"/>
                <w:i/>
                <w:iCs/>
                <w:sz w:val="24"/>
                <w:szCs w:val="24"/>
              </w:rPr>
            </m:ctrlPr>
          </m:sSupPr>
          <m:e>
            <m:r>
              <m:rPr>
                <m:sty m:val="p"/>
              </m:rPr>
              <w:rPr>
                <w:rFonts w:ascii="Cambria Math" w:hAnsi="Cambria Math" w:cs="Times New Roman"/>
                <w:sz w:val="24"/>
                <w:szCs w:val="24"/>
              </w:rPr>
              <m:t>E</m:t>
            </m:r>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-E(</m:t>
                </m:r>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m:t>
                </m:r>
              </m:e>
            </m:d>
          </m:e>
          <m:sup>
            <m:r>
              <w:rPr>
                <w:rFonts w:ascii="Cambria Math" w:hAnsi="Cambria Math" w:cs="Times New Roman"/>
                <w:sz w:val="24"/>
                <w:szCs w:val="24"/>
              </w:rPr>
              <m:t>2</m:t>
            </m:r>
          </m:sup>
        </m:sSup>
      </m:oMath>
      <w:r w:rsidR="00755D0C" w:rsidRPr="00734837">
        <w:rPr>
          <w:rFonts w:ascii="Times New Roman" w:eastAsiaTheme="minorEastAsia" w:hAnsi="Times New Roman" w:cs="Times New Roman"/>
          <w:iCs/>
          <w:sz w:val="24"/>
          <w:szCs w:val="24"/>
        </w:rPr>
        <w:t>.</w:t>
      </w:r>
      <w:r w:rsidR="005C6D8B" w:rsidRPr="00734837">
        <w:rPr>
          <w:rFonts w:ascii="Times New Roman" w:hAnsi="Times New Roman" w:cs="Times New Roman"/>
          <w:sz w:val="24"/>
          <w:szCs w:val="24"/>
        </w:rPr>
        <w:t xml:space="preserve"> </w:t>
      </w:r>
      <w:r w:rsidRPr="00734837">
        <w:rPr>
          <w:rFonts w:ascii="Times New Roman" w:hAnsi="Times New Roman" w:cs="Times New Roman"/>
          <w:sz w:val="24"/>
          <w:szCs w:val="24"/>
        </w:rPr>
        <w:t xml:space="preserve">Rule of thumb, </w:t>
      </w:r>
      <w:proofErr w:type="gramStart"/>
      <w:r w:rsidRPr="00734837">
        <w:rPr>
          <w:rFonts w:ascii="Times New Roman" w:hAnsi="Times New Roman" w:cs="Times New Roman"/>
          <w:sz w:val="24"/>
          <w:szCs w:val="24"/>
        </w:rPr>
        <w:t xml:space="preserve">if  </w:t>
      </w:r>
      <w:proofErr w:type="gramEnd"/>
      <m:oMath>
        <m:f>
          <m:fPr>
            <m:ctrlPr>
              <w:rPr>
                <w:rFonts w:ascii="Cambria Math" w:hAnsi="Cambria Math" w:cs="Times New Roman"/>
                <w:i/>
                <w:iCs/>
                <w:sz w:val="24"/>
                <w:szCs w:val="24"/>
              </w:rPr>
            </m:ctrlPr>
          </m:fPr>
          <m:num>
            <m:r>
              <w:rPr>
                <w:rFonts w:ascii="Cambria Math" w:hAnsi="Cambria Math" w:cs="Times New Roman"/>
                <w:sz w:val="24"/>
                <w:szCs w:val="24"/>
              </w:rPr>
              <m:t>|Bias</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d>
            <m:r>
              <w:rPr>
                <w:rFonts w:ascii="Cambria Math" w:hAnsi="Cambria Math" w:cs="Times New Roman"/>
                <w:sz w:val="24"/>
                <w:szCs w:val="24"/>
              </w:rPr>
              <m:t>|</m:t>
            </m:r>
          </m:num>
          <m:den>
            <m:r>
              <w:rPr>
                <w:rFonts w:ascii="Cambria Math" w:hAnsi="Cambria Math" w:cs="Times New Roman"/>
                <w:sz w:val="24"/>
                <w:szCs w:val="24"/>
              </w:rPr>
              <m:t>Std(</m:t>
            </m:r>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m:t>
            </m:r>
          </m:den>
        </m:f>
        <m:r>
          <w:rPr>
            <w:rFonts w:ascii="Cambria Math" w:hAnsi="Cambria Math" w:cs="Times New Roman"/>
            <w:sz w:val="24"/>
            <w:szCs w:val="24"/>
          </w:rPr>
          <m:t>≤0.25</m:t>
        </m:r>
      </m:oMath>
      <w:r w:rsidRPr="00734837">
        <w:rPr>
          <w:rFonts w:ascii="Times New Roman" w:hAnsi="Times New Roman" w:cs="Times New Roman"/>
          <w:sz w:val="24"/>
          <w:szCs w:val="24"/>
        </w:rPr>
        <w:t>, then deviation of the bootstrapped estimates from the  actual sa</w:t>
      </w:r>
      <w:proofErr w:type="spellStart"/>
      <w:r w:rsidR="00E217B9" w:rsidRPr="00734837">
        <w:rPr>
          <w:rFonts w:ascii="Times New Roman" w:hAnsi="Times New Roman" w:cs="Times New Roman"/>
          <w:sz w:val="24"/>
          <w:szCs w:val="24"/>
        </w:rPr>
        <w:t>mple</w:t>
      </w:r>
      <w:proofErr w:type="spellEnd"/>
      <w:r w:rsidR="00E217B9" w:rsidRPr="00734837">
        <w:rPr>
          <w:rFonts w:ascii="Times New Roman" w:hAnsi="Times New Roman" w:cs="Times New Roman"/>
          <w:sz w:val="24"/>
          <w:szCs w:val="24"/>
        </w:rPr>
        <w:t xml:space="preserve"> is insignificant (</w:t>
      </w:r>
      <w:proofErr w:type="spellStart"/>
      <w:r w:rsidR="00E217B9" w:rsidRPr="00734837">
        <w:rPr>
          <w:rFonts w:ascii="Times New Roman" w:hAnsi="Times New Roman" w:cs="Times New Roman"/>
          <w:sz w:val="24"/>
          <w:szCs w:val="24"/>
        </w:rPr>
        <w:t>Efron</w:t>
      </w:r>
      <w:proofErr w:type="spellEnd"/>
      <w:r w:rsidR="00E217B9"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Tibshirani</w:t>
      </w:r>
      <w:proofErr w:type="spellEnd"/>
      <w:r w:rsidR="0031620D" w:rsidRPr="00734837">
        <w:rPr>
          <w:rFonts w:ascii="Times New Roman" w:hAnsi="Times New Roman" w:cs="Times New Roman"/>
          <w:sz w:val="24"/>
          <w:szCs w:val="24"/>
        </w:rPr>
        <w:t>,</w:t>
      </w:r>
      <w:r w:rsidRPr="00734837">
        <w:rPr>
          <w:rFonts w:ascii="Times New Roman" w:hAnsi="Times New Roman" w:cs="Times New Roman"/>
          <w:sz w:val="24"/>
          <w:szCs w:val="24"/>
        </w:rPr>
        <w:t xml:space="preserve"> 1993)</w:t>
      </w:r>
      <w:r w:rsidR="002F72A4" w:rsidRPr="00734837">
        <w:rPr>
          <w:rFonts w:ascii="Times New Roman" w:hAnsi="Times New Roman" w:cs="Times New Roman"/>
          <w:sz w:val="24"/>
          <w:szCs w:val="24"/>
        </w:rPr>
        <w:t>,</w:t>
      </w:r>
      <w:r w:rsidR="00755D0C" w:rsidRPr="00734837">
        <w:rPr>
          <w:rFonts w:ascii="Times New Roman" w:hAnsi="Times New Roman" w:cs="Times New Roman"/>
          <w:sz w:val="24"/>
          <w:szCs w:val="24"/>
        </w:rPr>
        <w:t xml:space="preserve"> </w:t>
      </w:r>
      <w:r w:rsidRPr="00734837">
        <w:rPr>
          <w:rFonts w:ascii="Times New Roman" w:hAnsi="Times New Roman" w:cs="Times New Roman"/>
          <w:sz w:val="24"/>
          <w:szCs w:val="24"/>
        </w:rPr>
        <w:t xml:space="preserve">where </w:t>
      </w:r>
      <m:oMath>
        <m:r>
          <w:rPr>
            <w:rFonts w:ascii="Cambria Math" w:hAnsi="Cambria Math" w:cs="Times New Roman"/>
            <w:sz w:val="24"/>
            <w:szCs w:val="24"/>
          </w:rPr>
          <m:t>Std(</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m:t>
        </m:r>
      </m:oMath>
      <w:r w:rsidRPr="00734837">
        <w:rPr>
          <w:rFonts w:ascii="Times New Roman" w:eastAsia="Times New Roman" w:hAnsi="Times New Roman" w:cs="Times New Roman"/>
          <w:sz w:val="24"/>
          <w:szCs w:val="24"/>
        </w:rPr>
        <w:t xml:space="preserve"> represents the standard deviation of the bootstrapped estimate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θ</m:t>
            </m:r>
          </m:e>
          <m:sup>
            <m:r>
              <w:rPr>
                <w:rFonts w:ascii="Cambria Math" w:eastAsia="Times New Roman" w:hAnsi="Cambria Math" w:cs="Times New Roman"/>
                <w:sz w:val="24"/>
                <w:szCs w:val="24"/>
              </w:rPr>
              <m:t>*</m:t>
            </m:r>
          </m:sup>
        </m:sSup>
      </m:oMath>
      <w:r w:rsidRPr="00734837">
        <w:rPr>
          <w:rFonts w:ascii="Times New Roman" w:eastAsia="Times New Roman" w:hAnsi="Times New Roman" w:cs="Times New Roman"/>
          <w:sz w:val="24"/>
          <w:szCs w:val="24"/>
        </w:rPr>
        <w:t>.</w:t>
      </w:r>
      <w:r w:rsidR="00755D0C" w:rsidRPr="00734837">
        <w:rPr>
          <w:rFonts w:ascii="Times New Roman" w:hAnsi="Times New Roman" w:cs="Times New Roman"/>
          <w:sz w:val="24"/>
          <w:szCs w:val="24"/>
        </w:rPr>
        <w:t xml:space="preserve"> </w:t>
      </w:r>
      <w:r w:rsidR="00EC0AA7" w:rsidRPr="00734837">
        <w:rPr>
          <w:rFonts w:ascii="Times New Roman" w:hAnsi="Times New Roman" w:cs="Times New Roman"/>
          <w:sz w:val="24"/>
          <w:szCs w:val="24"/>
        </w:rPr>
        <w:t>If the biases found are</w:t>
      </w:r>
      <w:r w:rsidRPr="00734837">
        <w:rPr>
          <w:rFonts w:ascii="Times New Roman" w:hAnsi="Times New Roman" w:cs="Times New Roman"/>
          <w:sz w:val="24"/>
          <w:szCs w:val="24"/>
        </w:rPr>
        <w:t xml:space="preserve"> significant, the bias corrected estimate</w:t>
      </w:r>
      <w:r w:rsidR="00EC0AA7" w:rsidRPr="00734837">
        <w:rPr>
          <w:rFonts w:ascii="Times New Roman" w:hAnsi="Times New Roman" w:cs="Times New Roman"/>
          <w:sz w:val="24"/>
          <w:szCs w:val="24"/>
        </w:rPr>
        <w:t xml:space="preserve">s </w:t>
      </w:r>
      <w:proofErr w:type="gramStart"/>
      <w:r w:rsidR="00EC0AA7" w:rsidRPr="00734837">
        <w:rPr>
          <w:rFonts w:ascii="Times New Roman" w:hAnsi="Times New Roman" w:cs="Times New Roman"/>
          <w:sz w:val="24"/>
          <w:szCs w:val="24"/>
        </w:rPr>
        <w:t>are</w:t>
      </w:r>
      <w:r w:rsidRPr="00734837">
        <w:rPr>
          <w:rFonts w:ascii="Times New Roman" w:hAnsi="Times New Roman" w:cs="Times New Roman"/>
          <w:sz w:val="24"/>
          <w:szCs w:val="24"/>
        </w:rPr>
        <w:t xml:space="preserve"> </w:t>
      </w:r>
      <w:r w:rsidRPr="00734837">
        <w:rPr>
          <w:rFonts w:ascii="Times New Roman" w:hAnsi="Times New Roman" w:cs="Times New Roman"/>
          <w:sz w:val="24"/>
          <w:szCs w:val="24"/>
        </w:rPr>
        <w:lastRenderedPageBreak/>
        <w:t>computed</w:t>
      </w:r>
      <w:proofErr w:type="gramEnd"/>
      <w:r w:rsidRPr="00734837">
        <w:rPr>
          <w:rFonts w:ascii="Times New Roman" w:hAnsi="Times New Roman" w:cs="Times New Roman"/>
          <w:sz w:val="24"/>
          <w:szCs w:val="24"/>
        </w:rPr>
        <w:t xml:space="preserve"> as the actual estimate from the original sample minus the bias computed. (</w:t>
      </w:r>
      <w:proofErr w:type="spellStart"/>
      <w:r w:rsidRPr="00734837">
        <w:rPr>
          <w:rFonts w:ascii="Times New Roman" w:hAnsi="Times New Roman" w:cs="Times New Roman"/>
          <w:sz w:val="24"/>
          <w:szCs w:val="24"/>
        </w:rPr>
        <w:t>Efron</w:t>
      </w:r>
      <w:proofErr w:type="spellEnd"/>
      <w:r w:rsidRPr="00734837">
        <w:rPr>
          <w:rFonts w:ascii="Times New Roman" w:hAnsi="Times New Roman" w:cs="Times New Roman"/>
          <w:sz w:val="24"/>
          <w:szCs w:val="24"/>
        </w:rPr>
        <w:t xml:space="preserve">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Tibshira</w:t>
      </w:r>
      <w:r w:rsidR="008232D2" w:rsidRPr="00734837">
        <w:rPr>
          <w:rFonts w:ascii="Times New Roman" w:hAnsi="Times New Roman" w:cs="Times New Roman"/>
          <w:sz w:val="24"/>
          <w:szCs w:val="24"/>
        </w:rPr>
        <w:t>ni</w:t>
      </w:r>
      <w:proofErr w:type="gramStart"/>
      <w:r w:rsidR="008232D2" w:rsidRPr="00734837">
        <w:rPr>
          <w:rFonts w:ascii="Times New Roman" w:hAnsi="Times New Roman" w:cs="Times New Roman"/>
          <w:sz w:val="24"/>
          <w:szCs w:val="24"/>
        </w:rPr>
        <w:t>,</w:t>
      </w:r>
      <w:r w:rsidRPr="00734837">
        <w:rPr>
          <w:rFonts w:ascii="Times New Roman" w:hAnsi="Times New Roman" w:cs="Times New Roman"/>
          <w:sz w:val="24"/>
          <w:szCs w:val="24"/>
        </w:rPr>
        <w:t>1993</w:t>
      </w:r>
      <w:proofErr w:type="gramEnd"/>
      <w:r w:rsidRPr="00734837">
        <w:rPr>
          <w:rFonts w:ascii="Times New Roman" w:hAnsi="Times New Roman" w:cs="Times New Roman"/>
          <w:sz w:val="24"/>
          <w:szCs w:val="24"/>
        </w:rPr>
        <w:t xml:space="preserve">). Mathematically, this </w:t>
      </w:r>
      <w:proofErr w:type="gramStart"/>
      <w:r w:rsidRPr="00734837">
        <w:rPr>
          <w:rFonts w:ascii="Times New Roman" w:hAnsi="Times New Roman" w:cs="Times New Roman"/>
          <w:sz w:val="24"/>
          <w:szCs w:val="24"/>
        </w:rPr>
        <w:t>is represented</w:t>
      </w:r>
      <w:proofErr w:type="gramEnd"/>
      <w:r w:rsidRPr="00734837">
        <w:rPr>
          <w:rFonts w:ascii="Times New Roman" w:hAnsi="Times New Roman" w:cs="Times New Roman"/>
          <w:sz w:val="24"/>
          <w:szCs w:val="24"/>
        </w:rPr>
        <w:t xml:space="preserve"> as follows;</w:t>
      </w:r>
    </w:p>
    <w:p w:rsidR="00AC0A64" w:rsidRPr="00734837" w:rsidRDefault="00AC0A64" w:rsidP="00DB671E">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θ</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m:t>
                  </m:r>
                </m:sub>
                <m:sup>
                  <m:r>
                    <w:rPr>
                      <w:rFonts w:ascii="Cambria Math" w:hAnsi="Cambria Math" w:cs="Times New Roman"/>
                      <w:sz w:val="24"/>
                      <w:szCs w:val="24"/>
                    </w:rPr>
                    <m:t>*</m:t>
                  </m:r>
                </m:sup>
              </m:sSubSup>
            </m:e>
          </m:d>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-Bias</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d>
        </m:oMath>
      </m:oMathPara>
    </w:p>
    <w:p w:rsidR="00AC0A64" w:rsidRPr="00734837" w:rsidRDefault="00AC0A64" w:rsidP="00DB671E">
      <w:pPr>
        <w:spacing w:line="240" w:lineRule="auto"/>
        <w:jc w:val="both"/>
        <w:rPr>
          <w:rFonts w:ascii="Times New Roman" w:eastAsia="Times New Roman" w:hAnsi="Times New Roman" w:cs="Times New Roman"/>
          <w:sz w:val="24"/>
          <w:szCs w:val="24"/>
        </w:rPr>
      </w:pPr>
      <w:proofErr w:type="gramStart"/>
      <w:r w:rsidRPr="00734837">
        <w:rPr>
          <w:rFonts w:ascii="Times New Roman" w:hAnsi="Times New Roman" w:cs="Times New Roman"/>
          <w:sz w:val="24"/>
          <w:szCs w:val="24"/>
        </w:rPr>
        <w:t>where</w:t>
      </w:r>
      <w:proofErr w:type="gramEnd"/>
      <w:r w:rsidRPr="00734837">
        <w:rPr>
          <w:rFonts w:ascii="Times New Roman" w:hAnsi="Times New Roman" w:cs="Times New Roman"/>
          <w:sz w:val="24"/>
          <w:szCs w:val="24"/>
        </w:rPr>
        <w:t xml:space="preserve"> </w:t>
      </w:r>
      <m:oMath>
        <m:r>
          <w:rPr>
            <w:rFonts w:ascii="Cambria Math" w:hAnsi="Cambria Math" w:cs="Times New Roman"/>
            <w:sz w:val="24"/>
            <w:szCs w:val="24"/>
          </w:rPr>
          <m:t>θ</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m:t>
                </m:r>
              </m:sub>
              <m:sup>
                <m:r>
                  <w:rPr>
                    <w:rFonts w:ascii="Cambria Math" w:hAnsi="Cambria Math" w:cs="Times New Roman"/>
                    <w:sz w:val="24"/>
                    <w:szCs w:val="24"/>
                  </w:rPr>
                  <m:t>*</m:t>
                </m:r>
              </m:sup>
            </m:sSubSup>
          </m:e>
        </m:d>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X</m:t>
            </m:r>
          </m:e>
        </m:d>
      </m:oMath>
      <w:r w:rsidRPr="00734837">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Bias</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d>
        <m:r>
          <w:rPr>
            <w:rFonts w:ascii="Cambria Math" w:hAnsi="Cambria Math" w:cs="Times New Roman"/>
            <w:sz w:val="24"/>
            <w:szCs w:val="24"/>
          </w:rPr>
          <m:t xml:space="preserve">  </m:t>
        </m:r>
      </m:oMath>
      <w:r w:rsidRPr="00734837">
        <w:rPr>
          <w:rFonts w:ascii="Times New Roman" w:eastAsia="Times New Roman" w:hAnsi="Times New Roman" w:cs="Times New Roman"/>
          <w:sz w:val="24"/>
          <w:szCs w:val="24"/>
        </w:rPr>
        <w:t>represents the bias corrected estimate, the actual estimate from the original sample and the bias estimate respectively.</w:t>
      </w:r>
    </w:p>
    <w:p w:rsidR="00F23AB8" w:rsidRPr="00734837" w:rsidRDefault="00F23AB8" w:rsidP="00DB671E">
      <w:pPr>
        <w:spacing w:line="240" w:lineRule="auto"/>
        <w:jc w:val="both"/>
        <w:rPr>
          <w:rFonts w:ascii="Times New Roman" w:eastAsia="Times New Roman" w:hAnsi="Times New Roman" w:cs="Times New Roman"/>
          <w:sz w:val="24"/>
          <w:szCs w:val="24"/>
        </w:rPr>
      </w:pPr>
    </w:p>
    <w:p w:rsidR="00AC0A64" w:rsidRPr="00734837" w:rsidRDefault="005C6D8B" w:rsidP="005C6D8B">
      <w:pPr>
        <w:pStyle w:val="ListParagraph"/>
        <w:numPr>
          <w:ilvl w:val="0"/>
          <w:numId w:val="5"/>
        </w:numPr>
        <w:spacing w:line="240" w:lineRule="auto"/>
        <w:jc w:val="both"/>
        <w:rPr>
          <w:rFonts w:ascii="Times New Roman" w:hAnsi="Times New Roman"/>
          <w:b/>
          <w:noProof/>
          <w:sz w:val="24"/>
          <w:szCs w:val="24"/>
        </w:rPr>
      </w:pPr>
      <w:r w:rsidRPr="00734837">
        <w:rPr>
          <w:rFonts w:ascii="Times New Roman" w:hAnsi="Times New Roman"/>
          <w:b/>
          <w:noProof/>
          <w:sz w:val="24"/>
          <w:szCs w:val="24"/>
        </w:rPr>
        <w:t>RESULTS</w:t>
      </w:r>
    </w:p>
    <w:p w:rsidR="00AC0A64" w:rsidRPr="00734837" w:rsidRDefault="00D04665" w:rsidP="00DB671E">
      <w:pPr>
        <w:spacing w:line="240" w:lineRule="auto"/>
        <w:jc w:val="both"/>
        <w:rPr>
          <w:rFonts w:ascii="Times New Roman" w:hAnsi="Times New Roman" w:cs="Times New Roman"/>
          <w:sz w:val="24"/>
          <w:szCs w:val="24"/>
        </w:rPr>
      </w:pPr>
      <w:r w:rsidRPr="00734837">
        <w:rPr>
          <w:rFonts w:ascii="Times New Roman" w:hAnsi="Times New Roman" w:cs="Times New Roman"/>
          <w:sz w:val="24"/>
          <w:szCs w:val="24"/>
        </w:rPr>
        <w:t>T</w:t>
      </w:r>
      <w:r w:rsidR="004131DC" w:rsidRPr="00734837">
        <w:rPr>
          <w:rFonts w:ascii="Times New Roman" w:hAnsi="Times New Roman" w:cs="Times New Roman"/>
          <w:sz w:val="24"/>
          <w:szCs w:val="24"/>
        </w:rPr>
        <w:t>able</w:t>
      </w:r>
      <w:r w:rsidR="00E124B9" w:rsidRPr="00734837">
        <w:rPr>
          <w:rFonts w:ascii="Times New Roman" w:hAnsi="Times New Roman" w:cs="Times New Roman"/>
          <w:sz w:val="24"/>
          <w:szCs w:val="24"/>
        </w:rPr>
        <w:t xml:space="preserve"> 1</w:t>
      </w:r>
      <w:r w:rsidRPr="00734837">
        <w:rPr>
          <w:rFonts w:ascii="Times New Roman" w:hAnsi="Times New Roman" w:cs="Times New Roman"/>
          <w:sz w:val="24"/>
          <w:szCs w:val="24"/>
        </w:rPr>
        <w:t xml:space="preserve"> below displays</w:t>
      </w:r>
      <w:r w:rsidR="004131DC" w:rsidRPr="00734837">
        <w:rPr>
          <w:rFonts w:ascii="Times New Roman" w:hAnsi="Times New Roman" w:cs="Times New Roman"/>
          <w:sz w:val="24"/>
          <w:szCs w:val="24"/>
        </w:rPr>
        <w:t xml:space="preserve"> the</w:t>
      </w:r>
      <w:r w:rsidR="00CD6A75" w:rsidRPr="00734837">
        <w:rPr>
          <w:rFonts w:ascii="Times New Roman" w:hAnsi="Times New Roman" w:cs="Times New Roman"/>
          <w:sz w:val="24"/>
          <w:szCs w:val="24"/>
        </w:rPr>
        <w:t xml:space="preserve"> yearly</w:t>
      </w:r>
      <w:r w:rsidR="004131DC" w:rsidRPr="00734837">
        <w:rPr>
          <w:rFonts w:ascii="Times New Roman" w:hAnsi="Times New Roman" w:cs="Times New Roman"/>
          <w:sz w:val="24"/>
          <w:szCs w:val="24"/>
        </w:rPr>
        <w:t xml:space="preserve"> average returns, standard devia</w:t>
      </w:r>
      <w:r w:rsidR="00604464" w:rsidRPr="00734837">
        <w:rPr>
          <w:rFonts w:ascii="Times New Roman" w:hAnsi="Times New Roman" w:cs="Times New Roman"/>
          <w:sz w:val="24"/>
          <w:szCs w:val="24"/>
        </w:rPr>
        <w:t>tions, mini</w:t>
      </w:r>
      <w:r w:rsidR="00E33EC8" w:rsidRPr="00734837">
        <w:rPr>
          <w:rFonts w:ascii="Times New Roman" w:hAnsi="Times New Roman" w:cs="Times New Roman"/>
          <w:sz w:val="24"/>
          <w:szCs w:val="24"/>
        </w:rPr>
        <w:t xml:space="preserve">mum </w:t>
      </w:r>
      <w:r w:rsidR="00693D1C" w:rsidRPr="00734837">
        <w:rPr>
          <w:rFonts w:ascii="Times New Roman" w:hAnsi="Times New Roman" w:cs="Times New Roman"/>
          <w:sz w:val="24"/>
          <w:szCs w:val="24"/>
        </w:rPr>
        <w:t>and</w:t>
      </w:r>
      <w:r w:rsidR="00E33EC8" w:rsidRPr="00734837">
        <w:rPr>
          <w:rFonts w:ascii="Times New Roman" w:hAnsi="Times New Roman" w:cs="Times New Roman"/>
          <w:sz w:val="24"/>
          <w:szCs w:val="24"/>
        </w:rPr>
        <w:t xml:space="preserve"> maximum returns</w:t>
      </w:r>
      <w:r w:rsidR="00604464" w:rsidRPr="00734837">
        <w:rPr>
          <w:rFonts w:ascii="Times New Roman" w:hAnsi="Times New Roman" w:cs="Times New Roman"/>
          <w:sz w:val="24"/>
          <w:szCs w:val="24"/>
        </w:rPr>
        <w:t xml:space="preserve"> and the Shar</w:t>
      </w:r>
      <w:r w:rsidR="00905AA5" w:rsidRPr="00734837">
        <w:rPr>
          <w:rFonts w:ascii="Times New Roman" w:hAnsi="Times New Roman" w:cs="Times New Roman"/>
          <w:sz w:val="24"/>
          <w:szCs w:val="24"/>
        </w:rPr>
        <w:t xml:space="preserve">pe ratios of </w:t>
      </w:r>
      <w:r w:rsidR="000345C2" w:rsidRPr="00734837">
        <w:rPr>
          <w:rFonts w:ascii="Times New Roman" w:hAnsi="Times New Roman" w:cs="Times New Roman"/>
          <w:sz w:val="24"/>
          <w:szCs w:val="24"/>
        </w:rPr>
        <w:t xml:space="preserve">the </w:t>
      </w:r>
      <w:r w:rsidR="00AC0A64" w:rsidRPr="00734837">
        <w:rPr>
          <w:rFonts w:ascii="Times New Roman" w:hAnsi="Times New Roman" w:cs="Times New Roman"/>
          <w:sz w:val="24"/>
          <w:szCs w:val="24"/>
        </w:rPr>
        <w:t xml:space="preserve">eleven African </w:t>
      </w:r>
      <w:r w:rsidR="002116C7" w:rsidRPr="00734837">
        <w:rPr>
          <w:rFonts w:ascii="Times New Roman" w:hAnsi="Times New Roman" w:cs="Times New Roman"/>
          <w:sz w:val="24"/>
          <w:szCs w:val="24"/>
        </w:rPr>
        <w:t xml:space="preserve">stock </w:t>
      </w:r>
      <w:r w:rsidR="002A3FDF" w:rsidRPr="00734837">
        <w:rPr>
          <w:rFonts w:ascii="Times New Roman" w:hAnsi="Times New Roman" w:cs="Times New Roman"/>
          <w:sz w:val="24"/>
          <w:szCs w:val="24"/>
        </w:rPr>
        <w:t>mar</w:t>
      </w:r>
      <w:r w:rsidR="00B40D0C" w:rsidRPr="00734837">
        <w:rPr>
          <w:rFonts w:ascii="Times New Roman" w:hAnsi="Times New Roman" w:cs="Times New Roman"/>
          <w:sz w:val="24"/>
          <w:szCs w:val="24"/>
        </w:rPr>
        <w:t>kets</w:t>
      </w:r>
      <w:r w:rsidR="008871F9" w:rsidRPr="00734837">
        <w:rPr>
          <w:rFonts w:ascii="Times New Roman" w:hAnsi="Times New Roman" w:cs="Times New Roman"/>
          <w:sz w:val="24"/>
          <w:szCs w:val="24"/>
        </w:rPr>
        <w:t xml:space="preserve">. The descriptive statistics of the </w:t>
      </w:r>
      <w:proofErr w:type="spellStart"/>
      <w:r w:rsidR="004A2AB5"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8871F9" w:rsidRPr="00734837">
        <w:rPr>
          <w:rFonts w:ascii="Times New Roman" w:hAnsi="Times New Roman" w:cs="Times New Roman"/>
          <w:sz w:val="24"/>
          <w:szCs w:val="24"/>
        </w:rPr>
        <w:t>P</w:t>
      </w:r>
      <w:proofErr w:type="spellEnd"/>
      <w:r w:rsidR="008871F9" w:rsidRPr="00734837">
        <w:rPr>
          <w:rFonts w:ascii="Times New Roman" w:hAnsi="Times New Roman" w:cs="Times New Roman"/>
          <w:sz w:val="24"/>
          <w:szCs w:val="24"/>
        </w:rPr>
        <w:t xml:space="preserve"> Dow Jones </w:t>
      </w:r>
      <w:r w:rsidR="00792476" w:rsidRPr="00734837">
        <w:rPr>
          <w:rFonts w:ascii="Times New Roman" w:hAnsi="Times New Roman" w:cs="Times New Roman"/>
          <w:sz w:val="24"/>
          <w:szCs w:val="24"/>
        </w:rPr>
        <w:t xml:space="preserve">stock returns </w:t>
      </w:r>
      <w:proofErr w:type="gramStart"/>
      <w:r w:rsidR="00792476" w:rsidRPr="00734837">
        <w:rPr>
          <w:rFonts w:ascii="Times New Roman" w:hAnsi="Times New Roman" w:cs="Times New Roman"/>
          <w:sz w:val="24"/>
          <w:szCs w:val="24"/>
        </w:rPr>
        <w:t>are</w:t>
      </w:r>
      <w:r w:rsidR="00F373A4" w:rsidRPr="00734837">
        <w:rPr>
          <w:rFonts w:ascii="Times New Roman" w:hAnsi="Times New Roman" w:cs="Times New Roman"/>
          <w:sz w:val="24"/>
          <w:szCs w:val="24"/>
        </w:rPr>
        <w:t xml:space="preserve"> also reported</w:t>
      </w:r>
      <w:proofErr w:type="gramEnd"/>
      <w:r w:rsidR="008871F9" w:rsidRPr="00734837">
        <w:rPr>
          <w:rFonts w:ascii="Times New Roman" w:hAnsi="Times New Roman" w:cs="Times New Roman"/>
          <w:sz w:val="24"/>
          <w:szCs w:val="24"/>
        </w:rPr>
        <w:t>.</w:t>
      </w:r>
      <w:r w:rsidR="00AC0A64" w:rsidRPr="00734837">
        <w:rPr>
          <w:rFonts w:ascii="Times New Roman" w:hAnsi="Times New Roman" w:cs="Times New Roman"/>
          <w:sz w:val="24"/>
          <w:szCs w:val="24"/>
        </w:rPr>
        <w:t xml:space="preserve"> </w:t>
      </w:r>
      <w:r w:rsidR="00336CE0" w:rsidRPr="00734837">
        <w:rPr>
          <w:rFonts w:ascii="Times New Roman" w:hAnsi="Times New Roman" w:cs="Times New Roman"/>
          <w:sz w:val="24"/>
          <w:szCs w:val="24"/>
        </w:rPr>
        <w:t>The average returns and their associated risks</w:t>
      </w:r>
      <w:r w:rsidR="008540B2" w:rsidRPr="00734837">
        <w:rPr>
          <w:rFonts w:ascii="Times New Roman" w:hAnsi="Times New Roman" w:cs="Times New Roman"/>
          <w:sz w:val="24"/>
          <w:szCs w:val="24"/>
        </w:rPr>
        <w:t xml:space="preserve"> </w:t>
      </w:r>
      <w:proofErr w:type="gramStart"/>
      <w:r w:rsidR="008540B2" w:rsidRPr="00734837">
        <w:rPr>
          <w:rFonts w:ascii="Times New Roman" w:hAnsi="Times New Roman" w:cs="Times New Roman"/>
          <w:sz w:val="24"/>
          <w:szCs w:val="24"/>
        </w:rPr>
        <w:t>are also indicated</w:t>
      </w:r>
      <w:proofErr w:type="gramEnd"/>
      <w:r w:rsidR="008540B2" w:rsidRPr="00734837">
        <w:rPr>
          <w:rFonts w:ascii="Times New Roman" w:hAnsi="Times New Roman" w:cs="Times New Roman"/>
          <w:sz w:val="24"/>
          <w:szCs w:val="24"/>
        </w:rPr>
        <w:t>. There seem to be</w:t>
      </w:r>
      <w:r w:rsidR="00872CEF" w:rsidRPr="00734837">
        <w:rPr>
          <w:rFonts w:ascii="Times New Roman" w:hAnsi="Times New Roman" w:cs="Times New Roman"/>
          <w:sz w:val="24"/>
          <w:szCs w:val="24"/>
        </w:rPr>
        <w:t xml:space="preserve"> </w:t>
      </w:r>
      <w:r w:rsidR="00336CE0" w:rsidRPr="00734837">
        <w:rPr>
          <w:rFonts w:ascii="Times New Roman" w:hAnsi="Times New Roman" w:cs="Times New Roman"/>
          <w:sz w:val="24"/>
          <w:szCs w:val="24"/>
        </w:rPr>
        <w:t>a positive relat</w:t>
      </w:r>
      <w:r w:rsidR="008540B2" w:rsidRPr="00734837">
        <w:rPr>
          <w:rFonts w:ascii="Times New Roman" w:hAnsi="Times New Roman" w:cs="Times New Roman"/>
          <w:sz w:val="24"/>
          <w:szCs w:val="24"/>
        </w:rPr>
        <w:t>ionship between risk and return on the African markets</w:t>
      </w:r>
    </w:p>
    <w:tbl>
      <w:tblPr>
        <w:tblW w:w="8820" w:type="dxa"/>
        <w:jc w:val="center"/>
        <w:tblLook w:val="04A0" w:firstRow="1" w:lastRow="0" w:firstColumn="1" w:lastColumn="0" w:noHBand="0" w:noVBand="1"/>
      </w:tblPr>
      <w:tblGrid>
        <w:gridCol w:w="1380"/>
        <w:gridCol w:w="1500"/>
        <w:gridCol w:w="1530"/>
        <w:gridCol w:w="1440"/>
        <w:gridCol w:w="1440"/>
        <w:gridCol w:w="1530"/>
      </w:tblGrid>
      <w:tr w:rsidR="00AC0A64" w:rsidRPr="00734837" w:rsidTr="004A5397">
        <w:trPr>
          <w:trHeight w:val="290"/>
          <w:jc w:val="center"/>
        </w:trPr>
        <w:tc>
          <w:tcPr>
            <w:tcW w:w="8820" w:type="dxa"/>
            <w:gridSpan w:val="6"/>
            <w:tcBorders>
              <w:left w:val="nil"/>
              <w:bottom w:val="single" w:sz="4" w:space="0" w:color="auto"/>
              <w:right w:val="nil"/>
            </w:tcBorders>
            <w:shd w:val="clear" w:color="auto" w:fill="auto"/>
            <w:noWrap/>
            <w:vAlign w:val="bottom"/>
          </w:tcPr>
          <w:p w:rsidR="00AC0A64" w:rsidRPr="00734837" w:rsidRDefault="00AC0A64" w:rsidP="00130D5A">
            <w:pPr>
              <w:spacing w:after="0" w:line="240" w:lineRule="auto"/>
              <w:rPr>
                <w:rFonts w:ascii="Times New Roman" w:eastAsia="Times New Roman" w:hAnsi="Times New Roman" w:cs="Times New Roman"/>
                <w:b/>
                <w:bCs/>
                <w:color w:val="000000"/>
                <w:sz w:val="24"/>
                <w:szCs w:val="24"/>
              </w:rPr>
            </w:pPr>
            <w:bookmarkStart w:id="5" w:name="_Toc423924968"/>
            <w:r w:rsidRPr="00734837">
              <w:rPr>
                <w:rFonts w:ascii="Times New Roman" w:hAnsi="Times New Roman" w:cs="Times New Roman"/>
                <w:b/>
                <w:sz w:val="24"/>
                <w:szCs w:val="24"/>
              </w:rPr>
              <w:t>Table</w:t>
            </w:r>
            <w:r w:rsidR="00130D5A" w:rsidRPr="00734837">
              <w:rPr>
                <w:rFonts w:ascii="Times New Roman" w:hAnsi="Times New Roman" w:cs="Times New Roman"/>
                <w:b/>
                <w:sz w:val="24"/>
                <w:szCs w:val="24"/>
              </w:rPr>
              <w:t xml:space="preserve"> 1</w:t>
            </w:r>
            <w:r w:rsidRPr="00734837">
              <w:rPr>
                <w:rFonts w:ascii="Times New Roman" w:eastAsia="Times New Roman" w:hAnsi="Times New Roman" w:cs="Times New Roman"/>
                <w:b/>
                <w:bCs/>
                <w:color w:val="000000"/>
                <w:sz w:val="24"/>
                <w:szCs w:val="24"/>
              </w:rPr>
              <w:t>:Descriptive Statistics of Stock Returns for the Eleven African Countries</w:t>
            </w:r>
            <w:bookmarkEnd w:id="5"/>
          </w:p>
        </w:tc>
      </w:tr>
      <w:tr w:rsidR="00AC0A64" w:rsidRPr="00734837" w:rsidTr="004A5397">
        <w:trPr>
          <w:trHeight w:val="290"/>
          <w:jc w:val="center"/>
        </w:trPr>
        <w:tc>
          <w:tcPr>
            <w:tcW w:w="138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Country</w:t>
            </w:r>
          </w:p>
        </w:tc>
        <w:tc>
          <w:tcPr>
            <w:tcW w:w="150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Mean</w:t>
            </w:r>
          </w:p>
        </w:tc>
        <w:tc>
          <w:tcPr>
            <w:tcW w:w="153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Standard Deviation</w:t>
            </w:r>
          </w:p>
        </w:tc>
        <w:tc>
          <w:tcPr>
            <w:tcW w:w="14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Minimum</w:t>
            </w:r>
          </w:p>
        </w:tc>
        <w:tc>
          <w:tcPr>
            <w:tcW w:w="14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Maximum</w:t>
            </w:r>
          </w:p>
        </w:tc>
        <w:tc>
          <w:tcPr>
            <w:tcW w:w="153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SR</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Botswana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0.0940</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0.1786</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-2.1942</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2.1920</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0.5261</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Namibia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0.0747</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0.1965</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-2.1643</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1.6680</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0.3800</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Morocco</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0.0745</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0.1689</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-1.7198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2.0814</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0.4410</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Tunisia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0.0291</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0.1648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-2.1858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1.6594</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0.1765</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Ghana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0.0183</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0.2298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-2.5131</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2.9120</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0.0795</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Nigeria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0.0902</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0.3098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-5.7045</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4.7378</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0.2911</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Kenya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0.1493</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0.2940</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-5.8810</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2.7395</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0.5079</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Mauritius</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0.0869</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0.2223</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-4.2539</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2.6483</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0.3910</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Zambia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0.1764</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0.2638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-4.3695</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3.6432</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0.6689</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SA</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0.0740</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0.2758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-4.2672</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2.6416</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0.2684</w:t>
            </w:r>
          </w:p>
        </w:tc>
      </w:tr>
      <w:tr w:rsidR="00AC0A64" w:rsidRPr="00734837" w:rsidTr="004A5397">
        <w:trPr>
          <w:trHeight w:val="290"/>
          <w:jc w:val="center"/>
        </w:trPr>
        <w:tc>
          <w:tcPr>
            <w:tcW w:w="13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CD</w:t>
            </w:r>
          </w:p>
        </w:tc>
        <w:tc>
          <w:tcPr>
            <w:tcW w:w="150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0.1499</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0.2436</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-2.4760</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3.0772</w:t>
            </w:r>
          </w:p>
        </w:tc>
        <w:tc>
          <w:tcPr>
            <w:tcW w:w="153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0.6152</w:t>
            </w:r>
          </w:p>
        </w:tc>
      </w:tr>
      <w:tr w:rsidR="00AC0A64" w:rsidRPr="00734837" w:rsidTr="004A5397">
        <w:trPr>
          <w:trHeight w:val="290"/>
          <w:jc w:val="center"/>
        </w:trPr>
        <w:tc>
          <w:tcPr>
            <w:tcW w:w="1380" w:type="dxa"/>
            <w:tcBorders>
              <w:top w:val="nil"/>
              <w:left w:val="nil"/>
              <w:bottom w:val="single" w:sz="4" w:space="0" w:color="auto"/>
              <w:right w:val="nil"/>
            </w:tcBorders>
            <w:shd w:val="clear" w:color="auto" w:fill="auto"/>
            <w:noWrap/>
            <w:vAlign w:val="bottom"/>
            <w:hideMark/>
          </w:tcPr>
          <w:p w:rsidR="00AC0A64" w:rsidRPr="00734837" w:rsidRDefault="007D0F70"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S</w:t>
            </w:r>
            <w:r w:rsidR="00AC0A64" w:rsidRPr="00734837">
              <w:rPr>
                <w:rFonts w:ascii="Times New Roman" w:eastAsia="Times New Roman" w:hAnsi="Times New Roman" w:cs="Times New Roman"/>
                <w:color w:val="000000"/>
                <w:sz w:val="24"/>
                <w:szCs w:val="24"/>
              </w:rPr>
              <w:t>PDJ</w:t>
            </w:r>
          </w:p>
        </w:tc>
        <w:tc>
          <w:tcPr>
            <w:tcW w:w="150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0.0497</w:t>
            </w:r>
          </w:p>
        </w:tc>
        <w:tc>
          <w:tcPr>
            <w:tcW w:w="153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0.1450</w:t>
            </w:r>
          </w:p>
        </w:tc>
        <w:tc>
          <w:tcPr>
            <w:tcW w:w="14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-1.8336</w:t>
            </w:r>
          </w:p>
        </w:tc>
        <w:tc>
          <w:tcPr>
            <w:tcW w:w="14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1.1783</w:t>
            </w:r>
          </w:p>
        </w:tc>
        <w:tc>
          <w:tcPr>
            <w:tcW w:w="153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0.3426</w:t>
            </w:r>
          </w:p>
        </w:tc>
      </w:tr>
    </w:tbl>
    <w:p w:rsidR="00AC0A64" w:rsidRPr="00734837" w:rsidRDefault="00474FC7" w:rsidP="00DB671E">
      <w:pPr>
        <w:spacing w:line="240" w:lineRule="auto"/>
        <w:jc w:val="both"/>
        <w:rPr>
          <w:rFonts w:ascii="Times New Roman" w:hAnsi="Times New Roman" w:cs="Times New Roman"/>
          <w:b/>
          <w:noProof/>
          <w:sz w:val="24"/>
          <w:szCs w:val="24"/>
        </w:rPr>
      </w:pPr>
      <w:r w:rsidRPr="00734837">
        <w:rPr>
          <w:rFonts w:ascii="Times New Roman" w:hAnsi="Times New Roman" w:cs="Times New Roman"/>
          <w:sz w:val="24"/>
          <w:szCs w:val="24"/>
        </w:rPr>
        <w:t>*</w:t>
      </w:r>
      <w:r w:rsidR="00AC0A64" w:rsidRPr="00734837">
        <w:rPr>
          <w:rFonts w:ascii="Times New Roman" w:hAnsi="Times New Roman" w:cs="Times New Roman"/>
          <w:b/>
          <w:sz w:val="24"/>
          <w:szCs w:val="24"/>
        </w:rPr>
        <w:t>SA-So</w:t>
      </w:r>
      <w:r w:rsidR="0006446A" w:rsidRPr="00734837">
        <w:rPr>
          <w:rFonts w:ascii="Times New Roman" w:hAnsi="Times New Roman" w:cs="Times New Roman"/>
          <w:b/>
          <w:sz w:val="24"/>
          <w:szCs w:val="24"/>
        </w:rPr>
        <w:t>uth Africa, CD-Cote D’Ivoire, S</w:t>
      </w:r>
      <w:r w:rsidR="00AC0A64" w:rsidRPr="00734837">
        <w:rPr>
          <w:rFonts w:ascii="Times New Roman" w:hAnsi="Times New Roman" w:cs="Times New Roman"/>
          <w:b/>
          <w:sz w:val="24"/>
          <w:szCs w:val="24"/>
        </w:rPr>
        <w:t>PDJ-</w:t>
      </w:r>
      <w:proofErr w:type="spellStart"/>
      <w:r w:rsidR="00AC0A64" w:rsidRPr="00734837">
        <w:rPr>
          <w:rFonts w:ascii="Times New Roman" w:hAnsi="Times New Roman" w:cs="Times New Roman"/>
          <w:b/>
          <w:sz w:val="24"/>
          <w:szCs w:val="24"/>
        </w:rPr>
        <w:t>S</w:t>
      </w:r>
      <w:r w:rsidR="00693D1C" w:rsidRPr="00734837">
        <w:rPr>
          <w:rFonts w:ascii="Times New Roman" w:hAnsi="Times New Roman" w:cs="Times New Roman"/>
          <w:b/>
          <w:sz w:val="24"/>
          <w:szCs w:val="24"/>
        </w:rPr>
        <w:t>and</w:t>
      </w:r>
      <w:r w:rsidR="00AC0A64" w:rsidRPr="00734837">
        <w:rPr>
          <w:rFonts w:ascii="Times New Roman" w:hAnsi="Times New Roman" w:cs="Times New Roman"/>
          <w:b/>
          <w:sz w:val="24"/>
          <w:szCs w:val="24"/>
        </w:rPr>
        <w:t>P</w:t>
      </w:r>
      <w:proofErr w:type="spellEnd"/>
      <w:r w:rsidR="00AC0A64" w:rsidRPr="00734837">
        <w:rPr>
          <w:rFonts w:ascii="Times New Roman" w:hAnsi="Times New Roman" w:cs="Times New Roman"/>
          <w:b/>
          <w:sz w:val="24"/>
          <w:szCs w:val="24"/>
        </w:rPr>
        <w:t xml:space="preserve"> Dow Jones         </w:t>
      </w:r>
    </w:p>
    <w:p w:rsidR="00AC0A64" w:rsidRPr="00734837" w:rsidRDefault="005F4094" w:rsidP="00C31453">
      <w:pPr>
        <w:spacing w:after="360" w:line="240" w:lineRule="auto"/>
        <w:jc w:val="both"/>
        <w:rPr>
          <w:rFonts w:ascii="Times New Roman" w:hAnsi="Times New Roman" w:cs="Times New Roman"/>
          <w:sz w:val="24"/>
          <w:szCs w:val="24"/>
        </w:rPr>
      </w:pPr>
      <w:r w:rsidRPr="00734837">
        <w:rPr>
          <w:rFonts w:ascii="Times New Roman" w:hAnsi="Times New Roman" w:cs="Times New Roman"/>
          <w:sz w:val="24"/>
          <w:szCs w:val="24"/>
        </w:rPr>
        <w:t>The lowest</w:t>
      </w:r>
      <w:r w:rsidR="00AC0A64" w:rsidRPr="00734837">
        <w:rPr>
          <w:rFonts w:ascii="Times New Roman" w:hAnsi="Times New Roman" w:cs="Times New Roman"/>
          <w:sz w:val="24"/>
          <w:szCs w:val="24"/>
        </w:rPr>
        <w:t xml:space="preserve"> risk is 16.48</w:t>
      </w:r>
      <w:r w:rsidR="00EC0AA7" w:rsidRPr="00734837">
        <w:rPr>
          <w:rFonts w:ascii="Times New Roman" w:hAnsi="Times New Roman" w:cs="Times New Roman"/>
          <w:sz w:val="24"/>
          <w:szCs w:val="24"/>
        </w:rPr>
        <w:t>%, which</w:t>
      </w:r>
      <w:r w:rsidR="008E680B" w:rsidRPr="00734837">
        <w:rPr>
          <w:rFonts w:ascii="Times New Roman" w:hAnsi="Times New Roman" w:cs="Times New Roman"/>
          <w:sz w:val="24"/>
          <w:szCs w:val="24"/>
        </w:rPr>
        <w:t xml:space="preserve"> corresponds to an average</w:t>
      </w:r>
      <w:r w:rsidR="00AC0A64" w:rsidRPr="00734837">
        <w:rPr>
          <w:rFonts w:ascii="Times New Roman" w:hAnsi="Times New Roman" w:cs="Times New Roman"/>
          <w:sz w:val="24"/>
          <w:szCs w:val="24"/>
        </w:rPr>
        <w:t xml:space="preserve"> return of 2.91%, whereas the highest risk is 30.98</w:t>
      </w:r>
      <w:r w:rsidR="00EC0AA7" w:rsidRPr="00734837">
        <w:rPr>
          <w:rFonts w:ascii="Times New Roman" w:hAnsi="Times New Roman" w:cs="Times New Roman"/>
          <w:sz w:val="24"/>
          <w:szCs w:val="24"/>
        </w:rPr>
        <w:t>%, which</w:t>
      </w:r>
      <w:r w:rsidR="008E680B" w:rsidRPr="00734837">
        <w:rPr>
          <w:rFonts w:ascii="Times New Roman" w:hAnsi="Times New Roman" w:cs="Times New Roman"/>
          <w:sz w:val="24"/>
          <w:szCs w:val="24"/>
        </w:rPr>
        <w:t xml:space="preserve"> is associated with an average</w:t>
      </w:r>
      <w:r w:rsidR="00AC0A64" w:rsidRPr="00734837">
        <w:rPr>
          <w:rFonts w:ascii="Times New Roman" w:hAnsi="Times New Roman" w:cs="Times New Roman"/>
          <w:sz w:val="24"/>
          <w:szCs w:val="24"/>
        </w:rPr>
        <w:t xml:space="preserve"> return of 9.02%.</w:t>
      </w:r>
      <w:r w:rsidR="000A179B" w:rsidRPr="00734837">
        <w:rPr>
          <w:rFonts w:ascii="Times New Roman" w:hAnsi="Times New Roman" w:cs="Times New Roman"/>
          <w:sz w:val="24"/>
          <w:szCs w:val="24"/>
        </w:rPr>
        <w:t xml:space="preserve"> Zambia</w:t>
      </w:r>
      <w:r w:rsidR="007222B0" w:rsidRPr="00734837">
        <w:rPr>
          <w:rFonts w:ascii="Times New Roman" w:hAnsi="Times New Roman" w:cs="Times New Roman"/>
          <w:sz w:val="24"/>
          <w:szCs w:val="24"/>
        </w:rPr>
        <w:t>’s portfolio</w:t>
      </w:r>
      <w:r w:rsidR="00D14401" w:rsidRPr="00734837">
        <w:rPr>
          <w:rFonts w:ascii="Times New Roman" w:hAnsi="Times New Roman" w:cs="Times New Roman"/>
          <w:sz w:val="24"/>
          <w:szCs w:val="24"/>
        </w:rPr>
        <w:t xml:space="preserve"> has</w:t>
      </w:r>
      <w:r w:rsidR="000A179B" w:rsidRPr="00734837">
        <w:rPr>
          <w:rFonts w:ascii="Times New Roman" w:hAnsi="Times New Roman" w:cs="Times New Roman"/>
          <w:sz w:val="24"/>
          <w:szCs w:val="24"/>
        </w:rPr>
        <w:t xml:space="preserve"> the highest average</w:t>
      </w:r>
      <w:r w:rsidR="00AC0A64" w:rsidRPr="00734837">
        <w:rPr>
          <w:rFonts w:ascii="Times New Roman" w:hAnsi="Times New Roman" w:cs="Times New Roman"/>
          <w:sz w:val="24"/>
          <w:szCs w:val="24"/>
        </w:rPr>
        <w:t xml:space="preserve"> return of 17.64% with a risk of 26.38%, whereas </w:t>
      </w:r>
      <w:r w:rsidR="00995133" w:rsidRPr="00734837">
        <w:rPr>
          <w:rFonts w:ascii="Times New Roman" w:hAnsi="Times New Roman" w:cs="Times New Roman"/>
          <w:sz w:val="24"/>
          <w:szCs w:val="24"/>
        </w:rPr>
        <w:t xml:space="preserve">that of </w:t>
      </w:r>
      <w:r w:rsidR="00AC0A64" w:rsidRPr="00734837">
        <w:rPr>
          <w:rFonts w:ascii="Times New Roman" w:hAnsi="Times New Roman" w:cs="Times New Roman"/>
          <w:sz w:val="24"/>
          <w:szCs w:val="24"/>
        </w:rPr>
        <w:t>Ghana</w:t>
      </w:r>
      <w:r w:rsidR="0069377D" w:rsidRPr="00734837">
        <w:rPr>
          <w:rFonts w:ascii="Times New Roman" w:hAnsi="Times New Roman" w:cs="Times New Roman"/>
          <w:sz w:val="24"/>
          <w:szCs w:val="24"/>
        </w:rPr>
        <w:t xml:space="preserve"> has the </w:t>
      </w:r>
      <w:proofErr w:type="gramStart"/>
      <w:r w:rsidR="0069377D" w:rsidRPr="00734837">
        <w:rPr>
          <w:rFonts w:ascii="Times New Roman" w:hAnsi="Times New Roman" w:cs="Times New Roman"/>
          <w:sz w:val="24"/>
          <w:szCs w:val="24"/>
        </w:rPr>
        <w:t>least average</w:t>
      </w:r>
      <w:proofErr w:type="gramEnd"/>
      <w:r w:rsidR="00AC0A64" w:rsidRPr="00734837">
        <w:rPr>
          <w:rFonts w:ascii="Times New Roman" w:hAnsi="Times New Roman" w:cs="Times New Roman"/>
          <w:sz w:val="24"/>
          <w:szCs w:val="24"/>
        </w:rPr>
        <w:t xml:space="preserve"> return of 1.83% with a risk of 22.98%. </w:t>
      </w:r>
      <w:r w:rsidR="00C31453" w:rsidRPr="00734837">
        <w:rPr>
          <w:rFonts w:ascii="Times New Roman" w:hAnsi="Times New Roman" w:cs="Times New Roman"/>
          <w:sz w:val="24"/>
          <w:szCs w:val="24"/>
        </w:rPr>
        <w:t xml:space="preserve"> </w:t>
      </w:r>
      <w:r w:rsidR="00AC0A64" w:rsidRPr="00734837">
        <w:rPr>
          <w:rFonts w:ascii="Times New Roman" w:hAnsi="Times New Roman" w:cs="Times New Roman"/>
          <w:sz w:val="24"/>
          <w:szCs w:val="24"/>
        </w:rPr>
        <w:t xml:space="preserve">The average return and standard deviation of the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w:t>
      </w:r>
      <w:r w:rsidR="00594E91" w:rsidRPr="00734837">
        <w:rPr>
          <w:rFonts w:ascii="Times New Roman" w:hAnsi="Times New Roman" w:cs="Times New Roman"/>
          <w:sz w:val="24"/>
          <w:szCs w:val="24"/>
        </w:rPr>
        <w:t>’ portfolio</w:t>
      </w:r>
      <w:r w:rsidR="00A73345" w:rsidRPr="00734837">
        <w:rPr>
          <w:rFonts w:ascii="Times New Roman" w:hAnsi="Times New Roman" w:cs="Times New Roman"/>
          <w:sz w:val="24"/>
          <w:szCs w:val="24"/>
        </w:rPr>
        <w:t xml:space="preserve"> </w:t>
      </w:r>
      <w:proofErr w:type="gramStart"/>
      <w:r w:rsidR="00A73345" w:rsidRPr="00734837">
        <w:rPr>
          <w:rFonts w:ascii="Times New Roman" w:hAnsi="Times New Roman" w:cs="Times New Roman"/>
          <w:sz w:val="24"/>
          <w:szCs w:val="24"/>
        </w:rPr>
        <w:t>is</w:t>
      </w:r>
      <w:r w:rsidR="00AC0A64" w:rsidRPr="00734837">
        <w:rPr>
          <w:rFonts w:ascii="Times New Roman" w:hAnsi="Times New Roman" w:cs="Times New Roman"/>
          <w:sz w:val="24"/>
          <w:szCs w:val="24"/>
        </w:rPr>
        <w:t xml:space="preserve"> also reported</w:t>
      </w:r>
      <w:proofErr w:type="gramEnd"/>
      <w:r w:rsidR="00AC0A64" w:rsidRPr="00734837">
        <w:rPr>
          <w:rFonts w:ascii="Times New Roman" w:hAnsi="Times New Roman" w:cs="Times New Roman"/>
          <w:sz w:val="24"/>
          <w:szCs w:val="24"/>
        </w:rPr>
        <w:t xml:space="preserve"> in</w:t>
      </w:r>
      <w:r w:rsidR="00A73345" w:rsidRPr="00734837">
        <w:rPr>
          <w:rFonts w:ascii="Times New Roman" w:hAnsi="Times New Roman" w:cs="Times New Roman"/>
          <w:sz w:val="24"/>
          <w:szCs w:val="24"/>
        </w:rPr>
        <w:t xml:space="preserve"> the T</w:t>
      </w:r>
      <w:r w:rsidR="005449FE" w:rsidRPr="00734837">
        <w:rPr>
          <w:rFonts w:ascii="Times New Roman" w:hAnsi="Times New Roman" w:cs="Times New Roman"/>
          <w:sz w:val="24"/>
          <w:szCs w:val="24"/>
        </w:rPr>
        <w:t>able</w:t>
      </w:r>
      <w:r w:rsidR="00AC0A64" w:rsidRPr="00734837">
        <w:rPr>
          <w:rFonts w:ascii="Times New Roman" w:hAnsi="Times New Roman" w:cs="Times New Roman"/>
          <w:sz w:val="24"/>
          <w:szCs w:val="24"/>
        </w:rPr>
        <w:t xml:space="preserve"> </w:t>
      </w:r>
      <w:r w:rsidR="00A73345" w:rsidRPr="00734837">
        <w:rPr>
          <w:rFonts w:ascii="Times New Roman" w:hAnsi="Times New Roman" w:cs="Times New Roman"/>
          <w:sz w:val="24"/>
          <w:szCs w:val="24"/>
        </w:rPr>
        <w:t xml:space="preserve">with </w:t>
      </w:r>
      <w:r w:rsidR="005449FE" w:rsidRPr="00734837">
        <w:rPr>
          <w:rFonts w:ascii="Times New Roman" w:hAnsi="Times New Roman" w:cs="Times New Roman"/>
          <w:sz w:val="24"/>
          <w:szCs w:val="24"/>
        </w:rPr>
        <w:t xml:space="preserve">an average return of </w:t>
      </w:r>
      <w:r w:rsidR="00AC0A64" w:rsidRPr="00734837">
        <w:rPr>
          <w:rFonts w:ascii="Times New Roman" w:hAnsi="Times New Roman" w:cs="Times New Roman"/>
          <w:sz w:val="24"/>
          <w:szCs w:val="24"/>
        </w:rPr>
        <w:t xml:space="preserve">4.97% with a risk of 14.50%. In comparison to the average </w:t>
      </w:r>
      <w:r w:rsidR="00CD35DC" w:rsidRPr="00734837">
        <w:rPr>
          <w:rFonts w:ascii="Times New Roman" w:hAnsi="Times New Roman" w:cs="Times New Roman"/>
          <w:sz w:val="24"/>
          <w:szCs w:val="24"/>
        </w:rPr>
        <w:t xml:space="preserve">returns of the </w:t>
      </w:r>
      <w:r w:rsidR="00E50F1E" w:rsidRPr="00734837">
        <w:rPr>
          <w:rFonts w:ascii="Times New Roman" w:hAnsi="Times New Roman" w:cs="Times New Roman"/>
          <w:sz w:val="24"/>
          <w:szCs w:val="24"/>
        </w:rPr>
        <w:t xml:space="preserve">eleven </w:t>
      </w:r>
      <w:r w:rsidR="00CD35DC" w:rsidRPr="00734837">
        <w:rPr>
          <w:rFonts w:ascii="Times New Roman" w:hAnsi="Times New Roman" w:cs="Times New Roman"/>
          <w:sz w:val="24"/>
          <w:szCs w:val="24"/>
        </w:rPr>
        <w:t>African portfolios</w:t>
      </w:r>
      <w:r w:rsidR="00AC0A64" w:rsidRPr="00734837">
        <w:rPr>
          <w:rFonts w:ascii="Times New Roman" w:hAnsi="Times New Roman" w:cs="Times New Roman"/>
          <w:sz w:val="24"/>
          <w:szCs w:val="24"/>
        </w:rPr>
        <w:t xml:space="preserve">, with the exception of </w:t>
      </w:r>
      <w:r w:rsidR="00746FE0" w:rsidRPr="00734837">
        <w:rPr>
          <w:rFonts w:ascii="Times New Roman" w:hAnsi="Times New Roman" w:cs="Times New Roman"/>
          <w:sz w:val="24"/>
          <w:szCs w:val="24"/>
        </w:rPr>
        <w:t>the portfolios from</w:t>
      </w:r>
      <w:r w:rsidR="000472C3" w:rsidRPr="00734837">
        <w:rPr>
          <w:rFonts w:ascii="Times New Roman" w:hAnsi="Times New Roman" w:cs="Times New Roman"/>
          <w:sz w:val="24"/>
          <w:szCs w:val="24"/>
        </w:rPr>
        <w:t xml:space="preserve"> </w:t>
      </w:r>
      <w:r w:rsidR="00AC0A64" w:rsidRPr="00734837">
        <w:rPr>
          <w:rFonts w:ascii="Times New Roman" w:hAnsi="Times New Roman" w:cs="Times New Roman"/>
          <w:sz w:val="24"/>
          <w:szCs w:val="24"/>
        </w:rPr>
        <w:t>Tunisia and Ghana,</w:t>
      </w:r>
      <w:r w:rsidR="00FC64CF" w:rsidRPr="00734837">
        <w:rPr>
          <w:rFonts w:ascii="Times New Roman" w:hAnsi="Times New Roman" w:cs="Times New Roman"/>
          <w:sz w:val="24"/>
          <w:szCs w:val="24"/>
        </w:rPr>
        <w:t xml:space="preserve"> all the others</w:t>
      </w:r>
      <w:r w:rsidR="00AC0A64" w:rsidRPr="00734837">
        <w:rPr>
          <w:rFonts w:ascii="Times New Roman" w:hAnsi="Times New Roman" w:cs="Times New Roman"/>
          <w:sz w:val="24"/>
          <w:szCs w:val="24"/>
        </w:rPr>
        <w:t xml:space="preserve"> have a higher average return than that of the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 However, the </w:t>
      </w:r>
      <w:r w:rsidR="00E2099F" w:rsidRPr="00734837">
        <w:rPr>
          <w:rFonts w:ascii="Times New Roman" w:hAnsi="Times New Roman" w:cs="Times New Roman"/>
          <w:sz w:val="24"/>
          <w:szCs w:val="24"/>
        </w:rPr>
        <w:t xml:space="preserve">portfolio from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 tends to have </w:t>
      </w:r>
      <w:r w:rsidR="00EC0AA7" w:rsidRPr="00734837">
        <w:rPr>
          <w:rFonts w:ascii="Times New Roman" w:hAnsi="Times New Roman" w:cs="Times New Roman"/>
          <w:sz w:val="24"/>
          <w:szCs w:val="24"/>
        </w:rPr>
        <w:t>a lower risk</w:t>
      </w:r>
      <w:r w:rsidR="00AC0A64" w:rsidRPr="00734837">
        <w:rPr>
          <w:rFonts w:ascii="Times New Roman" w:hAnsi="Times New Roman" w:cs="Times New Roman"/>
          <w:sz w:val="24"/>
          <w:szCs w:val="24"/>
        </w:rPr>
        <w:t xml:space="preserve"> than </w:t>
      </w:r>
      <w:r w:rsidR="00F43D93" w:rsidRPr="00734837">
        <w:rPr>
          <w:rFonts w:ascii="Times New Roman" w:hAnsi="Times New Roman" w:cs="Times New Roman"/>
          <w:sz w:val="24"/>
          <w:szCs w:val="24"/>
        </w:rPr>
        <w:t>those from</w:t>
      </w:r>
      <w:r w:rsidR="004B1190" w:rsidRPr="00734837">
        <w:rPr>
          <w:rFonts w:ascii="Times New Roman" w:hAnsi="Times New Roman" w:cs="Times New Roman"/>
          <w:sz w:val="24"/>
          <w:szCs w:val="24"/>
        </w:rPr>
        <w:t xml:space="preserve"> </w:t>
      </w:r>
      <w:r w:rsidR="00AC0A64" w:rsidRPr="00734837">
        <w:rPr>
          <w:rFonts w:ascii="Times New Roman" w:hAnsi="Times New Roman" w:cs="Times New Roman"/>
          <w:sz w:val="24"/>
          <w:szCs w:val="24"/>
        </w:rPr>
        <w:t>the eleven African countries. These results conform t</w:t>
      </w:r>
      <w:r w:rsidR="001808CA" w:rsidRPr="00734837">
        <w:rPr>
          <w:rFonts w:ascii="Times New Roman" w:hAnsi="Times New Roman" w:cs="Times New Roman"/>
          <w:sz w:val="24"/>
          <w:szCs w:val="24"/>
        </w:rPr>
        <w:t xml:space="preserve">o the argument made by </w:t>
      </w:r>
      <w:proofErr w:type="spellStart"/>
      <w:r w:rsidR="001808CA" w:rsidRPr="00734837">
        <w:rPr>
          <w:rFonts w:ascii="Times New Roman" w:hAnsi="Times New Roman" w:cs="Times New Roman"/>
          <w:sz w:val="24"/>
          <w:szCs w:val="24"/>
        </w:rPr>
        <w:t>Bekaert</w:t>
      </w:r>
      <w:proofErr w:type="spellEnd"/>
      <w:r w:rsidR="001808CA" w:rsidRPr="00734837">
        <w:rPr>
          <w:rFonts w:ascii="Times New Roman" w:hAnsi="Times New Roman" w:cs="Times New Roman"/>
          <w:sz w:val="24"/>
          <w:szCs w:val="24"/>
        </w:rPr>
        <w:t xml:space="preserve"> and</w:t>
      </w:r>
      <w:r w:rsidR="00AC0A64" w:rsidRPr="00734837">
        <w:rPr>
          <w:rFonts w:ascii="Times New Roman" w:hAnsi="Times New Roman" w:cs="Times New Roman"/>
          <w:sz w:val="24"/>
          <w:szCs w:val="24"/>
        </w:rPr>
        <w:t xml:space="preserve"> Harvey (19</w:t>
      </w:r>
      <w:r w:rsidR="00E65346" w:rsidRPr="00734837">
        <w:rPr>
          <w:rFonts w:ascii="Times New Roman" w:hAnsi="Times New Roman" w:cs="Times New Roman"/>
          <w:sz w:val="24"/>
          <w:szCs w:val="24"/>
        </w:rPr>
        <w:t>97</w:t>
      </w:r>
      <w:r w:rsidR="0007683B" w:rsidRPr="00734837">
        <w:rPr>
          <w:rFonts w:ascii="Times New Roman" w:hAnsi="Times New Roman" w:cs="Times New Roman"/>
          <w:sz w:val="24"/>
          <w:szCs w:val="24"/>
        </w:rPr>
        <w:t xml:space="preserve">) and Harvey (1995) that, stock </w:t>
      </w:r>
      <w:r w:rsidR="00456D70" w:rsidRPr="00734837">
        <w:rPr>
          <w:rFonts w:ascii="Times New Roman" w:hAnsi="Times New Roman" w:cs="Times New Roman"/>
          <w:sz w:val="24"/>
          <w:szCs w:val="24"/>
        </w:rPr>
        <w:t>returns of developing</w:t>
      </w:r>
      <w:r w:rsidR="00E65346" w:rsidRPr="00734837">
        <w:rPr>
          <w:rFonts w:ascii="Times New Roman" w:hAnsi="Times New Roman" w:cs="Times New Roman"/>
          <w:sz w:val="24"/>
          <w:szCs w:val="24"/>
        </w:rPr>
        <w:t xml:space="preserve"> economies </w:t>
      </w:r>
      <w:r w:rsidR="00AC0A64" w:rsidRPr="00734837">
        <w:rPr>
          <w:rFonts w:ascii="Times New Roman" w:hAnsi="Times New Roman" w:cs="Times New Roman"/>
          <w:sz w:val="24"/>
          <w:szCs w:val="24"/>
        </w:rPr>
        <w:t>tend to have dif</w:t>
      </w:r>
      <w:r w:rsidR="00C01AC1" w:rsidRPr="00734837">
        <w:rPr>
          <w:rFonts w:ascii="Times New Roman" w:hAnsi="Times New Roman" w:cs="Times New Roman"/>
          <w:sz w:val="24"/>
          <w:szCs w:val="24"/>
        </w:rPr>
        <w:t>ferent characteristics as compared to</w:t>
      </w:r>
      <w:r w:rsidR="00AC0A64" w:rsidRPr="00734837">
        <w:rPr>
          <w:rFonts w:ascii="Times New Roman" w:hAnsi="Times New Roman" w:cs="Times New Roman"/>
          <w:sz w:val="24"/>
          <w:szCs w:val="24"/>
        </w:rPr>
        <w:t xml:space="preserve"> the developed economies.  The Sharpe ratios (SR) were also estimated using the average return and risk for the individual </w:t>
      </w:r>
      <w:r w:rsidR="00917043" w:rsidRPr="00734837">
        <w:rPr>
          <w:rFonts w:ascii="Times New Roman" w:hAnsi="Times New Roman" w:cs="Times New Roman"/>
          <w:sz w:val="24"/>
          <w:szCs w:val="24"/>
        </w:rPr>
        <w:t xml:space="preserve">market </w:t>
      </w:r>
      <w:r w:rsidR="00AC0A64" w:rsidRPr="00734837">
        <w:rPr>
          <w:rFonts w:ascii="Times New Roman" w:hAnsi="Times New Roman" w:cs="Times New Roman"/>
          <w:sz w:val="24"/>
          <w:szCs w:val="24"/>
        </w:rPr>
        <w:t xml:space="preserve">portfolios of the </w:t>
      </w:r>
      <w:r w:rsidR="00F06733" w:rsidRPr="00734837">
        <w:rPr>
          <w:rFonts w:ascii="Times New Roman" w:hAnsi="Times New Roman" w:cs="Times New Roman"/>
          <w:sz w:val="24"/>
          <w:szCs w:val="24"/>
        </w:rPr>
        <w:t>eleven African countries and that of the</w:t>
      </w:r>
      <w:r w:rsidR="00AC0A64" w:rsidRPr="00734837">
        <w:rPr>
          <w:rFonts w:ascii="Times New Roman" w:hAnsi="Times New Roman" w:cs="Times New Roman"/>
          <w:sz w:val="24"/>
          <w:szCs w:val="24"/>
        </w:rPr>
        <w:t xml:space="preserve">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 These ratios </w:t>
      </w:r>
      <w:r w:rsidR="00AC0A64" w:rsidRPr="00734837">
        <w:rPr>
          <w:rFonts w:ascii="Times New Roman" w:hAnsi="Times New Roman" w:cs="Times New Roman"/>
          <w:sz w:val="24"/>
          <w:szCs w:val="24"/>
        </w:rPr>
        <w:lastRenderedPageBreak/>
        <w:t>i</w:t>
      </w:r>
      <w:r w:rsidR="00C01508" w:rsidRPr="00734837">
        <w:rPr>
          <w:rFonts w:ascii="Times New Roman" w:hAnsi="Times New Roman" w:cs="Times New Roman"/>
          <w:sz w:val="24"/>
          <w:szCs w:val="24"/>
        </w:rPr>
        <w:t>ndicate the reward to variability</w:t>
      </w:r>
      <w:r w:rsidR="00AC0A64" w:rsidRPr="00734837">
        <w:rPr>
          <w:rFonts w:ascii="Times New Roman" w:hAnsi="Times New Roman" w:cs="Times New Roman"/>
          <w:sz w:val="24"/>
          <w:szCs w:val="24"/>
        </w:rPr>
        <w:t>, thus the ratio of average return per risk taken, assuming a risk-free rate of zero (</w:t>
      </w:r>
      <w:r w:rsidR="00AC0A64" w:rsidRPr="00734837">
        <w:rPr>
          <w:rFonts w:ascii="Times New Roman" w:hAnsi="Times New Roman" w:cs="Times New Roman"/>
          <w:sz w:val="24"/>
        </w:rPr>
        <w:t>Mensah et al</w:t>
      </w:r>
      <w:r w:rsidR="00AB4501" w:rsidRPr="00734837">
        <w:rPr>
          <w:rFonts w:ascii="Times New Roman" w:hAnsi="Times New Roman" w:cs="Times New Roman"/>
          <w:sz w:val="24"/>
        </w:rPr>
        <w:t>.</w:t>
      </w:r>
      <w:r w:rsidR="00AC0A64" w:rsidRPr="00734837">
        <w:rPr>
          <w:rFonts w:ascii="Times New Roman" w:hAnsi="Times New Roman" w:cs="Times New Roman"/>
          <w:sz w:val="24"/>
        </w:rPr>
        <w:t>, 2013)</w:t>
      </w:r>
      <w:r w:rsidR="00AC0A64" w:rsidRPr="00734837">
        <w:rPr>
          <w:rFonts w:ascii="Times New Roman" w:hAnsi="Times New Roman" w:cs="Times New Roman"/>
          <w:sz w:val="24"/>
          <w:szCs w:val="24"/>
        </w:rPr>
        <w:t>. Zambia</w:t>
      </w:r>
      <w:r w:rsidR="000E5790" w:rsidRPr="00734837">
        <w:rPr>
          <w:rFonts w:ascii="Times New Roman" w:hAnsi="Times New Roman" w:cs="Times New Roman"/>
          <w:sz w:val="24"/>
          <w:szCs w:val="24"/>
        </w:rPr>
        <w:t>’s portfolio</w:t>
      </w:r>
      <w:r w:rsidR="00AC0A64" w:rsidRPr="00734837">
        <w:rPr>
          <w:rFonts w:ascii="Times New Roman" w:hAnsi="Times New Roman" w:cs="Times New Roman"/>
          <w:sz w:val="24"/>
          <w:szCs w:val="24"/>
        </w:rPr>
        <w:t xml:space="preserve"> reported the highest reward to volatility of 66.89</w:t>
      </w:r>
      <w:r w:rsidR="00EC0AA7" w:rsidRPr="00734837">
        <w:rPr>
          <w:rFonts w:ascii="Times New Roman" w:hAnsi="Times New Roman" w:cs="Times New Roman"/>
          <w:sz w:val="24"/>
          <w:szCs w:val="24"/>
        </w:rPr>
        <w:t>%, whereas</w:t>
      </w:r>
      <w:r w:rsidR="00AC0A64" w:rsidRPr="00734837">
        <w:rPr>
          <w:rFonts w:ascii="Times New Roman" w:hAnsi="Times New Roman" w:cs="Times New Roman"/>
          <w:sz w:val="24"/>
          <w:szCs w:val="24"/>
        </w:rPr>
        <w:t xml:space="preserve"> </w:t>
      </w:r>
      <w:proofErr w:type="gramStart"/>
      <w:r w:rsidR="00AC0A64" w:rsidRPr="00734837">
        <w:rPr>
          <w:rFonts w:ascii="Times New Roman" w:hAnsi="Times New Roman" w:cs="Times New Roman"/>
          <w:sz w:val="24"/>
          <w:szCs w:val="24"/>
        </w:rPr>
        <w:t>Ghana</w:t>
      </w:r>
      <w:r w:rsidR="000E5790" w:rsidRPr="00734837">
        <w:rPr>
          <w:rFonts w:ascii="Times New Roman" w:hAnsi="Times New Roman" w:cs="Times New Roman"/>
          <w:sz w:val="24"/>
          <w:szCs w:val="24"/>
        </w:rPr>
        <w:t>’s</w:t>
      </w:r>
      <w:proofErr w:type="gramEnd"/>
      <w:r w:rsidR="00AC0A64" w:rsidRPr="00734837">
        <w:rPr>
          <w:rFonts w:ascii="Times New Roman" w:hAnsi="Times New Roman" w:cs="Times New Roman"/>
          <w:sz w:val="24"/>
          <w:szCs w:val="24"/>
        </w:rPr>
        <w:t xml:space="preserve"> reported the least (7.95%). On t</w:t>
      </w:r>
      <w:r w:rsidR="001F7F53" w:rsidRPr="00734837">
        <w:rPr>
          <w:rFonts w:ascii="Times New Roman" w:hAnsi="Times New Roman" w:cs="Times New Roman"/>
          <w:sz w:val="24"/>
          <w:szCs w:val="24"/>
        </w:rPr>
        <w:t xml:space="preserve">he average, more than 50% of individual countries (African) portfolios </w:t>
      </w:r>
      <w:r w:rsidR="00834838" w:rsidRPr="00734837">
        <w:rPr>
          <w:rFonts w:ascii="Times New Roman" w:hAnsi="Times New Roman" w:cs="Times New Roman"/>
          <w:sz w:val="24"/>
          <w:szCs w:val="24"/>
        </w:rPr>
        <w:t>have</w:t>
      </w:r>
      <w:r w:rsidR="00AC0A64" w:rsidRPr="00734837">
        <w:rPr>
          <w:rFonts w:ascii="Times New Roman" w:hAnsi="Times New Roman" w:cs="Times New Roman"/>
          <w:sz w:val="24"/>
          <w:szCs w:val="24"/>
        </w:rPr>
        <w:t xml:space="preserve"> low Sharpe ratios (less than 50%) indicating that, investors investing in these individual country’s portfolio are not being rewarded greatly for the excessive risk taken. The same </w:t>
      </w:r>
      <w:proofErr w:type="gramStart"/>
      <w:r w:rsidR="00AC0A64" w:rsidRPr="00734837">
        <w:rPr>
          <w:rFonts w:ascii="Times New Roman" w:hAnsi="Times New Roman" w:cs="Times New Roman"/>
          <w:sz w:val="24"/>
          <w:szCs w:val="24"/>
        </w:rPr>
        <w:t>can be said</w:t>
      </w:r>
      <w:proofErr w:type="gramEnd"/>
      <w:r w:rsidR="00AC0A64" w:rsidRPr="00734837">
        <w:rPr>
          <w:rFonts w:ascii="Times New Roman" w:hAnsi="Times New Roman" w:cs="Times New Roman"/>
          <w:sz w:val="24"/>
          <w:szCs w:val="24"/>
        </w:rPr>
        <w:t xml:space="preserve"> for the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 which has a Sharpe ratio of 34.26%.</w:t>
      </w:r>
    </w:p>
    <w:p w:rsidR="007B529D" w:rsidRPr="00734837" w:rsidRDefault="00AC0A64" w:rsidP="00DB671E">
      <w:pPr>
        <w:spacing w:after="360" w:line="240" w:lineRule="auto"/>
        <w:jc w:val="both"/>
        <w:rPr>
          <w:rFonts w:ascii="Times New Roman" w:eastAsia="Times New Roman" w:hAnsi="Times New Roman" w:cs="Times New Roman"/>
          <w:color w:val="000000"/>
          <w:sz w:val="24"/>
          <w:szCs w:val="24"/>
        </w:rPr>
      </w:pPr>
      <w:r w:rsidRPr="00734837">
        <w:rPr>
          <w:rFonts w:ascii="Times New Roman" w:hAnsi="Times New Roman" w:cs="Times New Roman"/>
          <w:noProof/>
          <w:sz w:val="24"/>
          <w:szCs w:val="24"/>
        </w:rPr>
        <w:t xml:space="preserve">A correlation matrix for the stock returns of the eleven stock markets and </w:t>
      </w:r>
      <w:r w:rsidR="009658DE" w:rsidRPr="00734837">
        <w:rPr>
          <w:rFonts w:ascii="Times New Roman" w:hAnsi="Times New Roman" w:cs="Times New Roman"/>
          <w:noProof/>
          <w:sz w:val="24"/>
          <w:szCs w:val="24"/>
        </w:rPr>
        <w:t xml:space="preserve">that of the </w:t>
      </w:r>
      <w:r w:rsidRPr="00734837">
        <w:rPr>
          <w:rFonts w:ascii="Times New Roman" w:hAnsi="Times New Roman" w:cs="Times New Roman"/>
          <w:noProof/>
          <w:sz w:val="24"/>
          <w:szCs w:val="24"/>
        </w:rPr>
        <w:t>S</w:t>
      </w:r>
      <w:r w:rsidR="00693D1C" w:rsidRPr="00734837">
        <w:rPr>
          <w:rFonts w:ascii="Times New Roman" w:hAnsi="Times New Roman" w:cs="Times New Roman"/>
          <w:noProof/>
          <w:sz w:val="24"/>
          <w:szCs w:val="24"/>
        </w:rPr>
        <w:t>and</w:t>
      </w:r>
      <w:r w:rsidRPr="00734837">
        <w:rPr>
          <w:rFonts w:ascii="Times New Roman" w:hAnsi="Times New Roman" w:cs="Times New Roman"/>
          <w:noProof/>
          <w:sz w:val="24"/>
          <w:szCs w:val="24"/>
        </w:rPr>
        <w:t>P Dow Jones was constructed. The researcher further tested the hypothesis</w:t>
      </w:r>
      <w:r w:rsidR="009226E3" w:rsidRPr="00734837">
        <w:rPr>
          <w:rFonts w:ascii="Times New Roman" w:hAnsi="Times New Roman" w:cs="Times New Roman"/>
          <w:noProof/>
          <w:sz w:val="24"/>
          <w:szCs w:val="24"/>
        </w:rPr>
        <w:t xml:space="preserve"> of no correlation,</w:t>
      </w:r>
      <w:r w:rsidRPr="00734837">
        <w:rPr>
          <w:rFonts w:ascii="Times New Roman" w:hAnsi="Times New Roman" w:cs="Times New Roman"/>
          <w:noProof/>
          <w:sz w:val="24"/>
          <w:szCs w:val="24"/>
        </w:rPr>
        <w:t xml:space="preserve"> to check if these correlation </w:t>
      </w:r>
      <w:r w:rsidR="00EC0AA7" w:rsidRPr="00734837">
        <w:rPr>
          <w:rFonts w:ascii="Times New Roman" w:hAnsi="Times New Roman" w:cs="Times New Roman"/>
          <w:noProof/>
          <w:sz w:val="24"/>
          <w:szCs w:val="24"/>
        </w:rPr>
        <w:t>coefficients</w:t>
      </w:r>
      <w:r w:rsidRPr="00734837">
        <w:rPr>
          <w:rFonts w:ascii="Times New Roman" w:hAnsi="Times New Roman" w:cs="Times New Roman"/>
          <w:noProof/>
          <w:sz w:val="24"/>
          <w:szCs w:val="24"/>
        </w:rPr>
        <w:t xml:space="preserve"> are significantly different from zero.</w:t>
      </w:r>
      <w:r w:rsidR="00942276" w:rsidRPr="00734837">
        <w:rPr>
          <w:rFonts w:ascii="Times New Roman" w:eastAsia="Times New Roman" w:hAnsi="Times New Roman" w:cs="Times New Roman"/>
          <w:color w:val="000000"/>
          <w:sz w:val="24"/>
          <w:szCs w:val="24"/>
        </w:rPr>
        <w:t xml:space="preserve"> </w:t>
      </w:r>
      <w:r w:rsidR="00437155" w:rsidRPr="00734837">
        <w:rPr>
          <w:rFonts w:ascii="Times New Roman" w:eastAsia="Times New Roman" w:hAnsi="Times New Roman" w:cs="Times New Roman"/>
          <w:color w:val="000000"/>
          <w:sz w:val="24"/>
          <w:szCs w:val="24"/>
        </w:rPr>
        <w:t xml:space="preserve">Table </w:t>
      </w:r>
      <w:r w:rsidR="00130D5A" w:rsidRPr="00734837">
        <w:rPr>
          <w:rFonts w:ascii="Times New Roman" w:eastAsia="Times New Roman" w:hAnsi="Times New Roman" w:cs="Times New Roman"/>
          <w:color w:val="000000"/>
          <w:sz w:val="24"/>
          <w:szCs w:val="24"/>
        </w:rPr>
        <w:t>2</w:t>
      </w:r>
      <w:r w:rsidR="00942276" w:rsidRPr="00734837">
        <w:rPr>
          <w:rFonts w:ascii="Times New Roman" w:eastAsia="Times New Roman" w:hAnsi="Times New Roman" w:cs="Times New Roman"/>
          <w:color w:val="000000"/>
          <w:sz w:val="24"/>
          <w:szCs w:val="24"/>
        </w:rPr>
        <w:t xml:space="preserve"> reports the correlation coefficients of the stock returns between the various African countries and </w:t>
      </w:r>
      <w:proofErr w:type="spellStart"/>
      <w:r w:rsidR="00942276" w:rsidRPr="00734837">
        <w:rPr>
          <w:rFonts w:ascii="Times New Roman" w:eastAsia="Times New Roman" w:hAnsi="Times New Roman" w:cs="Times New Roman"/>
          <w:color w:val="000000"/>
          <w:sz w:val="24"/>
          <w:szCs w:val="24"/>
        </w:rPr>
        <w:t>S</w:t>
      </w:r>
      <w:r w:rsidR="00693D1C" w:rsidRPr="00734837">
        <w:rPr>
          <w:rFonts w:ascii="Times New Roman" w:eastAsia="Times New Roman" w:hAnsi="Times New Roman" w:cs="Times New Roman"/>
          <w:color w:val="000000"/>
          <w:sz w:val="24"/>
          <w:szCs w:val="24"/>
        </w:rPr>
        <w:t>and</w:t>
      </w:r>
      <w:r w:rsidR="00942276" w:rsidRPr="00734837">
        <w:rPr>
          <w:rFonts w:ascii="Times New Roman" w:eastAsia="Times New Roman" w:hAnsi="Times New Roman" w:cs="Times New Roman"/>
          <w:color w:val="000000"/>
          <w:sz w:val="24"/>
          <w:szCs w:val="24"/>
        </w:rPr>
        <w:t>P</w:t>
      </w:r>
      <w:proofErr w:type="spellEnd"/>
      <w:r w:rsidR="00942276" w:rsidRPr="00734837">
        <w:rPr>
          <w:rFonts w:ascii="Times New Roman" w:eastAsia="Times New Roman" w:hAnsi="Times New Roman" w:cs="Times New Roman"/>
          <w:color w:val="000000"/>
          <w:sz w:val="24"/>
          <w:szCs w:val="24"/>
        </w:rPr>
        <w:t xml:space="preserve"> Dow Jones. The least correlation co</w:t>
      </w:r>
      <w:r w:rsidR="00B146BE" w:rsidRPr="00734837">
        <w:rPr>
          <w:rFonts w:ascii="Times New Roman" w:eastAsia="Times New Roman" w:hAnsi="Times New Roman" w:cs="Times New Roman"/>
          <w:color w:val="000000"/>
          <w:sz w:val="24"/>
          <w:szCs w:val="24"/>
        </w:rPr>
        <w:t xml:space="preserve">efficient (0.01) </w:t>
      </w:r>
      <w:proofErr w:type="gramStart"/>
      <w:r w:rsidR="00B146BE" w:rsidRPr="00734837">
        <w:rPr>
          <w:rFonts w:ascii="Times New Roman" w:eastAsia="Times New Roman" w:hAnsi="Times New Roman" w:cs="Times New Roman"/>
          <w:color w:val="000000"/>
          <w:sz w:val="24"/>
          <w:szCs w:val="24"/>
        </w:rPr>
        <w:t>is reported</w:t>
      </w:r>
      <w:proofErr w:type="gramEnd"/>
      <w:r w:rsidR="00B146BE" w:rsidRPr="00734837">
        <w:rPr>
          <w:rFonts w:ascii="Times New Roman" w:eastAsia="Times New Roman" w:hAnsi="Times New Roman" w:cs="Times New Roman"/>
          <w:color w:val="000000"/>
          <w:sz w:val="24"/>
          <w:szCs w:val="24"/>
        </w:rPr>
        <w:t xml:space="preserve"> between</w:t>
      </w:r>
      <w:r w:rsidR="00942276" w:rsidRPr="00734837">
        <w:rPr>
          <w:rFonts w:ascii="Times New Roman" w:eastAsia="Times New Roman" w:hAnsi="Times New Roman" w:cs="Times New Roman"/>
          <w:color w:val="000000"/>
          <w:sz w:val="24"/>
          <w:szCs w:val="24"/>
        </w:rPr>
        <w:t xml:space="preserve"> the stock returns of Ghana and Tunisia, whereas the highest (0.38) is reported </w:t>
      </w:r>
      <w:r w:rsidR="00AB1152" w:rsidRPr="00734837">
        <w:rPr>
          <w:rFonts w:ascii="Times New Roman" w:eastAsia="Times New Roman" w:hAnsi="Times New Roman" w:cs="Times New Roman"/>
          <w:color w:val="000000"/>
          <w:sz w:val="24"/>
          <w:szCs w:val="24"/>
        </w:rPr>
        <w:t>between</w:t>
      </w:r>
      <w:r w:rsidR="00942276" w:rsidRPr="00734837">
        <w:rPr>
          <w:rFonts w:ascii="Times New Roman" w:eastAsia="Times New Roman" w:hAnsi="Times New Roman" w:cs="Times New Roman"/>
          <w:color w:val="000000"/>
          <w:sz w:val="24"/>
          <w:szCs w:val="24"/>
        </w:rPr>
        <w:t xml:space="preserve"> Kenya and Mauritius. </w:t>
      </w:r>
      <w:r w:rsidR="00C430D1" w:rsidRPr="00734837">
        <w:rPr>
          <w:rFonts w:ascii="Times New Roman" w:eastAsia="Times New Roman" w:hAnsi="Times New Roman" w:cs="Times New Roman"/>
          <w:color w:val="000000"/>
          <w:sz w:val="24"/>
          <w:szCs w:val="24"/>
        </w:rPr>
        <w:t xml:space="preserve">It </w:t>
      </w:r>
      <w:proofErr w:type="gramStart"/>
      <w:r w:rsidR="00C430D1" w:rsidRPr="00734837">
        <w:rPr>
          <w:rFonts w:ascii="Times New Roman" w:eastAsia="Times New Roman" w:hAnsi="Times New Roman" w:cs="Times New Roman"/>
          <w:color w:val="000000"/>
          <w:sz w:val="24"/>
          <w:szCs w:val="24"/>
        </w:rPr>
        <w:t>is realized</w:t>
      </w:r>
      <w:proofErr w:type="gramEnd"/>
      <w:r w:rsidR="00C430D1" w:rsidRPr="00734837">
        <w:rPr>
          <w:rFonts w:ascii="Times New Roman" w:eastAsia="Times New Roman" w:hAnsi="Times New Roman" w:cs="Times New Roman"/>
          <w:color w:val="000000"/>
          <w:sz w:val="24"/>
          <w:szCs w:val="24"/>
        </w:rPr>
        <w:t xml:space="preserve"> from T</w:t>
      </w:r>
      <w:r w:rsidR="00942276" w:rsidRPr="00734837">
        <w:rPr>
          <w:rFonts w:ascii="Times New Roman" w:eastAsia="Times New Roman" w:hAnsi="Times New Roman" w:cs="Times New Roman"/>
          <w:color w:val="000000"/>
          <w:sz w:val="24"/>
          <w:szCs w:val="24"/>
        </w:rPr>
        <w:t xml:space="preserve">able </w:t>
      </w:r>
      <w:r w:rsidR="00C430D1" w:rsidRPr="00734837">
        <w:rPr>
          <w:rFonts w:ascii="Times New Roman" w:eastAsia="Times New Roman" w:hAnsi="Times New Roman" w:cs="Times New Roman"/>
          <w:color w:val="000000"/>
          <w:sz w:val="24"/>
          <w:szCs w:val="24"/>
        </w:rPr>
        <w:t>2</w:t>
      </w:r>
      <w:r w:rsidR="00942276" w:rsidRPr="00734837">
        <w:rPr>
          <w:rFonts w:ascii="Times New Roman" w:eastAsia="Times New Roman" w:hAnsi="Times New Roman" w:cs="Times New Roman"/>
          <w:color w:val="000000"/>
          <w:sz w:val="24"/>
          <w:szCs w:val="24"/>
        </w:rPr>
        <w:t>, that all the correlations are below 50%, indicating that the relationship between the returns of the eleven African stock markets are not strong</w:t>
      </w:r>
      <w:r w:rsidR="00942276" w:rsidRPr="00734837">
        <w:rPr>
          <w:rFonts w:ascii="Times New Roman" w:eastAsia="MacmillanRoman" w:hAnsi="Times New Roman" w:cs="Times New Roman"/>
          <w:color w:val="000000"/>
          <w:sz w:val="24"/>
          <w:szCs w:val="24"/>
        </w:rPr>
        <w:t xml:space="preserve"> (Cohen, 1988)</w:t>
      </w:r>
      <w:r w:rsidR="00942276" w:rsidRPr="00734837">
        <w:rPr>
          <w:rFonts w:ascii="Times New Roman" w:eastAsia="Times New Roman" w:hAnsi="Times New Roman" w:cs="Times New Roman"/>
          <w:color w:val="000000"/>
          <w:sz w:val="24"/>
          <w:szCs w:val="24"/>
        </w:rPr>
        <w:t xml:space="preserve">. These results therefore, do not warrant any of the eleven African countries to </w:t>
      </w:r>
      <w:proofErr w:type="gramStart"/>
      <w:r w:rsidR="00942276" w:rsidRPr="00734837">
        <w:rPr>
          <w:rFonts w:ascii="Times New Roman" w:eastAsia="Times New Roman" w:hAnsi="Times New Roman" w:cs="Times New Roman"/>
          <w:color w:val="000000"/>
          <w:sz w:val="24"/>
          <w:szCs w:val="24"/>
        </w:rPr>
        <w:t>be eliminated</w:t>
      </w:r>
      <w:proofErr w:type="gramEnd"/>
      <w:r w:rsidR="00942276" w:rsidRPr="00734837">
        <w:rPr>
          <w:rFonts w:ascii="Times New Roman" w:eastAsia="Times New Roman" w:hAnsi="Times New Roman" w:cs="Times New Roman"/>
          <w:color w:val="000000"/>
          <w:sz w:val="24"/>
          <w:szCs w:val="24"/>
        </w:rPr>
        <w:t xml:space="preserve">. </w:t>
      </w:r>
      <w:proofErr w:type="gramStart"/>
      <w:r w:rsidR="00942276" w:rsidRPr="00734837">
        <w:rPr>
          <w:rFonts w:ascii="Times New Roman" w:eastAsia="Times New Roman" w:hAnsi="Times New Roman" w:cs="Times New Roman"/>
          <w:color w:val="000000"/>
          <w:sz w:val="24"/>
          <w:szCs w:val="24"/>
        </w:rPr>
        <w:t>Hence</w:t>
      </w:r>
      <w:proofErr w:type="gramEnd"/>
      <w:r w:rsidR="00942276" w:rsidRPr="00734837">
        <w:rPr>
          <w:rFonts w:ascii="Times New Roman" w:eastAsia="Times New Roman" w:hAnsi="Times New Roman" w:cs="Times New Roman"/>
          <w:color w:val="000000"/>
          <w:sz w:val="24"/>
          <w:szCs w:val="24"/>
        </w:rPr>
        <w:t xml:space="preserve"> portfolio diversification across these countries should result in higher returns or reduce </w:t>
      </w:r>
      <w:r w:rsidR="00834053" w:rsidRPr="00734837">
        <w:rPr>
          <w:rFonts w:ascii="Times New Roman" w:eastAsia="Times New Roman" w:hAnsi="Times New Roman" w:cs="Times New Roman"/>
          <w:color w:val="000000"/>
          <w:sz w:val="24"/>
          <w:szCs w:val="24"/>
        </w:rPr>
        <w:t xml:space="preserve">the </w:t>
      </w:r>
      <w:r w:rsidR="00942276" w:rsidRPr="00734837">
        <w:rPr>
          <w:rFonts w:ascii="Times New Roman" w:eastAsia="Times New Roman" w:hAnsi="Times New Roman" w:cs="Times New Roman"/>
          <w:color w:val="000000"/>
          <w:sz w:val="24"/>
          <w:szCs w:val="24"/>
        </w:rPr>
        <w:t>risk associated with these returns as compared to investing in any of the individual countries (</w:t>
      </w:r>
      <w:r w:rsidR="00942276" w:rsidRPr="00734837">
        <w:rPr>
          <w:rFonts w:ascii="Times New Roman" w:eastAsia="MacmillanRoman" w:hAnsi="Times New Roman" w:cs="Times New Roman"/>
          <w:color w:val="000000"/>
          <w:sz w:val="24"/>
          <w:szCs w:val="24"/>
        </w:rPr>
        <w:t>Groot et al</w:t>
      </w:r>
      <w:r w:rsidR="00477D18" w:rsidRPr="00734837">
        <w:rPr>
          <w:rFonts w:ascii="Times New Roman" w:eastAsia="MacmillanRoman" w:hAnsi="Times New Roman" w:cs="Times New Roman"/>
          <w:color w:val="000000"/>
          <w:sz w:val="24"/>
          <w:szCs w:val="24"/>
        </w:rPr>
        <w:t>., 2012; Li et al.</w:t>
      </w:r>
      <w:r w:rsidR="00942276" w:rsidRPr="00734837">
        <w:rPr>
          <w:rFonts w:ascii="Times New Roman" w:eastAsia="MacmillanRoman" w:hAnsi="Times New Roman" w:cs="Times New Roman"/>
          <w:color w:val="000000"/>
          <w:sz w:val="24"/>
          <w:szCs w:val="24"/>
        </w:rPr>
        <w:t xml:space="preserve">, 2003; Harvey, 1995; </w:t>
      </w:r>
      <w:proofErr w:type="spellStart"/>
      <w:r w:rsidR="00942276" w:rsidRPr="00734837">
        <w:rPr>
          <w:rFonts w:ascii="Times New Roman" w:eastAsia="MacmillanRoman" w:hAnsi="Times New Roman" w:cs="Times New Roman"/>
          <w:color w:val="000000"/>
          <w:sz w:val="24"/>
          <w:szCs w:val="24"/>
        </w:rPr>
        <w:t>Obstfeld</w:t>
      </w:r>
      <w:proofErr w:type="spellEnd"/>
      <w:r w:rsidR="00942276" w:rsidRPr="00734837">
        <w:rPr>
          <w:rFonts w:ascii="Times New Roman" w:eastAsia="MacmillanRoman" w:hAnsi="Times New Roman" w:cs="Times New Roman"/>
          <w:color w:val="000000"/>
          <w:sz w:val="24"/>
          <w:szCs w:val="24"/>
        </w:rPr>
        <w:t>, 1994).</w:t>
      </w:r>
    </w:p>
    <w:tbl>
      <w:tblPr>
        <w:tblW w:w="9777" w:type="dxa"/>
        <w:tblLayout w:type="fixed"/>
        <w:tblLook w:val="04A0" w:firstRow="1" w:lastRow="0" w:firstColumn="1" w:lastColumn="0" w:noHBand="0" w:noVBand="1"/>
      </w:tblPr>
      <w:tblGrid>
        <w:gridCol w:w="450"/>
        <w:gridCol w:w="990"/>
        <w:gridCol w:w="90"/>
        <w:gridCol w:w="720"/>
        <w:gridCol w:w="766"/>
        <w:gridCol w:w="736"/>
        <w:gridCol w:w="748"/>
        <w:gridCol w:w="720"/>
        <w:gridCol w:w="720"/>
        <w:gridCol w:w="720"/>
        <w:gridCol w:w="720"/>
        <w:gridCol w:w="720"/>
        <w:gridCol w:w="666"/>
        <w:gridCol w:w="594"/>
        <w:gridCol w:w="417"/>
      </w:tblGrid>
      <w:tr w:rsidR="00AC0A64" w:rsidRPr="00734837" w:rsidTr="003264E8">
        <w:trPr>
          <w:trHeight w:val="290"/>
        </w:trPr>
        <w:tc>
          <w:tcPr>
            <w:tcW w:w="9777" w:type="dxa"/>
            <w:gridSpan w:val="15"/>
            <w:tcBorders>
              <w:left w:val="nil"/>
              <w:bottom w:val="single" w:sz="4" w:space="0" w:color="auto"/>
              <w:right w:val="nil"/>
            </w:tcBorders>
          </w:tcPr>
          <w:p w:rsidR="00AC0A64" w:rsidRPr="00734837" w:rsidRDefault="00AC0A64" w:rsidP="00437155">
            <w:pPr>
              <w:spacing w:after="0" w:line="240" w:lineRule="auto"/>
              <w:rPr>
                <w:rFonts w:ascii="Times New Roman" w:eastAsia="Times New Roman" w:hAnsi="Times New Roman" w:cs="Times New Roman"/>
                <w:b/>
                <w:color w:val="000000"/>
                <w:sz w:val="24"/>
                <w:szCs w:val="24"/>
              </w:rPr>
            </w:pPr>
            <w:r w:rsidRPr="00734837">
              <w:rPr>
                <w:rFonts w:ascii="Times New Roman" w:hAnsi="Times New Roman" w:cs="Times New Roman"/>
              </w:rPr>
              <w:t xml:space="preserve"> </w:t>
            </w:r>
            <w:bookmarkStart w:id="6" w:name="_Toc423924970"/>
            <w:r w:rsidRPr="00734837">
              <w:rPr>
                <w:rFonts w:ascii="Times New Roman" w:hAnsi="Times New Roman" w:cs="Times New Roman"/>
                <w:b/>
              </w:rPr>
              <w:t xml:space="preserve">Table </w:t>
            </w:r>
            <w:r w:rsidR="00130D5A" w:rsidRPr="00734837">
              <w:rPr>
                <w:rFonts w:ascii="Times New Roman" w:hAnsi="Times New Roman" w:cs="Times New Roman"/>
                <w:b/>
              </w:rPr>
              <w:t>2</w:t>
            </w:r>
            <w:r w:rsidRPr="00734837">
              <w:rPr>
                <w:rFonts w:ascii="Times New Roman" w:eastAsia="Times New Roman" w:hAnsi="Times New Roman" w:cs="Times New Roman"/>
                <w:b/>
                <w:color w:val="000000"/>
                <w:sz w:val="24"/>
                <w:szCs w:val="24"/>
              </w:rPr>
              <w:t xml:space="preserve">: Correlation matrix between the </w:t>
            </w:r>
            <w:bookmarkEnd w:id="6"/>
            <w:r w:rsidR="000A388A" w:rsidRPr="00734837">
              <w:rPr>
                <w:rFonts w:ascii="Times New Roman" w:eastAsia="Times New Roman" w:hAnsi="Times New Roman" w:cs="Times New Roman"/>
                <w:b/>
                <w:color w:val="000000"/>
                <w:sz w:val="24"/>
                <w:szCs w:val="24"/>
              </w:rPr>
              <w:t>Indices</w:t>
            </w:r>
            <w:r w:rsidRPr="00734837">
              <w:rPr>
                <w:rFonts w:ascii="Times New Roman" w:eastAsia="Times New Roman" w:hAnsi="Times New Roman" w:cs="Times New Roman"/>
                <w:b/>
                <w:color w:val="000000"/>
                <w:sz w:val="24"/>
                <w:szCs w:val="24"/>
              </w:rPr>
              <w:t xml:space="preserve"> </w:t>
            </w:r>
          </w:p>
        </w:tc>
      </w:tr>
      <w:tr w:rsidR="00AC0A64" w:rsidRPr="00734837" w:rsidTr="003264E8">
        <w:trPr>
          <w:trHeight w:val="290"/>
        </w:trPr>
        <w:tc>
          <w:tcPr>
            <w:tcW w:w="450" w:type="dxa"/>
            <w:tcBorders>
              <w:top w:val="single" w:sz="4" w:space="0" w:color="auto"/>
              <w:left w:val="nil"/>
              <w:bottom w:val="single" w:sz="4" w:space="0" w:color="auto"/>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p>
        </w:tc>
        <w:tc>
          <w:tcPr>
            <w:tcW w:w="990" w:type="dxa"/>
            <w:tcBorders>
              <w:top w:val="single" w:sz="4" w:space="0" w:color="auto"/>
              <w:left w:val="nil"/>
              <w:bottom w:val="single" w:sz="4" w:space="0" w:color="auto"/>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Country</w:t>
            </w:r>
          </w:p>
        </w:tc>
        <w:tc>
          <w:tcPr>
            <w:tcW w:w="810" w:type="dxa"/>
            <w:gridSpan w:val="2"/>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w:t>
            </w:r>
          </w:p>
        </w:tc>
        <w:tc>
          <w:tcPr>
            <w:tcW w:w="766"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2</w:t>
            </w:r>
          </w:p>
        </w:tc>
        <w:tc>
          <w:tcPr>
            <w:tcW w:w="736"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3</w:t>
            </w:r>
          </w:p>
        </w:tc>
        <w:tc>
          <w:tcPr>
            <w:tcW w:w="748"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4</w:t>
            </w:r>
          </w:p>
        </w:tc>
        <w:tc>
          <w:tcPr>
            <w:tcW w:w="720"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5</w:t>
            </w:r>
          </w:p>
        </w:tc>
        <w:tc>
          <w:tcPr>
            <w:tcW w:w="720"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6</w:t>
            </w:r>
          </w:p>
        </w:tc>
        <w:tc>
          <w:tcPr>
            <w:tcW w:w="720"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7</w:t>
            </w:r>
          </w:p>
        </w:tc>
        <w:tc>
          <w:tcPr>
            <w:tcW w:w="720"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8</w:t>
            </w:r>
          </w:p>
        </w:tc>
        <w:tc>
          <w:tcPr>
            <w:tcW w:w="720"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9</w:t>
            </w:r>
          </w:p>
        </w:tc>
        <w:tc>
          <w:tcPr>
            <w:tcW w:w="666"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10</w:t>
            </w:r>
          </w:p>
        </w:tc>
        <w:tc>
          <w:tcPr>
            <w:tcW w:w="594"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11</w:t>
            </w:r>
          </w:p>
        </w:tc>
        <w:tc>
          <w:tcPr>
            <w:tcW w:w="417" w:type="dxa"/>
            <w:tcBorders>
              <w:top w:val="single" w:sz="4" w:space="0" w:color="auto"/>
              <w:left w:val="nil"/>
              <w:bottom w:val="single" w:sz="4" w:space="0" w:color="auto"/>
              <w:right w:val="nil"/>
            </w:tcBorders>
            <w:shd w:val="clear" w:color="auto" w:fill="auto"/>
            <w:noWrap/>
            <w:vAlign w:val="bottom"/>
          </w:tcPr>
          <w:p w:rsidR="00AC0A64" w:rsidRPr="00734837" w:rsidRDefault="00AC0A64" w:rsidP="00DB671E">
            <w:pPr>
              <w:spacing w:after="0" w:line="240" w:lineRule="auto"/>
              <w:jc w:val="center"/>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12</w:t>
            </w: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w:t>
            </w:r>
          </w:p>
        </w:tc>
        <w:tc>
          <w:tcPr>
            <w:tcW w:w="1080" w:type="dxa"/>
            <w:gridSpan w:val="2"/>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Botswana</w:t>
            </w:r>
          </w:p>
        </w:tc>
        <w:tc>
          <w:tcPr>
            <w:tcW w:w="720"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2</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Namibia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0.23*</w:t>
            </w:r>
          </w:p>
        </w:tc>
        <w:tc>
          <w:tcPr>
            <w:tcW w:w="766"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3</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Morocco</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0.25*</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0.31*</w:t>
            </w:r>
          </w:p>
        </w:tc>
        <w:tc>
          <w:tcPr>
            <w:tcW w:w="736"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4</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Tunisia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0.23*</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w:t>
            </w:r>
          </w:p>
        </w:tc>
        <w:tc>
          <w:tcPr>
            <w:tcW w:w="748"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5</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Ghana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0.04</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-0.04</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0.12</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w:t>
            </w:r>
          </w:p>
        </w:tc>
        <w:tc>
          <w:tcPr>
            <w:tcW w:w="720"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6</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Nigeria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0.17*</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0.08</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0.03</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w:t>
            </w:r>
          </w:p>
        </w:tc>
        <w:tc>
          <w:tcPr>
            <w:tcW w:w="720"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7</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Kenya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0.29*</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0.09</w:t>
            </w:r>
          </w:p>
        </w:tc>
        <w:tc>
          <w:tcPr>
            <w:tcW w:w="720"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8</w:t>
            </w:r>
          </w:p>
        </w:tc>
        <w:tc>
          <w:tcPr>
            <w:tcW w:w="1080" w:type="dxa"/>
            <w:gridSpan w:val="2"/>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Mauritius</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0.23*</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0.31*</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0.27*</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0.38*</w:t>
            </w:r>
          </w:p>
        </w:tc>
        <w:tc>
          <w:tcPr>
            <w:tcW w:w="720"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9</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Zambia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0.09</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0.02</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0.06*</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0.09</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-0.02</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0.17*</w:t>
            </w:r>
          </w:p>
        </w:tc>
        <w:tc>
          <w:tcPr>
            <w:tcW w:w="720"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10</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SA</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0.25*</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0.06</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0.04</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0.09</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0.15*</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0.22*</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0.21*</w:t>
            </w:r>
          </w:p>
        </w:tc>
        <w:tc>
          <w:tcPr>
            <w:tcW w:w="666"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59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sz w:val="20"/>
                <w:szCs w:val="20"/>
              </w:rPr>
            </w:pPr>
          </w:p>
        </w:tc>
      </w:tr>
      <w:tr w:rsidR="00AC0A64" w:rsidRPr="00734837" w:rsidTr="003264E8">
        <w:trPr>
          <w:trHeight w:val="290"/>
        </w:trPr>
        <w:tc>
          <w:tcPr>
            <w:tcW w:w="450" w:type="dxa"/>
            <w:tcBorders>
              <w:top w:val="nil"/>
              <w:left w:val="nil"/>
              <w:bottom w:val="nil"/>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11</w:t>
            </w:r>
          </w:p>
        </w:tc>
        <w:tc>
          <w:tcPr>
            <w:tcW w:w="990" w:type="dxa"/>
            <w:tcBorders>
              <w:top w:val="nil"/>
              <w:left w:val="nil"/>
              <w:bottom w:val="nil"/>
              <w:right w:val="nil"/>
            </w:tcBorders>
            <w:shd w:val="clear" w:color="auto" w:fill="auto"/>
            <w:noWrap/>
            <w:vAlign w:val="center"/>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CD</w:t>
            </w:r>
          </w:p>
        </w:tc>
        <w:tc>
          <w:tcPr>
            <w:tcW w:w="810" w:type="dxa"/>
            <w:gridSpan w:val="2"/>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0.24*</w:t>
            </w:r>
          </w:p>
        </w:tc>
        <w:tc>
          <w:tcPr>
            <w:tcW w:w="7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0.25*</w:t>
            </w:r>
          </w:p>
        </w:tc>
        <w:tc>
          <w:tcPr>
            <w:tcW w:w="73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0.33*</w:t>
            </w:r>
          </w:p>
        </w:tc>
        <w:tc>
          <w:tcPr>
            <w:tcW w:w="74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0.21*</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0.17*</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0.29*</w:t>
            </w:r>
          </w:p>
        </w:tc>
        <w:tc>
          <w:tcPr>
            <w:tcW w:w="7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w:t>
            </w:r>
          </w:p>
        </w:tc>
        <w:tc>
          <w:tcPr>
            <w:tcW w:w="666"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w:t>
            </w:r>
          </w:p>
        </w:tc>
        <w:tc>
          <w:tcPr>
            <w:tcW w:w="594" w:type="dxa"/>
            <w:tcBorders>
              <w:top w:val="nil"/>
              <w:left w:val="nil"/>
              <w:bottom w:val="nil"/>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c>
          <w:tcPr>
            <w:tcW w:w="417"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p>
        </w:tc>
      </w:tr>
      <w:tr w:rsidR="00AC0A64" w:rsidRPr="00734837" w:rsidTr="003264E8">
        <w:trPr>
          <w:trHeight w:val="290"/>
        </w:trPr>
        <w:tc>
          <w:tcPr>
            <w:tcW w:w="450" w:type="dxa"/>
            <w:tcBorders>
              <w:top w:val="nil"/>
              <w:left w:val="nil"/>
              <w:bottom w:val="single" w:sz="4" w:space="0" w:color="auto"/>
              <w:right w:val="nil"/>
            </w:tcBorders>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12</w:t>
            </w:r>
          </w:p>
        </w:tc>
        <w:tc>
          <w:tcPr>
            <w:tcW w:w="990" w:type="dxa"/>
            <w:tcBorders>
              <w:top w:val="nil"/>
              <w:left w:val="nil"/>
              <w:bottom w:val="single" w:sz="4" w:space="0" w:color="auto"/>
              <w:right w:val="nil"/>
            </w:tcBorders>
            <w:shd w:val="clear" w:color="auto" w:fill="auto"/>
            <w:noWrap/>
            <w:vAlign w:val="center"/>
            <w:hideMark/>
          </w:tcPr>
          <w:p w:rsidR="00AC0A64" w:rsidRPr="00734837" w:rsidRDefault="002F2CCB"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S</w:t>
            </w:r>
            <w:r w:rsidR="009C1B28" w:rsidRPr="00734837">
              <w:rPr>
                <w:rFonts w:ascii="Times New Roman" w:eastAsia="Times New Roman" w:hAnsi="Times New Roman" w:cs="Times New Roman"/>
                <w:b/>
                <w:color w:val="000000"/>
                <w:sz w:val="20"/>
                <w:szCs w:val="20"/>
              </w:rPr>
              <w:t>PDJ</w:t>
            </w:r>
          </w:p>
        </w:tc>
        <w:tc>
          <w:tcPr>
            <w:tcW w:w="810" w:type="dxa"/>
            <w:gridSpan w:val="2"/>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0.34</w:t>
            </w:r>
          </w:p>
        </w:tc>
        <w:tc>
          <w:tcPr>
            <w:tcW w:w="766"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0.32</w:t>
            </w:r>
          </w:p>
        </w:tc>
        <w:tc>
          <w:tcPr>
            <w:tcW w:w="736"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0.28</w:t>
            </w:r>
          </w:p>
        </w:tc>
        <w:tc>
          <w:tcPr>
            <w:tcW w:w="74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0.15</w:t>
            </w:r>
          </w:p>
        </w:tc>
        <w:tc>
          <w:tcPr>
            <w:tcW w:w="7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w:t>
            </w:r>
          </w:p>
        </w:tc>
        <w:tc>
          <w:tcPr>
            <w:tcW w:w="7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w:t>
            </w:r>
          </w:p>
        </w:tc>
        <w:tc>
          <w:tcPr>
            <w:tcW w:w="7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0.26</w:t>
            </w:r>
          </w:p>
        </w:tc>
        <w:tc>
          <w:tcPr>
            <w:tcW w:w="7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w:t>
            </w:r>
          </w:p>
        </w:tc>
        <w:tc>
          <w:tcPr>
            <w:tcW w:w="7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w:t>
            </w:r>
          </w:p>
        </w:tc>
        <w:tc>
          <w:tcPr>
            <w:tcW w:w="666"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w:t>
            </w:r>
          </w:p>
        </w:tc>
        <w:tc>
          <w:tcPr>
            <w:tcW w:w="594"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0.21</w:t>
            </w:r>
          </w:p>
        </w:tc>
        <w:tc>
          <w:tcPr>
            <w:tcW w:w="417" w:type="dxa"/>
            <w:tcBorders>
              <w:top w:val="nil"/>
              <w:left w:val="nil"/>
              <w:bottom w:val="single" w:sz="4" w:space="0" w:color="auto"/>
              <w:right w:val="nil"/>
            </w:tcBorders>
            <w:shd w:val="clear" w:color="auto" w:fill="auto"/>
            <w:noWrap/>
            <w:vAlign w:val="bottom"/>
            <w:hideMark/>
          </w:tcPr>
          <w:p w:rsidR="00AC0A64" w:rsidRPr="00734837" w:rsidRDefault="00F9544E" w:rsidP="00DB671E">
            <w:pPr>
              <w:spacing w:after="0" w:line="240" w:lineRule="auto"/>
              <w:jc w:val="center"/>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1</w:t>
            </w:r>
          </w:p>
        </w:tc>
      </w:tr>
    </w:tbl>
    <w:p w:rsidR="00AC0A64" w:rsidRPr="00734837" w:rsidRDefault="00AC0A64" w:rsidP="00DB671E">
      <w:pPr>
        <w:spacing w:line="240" w:lineRule="auto"/>
        <w:jc w:val="both"/>
        <w:rPr>
          <w:rFonts w:ascii="Times New Roman" w:hAnsi="Times New Roman" w:cs="Times New Roman"/>
          <w:b/>
          <w:noProof/>
        </w:rPr>
      </w:pPr>
      <w:r w:rsidRPr="00734837">
        <w:rPr>
          <w:rFonts w:ascii="Times New Roman" w:eastAsia="Times New Roman" w:hAnsi="Times New Roman" w:cs="Times New Roman"/>
          <w:color w:val="000000"/>
        </w:rPr>
        <w:t xml:space="preserve">* </w:t>
      </w:r>
      <w:r w:rsidRPr="00734837">
        <w:rPr>
          <w:rFonts w:ascii="Times New Roman" w:eastAsia="Times New Roman" w:hAnsi="Times New Roman" w:cs="Times New Roman"/>
          <w:b/>
          <w:color w:val="000000"/>
        </w:rPr>
        <w:t xml:space="preserve">Correlation is significant at 5% significance level.                                      </w:t>
      </w:r>
    </w:p>
    <w:p w:rsidR="004C2FB1" w:rsidRPr="00734837" w:rsidRDefault="00AC0A64" w:rsidP="00DB671E">
      <w:pPr>
        <w:spacing w:line="240" w:lineRule="auto"/>
        <w:jc w:val="both"/>
        <w:rPr>
          <w:rFonts w:ascii="Times New Roman" w:eastAsia="MacmillanRoman" w:hAnsi="Times New Roman" w:cs="Times New Roman"/>
          <w:color w:val="000000"/>
          <w:sz w:val="24"/>
          <w:szCs w:val="24"/>
        </w:rPr>
      </w:pPr>
      <w:r w:rsidRPr="00734837">
        <w:rPr>
          <w:rFonts w:ascii="Times New Roman" w:eastAsia="MacmillanRoman" w:hAnsi="Times New Roman" w:cs="Times New Roman"/>
          <w:color w:val="000000"/>
          <w:sz w:val="24"/>
          <w:szCs w:val="24"/>
        </w:rPr>
        <w:t xml:space="preserve">It </w:t>
      </w:r>
      <w:proofErr w:type="gramStart"/>
      <w:r w:rsidRPr="00734837">
        <w:rPr>
          <w:rFonts w:ascii="Times New Roman" w:eastAsia="MacmillanRoman" w:hAnsi="Times New Roman" w:cs="Times New Roman"/>
          <w:color w:val="000000"/>
          <w:sz w:val="24"/>
          <w:szCs w:val="24"/>
        </w:rPr>
        <w:t xml:space="preserve">can </w:t>
      </w:r>
      <w:r w:rsidR="00160EEF" w:rsidRPr="00734837">
        <w:rPr>
          <w:rFonts w:ascii="Times New Roman" w:eastAsia="MacmillanRoman" w:hAnsi="Times New Roman" w:cs="Times New Roman"/>
          <w:color w:val="000000"/>
          <w:sz w:val="24"/>
          <w:szCs w:val="24"/>
        </w:rPr>
        <w:t xml:space="preserve">also </w:t>
      </w:r>
      <w:r w:rsidRPr="00734837">
        <w:rPr>
          <w:rFonts w:ascii="Times New Roman" w:eastAsia="MacmillanRoman" w:hAnsi="Times New Roman" w:cs="Times New Roman"/>
          <w:color w:val="000000"/>
          <w:sz w:val="24"/>
          <w:szCs w:val="24"/>
        </w:rPr>
        <w:t>be observed</w:t>
      </w:r>
      <w:proofErr w:type="gramEnd"/>
      <w:r w:rsidRPr="00734837">
        <w:rPr>
          <w:rFonts w:ascii="Times New Roman" w:eastAsia="MacmillanRoman" w:hAnsi="Times New Roman" w:cs="Times New Roman"/>
          <w:color w:val="000000"/>
          <w:sz w:val="24"/>
          <w:szCs w:val="24"/>
        </w:rPr>
        <w:t xml:space="preserve"> that </w:t>
      </w:r>
      <w:r w:rsidR="00290011" w:rsidRPr="00734837">
        <w:rPr>
          <w:rFonts w:ascii="Times New Roman" w:eastAsia="MacmillanRoman" w:hAnsi="Times New Roman" w:cs="Times New Roman"/>
          <w:color w:val="000000"/>
          <w:sz w:val="24"/>
          <w:szCs w:val="24"/>
        </w:rPr>
        <w:t xml:space="preserve">the </w:t>
      </w:r>
      <w:r w:rsidRPr="00734837">
        <w:rPr>
          <w:rFonts w:ascii="Times New Roman" w:eastAsia="MacmillanRoman" w:hAnsi="Times New Roman" w:cs="Times New Roman"/>
          <w:color w:val="000000"/>
          <w:sz w:val="24"/>
          <w:szCs w:val="24"/>
        </w:rPr>
        <w:t>correl</w:t>
      </w:r>
      <w:r w:rsidR="00C430D1" w:rsidRPr="00734837">
        <w:rPr>
          <w:rFonts w:ascii="Times New Roman" w:eastAsia="MacmillanRoman" w:hAnsi="Times New Roman" w:cs="Times New Roman"/>
          <w:color w:val="000000"/>
          <w:sz w:val="24"/>
          <w:szCs w:val="24"/>
        </w:rPr>
        <w:t>ation coefficients reported in Table 2</w:t>
      </w:r>
      <w:r w:rsidRPr="00734837">
        <w:rPr>
          <w:rFonts w:ascii="Times New Roman" w:eastAsia="MacmillanRoman" w:hAnsi="Times New Roman" w:cs="Times New Roman"/>
          <w:color w:val="000000"/>
          <w:sz w:val="24"/>
          <w:szCs w:val="24"/>
        </w:rPr>
        <w:t xml:space="preserve"> between each of the African countries and </w:t>
      </w:r>
      <w:proofErr w:type="spellStart"/>
      <w:r w:rsidRPr="00734837">
        <w:rPr>
          <w:rFonts w:ascii="Times New Roman" w:eastAsia="MacmillanRoman" w:hAnsi="Times New Roman" w:cs="Times New Roman"/>
          <w:color w:val="000000"/>
          <w:sz w:val="24"/>
          <w:szCs w:val="24"/>
        </w:rPr>
        <w:t>S</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P</w:t>
      </w:r>
      <w:proofErr w:type="spellEnd"/>
      <w:r w:rsidRPr="00734837">
        <w:rPr>
          <w:rFonts w:ascii="Times New Roman" w:eastAsia="MacmillanRoman" w:hAnsi="Times New Roman" w:cs="Times New Roman"/>
          <w:color w:val="000000"/>
          <w:sz w:val="24"/>
          <w:szCs w:val="24"/>
        </w:rPr>
        <w:t xml:space="preserve"> Dow Jones</w:t>
      </w:r>
      <w:r w:rsidR="00E16C76" w:rsidRPr="00734837">
        <w:rPr>
          <w:rFonts w:ascii="Times New Roman" w:eastAsia="MacmillanRoman" w:hAnsi="Times New Roman" w:cs="Times New Roman"/>
          <w:color w:val="000000"/>
          <w:sz w:val="24"/>
          <w:szCs w:val="24"/>
        </w:rPr>
        <w:t xml:space="preserve"> index are not significance. </w:t>
      </w:r>
      <w:r w:rsidRPr="00734837">
        <w:rPr>
          <w:rFonts w:ascii="Times New Roman" w:eastAsia="MacmillanRoman" w:hAnsi="Times New Roman" w:cs="Times New Roman"/>
          <w:color w:val="000000"/>
          <w:sz w:val="24"/>
          <w:szCs w:val="24"/>
        </w:rPr>
        <w:t>This corresponds and affirms the argument that the stock returns o</w:t>
      </w:r>
      <w:r w:rsidR="007F0D4E" w:rsidRPr="00734837">
        <w:rPr>
          <w:rFonts w:ascii="Times New Roman" w:eastAsia="MacmillanRoman" w:hAnsi="Times New Roman" w:cs="Times New Roman"/>
          <w:color w:val="000000"/>
          <w:sz w:val="24"/>
          <w:szCs w:val="24"/>
        </w:rPr>
        <w:t>f African (developing) economies</w:t>
      </w:r>
      <w:r w:rsidR="00534A4C" w:rsidRPr="00734837">
        <w:rPr>
          <w:rFonts w:ascii="Times New Roman" w:eastAsia="MacmillanRoman" w:hAnsi="Times New Roman" w:cs="Times New Roman"/>
          <w:color w:val="000000"/>
          <w:sz w:val="24"/>
          <w:szCs w:val="24"/>
        </w:rPr>
        <w:t xml:space="preserve"> and that of the developed</w:t>
      </w:r>
      <w:r w:rsidR="00EC0AA7" w:rsidRPr="00734837">
        <w:rPr>
          <w:rFonts w:ascii="Times New Roman" w:eastAsia="MacmillanRoman" w:hAnsi="Times New Roman" w:cs="Times New Roman"/>
          <w:color w:val="000000"/>
          <w:sz w:val="24"/>
          <w:szCs w:val="24"/>
        </w:rPr>
        <w:t>, which</w:t>
      </w:r>
      <w:r w:rsidRPr="00734837">
        <w:rPr>
          <w:rFonts w:ascii="Times New Roman" w:eastAsia="MacmillanRoman" w:hAnsi="Times New Roman" w:cs="Times New Roman"/>
          <w:color w:val="000000"/>
          <w:sz w:val="24"/>
          <w:szCs w:val="24"/>
        </w:rPr>
        <w:t xml:space="preserve"> is represented by </w:t>
      </w:r>
      <w:proofErr w:type="spellStart"/>
      <w:r w:rsidRPr="00734837">
        <w:rPr>
          <w:rFonts w:ascii="Times New Roman" w:eastAsia="MacmillanRoman" w:hAnsi="Times New Roman" w:cs="Times New Roman"/>
          <w:color w:val="000000"/>
          <w:sz w:val="24"/>
          <w:szCs w:val="24"/>
        </w:rPr>
        <w:t>S</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P</w:t>
      </w:r>
      <w:proofErr w:type="spellEnd"/>
      <w:r w:rsidRPr="00734837">
        <w:rPr>
          <w:rFonts w:ascii="Times New Roman" w:eastAsia="MacmillanRoman" w:hAnsi="Times New Roman" w:cs="Times New Roman"/>
          <w:color w:val="000000"/>
          <w:sz w:val="24"/>
          <w:szCs w:val="24"/>
        </w:rPr>
        <w:t xml:space="preserve"> Dow Jones are not related to each other (Jacobs et al</w:t>
      </w:r>
      <w:r w:rsidR="007F0D4E" w:rsidRPr="00734837">
        <w:rPr>
          <w:rFonts w:ascii="Times New Roman" w:eastAsia="MacmillanRoman" w:hAnsi="Times New Roman" w:cs="Times New Roman"/>
          <w:color w:val="000000"/>
          <w:sz w:val="24"/>
          <w:szCs w:val="24"/>
        </w:rPr>
        <w:t>.</w:t>
      </w:r>
      <w:r w:rsidRPr="00734837">
        <w:rPr>
          <w:rFonts w:ascii="Times New Roman" w:eastAsia="MacmillanRoman" w:hAnsi="Times New Roman" w:cs="Times New Roman"/>
          <w:color w:val="000000"/>
          <w:sz w:val="24"/>
          <w:szCs w:val="24"/>
        </w:rPr>
        <w:t xml:space="preserve">, 2014; </w:t>
      </w:r>
      <w:proofErr w:type="spellStart"/>
      <w:r w:rsidRPr="00734837">
        <w:rPr>
          <w:rFonts w:ascii="Times New Roman" w:eastAsia="MacmillanRoman" w:hAnsi="Times New Roman" w:cs="Times New Roman"/>
          <w:color w:val="000000"/>
          <w:sz w:val="24"/>
          <w:szCs w:val="24"/>
        </w:rPr>
        <w:t>Bekaert</w:t>
      </w:r>
      <w:proofErr w:type="spellEnd"/>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Harvey, 1997</w:t>
      </w:r>
      <w:r w:rsidR="001E1D61" w:rsidRPr="00734837">
        <w:rPr>
          <w:rFonts w:ascii="Times New Roman" w:eastAsia="MacmillanRoman" w:hAnsi="Times New Roman" w:cs="Times New Roman"/>
          <w:color w:val="000000"/>
          <w:sz w:val="24"/>
          <w:szCs w:val="24"/>
        </w:rPr>
        <w:t>a</w:t>
      </w:r>
      <w:r w:rsidRPr="00734837">
        <w:rPr>
          <w:rFonts w:ascii="Times New Roman" w:eastAsia="MacmillanRoman" w:hAnsi="Times New Roman" w:cs="Times New Roman"/>
          <w:color w:val="000000"/>
          <w:sz w:val="24"/>
          <w:szCs w:val="24"/>
        </w:rPr>
        <w:t xml:space="preserve">). </w:t>
      </w:r>
      <w:proofErr w:type="gramStart"/>
      <w:r w:rsidRPr="00734837">
        <w:rPr>
          <w:rFonts w:ascii="Times New Roman" w:eastAsia="MacmillanRoman" w:hAnsi="Times New Roman" w:cs="Times New Roman"/>
          <w:color w:val="000000"/>
          <w:sz w:val="24"/>
          <w:szCs w:val="24"/>
        </w:rPr>
        <w:t>Hence</w:t>
      </w:r>
      <w:proofErr w:type="gramEnd"/>
      <w:r w:rsidRPr="00734837">
        <w:rPr>
          <w:rFonts w:ascii="Times New Roman" w:eastAsia="MacmillanRoman" w:hAnsi="Times New Roman" w:cs="Times New Roman"/>
          <w:color w:val="000000"/>
          <w:sz w:val="24"/>
          <w:szCs w:val="24"/>
        </w:rPr>
        <w:t xml:space="preserve"> foreign investors may be exposed to higher investment opportunities if they invest and diversify in Africa.</w:t>
      </w:r>
    </w:p>
    <w:p w:rsidR="00D815D7" w:rsidRPr="00734837" w:rsidRDefault="00CB69C8" w:rsidP="00E33203">
      <w:pPr>
        <w:spacing w:line="240" w:lineRule="auto"/>
        <w:jc w:val="both"/>
        <w:rPr>
          <w:rFonts w:ascii="Times New Roman" w:hAnsi="Times New Roman" w:cs="Times New Roman"/>
          <w:sz w:val="24"/>
          <w:szCs w:val="24"/>
        </w:rPr>
      </w:pPr>
      <w:r w:rsidRPr="00734837">
        <w:rPr>
          <w:rFonts w:ascii="Times New Roman" w:hAnsi="Times New Roman" w:cs="Times New Roman"/>
          <w:sz w:val="24"/>
          <w:szCs w:val="24"/>
        </w:rPr>
        <w:t xml:space="preserve">The expected returns and the </w:t>
      </w:r>
      <w:r w:rsidR="000D7AE0" w:rsidRPr="00734837">
        <w:rPr>
          <w:rFonts w:ascii="Times New Roman" w:hAnsi="Times New Roman" w:cs="Times New Roman"/>
          <w:sz w:val="24"/>
          <w:szCs w:val="24"/>
        </w:rPr>
        <w:t>variance-</w:t>
      </w:r>
      <w:r w:rsidRPr="00734837">
        <w:rPr>
          <w:rFonts w:ascii="Times New Roman" w:hAnsi="Times New Roman" w:cs="Times New Roman"/>
          <w:sz w:val="24"/>
          <w:szCs w:val="24"/>
        </w:rPr>
        <w:t>covariance matrix of the eleven African stock markets</w:t>
      </w:r>
      <w:r w:rsidR="00AC0A64" w:rsidRPr="00734837">
        <w:rPr>
          <w:rFonts w:ascii="Times New Roman" w:hAnsi="Times New Roman" w:cs="Times New Roman"/>
          <w:sz w:val="24"/>
          <w:szCs w:val="24"/>
        </w:rPr>
        <w:t xml:space="preserve"> </w:t>
      </w:r>
      <w:proofErr w:type="gramStart"/>
      <w:r w:rsidR="00AC0A64" w:rsidRPr="00734837">
        <w:rPr>
          <w:rFonts w:ascii="Times New Roman" w:hAnsi="Times New Roman" w:cs="Times New Roman"/>
          <w:sz w:val="24"/>
          <w:szCs w:val="24"/>
        </w:rPr>
        <w:t>are used</w:t>
      </w:r>
      <w:proofErr w:type="gramEnd"/>
      <w:r w:rsidR="00AC0A64" w:rsidRPr="00734837">
        <w:rPr>
          <w:rFonts w:ascii="Times New Roman" w:hAnsi="Times New Roman" w:cs="Times New Roman"/>
          <w:sz w:val="24"/>
          <w:szCs w:val="24"/>
        </w:rPr>
        <w:t xml:space="preserve"> as </w:t>
      </w:r>
      <w:r w:rsidRPr="00734837">
        <w:rPr>
          <w:rFonts w:ascii="Times New Roman" w:hAnsi="Times New Roman" w:cs="Times New Roman"/>
          <w:sz w:val="24"/>
          <w:szCs w:val="24"/>
        </w:rPr>
        <w:t>the inputs to</w:t>
      </w:r>
      <w:r w:rsidR="00AC0A64" w:rsidRPr="00734837">
        <w:rPr>
          <w:rFonts w:ascii="Times New Roman" w:hAnsi="Times New Roman" w:cs="Times New Roman"/>
          <w:sz w:val="24"/>
          <w:szCs w:val="24"/>
        </w:rPr>
        <w:t xml:space="preserve"> the linear programming models</w:t>
      </w:r>
      <w:r w:rsidRPr="00734837">
        <w:rPr>
          <w:rFonts w:ascii="Times New Roman" w:hAnsi="Times New Roman" w:cs="Times New Roman"/>
          <w:sz w:val="24"/>
          <w:szCs w:val="24"/>
        </w:rPr>
        <w:t>.</w:t>
      </w:r>
      <w:r w:rsidR="00AC0A64" w:rsidRPr="00734837">
        <w:rPr>
          <w:rFonts w:ascii="Times New Roman" w:hAnsi="Times New Roman" w:cs="Times New Roman"/>
          <w:sz w:val="24"/>
          <w:szCs w:val="24"/>
        </w:rPr>
        <w:t xml:space="preserve"> The first model aims at minimiz</w:t>
      </w:r>
      <w:r w:rsidR="00940430" w:rsidRPr="00734837">
        <w:rPr>
          <w:rFonts w:ascii="Times New Roman" w:hAnsi="Times New Roman" w:cs="Times New Roman"/>
          <w:sz w:val="24"/>
          <w:szCs w:val="24"/>
        </w:rPr>
        <w:t xml:space="preserve">ing the </w:t>
      </w:r>
      <w:r w:rsidR="00940430" w:rsidRPr="00734837">
        <w:rPr>
          <w:rFonts w:ascii="Times New Roman" w:hAnsi="Times New Roman" w:cs="Times New Roman"/>
          <w:sz w:val="24"/>
          <w:szCs w:val="24"/>
        </w:rPr>
        <w:lastRenderedPageBreak/>
        <w:t xml:space="preserve">variance and the second </w:t>
      </w:r>
      <w:r w:rsidR="00AC0A64" w:rsidRPr="00734837">
        <w:rPr>
          <w:rFonts w:ascii="Times New Roman" w:hAnsi="Times New Roman" w:cs="Times New Roman"/>
          <w:sz w:val="24"/>
          <w:szCs w:val="24"/>
        </w:rPr>
        <w:t xml:space="preserve">at maximizing the Sharpe ratio in order to generate minimum and tangency </w:t>
      </w:r>
      <w:r w:rsidR="000D7AE0" w:rsidRPr="00734837">
        <w:rPr>
          <w:rFonts w:ascii="Times New Roman" w:hAnsi="Times New Roman" w:cs="Times New Roman"/>
          <w:sz w:val="24"/>
          <w:szCs w:val="24"/>
        </w:rPr>
        <w:t xml:space="preserve">(optimal) </w:t>
      </w:r>
      <w:r w:rsidR="00AC0A64" w:rsidRPr="00734837">
        <w:rPr>
          <w:rFonts w:ascii="Times New Roman" w:hAnsi="Times New Roman" w:cs="Times New Roman"/>
          <w:sz w:val="24"/>
          <w:szCs w:val="24"/>
        </w:rPr>
        <w:t>portfolios r</w:t>
      </w:r>
      <w:r w:rsidR="000E7086" w:rsidRPr="00734837">
        <w:rPr>
          <w:rFonts w:ascii="Times New Roman" w:hAnsi="Times New Roman" w:cs="Times New Roman"/>
          <w:sz w:val="24"/>
          <w:szCs w:val="24"/>
        </w:rPr>
        <w:t>espectively</w:t>
      </w:r>
      <w:r w:rsidR="00AC0A64" w:rsidRPr="00734837">
        <w:rPr>
          <w:rFonts w:ascii="Times New Roman" w:hAnsi="Times New Roman" w:cs="Times New Roman"/>
          <w:sz w:val="24"/>
          <w:szCs w:val="24"/>
        </w:rPr>
        <w:t>.</w:t>
      </w:r>
    </w:p>
    <w:p w:rsidR="000D7AE0" w:rsidRPr="00734837" w:rsidRDefault="000D7AE0" w:rsidP="00E33203">
      <w:pPr>
        <w:spacing w:line="240" w:lineRule="auto"/>
        <w:jc w:val="both"/>
        <w:rPr>
          <w:rFonts w:ascii="Times New Roman" w:hAnsi="Times New Roman" w:cs="Times New Roman"/>
          <w:sz w:val="24"/>
          <w:szCs w:val="24"/>
        </w:rPr>
      </w:pPr>
    </w:p>
    <w:tbl>
      <w:tblPr>
        <w:tblW w:w="9000" w:type="dxa"/>
        <w:jc w:val="center"/>
        <w:tblLook w:val="04A0" w:firstRow="1" w:lastRow="0" w:firstColumn="1" w:lastColumn="0" w:noHBand="0" w:noVBand="1"/>
      </w:tblPr>
      <w:tblGrid>
        <w:gridCol w:w="2440"/>
        <w:gridCol w:w="1880"/>
        <w:gridCol w:w="1620"/>
        <w:gridCol w:w="1440"/>
        <w:gridCol w:w="1620"/>
      </w:tblGrid>
      <w:tr w:rsidR="00AC0A64" w:rsidRPr="00734837" w:rsidTr="00E72302">
        <w:trPr>
          <w:trHeight w:val="310"/>
          <w:jc w:val="center"/>
        </w:trPr>
        <w:tc>
          <w:tcPr>
            <w:tcW w:w="9000" w:type="dxa"/>
            <w:gridSpan w:val="5"/>
            <w:tcBorders>
              <w:left w:val="nil"/>
              <w:bottom w:val="single" w:sz="4" w:space="0" w:color="auto"/>
              <w:right w:val="nil"/>
            </w:tcBorders>
            <w:shd w:val="clear" w:color="auto" w:fill="auto"/>
            <w:noWrap/>
            <w:vAlign w:val="bottom"/>
          </w:tcPr>
          <w:p w:rsidR="00AC0A64" w:rsidRPr="00734837" w:rsidRDefault="00AC0A64" w:rsidP="00212E59">
            <w:pPr>
              <w:spacing w:after="0" w:line="240" w:lineRule="auto"/>
              <w:rPr>
                <w:rFonts w:ascii="Times New Roman" w:eastAsia="Times New Roman" w:hAnsi="Times New Roman" w:cs="Times New Roman"/>
                <w:b/>
                <w:color w:val="000000"/>
                <w:sz w:val="24"/>
                <w:szCs w:val="24"/>
              </w:rPr>
            </w:pPr>
            <w:bookmarkStart w:id="7" w:name="_Toc423924973"/>
            <w:r w:rsidRPr="00734837">
              <w:rPr>
                <w:rFonts w:ascii="Times New Roman" w:hAnsi="Times New Roman" w:cs="Times New Roman"/>
                <w:b/>
                <w:color w:val="000000" w:themeColor="text1"/>
                <w:sz w:val="24"/>
                <w:szCs w:val="24"/>
              </w:rPr>
              <w:t>Table</w:t>
            </w:r>
            <w:r w:rsidR="00212E59" w:rsidRPr="00734837">
              <w:rPr>
                <w:rFonts w:ascii="Times New Roman" w:hAnsi="Times New Roman" w:cs="Times New Roman"/>
                <w:b/>
                <w:color w:val="000000" w:themeColor="text1"/>
                <w:sz w:val="24"/>
                <w:szCs w:val="24"/>
              </w:rPr>
              <w:t xml:space="preserve"> 3</w:t>
            </w:r>
            <w:r w:rsidRPr="00734837">
              <w:rPr>
                <w:rFonts w:ascii="Times New Roman" w:hAnsi="Times New Roman" w:cs="Times New Roman"/>
                <w:b/>
                <w:color w:val="000000" w:themeColor="text1"/>
                <w:sz w:val="24"/>
                <w:szCs w:val="24"/>
              </w:rPr>
              <w:t xml:space="preserve">: </w:t>
            </w:r>
            <w:r w:rsidR="0072367F" w:rsidRPr="00734837">
              <w:rPr>
                <w:rFonts w:ascii="Times New Roman" w:eastAsia="Times New Roman" w:hAnsi="Times New Roman" w:cs="Times New Roman"/>
                <w:b/>
                <w:color w:val="000000" w:themeColor="text1"/>
                <w:sz w:val="24"/>
                <w:szCs w:val="24"/>
              </w:rPr>
              <w:t>The Expected Returns, Risks, Sharpe Ratios and Weights Allocations</w:t>
            </w:r>
            <w:bookmarkEnd w:id="7"/>
            <w:r w:rsidRPr="00734837">
              <w:rPr>
                <w:rFonts w:ascii="Times New Roman" w:eastAsia="Times New Roman" w:hAnsi="Times New Roman" w:cs="Times New Roman"/>
                <w:b/>
                <w:color w:val="000000" w:themeColor="text1"/>
                <w:sz w:val="24"/>
                <w:szCs w:val="24"/>
              </w:rPr>
              <w:t xml:space="preserve"> </w:t>
            </w:r>
          </w:p>
        </w:tc>
      </w:tr>
      <w:tr w:rsidR="00AC0A64" w:rsidRPr="00734837" w:rsidTr="00E72302">
        <w:trPr>
          <w:trHeight w:val="310"/>
          <w:jc w:val="center"/>
        </w:trPr>
        <w:tc>
          <w:tcPr>
            <w:tcW w:w="24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 </w:t>
            </w:r>
          </w:p>
        </w:tc>
        <w:tc>
          <w:tcPr>
            <w:tcW w:w="188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EQWP</w:t>
            </w:r>
          </w:p>
        </w:tc>
        <w:tc>
          <w:tcPr>
            <w:tcW w:w="16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MVP1</w:t>
            </w:r>
          </w:p>
        </w:tc>
        <w:tc>
          <w:tcPr>
            <w:tcW w:w="14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MVP2</w:t>
            </w:r>
          </w:p>
        </w:tc>
        <w:tc>
          <w:tcPr>
            <w:tcW w:w="16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TP</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8E562A"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Expected R</w:t>
            </w:r>
            <w:r w:rsidR="00AC0A64" w:rsidRPr="00734837">
              <w:rPr>
                <w:rFonts w:ascii="Times New Roman" w:eastAsia="Times New Roman" w:hAnsi="Times New Roman" w:cs="Times New Roman"/>
                <w:b/>
                <w:color w:val="000000"/>
                <w:sz w:val="24"/>
                <w:szCs w:val="24"/>
              </w:rPr>
              <w:t>eturn</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0.0925</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0.0652</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0.0925</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0.1338</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8E562A"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Standard D</w:t>
            </w:r>
            <w:r w:rsidR="00AC0A64" w:rsidRPr="00734837">
              <w:rPr>
                <w:rFonts w:ascii="Times New Roman" w:eastAsia="Times New Roman" w:hAnsi="Times New Roman" w:cs="Times New Roman"/>
                <w:b/>
                <w:color w:val="000000"/>
                <w:sz w:val="24"/>
                <w:szCs w:val="24"/>
              </w:rPr>
              <w:t>eviation</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0.1184</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0.0998</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0.1066</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0.1367</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8E562A"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Sharpe R</w:t>
            </w:r>
            <w:r w:rsidR="00AC0A64" w:rsidRPr="00734837">
              <w:rPr>
                <w:rFonts w:ascii="Times New Roman" w:eastAsia="Times New Roman" w:hAnsi="Times New Roman" w:cs="Times New Roman"/>
                <w:b/>
                <w:color w:val="000000"/>
                <w:sz w:val="24"/>
                <w:szCs w:val="24"/>
              </w:rPr>
              <w:t>atio</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0.7810</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0.6536</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0.8671</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0.9788</w:t>
            </w:r>
          </w:p>
        </w:tc>
      </w:tr>
      <w:tr w:rsidR="00AC0A64" w:rsidRPr="00734837" w:rsidTr="00E72302">
        <w:trPr>
          <w:trHeight w:val="310"/>
          <w:jc w:val="center"/>
        </w:trPr>
        <w:tc>
          <w:tcPr>
            <w:tcW w:w="5940" w:type="dxa"/>
            <w:gridSpan w:val="3"/>
            <w:tcBorders>
              <w:top w:val="single" w:sz="4" w:space="0" w:color="auto"/>
              <w:left w:val="nil"/>
              <w:bottom w:val="single" w:sz="4" w:space="0" w:color="auto"/>
              <w:right w:val="nil"/>
            </w:tcBorders>
            <w:shd w:val="clear" w:color="auto" w:fill="auto"/>
            <w:noWrap/>
            <w:vAlign w:val="bottom"/>
            <w:hideMark/>
          </w:tcPr>
          <w:p w:rsidR="00AC0A64" w:rsidRPr="00734837" w:rsidRDefault="0072367F"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Weights Allocation to each C</w:t>
            </w:r>
            <w:r w:rsidR="00AC0A64" w:rsidRPr="00734837">
              <w:rPr>
                <w:rFonts w:ascii="Times New Roman" w:eastAsia="Times New Roman" w:hAnsi="Times New Roman" w:cs="Times New Roman"/>
                <w:b/>
                <w:color w:val="000000"/>
                <w:sz w:val="24"/>
                <w:szCs w:val="24"/>
              </w:rPr>
              <w:t>ountry</w:t>
            </w:r>
          </w:p>
        </w:tc>
        <w:tc>
          <w:tcPr>
            <w:tcW w:w="14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 </w:t>
            </w:r>
          </w:p>
        </w:tc>
        <w:tc>
          <w:tcPr>
            <w:tcW w:w="16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 </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Botswana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0.1264</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0.1526</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0.1649</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Namibia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0.1143</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0.0932</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0.0338</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Morocco</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0.1941</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0.2014</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0.1638</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Tunisia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0.2586</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0.1446</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Ghana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0.1634</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0.0838</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Nigeria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0.0173</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0.0145</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0.0003</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Kenya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0.0351</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0.1262</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Mauritius</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Zambia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0.0876</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0.1733</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0.3054</w:t>
            </w:r>
          </w:p>
        </w:tc>
      </w:tr>
      <w:tr w:rsidR="00AC0A64" w:rsidRPr="00734837" w:rsidTr="00E72302">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SA</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0.0383</w:t>
            </w:r>
          </w:p>
        </w:tc>
        <w:tc>
          <w:tcPr>
            <w:tcW w:w="1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0.0252</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r>
      <w:tr w:rsidR="00AC0A64" w:rsidRPr="00734837" w:rsidTr="00E72302">
        <w:trPr>
          <w:trHeight w:val="310"/>
          <w:jc w:val="center"/>
        </w:trPr>
        <w:tc>
          <w:tcPr>
            <w:tcW w:w="24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Cote D'Ivoire</w:t>
            </w:r>
          </w:p>
        </w:tc>
        <w:tc>
          <w:tcPr>
            <w:tcW w:w="188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0.0909</w:t>
            </w:r>
          </w:p>
        </w:tc>
        <w:tc>
          <w:tcPr>
            <w:tcW w:w="16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0.0000</w:t>
            </w:r>
          </w:p>
        </w:tc>
        <w:tc>
          <w:tcPr>
            <w:tcW w:w="14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0.0766</w:t>
            </w:r>
          </w:p>
        </w:tc>
        <w:tc>
          <w:tcPr>
            <w:tcW w:w="16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0.2057</w:t>
            </w:r>
          </w:p>
        </w:tc>
      </w:tr>
    </w:tbl>
    <w:p w:rsidR="00AC0A64" w:rsidRPr="00734837" w:rsidRDefault="00820CB6" w:rsidP="00DB671E">
      <w:pPr>
        <w:spacing w:after="240"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t xml:space="preserve">*EQWP-Equally-weighted, TP-Tangency and </w:t>
      </w:r>
      <w:r w:rsidR="00AC0A64" w:rsidRPr="00734837">
        <w:rPr>
          <w:rFonts w:ascii="Times New Roman" w:hAnsi="Times New Roman" w:cs="Times New Roman"/>
          <w:noProof/>
          <w:sz w:val="24"/>
          <w:szCs w:val="24"/>
        </w:rPr>
        <w:t>MVP-Minimum-V</w:t>
      </w:r>
      <w:r w:rsidRPr="00734837">
        <w:rPr>
          <w:rFonts w:ascii="Times New Roman" w:hAnsi="Times New Roman" w:cs="Times New Roman"/>
          <w:noProof/>
          <w:sz w:val="24"/>
          <w:szCs w:val="24"/>
        </w:rPr>
        <w:t>ariance Portfolios</w:t>
      </w:r>
    </w:p>
    <w:p w:rsidR="00AC0A64" w:rsidRPr="00734837" w:rsidRDefault="00AC0A64" w:rsidP="00DB671E">
      <w:pPr>
        <w:spacing w:line="240" w:lineRule="auto"/>
        <w:jc w:val="both"/>
        <w:rPr>
          <w:rFonts w:ascii="Times New Roman" w:hAnsi="Times New Roman" w:cs="Times New Roman"/>
          <w:sz w:val="24"/>
          <w:szCs w:val="24"/>
        </w:rPr>
      </w:pPr>
      <w:proofErr w:type="gramStart"/>
      <w:r w:rsidRPr="00734837">
        <w:rPr>
          <w:rFonts w:ascii="Times New Roman" w:hAnsi="Times New Roman" w:cs="Times New Roman"/>
          <w:noProof/>
          <w:sz w:val="24"/>
          <w:szCs w:val="24"/>
        </w:rPr>
        <w:t>E</w:t>
      </w:r>
      <w:proofErr w:type="spellStart"/>
      <w:r w:rsidRPr="00734837">
        <w:rPr>
          <w:rFonts w:ascii="Times New Roman" w:hAnsi="Times New Roman" w:cs="Times New Roman"/>
          <w:sz w:val="24"/>
          <w:szCs w:val="24"/>
        </w:rPr>
        <w:t>qually</w:t>
      </w:r>
      <w:proofErr w:type="spellEnd"/>
      <w:r w:rsidRPr="00734837">
        <w:rPr>
          <w:rFonts w:ascii="Times New Roman" w:hAnsi="Times New Roman" w:cs="Times New Roman"/>
          <w:sz w:val="24"/>
          <w:szCs w:val="24"/>
        </w:rPr>
        <w:t>-weighted</w:t>
      </w:r>
      <w:proofErr w:type="gramEnd"/>
      <w:r w:rsidRPr="00734837">
        <w:rPr>
          <w:rFonts w:ascii="Times New Roman" w:hAnsi="Times New Roman" w:cs="Times New Roman"/>
          <w:sz w:val="24"/>
          <w:szCs w:val="24"/>
        </w:rPr>
        <w:t>, minimum-variance and tangency (optimal) portfolios are constructed across the eleven African stock markets. The various expected returns, standard deviations and Sharpe ratios associated with these po</w:t>
      </w:r>
      <w:r w:rsidR="00E72302" w:rsidRPr="00734837">
        <w:rPr>
          <w:rFonts w:ascii="Times New Roman" w:hAnsi="Times New Roman" w:cs="Times New Roman"/>
          <w:sz w:val="24"/>
          <w:szCs w:val="24"/>
        </w:rPr>
        <w:t xml:space="preserve">rtfolios </w:t>
      </w:r>
      <w:proofErr w:type="gramStart"/>
      <w:r w:rsidR="00E72302" w:rsidRPr="00734837">
        <w:rPr>
          <w:rFonts w:ascii="Times New Roman" w:hAnsi="Times New Roman" w:cs="Times New Roman"/>
          <w:sz w:val="24"/>
          <w:szCs w:val="24"/>
        </w:rPr>
        <w:t>are reported</w:t>
      </w:r>
      <w:proofErr w:type="gramEnd"/>
      <w:r w:rsidR="00E72302" w:rsidRPr="00734837">
        <w:rPr>
          <w:rFonts w:ascii="Times New Roman" w:hAnsi="Times New Roman" w:cs="Times New Roman"/>
          <w:sz w:val="24"/>
          <w:szCs w:val="24"/>
        </w:rPr>
        <w:t xml:space="preserve"> in Table 3</w:t>
      </w:r>
      <w:r w:rsidRPr="00734837">
        <w:rPr>
          <w:rFonts w:ascii="Times New Roman" w:hAnsi="Times New Roman" w:cs="Times New Roman"/>
          <w:sz w:val="24"/>
          <w:szCs w:val="24"/>
        </w:rPr>
        <w:t xml:space="preserve">. The corresponding weight allocations required to construct the respective portfolios </w:t>
      </w:r>
      <w:proofErr w:type="gramStart"/>
      <w:r w:rsidRPr="00734837">
        <w:rPr>
          <w:rFonts w:ascii="Times New Roman" w:hAnsi="Times New Roman" w:cs="Times New Roman"/>
          <w:sz w:val="24"/>
          <w:szCs w:val="24"/>
        </w:rPr>
        <w:t>are also reported</w:t>
      </w:r>
      <w:proofErr w:type="gramEnd"/>
      <w:r w:rsidRPr="00734837">
        <w:rPr>
          <w:rFonts w:ascii="Times New Roman" w:hAnsi="Times New Roman" w:cs="Times New Roman"/>
          <w:sz w:val="24"/>
          <w:szCs w:val="24"/>
        </w:rPr>
        <w:t xml:space="preserve">. The </w:t>
      </w:r>
      <w:proofErr w:type="gramStart"/>
      <w:r w:rsidRPr="00734837">
        <w:rPr>
          <w:rFonts w:ascii="Times New Roman" w:hAnsi="Times New Roman" w:cs="Times New Roman"/>
          <w:sz w:val="24"/>
          <w:szCs w:val="24"/>
        </w:rPr>
        <w:t>equally-weighted</w:t>
      </w:r>
      <w:proofErr w:type="gramEnd"/>
      <w:r w:rsidRPr="00734837">
        <w:rPr>
          <w:rFonts w:ascii="Times New Roman" w:hAnsi="Times New Roman" w:cs="Times New Roman"/>
          <w:sz w:val="24"/>
          <w:szCs w:val="24"/>
        </w:rPr>
        <w:t xml:space="preserve"> portfolio across the eleven stock markets reported an expected return of 9.25% with a risk of 11.84%. Corresponding to its name</w:t>
      </w:r>
      <w:r w:rsidR="00F33A85" w:rsidRPr="00734837">
        <w:rPr>
          <w:rFonts w:ascii="Times New Roman" w:hAnsi="Times New Roman" w:cs="Times New Roman"/>
          <w:sz w:val="24"/>
          <w:szCs w:val="24"/>
        </w:rPr>
        <w:t xml:space="preserve"> (equally-weighted portfolio)</w:t>
      </w:r>
      <w:r w:rsidRPr="00734837">
        <w:rPr>
          <w:rFonts w:ascii="Times New Roman" w:hAnsi="Times New Roman" w:cs="Times New Roman"/>
          <w:sz w:val="24"/>
          <w:szCs w:val="24"/>
        </w:rPr>
        <w:t>, since there are eleven countries being considere</w:t>
      </w:r>
      <w:r w:rsidR="00EC0AA7" w:rsidRPr="00734837">
        <w:rPr>
          <w:rFonts w:ascii="Times New Roman" w:hAnsi="Times New Roman" w:cs="Times New Roman"/>
          <w:sz w:val="24"/>
          <w:szCs w:val="24"/>
        </w:rPr>
        <w:t xml:space="preserve">d in this study, </w:t>
      </w:r>
      <w:r w:rsidRPr="00734837">
        <w:rPr>
          <w:rFonts w:ascii="Times New Roman" w:hAnsi="Times New Roman" w:cs="Times New Roman"/>
          <w:sz w:val="24"/>
          <w:szCs w:val="24"/>
        </w:rPr>
        <w:t>investor</w:t>
      </w:r>
      <w:r w:rsidR="00EC0AA7" w:rsidRPr="00734837">
        <w:rPr>
          <w:rFonts w:ascii="Times New Roman" w:hAnsi="Times New Roman" w:cs="Times New Roman"/>
          <w:sz w:val="24"/>
          <w:szCs w:val="24"/>
        </w:rPr>
        <w:t>s</w:t>
      </w:r>
      <w:r w:rsidRPr="00734837">
        <w:rPr>
          <w:rFonts w:ascii="Times New Roman" w:hAnsi="Times New Roman" w:cs="Times New Roman"/>
          <w:sz w:val="24"/>
          <w:szCs w:val="24"/>
        </w:rPr>
        <w:t xml:space="preserve"> would hav</w:t>
      </w:r>
      <w:r w:rsidR="00832FD8" w:rsidRPr="00734837">
        <w:rPr>
          <w:rFonts w:ascii="Times New Roman" w:hAnsi="Times New Roman" w:cs="Times New Roman"/>
          <w:sz w:val="24"/>
          <w:szCs w:val="24"/>
        </w:rPr>
        <w:t>e to invest 9.09%</w:t>
      </w:r>
      <w:r w:rsidR="00EC0AA7" w:rsidRPr="00734837">
        <w:rPr>
          <w:rFonts w:ascii="Times New Roman" w:hAnsi="Times New Roman" w:cs="Times New Roman"/>
          <w:sz w:val="24"/>
          <w:szCs w:val="24"/>
        </w:rPr>
        <w:t xml:space="preserve"> of their</w:t>
      </w:r>
      <w:r w:rsidRPr="00734837">
        <w:rPr>
          <w:rFonts w:ascii="Times New Roman" w:hAnsi="Times New Roman" w:cs="Times New Roman"/>
          <w:sz w:val="24"/>
          <w:szCs w:val="24"/>
        </w:rPr>
        <w:t xml:space="preserve"> entire wealth </w:t>
      </w:r>
      <w:r w:rsidR="00EC0AA7" w:rsidRPr="00734837">
        <w:rPr>
          <w:rFonts w:ascii="Times New Roman" w:hAnsi="Times New Roman" w:cs="Times New Roman"/>
          <w:sz w:val="24"/>
          <w:szCs w:val="24"/>
        </w:rPr>
        <w:t>in</w:t>
      </w:r>
      <w:r w:rsidRPr="00734837">
        <w:rPr>
          <w:rFonts w:ascii="Times New Roman" w:hAnsi="Times New Roman" w:cs="Times New Roman"/>
          <w:sz w:val="24"/>
          <w:szCs w:val="24"/>
        </w:rPr>
        <w:t xml:space="preserve"> each</w:t>
      </w:r>
      <w:r w:rsidR="005C1616" w:rsidRPr="00734837">
        <w:rPr>
          <w:rFonts w:ascii="Times New Roman" w:hAnsi="Times New Roman" w:cs="Times New Roman"/>
          <w:sz w:val="24"/>
          <w:szCs w:val="24"/>
        </w:rPr>
        <w:t xml:space="preserve"> of these countries to </w:t>
      </w:r>
      <w:r w:rsidR="007E44FA" w:rsidRPr="00734837">
        <w:rPr>
          <w:rFonts w:ascii="Times New Roman" w:hAnsi="Times New Roman" w:cs="Times New Roman"/>
          <w:sz w:val="24"/>
          <w:szCs w:val="24"/>
        </w:rPr>
        <w:t>obtain the</w:t>
      </w:r>
      <w:r w:rsidR="00176C8B" w:rsidRPr="00734837">
        <w:rPr>
          <w:rFonts w:ascii="Times New Roman" w:hAnsi="Times New Roman" w:cs="Times New Roman"/>
          <w:sz w:val="24"/>
          <w:szCs w:val="24"/>
        </w:rPr>
        <w:t xml:space="preserve"> risk </w:t>
      </w:r>
      <w:r w:rsidR="00A269EF" w:rsidRPr="00734837">
        <w:rPr>
          <w:rFonts w:ascii="Times New Roman" w:hAnsi="Times New Roman" w:cs="Times New Roman"/>
          <w:sz w:val="24"/>
          <w:szCs w:val="24"/>
        </w:rPr>
        <w:t xml:space="preserve">and expected return </w:t>
      </w:r>
      <w:r w:rsidRPr="00734837">
        <w:rPr>
          <w:rFonts w:ascii="Times New Roman" w:hAnsi="Times New Roman" w:cs="Times New Roman"/>
          <w:sz w:val="24"/>
          <w:szCs w:val="24"/>
        </w:rPr>
        <w:t>associated with this portfolio.</w:t>
      </w:r>
    </w:p>
    <w:p w:rsidR="00AC0A64" w:rsidRPr="00734837" w:rsidRDefault="00AC0A64" w:rsidP="00DB671E">
      <w:pPr>
        <w:spacing w:after="360" w:line="240" w:lineRule="auto"/>
        <w:jc w:val="both"/>
        <w:rPr>
          <w:rFonts w:ascii="Times New Roman" w:hAnsi="Times New Roman" w:cs="Times New Roman"/>
          <w:sz w:val="24"/>
          <w:szCs w:val="24"/>
        </w:rPr>
      </w:pPr>
      <w:r w:rsidRPr="00734837">
        <w:rPr>
          <w:rFonts w:ascii="Times New Roman" w:hAnsi="Times New Roman" w:cs="Times New Roman"/>
          <w:sz w:val="24"/>
          <w:szCs w:val="24"/>
        </w:rPr>
        <w:t>Two minimum-variance portfolios were constructed. The second minimum-variance portfolio was subjected to an additional constraint, which rest</w:t>
      </w:r>
      <w:r w:rsidR="00C06B5E" w:rsidRPr="00734837">
        <w:rPr>
          <w:rFonts w:ascii="Times New Roman" w:hAnsi="Times New Roman" w:cs="Times New Roman"/>
          <w:sz w:val="24"/>
          <w:szCs w:val="24"/>
        </w:rPr>
        <w:t>ricts the expected return of this</w:t>
      </w:r>
      <w:r w:rsidRPr="00734837">
        <w:rPr>
          <w:rFonts w:ascii="Times New Roman" w:hAnsi="Times New Roman" w:cs="Times New Roman"/>
          <w:sz w:val="24"/>
          <w:szCs w:val="24"/>
        </w:rPr>
        <w:t xml:space="preserve"> minimum-variance portfolio to be either equal to or greater than that of an </w:t>
      </w:r>
      <w:proofErr w:type="gramStart"/>
      <w:r w:rsidRPr="00734837">
        <w:rPr>
          <w:rFonts w:ascii="Times New Roman" w:hAnsi="Times New Roman" w:cs="Times New Roman"/>
          <w:sz w:val="24"/>
          <w:szCs w:val="24"/>
        </w:rPr>
        <w:t>equally-weighted</w:t>
      </w:r>
      <w:proofErr w:type="gramEnd"/>
      <w:r w:rsidRPr="00734837">
        <w:rPr>
          <w:rFonts w:ascii="Times New Roman" w:hAnsi="Times New Roman" w:cs="Times New Roman"/>
          <w:sz w:val="24"/>
          <w:szCs w:val="24"/>
        </w:rPr>
        <w:t xml:space="preserve"> portfolio. The first minimum-variance portfolio reported an expected return of 6.52% with a risk of 9.99</w:t>
      </w:r>
      <w:r w:rsidR="00EC0AA7" w:rsidRPr="00734837">
        <w:rPr>
          <w:rFonts w:ascii="Times New Roman" w:hAnsi="Times New Roman" w:cs="Times New Roman"/>
          <w:sz w:val="24"/>
          <w:szCs w:val="24"/>
        </w:rPr>
        <w:t>%, whereas</w:t>
      </w:r>
      <w:r w:rsidRPr="00734837">
        <w:rPr>
          <w:rFonts w:ascii="Times New Roman" w:hAnsi="Times New Roman" w:cs="Times New Roman"/>
          <w:sz w:val="24"/>
          <w:szCs w:val="24"/>
        </w:rPr>
        <w:t xml:space="preserve"> the second reported an expected return of 9.25% with a risk of 10.66%. The additional constraint placed on the second </w:t>
      </w:r>
      <w:r w:rsidR="006B70A3" w:rsidRPr="00734837">
        <w:rPr>
          <w:rFonts w:ascii="Times New Roman" w:hAnsi="Times New Roman" w:cs="Times New Roman"/>
          <w:sz w:val="24"/>
          <w:szCs w:val="24"/>
        </w:rPr>
        <w:t xml:space="preserve">minimum-variance portfolio </w:t>
      </w:r>
      <w:r w:rsidR="001333F2" w:rsidRPr="00734837">
        <w:rPr>
          <w:rFonts w:ascii="Times New Roman" w:hAnsi="Times New Roman" w:cs="Times New Roman"/>
          <w:sz w:val="24"/>
          <w:szCs w:val="24"/>
        </w:rPr>
        <w:t xml:space="preserve">increased the risk and expected return </w:t>
      </w:r>
      <w:r w:rsidR="003D5CA6" w:rsidRPr="00734837">
        <w:rPr>
          <w:rFonts w:ascii="Times New Roman" w:hAnsi="Times New Roman" w:cs="Times New Roman"/>
          <w:sz w:val="24"/>
          <w:szCs w:val="24"/>
        </w:rPr>
        <w:t>in comparison to that of the first</w:t>
      </w:r>
      <w:r w:rsidR="002C0DC2" w:rsidRPr="00734837">
        <w:rPr>
          <w:rFonts w:ascii="Times New Roman" w:hAnsi="Times New Roman" w:cs="Times New Roman"/>
          <w:sz w:val="24"/>
          <w:szCs w:val="24"/>
        </w:rPr>
        <w:t xml:space="preserve"> </w:t>
      </w:r>
      <w:r w:rsidRPr="00734837">
        <w:rPr>
          <w:rFonts w:ascii="Times New Roman" w:hAnsi="Times New Roman" w:cs="Times New Roman"/>
          <w:sz w:val="24"/>
          <w:szCs w:val="24"/>
        </w:rPr>
        <w:t xml:space="preserve">by 2.73%. </w:t>
      </w:r>
      <w:r w:rsidR="00643D7C" w:rsidRPr="00734837">
        <w:rPr>
          <w:rFonts w:ascii="Times New Roman" w:hAnsi="Times New Roman" w:cs="Times New Roman"/>
          <w:noProof/>
          <w:sz w:val="24"/>
          <w:szCs w:val="24"/>
        </w:rPr>
        <w:t>Hence, this portfolio</w:t>
      </w:r>
      <w:r w:rsidR="00CD34C4" w:rsidRPr="00734837">
        <w:rPr>
          <w:rFonts w:ascii="Times New Roman" w:hAnsi="Times New Roman" w:cs="Times New Roman"/>
          <w:noProof/>
          <w:sz w:val="24"/>
          <w:szCs w:val="24"/>
        </w:rPr>
        <w:t xml:space="preserve"> dominates the heuristic choice of investing equally among the eleven countries</w:t>
      </w:r>
      <w:r w:rsidR="00294869" w:rsidRPr="00734837">
        <w:rPr>
          <w:rFonts w:ascii="Times New Roman" w:hAnsi="Times New Roman" w:cs="Times New Roman"/>
          <w:noProof/>
          <w:sz w:val="24"/>
          <w:szCs w:val="24"/>
        </w:rPr>
        <w:t xml:space="preserve"> which was the purpose of includ</w:t>
      </w:r>
      <w:r w:rsidR="008232D2" w:rsidRPr="00734837">
        <w:rPr>
          <w:rFonts w:ascii="Times New Roman" w:hAnsi="Times New Roman" w:cs="Times New Roman"/>
          <w:noProof/>
          <w:sz w:val="24"/>
          <w:szCs w:val="24"/>
        </w:rPr>
        <w:t>ing this additional constraint.</w:t>
      </w:r>
      <w:r w:rsidR="008232D2" w:rsidRPr="00734837">
        <w:rPr>
          <w:rFonts w:ascii="Times New Roman" w:hAnsi="Times New Roman" w:cs="Times New Roman"/>
          <w:sz w:val="24"/>
          <w:szCs w:val="24"/>
        </w:rPr>
        <w:t xml:space="preserve"> This </w:t>
      </w:r>
      <w:r w:rsidR="0094523A" w:rsidRPr="00734837">
        <w:rPr>
          <w:rFonts w:ascii="Times New Roman" w:hAnsi="Times New Roman" w:cs="Times New Roman"/>
          <w:sz w:val="24"/>
          <w:szCs w:val="24"/>
        </w:rPr>
        <w:t xml:space="preserve">results </w:t>
      </w:r>
      <w:r w:rsidR="008232D2" w:rsidRPr="00734837">
        <w:rPr>
          <w:rFonts w:ascii="Times New Roman" w:hAnsi="Times New Roman" w:cs="Times New Roman"/>
          <w:sz w:val="24"/>
          <w:szCs w:val="24"/>
        </w:rPr>
        <w:t xml:space="preserve">show </w:t>
      </w:r>
      <w:r w:rsidR="0094523A" w:rsidRPr="00734837">
        <w:rPr>
          <w:rFonts w:ascii="Times New Roman" w:hAnsi="Times New Roman" w:cs="Times New Roman"/>
          <w:sz w:val="24"/>
          <w:szCs w:val="24"/>
        </w:rPr>
        <w:t xml:space="preserve">that </w:t>
      </w:r>
      <w:r w:rsidR="00DD327B" w:rsidRPr="00734837">
        <w:rPr>
          <w:rFonts w:ascii="Times New Roman" w:hAnsi="Times New Roman" w:cs="Times New Roman"/>
          <w:sz w:val="24"/>
          <w:szCs w:val="24"/>
        </w:rPr>
        <w:t xml:space="preserve">with </w:t>
      </w:r>
      <w:r w:rsidR="00D60F9E" w:rsidRPr="00734837">
        <w:rPr>
          <w:rFonts w:ascii="Times New Roman" w:hAnsi="Times New Roman" w:cs="Times New Roman"/>
          <w:sz w:val="24"/>
          <w:szCs w:val="24"/>
        </w:rPr>
        <w:t>the</w:t>
      </w:r>
      <w:r w:rsidR="00BE3A7F" w:rsidRPr="00734837">
        <w:rPr>
          <w:rFonts w:ascii="Times New Roman" w:hAnsi="Times New Roman" w:cs="Times New Roman"/>
          <w:sz w:val="24"/>
          <w:szCs w:val="24"/>
        </w:rPr>
        <w:t xml:space="preserve"> extra </w:t>
      </w:r>
      <w:r w:rsidR="004C567C" w:rsidRPr="00734837">
        <w:rPr>
          <w:rFonts w:ascii="Times New Roman" w:hAnsi="Times New Roman" w:cs="Times New Roman"/>
          <w:sz w:val="24"/>
          <w:szCs w:val="24"/>
        </w:rPr>
        <w:t xml:space="preserve">constraint placed on the </w:t>
      </w:r>
      <w:r w:rsidRPr="00734837">
        <w:rPr>
          <w:rFonts w:ascii="Times New Roman" w:hAnsi="Times New Roman" w:cs="Times New Roman"/>
          <w:sz w:val="24"/>
          <w:szCs w:val="24"/>
        </w:rPr>
        <w:t xml:space="preserve">second </w:t>
      </w:r>
      <w:r w:rsidR="004C567C" w:rsidRPr="00734837">
        <w:rPr>
          <w:rFonts w:ascii="Times New Roman" w:hAnsi="Times New Roman" w:cs="Times New Roman"/>
          <w:sz w:val="24"/>
          <w:szCs w:val="24"/>
        </w:rPr>
        <w:t xml:space="preserve">minimum-variance portfolio, </w:t>
      </w:r>
      <w:r w:rsidR="000D2BF6" w:rsidRPr="00734837">
        <w:rPr>
          <w:rFonts w:ascii="Times New Roman" w:hAnsi="Times New Roman" w:cs="Times New Roman"/>
          <w:sz w:val="24"/>
          <w:szCs w:val="24"/>
        </w:rPr>
        <w:t xml:space="preserve">though it </w:t>
      </w:r>
      <w:r w:rsidR="007A1EEF" w:rsidRPr="00734837">
        <w:rPr>
          <w:rFonts w:ascii="Times New Roman" w:hAnsi="Times New Roman" w:cs="Times New Roman"/>
          <w:sz w:val="24"/>
          <w:szCs w:val="24"/>
        </w:rPr>
        <w:t xml:space="preserve">has the </w:t>
      </w:r>
      <w:r w:rsidRPr="00734837">
        <w:rPr>
          <w:rFonts w:ascii="Times New Roman" w:hAnsi="Times New Roman" w:cs="Times New Roman"/>
          <w:sz w:val="24"/>
          <w:szCs w:val="24"/>
        </w:rPr>
        <w:t xml:space="preserve">same expected return as that of the </w:t>
      </w:r>
      <w:r w:rsidR="008232D2" w:rsidRPr="00734837">
        <w:rPr>
          <w:rFonts w:ascii="Times New Roman" w:hAnsi="Times New Roman" w:cs="Times New Roman"/>
          <w:sz w:val="24"/>
          <w:szCs w:val="24"/>
        </w:rPr>
        <w:t>equally weighted</w:t>
      </w:r>
      <w:r w:rsidRPr="00734837">
        <w:rPr>
          <w:rFonts w:ascii="Times New Roman" w:hAnsi="Times New Roman" w:cs="Times New Roman"/>
          <w:sz w:val="24"/>
          <w:szCs w:val="24"/>
        </w:rPr>
        <w:t xml:space="preserve"> (9.25</w:t>
      </w:r>
      <w:r w:rsidR="000756FE" w:rsidRPr="00734837">
        <w:rPr>
          <w:rFonts w:ascii="Times New Roman" w:hAnsi="Times New Roman" w:cs="Times New Roman"/>
          <w:sz w:val="24"/>
          <w:szCs w:val="24"/>
        </w:rPr>
        <w:t>%), the risk associated with it</w:t>
      </w:r>
      <w:r w:rsidRPr="00734837">
        <w:rPr>
          <w:rFonts w:ascii="Times New Roman" w:hAnsi="Times New Roman" w:cs="Times New Roman"/>
          <w:sz w:val="24"/>
          <w:szCs w:val="24"/>
        </w:rPr>
        <w:t xml:space="preserve"> is lower than that of </w:t>
      </w:r>
      <w:r w:rsidR="008232D2" w:rsidRPr="00734837">
        <w:rPr>
          <w:rFonts w:ascii="Times New Roman" w:hAnsi="Times New Roman" w:cs="Times New Roman"/>
          <w:sz w:val="24"/>
          <w:szCs w:val="24"/>
        </w:rPr>
        <w:t>equally weighted</w:t>
      </w:r>
      <w:r w:rsidRPr="00734837">
        <w:rPr>
          <w:rFonts w:ascii="Times New Roman" w:hAnsi="Times New Roman" w:cs="Times New Roman"/>
          <w:sz w:val="24"/>
          <w:szCs w:val="24"/>
        </w:rPr>
        <w:t xml:space="preserve"> portfolio by 1.18%. </w:t>
      </w:r>
    </w:p>
    <w:p w:rsidR="00AC0A64" w:rsidRPr="00734837" w:rsidRDefault="00AC0A64" w:rsidP="00DB671E">
      <w:pPr>
        <w:spacing w:after="360" w:line="240" w:lineRule="auto"/>
        <w:jc w:val="both"/>
        <w:rPr>
          <w:rFonts w:ascii="Times New Roman" w:hAnsi="Times New Roman" w:cs="Times New Roman"/>
          <w:sz w:val="24"/>
          <w:szCs w:val="24"/>
        </w:rPr>
      </w:pPr>
      <w:r w:rsidRPr="00734837">
        <w:rPr>
          <w:rFonts w:ascii="Times New Roman" w:hAnsi="Times New Roman" w:cs="Times New Roman"/>
          <w:sz w:val="24"/>
          <w:szCs w:val="24"/>
        </w:rPr>
        <w:lastRenderedPageBreak/>
        <w:t xml:space="preserve">Highly risk-averse investors would opt for the first minimum-variance portfolio, since it offered the least risk. Such investors would have to allocate 12.64%, 11.43%, 19.41%, 25.86%, 16.34%, 1.73%, 8.76%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3.8</w:t>
      </w:r>
      <w:r w:rsidR="008E07F2" w:rsidRPr="00734837">
        <w:rPr>
          <w:rFonts w:ascii="Times New Roman" w:hAnsi="Times New Roman" w:cs="Times New Roman"/>
          <w:sz w:val="24"/>
          <w:szCs w:val="24"/>
        </w:rPr>
        <w:t>3% to</w:t>
      </w:r>
      <w:r w:rsidRPr="00734837">
        <w:rPr>
          <w:rFonts w:ascii="Times New Roman" w:hAnsi="Times New Roman" w:cs="Times New Roman"/>
          <w:sz w:val="24"/>
          <w:szCs w:val="24"/>
        </w:rPr>
        <w:t xml:space="preserve"> Botswana, Namibia, Morocco, Tunisia, Ghana, Nigeria, Zambia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South Africa </w:t>
      </w:r>
      <w:r w:rsidR="00EC0AA7" w:rsidRPr="00734837">
        <w:rPr>
          <w:rFonts w:ascii="Times New Roman" w:hAnsi="Times New Roman" w:cs="Times New Roman"/>
          <w:sz w:val="24"/>
          <w:szCs w:val="24"/>
        </w:rPr>
        <w:t>respectively, and</w:t>
      </w:r>
      <w:r w:rsidRPr="00734837">
        <w:rPr>
          <w:rFonts w:ascii="Times New Roman" w:hAnsi="Times New Roman" w:cs="Times New Roman"/>
          <w:sz w:val="24"/>
          <w:szCs w:val="24"/>
        </w:rPr>
        <w:t xml:space="preserve"> nothing to Kenya, Mauritius and Cote D’Ivoire</w:t>
      </w:r>
      <w:r w:rsidR="00171198" w:rsidRPr="00734837">
        <w:rPr>
          <w:rFonts w:ascii="Times New Roman" w:hAnsi="Times New Roman" w:cs="Times New Roman"/>
          <w:sz w:val="24"/>
          <w:szCs w:val="24"/>
        </w:rPr>
        <w:t xml:space="preserve"> r</w:t>
      </w:r>
      <w:r w:rsidR="00832FD8" w:rsidRPr="00734837">
        <w:rPr>
          <w:rFonts w:ascii="Times New Roman" w:hAnsi="Times New Roman" w:cs="Times New Roman"/>
          <w:sz w:val="24"/>
          <w:szCs w:val="24"/>
        </w:rPr>
        <w:t>e</w:t>
      </w:r>
      <w:r w:rsidR="00171198" w:rsidRPr="00734837">
        <w:rPr>
          <w:rFonts w:ascii="Times New Roman" w:hAnsi="Times New Roman" w:cs="Times New Roman"/>
          <w:sz w:val="24"/>
          <w:szCs w:val="24"/>
        </w:rPr>
        <w:t>spectively</w:t>
      </w:r>
      <w:r w:rsidRPr="00734837">
        <w:rPr>
          <w:rFonts w:ascii="Times New Roman" w:hAnsi="Times New Roman" w:cs="Times New Roman"/>
          <w:sz w:val="24"/>
          <w:szCs w:val="24"/>
        </w:rPr>
        <w:t xml:space="preserve"> </w:t>
      </w:r>
      <w:proofErr w:type="gramStart"/>
      <w:r w:rsidR="001C6C15" w:rsidRPr="00734837">
        <w:rPr>
          <w:rFonts w:ascii="Times New Roman" w:hAnsi="Times New Roman" w:cs="Times New Roman"/>
          <w:sz w:val="24"/>
          <w:szCs w:val="24"/>
        </w:rPr>
        <w:t>so as to</w:t>
      </w:r>
      <w:proofErr w:type="gramEnd"/>
      <w:r w:rsidR="001C6C15" w:rsidRPr="00734837">
        <w:rPr>
          <w:rFonts w:ascii="Times New Roman" w:hAnsi="Times New Roman" w:cs="Times New Roman"/>
          <w:sz w:val="24"/>
          <w:szCs w:val="24"/>
        </w:rPr>
        <w:t xml:space="preserve"> ascertain the expected return and risk associated with the first minimum-variance portfolio. </w:t>
      </w:r>
      <w:r w:rsidRPr="00734837">
        <w:rPr>
          <w:rFonts w:ascii="Times New Roman" w:hAnsi="Times New Roman" w:cs="Times New Roman"/>
          <w:sz w:val="24"/>
          <w:szCs w:val="24"/>
        </w:rPr>
        <w:t xml:space="preserve">Less risk-averse investors would opt for the second minimum-variance portfolio. These investors </w:t>
      </w:r>
      <w:r w:rsidR="00EC0AA7" w:rsidRPr="00734837">
        <w:rPr>
          <w:rFonts w:ascii="Times New Roman" w:hAnsi="Times New Roman" w:cs="Times New Roman"/>
          <w:sz w:val="24"/>
          <w:szCs w:val="24"/>
        </w:rPr>
        <w:t>would, however</w:t>
      </w:r>
      <w:r w:rsidRPr="00734837">
        <w:rPr>
          <w:rFonts w:ascii="Times New Roman" w:hAnsi="Times New Roman" w:cs="Times New Roman"/>
          <w:sz w:val="24"/>
          <w:szCs w:val="24"/>
        </w:rPr>
        <w:t>, have to invest 15.26%, 9.32%, 20.14%, 14.46%, 8.38%, 1.45%, 3.51%, 17.</w:t>
      </w:r>
      <w:r w:rsidR="00A2024A" w:rsidRPr="00734837">
        <w:rPr>
          <w:rFonts w:ascii="Times New Roman" w:hAnsi="Times New Roman" w:cs="Times New Roman"/>
          <w:sz w:val="24"/>
          <w:szCs w:val="24"/>
        </w:rPr>
        <w:t xml:space="preserve">33%, 2.52% </w:t>
      </w:r>
      <w:r w:rsidR="00693D1C" w:rsidRPr="00734837">
        <w:rPr>
          <w:rFonts w:ascii="Times New Roman" w:hAnsi="Times New Roman" w:cs="Times New Roman"/>
          <w:sz w:val="24"/>
          <w:szCs w:val="24"/>
        </w:rPr>
        <w:t>and</w:t>
      </w:r>
      <w:r w:rsidR="00A2024A" w:rsidRPr="00734837">
        <w:rPr>
          <w:rFonts w:ascii="Times New Roman" w:hAnsi="Times New Roman" w:cs="Times New Roman"/>
          <w:sz w:val="24"/>
          <w:szCs w:val="24"/>
        </w:rPr>
        <w:t xml:space="preserve"> 7.66% to the portfolios</w:t>
      </w:r>
      <w:r w:rsidRPr="00734837">
        <w:rPr>
          <w:rFonts w:ascii="Times New Roman" w:hAnsi="Times New Roman" w:cs="Times New Roman"/>
          <w:sz w:val="24"/>
          <w:szCs w:val="24"/>
        </w:rPr>
        <w:t xml:space="preserve"> of Botswana, Namibia, Morocco, Tunisia, Ghana, Nigeria, Kenya, </w:t>
      </w:r>
      <w:proofErr w:type="gramStart"/>
      <w:r w:rsidRPr="00734837">
        <w:rPr>
          <w:rFonts w:ascii="Times New Roman" w:hAnsi="Times New Roman" w:cs="Times New Roman"/>
          <w:sz w:val="24"/>
          <w:szCs w:val="24"/>
        </w:rPr>
        <w:t>Zambia</w:t>
      </w:r>
      <w:proofErr w:type="gramEnd"/>
      <w:r w:rsidRPr="00734837">
        <w:rPr>
          <w:rFonts w:ascii="Times New Roman" w:hAnsi="Times New Roman" w:cs="Times New Roman"/>
          <w:sz w:val="24"/>
          <w:szCs w:val="24"/>
        </w:rPr>
        <w:t xml:space="preserve">, South Africa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Cote D’Ivoire </w:t>
      </w:r>
      <w:r w:rsidR="00832FD8" w:rsidRPr="00734837">
        <w:rPr>
          <w:rFonts w:ascii="Times New Roman" w:hAnsi="Times New Roman" w:cs="Times New Roman"/>
          <w:sz w:val="24"/>
          <w:szCs w:val="24"/>
        </w:rPr>
        <w:t xml:space="preserve">respectively </w:t>
      </w:r>
      <w:r w:rsidRPr="00734837">
        <w:rPr>
          <w:rFonts w:ascii="Times New Roman" w:hAnsi="Times New Roman" w:cs="Times New Roman"/>
          <w:sz w:val="24"/>
          <w:szCs w:val="24"/>
        </w:rPr>
        <w:t>and nothing to Mauritius</w:t>
      </w:r>
      <w:r w:rsidR="00895373" w:rsidRPr="00734837">
        <w:rPr>
          <w:rFonts w:ascii="Times New Roman" w:hAnsi="Times New Roman" w:cs="Times New Roman"/>
          <w:sz w:val="24"/>
          <w:szCs w:val="24"/>
        </w:rPr>
        <w:t xml:space="preserve">. It </w:t>
      </w:r>
      <w:proofErr w:type="gramStart"/>
      <w:r w:rsidR="00895373" w:rsidRPr="00734837">
        <w:rPr>
          <w:rFonts w:ascii="Times New Roman" w:hAnsi="Times New Roman" w:cs="Times New Roman"/>
          <w:sz w:val="24"/>
          <w:szCs w:val="24"/>
        </w:rPr>
        <w:t>is noticed</w:t>
      </w:r>
      <w:proofErr w:type="gramEnd"/>
      <w:r w:rsidR="00895373" w:rsidRPr="00734837">
        <w:rPr>
          <w:rFonts w:ascii="Times New Roman" w:hAnsi="Times New Roman" w:cs="Times New Roman"/>
          <w:sz w:val="24"/>
          <w:szCs w:val="24"/>
        </w:rPr>
        <w:t xml:space="preserve"> from Table 3</w:t>
      </w:r>
      <w:r w:rsidRPr="00734837">
        <w:rPr>
          <w:rFonts w:ascii="Times New Roman" w:hAnsi="Times New Roman" w:cs="Times New Roman"/>
          <w:sz w:val="24"/>
          <w:szCs w:val="24"/>
        </w:rPr>
        <w:t xml:space="preserve"> that, such investor</w:t>
      </w:r>
      <w:r w:rsidR="00B46F9E" w:rsidRPr="00734837">
        <w:rPr>
          <w:rFonts w:ascii="Times New Roman" w:hAnsi="Times New Roman" w:cs="Times New Roman"/>
          <w:sz w:val="24"/>
          <w:szCs w:val="24"/>
        </w:rPr>
        <w:t>s have higher Sharpe ratios than the former.</w:t>
      </w:r>
      <w:r w:rsidR="00A878E5" w:rsidRPr="00734837">
        <w:rPr>
          <w:rFonts w:ascii="Times New Roman" w:hAnsi="Times New Roman" w:cs="Times New Roman"/>
          <w:sz w:val="24"/>
          <w:szCs w:val="24"/>
        </w:rPr>
        <w:t xml:space="preserve"> This is so, since</w:t>
      </w:r>
      <w:r w:rsidRPr="00734837">
        <w:rPr>
          <w:rFonts w:ascii="Times New Roman" w:hAnsi="Times New Roman" w:cs="Times New Roman"/>
          <w:sz w:val="24"/>
          <w:szCs w:val="24"/>
        </w:rPr>
        <w:t xml:space="preserve"> less risk-averse investors </w:t>
      </w:r>
      <w:proofErr w:type="gramStart"/>
      <w:r w:rsidRPr="00734837">
        <w:rPr>
          <w:rFonts w:ascii="Times New Roman" w:hAnsi="Times New Roman" w:cs="Times New Roman"/>
          <w:sz w:val="24"/>
          <w:szCs w:val="24"/>
        </w:rPr>
        <w:t xml:space="preserve">are </w:t>
      </w:r>
      <w:r w:rsidR="00EC0AA7" w:rsidRPr="00734837">
        <w:rPr>
          <w:rFonts w:ascii="Times New Roman" w:hAnsi="Times New Roman" w:cs="Times New Roman"/>
          <w:sz w:val="24"/>
          <w:szCs w:val="24"/>
        </w:rPr>
        <w:t>being</w:t>
      </w:r>
      <w:r w:rsidRPr="00734837">
        <w:rPr>
          <w:rFonts w:ascii="Times New Roman" w:hAnsi="Times New Roman" w:cs="Times New Roman"/>
          <w:sz w:val="24"/>
          <w:szCs w:val="24"/>
        </w:rPr>
        <w:t xml:space="preserve"> rewarded</w:t>
      </w:r>
      <w:proofErr w:type="gramEnd"/>
      <w:r w:rsidRPr="00734837">
        <w:rPr>
          <w:rFonts w:ascii="Times New Roman" w:hAnsi="Times New Roman" w:cs="Times New Roman"/>
          <w:sz w:val="24"/>
          <w:szCs w:val="24"/>
        </w:rPr>
        <w:t xml:space="preserve"> </w:t>
      </w:r>
      <w:r w:rsidR="00645281" w:rsidRPr="00734837">
        <w:rPr>
          <w:rFonts w:ascii="Times New Roman" w:hAnsi="Times New Roman" w:cs="Times New Roman"/>
          <w:sz w:val="24"/>
          <w:szCs w:val="24"/>
        </w:rPr>
        <w:t xml:space="preserve">by a margin of 21.35% </w:t>
      </w:r>
      <w:r w:rsidRPr="00734837">
        <w:rPr>
          <w:rFonts w:ascii="Times New Roman" w:hAnsi="Times New Roman" w:cs="Times New Roman"/>
          <w:sz w:val="24"/>
          <w:szCs w:val="24"/>
        </w:rPr>
        <w:t>for the extra ri</w:t>
      </w:r>
      <w:r w:rsidR="00645281" w:rsidRPr="00734837">
        <w:rPr>
          <w:rFonts w:ascii="Times New Roman" w:hAnsi="Times New Roman" w:cs="Times New Roman"/>
          <w:sz w:val="24"/>
          <w:szCs w:val="24"/>
        </w:rPr>
        <w:t xml:space="preserve">sk taken. </w:t>
      </w:r>
      <w:r w:rsidRPr="00734837">
        <w:rPr>
          <w:rFonts w:ascii="Times New Roman" w:hAnsi="Times New Roman" w:cs="Times New Roman"/>
          <w:sz w:val="24"/>
          <w:szCs w:val="24"/>
        </w:rPr>
        <w:t>This als</w:t>
      </w:r>
      <w:r w:rsidR="000E33D8" w:rsidRPr="00734837">
        <w:rPr>
          <w:rFonts w:ascii="Times New Roman" w:hAnsi="Times New Roman" w:cs="Times New Roman"/>
          <w:sz w:val="24"/>
          <w:szCs w:val="24"/>
        </w:rPr>
        <w:t>o illustrates the</w:t>
      </w:r>
      <w:r w:rsidR="00C43F63" w:rsidRPr="00734837">
        <w:rPr>
          <w:rFonts w:ascii="Times New Roman" w:hAnsi="Times New Roman" w:cs="Times New Roman"/>
          <w:sz w:val="24"/>
          <w:szCs w:val="24"/>
        </w:rPr>
        <w:t xml:space="preserve"> positive </w:t>
      </w:r>
      <w:r w:rsidR="009540F5" w:rsidRPr="00734837">
        <w:rPr>
          <w:rFonts w:ascii="Times New Roman" w:hAnsi="Times New Roman" w:cs="Times New Roman"/>
          <w:sz w:val="24"/>
          <w:szCs w:val="24"/>
        </w:rPr>
        <w:t>association</w:t>
      </w:r>
      <w:r w:rsidR="00C43F63" w:rsidRPr="00734837">
        <w:rPr>
          <w:rFonts w:ascii="Times New Roman" w:hAnsi="Times New Roman" w:cs="Times New Roman"/>
          <w:sz w:val="24"/>
          <w:szCs w:val="24"/>
        </w:rPr>
        <w:t xml:space="preserve"> between expected return and risk, hence</w:t>
      </w:r>
      <w:r w:rsidR="008F3BB5" w:rsidRPr="00734837">
        <w:rPr>
          <w:rFonts w:ascii="Times New Roman" w:hAnsi="Times New Roman" w:cs="Times New Roman"/>
          <w:sz w:val="24"/>
          <w:szCs w:val="24"/>
        </w:rPr>
        <w:t>,</w:t>
      </w:r>
      <w:r w:rsidR="00832FD8" w:rsidRPr="00734837">
        <w:rPr>
          <w:rFonts w:ascii="Times New Roman" w:hAnsi="Times New Roman" w:cs="Times New Roman"/>
          <w:sz w:val="24"/>
          <w:szCs w:val="24"/>
        </w:rPr>
        <w:t xml:space="preserve"> the higher the risk</w:t>
      </w:r>
      <w:r w:rsidR="00C43F63" w:rsidRPr="00734837">
        <w:rPr>
          <w:rFonts w:ascii="Times New Roman" w:hAnsi="Times New Roman" w:cs="Times New Roman"/>
          <w:sz w:val="24"/>
          <w:szCs w:val="24"/>
        </w:rPr>
        <w:t>,</w:t>
      </w:r>
      <w:r w:rsidR="00832FD8" w:rsidRPr="00734837">
        <w:rPr>
          <w:rFonts w:ascii="Times New Roman" w:hAnsi="Times New Roman" w:cs="Times New Roman"/>
          <w:sz w:val="24"/>
          <w:szCs w:val="24"/>
        </w:rPr>
        <w:t xml:space="preserve"> the higher the expected return on the portfolios</w:t>
      </w:r>
      <w:r w:rsidRPr="00734837">
        <w:rPr>
          <w:rFonts w:ascii="Times New Roman" w:hAnsi="Times New Roman" w:cs="Times New Roman"/>
          <w:sz w:val="24"/>
          <w:szCs w:val="24"/>
        </w:rPr>
        <w:t xml:space="preserve">. </w:t>
      </w:r>
    </w:p>
    <w:p w:rsidR="00AC0A64" w:rsidRPr="00734837" w:rsidRDefault="00AC0A64" w:rsidP="00895373">
      <w:pPr>
        <w:spacing w:after="360" w:line="240" w:lineRule="auto"/>
        <w:jc w:val="both"/>
        <w:rPr>
          <w:rFonts w:ascii="Times New Roman" w:hAnsi="Times New Roman" w:cs="Times New Roman"/>
          <w:sz w:val="24"/>
          <w:szCs w:val="24"/>
        </w:rPr>
      </w:pPr>
      <w:r w:rsidRPr="00734837">
        <w:rPr>
          <w:rFonts w:ascii="Times New Roman" w:hAnsi="Times New Roman" w:cs="Times New Roman"/>
          <w:sz w:val="24"/>
          <w:szCs w:val="24"/>
        </w:rPr>
        <w:t>The tangency portfolio reported an expected return of 13.38% with a risk of 13.67%. It is observed that the tangency portfolio provides an optimum solution to the asset allocation problem most investors are faced with, on how much to allocate to each asset or market in order to maximize their wealth at the possible minimum risk (</w:t>
      </w:r>
      <w:r w:rsidRPr="00734837">
        <w:rPr>
          <w:rFonts w:ascii="Times New Roman" w:eastAsia="MacmillanRoman" w:hAnsi="Times New Roman" w:cs="Times New Roman"/>
          <w:color w:val="000000"/>
          <w:sz w:val="24"/>
          <w:szCs w:val="24"/>
        </w:rPr>
        <w:t xml:space="preserve">Zhu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Zhou, 2009</w:t>
      </w:r>
      <w:r w:rsidRPr="00734837">
        <w:rPr>
          <w:rFonts w:ascii="Times New Roman" w:hAnsi="Times New Roman" w:cs="Times New Roman"/>
          <w:sz w:val="24"/>
          <w:szCs w:val="24"/>
        </w:rPr>
        <w:t xml:space="preserve">; </w:t>
      </w:r>
      <w:proofErr w:type="spellStart"/>
      <w:r w:rsidRPr="00734837">
        <w:rPr>
          <w:rFonts w:ascii="Times New Roman" w:hAnsi="Times New Roman" w:cs="Times New Roman"/>
          <w:sz w:val="24"/>
          <w:szCs w:val="24"/>
        </w:rPr>
        <w:t>G</w:t>
      </w:r>
      <w:r w:rsidRPr="00734837">
        <w:rPr>
          <w:rFonts w:ascii="Times New Roman" w:eastAsia="MacmillanRoman" w:hAnsi="Times New Roman" w:cs="Times New Roman"/>
          <w:color w:val="000000"/>
          <w:sz w:val="24"/>
          <w:szCs w:val="24"/>
        </w:rPr>
        <w:t>ratcheva</w:t>
      </w:r>
      <w:proofErr w:type="spellEnd"/>
      <w:r w:rsidRPr="00734837">
        <w:rPr>
          <w:rFonts w:ascii="Times New Roman" w:eastAsia="MacmillanRoman" w:hAnsi="Times New Roman" w:cs="Times New Roman"/>
          <w:color w:val="000000"/>
          <w:sz w:val="24"/>
          <w:szCs w:val="24"/>
        </w:rPr>
        <w:t xml:space="preserve"> </w:t>
      </w:r>
      <w:r w:rsidR="00693D1C" w:rsidRPr="00734837">
        <w:rPr>
          <w:rFonts w:ascii="Times New Roman" w:eastAsia="MacmillanRoman" w:hAnsi="Times New Roman" w:cs="Times New Roman"/>
          <w:color w:val="000000"/>
          <w:sz w:val="24"/>
          <w:szCs w:val="24"/>
        </w:rPr>
        <w:t>and</w:t>
      </w:r>
      <w:r w:rsidRPr="00734837">
        <w:rPr>
          <w:rFonts w:ascii="Times New Roman" w:eastAsia="MacmillanRoman" w:hAnsi="Times New Roman" w:cs="Times New Roman"/>
          <w:color w:val="000000"/>
          <w:sz w:val="24"/>
          <w:szCs w:val="24"/>
        </w:rPr>
        <w:t xml:space="preserve"> Falk</w:t>
      </w:r>
      <w:r w:rsidR="00AF1FCA" w:rsidRPr="00734837">
        <w:rPr>
          <w:rFonts w:ascii="Times New Roman" w:hAnsi="Times New Roman" w:cs="Times New Roman"/>
          <w:sz w:val="24"/>
          <w:szCs w:val="24"/>
        </w:rPr>
        <w:t xml:space="preserve">, 2003). This is because </w:t>
      </w:r>
      <w:r w:rsidRPr="00734837">
        <w:rPr>
          <w:rFonts w:ascii="Times New Roman" w:hAnsi="Times New Roman" w:cs="Times New Roman"/>
          <w:sz w:val="24"/>
          <w:szCs w:val="24"/>
        </w:rPr>
        <w:t xml:space="preserve">this portfolio offers the </w:t>
      </w:r>
      <w:r w:rsidRPr="00734837">
        <w:rPr>
          <w:rFonts w:ascii="Times New Roman" w:hAnsi="Times New Roman" w:cs="Times New Roman"/>
          <w:sz w:val="24"/>
        </w:rPr>
        <w:t xml:space="preserve">best </w:t>
      </w:r>
      <w:r w:rsidR="008679E2" w:rsidRPr="00734837">
        <w:rPr>
          <w:rFonts w:ascii="Times New Roman" w:hAnsi="Times New Roman" w:cs="Times New Roman"/>
          <w:sz w:val="24"/>
        </w:rPr>
        <w:t>blend</w:t>
      </w:r>
      <w:r w:rsidR="00F21F62" w:rsidRPr="00734837">
        <w:rPr>
          <w:rFonts w:ascii="Times New Roman" w:hAnsi="Times New Roman" w:cs="Times New Roman"/>
          <w:sz w:val="24"/>
        </w:rPr>
        <w:t xml:space="preserve"> of risky securities</w:t>
      </w:r>
      <w:r w:rsidR="00CA09A6" w:rsidRPr="00734837">
        <w:rPr>
          <w:rFonts w:ascii="Times New Roman" w:hAnsi="Times New Roman" w:cs="Times New Roman"/>
          <w:sz w:val="24"/>
        </w:rPr>
        <w:t xml:space="preserve"> that</w:t>
      </w:r>
      <w:r w:rsidRPr="00734837">
        <w:rPr>
          <w:rFonts w:ascii="Times New Roman" w:hAnsi="Times New Roman" w:cs="Times New Roman"/>
          <w:sz w:val="24"/>
        </w:rPr>
        <w:t xml:space="preserve"> gives the best risk-</w:t>
      </w:r>
      <w:r w:rsidR="00D931B0" w:rsidRPr="00734837">
        <w:rPr>
          <w:rFonts w:ascii="Times New Roman" w:hAnsi="Times New Roman" w:cs="Times New Roman"/>
          <w:sz w:val="24"/>
        </w:rPr>
        <w:t xml:space="preserve">expected </w:t>
      </w:r>
      <w:r w:rsidRPr="00734837">
        <w:rPr>
          <w:rFonts w:ascii="Times New Roman" w:hAnsi="Times New Roman" w:cs="Times New Roman"/>
          <w:sz w:val="24"/>
        </w:rPr>
        <w:t>return trade-off on a p</w:t>
      </w:r>
      <w:r w:rsidR="00D729A3" w:rsidRPr="00734837">
        <w:rPr>
          <w:rFonts w:ascii="Times New Roman" w:hAnsi="Times New Roman" w:cs="Times New Roman"/>
          <w:sz w:val="24"/>
        </w:rPr>
        <w:t>ortfolio (</w:t>
      </w:r>
      <w:proofErr w:type="spellStart"/>
      <w:r w:rsidR="00D729A3" w:rsidRPr="00734837">
        <w:rPr>
          <w:rFonts w:ascii="Times New Roman" w:hAnsi="Times New Roman" w:cs="Times New Roman"/>
          <w:sz w:val="24"/>
        </w:rPr>
        <w:t>Xie</w:t>
      </w:r>
      <w:proofErr w:type="spellEnd"/>
      <w:r w:rsidR="00D729A3" w:rsidRPr="00734837">
        <w:rPr>
          <w:rFonts w:ascii="Times New Roman" w:hAnsi="Times New Roman" w:cs="Times New Roman"/>
          <w:sz w:val="24"/>
        </w:rPr>
        <w:t xml:space="preserve">, 2009; </w:t>
      </w:r>
      <w:proofErr w:type="spellStart"/>
      <w:r w:rsidR="00D729A3" w:rsidRPr="00734837">
        <w:rPr>
          <w:rFonts w:ascii="Times New Roman" w:hAnsi="Times New Roman" w:cs="Times New Roman"/>
          <w:sz w:val="24"/>
        </w:rPr>
        <w:t>Jorion</w:t>
      </w:r>
      <w:proofErr w:type="spellEnd"/>
      <w:r w:rsidR="00D729A3" w:rsidRPr="00734837">
        <w:rPr>
          <w:rFonts w:ascii="Times New Roman" w:hAnsi="Times New Roman" w:cs="Times New Roman"/>
          <w:sz w:val="24"/>
        </w:rPr>
        <w:t xml:space="preserve"> 1992</w:t>
      </w:r>
      <w:r w:rsidRPr="00734837">
        <w:rPr>
          <w:rFonts w:ascii="Times New Roman" w:hAnsi="Times New Roman" w:cs="Times New Roman"/>
          <w:sz w:val="24"/>
        </w:rPr>
        <w:t xml:space="preserve">). The optimal portfolio </w:t>
      </w:r>
      <w:r w:rsidR="008679E2" w:rsidRPr="00734837">
        <w:rPr>
          <w:rFonts w:ascii="Times New Roman" w:hAnsi="Times New Roman" w:cs="Times New Roman"/>
          <w:sz w:val="24"/>
        </w:rPr>
        <w:t xml:space="preserve">also </w:t>
      </w:r>
      <w:r w:rsidRPr="00734837">
        <w:rPr>
          <w:rFonts w:ascii="Times New Roman" w:hAnsi="Times New Roman" w:cs="Times New Roman"/>
          <w:sz w:val="24"/>
        </w:rPr>
        <w:t xml:space="preserve">had the highest Sharpe ratio of 97.88%, indicating that </w:t>
      </w:r>
      <w:r w:rsidR="00AD1EB2" w:rsidRPr="00734837">
        <w:rPr>
          <w:rFonts w:ascii="Times New Roman" w:hAnsi="Times New Roman" w:cs="Times New Roman"/>
          <w:sz w:val="24"/>
        </w:rPr>
        <w:t>investors, who</w:t>
      </w:r>
      <w:r w:rsidR="00AF1FCA" w:rsidRPr="00734837">
        <w:rPr>
          <w:rFonts w:ascii="Times New Roman" w:hAnsi="Times New Roman" w:cs="Times New Roman"/>
          <w:sz w:val="24"/>
        </w:rPr>
        <w:t xml:space="preserve"> invest</w:t>
      </w:r>
      <w:r w:rsidRPr="00734837">
        <w:rPr>
          <w:rFonts w:ascii="Times New Roman" w:hAnsi="Times New Roman" w:cs="Times New Roman"/>
          <w:sz w:val="24"/>
        </w:rPr>
        <w:t xml:space="preserve"> in the optimal </w:t>
      </w:r>
      <w:r w:rsidR="00222DE6" w:rsidRPr="00734837">
        <w:rPr>
          <w:rFonts w:ascii="Times New Roman" w:hAnsi="Times New Roman" w:cs="Times New Roman"/>
          <w:sz w:val="24"/>
        </w:rPr>
        <w:t>portfolio,</w:t>
      </w:r>
      <w:r w:rsidRPr="00734837">
        <w:rPr>
          <w:rFonts w:ascii="Times New Roman" w:hAnsi="Times New Roman" w:cs="Times New Roman"/>
          <w:sz w:val="24"/>
        </w:rPr>
        <w:t xml:space="preserve"> would attain a compensation of 97.88% for taking a risk of 13.67% to obtain </w:t>
      </w:r>
      <w:r w:rsidR="00EC0AA7" w:rsidRPr="00734837">
        <w:rPr>
          <w:rFonts w:ascii="Times New Roman" w:hAnsi="Times New Roman" w:cs="Times New Roman"/>
          <w:sz w:val="24"/>
        </w:rPr>
        <w:t>a higher expected return</w:t>
      </w:r>
      <w:r w:rsidRPr="00734837">
        <w:rPr>
          <w:rFonts w:ascii="Times New Roman" w:hAnsi="Times New Roman" w:cs="Times New Roman"/>
          <w:sz w:val="24"/>
        </w:rPr>
        <w:t xml:space="preserve"> of 13.33% as compared to the </w:t>
      </w:r>
      <w:r w:rsidR="00222DE6" w:rsidRPr="00734837">
        <w:rPr>
          <w:rFonts w:ascii="Times New Roman" w:hAnsi="Times New Roman" w:cs="Times New Roman"/>
          <w:sz w:val="24"/>
        </w:rPr>
        <w:t>equally weighted</w:t>
      </w:r>
      <w:r w:rsidRPr="00734837">
        <w:rPr>
          <w:rFonts w:ascii="Times New Roman" w:hAnsi="Times New Roman" w:cs="Times New Roman"/>
          <w:sz w:val="24"/>
        </w:rPr>
        <w:t xml:space="preserve"> and minimum-variance portfolios.</w:t>
      </w:r>
    </w:p>
    <w:p w:rsidR="00AC0A64" w:rsidRPr="00734837" w:rsidRDefault="00E64C94" w:rsidP="00DB671E">
      <w:pPr>
        <w:spacing w:line="240" w:lineRule="auto"/>
        <w:jc w:val="both"/>
        <w:rPr>
          <w:rFonts w:ascii="Times New Roman" w:hAnsi="Times New Roman" w:cs="Times New Roman"/>
          <w:sz w:val="24"/>
        </w:rPr>
      </w:pPr>
      <w:r w:rsidRPr="00734837">
        <w:rPr>
          <w:rFonts w:ascii="Times New Roman" w:hAnsi="Times New Roman" w:cs="Times New Roman"/>
          <w:sz w:val="24"/>
        </w:rPr>
        <w:t>Investors who</w:t>
      </w:r>
      <w:r w:rsidR="00AF1FCA" w:rsidRPr="00734837">
        <w:rPr>
          <w:rFonts w:ascii="Times New Roman" w:hAnsi="Times New Roman" w:cs="Times New Roman"/>
          <w:sz w:val="24"/>
        </w:rPr>
        <w:t xml:space="preserve"> choose</w:t>
      </w:r>
      <w:r w:rsidR="00AC0A64" w:rsidRPr="00734837">
        <w:rPr>
          <w:rFonts w:ascii="Times New Roman" w:hAnsi="Times New Roman" w:cs="Times New Roman"/>
          <w:sz w:val="24"/>
        </w:rPr>
        <w:t xml:space="preserve"> a portfolio beyond the tangency portfolio </w:t>
      </w:r>
      <w:proofErr w:type="gramStart"/>
      <w:r w:rsidR="00AC0A64" w:rsidRPr="00734837">
        <w:rPr>
          <w:rFonts w:ascii="Times New Roman" w:hAnsi="Times New Roman" w:cs="Times New Roman"/>
          <w:sz w:val="24"/>
        </w:rPr>
        <w:t>would not be rewarded</w:t>
      </w:r>
      <w:proofErr w:type="gramEnd"/>
      <w:r w:rsidR="00AC0A64" w:rsidRPr="00734837">
        <w:rPr>
          <w:rFonts w:ascii="Times New Roman" w:hAnsi="Times New Roman" w:cs="Times New Roman"/>
          <w:sz w:val="24"/>
        </w:rPr>
        <w:t xml:space="preserve"> for the excessive risk taken. This is because the tangency portfolio is the optimum choice, in that, this portfolio gives the best risk-return trade-off investors can obtain (</w:t>
      </w:r>
      <w:proofErr w:type="spellStart"/>
      <w:r w:rsidR="00AC0A64" w:rsidRPr="00734837">
        <w:rPr>
          <w:rFonts w:ascii="Times New Roman" w:hAnsi="Times New Roman" w:cs="Times New Roman"/>
          <w:sz w:val="24"/>
        </w:rPr>
        <w:t>Tepla</w:t>
      </w:r>
      <w:proofErr w:type="spellEnd"/>
      <w:r w:rsidR="00AC0A64" w:rsidRPr="00734837">
        <w:rPr>
          <w:rFonts w:ascii="Times New Roman" w:hAnsi="Times New Roman" w:cs="Times New Roman"/>
          <w:sz w:val="24"/>
        </w:rPr>
        <w:t xml:space="preserve">, 2000). It is </w:t>
      </w:r>
      <w:proofErr w:type="spellStart"/>
      <w:r w:rsidR="00AC0A64" w:rsidRPr="00734837">
        <w:rPr>
          <w:rFonts w:ascii="Times New Roman" w:hAnsi="Times New Roman" w:cs="Times New Roman"/>
          <w:sz w:val="24"/>
        </w:rPr>
        <w:t>re</w:t>
      </w:r>
      <w:r w:rsidR="00AD1EB2" w:rsidRPr="00734837">
        <w:rPr>
          <w:rFonts w:ascii="Times New Roman" w:hAnsi="Times New Roman" w:cs="Times New Roman"/>
          <w:sz w:val="24"/>
        </w:rPr>
        <w:t>ali</w:t>
      </w:r>
      <w:r w:rsidR="00AC0A64" w:rsidRPr="00734837">
        <w:rPr>
          <w:rFonts w:ascii="Times New Roman" w:hAnsi="Times New Roman" w:cs="Times New Roman"/>
          <w:sz w:val="24"/>
        </w:rPr>
        <w:t>sed</w:t>
      </w:r>
      <w:proofErr w:type="spellEnd"/>
      <w:r w:rsidR="00AC0A64" w:rsidRPr="00734837">
        <w:rPr>
          <w:rFonts w:ascii="Times New Roman" w:hAnsi="Times New Roman" w:cs="Times New Roman"/>
          <w:sz w:val="24"/>
        </w:rPr>
        <w:t xml:space="preserve"> fr</w:t>
      </w:r>
      <w:r w:rsidRPr="00734837">
        <w:rPr>
          <w:rFonts w:ascii="Times New Roman" w:hAnsi="Times New Roman" w:cs="Times New Roman"/>
          <w:sz w:val="24"/>
        </w:rPr>
        <w:t>om Table 4</w:t>
      </w:r>
      <w:r w:rsidR="00AC0A64" w:rsidRPr="00734837">
        <w:rPr>
          <w:rFonts w:ascii="Times New Roman" w:hAnsi="Times New Roman" w:cs="Times New Roman"/>
          <w:sz w:val="24"/>
        </w:rPr>
        <w:t xml:space="preserve"> that, beyond the tangency portfolio</w:t>
      </w:r>
      <w:r w:rsidR="0018735C" w:rsidRPr="00734837">
        <w:rPr>
          <w:rFonts w:ascii="Times New Roman" w:hAnsi="Times New Roman" w:cs="Times New Roman"/>
          <w:sz w:val="24"/>
        </w:rPr>
        <w:t xml:space="preserve"> </w:t>
      </w:r>
      <w:r w:rsidR="00222DE6" w:rsidRPr="00734837">
        <w:rPr>
          <w:rFonts w:ascii="Times New Roman" w:hAnsi="Times New Roman" w:cs="Times New Roman"/>
          <w:sz w:val="24"/>
        </w:rPr>
        <w:t>(the</w:t>
      </w:r>
      <w:r w:rsidRPr="00734837">
        <w:rPr>
          <w:rFonts w:ascii="Times New Roman" w:hAnsi="Times New Roman" w:cs="Times New Roman"/>
          <w:sz w:val="24"/>
        </w:rPr>
        <w:t xml:space="preserve"> </w:t>
      </w:r>
      <w:proofErr w:type="spellStart"/>
      <w:r w:rsidRPr="00734837">
        <w:rPr>
          <w:rFonts w:ascii="Times New Roman" w:hAnsi="Times New Roman" w:cs="Times New Roman"/>
          <w:sz w:val="24"/>
        </w:rPr>
        <w:t>nineth</w:t>
      </w:r>
      <w:proofErr w:type="spellEnd"/>
      <w:r w:rsidRPr="00734837">
        <w:rPr>
          <w:rFonts w:ascii="Times New Roman" w:hAnsi="Times New Roman" w:cs="Times New Roman"/>
          <w:sz w:val="24"/>
        </w:rPr>
        <w:t xml:space="preserve"> column highli</w:t>
      </w:r>
      <w:r w:rsidR="00924095" w:rsidRPr="00734837">
        <w:rPr>
          <w:rFonts w:ascii="Times New Roman" w:hAnsi="Times New Roman" w:cs="Times New Roman"/>
          <w:sz w:val="24"/>
        </w:rPr>
        <w:t>gh</w:t>
      </w:r>
      <w:r w:rsidRPr="00734837">
        <w:rPr>
          <w:rFonts w:ascii="Times New Roman" w:hAnsi="Times New Roman" w:cs="Times New Roman"/>
          <w:sz w:val="24"/>
        </w:rPr>
        <w:t>ted</w:t>
      </w:r>
      <w:r w:rsidR="0018735C" w:rsidRPr="00734837">
        <w:rPr>
          <w:rFonts w:ascii="Times New Roman" w:hAnsi="Times New Roman" w:cs="Times New Roman"/>
          <w:sz w:val="24"/>
        </w:rPr>
        <w:t>)</w:t>
      </w:r>
      <w:r w:rsidR="00AC0A64" w:rsidRPr="00734837">
        <w:rPr>
          <w:rFonts w:ascii="Times New Roman" w:hAnsi="Times New Roman" w:cs="Times New Roman"/>
          <w:sz w:val="24"/>
        </w:rPr>
        <w:t xml:space="preserve">, </w:t>
      </w:r>
      <w:r w:rsidR="0018735C" w:rsidRPr="00734837">
        <w:rPr>
          <w:rFonts w:ascii="Times New Roman" w:hAnsi="Times New Roman" w:cs="Times New Roman"/>
          <w:sz w:val="24"/>
        </w:rPr>
        <w:t xml:space="preserve">the Sharpe ratio begins to fall. </w:t>
      </w:r>
    </w:p>
    <w:p w:rsidR="00C94E17" w:rsidRPr="00734837" w:rsidRDefault="00C94E17" w:rsidP="00DB671E">
      <w:pPr>
        <w:spacing w:after="0" w:line="240" w:lineRule="auto"/>
        <w:rPr>
          <w:rFonts w:ascii="Times New Roman" w:hAnsi="Times New Roman" w:cs="Times New Roman"/>
        </w:rPr>
      </w:pPr>
      <w:bookmarkStart w:id="8" w:name="_Toc423924974"/>
    </w:p>
    <w:p w:rsidR="00B0512B" w:rsidRPr="00734837" w:rsidRDefault="00211C49" w:rsidP="00211C49">
      <w:pPr>
        <w:pStyle w:val="Caption"/>
        <w:jc w:val="both"/>
        <w:rPr>
          <w:rFonts w:ascii="Times New Roman" w:hAnsi="Times New Roman"/>
          <w:i w:val="0"/>
          <w:noProof/>
          <w:color w:val="auto"/>
          <w:sz w:val="24"/>
          <w:szCs w:val="24"/>
        </w:rPr>
      </w:pPr>
      <w:r w:rsidRPr="00734837">
        <w:rPr>
          <w:rFonts w:ascii="Times New Roman" w:hAnsi="Times New Roman"/>
          <w:i w:val="0"/>
          <w:noProof/>
          <w:color w:val="000000" w:themeColor="text1"/>
          <w:sz w:val="24"/>
          <w:szCs w:val="24"/>
        </w:rPr>
        <w:t>In order to</w:t>
      </w:r>
      <w:r w:rsidRPr="00734837">
        <w:rPr>
          <w:rFonts w:ascii="Times New Roman" w:eastAsia="MacmillanRoman" w:hAnsi="Times New Roman"/>
          <w:i w:val="0"/>
          <w:color w:val="000000"/>
          <w:sz w:val="24"/>
          <w:szCs w:val="24"/>
        </w:rPr>
        <w:t xml:space="preserve"> determine if the optimization technique employed in the selection of the optimal portfolio can withstand any varia</w:t>
      </w:r>
      <w:r w:rsidR="0051535B" w:rsidRPr="00734837">
        <w:rPr>
          <w:rFonts w:ascii="Times New Roman" w:eastAsia="MacmillanRoman" w:hAnsi="Times New Roman"/>
          <w:i w:val="0"/>
          <w:color w:val="000000"/>
          <w:sz w:val="24"/>
          <w:szCs w:val="24"/>
        </w:rPr>
        <w:t xml:space="preserve">tions in stock returns that may come about </w:t>
      </w:r>
      <w:r w:rsidR="00222DE6" w:rsidRPr="00734837">
        <w:rPr>
          <w:rFonts w:ascii="Times New Roman" w:eastAsia="MacmillanRoman" w:hAnsi="Times New Roman"/>
          <w:i w:val="0"/>
          <w:color w:val="000000"/>
          <w:sz w:val="24"/>
          <w:szCs w:val="24"/>
        </w:rPr>
        <w:t>because</w:t>
      </w:r>
      <w:r w:rsidR="0051535B" w:rsidRPr="00734837">
        <w:rPr>
          <w:rFonts w:ascii="Times New Roman" w:eastAsia="MacmillanRoman" w:hAnsi="Times New Roman"/>
          <w:i w:val="0"/>
          <w:color w:val="000000"/>
          <w:sz w:val="24"/>
          <w:szCs w:val="24"/>
        </w:rPr>
        <w:t xml:space="preserve"> of different macroeconomic </w:t>
      </w:r>
      <w:r w:rsidR="00222DE6" w:rsidRPr="00734837">
        <w:rPr>
          <w:rFonts w:ascii="Times New Roman" w:eastAsia="MacmillanRoman" w:hAnsi="Times New Roman"/>
          <w:i w:val="0"/>
          <w:color w:val="000000"/>
          <w:sz w:val="24"/>
          <w:szCs w:val="24"/>
        </w:rPr>
        <w:t>shocks;</w:t>
      </w:r>
      <w:r w:rsidRPr="00734837">
        <w:rPr>
          <w:rFonts w:ascii="Times New Roman" w:eastAsia="MacmillanRoman" w:hAnsi="Times New Roman"/>
          <w:i w:val="0"/>
          <w:color w:val="000000"/>
          <w:sz w:val="24"/>
          <w:szCs w:val="24"/>
        </w:rPr>
        <w:t xml:space="preserve"> the</w:t>
      </w:r>
      <w:r w:rsidR="00222DE6" w:rsidRPr="00734837">
        <w:rPr>
          <w:rFonts w:ascii="Times New Roman" w:eastAsia="MacmillanRoman" w:hAnsi="Times New Roman"/>
          <w:i w:val="0"/>
          <w:color w:val="000000"/>
          <w:sz w:val="24"/>
          <w:szCs w:val="24"/>
        </w:rPr>
        <w:t xml:space="preserve"> bootstrapping algorithm is use</w:t>
      </w:r>
      <w:r w:rsidRPr="00734837">
        <w:rPr>
          <w:rFonts w:ascii="Times New Roman" w:eastAsia="MacmillanRoman" w:hAnsi="Times New Roman"/>
          <w:i w:val="0"/>
          <w:color w:val="000000"/>
          <w:sz w:val="24"/>
          <w:szCs w:val="24"/>
        </w:rPr>
        <w:t xml:space="preserve"> as a simulation technique</w:t>
      </w:r>
      <w:r w:rsidRPr="00734837">
        <w:rPr>
          <w:rFonts w:ascii="Times New Roman" w:hAnsi="Times New Roman"/>
          <w:i w:val="0"/>
          <w:noProof/>
          <w:color w:val="000000" w:themeColor="text1"/>
          <w:sz w:val="24"/>
          <w:szCs w:val="24"/>
        </w:rPr>
        <w:t xml:space="preserve">. The sample of stock prices for the eleven stock markets </w:t>
      </w:r>
      <w:r w:rsidR="00924095" w:rsidRPr="00734837">
        <w:rPr>
          <w:rFonts w:ascii="Times New Roman" w:hAnsi="Times New Roman"/>
          <w:i w:val="0"/>
          <w:noProof/>
          <w:color w:val="000000" w:themeColor="text1"/>
          <w:sz w:val="24"/>
          <w:szCs w:val="24"/>
        </w:rPr>
        <w:t>were</w:t>
      </w:r>
      <w:r w:rsidRPr="00734837">
        <w:rPr>
          <w:rFonts w:ascii="Times New Roman" w:hAnsi="Times New Roman"/>
          <w:i w:val="0"/>
          <w:noProof/>
          <w:color w:val="000000" w:themeColor="text1"/>
          <w:sz w:val="24"/>
          <w:szCs w:val="24"/>
        </w:rPr>
        <w:t xml:space="preserve"> bootstrapped 2000 times to obtain 2000 replicates of stock returns</w:t>
      </w:r>
      <w:r w:rsidR="00924095" w:rsidRPr="00734837">
        <w:rPr>
          <w:rFonts w:ascii="Times New Roman" w:hAnsi="Times New Roman"/>
          <w:i w:val="0"/>
          <w:noProof/>
          <w:color w:val="000000" w:themeColor="text1"/>
          <w:sz w:val="24"/>
          <w:szCs w:val="24"/>
        </w:rPr>
        <w:t xml:space="preserve"> for each country</w:t>
      </w:r>
      <w:r w:rsidRPr="00734837">
        <w:rPr>
          <w:rFonts w:ascii="Times New Roman" w:hAnsi="Times New Roman"/>
          <w:i w:val="0"/>
          <w:noProof/>
          <w:color w:val="000000" w:themeColor="text1"/>
          <w:sz w:val="24"/>
          <w:szCs w:val="24"/>
        </w:rPr>
        <w:t>. The means, standard deviations, bias estimates and the significances</w:t>
      </w:r>
      <w:r w:rsidR="0051535B" w:rsidRPr="00734837">
        <w:rPr>
          <w:rFonts w:ascii="Times New Roman" w:hAnsi="Times New Roman"/>
          <w:i w:val="0"/>
          <w:noProof/>
          <w:color w:val="000000" w:themeColor="text1"/>
          <w:sz w:val="24"/>
          <w:szCs w:val="24"/>
        </w:rPr>
        <w:t xml:space="preserve"> of the biases are shown in T</w:t>
      </w:r>
      <w:r w:rsidRPr="00734837">
        <w:rPr>
          <w:rFonts w:ascii="Times New Roman" w:hAnsi="Times New Roman"/>
          <w:i w:val="0"/>
          <w:noProof/>
          <w:color w:val="000000" w:themeColor="text1"/>
          <w:sz w:val="24"/>
          <w:szCs w:val="24"/>
        </w:rPr>
        <w:t>able</w:t>
      </w:r>
      <w:r w:rsidR="00B0512B" w:rsidRPr="00734837">
        <w:rPr>
          <w:rFonts w:ascii="Times New Roman" w:hAnsi="Times New Roman"/>
          <w:i w:val="0"/>
          <w:noProof/>
          <w:color w:val="000000" w:themeColor="text1"/>
          <w:sz w:val="24"/>
          <w:szCs w:val="24"/>
        </w:rPr>
        <w:t xml:space="preserve"> 5 panels A, B and C. </w:t>
      </w:r>
      <w:r w:rsidR="00B0512B" w:rsidRPr="00734837">
        <w:rPr>
          <w:rFonts w:ascii="Times New Roman" w:hAnsi="Times New Roman"/>
          <w:i w:val="0"/>
          <w:noProof/>
          <w:color w:val="auto"/>
          <w:sz w:val="24"/>
          <w:szCs w:val="24"/>
        </w:rPr>
        <w:t>The means and standard deviations for bootstra</w:t>
      </w:r>
      <w:r w:rsidR="005A7D1D" w:rsidRPr="00734837">
        <w:rPr>
          <w:rFonts w:ascii="Times New Roman" w:hAnsi="Times New Roman"/>
          <w:i w:val="0"/>
          <w:noProof/>
          <w:color w:val="auto"/>
          <w:sz w:val="24"/>
          <w:szCs w:val="24"/>
        </w:rPr>
        <w:t>pped estimates are also reported in Table 5 panel A, B, and C</w:t>
      </w:r>
      <w:r w:rsidR="00B0512B" w:rsidRPr="00734837">
        <w:rPr>
          <w:rFonts w:ascii="Times New Roman" w:hAnsi="Times New Roman"/>
          <w:i w:val="0"/>
          <w:noProof/>
          <w:color w:val="auto"/>
          <w:sz w:val="24"/>
          <w:szCs w:val="24"/>
        </w:rPr>
        <w:t xml:space="preserve">. These are used as inputs in computing the </w:t>
      </w:r>
      <w:r w:rsidR="003278A6" w:rsidRPr="00734837">
        <w:rPr>
          <w:rFonts w:ascii="Times New Roman" w:hAnsi="Times New Roman"/>
          <w:i w:val="0"/>
          <w:noProof/>
          <w:color w:val="auto"/>
          <w:sz w:val="24"/>
          <w:szCs w:val="24"/>
        </w:rPr>
        <w:t xml:space="preserve">biases. The biases reported in Table panels A, B and C </w:t>
      </w:r>
      <w:r w:rsidR="00B0512B" w:rsidRPr="00734837">
        <w:rPr>
          <w:rFonts w:ascii="Times New Roman" w:hAnsi="Times New Roman"/>
          <w:i w:val="0"/>
          <w:noProof/>
          <w:color w:val="auto"/>
          <w:sz w:val="24"/>
          <w:szCs w:val="24"/>
        </w:rPr>
        <w:t xml:space="preserve"> indicates the deviations of the various bootstrapped estimates from the actual estimates computed using the original sample. These biases were then tested to determine if they were significant.</w:t>
      </w:r>
    </w:p>
    <w:p w:rsidR="00211C49" w:rsidRPr="00734837" w:rsidRDefault="00211C49" w:rsidP="00211C49">
      <w:pPr>
        <w:pStyle w:val="Caption"/>
        <w:jc w:val="both"/>
        <w:rPr>
          <w:rFonts w:ascii="Times New Roman" w:hAnsi="Times New Roman"/>
          <w:i w:val="0"/>
          <w:noProof/>
          <w:color w:val="000000" w:themeColor="text1"/>
          <w:sz w:val="24"/>
          <w:szCs w:val="24"/>
        </w:rPr>
      </w:pPr>
      <w:r w:rsidRPr="00734837">
        <w:rPr>
          <w:rFonts w:ascii="Times New Roman" w:hAnsi="Times New Roman"/>
          <w:i w:val="0"/>
          <w:noProof/>
          <w:color w:val="000000" w:themeColor="text1"/>
          <w:sz w:val="24"/>
          <w:szCs w:val="24"/>
        </w:rPr>
        <w:t xml:space="preserve"> </w:t>
      </w:r>
    </w:p>
    <w:p w:rsidR="00211C49" w:rsidRPr="00734837" w:rsidRDefault="00211C49" w:rsidP="00DB671E">
      <w:pPr>
        <w:spacing w:after="0" w:line="240" w:lineRule="auto"/>
        <w:rPr>
          <w:rFonts w:ascii="Times New Roman" w:hAnsi="Times New Roman" w:cs="Times New Roman"/>
          <w:b/>
          <w:sz w:val="24"/>
          <w:szCs w:val="24"/>
        </w:rPr>
        <w:sectPr w:rsidR="00211C49" w:rsidRPr="00734837" w:rsidSect="00034AAD">
          <w:footerReference w:type="default" r:id="rId55"/>
          <w:pgSz w:w="12240" w:h="15840"/>
          <w:pgMar w:top="1440" w:right="1440" w:bottom="1440" w:left="1440" w:header="720" w:footer="720" w:gutter="0"/>
          <w:cols w:space="720"/>
          <w:docGrid w:linePitch="360"/>
        </w:sectPr>
      </w:pPr>
    </w:p>
    <w:tbl>
      <w:tblPr>
        <w:tblW w:w="12763" w:type="dxa"/>
        <w:jc w:val="center"/>
        <w:tblLook w:val="04A0" w:firstRow="1" w:lastRow="0" w:firstColumn="1" w:lastColumn="0" w:noHBand="0" w:noVBand="1"/>
      </w:tblPr>
      <w:tblGrid>
        <w:gridCol w:w="1458"/>
        <w:gridCol w:w="928"/>
        <w:gridCol w:w="1008"/>
        <w:gridCol w:w="928"/>
        <w:gridCol w:w="928"/>
        <w:gridCol w:w="928"/>
        <w:gridCol w:w="960"/>
        <w:gridCol w:w="984"/>
        <w:gridCol w:w="928"/>
        <w:gridCol w:w="928"/>
        <w:gridCol w:w="928"/>
        <w:gridCol w:w="928"/>
        <w:gridCol w:w="929"/>
      </w:tblGrid>
      <w:tr w:rsidR="00AC0A64" w:rsidRPr="00734837" w:rsidTr="00211C49">
        <w:trPr>
          <w:trHeight w:val="348"/>
          <w:jc w:val="center"/>
        </w:trPr>
        <w:tc>
          <w:tcPr>
            <w:tcW w:w="12763" w:type="dxa"/>
            <w:gridSpan w:val="13"/>
            <w:tcBorders>
              <w:left w:val="nil"/>
              <w:bottom w:val="nil"/>
              <w:right w:val="nil"/>
            </w:tcBorders>
            <w:shd w:val="clear" w:color="auto" w:fill="auto"/>
            <w:noWrap/>
            <w:vAlign w:val="bottom"/>
          </w:tcPr>
          <w:p w:rsidR="005D7CB0" w:rsidRPr="00734837" w:rsidRDefault="005D7CB0" w:rsidP="00DB671E">
            <w:pPr>
              <w:spacing w:after="0" w:line="240" w:lineRule="auto"/>
              <w:rPr>
                <w:rFonts w:ascii="Times New Roman" w:hAnsi="Times New Roman" w:cs="Times New Roman"/>
                <w:b/>
                <w:sz w:val="24"/>
                <w:szCs w:val="24"/>
              </w:rPr>
            </w:pPr>
          </w:p>
          <w:p w:rsidR="005D7CB0" w:rsidRPr="00734837" w:rsidRDefault="005D7CB0" w:rsidP="00DB671E">
            <w:pPr>
              <w:spacing w:after="0" w:line="240" w:lineRule="auto"/>
              <w:rPr>
                <w:rFonts w:ascii="Times New Roman" w:hAnsi="Times New Roman" w:cs="Times New Roman"/>
                <w:b/>
                <w:sz w:val="24"/>
                <w:szCs w:val="24"/>
              </w:rPr>
            </w:pPr>
          </w:p>
          <w:p w:rsidR="005D7CB0" w:rsidRPr="00734837" w:rsidRDefault="005D7CB0" w:rsidP="00DB671E">
            <w:pPr>
              <w:spacing w:after="0" w:line="240" w:lineRule="auto"/>
              <w:rPr>
                <w:rFonts w:ascii="Times New Roman" w:hAnsi="Times New Roman" w:cs="Times New Roman"/>
                <w:b/>
                <w:sz w:val="24"/>
                <w:szCs w:val="24"/>
              </w:rPr>
            </w:pPr>
          </w:p>
          <w:p w:rsidR="005D7CB0" w:rsidRPr="00734837" w:rsidRDefault="005D7CB0" w:rsidP="00DB671E">
            <w:pPr>
              <w:spacing w:after="0" w:line="240" w:lineRule="auto"/>
              <w:rPr>
                <w:rFonts w:ascii="Times New Roman" w:hAnsi="Times New Roman" w:cs="Times New Roman"/>
                <w:b/>
                <w:sz w:val="24"/>
                <w:szCs w:val="24"/>
              </w:rPr>
            </w:pPr>
          </w:p>
          <w:p w:rsidR="00AC0A64" w:rsidRPr="00734837" w:rsidRDefault="00AC0A64" w:rsidP="0055144D">
            <w:pPr>
              <w:spacing w:after="0" w:line="240" w:lineRule="auto"/>
              <w:rPr>
                <w:rFonts w:ascii="Times New Roman" w:eastAsia="Times New Roman" w:hAnsi="Times New Roman" w:cs="Times New Roman"/>
                <w:color w:val="000000"/>
                <w:sz w:val="20"/>
                <w:szCs w:val="20"/>
              </w:rPr>
            </w:pPr>
            <w:r w:rsidRPr="00734837">
              <w:rPr>
                <w:rFonts w:ascii="Times New Roman" w:hAnsi="Times New Roman" w:cs="Times New Roman"/>
                <w:b/>
                <w:sz w:val="24"/>
                <w:szCs w:val="24"/>
              </w:rPr>
              <w:t>Table</w:t>
            </w:r>
            <w:r w:rsidR="0055144D" w:rsidRPr="00734837">
              <w:rPr>
                <w:rFonts w:ascii="Times New Roman" w:hAnsi="Times New Roman" w:cs="Times New Roman"/>
                <w:b/>
                <w:sz w:val="24"/>
                <w:szCs w:val="24"/>
              </w:rPr>
              <w:t xml:space="preserve"> 4</w:t>
            </w:r>
            <w:r w:rsidRPr="00734837">
              <w:rPr>
                <w:rFonts w:ascii="Times New Roman" w:hAnsi="Times New Roman" w:cs="Times New Roman"/>
                <w:b/>
                <w:color w:val="000000" w:themeColor="text1"/>
                <w:sz w:val="24"/>
                <w:szCs w:val="24"/>
              </w:rPr>
              <w:t xml:space="preserve">: </w:t>
            </w:r>
            <w:r w:rsidR="0072367F" w:rsidRPr="00734837">
              <w:rPr>
                <w:rFonts w:ascii="Times New Roman" w:eastAsia="Times New Roman" w:hAnsi="Times New Roman" w:cs="Times New Roman"/>
                <w:b/>
                <w:color w:val="000000" w:themeColor="text1"/>
                <w:sz w:val="24"/>
                <w:szCs w:val="24"/>
              </w:rPr>
              <w:t>The Expected Returns, R</w:t>
            </w:r>
            <w:r w:rsidRPr="00734837">
              <w:rPr>
                <w:rFonts w:ascii="Times New Roman" w:eastAsia="Times New Roman" w:hAnsi="Times New Roman" w:cs="Times New Roman"/>
                <w:b/>
                <w:color w:val="000000" w:themeColor="text1"/>
                <w:sz w:val="24"/>
                <w:szCs w:val="24"/>
              </w:rPr>
              <w:t>isks, Sharpe rat</w:t>
            </w:r>
            <w:r w:rsidR="0072367F" w:rsidRPr="00734837">
              <w:rPr>
                <w:rFonts w:ascii="Times New Roman" w:eastAsia="Times New Roman" w:hAnsi="Times New Roman" w:cs="Times New Roman"/>
                <w:b/>
                <w:color w:val="000000" w:themeColor="text1"/>
                <w:sz w:val="24"/>
                <w:szCs w:val="24"/>
              </w:rPr>
              <w:t>ios and Weights Allocated to a given Portfolio on the Efficient F</w:t>
            </w:r>
            <w:r w:rsidRPr="00734837">
              <w:rPr>
                <w:rFonts w:ascii="Times New Roman" w:eastAsia="Times New Roman" w:hAnsi="Times New Roman" w:cs="Times New Roman"/>
                <w:b/>
                <w:color w:val="000000" w:themeColor="text1"/>
                <w:sz w:val="24"/>
                <w:szCs w:val="24"/>
              </w:rPr>
              <w:t>rontier</w:t>
            </w:r>
            <w:bookmarkEnd w:id="8"/>
          </w:p>
        </w:tc>
      </w:tr>
      <w:tr w:rsidR="00AC0A64" w:rsidRPr="00734837" w:rsidTr="00211C49">
        <w:trPr>
          <w:trHeight w:val="348"/>
          <w:jc w:val="center"/>
        </w:trPr>
        <w:tc>
          <w:tcPr>
            <w:tcW w:w="145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ER</w:t>
            </w:r>
          </w:p>
        </w:tc>
        <w:tc>
          <w:tcPr>
            <w:tcW w:w="928" w:type="dxa"/>
            <w:tcBorders>
              <w:top w:val="single" w:sz="4" w:space="0" w:color="auto"/>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0.0652</w:t>
            </w:r>
          </w:p>
        </w:tc>
        <w:tc>
          <w:tcPr>
            <w:tcW w:w="100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0.0711</w:t>
            </w:r>
          </w:p>
        </w:tc>
        <w:tc>
          <w:tcPr>
            <w:tcW w:w="92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0.0769</w:t>
            </w:r>
          </w:p>
        </w:tc>
        <w:tc>
          <w:tcPr>
            <w:tcW w:w="92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0.0828</w:t>
            </w:r>
          </w:p>
        </w:tc>
        <w:tc>
          <w:tcPr>
            <w:tcW w:w="92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0.1062</w:t>
            </w:r>
          </w:p>
        </w:tc>
        <w:tc>
          <w:tcPr>
            <w:tcW w:w="960"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0.1121</w:t>
            </w:r>
          </w:p>
        </w:tc>
        <w:tc>
          <w:tcPr>
            <w:tcW w:w="984"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0.1296</w:t>
            </w:r>
          </w:p>
        </w:tc>
        <w:tc>
          <w:tcPr>
            <w:tcW w:w="928" w:type="dxa"/>
            <w:tcBorders>
              <w:top w:val="single" w:sz="4" w:space="0" w:color="auto"/>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0.1338</w:t>
            </w:r>
          </w:p>
        </w:tc>
        <w:tc>
          <w:tcPr>
            <w:tcW w:w="92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0.1355</w:t>
            </w:r>
          </w:p>
        </w:tc>
        <w:tc>
          <w:tcPr>
            <w:tcW w:w="92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0.1413</w:t>
            </w:r>
          </w:p>
        </w:tc>
        <w:tc>
          <w:tcPr>
            <w:tcW w:w="928"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0.1530</w:t>
            </w:r>
          </w:p>
        </w:tc>
        <w:tc>
          <w:tcPr>
            <w:tcW w:w="929"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0.1647</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SD</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2F6B71"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0.0998</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0.1002</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0.1013</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0.1030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0.1147</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0.1186</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0.1326</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0.1367</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0.1384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0.1450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0.1605</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0.1827</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SR</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7653FE"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0.6536</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0.7092</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0.7592</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0.8036</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0.9261</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0.9445</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0.9773</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0.9788</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0.9786</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0.9745</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0.9535</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0.9014</w:t>
            </w:r>
          </w:p>
        </w:tc>
      </w:tr>
      <w:tr w:rsidR="00AC0A64" w:rsidRPr="00734837" w:rsidTr="00211C49">
        <w:trPr>
          <w:trHeight w:val="348"/>
          <w:jc w:val="center"/>
        </w:trPr>
        <w:tc>
          <w:tcPr>
            <w:tcW w:w="12763" w:type="dxa"/>
            <w:gridSpan w:val="13"/>
            <w:tcBorders>
              <w:top w:val="nil"/>
              <w:left w:val="nil"/>
              <w:bottom w:val="nil"/>
              <w:right w:val="nil"/>
            </w:tcBorders>
            <w:shd w:val="clear" w:color="auto" w:fill="auto"/>
            <w:noWrap/>
            <w:vAlign w:val="bottom"/>
          </w:tcPr>
          <w:p w:rsidR="00AC0A64" w:rsidRPr="00734837" w:rsidRDefault="00C94E17" w:rsidP="00DB671E">
            <w:pPr>
              <w:spacing w:after="0" w:line="240" w:lineRule="auto"/>
              <w:rPr>
                <w:rFonts w:ascii="Times New Roman" w:eastAsia="Times New Roman" w:hAnsi="Times New Roman" w:cs="Times New Roman"/>
                <w:color w:val="000000"/>
                <w:sz w:val="20"/>
                <w:szCs w:val="20"/>
              </w:rPr>
            </w:pPr>
            <w:r w:rsidRPr="00734837">
              <w:rPr>
                <w:rFonts w:ascii="Times New Roman" w:eastAsia="Times New Roman" w:hAnsi="Times New Roman" w:cs="Times New Roman"/>
                <w:b/>
                <w:color w:val="000000"/>
                <w:sz w:val="24"/>
                <w:szCs w:val="24"/>
              </w:rPr>
              <w:t>Weights Allocated</w:t>
            </w:r>
            <w:r w:rsidR="00332B81" w:rsidRPr="00734837">
              <w:rPr>
                <w:rFonts w:ascii="Times New Roman" w:eastAsia="Times New Roman" w:hAnsi="Times New Roman" w:cs="Times New Roman"/>
                <w:b/>
                <w:color w:val="000000"/>
                <w:sz w:val="24"/>
                <w:szCs w:val="24"/>
              </w:rPr>
              <w:t xml:space="preserve"> to each C</w:t>
            </w:r>
            <w:r w:rsidR="00AC0A64" w:rsidRPr="00734837">
              <w:rPr>
                <w:rFonts w:ascii="Times New Roman" w:eastAsia="Times New Roman" w:hAnsi="Times New Roman" w:cs="Times New Roman"/>
                <w:b/>
                <w:color w:val="000000"/>
                <w:sz w:val="24"/>
                <w:szCs w:val="24"/>
              </w:rPr>
              <w:t>ountry</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Botswana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0.1264</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0.1354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0.1411</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0.1454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0.1626</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0.1669</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0.1738</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0.1649</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0.1607</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0.1457</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0.0950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Namibia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0.1143</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0.1117</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0.1075</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0.1022</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0.0812</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0.0760</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0.0511</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0.0338</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0.0265</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0.0009</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Morocco</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0.1941</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0.2020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0.2018</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0.2012</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0.2011</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0.1845</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0.1638</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0.1548</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0.1230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0.0254</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Tunisia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0.2586</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0.2307</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0.2056</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0.1825</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0.0901</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0.0669</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Ghana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0.1634</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0.1445</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0.1274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0.1109</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0.0451</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0.0287</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Nigeria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0.0173</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0.0175</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0.0168</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0.0159</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0.0124</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0.0115</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0.0056</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0.0003</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Kenya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0.0046</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0.0161</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0.0620</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0.0735</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0.1126</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0.1262</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0.1317</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0.1510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0.1901</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0.1752</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Mauritius</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Zambia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0.0876</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0.1284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0.1453</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0.2128</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0.2297</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0.2863</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0.3054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0.3130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0.3394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0.3946</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0.5628</w:t>
            </w:r>
          </w:p>
        </w:tc>
      </w:tr>
      <w:tr w:rsidR="00AC0A64" w:rsidRPr="00734837" w:rsidTr="00211C49">
        <w:trPr>
          <w:trHeight w:val="348"/>
          <w:jc w:val="center"/>
        </w:trPr>
        <w:tc>
          <w:tcPr>
            <w:tcW w:w="1458" w:type="dxa"/>
            <w:tcBorders>
              <w:top w:val="nil"/>
              <w:left w:val="nil"/>
              <w:bottom w:val="nil"/>
              <w:right w:val="nil"/>
            </w:tcBorders>
            <w:shd w:val="clear" w:color="auto" w:fill="auto"/>
            <w:noWrap/>
            <w:vAlign w:val="bottom"/>
            <w:hideMark/>
          </w:tcPr>
          <w:p w:rsidR="00AC0A64" w:rsidRPr="00734837" w:rsidRDefault="00762B36"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SA</w:t>
            </w:r>
          </w:p>
        </w:tc>
        <w:tc>
          <w:tcPr>
            <w:tcW w:w="928" w:type="dxa"/>
            <w:tcBorders>
              <w:top w:val="nil"/>
              <w:left w:val="nil"/>
              <w:bottom w:val="nil"/>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0.0383</w:t>
            </w:r>
          </w:p>
        </w:tc>
        <w:tc>
          <w:tcPr>
            <w:tcW w:w="100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0.0359</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0.0336</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0.0304</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0.0180</w:t>
            </w:r>
          </w:p>
        </w:tc>
        <w:tc>
          <w:tcPr>
            <w:tcW w:w="9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0.0149</w:t>
            </w:r>
          </w:p>
        </w:tc>
        <w:tc>
          <w:tcPr>
            <w:tcW w:w="984"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8"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c>
          <w:tcPr>
            <w:tcW w:w="929"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0.0000</w:t>
            </w:r>
          </w:p>
        </w:tc>
      </w:tr>
      <w:tr w:rsidR="00AC0A64" w:rsidRPr="00734837" w:rsidTr="00211C49">
        <w:trPr>
          <w:trHeight w:val="348"/>
          <w:jc w:val="center"/>
        </w:trPr>
        <w:tc>
          <w:tcPr>
            <w:tcW w:w="145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0"/>
                <w:szCs w:val="20"/>
              </w:rPr>
            </w:pPr>
            <w:r w:rsidRPr="00734837">
              <w:rPr>
                <w:rFonts w:ascii="Times New Roman" w:eastAsia="Times New Roman" w:hAnsi="Times New Roman" w:cs="Times New Roman"/>
                <w:b/>
                <w:color w:val="000000"/>
                <w:sz w:val="20"/>
                <w:szCs w:val="20"/>
              </w:rPr>
              <w:t>CD</w:t>
            </w:r>
          </w:p>
        </w:tc>
        <w:tc>
          <w:tcPr>
            <w:tcW w:w="928" w:type="dxa"/>
            <w:tcBorders>
              <w:top w:val="nil"/>
              <w:left w:val="nil"/>
              <w:bottom w:val="single" w:sz="4" w:space="0" w:color="auto"/>
              <w:right w:val="nil"/>
            </w:tcBorders>
            <w:shd w:val="clear" w:color="auto" w:fill="DDD9C3" w:themeFill="background2" w:themeFillShade="E6"/>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0.0000</w:t>
            </w:r>
          </w:p>
        </w:tc>
        <w:tc>
          <w:tcPr>
            <w:tcW w:w="100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0.0142</w:t>
            </w:r>
          </w:p>
        </w:tc>
        <w:tc>
          <w:tcPr>
            <w:tcW w:w="92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0.0331</w:t>
            </w:r>
          </w:p>
        </w:tc>
        <w:tc>
          <w:tcPr>
            <w:tcW w:w="92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0.0494</w:t>
            </w:r>
          </w:p>
        </w:tc>
        <w:tc>
          <w:tcPr>
            <w:tcW w:w="92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0.1146</w:t>
            </w:r>
          </w:p>
        </w:tc>
        <w:tc>
          <w:tcPr>
            <w:tcW w:w="96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0.1309</w:t>
            </w:r>
          </w:p>
        </w:tc>
        <w:tc>
          <w:tcPr>
            <w:tcW w:w="984"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0.1861</w:t>
            </w:r>
          </w:p>
        </w:tc>
        <w:tc>
          <w:tcPr>
            <w:tcW w:w="928" w:type="dxa"/>
            <w:tcBorders>
              <w:top w:val="nil"/>
              <w:left w:val="nil"/>
              <w:bottom w:val="single" w:sz="4" w:space="0" w:color="auto"/>
              <w:right w:val="nil"/>
            </w:tcBorders>
            <w:shd w:val="clear" w:color="auto" w:fill="948A54" w:themeFill="background2" w:themeFillShade="80"/>
            <w:noWrap/>
            <w:vAlign w:val="bottom"/>
            <w:hideMark/>
          </w:tcPr>
          <w:p w:rsidR="00AC0A64" w:rsidRPr="00734837" w:rsidRDefault="00AC0A64" w:rsidP="00DB671E">
            <w:pPr>
              <w:spacing w:after="0" w:line="240" w:lineRule="auto"/>
              <w:jc w:val="right"/>
              <w:rPr>
                <w:rFonts w:ascii="Times New Roman" w:eastAsia="Times New Roman" w:hAnsi="Times New Roman" w:cs="Times New Roman"/>
                <w:sz w:val="20"/>
                <w:szCs w:val="20"/>
              </w:rPr>
            </w:pPr>
            <w:r w:rsidRPr="00734837">
              <w:rPr>
                <w:rFonts w:ascii="Times New Roman" w:eastAsia="Times New Roman" w:hAnsi="Times New Roman" w:cs="Times New Roman"/>
                <w:sz w:val="20"/>
                <w:szCs w:val="20"/>
              </w:rPr>
              <w:t>0.2057</w:t>
            </w:r>
          </w:p>
        </w:tc>
        <w:tc>
          <w:tcPr>
            <w:tcW w:w="92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0.2133</w:t>
            </w:r>
          </w:p>
        </w:tc>
        <w:tc>
          <w:tcPr>
            <w:tcW w:w="92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0.2400</w:t>
            </w:r>
          </w:p>
        </w:tc>
        <w:tc>
          <w:tcPr>
            <w:tcW w:w="928"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0.2948</w:t>
            </w:r>
          </w:p>
        </w:tc>
        <w:tc>
          <w:tcPr>
            <w:tcW w:w="929"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right"/>
              <w:rPr>
                <w:rFonts w:ascii="Times New Roman" w:eastAsia="Times New Roman" w:hAnsi="Times New Roman" w:cs="Times New Roman"/>
                <w:color w:val="000000"/>
                <w:sz w:val="20"/>
                <w:szCs w:val="20"/>
              </w:rPr>
            </w:pPr>
            <w:r w:rsidRPr="00734837">
              <w:rPr>
                <w:rFonts w:ascii="Times New Roman" w:eastAsia="Times New Roman" w:hAnsi="Times New Roman" w:cs="Times New Roman"/>
                <w:color w:val="000000"/>
                <w:sz w:val="20"/>
                <w:szCs w:val="20"/>
              </w:rPr>
              <w:t>0.2620</w:t>
            </w:r>
          </w:p>
        </w:tc>
      </w:tr>
    </w:tbl>
    <w:p w:rsidR="00C94E17" w:rsidRPr="00734837" w:rsidRDefault="00C94E17" w:rsidP="00C94E17">
      <w:pPr>
        <w:spacing w:line="240" w:lineRule="auto"/>
        <w:jc w:val="both"/>
        <w:rPr>
          <w:rFonts w:ascii="Times New Roman" w:hAnsi="Times New Roman" w:cs="Times New Roman"/>
          <w:noProof/>
          <w:sz w:val="24"/>
          <w:szCs w:val="24"/>
        </w:rPr>
      </w:pPr>
      <w:r w:rsidRPr="00734837">
        <w:rPr>
          <w:rFonts w:ascii="Times New Roman" w:hAnsi="Times New Roman" w:cs="Times New Roman"/>
          <w:sz w:val="24"/>
        </w:rPr>
        <w:t xml:space="preserve">*ER-Expected return, SD-Standard deviation and SR-Sharpe ratio                 </w:t>
      </w:r>
    </w:p>
    <w:p w:rsidR="00C94E17" w:rsidRPr="00734837" w:rsidRDefault="00C94E17" w:rsidP="00DB671E">
      <w:pPr>
        <w:spacing w:line="240" w:lineRule="auto"/>
        <w:jc w:val="both"/>
        <w:rPr>
          <w:rFonts w:ascii="Times New Roman" w:hAnsi="Times New Roman" w:cs="Times New Roman"/>
          <w:sz w:val="24"/>
        </w:rPr>
        <w:sectPr w:rsidR="00C94E17" w:rsidRPr="00734837" w:rsidSect="006E3E8E">
          <w:pgSz w:w="15840" w:h="12240" w:orient="landscape"/>
          <w:pgMar w:top="1440" w:right="1440" w:bottom="1440" w:left="1440" w:header="720" w:footer="720" w:gutter="0"/>
          <w:cols w:space="720"/>
          <w:docGrid w:linePitch="360"/>
        </w:sectPr>
      </w:pPr>
    </w:p>
    <w:p w:rsidR="00AC0A64" w:rsidRPr="00734837" w:rsidRDefault="00AC0A64" w:rsidP="00DB671E">
      <w:pPr>
        <w:spacing w:line="240" w:lineRule="auto"/>
        <w:rPr>
          <w:rFonts w:ascii="Times New Roman" w:hAnsi="Times New Roman" w:cs="Times New Roman"/>
        </w:rPr>
      </w:pPr>
    </w:p>
    <w:tbl>
      <w:tblPr>
        <w:tblW w:w="7848" w:type="dxa"/>
        <w:jc w:val="center"/>
        <w:tblLook w:val="04A0" w:firstRow="1" w:lastRow="0" w:firstColumn="1" w:lastColumn="0" w:noHBand="0" w:noVBand="1"/>
      </w:tblPr>
      <w:tblGrid>
        <w:gridCol w:w="2220"/>
        <w:gridCol w:w="1340"/>
        <w:gridCol w:w="1360"/>
        <w:gridCol w:w="1340"/>
        <w:gridCol w:w="1588"/>
      </w:tblGrid>
      <w:tr w:rsidR="00AC0A64" w:rsidRPr="00734837" w:rsidTr="00B0512B">
        <w:trPr>
          <w:trHeight w:val="310"/>
          <w:jc w:val="center"/>
        </w:trPr>
        <w:tc>
          <w:tcPr>
            <w:tcW w:w="7848" w:type="dxa"/>
            <w:gridSpan w:val="5"/>
            <w:tcBorders>
              <w:left w:val="nil"/>
              <w:bottom w:val="single" w:sz="4" w:space="0" w:color="auto"/>
              <w:right w:val="nil"/>
            </w:tcBorders>
            <w:shd w:val="clear" w:color="auto" w:fill="auto"/>
            <w:noWrap/>
            <w:vAlign w:val="bottom"/>
          </w:tcPr>
          <w:p w:rsidR="0051535B" w:rsidRPr="00734837" w:rsidRDefault="00AC0A64" w:rsidP="00B0512B">
            <w:pPr>
              <w:spacing w:after="0" w:line="240" w:lineRule="auto"/>
              <w:jc w:val="center"/>
              <w:rPr>
                <w:rFonts w:ascii="Times New Roman" w:eastAsia="Times New Roman" w:hAnsi="Times New Roman" w:cs="Times New Roman"/>
                <w:b/>
                <w:bCs/>
                <w:color w:val="000000" w:themeColor="text1"/>
                <w:sz w:val="24"/>
                <w:szCs w:val="24"/>
              </w:rPr>
            </w:pPr>
            <w:bookmarkStart w:id="9" w:name="_Toc423924975"/>
            <w:r w:rsidRPr="00734837">
              <w:rPr>
                <w:rFonts w:ascii="Times New Roman" w:hAnsi="Times New Roman" w:cs="Times New Roman"/>
                <w:b/>
                <w:sz w:val="24"/>
                <w:szCs w:val="24"/>
              </w:rPr>
              <w:t>Table</w:t>
            </w:r>
            <w:r w:rsidR="0051535B" w:rsidRPr="00734837">
              <w:rPr>
                <w:rFonts w:ascii="Times New Roman" w:hAnsi="Times New Roman" w:cs="Times New Roman"/>
                <w:b/>
                <w:sz w:val="24"/>
                <w:szCs w:val="24"/>
              </w:rPr>
              <w:t xml:space="preserve"> 5</w:t>
            </w:r>
          </w:p>
          <w:p w:rsidR="00B0512B" w:rsidRPr="00734837" w:rsidRDefault="00B0512B" w:rsidP="00B0512B">
            <w:pPr>
              <w:spacing w:after="0" w:line="240" w:lineRule="auto"/>
              <w:rPr>
                <w:rFonts w:ascii="Times New Roman" w:eastAsia="Times New Roman" w:hAnsi="Times New Roman" w:cs="Times New Roman"/>
                <w:b/>
                <w:bCs/>
                <w:color w:val="000000" w:themeColor="text1"/>
                <w:sz w:val="24"/>
                <w:szCs w:val="24"/>
              </w:rPr>
            </w:pPr>
          </w:p>
          <w:p w:rsidR="0051535B" w:rsidRPr="00734837" w:rsidRDefault="0051535B" w:rsidP="0051535B">
            <w:pPr>
              <w:spacing w:after="0" w:line="240" w:lineRule="auto"/>
              <w:rPr>
                <w:rFonts w:ascii="Times New Roman" w:eastAsia="Times New Roman" w:hAnsi="Times New Roman" w:cs="Times New Roman"/>
                <w:b/>
                <w:bCs/>
                <w:color w:val="000000" w:themeColor="text1"/>
                <w:sz w:val="24"/>
                <w:szCs w:val="24"/>
              </w:rPr>
            </w:pPr>
            <w:r w:rsidRPr="00734837">
              <w:rPr>
                <w:rFonts w:ascii="Times New Roman" w:eastAsia="Times New Roman" w:hAnsi="Times New Roman" w:cs="Times New Roman"/>
                <w:b/>
                <w:bCs/>
                <w:color w:val="000000" w:themeColor="text1"/>
                <w:sz w:val="24"/>
                <w:szCs w:val="24"/>
              </w:rPr>
              <w:t xml:space="preserve">Panel A: </w:t>
            </w:r>
            <w:r w:rsidR="0003715B" w:rsidRPr="00734837">
              <w:rPr>
                <w:rFonts w:ascii="Times New Roman" w:eastAsia="Times New Roman" w:hAnsi="Times New Roman" w:cs="Times New Roman"/>
                <w:b/>
                <w:bCs/>
                <w:color w:val="000000" w:themeColor="text1"/>
                <w:sz w:val="24"/>
                <w:szCs w:val="24"/>
              </w:rPr>
              <w:t>The bootstrapped Estimates of the Equally-Weighted P</w:t>
            </w:r>
            <w:r w:rsidR="00AC0A64" w:rsidRPr="00734837">
              <w:rPr>
                <w:rFonts w:ascii="Times New Roman" w:eastAsia="Times New Roman" w:hAnsi="Times New Roman" w:cs="Times New Roman"/>
                <w:b/>
                <w:bCs/>
                <w:color w:val="000000" w:themeColor="text1"/>
                <w:sz w:val="24"/>
                <w:szCs w:val="24"/>
              </w:rPr>
              <w:t>ortfolio</w:t>
            </w:r>
            <w:bookmarkEnd w:id="9"/>
          </w:p>
        </w:tc>
      </w:tr>
      <w:tr w:rsidR="00AC0A64" w:rsidRPr="00734837" w:rsidTr="00B0512B">
        <w:trPr>
          <w:trHeight w:val="310"/>
          <w:jc w:val="center"/>
        </w:trPr>
        <w:tc>
          <w:tcPr>
            <w:tcW w:w="22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Estimate</w:t>
            </w:r>
          </w:p>
        </w:tc>
        <w:tc>
          <w:tcPr>
            <w:tcW w:w="13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Mean</w:t>
            </w:r>
          </w:p>
        </w:tc>
        <w:tc>
          <w:tcPr>
            <w:tcW w:w="136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SD</w:t>
            </w:r>
          </w:p>
        </w:tc>
        <w:tc>
          <w:tcPr>
            <w:tcW w:w="13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Bias</w:t>
            </w:r>
          </w:p>
        </w:tc>
        <w:tc>
          <w:tcPr>
            <w:tcW w:w="1588"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Significance</w:t>
            </w:r>
          </w:p>
        </w:tc>
      </w:tr>
      <w:tr w:rsidR="00AC0A64" w:rsidRPr="00734837" w:rsidTr="00B0512B">
        <w:trPr>
          <w:trHeight w:val="310"/>
          <w:jc w:val="center"/>
        </w:trPr>
        <w:tc>
          <w:tcPr>
            <w:tcW w:w="2220" w:type="dxa"/>
            <w:tcBorders>
              <w:top w:val="single" w:sz="4" w:space="0" w:color="auto"/>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 xml:space="preserve">Expected return </w:t>
            </w:r>
          </w:p>
        </w:tc>
        <w:tc>
          <w:tcPr>
            <w:tcW w:w="13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0.0922</w:t>
            </w:r>
          </w:p>
        </w:tc>
        <w:tc>
          <w:tcPr>
            <w:tcW w:w="13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0.0307</w:t>
            </w:r>
          </w:p>
        </w:tc>
        <w:tc>
          <w:tcPr>
            <w:tcW w:w="13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-0.0003</w:t>
            </w:r>
          </w:p>
        </w:tc>
        <w:tc>
          <w:tcPr>
            <w:tcW w:w="1588" w:type="dxa"/>
            <w:tcBorders>
              <w:top w:val="nil"/>
              <w:left w:val="nil"/>
              <w:bottom w:val="nil"/>
              <w:right w:val="nil"/>
            </w:tcBorders>
            <w:shd w:val="clear" w:color="auto" w:fill="auto"/>
            <w:noWrap/>
            <w:vAlign w:val="bottom"/>
            <w:hideMark/>
          </w:tcPr>
          <w:p w:rsidR="00AC0A64" w:rsidRPr="00734837" w:rsidRDefault="00264B3B"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0.0098</w:t>
            </w:r>
          </w:p>
        </w:tc>
      </w:tr>
      <w:tr w:rsidR="00AC0A64" w:rsidRPr="00734837" w:rsidTr="00B0512B">
        <w:trPr>
          <w:trHeight w:val="310"/>
          <w:jc w:val="center"/>
        </w:trPr>
        <w:tc>
          <w:tcPr>
            <w:tcW w:w="22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Standard deviation</w:t>
            </w:r>
          </w:p>
        </w:tc>
        <w:tc>
          <w:tcPr>
            <w:tcW w:w="13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0.1170</w:t>
            </w:r>
          </w:p>
        </w:tc>
        <w:tc>
          <w:tcPr>
            <w:tcW w:w="136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0.0129</w:t>
            </w:r>
          </w:p>
        </w:tc>
        <w:tc>
          <w:tcPr>
            <w:tcW w:w="13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-0.0014</w:t>
            </w:r>
          </w:p>
        </w:tc>
        <w:tc>
          <w:tcPr>
            <w:tcW w:w="1588" w:type="dxa"/>
            <w:tcBorders>
              <w:top w:val="nil"/>
              <w:left w:val="nil"/>
              <w:bottom w:val="single" w:sz="4" w:space="0" w:color="auto"/>
              <w:right w:val="nil"/>
            </w:tcBorders>
            <w:shd w:val="clear" w:color="auto" w:fill="auto"/>
            <w:noWrap/>
            <w:vAlign w:val="bottom"/>
            <w:hideMark/>
          </w:tcPr>
          <w:p w:rsidR="00AC0A64" w:rsidRPr="00734837" w:rsidRDefault="00AE638F"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0.1085</w:t>
            </w:r>
          </w:p>
        </w:tc>
      </w:tr>
    </w:tbl>
    <w:p w:rsidR="00AC0A64" w:rsidRPr="00734837" w:rsidRDefault="00AC0A64" w:rsidP="00DB671E">
      <w:pPr>
        <w:spacing w:line="240" w:lineRule="auto"/>
        <w:jc w:val="both"/>
        <w:rPr>
          <w:rFonts w:ascii="Times New Roman" w:hAnsi="Times New Roman" w:cs="Times New Roman"/>
          <w:noProof/>
          <w:sz w:val="24"/>
          <w:szCs w:val="24"/>
        </w:rPr>
      </w:pPr>
    </w:p>
    <w:tbl>
      <w:tblPr>
        <w:tblW w:w="7848" w:type="dxa"/>
        <w:jc w:val="center"/>
        <w:tblLook w:val="04A0" w:firstRow="1" w:lastRow="0" w:firstColumn="1" w:lastColumn="0" w:noHBand="0" w:noVBand="1"/>
      </w:tblPr>
      <w:tblGrid>
        <w:gridCol w:w="2220"/>
        <w:gridCol w:w="1340"/>
        <w:gridCol w:w="1360"/>
        <w:gridCol w:w="1340"/>
        <w:gridCol w:w="1588"/>
      </w:tblGrid>
      <w:tr w:rsidR="00AC0A64" w:rsidRPr="00734837" w:rsidTr="00B0512B">
        <w:trPr>
          <w:trHeight w:val="310"/>
          <w:jc w:val="center"/>
        </w:trPr>
        <w:tc>
          <w:tcPr>
            <w:tcW w:w="7848" w:type="dxa"/>
            <w:gridSpan w:val="5"/>
            <w:tcBorders>
              <w:left w:val="nil"/>
              <w:bottom w:val="single" w:sz="4" w:space="0" w:color="auto"/>
              <w:right w:val="nil"/>
            </w:tcBorders>
            <w:shd w:val="clear" w:color="auto" w:fill="auto"/>
            <w:noWrap/>
            <w:vAlign w:val="bottom"/>
          </w:tcPr>
          <w:p w:rsidR="00AC0A64" w:rsidRPr="00734837" w:rsidRDefault="00B0512B" w:rsidP="00B0512B">
            <w:pPr>
              <w:spacing w:after="0" w:line="240" w:lineRule="auto"/>
              <w:rPr>
                <w:rFonts w:ascii="Times New Roman" w:eastAsia="Times New Roman" w:hAnsi="Times New Roman" w:cs="Times New Roman"/>
                <w:b/>
                <w:bCs/>
                <w:color w:val="000000"/>
                <w:sz w:val="24"/>
                <w:szCs w:val="24"/>
              </w:rPr>
            </w:pPr>
            <w:bookmarkStart w:id="10" w:name="_Toc423924976"/>
            <w:r w:rsidRPr="00734837">
              <w:rPr>
                <w:rFonts w:ascii="Times New Roman" w:hAnsi="Times New Roman" w:cs="Times New Roman"/>
                <w:b/>
                <w:sz w:val="24"/>
                <w:szCs w:val="24"/>
              </w:rPr>
              <w:t xml:space="preserve">Panel B </w:t>
            </w:r>
            <w:r w:rsidR="0003715B" w:rsidRPr="00734837">
              <w:rPr>
                <w:rFonts w:ascii="Times New Roman" w:eastAsia="Times New Roman" w:hAnsi="Times New Roman" w:cs="Times New Roman"/>
                <w:b/>
                <w:bCs/>
                <w:color w:val="000000" w:themeColor="text1"/>
                <w:sz w:val="24"/>
                <w:szCs w:val="24"/>
              </w:rPr>
              <w:t>:</w:t>
            </w:r>
            <w:r w:rsidRPr="00734837">
              <w:rPr>
                <w:rFonts w:ascii="Times New Roman" w:eastAsia="Times New Roman" w:hAnsi="Times New Roman" w:cs="Times New Roman"/>
                <w:b/>
                <w:bCs/>
                <w:color w:val="000000" w:themeColor="text1"/>
                <w:sz w:val="24"/>
                <w:szCs w:val="24"/>
              </w:rPr>
              <w:t xml:space="preserve"> </w:t>
            </w:r>
            <w:r w:rsidR="0003715B" w:rsidRPr="00734837">
              <w:rPr>
                <w:rFonts w:ascii="Times New Roman" w:eastAsia="Times New Roman" w:hAnsi="Times New Roman" w:cs="Times New Roman"/>
                <w:b/>
                <w:bCs/>
                <w:color w:val="000000" w:themeColor="text1"/>
                <w:sz w:val="24"/>
                <w:szCs w:val="24"/>
              </w:rPr>
              <w:t>The Bootstrapped Estimates of the Minimum-Variance P</w:t>
            </w:r>
            <w:r w:rsidR="00AC0A64" w:rsidRPr="00734837">
              <w:rPr>
                <w:rFonts w:ascii="Times New Roman" w:eastAsia="Times New Roman" w:hAnsi="Times New Roman" w:cs="Times New Roman"/>
                <w:b/>
                <w:bCs/>
                <w:color w:val="000000" w:themeColor="text1"/>
                <w:sz w:val="24"/>
                <w:szCs w:val="24"/>
              </w:rPr>
              <w:t>ortfolio</w:t>
            </w:r>
            <w:bookmarkEnd w:id="10"/>
          </w:p>
        </w:tc>
      </w:tr>
      <w:tr w:rsidR="00AC0A64" w:rsidRPr="00734837" w:rsidTr="00B0512B">
        <w:trPr>
          <w:trHeight w:val="310"/>
          <w:jc w:val="center"/>
        </w:trPr>
        <w:tc>
          <w:tcPr>
            <w:tcW w:w="22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Estimate</w:t>
            </w:r>
          </w:p>
        </w:tc>
        <w:tc>
          <w:tcPr>
            <w:tcW w:w="13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Mean</w:t>
            </w:r>
          </w:p>
        </w:tc>
        <w:tc>
          <w:tcPr>
            <w:tcW w:w="136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SD</w:t>
            </w:r>
          </w:p>
        </w:tc>
        <w:tc>
          <w:tcPr>
            <w:tcW w:w="13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Bias</w:t>
            </w:r>
          </w:p>
        </w:tc>
        <w:tc>
          <w:tcPr>
            <w:tcW w:w="1588"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Significance</w:t>
            </w:r>
          </w:p>
        </w:tc>
      </w:tr>
      <w:tr w:rsidR="00AC0A64" w:rsidRPr="00734837" w:rsidTr="00B0512B">
        <w:trPr>
          <w:trHeight w:val="310"/>
          <w:jc w:val="center"/>
        </w:trPr>
        <w:tc>
          <w:tcPr>
            <w:tcW w:w="22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 xml:space="preserve">Expected return </w:t>
            </w:r>
          </w:p>
        </w:tc>
        <w:tc>
          <w:tcPr>
            <w:tcW w:w="13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0.0682</w:t>
            </w:r>
          </w:p>
        </w:tc>
        <w:tc>
          <w:tcPr>
            <w:tcW w:w="13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0.0269</w:t>
            </w:r>
          </w:p>
        </w:tc>
        <w:tc>
          <w:tcPr>
            <w:tcW w:w="13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0.0030</w:t>
            </w:r>
          </w:p>
        </w:tc>
        <w:tc>
          <w:tcPr>
            <w:tcW w:w="1588" w:type="dxa"/>
            <w:tcBorders>
              <w:top w:val="nil"/>
              <w:left w:val="nil"/>
              <w:bottom w:val="nil"/>
              <w:right w:val="nil"/>
            </w:tcBorders>
            <w:shd w:val="clear" w:color="auto" w:fill="auto"/>
            <w:noWrap/>
            <w:vAlign w:val="bottom"/>
            <w:hideMark/>
          </w:tcPr>
          <w:p w:rsidR="00AC0A64" w:rsidRPr="00734837" w:rsidRDefault="00AE638F"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0.1115</w:t>
            </w:r>
          </w:p>
        </w:tc>
      </w:tr>
      <w:tr w:rsidR="00AC0A64" w:rsidRPr="00734837" w:rsidTr="00B0512B">
        <w:trPr>
          <w:trHeight w:val="310"/>
          <w:jc w:val="center"/>
        </w:trPr>
        <w:tc>
          <w:tcPr>
            <w:tcW w:w="22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Standard deviation</w:t>
            </w:r>
          </w:p>
        </w:tc>
        <w:tc>
          <w:tcPr>
            <w:tcW w:w="13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0.0958</w:t>
            </w:r>
          </w:p>
        </w:tc>
        <w:tc>
          <w:tcPr>
            <w:tcW w:w="136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0.0078</w:t>
            </w:r>
          </w:p>
        </w:tc>
        <w:tc>
          <w:tcPr>
            <w:tcW w:w="13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-0.0040</w:t>
            </w:r>
          </w:p>
        </w:tc>
        <w:tc>
          <w:tcPr>
            <w:tcW w:w="1588" w:type="dxa"/>
            <w:tcBorders>
              <w:top w:val="nil"/>
              <w:left w:val="nil"/>
              <w:bottom w:val="single" w:sz="4" w:space="0" w:color="auto"/>
              <w:right w:val="nil"/>
            </w:tcBorders>
            <w:shd w:val="clear" w:color="auto" w:fill="auto"/>
            <w:noWrap/>
            <w:vAlign w:val="bottom"/>
            <w:hideMark/>
          </w:tcPr>
          <w:p w:rsidR="00AC0A64" w:rsidRPr="00734837" w:rsidRDefault="00B7585D"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0.5128</w:t>
            </w:r>
          </w:p>
        </w:tc>
      </w:tr>
    </w:tbl>
    <w:p w:rsidR="005509CB" w:rsidRPr="00734837" w:rsidRDefault="005509CB" w:rsidP="00DB671E">
      <w:pPr>
        <w:spacing w:line="240" w:lineRule="auto"/>
        <w:jc w:val="both"/>
        <w:rPr>
          <w:rFonts w:ascii="Times New Roman" w:hAnsi="Times New Roman" w:cs="Times New Roman"/>
          <w:noProof/>
          <w:sz w:val="24"/>
          <w:szCs w:val="24"/>
        </w:rPr>
      </w:pPr>
    </w:p>
    <w:tbl>
      <w:tblPr>
        <w:tblW w:w="7848" w:type="dxa"/>
        <w:jc w:val="center"/>
        <w:tblLook w:val="04A0" w:firstRow="1" w:lastRow="0" w:firstColumn="1" w:lastColumn="0" w:noHBand="0" w:noVBand="1"/>
      </w:tblPr>
      <w:tblGrid>
        <w:gridCol w:w="2220"/>
        <w:gridCol w:w="1340"/>
        <w:gridCol w:w="1360"/>
        <w:gridCol w:w="1340"/>
        <w:gridCol w:w="1456"/>
        <w:gridCol w:w="132"/>
      </w:tblGrid>
      <w:tr w:rsidR="00AC0A64" w:rsidRPr="00734837" w:rsidTr="00B0512B">
        <w:trPr>
          <w:gridAfter w:val="1"/>
          <w:wAfter w:w="132" w:type="dxa"/>
          <w:trHeight w:val="310"/>
          <w:jc w:val="center"/>
        </w:trPr>
        <w:tc>
          <w:tcPr>
            <w:tcW w:w="7716" w:type="dxa"/>
            <w:gridSpan w:val="5"/>
            <w:tcBorders>
              <w:left w:val="nil"/>
              <w:bottom w:val="single" w:sz="4" w:space="0" w:color="auto"/>
              <w:right w:val="nil"/>
            </w:tcBorders>
            <w:shd w:val="clear" w:color="auto" w:fill="auto"/>
            <w:noWrap/>
            <w:vAlign w:val="bottom"/>
          </w:tcPr>
          <w:p w:rsidR="00AC0A64" w:rsidRPr="00734837" w:rsidRDefault="00B0512B" w:rsidP="00B0512B">
            <w:pPr>
              <w:spacing w:after="0" w:line="240" w:lineRule="auto"/>
              <w:rPr>
                <w:rFonts w:ascii="Times New Roman" w:eastAsia="Times New Roman" w:hAnsi="Times New Roman" w:cs="Times New Roman"/>
                <w:b/>
                <w:bCs/>
                <w:color w:val="000000"/>
                <w:sz w:val="24"/>
                <w:szCs w:val="24"/>
              </w:rPr>
            </w:pPr>
            <w:bookmarkStart w:id="11" w:name="_Toc423924977"/>
            <w:r w:rsidRPr="00734837">
              <w:rPr>
                <w:rFonts w:ascii="Times New Roman" w:hAnsi="Times New Roman" w:cs="Times New Roman"/>
                <w:b/>
                <w:color w:val="000000" w:themeColor="text1"/>
                <w:sz w:val="24"/>
                <w:szCs w:val="24"/>
              </w:rPr>
              <w:t xml:space="preserve">Panel C: </w:t>
            </w:r>
            <w:r w:rsidR="0003715B" w:rsidRPr="00734837">
              <w:rPr>
                <w:rFonts w:ascii="Times New Roman" w:eastAsia="Times New Roman" w:hAnsi="Times New Roman" w:cs="Times New Roman"/>
                <w:b/>
                <w:bCs/>
                <w:color w:val="000000" w:themeColor="text1"/>
                <w:sz w:val="24"/>
                <w:szCs w:val="24"/>
              </w:rPr>
              <w:t>The Bootstrapped Estimates of the Tangency P</w:t>
            </w:r>
            <w:r w:rsidR="00AC0A64" w:rsidRPr="00734837">
              <w:rPr>
                <w:rFonts w:ascii="Times New Roman" w:eastAsia="Times New Roman" w:hAnsi="Times New Roman" w:cs="Times New Roman"/>
                <w:b/>
                <w:bCs/>
                <w:color w:val="000000" w:themeColor="text1"/>
                <w:sz w:val="24"/>
                <w:szCs w:val="24"/>
              </w:rPr>
              <w:t>ortfolio</w:t>
            </w:r>
            <w:bookmarkEnd w:id="11"/>
          </w:p>
        </w:tc>
      </w:tr>
      <w:tr w:rsidR="00AC0A64" w:rsidRPr="00734837" w:rsidTr="00B0512B">
        <w:trPr>
          <w:trHeight w:val="310"/>
          <w:jc w:val="center"/>
        </w:trPr>
        <w:tc>
          <w:tcPr>
            <w:tcW w:w="22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Estimate</w:t>
            </w:r>
          </w:p>
        </w:tc>
        <w:tc>
          <w:tcPr>
            <w:tcW w:w="13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Mean</w:t>
            </w:r>
          </w:p>
        </w:tc>
        <w:tc>
          <w:tcPr>
            <w:tcW w:w="136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SD</w:t>
            </w:r>
          </w:p>
        </w:tc>
        <w:tc>
          <w:tcPr>
            <w:tcW w:w="13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Bias</w:t>
            </w:r>
          </w:p>
        </w:tc>
        <w:tc>
          <w:tcPr>
            <w:tcW w:w="1588" w:type="dxa"/>
            <w:gridSpan w:val="2"/>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Significance</w:t>
            </w:r>
          </w:p>
        </w:tc>
      </w:tr>
      <w:tr w:rsidR="00AC0A64" w:rsidRPr="00734837" w:rsidTr="00B0512B">
        <w:trPr>
          <w:gridAfter w:val="1"/>
          <w:wAfter w:w="132" w:type="dxa"/>
          <w:trHeight w:val="310"/>
          <w:jc w:val="center"/>
        </w:trPr>
        <w:tc>
          <w:tcPr>
            <w:tcW w:w="22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 xml:space="preserve">Expected return </w:t>
            </w:r>
          </w:p>
        </w:tc>
        <w:tc>
          <w:tcPr>
            <w:tcW w:w="13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0.1592</w:t>
            </w:r>
          </w:p>
        </w:tc>
        <w:tc>
          <w:tcPr>
            <w:tcW w:w="136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0.0358</w:t>
            </w:r>
          </w:p>
        </w:tc>
        <w:tc>
          <w:tcPr>
            <w:tcW w:w="13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0.0254</w:t>
            </w:r>
          </w:p>
        </w:tc>
        <w:tc>
          <w:tcPr>
            <w:tcW w:w="1456" w:type="dxa"/>
            <w:tcBorders>
              <w:top w:val="nil"/>
              <w:left w:val="nil"/>
              <w:bottom w:val="nil"/>
              <w:right w:val="nil"/>
            </w:tcBorders>
            <w:shd w:val="clear" w:color="auto" w:fill="auto"/>
            <w:noWrap/>
            <w:vAlign w:val="bottom"/>
            <w:hideMark/>
          </w:tcPr>
          <w:p w:rsidR="00AC0A64" w:rsidRPr="00734837" w:rsidRDefault="00B01521"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0.2094</w:t>
            </w:r>
          </w:p>
        </w:tc>
      </w:tr>
      <w:tr w:rsidR="00AC0A64" w:rsidRPr="00734837" w:rsidTr="00B0512B">
        <w:trPr>
          <w:gridAfter w:val="1"/>
          <w:wAfter w:w="132" w:type="dxa"/>
          <w:trHeight w:val="310"/>
          <w:jc w:val="center"/>
        </w:trPr>
        <w:tc>
          <w:tcPr>
            <w:tcW w:w="22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bCs/>
                <w:color w:val="000000"/>
                <w:sz w:val="24"/>
                <w:szCs w:val="24"/>
              </w:rPr>
            </w:pPr>
            <w:r w:rsidRPr="00734837">
              <w:rPr>
                <w:rFonts w:ascii="Times New Roman" w:eastAsia="Times New Roman" w:hAnsi="Times New Roman" w:cs="Times New Roman"/>
                <w:b/>
                <w:bCs/>
                <w:color w:val="000000"/>
                <w:sz w:val="24"/>
                <w:szCs w:val="24"/>
              </w:rPr>
              <w:t>Standard deviation</w:t>
            </w:r>
          </w:p>
        </w:tc>
        <w:tc>
          <w:tcPr>
            <w:tcW w:w="13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0.1330</w:t>
            </w:r>
          </w:p>
        </w:tc>
        <w:tc>
          <w:tcPr>
            <w:tcW w:w="136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0.0190</w:t>
            </w:r>
          </w:p>
        </w:tc>
        <w:tc>
          <w:tcPr>
            <w:tcW w:w="13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-0.0037</w:t>
            </w:r>
          </w:p>
        </w:tc>
        <w:tc>
          <w:tcPr>
            <w:tcW w:w="1456" w:type="dxa"/>
            <w:tcBorders>
              <w:top w:val="nil"/>
              <w:left w:val="nil"/>
              <w:bottom w:val="single" w:sz="4" w:space="0" w:color="auto"/>
              <w:right w:val="nil"/>
            </w:tcBorders>
            <w:shd w:val="clear" w:color="auto" w:fill="auto"/>
            <w:noWrap/>
            <w:vAlign w:val="bottom"/>
            <w:hideMark/>
          </w:tcPr>
          <w:p w:rsidR="00AC0A64" w:rsidRPr="00734837" w:rsidRDefault="00741CA3" w:rsidP="00DB671E">
            <w:pPr>
              <w:spacing w:after="0" w:line="240" w:lineRule="auto"/>
              <w:jc w:val="center"/>
              <w:rPr>
                <w:rFonts w:ascii="Times New Roman" w:eastAsia="Times New Roman" w:hAnsi="Times New Roman" w:cs="Times New Roman"/>
                <w:color w:val="000000"/>
              </w:rPr>
            </w:pPr>
            <w:r w:rsidRPr="00734837">
              <w:rPr>
                <w:rFonts w:ascii="Times New Roman" w:eastAsia="Times New Roman" w:hAnsi="Times New Roman" w:cs="Times New Roman"/>
                <w:color w:val="000000"/>
              </w:rPr>
              <w:t>0.1947</w:t>
            </w:r>
          </w:p>
        </w:tc>
      </w:tr>
    </w:tbl>
    <w:p w:rsidR="00B0512B" w:rsidRPr="00734837" w:rsidRDefault="00B0512B" w:rsidP="00DB671E">
      <w:pPr>
        <w:spacing w:line="240" w:lineRule="auto"/>
        <w:jc w:val="both"/>
        <w:rPr>
          <w:rFonts w:ascii="Times New Roman" w:hAnsi="Times New Roman" w:cs="Times New Roman"/>
          <w:noProof/>
          <w:sz w:val="24"/>
          <w:szCs w:val="24"/>
        </w:rPr>
      </w:pPr>
    </w:p>
    <w:p w:rsidR="00AC0A64" w:rsidRPr="00734837" w:rsidRDefault="00214444" w:rsidP="00816915">
      <w:pPr>
        <w:spacing w:line="240" w:lineRule="auto"/>
        <w:jc w:val="both"/>
        <w:rPr>
          <w:rFonts w:ascii="Times New Roman" w:hAnsi="Times New Roman" w:cs="Times New Roman"/>
          <w:sz w:val="24"/>
          <w:szCs w:val="24"/>
        </w:rPr>
      </w:pPr>
      <w:r w:rsidRPr="00734837">
        <w:rPr>
          <w:rFonts w:ascii="Times New Roman" w:hAnsi="Times New Roman" w:cs="Times New Roman"/>
          <w:noProof/>
          <w:sz w:val="24"/>
          <w:szCs w:val="24"/>
        </w:rPr>
        <w:t xml:space="preserve">With the exception </w:t>
      </w:r>
      <w:r w:rsidR="00880443" w:rsidRPr="00734837">
        <w:rPr>
          <w:rFonts w:ascii="Times New Roman" w:hAnsi="Times New Roman" w:cs="Times New Roman"/>
          <w:noProof/>
          <w:sz w:val="24"/>
          <w:szCs w:val="24"/>
        </w:rPr>
        <w:t xml:space="preserve">of the </w:t>
      </w:r>
      <w:r w:rsidR="00AC0A64" w:rsidRPr="00734837">
        <w:rPr>
          <w:rFonts w:ascii="Times New Roman" w:hAnsi="Times New Roman" w:cs="Times New Roman"/>
          <w:noProof/>
          <w:sz w:val="24"/>
          <w:szCs w:val="24"/>
        </w:rPr>
        <w:t>minimum-variance</w:t>
      </w:r>
      <w:r w:rsidR="00880443" w:rsidRPr="00734837">
        <w:rPr>
          <w:rFonts w:ascii="Times New Roman" w:hAnsi="Times New Roman" w:cs="Times New Roman"/>
          <w:noProof/>
          <w:sz w:val="24"/>
          <w:szCs w:val="24"/>
        </w:rPr>
        <w:t>’s risk</w:t>
      </w:r>
      <w:r w:rsidR="00AC0A64" w:rsidRPr="00734837">
        <w:rPr>
          <w:rFonts w:ascii="Times New Roman" w:hAnsi="Times New Roman" w:cs="Times New Roman"/>
          <w:noProof/>
          <w:sz w:val="24"/>
          <w:szCs w:val="24"/>
        </w:rPr>
        <w:t>, all the biases were statistically insignificant. This is because the signific</w:t>
      </w:r>
      <w:r w:rsidR="00F12584" w:rsidRPr="00734837">
        <w:rPr>
          <w:rFonts w:ascii="Times New Roman" w:hAnsi="Times New Roman" w:cs="Times New Roman"/>
          <w:noProof/>
          <w:sz w:val="24"/>
          <w:szCs w:val="24"/>
        </w:rPr>
        <w:t xml:space="preserve">ance </w:t>
      </w:r>
      <w:r w:rsidR="00457D7D" w:rsidRPr="00734837">
        <w:rPr>
          <w:rFonts w:ascii="Times New Roman" w:hAnsi="Times New Roman" w:cs="Times New Roman"/>
          <w:noProof/>
          <w:sz w:val="24"/>
          <w:szCs w:val="24"/>
        </w:rPr>
        <w:t>which was computed as,</w:t>
      </w:r>
      <w:r w:rsidR="00AC0A64" w:rsidRPr="00734837">
        <w:rPr>
          <w:rFonts w:ascii="Times New Roman" w:hAnsi="Times New Roman" w:cs="Times New Roman"/>
          <w:noProof/>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|Bias</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e>
            </m:d>
            <m:r>
              <w:rPr>
                <w:rFonts w:ascii="Cambria Math" w:hAnsi="Cambria Math" w:cs="Times New Roman"/>
                <w:sz w:val="24"/>
                <w:szCs w:val="24"/>
              </w:rPr>
              <m:t>|</m:t>
            </m:r>
          </m:num>
          <m:den>
            <m:r>
              <w:rPr>
                <w:rFonts w:ascii="Cambria Math" w:hAnsi="Cambria Math" w:cs="Times New Roman"/>
                <w:sz w:val="24"/>
                <w:szCs w:val="24"/>
              </w:rPr>
              <m:t>Std(</m:t>
            </m:r>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m:t>
            </m:r>
          </m:den>
        </m:f>
      </m:oMath>
      <w:r w:rsidR="00AC0A64" w:rsidRPr="00734837">
        <w:rPr>
          <w:rFonts w:ascii="Times New Roman" w:hAnsi="Times New Roman" w:cs="Times New Roman"/>
          <w:sz w:val="24"/>
          <w:szCs w:val="24"/>
        </w:rPr>
        <w:t xml:space="preserve"> (Efron </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 xml:space="preserve"> </w:t>
      </w:r>
      <w:proofErr w:type="spellStart"/>
      <w:r w:rsidR="00AC0A64" w:rsidRPr="00734837">
        <w:rPr>
          <w:rFonts w:ascii="Times New Roman" w:hAnsi="Times New Roman" w:cs="Times New Roman"/>
          <w:sz w:val="24"/>
          <w:szCs w:val="24"/>
        </w:rPr>
        <w:t>Tibshirani</w:t>
      </w:r>
      <w:proofErr w:type="spellEnd"/>
      <w:r w:rsidR="00AC0A64" w:rsidRPr="00734837">
        <w:rPr>
          <w:rFonts w:ascii="Times New Roman" w:hAnsi="Times New Roman" w:cs="Times New Roman"/>
          <w:sz w:val="24"/>
          <w:szCs w:val="24"/>
        </w:rPr>
        <w:t xml:space="preserve">, 1993) for all the estimates were less than 0.25, </w:t>
      </w:r>
      <w:r w:rsidR="004A4EF4" w:rsidRPr="00734837">
        <w:rPr>
          <w:rFonts w:ascii="Times New Roman" w:hAnsi="Times New Roman" w:cs="Times New Roman"/>
          <w:sz w:val="24"/>
          <w:szCs w:val="24"/>
        </w:rPr>
        <w:t xml:space="preserve">except that of the minimum-variance portfolio, which has a significance </w:t>
      </w:r>
      <w:r w:rsidR="00753E9F" w:rsidRPr="00734837">
        <w:rPr>
          <w:rFonts w:ascii="Times New Roman" w:hAnsi="Times New Roman" w:cs="Times New Roman"/>
          <w:sz w:val="24"/>
          <w:szCs w:val="24"/>
        </w:rPr>
        <w:t>of 0.5128</w:t>
      </w:r>
      <w:r w:rsidR="003278A6" w:rsidRPr="00734837">
        <w:rPr>
          <w:rFonts w:ascii="Times New Roman" w:hAnsi="Times New Roman" w:cs="Times New Roman"/>
          <w:sz w:val="24"/>
          <w:szCs w:val="24"/>
        </w:rPr>
        <w:t>. Therefore,</w:t>
      </w:r>
      <w:r w:rsidR="00AC0A64" w:rsidRPr="00734837">
        <w:rPr>
          <w:rFonts w:ascii="Times New Roman" w:hAnsi="Times New Roman" w:cs="Times New Roman"/>
          <w:sz w:val="24"/>
          <w:szCs w:val="24"/>
        </w:rPr>
        <w:t xml:space="preserve"> the bias corrected esti</w:t>
      </w:r>
      <w:r w:rsidR="00BA6433" w:rsidRPr="00734837">
        <w:rPr>
          <w:rFonts w:ascii="Times New Roman" w:hAnsi="Times New Roman" w:cs="Times New Roman"/>
          <w:sz w:val="24"/>
          <w:szCs w:val="24"/>
        </w:rPr>
        <w:t xml:space="preserve">mate </w:t>
      </w:r>
      <w:proofErr w:type="gramStart"/>
      <w:r w:rsidR="00BA6433" w:rsidRPr="00734837">
        <w:rPr>
          <w:rFonts w:ascii="Times New Roman" w:hAnsi="Times New Roman" w:cs="Times New Roman"/>
          <w:sz w:val="24"/>
          <w:szCs w:val="24"/>
        </w:rPr>
        <w:t>was computed</w:t>
      </w:r>
      <w:proofErr w:type="gramEnd"/>
      <w:r w:rsidR="00BA6433" w:rsidRPr="00734837">
        <w:rPr>
          <w:rFonts w:ascii="Times New Roman" w:hAnsi="Times New Roman" w:cs="Times New Roman"/>
          <w:sz w:val="24"/>
          <w:szCs w:val="24"/>
        </w:rPr>
        <w:t xml:space="preserve"> for the risk of this portfolio</w:t>
      </w:r>
      <w:r w:rsidR="00AC0A64" w:rsidRPr="00734837">
        <w:rPr>
          <w:rFonts w:ascii="Times New Roman" w:hAnsi="Times New Roman" w:cs="Times New Roman"/>
          <w:sz w:val="24"/>
          <w:szCs w:val="24"/>
        </w:rPr>
        <w:t xml:space="preserve">. This </w:t>
      </w:r>
      <w:proofErr w:type="gramStart"/>
      <w:r w:rsidR="00AC0A64" w:rsidRPr="00734837">
        <w:rPr>
          <w:rFonts w:ascii="Times New Roman" w:hAnsi="Times New Roman" w:cs="Times New Roman"/>
          <w:sz w:val="24"/>
          <w:szCs w:val="24"/>
        </w:rPr>
        <w:t>was</w:t>
      </w:r>
      <w:r w:rsidR="00980E09" w:rsidRPr="00734837">
        <w:rPr>
          <w:rFonts w:ascii="Times New Roman" w:hAnsi="Times New Roman" w:cs="Times New Roman"/>
          <w:sz w:val="24"/>
          <w:szCs w:val="24"/>
        </w:rPr>
        <w:t xml:space="preserve"> estimated</w:t>
      </w:r>
      <w:proofErr w:type="gramEnd"/>
      <w:r w:rsidR="00980E09" w:rsidRPr="00734837">
        <w:rPr>
          <w:rFonts w:ascii="Times New Roman" w:hAnsi="Times New Roman" w:cs="Times New Roman"/>
          <w:sz w:val="24"/>
          <w:szCs w:val="24"/>
        </w:rPr>
        <w:t xml:space="preserve"> as</w:t>
      </w:r>
      <w:r w:rsidR="00AC0A64" w:rsidRPr="00734837">
        <w:rPr>
          <w:rFonts w:ascii="Times New Roman" w:hAnsi="Times New Roman" w:cs="Times New Roman"/>
          <w:sz w:val="24"/>
          <w:szCs w:val="24"/>
        </w:rPr>
        <w:t xml:space="preserve"> the difference between the actual estimate and the bias of its corresponding bootstrap</w:t>
      </w:r>
      <w:r w:rsidR="00816915" w:rsidRPr="00734837">
        <w:rPr>
          <w:rFonts w:ascii="Times New Roman" w:hAnsi="Times New Roman" w:cs="Times New Roman"/>
          <w:sz w:val="24"/>
          <w:szCs w:val="24"/>
        </w:rPr>
        <w:t xml:space="preserve">ped estimate. This </w:t>
      </w:r>
      <w:proofErr w:type="gramStart"/>
      <w:r w:rsidR="00816915" w:rsidRPr="00734837">
        <w:rPr>
          <w:rFonts w:ascii="Times New Roman" w:hAnsi="Times New Roman" w:cs="Times New Roman"/>
          <w:sz w:val="24"/>
          <w:szCs w:val="24"/>
        </w:rPr>
        <w:t>is shown</w:t>
      </w:r>
      <w:proofErr w:type="gramEnd"/>
      <w:r w:rsidR="00816915" w:rsidRPr="00734837">
        <w:rPr>
          <w:rFonts w:ascii="Times New Roman" w:hAnsi="Times New Roman" w:cs="Times New Roman"/>
          <w:sz w:val="24"/>
          <w:szCs w:val="24"/>
        </w:rPr>
        <w:t xml:space="preserve"> in Table 6</w:t>
      </w:r>
      <w:r w:rsidR="00AC0A64" w:rsidRPr="00734837">
        <w:rPr>
          <w:rFonts w:ascii="Times New Roman" w:hAnsi="Times New Roman" w:cs="Times New Roman"/>
          <w:sz w:val="24"/>
          <w:szCs w:val="24"/>
        </w:rPr>
        <w:t xml:space="preserve">. </w:t>
      </w:r>
      <w:r w:rsidR="009F162E" w:rsidRPr="00734837">
        <w:rPr>
          <w:rFonts w:ascii="Times New Roman" w:hAnsi="Times New Roman" w:cs="Times New Roman"/>
          <w:sz w:val="24"/>
          <w:szCs w:val="24"/>
        </w:rPr>
        <w:t>With the exception of the Sharpe ratio and standard deviation of the minimum-variance portfolio, all the estimates’ bias corrected values are equivalent to the actual estimates reported earlier.</w:t>
      </w:r>
    </w:p>
    <w:tbl>
      <w:tblPr>
        <w:tblW w:w="7560" w:type="dxa"/>
        <w:jc w:val="center"/>
        <w:tblLook w:val="04A0" w:firstRow="1" w:lastRow="0" w:firstColumn="1" w:lastColumn="0" w:noHBand="0" w:noVBand="1"/>
      </w:tblPr>
      <w:tblGrid>
        <w:gridCol w:w="2440"/>
        <w:gridCol w:w="1880"/>
        <w:gridCol w:w="1620"/>
        <w:gridCol w:w="1620"/>
      </w:tblGrid>
      <w:tr w:rsidR="00AC0A64" w:rsidRPr="00734837" w:rsidTr="00816915">
        <w:trPr>
          <w:trHeight w:val="310"/>
          <w:jc w:val="center"/>
        </w:trPr>
        <w:tc>
          <w:tcPr>
            <w:tcW w:w="7560" w:type="dxa"/>
            <w:gridSpan w:val="4"/>
            <w:tcBorders>
              <w:left w:val="nil"/>
              <w:bottom w:val="single" w:sz="4" w:space="0" w:color="auto"/>
              <w:right w:val="nil"/>
            </w:tcBorders>
            <w:shd w:val="clear" w:color="auto" w:fill="auto"/>
            <w:noWrap/>
            <w:vAlign w:val="bottom"/>
          </w:tcPr>
          <w:p w:rsidR="00AC0A64" w:rsidRPr="00734837" w:rsidRDefault="00AC0A64" w:rsidP="00816915">
            <w:pPr>
              <w:spacing w:after="0" w:line="240" w:lineRule="auto"/>
              <w:jc w:val="center"/>
              <w:rPr>
                <w:rFonts w:ascii="Times New Roman" w:eastAsia="Times New Roman" w:hAnsi="Times New Roman" w:cs="Times New Roman"/>
                <w:b/>
                <w:color w:val="000000"/>
                <w:sz w:val="24"/>
                <w:szCs w:val="24"/>
              </w:rPr>
            </w:pPr>
            <w:bookmarkStart w:id="12" w:name="_Toc423924978"/>
            <w:r w:rsidRPr="00734837">
              <w:rPr>
                <w:rFonts w:ascii="Times New Roman" w:hAnsi="Times New Roman" w:cs="Times New Roman"/>
                <w:b/>
                <w:sz w:val="24"/>
                <w:szCs w:val="24"/>
              </w:rPr>
              <w:t>Table</w:t>
            </w:r>
            <w:r w:rsidR="00816915" w:rsidRPr="00734837">
              <w:rPr>
                <w:rFonts w:ascii="Times New Roman" w:hAnsi="Times New Roman" w:cs="Times New Roman"/>
                <w:b/>
                <w:sz w:val="24"/>
                <w:szCs w:val="24"/>
              </w:rPr>
              <w:t xml:space="preserve"> 6</w:t>
            </w:r>
            <w:r w:rsidRPr="00734837">
              <w:rPr>
                <w:rFonts w:ascii="Times New Roman" w:eastAsia="Times New Roman" w:hAnsi="Times New Roman" w:cs="Times New Roman"/>
                <w:b/>
                <w:color w:val="000000"/>
                <w:sz w:val="24"/>
                <w:szCs w:val="24"/>
              </w:rPr>
              <w:t>: Bias Corrected Estimates</w:t>
            </w:r>
            <w:bookmarkEnd w:id="12"/>
          </w:p>
        </w:tc>
      </w:tr>
      <w:tr w:rsidR="00AC0A64" w:rsidRPr="00734837" w:rsidTr="00816915">
        <w:trPr>
          <w:trHeight w:val="310"/>
          <w:jc w:val="center"/>
        </w:trPr>
        <w:tc>
          <w:tcPr>
            <w:tcW w:w="244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 </w:t>
            </w:r>
          </w:p>
        </w:tc>
        <w:tc>
          <w:tcPr>
            <w:tcW w:w="188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EQWP</w:t>
            </w:r>
          </w:p>
        </w:tc>
        <w:tc>
          <w:tcPr>
            <w:tcW w:w="16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MVP</w:t>
            </w:r>
          </w:p>
        </w:tc>
        <w:tc>
          <w:tcPr>
            <w:tcW w:w="1620" w:type="dxa"/>
            <w:tcBorders>
              <w:top w:val="single" w:sz="4" w:space="0" w:color="auto"/>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TP</w:t>
            </w:r>
          </w:p>
        </w:tc>
      </w:tr>
      <w:tr w:rsidR="00AC0A64" w:rsidRPr="00734837" w:rsidTr="00816915">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Expected return</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0.0925</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0.0652</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0.1338</w:t>
            </w:r>
          </w:p>
        </w:tc>
      </w:tr>
      <w:tr w:rsidR="00AC0A64" w:rsidRPr="00734837" w:rsidTr="00816915">
        <w:trPr>
          <w:trHeight w:val="310"/>
          <w:jc w:val="center"/>
        </w:trPr>
        <w:tc>
          <w:tcPr>
            <w:tcW w:w="244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Standard deviation</w:t>
            </w:r>
          </w:p>
        </w:tc>
        <w:tc>
          <w:tcPr>
            <w:tcW w:w="188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0.1184</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0.1038</w:t>
            </w:r>
          </w:p>
        </w:tc>
        <w:tc>
          <w:tcPr>
            <w:tcW w:w="1620" w:type="dxa"/>
            <w:tcBorders>
              <w:top w:val="nil"/>
              <w:left w:val="nil"/>
              <w:bottom w:val="nil"/>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0.1367</w:t>
            </w:r>
          </w:p>
        </w:tc>
      </w:tr>
      <w:tr w:rsidR="00AC0A64" w:rsidRPr="00734837" w:rsidTr="00816915">
        <w:trPr>
          <w:trHeight w:val="310"/>
          <w:jc w:val="center"/>
        </w:trPr>
        <w:tc>
          <w:tcPr>
            <w:tcW w:w="244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rPr>
                <w:rFonts w:ascii="Times New Roman" w:eastAsia="Times New Roman" w:hAnsi="Times New Roman" w:cs="Times New Roman"/>
                <w:b/>
                <w:color w:val="000000"/>
                <w:sz w:val="24"/>
                <w:szCs w:val="24"/>
              </w:rPr>
            </w:pPr>
            <w:r w:rsidRPr="00734837">
              <w:rPr>
                <w:rFonts w:ascii="Times New Roman" w:eastAsia="Times New Roman" w:hAnsi="Times New Roman" w:cs="Times New Roman"/>
                <w:b/>
                <w:color w:val="000000"/>
                <w:sz w:val="24"/>
                <w:szCs w:val="24"/>
              </w:rPr>
              <w:t>Sharpe ratio</w:t>
            </w:r>
          </w:p>
        </w:tc>
        <w:tc>
          <w:tcPr>
            <w:tcW w:w="188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0.7810</w:t>
            </w:r>
          </w:p>
        </w:tc>
        <w:tc>
          <w:tcPr>
            <w:tcW w:w="16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0.6283</w:t>
            </w:r>
          </w:p>
        </w:tc>
        <w:tc>
          <w:tcPr>
            <w:tcW w:w="1620" w:type="dxa"/>
            <w:tcBorders>
              <w:top w:val="nil"/>
              <w:left w:val="nil"/>
              <w:bottom w:val="single" w:sz="4" w:space="0" w:color="auto"/>
              <w:right w:val="nil"/>
            </w:tcBorders>
            <w:shd w:val="clear" w:color="auto" w:fill="auto"/>
            <w:noWrap/>
            <w:vAlign w:val="bottom"/>
            <w:hideMark/>
          </w:tcPr>
          <w:p w:rsidR="00AC0A64" w:rsidRPr="00734837" w:rsidRDefault="00AC0A64" w:rsidP="00DB671E">
            <w:pPr>
              <w:spacing w:after="0" w:line="240" w:lineRule="auto"/>
              <w:jc w:val="center"/>
              <w:rPr>
                <w:rFonts w:ascii="Times New Roman" w:eastAsia="Times New Roman" w:hAnsi="Times New Roman" w:cs="Times New Roman"/>
                <w:color w:val="000000"/>
                <w:sz w:val="24"/>
                <w:szCs w:val="24"/>
              </w:rPr>
            </w:pPr>
            <w:r w:rsidRPr="00734837">
              <w:rPr>
                <w:rFonts w:ascii="Times New Roman" w:eastAsia="Times New Roman" w:hAnsi="Times New Roman" w:cs="Times New Roman"/>
                <w:color w:val="000000"/>
                <w:sz w:val="24"/>
                <w:szCs w:val="24"/>
              </w:rPr>
              <w:t>0.9788</w:t>
            </w:r>
          </w:p>
        </w:tc>
      </w:tr>
    </w:tbl>
    <w:p w:rsidR="00822C60" w:rsidRPr="00734837" w:rsidRDefault="00822C60" w:rsidP="00DB671E">
      <w:pPr>
        <w:spacing w:line="240" w:lineRule="auto"/>
        <w:jc w:val="both"/>
        <w:rPr>
          <w:rFonts w:ascii="Times New Roman" w:hAnsi="Times New Roman" w:cs="Times New Roman"/>
          <w:sz w:val="24"/>
          <w:szCs w:val="24"/>
        </w:rPr>
      </w:pPr>
    </w:p>
    <w:p w:rsidR="003243D2" w:rsidRPr="00734837" w:rsidRDefault="003243D2" w:rsidP="00DB671E">
      <w:pPr>
        <w:spacing w:line="240" w:lineRule="auto"/>
        <w:jc w:val="both"/>
        <w:rPr>
          <w:rFonts w:ascii="Times New Roman" w:hAnsi="Times New Roman" w:cs="Times New Roman"/>
          <w:sz w:val="24"/>
        </w:rPr>
      </w:pPr>
    </w:p>
    <w:p w:rsidR="009F162E" w:rsidRPr="00734837" w:rsidRDefault="009F162E" w:rsidP="00DB671E">
      <w:pPr>
        <w:spacing w:line="240" w:lineRule="auto"/>
        <w:jc w:val="both"/>
        <w:rPr>
          <w:rFonts w:ascii="Times New Roman" w:hAnsi="Times New Roman" w:cs="Times New Roman"/>
          <w:sz w:val="24"/>
        </w:rPr>
      </w:pPr>
    </w:p>
    <w:p w:rsidR="00AC0A64" w:rsidRPr="00734837" w:rsidRDefault="00AC0A64" w:rsidP="00DB671E">
      <w:pPr>
        <w:spacing w:line="240" w:lineRule="auto"/>
        <w:jc w:val="both"/>
        <w:rPr>
          <w:rFonts w:ascii="Times New Roman" w:hAnsi="Times New Roman" w:cs="Times New Roman"/>
          <w:sz w:val="24"/>
        </w:rPr>
      </w:pPr>
    </w:p>
    <w:p w:rsidR="00AC0A64" w:rsidRPr="00734837" w:rsidRDefault="00AC0A64" w:rsidP="00DB671E">
      <w:pPr>
        <w:pStyle w:val="Heading1"/>
        <w:numPr>
          <w:ilvl w:val="0"/>
          <w:numId w:val="5"/>
        </w:numPr>
        <w:spacing w:line="240" w:lineRule="auto"/>
        <w:jc w:val="left"/>
        <w:rPr>
          <w:rFonts w:cs="Times New Roman"/>
        </w:rPr>
      </w:pPr>
      <w:bookmarkStart w:id="13" w:name="_Toc423924959"/>
      <w:r w:rsidRPr="00734837">
        <w:rPr>
          <w:rFonts w:cs="Times New Roman"/>
        </w:rPr>
        <w:lastRenderedPageBreak/>
        <w:t>CONCLUSION</w:t>
      </w:r>
      <w:bookmarkEnd w:id="13"/>
    </w:p>
    <w:p w:rsidR="00AC0A64" w:rsidRPr="00734837" w:rsidRDefault="00711124" w:rsidP="00DB671E">
      <w:pPr>
        <w:spacing w:after="360" w:line="240" w:lineRule="auto"/>
        <w:jc w:val="both"/>
        <w:rPr>
          <w:rFonts w:ascii="Times New Roman" w:hAnsi="Times New Roman" w:cs="Times New Roman"/>
          <w:sz w:val="24"/>
          <w:szCs w:val="24"/>
        </w:rPr>
      </w:pPr>
      <w:r w:rsidRPr="00734837">
        <w:rPr>
          <w:rFonts w:ascii="Times New Roman" w:hAnsi="Times New Roman" w:cs="Times New Roman"/>
          <w:sz w:val="24"/>
          <w:szCs w:val="24"/>
        </w:rPr>
        <w:t>T</w:t>
      </w:r>
      <w:r w:rsidR="00AC0A64" w:rsidRPr="00734837">
        <w:rPr>
          <w:rFonts w:ascii="Times New Roman" w:hAnsi="Times New Roman" w:cs="Times New Roman"/>
          <w:sz w:val="24"/>
          <w:szCs w:val="24"/>
        </w:rPr>
        <w:t xml:space="preserve">his study found that a diversified portfolio across </w:t>
      </w:r>
      <w:r w:rsidR="006E2D3A" w:rsidRPr="00734837">
        <w:rPr>
          <w:rFonts w:ascii="Times New Roman" w:hAnsi="Times New Roman" w:cs="Times New Roman"/>
          <w:sz w:val="24"/>
          <w:szCs w:val="24"/>
        </w:rPr>
        <w:t xml:space="preserve">the </w:t>
      </w:r>
      <w:r w:rsidR="00AC0A64" w:rsidRPr="00734837">
        <w:rPr>
          <w:rFonts w:ascii="Times New Roman" w:hAnsi="Times New Roman" w:cs="Times New Roman"/>
          <w:sz w:val="24"/>
          <w:szCs w:val="24"/>
        </w:rPr>
        <w:t xml:space="preserve">eleven African stock markets offers a better investment opportunity than the individual countries’ portfolios. The minimum-variance and the optimal (tangency) portfolios constructed across these eleven stock markets </w:t>
      </w:r>
      <w:r w:rsidR="007527D4" w:rsidRPr="00734837">
        <w:rPr>
          <w:rFonts w:ascii="Times New Roman" w:hAnsi="Times New Roman" w:cs="Times New Roman"/>
          <w:sz w:val="24"/>
          <w:szCs w:val="24"/>
        </w:rPr>
        <w:t>dominate</w:t>
      </w:r>
      <w:r w:rsidR="00242A1B" w:rsidRPr="00734837">
        <w:rPr>
          <w:rFonts w:ascii="Times New Roman" w:hAnsi="Times New Roman" w:cs="Times New Roman"/>
          <w:sz w:val="24"/>
          <w:szCs w:val="24"/>
        </w:rPr>
        <w:t>d</w:t>
      </w:r>
      <w:r w:rsidR="00AC0A64" w:rsidRPr="00734837">
        <w:rPr>
          <w:rFonts w:ascii="Times New Roman" w:hAnsi="Times New Roman" w:cs="Times New Roman"/>
          <w:sz w:val="24"/>
          <w:szCs w:val="24"/>
        </w:rPr>
        <w:t xml:space="preserve"> most of the individual countries’ portfolios. </w:t>
      </w:r>
      <w:r w:rsidR="00A207CE" w:rsidRPr="00734837">
        <w:rPr>
          <w:rFonts w:ascii="Times New Roman" w:hAnsi="Times New Roman" w:cs="Times New Roman"/>
          <w:sz w:val="24"/>
          <w:szCs w:val="24"/>
        </w:rPr>
        <w:t>With the exception of Zambia market index</w:t>
      </w:r>
      <w:r w:rsidR="00AC0A64" w:rsidRPr="00734837">
        <w:rPr>
          <w:rFonts w:ascii="Times New Roman" w:hAnsi="Times New Roman" w:cs="Times New Roman"/>
          <w:sz w:val="24"/>
          <w:szCs w:val="24"/>
        </w:rPr>
        <w:t xml:space="preserve">, all the others were beneath the efficient frontier. This is not surprising, since </w:t>
      </w:r>
      <w:r w:rsidR="00A207CE" w:rsidRPr="00734837">
        <w:rPr>
          <w:rFonts w:ascii="Times New Roman" w:hAnsi="Times New Roman" w:cs="Times New Roman"/>
          <w:sz w:val="24"/>
          <w:szCs w:val="24"/>
        </w:rPr>
        <w:t>Zambia</w:t>
      </w:r>
      <w:r w:rsidR="00AC0A64" w:rsidRPr="00734837">
        <w:rPr>
          <w:rFonts w:ascii="Times New Roman" w:hAnsi="Times New Roman" w:cs="Times New Roman"/>
          <w:sz w:val="24"/>
          <w:szCs w:val="24"/>
        </w:rPr>
        <w:t xml:space="preserve"> had an average return of 17</w:t>
      </w:r>
      <w:r w:rsidR="00A207CE" w:rsidRPr="00734837">
        <w:rPr>
          <w:rFonts w:ascii="Times New Roman" w:hAnsi="Times New Roman" w:cs="Times New Roman"/>
          <w:sz w:val="24"/>
          <w:szCs w:val="24"/>
        </w:rPr>
        <w:t>.64% with a risk of 26.38%</w:t>
      </w:r>
      <w:proofErr w:type="gramStart"/>
      <w:r w:rsidR="00A207CE" w:rsidRPr="00734837">
        <w:rPr>
          <w:rFonts w:ascii="Times New Roman" w:hAnsi="Times New Roman" w:cs="Times New Roman"/>
          <w:sz w:val="24"/>
          <w:szCs w:val="24"/>
        </w:rPr>
        <w:t>,</w:t>
      </w:r>
      <w:proofErr w:type="gramEnd"/>
      <w:r w:rsidR="00A207CE" w:rsidRPr="00734837">
        <w:rPr>
          <w:rFonts w:ascii="Times New Roman" w:hAnsi="Times New Roman" w:cs="Times New Roman"/>
          <w:sz w:val="24"/>
          <w:szCs w:val="24"/>
        </w:rPr>
        <w:t xml:space="preserve"> the other</w:t>
      </w:r>
      <w:r w:rsidR="00AC0A64" w:rsidRPr="00734837">
        <w:rPr>
          <w:rFonts w:ascii="Times New Roman" w:hAnsi="Times New Roman" w:cs="Times New Roman"/>
          <w:sz w:val="24"/>
          <w:szCs w:val="24"/>
        </w:rPr>
        <w:t xml:space="preserve"> </w:t>
      </w:r>
      <w:r w:rsidR="00A207CE" w:rsidRPr="00734837">
        <w:rPr>
          <w:rFonts w:ascii="Times New Roman" w:hAnsi="Times New Roman" w:cs="Times New Roman"/>
          <w:sz w:val="24"/>
          <w:szCs w:val="24"/>
        </w:rPr>
        <w:t>co</w:t>
      </w:r>
      <w:r w:rsidR="008232D2" w:rsidRPr="00734837">
        <w:rPr>
          <w:rFonts w:ascii="Times New Roman" w:hAnsi="Times New Roman" w:cs="Times New Roman"/>
          <w:sz w:val="24"/>
          <w:szCs w:val="24"/>
        </w:rPr>
        <w:t>u</w:t>
      </w:r>
      <w:r w:rsidR="00A207CE" w:rsidRPr="00734837">
        <w:rPr>
          <w:rFonts w:ascii="Times New Roman" w:hAnsi="Times New Roman" w:cs="Times New Roman"/>
          <w:sz w:val="24"/>
          <w:szCs w:val="24"/>
        </w:rPr>
        <w:t xml:space="preserve">ntries </w:t>
      </w:r>
      <w:r w:rsidR="00AC0A64" w:rsidRPr="00734837">
        <w:rPr>
          <w:rFonts w:ascii="Times New Roman" w:hAnsi="Times New Roman" w:cs="Times New Roman"/>
          <w:sz w:val="24"/>
          <w:szCs w:val="24"/>
        </w:rPr>
        <w:t xml:space="preserve">had a lesser average return but were highly risky. The Sharpe ratios of the individual countries’ portfolios confirmed this, with Zambia having the highest Sharpe ratio of 66.89% as compared to that of the minimum-variance (65.36% </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 xml:space="preserve"> 87.61%) and</w:t>
      </w:r>
      <w:r w:rsidR="008232D2" w:rsidRPr="00734837">
        <w:rPr>
          <w:rFonts w:ascii="Times New Roman" w:hAnsi="Times New Roman" w:cs="Times New Roman"/>
          <w:sz w:val="24"/>
          <w:szCs w:val="24"/>
        </w:rPr>
        <w:t xml:space="preserve"> the</w:t>
      </w:r>
      <w:r w:rsidR="00AC0A64" w:rsidRPr="00734837">
        <w:rPr>
          <w:rFonts w:ascii="Times New Roman" w:hAnsi="Times New Roman" w:cs="Times New Roman"/>
          <w:sz w:val="24"/>
          <w:szCs w:val="24"/>
        </w:rPr>
        <w:t xml:space="preserve"> optimal portfolios (97.88%) constructed. Two minimum-variance portfolios were constructed. The first had an expected return of 6.52% with a risk of 9.98%, whereas the second (additional constraint placed on it) had an expected return of 9.25%with a risk of 10.88%. The optimal portfolio offered an expected return of 13.38% with a risk of 13.67%. These portfolios (minimum-variance and optimal portfolios) constructed also outperformed that of the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 The </w:t>
      </w:r>
      <w:proofErr w:type="spellStart"/>
      <w:r w:rsidR="00AC0A64" w:rsidRPr="00734837">
        <w:rPr>
          <w:rFonts w:ascii="Times New Roman" w:hAnsi="Times New Roman" w:cs="Times New Roman"/>
          <w:sz w:val="24"/>
          <w:szCs w:val="24"/>
        </w:rPr>
        <w:t>S</w:t>
      </w:r>
      <w:r w:rsidR="00693D1C" w:rsidRPr="00734837">
        <w:rPr>
          <w:rFonts w:ascii="Times New Roman" w:hAnsi="Times New Roman" w:cs="Times New Roman"/>
          <w:sz w:val="24"/>
          <w:szCs w:val="24"/>
        </w:rPr>
        <w:t>and</w:t>
      </w:r>
      <w:r w:rsidR="00AC0A64" w:rsidRPr="00734837">
        <w:rPr>
          <w:rFonts w:ascii="Times New Roman" w:hAnsi="Times New Roman" w:cs="Times New Roman"/>
          <w:sz w:val="24"/>
          <w:szCs w:val="24"/>
        </w:rPr>
        <w:t>P</w:t>
      </w:r>
      <w:proofErr w:type="spellEnd"/>
      <w:r w:rsidR="00AC0A64" w:rsidRPr="00734837">
        <w:rPr>
          <w:rFonts w:ascii="Times New Roman" w:hAnsi="Times New Roman" w:cs="Times New Roman"/>
          <w:sz w:val="24"/>
          <w:szCs w:val="24"/>
        </w:rPr>
        <w:t xml:space="preserve"> Dow Jones portfolio had an average return of 4.57% with a risk of 14.50%.</w:t>
      </w:r>
    </w:p>
    <w:p w:rsidR="00AC0A64" w:rsidRPr="00734837" w:rsidRDefault="00AC0A64" w:rsidP="00DB671E">
      <w:pPr>
        <w:spacing w:line="240" w:lineRule="auto"/>
        <w:jc w:val="both"/>
        <w:rPr>
          <w:rFonts w:ascii="Times New Roman" w:hAnsi="Times New Roman" w:cs="Times New Roman"/>
          <w:noProof/>
          <w:sz w:val="24"/>
          <w:szCs w:val="24"/>
        </w:rPr>
      </w:pPr>
      <w:r w:rsidRPr="00734837">
        <w:rPr>
          <w:rFonts w:ascii="Times New Roman" w:hAnsi="Times New Roman" w:cs="Times New Roman"/>
          <w:sz w:val="24"/>
          <w:szCs w:val="24"/>
        </w:rPr>
        <w:t>Investors can invest and diversify across assets in their individual countries. However, they should sometimes move out of their comfort zone and invest across borders, since it offers higher and better investment opportunities as shown by this st</w:t>
      </w:r>
      <w:r w:rsidR="00B135D2" w:rsidRPr="00734837">
        <w:rPr>
          <w:rFonts w:ascii="Times New Roman" w:hAnsi="Times New Roman" w:cs="Times New Roman"/>
          <w:sz w:val="24"/>
          <w:szCs w:val="24"/>
        </w:rPr>
        <w:t xml:space="preserve">udy. Though </w:t>
      </w:r>
      <w:r w:rsidRPr="00734837">
        <w:rPr>
          <w:rFonts w:ascii="Times New Roman" w:hAnsi="Times New Roman" w:cs="Times New Roman"/>
          <w:sz w:val="24"/>
          <w:szCs w:val="24"/>
        </w:rPr>
        <w:t>Africa</w:t>
      </w:r>
      <w:r w:rsidR="008232D2" w:rsidRPr="00734837">
        <w:rPr>
          <w:rFonts w:ascii="Times New Roman" w:hAnsi="Times New Roman" w:cs="Times New Roman"/>
          <w:sz w:val="24"/>
          <w:szCs w:val="24"/>
        </w:rPr>
        <w:t xml:space="preserve">'s investment </w:t>
      </w:r>
      <w:r w:rsidR="005F561D" w:rsidRPr="00734837">
        <w:rPr>
          <w:rFonts w:ascii="Times New Roman" w:hAnsi="Times New Roman" w:cs="Times New Roman"/>
          <w:sz w:val="24"/>
          <w:szCs w:val="24"/>
        </w:rPr>
        <w:t>environment</w:t>
      </w:r>
      <w:r w:rsidRPr="00734837">
        <w:rPr>
          <w:rFonts w:ascii="Times New Roman" w:hAnsi="Times New Roman" w:cs="Times New Roman"/>
          <w:sz w:val="24"/>
          <w:szCs w:val="24"/>
        </w:rPr>
        <w:t xml:space="preserve"> is risky</w:t>
      </w:r>
      <w:r w:rsidR="00B135D2" w:rsidRPr="00734837">
        <w:rPr>
          <w:rFonts w:ascii="Times New Roman" w:hAnsi="Times New Roman" w:cs="Times New Roman"/>
          <w:sz w:val="24"/>
          <w:szCs w:val="24"/>
        </w:rPr>
        <w:t>, it</w:t>
      </w:r>
      <w:r w:rsidRPr="00734837">
        <w:rPr>
          <w:rFonts w:ascii="Times New Roman" w:hAnsi="Times New Roman" w:cs="Times New Roman"/>
          <w:sz w:val="24"/>
          <w:szCs w:val="24"/>
        </w:rPr>
        <w:t xml:space="preserve"> offers a better investment opportunity than that of the US </w:t>
      </w:r>
      <w:proofErr w:type="gramStart"/>
      <w:r w:rsidRPr="00734837">
        <w:rPr>
          <w:rFonts w:ascii="Times New Roman" w:hAnsi="Times New Roman" w:cs="Times New Roman"/>
          <w:sz w:val="24"/>
          <w:szCs w:val="24"/>
        </w:rPr>
        <w:t>economy which</w:t>
      </w:r>
      <w:proofErr w:type="gramEnd"/>
      <w:r w:rsidRPr="00734837">
        <w:rPr>
          <w:rFonts w:ascii="Times New Roman" w:hAnsi="Times New Roman" w:cs="Times New Roman"/>
          <w:sz w:val="24"/>
          <w:szCs w:val="24"/>
        </w:rPr>
        <w:t xml:space="preserve"> is less risky. The portfolios con</w:t>
      </w:r>
      <w:r w:rsidR="003A1BBC" w:rsidRPr="00734837">
        <w:rPr>
          <w:rFonts w:ascii="Times New Roman" w:hAnsi="Times New Roman" w:cs="Times New Roman"/>
          <w:sz w:val="24"/>
          <w:szCs w:val="24"/>
        </w:rPr>
        <w:t>structed indicated that, though</w:t>
      </w:r>
      <w:r w:rsidRPr="00734837">
        <w:rPr>
          <w:rFonts w:ascii="Times New Roman" w:hAnsi="Times New Roman" w:cs="Times New Roman"/>
          <w:sz w:val="24"/>
          <w:szCs w:val="24"/>
        </w:rPr>
        <w:t xml:space="preserve"> the individual African countries’ portfolios are highly risky, a well-diversified portfolio </w:t>
      </w:r>
      <w:proofErr w:type="gramStart"/>
      <w:r w:rsidRPr="00734837">
        <w:rPr>
          <w:rFonts w:ascii="Times New Roman" w:hAnsi="Times New Roman" w:cs="Times New Roman"/>
          <w:sz w:val="24"/>
          <w:szCs w:val="24"/>
        </w:rPr>
        <w:t>can</w:t>
      </w:r>
      <w:proofErr w:type="gramEnd"/>
      <w:r w:rsidRPr="00734837">
        <w:rPr>
          <w:rFonts w:ascii="Times New Roman" w:hAnsi="Times New Roman" w:cs="Times New Roman"/>
          <w:sz w:val="24"/>
          <w:szCs w:val="24"/>
        </w:rPr>
        <w:t xml:space="preserve"> offer a better risk-return trade-off by reducing the risk and increasing the return. The </w:t>
      </w:r>
      <w:r w:rsidR="00A91500" w:rsidRPr="00734837">
        <w:rPr>
          <w:rFonts w:ascii="Times New Roman" w:hAnsi="Times New Roman" w:cs="Times New Roman"/>
          <w:sz w:val="24"/>
          <w:szCs w:val="24"/>
        </w:rPr>
        <w:t>outcomes of the</w:t>
      </w:r>
      <w:r w:rsidR="00CB0905" w:rsidRPr="00734837">
        <w:rPr>
          <w:rFonts w:ascii="Times New Roman" w:hAnsi="Times New Roman" w:cs="Times New Roman"/>
          <w:sz w:val="24"/>
          <w:szCs w:val="24"/>
        </w:rPr>
        <w:t xml:space="preserve"> study also indicate</w:t>
      </w:r>
      <w:r w:rsidR="00256BBB" w:rsidRPr="00734837">
        <w:rPr>
          <w:rFonts w:ascii="Times New Roman" w:hAnsi="Times New Roman" w:cs="Times New Roman"/>
          <w:sz w:val="24"/>
          <w:szCs w:val="24"/>
        </w:rPr>
        <w:t>d</w:t>
      </w:r>
      <w:r w:rsidR="00CB0905" w:rsidRPr="00734837">
        <w:rPr>
          <w:rFonts w:ascii="Times New Roman" w:hAnsi="Times New Roman" w:cs="Times New Roman"/>
          <w:sz w:val="24"/>
          <w:szCs w:val="24"/>
        </w:rPr>
        <w:t xml:space="preserve"> </w:t>
      </w:r>
      <w:r w:rsidR="00865E05" w:rsidRPr="00734837">
        <w:rPr>
          <w:rFonts w:ascii="Times New Roman" w:hAnsi="Times New Roman" w:cs="Times New Roman"/>
          <w:sz w:val="24"/>
          <w:szCs w:val="24"/>
        </w:rPr>
        <w:t>that</w:t>
      </w:r>
      <w:r w:rsidR="00CB0905" w:rsidRPr="00734837">
        <w:rPr>
          <w:rFonts w:ascii="Times New Roman" w:hAnsi="Times New Roman" w:cs="Times New Roman"/>
          <w:sz w:val="24"/>
          <w:szCs w:val="24"/>
        </w:rPr>
        <w:t xml:space="preserve"> </w:t>
      </w:r>
      <w:r w:rsidRPr="00734837">
        <w:rPr>
          <w:rFonts w:ascii="Times New Roman" w:hAnsi="Times New Roman" w:cs="Times New Roman"/>
          <w:sz w:val="24"/>
          <w:szCs w:val="24"/>
        </w:rPr>
        <w:t xml:space="preserve">possible variations that can affect </w:t>
      </w:r>
      <w:r w:rsidR="008232D2" w:rsidRPr="00734837">
        <w:rPr>
          <w:rFonts w:ascii="Times New Roman" w:hAnsi="Times New Roman" w:cs="Times New Roman"/>
          <w:sz w:val="24"/>
          <w:szCs w:val="24"/>
        </w:rPr>
        <w:t xml:space="preserve">macroeconomic environment </w:t>
      </w:r>
      <w:r w:rsidRPr="00734837">
        <w:rPr>
          <w:rFonts w:ascii="Times New Roman" w:hAnsi="Times New Roman" w:cs="Times New Roman"/>
          <w:sz w:val="24"/>
          <w:szCs w:val="24"/>
        </w:rPr>
        <w:t xml:space="preserve">resulting in differences in returns </w:t>
      </w:r>
      <w:r w:rsidR="00222DE6" w:rsidRPr="00734837">
        <w:rPr>
          <w:rFonts w:ascii="Times New Roman" w:hAnsi="Times New Roman" w:cs="Times New Roman"/>
          <w:sz w:val="24"/>
          <w:szCs w:val="24"/>
        </w:rPr>
        <w:t>could not</w:t>
      </w:r>
      <w:r w:rsidRPr="00734837">
        <w:rPr>
          <w:rFonts w:ascii="Times New Roman" w:hAnsi="Times New Roman" w:cs="Times New Roman"/>
          <w:sz w:val="24"/>
          <w:szCs w:val="24"/>
        </w:rPr>
        <w:t xml:space="preserve"> have a significant effect on optimal choices. </w:t>
      </w:r>
      <w:r w:rsidR="00C501C1" w:rsidRPr="00734837">
        <w:rPr>
          <w:rFonts w:ascii="Times New Roman" w:hAnsi="Times New Roman" w:cs="Times New Roman"/>
          <w:noProof/>
          <w:sz w:val="24"/>
          <w:szCs w:val="24"/>
        </w:rPr>
        <w:t>Hence the</w:t>
      </w:r>
      <w:r w:rsidR="00AA7F85" w:rsidRPr="00734837">
        <w:rPr>
          <w:rFonts w:ascii="Times New Roman" w:hAnsi="Times New Roman" w:cs="Times New Roman"/>
          <w:noProof/>
          <w:sz w:val="24"/>
          <w:szCs w:val="24"/>
        </w:rPr>
        <w:t xml:space="preserve"> study </w:t>
      </w:r>
      <w:r w:rsidRPr="00734837">
        <w:rPr>
          <w:rFonts w:ascii="Times New Roman" w:hAnsi="Times New Roman" w:cs="Times New Roman"/>
          <w:noProof/>
          <w:sz w:val="24"/>
          <w:szCs w:val="24"/>
        </w:rPr>
        <w:t>also give</w:t>
      </w:r>
      <w:r w:rsidR="00AA7F85" w:rsidRPr="00734837">
        <w:rPr>
          <w:rFonts w:ascii="Times New Roman" w:hAnsi="Times New Roman" w:cs="Times New Roman"/>
          <w:noProof/>
          <w:sz w:val="24"/>
          <w:szCs w:val="24"/>
        </w:rPr>
        <w:t>s</w:t>
      </w:r>
      <w:r w:rsidRPr="00734837">
        <w:rPr>
          <w:rFonts w:ascii="Times New Roman" w:hAnsi="Times New Roman" w:cs="Times New Roman"/>
          <w:noProof/>
          <w:sz w:val="24"/>
          <w:szCs w:val="24"/>
        </w:rPr>
        <w:t xml:space="preserve"> some level of certainty to investors, since th</w:t>
      </w:r>
      <w:r w:rsidR="003B14B5" w:rsidRPr="00734837">
        <w:rPr>
          <w:rFonts w:ascii="Times New Roman" w:hAnsi="Times New Roman" w:cs="Times New Roman"/>
          <w:noProof/>
          <w:sz w:val="24"/>
          <w:szCs w:val="24"/>
        </w:rPr>
        <w:t xml:space="preserve">e bootstrapping performed </w:t>
      </w:r>
      <w:r w:rsidRPr="00734837">
        <w:rPr>
          <w:rFonts w:ascii="Times New Roman" w:hAnsi="Times New Roman" w:cs="Times New Roman"/>
          <w:noProof/>
          <w:sz w:val="24"/>
          <w:szCs w:val="24"/>
        </w:rPr>
        <w:t>cater</w:t>
      </w:r>
      <w:r w:rsidR="003B14B5" w:rsidRPr="00734837">
        <w:rPr>
          <w:rFonts w:ascii="Times New Roman" w:hAnsi="Times New Roman" w:cs="Times New Roman"/>
          <w:noProof/>
          <w:sz w:val="24"/>
          <w:szCs w:val="24"/>
        </w:rPr>
        <w:t>s</w:t>
      </w:r>
      <w:r w:rsidRPr="00734837">
        <w:rPr>
          <w:rFonts w:ascii="Times New Roman" w:hAnsi="Times New Roman" w:cs="Times New Roman"/>
          <w:noProof/>
          <w:sz w:val="24"/>
          <w:szCs w:val="24"/>
        </w:rPr>
        <w:t xml:space="preserve"> for most of th</w:t>
      </w:r>
      <w:r w:rsidR="00555112" w:rsidRPr="00734837">
        <w:rPr>
          <w:rFonts w:ascii="Times New Roman" w:hAnsi="Times New Roman" w:cs="Times New Roman"/>
          <w:noProof/>
          <w:sz w:val="24"/>
          <w:szCs w:val="24"/>
        </w:rPr>
        <w:t>e possible variations that can</w:t>
      </w:r>
      <w:r w:rsidRPr="00734837">
        <w:rPr>
          <w:rFonts w:ascii="Times New Roman" w:hAnsi="Times New Roman" w:cs="Times New Roman"/>
          <w:noProof/>
          <w:sz w:val="24"/>
          <w:szCs w:val="24"/>
        </w:rPr>
        <w:t xml:space="preserve"> occur </w:t>
      </w:r>
      <w:r w:rsidR="00222DE6" w:rsidRPr="00734837">
        <w:rPr>
          <w:rFonts w:ascii="Times New Roman" w:hAnsi="Times New Roman" w:cs="Times New Roman"/>
          <w:noProof/>
          <w:sz w:val="24"/>
          <w:szCs w:val="24"/>
        </w:rPr>
        <w:t>o</w:t>
      </w:r>
      <w:r w:rsidRPr="00734837">
        <w:rPr>
          <w:rFonts w:ascii="Times New Roman" w:hAnsi="Times New Roman" w:cs="Times New Roman"/>
          <w:noProof/>
          <w:sz w:val="24"/>
          <w:szCs w:val="24"/>
        </w:rPr>
        <w:t xml:space="preserve">n </w:t>
      </w:r>
      <w:r w:rsidR="00222DE6" w:rsidRPr="00734837">
        <w:rPr>
          <w:rFonts w:ascii="Times New Roman" w:hAnsi="Times New Roman" w:cs="Times New Roman"/>
          <w:noProof/>
          <w:sz w:val="24"/>
          <w:szCs w:val="24"/>
        </w:rPr>
        <w:t>the stock markets</w:t>
      </w:r>
      <w:r w:rsidRPr="00734837">
        <w:rPr>
          <w:rFonts w:ascii="Times New Roman" w:hAnsi="Times New Roman" w:cs="Times New Roman"/>
          <w:noProof/>
          <w:sz w:val="24"/>
          <w:szCs w:val="24"/>
        </w:rPr>
        <w:t>.</w:t>
      </w:r>
    </w:p>
    <w:p w:rsidR="00A4115E" w:rsidRPr="00734837" w:rsidRDefault="00222DE6" w:rsidP="00904306">
      <w:pPr>
        <w:spacing w:line="240" w:lineRule="auto"/>
        <w:jc w:val="both"/>
        <w:rPr>
          <w:rFonts w:ascii="Times New Roman" w:hAnsi="Times New Roman" w:cs="Times New Roman"/>
          <w:noProof/>
          <w:sz w:val="24"/>
          <w:szCs w:val="24"/>
        </w:rPr>
      </w:pPr>
      <w:r w:rsidRPr="00734837">
        <w:rPr>
          <w:rFonts w:ascii="Times New Roman" w:hAnsi="Times New Roman" w:cs="Times New Roman"/>
          <w:noProof/>
          <w:sz w:val="24"/>
          <w:szCs w:val="24"/>
        </w:rPr>
        <w:t>The</w:t>
      </w:r>
      <w:r w:rsidR="009F207E" w:rsidRPr="00734837">
        <w:rPr>
          <w:rFonts w:ascii="Times New Roman" w:hAnsi="Times New Roman" w:cs="Times New Roman"/>
          <w:noProof/>
          <w:sz w:val="24"/>
          <w:szCs w:val="24"/>
        </w:rPr>
        <w:t xml:space="preserve"> study can</w:t>
      </w:r>
      <w:r w:rsidR="00997148" w:rsidRPr="00734837">
        <w:rPr>
          <w:rFonts w:ascii="Times New Roman" w:hAnsi="Times New Roman" w:cs="Times New Roman"/>
          <w:noProof/>
          <w:sz w:val="24"/>
          <w:szCs w:val="24"/>
        </w:rPr>
        <w:t xml:space="preserve"> motivate</w:t>
      </w:r>
      <w:r w:rsidR="00AC0A64" w:rsidRPr="00734837">
        <w:rPr>
          <w:rFonts w:ascii="Times New Roman" w:hAnsi="Times New Roman" w:cs="Times New Roman"/>
          <w:noProof/>
          <w:sz w:val="24"/>
          <w:szCs w:val="24"/>
        </w:rPr>
        <w:t xml:space="preserve"> foreign investors to invest in African markets</w:t>
      </w:r>
      <w:r w:rsidR="00306CAA" w:rsidRPr="00734837">
        <w:rPr>
          <w:rFonts w:ascii="Times New Roman" w:hAnsi="Times New Roman" w:cs="Times New Roman"/>
          <w:noProof/>
          <w:sz w:val="24"/>
          <w:szCs w:val="24"/>
        </w:rPr>
        <w:t>.</w:t>
      </w:r>
      <w:r w:rsidR="00AC0A64" w:rsidRPr="00734837">
        <w:rPr>
          <w:rFonts w:ascii="Times New Roman" w:hAnsi="Times New Roman" w:cs="Times New Roman"/>
          <w:noProof/>
          <w:sz w:val="24"/>
          <w:szCs w:val="24"/>
        </w:rPr>
        <w:t xml:space="preserve"> </w:t>
      </w:r>
      <w:r w:rsidR="00306CAA" w:rsidRPr="00734837">
        <w:rPr>
          <w:rFonts w:ascii="Times New Roman" w:hAnsi="Times New Roman" w:cs="Times New Roman"/>
          <w:noProof/>
          <w:sz w:val="24"/>
          <w:szCs w:val="24"/>
        </w:rPr>
        <w:t xml:space="preserve">This is because </w:t>
      </w:r>
      <w:r w:rsidR="00AC0A64" w:rsidRPr="00734837">
        <w:rPr>
          <w:rFonts w:ascii="Times New Roman" w:hAnsi="Times New Roman" w:cs="Times New Roman"/>
          <w:noProof/>
          <w:sz w:val="24"/>
          <w:szCs w:val="24"/>
        </w:rPr>
        <w:t>they w</w:t>
      </w:r>
      <w:r w:rsidR="002C06AA" w:rsidRPr="00734837">
        <w:rPr>
          <w:rFonts w:ascii="Times New Roman" w:hAnsi="Times New Roman" w:cs="Times New Roman"/>
          <w:noProof/>
          <w:sz w:val="24"/>
          <w:szCs w:val="24"/>
        </w:rPr>
        <w:t>ill</w:t>
      </w:r>
      <w:r w:rsidR="00306CAA" w:rsidRPr="00734837">
        <w:rPr>
          <w:rFonts w:ascii="Times New Roman" w:hAnsi="Times New Roman" w:cs="Times New Roman"/>
          <w:noProof/>
          <w:sz w:val="24"/>
          <w:szCs w:val="24"/>
        </w:rPr>
        <w:t xml:space="preserve"> be rewarded for the</w:t>
      </w:r>
      <w:r w:rsidR="00803031" w:rsidRPr="00734837">
        <w:rPr>
          <w:rFonts w:ascii="Times New Roman" w:hAnsi="Times New Roman" w:cs="Times New Roman"/>
          <w:noProof/>
          <w:sz w:val="24"/>
          <w:szCs w:val="24"/>
        </w:rPr>
        <w:t xml:space="preserve"> extra</w:t>
      </w:r>
      <w:r w:rsidR="00AC0A64" w:rsidRPr="00734837">
        <w:rPr>
          <w:rFonts w:ascii="Times New Roman" w:hAnsi="Times New Roman" w:cs="Times New Roman"/>
          <w:noProof/>
          <w:sz w:val="24"/>
          <w:szCs w:val="24"/>
        </w:rPr>
        <w:t xml:space="preserve"> risk </w:t>
      </w:r>
      <w:r w:rsidR="0080202B" w:rsidRPr="00734837">
        <w:rPr>
          <w:rFonts w:ascii="Times New Roman" w:hAnsi="Times New Roman" w:cs="Times New Roman"/>
          <w:noProof/>
          <w:sz w:val="24"/>
          <w:szCs w:val="24"/>
        </w:rPr>
        <w:t>they</w:t>
      </w:r>
      <w:r w:rsidR="00AC0A64" w:rsidRPr="00734837">
        <w:rPr>
          <w:rFonts w:ascii="Times New Roman" w:hAnsi="Times New Roman" w:cs="Times New Roman"/>
          <w:noProof/>
          <w:sz w:val="24"/>
          <w:szCs w:val="24"/>
        </w:rPr>
        <w:t xml:space="preserve"> would take </w:t>
      </w:r>
      <w:r w:rsidR="00911466" w:rsidRPr="00734837">
        <w:rPr>
          <w:rFonts w:ascii="Times New Roman" w:hAnsi="Times New Roman" w:cs="Times New Roman"/>
          <w:noProof/>
          <w:sz w:val="24"/>
          <w:szCs w:val="24"/>
        </w:rPr>
        <w:t>for</w:t>
      </w:r>
      <w:r w:rsidR="001D3D85" w:rsidRPr="00734837">
        <w:rPr>
          <w:rFonts w:ascii="Times New Roman" w:hAnsi="Times New Roman" w:cs="Times New Roman"/>
          <w:noProof/>
          <w:sz w:val="24"/>
          <w:szCs w:val="24"/>
        </w:rPr>
        <w:t xml:space="preserve"> investing in Africa, </w:t>
      </w:r>
      <w:r w:rsidR="00306CAA" w:rsidRPr="00734837">
        <w:rPr>
          <w:rFonts w:ascii="Times New Roman" w:hAnsi="Times New Roman" w:cs="Times New Roman"/>
          <w:noProof/>
          <w:sz w:val="24"/>
          <w:szCs w:val="24"/>
        </w:rPr>
        <w:t xml:space="preserve">as </w:t>
      </w:r>
      <w:r w:rsidR="00AC0A64" w:rsidRPr="00734837">
        <w:rPr>
          <w:rFonts w:ascii="Times New Roman" w:hAnsi="Times New Roman" w:cs="Times New Roman"/>
          <w:noProof/>
          <w:sz w:val="24"/>
          <w:szCs w:val="24"/>
        </w:rPr>
        <w:t>compared to their less risky environment.</w:t>
      </w:r>
      <w:r w:rsidR="00775A5F" w:rsidRPr="00734837">
        <w:rPr>
          <w:rFonts w:ascii="Times New Roman" w:hAnsi="Times New Roman" w:cs="Times New Roman"/>
          <w:noProof/>
          <w:sz w:val="24"/>
          <w:szCs w:val="24"/>
        </w:rPr>
        <w:t xml:space="preserve"> </w:t>
      </w:r>
      <w:r w:rsidR="00C501C1" w:rsidRPr="00734837">
        <w:rPr>
          <w:rFonts w:ascii="Times New Roman" w:hAnsi="Times New Roman" w:cs="Times New Roman"/>
          <w:noProof/>
          <w:sz w:val="24"/>
          <w:szCs w:val="24"/>
        </w:rPr>
        <w:t>The</w:t>
      </w:r>
      <w:r w:rsidR="00911466" w:rsidRPr="00734837">
        <w:rPr>
          <w:rFonts w:ascii="Times New Roman" w:hAnsi="Times New Roman" w:cs="Times New Roman"/>
          <w:noProof/>
          <w:sz w:val="24"/>
          <w:szCs w:val="24"/>
        </w:rPr>
        <w:t xml:space="preserve"> bootstrapping technique adopted portrays </w:t>
      </w:r>
      <w:r w:rsidR="00AC0A64" w:rsidRPr="00734837">
        <w:rPr>
          <w:rFonts w:ascii="Times New Roman" w:hAnsi="Times New Roman" w:cs="Times New Roman"/>
          <w:noProof/>
          <w:sz w:val="24"/>
          <w:szCs w:val="24"/>
        </w:rPr>
        <w:t xml:space="preserve"> </w:t>
      </w:r>
      <w:r w:rsidR="00911466" w:rsidRPr="00734837">
        <w:rPr>
          <w:rFonts w:ascii="Times New Roman" w:hAnsi="Times New Roman" w:cs="Times New Roman"/>
          <w:noProof/>
          <w:sz w:val="24"/>
          <w:szCs w:val="24"/>
        </w:rPr>
        <w:t>the robustness of the results to the variations in returns.</w:t>
      </w:r>
      <w:r w:rsidR="00AC0A64" w:rsidRPr="00734837">
        <w:rPr>
          <w:rFonts w:ascii="Times New Roman" w:hAnsi="Times New Roman" w:cs="Times New Roman"/>
          <w:noProof/>
          <w:sz w:val="24"/>
          <w:szCs w:val="24"/>
        </w:rPr>
        <w:t xml:space="preserve"> </w:t>
      </w:r>
      <w:r w:rsidR="001E4415" w:rsidRPr="00734837">
        <w:rPr>
          <w:rFonts w:ascii="Times New Roman" w:hAnsi="Times New Roman" w:cs="Times New Roman"/>
          <w:noProof/>
          <w:sz w:val="24"/>
          <w:szCs w:val="24"/>
        </w:rPr>
        <w:t>The results of this</w:t>
      </w:r>
      <w:r w:rsidR="00AC0A64" w:rsidRPr="00734837">
        <w:rPr>
          <w:rFonts w:ascii="Times New Roman" w:hAnsi="Times New Roman" w:cs="Times New Roman"/>
          <w:noProof/>
          <w:sz w:val="24"/>
          <w:szCs w:val="24"/>
        </w:rPr>
        <w:t xml:space="preserve"> research </w:t>
      </w:r>
      <w:r w:rsidR="001E4415" w:rsidRPr="00734837">
        <w:rPr>
          <w:rFonts w:ascii="Times New Roman" w:hAnsi="Times New Roman" w:cs="Times New Roman"/>
          <w:noProof/>
          <w:sz w:val="24"/>
          <w:szCs w:val="24"/>
        </w:rPr>
        <w:t xml:space="preserve">also </w:t>
      </w:r>
      <w:r w:rsidR="0080202B" w:rsidRPr="00734837">
        <w:rPr>
          <w:rFonts w:ascii="Times New Roman" w:hAnsi="Times New Roman" w:cs="Times New Roman"/>
          <w:noProof/>
          <w:sz w:val="24"/>
          <w:szCs w:val="24"/>
        </w:rPr>
        <w:t>suggest</w:t>
      </w:r>
      <w:r w:rsidR="00C22D53" w:rsidRPr="00734837">
        <w:rPr>
          <w:rFonts w:ascii="Times New Roman" w:hAnsi="Times New Roman" w:cs="Times New Roman"/>
          <w:noProof/>
          <w:sz w:val="24"/>
          <w:szCs w:val="24"/>
        </w:rPr>
        <w:t xml:space="preserve"> </w:t>
      </w:r>
      <w:r w:rsidR="00D7678E" w:rsidRPr="00734837">
        <w:rPr>
          <w:rFonts w:ascii="Times New Roman" w:hAnsi="Times New Roman" w:cs="Times New Roman"/>
          <w:noProof/>
          <w:sz w:val="24"/>
          <w:szCs w:val="24"/>
        </w:rPr>
        <w:t>that well diversified</w:t>
      </w:r>
      <w:r w:rsidR="00AC0A64" w:rsidRPr="00734837">
        <w:rPr>
          <w:rFonts w:ascii="Times New Roman" w:hAnsi="Times New Roman" w:cs="Times New Roman"/>
          <w:noProof/>
          <w:sz w:val="24"/>
          <w:szCs w:val="24"/>
        </w:rPr>
        <w:t xml:space="preserve"> portfolio across the eleven stock markets offers very attractive </w:t>
      </w:r>
      <w:r w:rsidR="0080202B" w:rsidRPr="00734837">
        <w:rPr>
          <w:rFonts w:ascii="Times New Roman" w:hAnsi="Times New Roman" w:cs="Times New Roman"/>
          <w:noProof/>
          <w:sz w:val="24"/>
          <w:szCs w:val="24"/>
        </w:rPr>
        <w:t>investment</w:t>
      </w:r>
      <w:r w:rsidR="00AC0A64" w:rsidRPr="00734837">
        <w:rPr>
          <w:rFonts w:ascii="Times New Roman" w:hAnsi="Times New Roman" w:cs="Times New Roman"/>
          <w:noProof/>
          <w:sz w:val="24"/>
          <w:szCs w:val="24"/>
        </w:rPr>
        <w:t xml:space="preserve"> opportunities as compared to that of the dev</w:t>
      </w:r>
      <w:r w:rsidR="00E624E8" w:rsidRPr="00734837">
        <w:rPr>
          <w:rFonts w:ascii="Times New Roman" w:hAnsi="Times New Roman" w:cs="Times New Roman"/>
          <w:noProof/>
          <w:sz w:val="24"/>
          <w:szCs w:val="24"/>
        </w:rPr>
        <w:t xml:space="preserve">eloped economy. </w:t>
      </w:r>
    </w:p>
    <w:p w:rsidR="00B22FDC" w:rsidRPr="00734837" w:rsidRDefault="00B22FDC" w:rsidP="00904306">
      <w:pPr>
        <w:spacing w:line="240" w:lineRule="auto"/>
        <w:jc w:val="both"/>
        <w:rPr>
          <w:rFonts w:ascii="Times New Roman" w:hAnsi="Times New Roman" w:cs="Times New Roman"/>
          <w:noProof/>
          <w:sz w:val="24"/>
          <w:szCs w:val="24"/>
        </w:rPr>
      </w:pPr>
    </w:p>
    <w:p w:rsidR="00B22FDC" w:rsidRPr="00734837" w:rsidRDefault="00B22FDC" w:rsidP="00904306">
      <w:pPr>
        <w:spacing w:line="240" w:lineRule="auto"/>
        <w:jc w:val="both"/>
        <w:rPr>
          <w:rFonts w:ascii="Times New Roman" w:hAnsi="Times New Roman" w:cs="Times New Roman"/>
          <w:noProof/>
          <w:sz w:val="24"/>
          <w:szCs w:val="24"/>
        </w:rPr>
      </w:pPr>
    </w:p>
    <w:p w:rsidR="00A4115E" w:rsidRPr="00734837" w:rsidRDefault="00A4115E" w:rsidP="00DB671E">
      <w:pPr>
        <w:tabs>
          <w:tab w:val="left" w:pos="4152"/>
        </w:tabs>
        <w:spacing w:line="240" w:lineRule="auto"/>
        <w:jc w:val="both"/>
        <w:rPr>
          <w:rFonts w:ascii="Times New Roman" w:hAnsi="Times New Roman" w:cs="Times New Roman"/>
          <w:noProof/>
          <w:sz w:val="24"/>
          <w:szCs w:val="24"/>
        </w:rPr>
      </w:pPr>
    </w:p>
    <w:p w:rsidR="002A5791" w:rsidRPr="00734837" w:rsidRDefault="002A5791" w:rsidP="00DB671E">
      <w:pPr>
        <w:tabs>
          <w:tab w:val="left" w:pos="4152"/>
        </w:tabs>
        <w:spacing w:line="240" w:lineRule="auto"/>
        <w:jc w:val="both"/>
        <w:rPr>
          <w:rFonts w:ascii="Times New Roman" w:hAnsi="Times New Roman" w:cs="Times New Roman"/>
          <w:noProof/>
          <w:sz w:val="24"/>
          <w:szCs w:val="24"/>
        </w:rPr>
      </w:pPr>
    </w:p>
    <w:p w:rsidR="00AC0A64" w:rsidRPr="00734837" w:rsidRDefault="00AC0A64" w:rsidP="00DB671E">
      <w:pPr>
        <w:pStyle w:val="Heading1"/>
        <w:spacing w:line="240" w:lineRule="auto"/>
        <w:rPr>
          <w:rFonts w:cs="Times New Roman"/>
          <w:noProof/>
        </w:rPr>
      </w:pPr>
      <w:bookmarkStart w:id="14" w:name="_Toc423924964"/>
      <w:r w:rsidRPr="00734837">
        <w:rPr>
          <w:rFonts w:cs="Times New Roman"/>
          <w:noProof/>
        </w:rPr>
        <w:lastRenderedPageBreak/>
        <w:t>REFERENCES</w:t>
      </w:r>
      <w:bookmarkEnd w:id="14"/>
    </w:p>
    <w:p w:rsidR="00A4115E" w:rsidRPr="00734837" w:rsidRDefault="00A4115E" w:rsidP="00A4115E">
      <w:pPr>
        <w:pStyle w:val="NormalWeb"/>
        <w:ind w:left="480" w:hanging="480"/>
        <w:jc w:val="both"/>
        <w:rPr>
          <w:noProof/>
        </w:rPr>
      </w:pPr>
      <w:r w:rsidRPr="00734837">
        <w:rPr>
          <w:noProof/>
        </w:rPr>
        <w:t xml:space="preserve">Assaf, A. G., Barros, C. P., </w:t>
      </w:r>
      <w:r w:rsidR="00693D1C" w:rsidRPr="00734837">
        <w:rPr>
          <w:noProof/>
        </w:rPr>
        <w:t>and</w:t>
      </w:r>
      <w:r w:rsidRPr="00734837">
        <w:rPr>
          <w:noProof/>
        </w:rPr>
        <w:t xml:space="preserve"> Matousek, R. (2011). Productivity and efficiency analysis of Shinkin banks: Evidence from bootstrap and Bayesian approaches.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35</w:t>
      </w:r>
      <w:r w:rsidRPr="00734837">
        <w:rPr>
          <w:noProof/>
        </w:rPr>
        <w:t xml:space="preserve">(2), 331–342. </w:t>
      </w:r>
    </w:p>
    <w:p w:rsidR="00A4115E" w:rsidRPr="00734837" w:rsidRDefault="00A4115E" w:rsidP="00A4115E">
      <w:pPr>
        <w:pStyle w:val="NormalWeb"/>
        <w:ind w:left="480" w:hanging="480"/>
        <w:jc w:val="both"/>
        <w:rPr>
          <w:noProof/>
        </w:rPr>
      </w:pPr>
      <w:r w:rsidRPr="00734837">
        <w:rPr>
          <w:noProof/>
        </w:rPr>
        <w:t xml:space="preserve">Adachi, J., </w:t>
      </w:r>
      <w:r w:rsidR="00693D1C" w:rsidRPr="00734837">
        <w:rPr>
          <w:noProof/>
        </w:rPr>
        <w:t>and</w:t>
      </w:r>
      <w:r w:rsidRPr="00734837">
        <w:rPr>
          <w:noProof/>
        </w:rPr>
        <w:t xml:space="preserve"> Gupta, A. (2005). Simulation-based parametric optimization for long-term asset allocation using behavioral utilities. </w:t>
      </w:r>
      <w:r w:rsidRPr="00734837">
        <w:rPr>
          <w:i/>
          <w:iCs/>
          <w:noProof/>
        </w:rPr>
        <w:t>Applied Mathematical Modelling</w:t>
      </w:r>
      <w:r w:rsidRPr="00734837">
        <w:rPr>
          <w:noProof/>
        </w:rPr>
        <w:t xml:space="preserve">, </w:t>
      </w:r>
      <w:r w:rsidRPr="00734837">
        <w:rPr>
          <w:i/>
          <w:iCs/>
          <w:noProof/>
        </w:rPr>
        <w:t>29</w:t>
      </w:r>
      <w:r w:rsidRPr="00734837">
        <w:rPr>
          <w:noProof/>
        </w:rPr>
        <w:t>(4), 309–320.</w:t>
      </w:r>
    </w:p>
    <w:p w:rsidR="00A4115E" w:rsidRPr="00734837" w:rsidRDefault="00A4115E" w:rsidP="00A4115E">
      <w:pPr>
        <w:pStyle w:val="NormalWeb"/>
        <w:ind w:left="480" w:hanging="480"/>
        <w:jc w:val="both"/>
        <w:rPr>
          <w:noProof/>
        </w:rPr>
      </w:pPr>
      <w:r w:rsidRPr="00734837">
        <w:rPr>
          <w:noProof/>
        </w:rPr>
        <w:t>Adjasi, C., Harvey, S. K., and Agyapong, D. and (2008). Effect of exchange rate volatility on the ghana stock exchange.</w:t>
      </w:r>
      <w:r w:rsidRPr="00734837">
        <w:rPr>
          <w:rFonts w:eastAsia="MacmillanRoman"/>
          <w:i/>
          <w:color w:val="000000"/>
        </w:rPr>
        <w:t xml:space="preserve"> African Journal of Accounting, Economics, Finance and Banking Research,</w:t>
      </w:r>
      <w:r w:rsidRPr="00734837">
        <w:rPr>
          <w:noProof/>
        </w:rPr>
        <w:t xml:space="preserve"> </w:t>
      </w:r>
      <w:r w:rsidRPr="00734837">
        <w:rPr>
          <w:i/>
          <w:iCs/>
          <w:noProof/>
        </w:rPr>
        <w:t>3</w:t>
      </w:r>
      <w:r w:rsidRPr="00734837">
        <w:rPr>
          <w:noProof/>
        </w:rPr>
        <w:t>(3), 28–47.</w:t>
      </w:r>
    </w:p>
    <w:p w:rsidR="00A4115E" w:rsidRPr="00734837" w:rsidRDefault="00A4115E" w:rsidP="00A4115E">
      <w:pPr>
        <w:pStyle w:val="NormalWeb"/>
        <w:ind w:left="480" w:hanging="480"/>
        <w:jc w:val="both"/>
        <w:rPr>
          <w:noProof/>
        </w:rPr>
      </w:pPr>
      <w:r w:rsidRPr="00734837">
        <w:rPr>
          <w:noProof/>
        </w:rPr>
        <w:t xml:space="preserve">Alagidede, P., </w:t>
      </w:r>
      <w:r w:rsidR="00693D1C" w:rsidRPr="00734837">
        <w:rPr>
          <w:noProof/>
        </w:rPr>
        <w:t>and</w:t>
      </w:r>
      <w:r w:rsidRPr="00734837">
        <w:rPr>
          <w:noProof/>
        </w:rPr>
        <w:t xml:space="preserve"> Panagiotidis, T. (2009). Modelling stock returns in Africa’s emerging equity markets. </w:t>
      </w:r>
      <w:r w:rsidRPr="00734837">
        <w:rPr>
          <w:i/>
          <w:iCs/>
          <w:noProof/>
        </w:rPr>
        <w:t>International Review of Financial Analysis</w:t>
      </w:r>
      <w:r w:rsidRPr="00734837">
        <w:rPr>
          <w:noProof/>
        </w:rPr>
        <w:t xml:space="preserve">, </w:t>
      </w:r>
      <w:r w:rsidRPr="00734837">
        <w:rPr>
          <w:i/>
          <w:iCs/>
          <w:noProof/>
        </w:rPr>
        <w:t>18</w:t>
      </w:r>
      <w:r w:rsidRPr="00734837">
        <w:rPr>
          <w:noProof/>
        </w:rPr>
        <w:t>(1-2), 1–11.</w:t>
      </w:r>
    </w:p>
    <w:p w:rsidR="00A4115E" w:rsidRPr="00734837" w:rsidRDefault="00A4115E" w:rsidP="00A4115E">
      <w:pPr>
        <w:pStyle w:val="NormalWeb"/>
        <w:ind w:left="480" w:hanging="480"/>
        <w:jc w:val="both"/>
        <w:rPr>
          <w:noProof/>
        </w:rPr>
      </w:pPr>
      <w:r w:rsidRPr="00734837">
        <w:rPr>
          <w:noProof/>
        </w:rPr>
        <w:t xml:space="preserve">Amenc, N., </w:t>
      </w:r>
      <w:r w:rsidR="00693D1C" w:rsidRPr="00734837">
        <w:rPr>
          <w:noProof/>
        </w:rPr>
        <w:t>and</w:t>
      </w:r>
      <w:r w:rsidRPr="00734837">
        <w:rPr>
          <w:noProof/>
        </w:rPr>
        <w:t xml:space="preserve"> Martellini, L. (2011). In Diversification We Trust ? </w:t>
      </w:r>
      <w:r w:rsidRPr="00734837">
        <w:rPr>
          <w:i/>
          <w:iCs/>
          <w:noProof/>
        </w:rPr>
        <w:t>The Journal of Portfolio Management</w:t>
      </w:r>
      <w:r w:rsidRPr="00734837">
        <w:rPr>
          <w:noProof/>
        </w:rPr>
        <w:t xml:space="preserve">, </w:t>
      </w:r>
      <w:r w:rsidRPr="00734837">
        <w:rPr>
          <w:i/>
          <w:iCs/>
          <w:noProof/>
        </w:rPr>
        <w:t>37</w:t>
      </w:r>
      <w:r w:rsidRPr="00734837">
        <w:rPr>
          <w:noProof/>
        </w:rPr>
        <w:t>(2), 1–2.</w:t>
      </w:r>
    </w:p>
    <w:p w:rsidR="00A4115E" w:rsidRPr="00734837" w:rsidRDefault="00A4115E" w:rsidP="00A4115E">
      <w:pPr>
        <w:pStyle w:val="NormalWeb"/>
        <w:ind w:left="480" w:hanging="480"/>
        <w:jc w:val="both"/>
        <w:rPr>
          <w:noProof/>
        </w:rPr>
      </w:pPr>
      <w:r w:rsidRPr="00734837">
        <w:rPr>
          <w:noProof/>
        </w:rPr>
        <w:t xml:space="preserve">Aslanidis, N., </w:t>
      </w:r>
      <w:r w:rsidR="00693D1C" w:rsidRPr="00734837">
        <w:rPr>
          <w:noProof/>
        </w:rPr>
        <w:t>and</w:t>
      </w:r>
      <w:r w:rsidRPr="00734837">
        <w:rPr>
          <w:noProof/>
        </w:rPr>
        <w:t xml:space="preserve"> Casas, I. (2013). Nonparametric correlation models for portfolio allocation.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37</w:t>
      </w:r>
      <w:r w:rsidRPr="00734837">
        <w:rPr>
          <w:noProof/>
        </w:rPr>
        <w:t>(7), 2268–2283.</w:t>
      </w:r>
    </w:p>
    <w:p w:rsidR="00A4115E" w:rsidRPr="00734837" w:rsidRDefault="00A4115E" w:rsidP="00A4115E">
      <w:pPr>
        <w:pStyle w:val="NormalWeb"/>
        <w:ind w:left="480" w:hanging="480"/>
        <w:jc w:val="both"/>
        <w:rPr>
          <w:noProof/>
        </w:rPr>
      </w:pPr>
      <w:r w:rsidRPr="00734837">
        <w:rPr>
          <w:noProof/>
        </w:rPr>
        <w:t xml:space="preserve">Bae, G. I., Kim, W. C., </w:t>
      </w:r>
      <w:r w:rsidR="00693D1C" w:rsidRPr="00734837">
        <w:rPr>
          <w:noProof/>
        </w:rPr>
        <w:t>and</w:t>
      </w:r>
      <w:r w:rsidRPr="00734837">
        <w:rPr>
          <w:noProof/>
        </w:rPr>
        <w:t xml:space="preserve"> Mulvey, J. M. (2014). Dynamic asset allocation for varied financial markets under regime switching framework. </w:t>
      </w:r>
      <w:r w:rsidRPr="00734837">
        <w:rPr>
          <w:i/>
          <w:iCs/>
          <w:noProof/>
        </w:rPr>
        <w:t>European Journal of Operational Research</w:t>
      </w:r>
      <w:r w:rsidRPr="00734837">
        <w:rPr>
          <w:noProof/>
        </w:rPr>
        <w:t xml:space="preserve">, </w:t>
      </w:r>
      <w:r w:rsidRPr="00734837">
        <w:rPr>
          <w:i/>
          <w:iCs/>
          <w:noProof/>
        </w:rPr>
        <w:t>234</w:t>
      </w:r>
      <w:r w:rsidRPr="00734837">
        <w:rPr>
          <w:noProof/>
        </w:rPr>
        <w:t>(2), 450–458.</w:t>
      </w:r>
    </w:p>
    <w:p w:rsidR="001E1D61" w:rsidRPr="00734837" w:rsidRDefault="001E1D61" w:rsidP="00A4115E">
      <w:pPr>
        <w:pStyle w:val="NormalWeb"/>
        <w:ind w:left="480" w:hanging="480"/>
        <w:jc w:val="both"/>
        <w:rPr>
          <w:noProof/>
        </w:rPr>
      </w:pPr>
      <w:r w:rsidRPr="00734837">
        <w:rPr>
          <w:noProof/>
        </w:rPr>
        <w:t>Bekaert G., and Harvey C. R. (1997a), Time varying world market integration, Journal of Financial Economics, Vol. 43, Issue 1, pages 29-78.</w:t>
      </w:r>
    </w:p>
    <w:p w:rsidR="00A4115E" w:rsidRPr="00734837" w:rsidRDefault="00A4115E" w:rsidP="00A4115E">
      <w:pPr>
        <w:pStyle w:val="NormalWeb"/>
        <w:ind w:left="480" w:hanging="480"/>
        <w:jc w:val="both"/>
        <w:rPr>
          <w:noProof/>
        </w:rPr>
      </w:pPr>
      <w:r w:rsidRPr="00734837">
        <w:rPr>
          <w:noProof/>
        </w:rPr>
        <w:t xml:space="preserve">Brandtner, M. (2013). Conditional Value-at-Risk, spectral risk measures and (non-) diversification in portfolio selection problems – A comparison with mean-variance analysis. </w:t>
      </w:r>
      <w:r w:rsidRPr="00734837">
        <w:rPr>
          <w:i/>
          <w:iCs/>
          <w:noProof/>
        </w:rPr>
        <w:t>Journal of Banking and Finance</w:t>
      </w:r>
      <w:r w:rsidRPr="00734837">
        <w:rPr>
          <w:noProof/>
        </w:rPr>
        <w:t xml:space="preserve">, </w:t>
      </w:r>
      <w:r w:rsidRPr="00734837">
        <w:rPr>
          <w:i/>
          <w:iCs/>
          <w:noProof/>
        </w:rPr>
        <w:t>37</w:t>
      </w:r>
      <w:r w:rsidRPr="00734837">
        <w:rPr>
          <w:noProof/>
        </w:rPr>
        <w:t xml:space="preserve">(12), 5526–5537. </w:t>
      </w:r>
    </w:p>
    <w:p w:rsidR="00A4115E" w:rsidRPr="00734837" w:rsidRDefault="00A4115E" w:rsidP="00A4115E">
      <w:pPr>
        <w:pStyle w:val="NormalWeb"/>
        <w:ind w:left="480" w:hanging="480"/>
        <w:jc w:val="both"/>
        <w:rPr>
          <w:noProof/>
        </w:rPr>
      </w:pPr>
      <w:proofErr w:type="gramStart"/>
      <w:r w:rsidRPr="00734837">
        <w:rPr>
          <w:noProof/>
        </w:rPr>
        <w:t>Brennan,</w:t>
      </w:r>
      <w:r w:rsidRPr="00734837">
        <w:t xml:space="preserve"> M. J., Schwartz, E. S., </w:t>
      </w:r>
      <w:r w:rsidR="00693D1C" w:rsidRPr="00734837">
        <w:t>and</w:t>
      </w:r>
      <w:r w:rsidRPr="00734837">
        <w:t xml:space="preserve"> </w:t>
      </w:r>
      <w:proofErr w:type="spellStart"/>
      <w:r w:rsidRPr="00734837">
        <w:t>Lagnado</w:t>
      </w:r>
      <w:proofErr w:type="spellEnd"/>
      <w:r w:rsidRPr="00734837">
        <w:t>, R. (1997).</w:t>
      </w:r>
      <w:proofErr w:type="gramEnd"/>
      <w:r w:rsidRPr="00734837">
        <w:t xml:space="preserve"> </w:t>
      </w:r>
      <w:proofErr w:type="gramStart"/>
      <w:r w:rsidRPr="00734837">
        <w:t>Strategic asset allocation.</w:t>
      </w:r>
      <w:proofErr w:type="gramEnd"/>
      <w:r w:rsidRPr="00734837">
        <w:t xml:space="preserve"> </w:t>
      </w:r>
      <w:r w:rsidRPr="00734837">
        <w:rPr>
          <w:i/>
        </w:rPr>
        <w:t>Journal of           Economic Dynamic and Control,</w:t>
      </w:r>
      <w:r w:rsidRPr="00734837">
        <w:rPr>
          <w:noProof/>
        </w:rPr>
        <w:t xml:space="preserve"> </w:t>
      </w:r>
      <w:r w:rsidRPr="00734837">
        <w:rPr>
          <w:i/>
          <w:iCs/>
          <w:noProof/>
        </w:rPr>
        <w:t>21</w:t>
      </w:r>
      <w:r w:rsidRPr="00734837">
        <w:rPr>
          <w:iCs/>
          <w:noProof/>
        </w:rPr>
        <w:t>(8-9)</w:t>
      </w:r>
      <w:r w:rsidRPr="00734837">
        <w:rPr>
          <w:noProof/>
        </w:rPr>
        <w:t>, 1377–1403.</w:t>
      </w:r>
    </w:p>
    <w:p w:rsidR="00A4115E" w:rsidRPr="00734837" w:rsidRDefault="00A4115E" w:rsidP="00A4115E">
      <w:pPr>
        <w:pStyle w:val="NormalWeb"/>
        <w:ind w:left="480" w:hanging="480"/>
        <w:jc w:val="both"/>
        <w:rPr>
          <w:noProof/>
        </w:rPr>
      </w:pPr>
      <w:r w:rsidRPr="00734837">
        <w:rPr>
          <w:noProof/>
        </w:rPr>
        <w:t xml:space="preserve">Bodie, Z., Kane, A., </w:t>
      </w:r>
      <w:r w:rsidR="00693D1C" w:rsidRPr="00734837">
        <w:rPr>
          <w:noProof/>
        </w:rPr>
        <w:t>and</w:t>
      </w:r>
      <w:r w:rsidRPr="00734837">
        <w:rPr>
          <w:noProof/>
        </w:rPr>
        <w:t xml:space="preserve"> Marcus, A. J. (2005). </w:t>
      </w:r>
      <w:r w:rsidRPr="00734837">
        <w:rPr>
          <w:i/>
          <w:noProof/>
        </w:rPr>
        <w:t>Essentials of Investments</w:t>
      </w:r>
      <w:r w:rsidRPr="00734837">
        <w:rPr>
          <w:noProof/>
        </w:rPr>
        <w:t xml:space="preserve"> (6th ed.). New York: McGraw Hill.</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Calafiore, G. C. (2008). Multi-period portfolio optimization with linear control policies. </w:t>
      </w:r>
      <w:r w:rsidRPr="00734837">
        <w:rPr>
          <w:i/>
          <w:iCs/>
          <w:noProof/>
        </w:rPr>
        <w:t>Automatica</w:t>
      </w:r>
      <w:r w:rsidRPr="00734837">
        <w:rPr>
          <w:noProof/>
        </w:rPr>
        <w:t xml:space="preserve">, </w:t>
      </w:r>
      <w:r w:rsidRPr="00734837">
        <w:rPr>
          <w:i/>
          <w:iCs/>
          <w:noProof/>
        </w:rPr>
        <w:t>44</w:t>
      </w:r>
      <w:r w:rsidRPr="00734837">
        <w:rPr>
          <w:iCs/>
          <w:noProof/>
        </w:rPr>
        <w:t>(10)</w:t>
      </w:r>
      <w:r w:rsidRPr="00734837">
        <w:rPr>
          <w:noProof/>
        </w:rPr>
        <w:t>, 2463–2473.</w:t>
      </w:r>
    </w:p>
    <w:p w:rsidR="00CE118B" w:rsidRPr="00734837" w:rsidRDefault="00CE118B" w:rsidP="00CE118B">
      <w:pPr>
        <w:pStyle w:val="NormalWeb"/>
        <w:spacing w:line="276" w:lineRule="auto"/>
        <w:ind w:left="720" w:hanging="720"/>
        <w:jc w:val="both"/>
        <w:rPr>
          <w:noProof/>
        </w:rPr>
      </w:pPr>
      <w:r w:rsidRPr="00734837">
        <w:rPr>
          <w:noProof/>
        </w:rPr>
        <w:t xml:space="preserve">Campbell, R., Huisman, R., </w:t>
      </w:r>
      <w:r w:rsidR="00693D1C" w:rsidRPr="00734837">
        <w:rPr>
          <w:noProof/>
        </w:rPr>
        <w:t>and</w:t>
      </w:r>
      <w:r w:rsidRPr="00734837">
        <w:rPr>
          <w:noProof/>
        </w:rPr>
        <w:t xml:space="preserve"> Koedijk, K. (2001). Optimal portfolio selection in a Value-at-Risk framework.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25</w:t>
      </w:r>
      <w:r w:rsidRPr="00734837">
        <w:rPr>
          <w:noProof/>
        </w:rPr>
        <w:t>(9), 1789–1804.</w:t>
      </w:r>
    </w:p>
    <w:p w:rsidR="00A4115E" w:rsidRPr="00734837" w:rsidRDefault="00A4115E" w:rsidP="00B30F93">
      <w:pPr>
        <w:pStyle w:val="NormalWeb"/>
        <w:jc w:val="both"/>
        <w:rPr>
          <w:noProof/>
        </w:rPr>
      </w:pPr>
      <w:r w:rsidRPr="00734837">
        <w:lastRenderedPageBreak/>
        <w:fldChar w:fldCharType="end"/>
      </w:r>
      <w:r w:rsidRPr="00734837">
        <w:rPr>
          <w:noProof/>
        </w:rPr>
        <w:t xml:space="preserve">Cesari, R., </w:t>
      </w:r>
      <w:r w:rsidR="00693D1C" w:rsidRPr="00734837">
        <w:rPr>
          <w:noProof/>
        </w:rPr>
        <w:t>and</w:t>
      </w:r>
      <w:r w:rsidRPr="00734837">
        <w:rPr>
          <w:noProof/>
        </w:rPr>
        <w:t xml:space="preserve"> Cremonini, D. (2003). Benchmarking, portfolio insurance and technical analysis: a Monte Carlo comparison of dynamic strategies of asset allocation. </w:t>
      </w:r>
      <w:r w:rsidRPr="00734837">
        <w:rPr>
          <w:i/>
          <w:iCs/>
          <w:noProof/>
        </w:rPr>
        <w:t>Journal of Economic Dynamics and Control</w:t>
      </w:r>
      <w:r w:rsidRPr="00734837">
        <w:rPr>
          <w:noProof/>
        </w:rPr>
        <w:t xml:space="preserve">, </w:t>
      </w:r>
      <w:r w:rsidRPr="00734837">
        <w:rPr>
          <w:i/>
          <w:iCs/>
          <w:noProof/>
        </w:rPr>
        <w:t>27</w:t>
      </w:r>
      <w:r w:rsidRPr="00734837">
        <w:rPr>
          <w:noProof/>
        </w:rPr>
        <w:t xml:space="preserve">(6), 987–1011. </w:t>
      </w:r>
    </w:p>
    <w:p w:rsidR="00A4115E" w:rsidRPr="00734837" w:rsidRDefault="00A4115E" w:rsidP="00A4115E">
      <w:pPr>
        <w:pStyle w:val="NormalWeb"/>
        <w:ind w:left="480" w:hanging="480"/>
        <w:jc w:val="both"/>
        <w:rPr>
          <w:noProof/>
        </w:rPr>
      </w:pPr>
      <w:r w:rsidRPr="00734837">
        <w:rPr>
          <w:noProof/>
        </w:rPr>
        <w:t xml:space="preserve">Coval, J. D., </w:t>
      </w:r>
      <w:r w:rsidR="00693D1C" w:rsidRPr="00734837">
        <w:rPr>
          <w:noProof/>
        </w:rPr>
        <w:t>and</w:t>
      </w:r>
      <w:r w:rsidRPr="00734837">
        <w:rPr>
          <w:noProof/>
        </w:rPr>
        <w:t xml:space="preserve"> Moskowitz, T. J. (1999). Home Bias at Home : Local Equity Preference in Domestic Portfolios. </w:t>
      </w:r>
      <w:r w:rsidRPr="00734837">
        <w:rPr>
          <w:i/>
          <w:noProof/>
        </w:rPr>
        <w:t xml:space="preserve">The Journal of Finance, </w:t>
      </w:r>
      <w:r w:rsidRPr="00734837">
        <w:rPr>
          <w:i/>
          <w:iCs/>
          <w:noProof/>
        </w:rPr>
        <w:t>54</w:t>
      </w:r>
      <w:r w:rsidRPr="00734837">
        <w:rPr>
          <w:noProof/>
        </w:rPr>
        <w:t>(6), 2045–2073.</w:t>
      </w:r>
    </w:p>
    <w:p w:rsidR="00A4115E" w:rsidRPr="00734837" w:rsidRDefault="00A4115E" w:rsidP="00A4115E">
      <w:pPr>
        <w:pStyle w:val="NormalWeb"/>
        <w:ind w:left="480" w:hanging="480"/>
        <w:jc w:val="both"/>
        <w:rPr>
          <w:noProof/>
        </w:rPr>
      </w:pPr>
      <w:r w:rsidRPr="00734837">
        <w:rPr>
          <w:noProof/>
        </w:rPr>
        <w:t xml:space="preserve">Chen, X. B., Silvapulle, P., </w:t>
      </w:r>
      <w:r w:rsidR="00693D1C" w:rsidRPr="00734837">
        <w:rPr>
          <w:noProof/>
        </w:rPr>
        <w:t>and</w:t>
      </w:r>
      <w:r w:rsidRPr="00734837">
        <w:rPr>
          <w:noProof/>
        </w:rPr>
        <w:t xml:space="preserve"> Silvapulle, M. (2014). A semiparametric approach to value-at-risk, expected shortfall and optimum asset allocation in stock–bond portfolios. </w:t>
      </w:r>
      <w:r w:rsidRPr="00734837">
        <w:rPr>
          <w:i/>
          <w:iCs/>
          <w:noProof/>
        </w:rPr>
        <w:t>Economic Modelling</w:t>
      </w:r>
      <w:r w:rsidRPr="00734837">
        <w:rPr>
          <w:noProof/>
        </w:rPr>
        <w:t xml:space="preserve">, </w:t>
      </w:r>
      <w:r w:rsidRPr="00734837">
        <w:rPr>
          <w:i/>
          <w:iCs/>
          <w:noProof/>
        </w:rPr>
        <w:t>42</w:t>
      </w:r>
      <w:r w:rsidRPr="00734837">
        <w:rPr>
          <w:noProof/>
        </w:rPr>
        <w:t>, 230–242.</w:t>
      </w:r>
    </w:p>
    <w:p w:rsidR="00A4115E" w:rsidRPr="00734837" w:rsidRDefault="00A4115E" w:rsidP="00A4115E">
      <w:pPr>
        <w:pStyle w:val="NormalWeb"/>
        <w:ind w:left="480" w:hanging="480"/>
        <w:jc w:val="both"/>
        <w:rPr>
          <w:noProof/>
        </w:rPr>
      </w:pPr>
      <w:r w:rsidRPr="00734837">
        <w:rPr>
          <w:noProof/>
        </w:rPr>
        <w:t xml:space="preserve">Chu, B. (2011). Recovering copulas from limited information and an application to asset allocation.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35</w:t>
      </w:r>
      <w:r w:rsidRPr="00734837">
        <w:rPr>
          <w:noProof/>
        </w:rPr>
        <w:t>(7), 1824–1842.</w:t>
      </w:r>
    </w:p>
    <w:p w:rsidR="00A4115E" w:rsidRPr="00734837" w:rsidRDefault="00A4115E" w:rsidP="00A4115E">
      <w:pPr>
        <w:pStyle w:val="NormalWeb"/>
        <w:ind w:left="480" w:hanging="480"/>
        <w:jc w:val="both"/>
        <w:rPr>
          <w:noProof/>
        </w:rPr>
      </w:pPr>
      <w:r w:rsidRPr="00734837">
        <w:rPr>
          <w:noProof/>
        </w:rPr>
        <w:t xml:space="preserve">Chunhachinda, P., Dandapani, K., Hamid, S., </w:t>
      </w:r>
      <w:r w:rsidR="00693D1C" w:rsidRPr="00734837">
        <w:rPr>
          <w:noProof/>
        </w:rPr>
        <w:t>and</w:t>
      </w:r>
      <w:r w:rsidRPr="00734837">
        <w:rPr>
          <w:noProof/>
        </w:rPr>
        <w:t xml:space="preserve"> Prakash, J. (1997). Portfolio selection and skewness: Evidence from intemational stock markets. </w:t>
      </w:r>
      <w:r w:rsidRPr="00734837">
        <w:rPr>
          <w:i/>
          <w:noProof/>
        </w:rPr>
        <w:t>Journal of Banking and Finance</w:t>
      </w:r>
      <w:r w:rsidRPr="00734837">
        <w:rPr>
          <w:noProof/>
        </w:rPr>
        <w:t xml:space="preserve">, </w:t>
      </w:r>
      <w:r w:rsidRPr="00734837">
        <w:rPr>
          <w:i/>
          <w:iCs/>
          <w:noProof/>
        </w:rPr>
        <w:t>21</w:t>
      </w:r>
      <w:r w:rsidRPr="00734837">
        <w:rPr>
          <w:noProof/>
        </w:rPr>
        <w:t>(2), 143–167.</w:t>
      </w:r>
    </w:p>
    <w:p w:rsidR="004A2AB5" w:rsidRPr="00734837" w:rsidRDefault="004A2AB5" w:rsidP="00A4115E">
      <w:pPr>
        <w:pStyle w:val="NormalWeb"/>
        <w:ind w:left="480" w:hanging="480"/>
        <w:jc w:val="both"/>
      </w:pPr>
      <w:proofErr w:type="gramStart"/>
      <w:r w:rsidRPr="00734837">
        <w:t>de</w:t>
      </w:r>
      <w:proofErr w:type="gramEnd"/>
      <w:r w:rsidRPr="00734837">
        <w:t xml:space="preserve"> Borger, Bruno &amp; </w:t>
      </w:r>
      <w:proofErr w:type="spellStart"/>
      <w:r w:rsidRPr="00734837">
        <w:t>Kerstens</w:t>
      </w:r>
      <w:proofErr w:type="spellEnd"/>
      <w:r w:rsidRPr="00734837">
        <w:t xml:space="preserve">, </w:t>
      </w:r>
      <w:proofErr w:type="spellStart"/>
      <w:r w:rsidRPr="00734837">
        <w:t>Kristiaan</w:t>
      </w:r>
      <w:proofErr w:type="spellEnd"/>
      <w:r w:rsidRPr="00734837">
        <w:t xml:space="preserve"> &amp; </w:t>
      </w:r>
      <w:proofErr w:type="spellStart"/>
      <w:r w:rsidRPr="00734837">
        <w:t>Staat</w:t>
      </w:r>
      <w:proofErr w:type="spellEnd"/>
      <w:r w:rsidRPr="00734837">
        <w:t>, Matthias, 2008. "</w:t>
      </w:r>
      <w:hyperlink r:id="rId56" w:history="1">
        <w:r w:rsidRPr="00734837">
          <w:rPr>
            <w:rStyle w:val="Hyperlink"/>
            <w:bCs/>
            <w:color w:val="auto"/>
            <w:u w:val="none"/>
          </w:rPr>
          <w:t>Transit costs and cost efficiency: Bootstrapping non-parametric frontiers</w:t>
        </w:r>
      </w:hyperlink>
      <w:r w:rsidRPr="00734837">
        <w:t xml:space="preserve">," </w:t>
      </w:r>
      <w:hyperlink r:id="rId57" w:history="1">
        <w:r w:rsidRPr="00734837">
          <w:rPr>
            <w:rStyle w:val="Hyperlink"/>
            <w:i/>
            <w:color w:val="auto"/>
            <w:u w:val="none"/>
          </w:rPr>
          <w:t>Research in Transportation Economics</w:t>
        </w:r>
      </w:hyperlink>
      <w:r w:rsidRPr="00734837">
        <w:t>, Elsevier, vol. 23(1), pages 53-64, January</w:t>
      </w:r>
    </w:p>
    <w:p w:rsidR="00A4115E" w:rsidRPr="00734837" w:rsidRDefault="00A4115E" w:rsidP="00A4115E">
      <w:pPr>
        <w:pStyle w:val="NormalWeb"/>
        <w:ind w:left="480" w:hanging="480"/>
        <w:jc w:val="both"/>
        <w:rPr>
          <w:noProof/>
        </w:rPr>
      </w:pPr>
      <w:r w:rsidRPr="00734837">
        <w:t xml:space="preserve">De </w:t>
      </w:r>
      <w:proofErr w:type="spellStart"/>
      <w:r w:rsidRPr="00734837">
        <w:t>Roon</w:t>
      </w:r>
      <w:proofErr w:type="spellEnd"/>
      <w:r w:rsidRPr="00734837">
        <w:t xml:space="preserve">, F.A., </w:t>
      </w:r>
      <w:r w:rsidR="00693D1C" w:rsidRPr="00734837">
        <w:t>and</w:t>
      </w:r>
      <w:r w:rsidRPr="00734837">
        <w:t xml:space="preserve"> </w:t>
      </w:r>
      <w:proofErr w:type="spellStart"/>
      <w:r w:rsidRPr="00734837">
        <w:t>Nijman</w:t>
      </w:r>
      <w:proofErr w:type="spellEnd"/>
      <w:r w:rsidRPr="00734837">
        <w:t xml:space="preserve">, T.E. (2001) Testing for mean–variance spanning with short sales constraints and transaction costs: The case of emerging markets. </w:t>
      </w:r>
      <w:r w:rsidRPr="00734837">
        <w:rPr>
          <w:i/>
        </w:rPr>
        <w:t>Journal of Empirical Finance, 56</w:t>
      </w:r>
      <w:r w:rsidRPr="00734837">
        <w:t>(2), 721–742.</w:t>
      </w:r>
    </w:p>
    <w:p w:rsidR="00A4115E" w:rsidRPr="00734837" w:rsidRDefault="00A4115E" w:rsidP="00A4115E">
      <w:pPr>
        <w:pStyle w:val="NormalWeb"/>
        <w:ind w:left="480" w:hanging="480"/>
        <w:jc w:val="both"/>
        <w:rPr>
          <w:noProof/>
        </w:rPr>
      </w:pPr>
      <w:proofErr w:type="gramStart"/>
      <w:r w:rsidRPr="00734837">
        <w:rPr>
          <w:rFonts w:eastAsiaTheme="minorHAnsi"/>
        </w:rPr>
        <w:t xml:space="preserve">De </w:t>
      </w:r>
      <w:proofErr w:type="spellStart"/>
      <w:r w:rsidRPr="00734837">
        <w:rPr>
          <w:rFonts w:eastAsiaTheme="minorHAnsi"/>
        </w:rPr>
        <w:t>Santis</w:t>
      </w:r>
      <w:proofErr w:type="spellEnd"/>
      <w:r w:rsidRPr="00734837">
        <w:rPr>
          <w:rFonts w:eastAsiaTheme="minorHAnsi"/>
        </w:rPr>
        <w:t xml:space="preserve">, G., </w:t>
      </w:r>
      <w:r w:rsidR="00693D1C" w:rsidRPr="00734837">
        <w:rPr>
          <w:rFonts w:eastAsiaTheme="minorHAnsi"/>
        </w:rPr>
        <w:t>and</w:t>
      </w:r>
      <w:r w:rsidRPr="00734837">
        <w:rPr>
          <w:rFonts w:eastAsiaTheme="minorHAnsi"/>
        </w:rPr>
        <w:t xml:space="preserve"> Gerard, B. (1997).</w:t>
      </w:r>
      <w:proofErr w:type="gramEnd"/>
      <w:r w:rsidRPr="00734837">
        <w:rPr>
          <w:rFonts w:eastAsiaTheme="minorHAnsi"/>
        </w:rPr>
        <w:t xml:space="preserve"> </w:t>
      </w:r>
      <w:proofErr w:type="gramStart"/>
      <w:r w:rsidRPr="00734837">
        <w:rPr>
          <w:rFonts w:eastAsiaTheme="minorHAnsi"/>
        </w:rPr>
        <w:t>International asset pricing and portfolio diversification with time-varying risk.</w:t>
      </w:r>
      <w:proofErr w:type="gramEnd"/>
      <w:r w:rsidRPr="00734837">
        <w:rPr>
          <w:rFonts w:eastAsiaTheme="minorHAnsi"/>
        </w:rPr>
        <w:t xml:space="preserve"> </w:t>
      </w:r>
      <w:proofErr w:type="gramStart"/>
      <w:r w:rsidRPr="00734837">
        <w:rPr>
          <w:rFonts w:eastAsiaTheme="minorHAnsi"/>
          <w:i/>
        </w:rPr>
        <w:t>The</w:t>
      </w:r>
      <w:r w:rsidRPr="00734837">
        <w:rPr>
          <w:rFonts w:eastAsiaTheme="minorHAnsi"/>
        </w:rPr>
        <w:t xml:space="preserve"> </w:t>
      </w:r>
      <w:r w:rsidRPr="00734837">
        <w:rPr>
          <w:rFonts w:eastAsiaTheme="minorHAnsi"/>
          <w:i/>
        </w:rPr>
        <w:t>Journal of Finance</w:t>
      </w:r>
      <w:r w:rsidRPr="00734837">
        <w:rPr>
          <w:rFonts w:eastAsiaTheme="minorHAnsi"/>
        </w:rPr>
        <w:t xml:space="preserve">, </w:t>
      </w:r>
      <w:r w:rsidRPr="00734837">
        <w:rPr>
          <w:rFonts w:eastAsiaTheme="minorHAnsi"/>
          <w:i/>
        </w:rPr>
        <w:t>52</w:t>
      </w:r>
      <w:r w:rsidRPr="00734837">
        <w:rPr>
          <w:rFonts w:eastAsiaTheme="minorHAnsi"/>
        </w:rPr>
        <w:t>(5), 1881– 1912.</w:t>
      </w:r>
      <w:proofErr w:type="gramEnd"/>
    </w:p>
    <w:p w:rsidR="00A4115E" w:rsidRPr="00734837" w:rsidRDefault="00A4115E" w:rsidP="00A4115E">
      <w:pPr>
        <w:pStyle w:val="NormalWeb"/>
        <w:ind w:left="480" w:hanging="480"/>
        <w:jc w:val="both"/>
        <w:rPr>
          <w:noProof/>
        </w:rPr>
      </w:pPr>
      <w:r w:rsidRPr="00734837">
        <w:rPr>
          <w:noProof/>
        </w:rPr>
        <w:fldChar w:fldCharType="begin" w:fldLock="1"/>
      </w:r>
      <w:r w:rsidRPr="00734837">
        <w:rPr>
          <w:noProof/>
        </w:rPr>
        <w:instrText xml:space="preserve">ADDIN Mendeley Bibliography CSL_BIBLIOGRAPHY </w:instrText>
      </w:r>
      <w:r w:rsidRPr="00734837">
        <w:rPr>
          <w:noProof/>
        </w:rPr>
        <w:fldChar w:fldCharType="separate"/>
      </w:r>
      <w:r w:rsidRPr="00734837">
        <w:rPr>
          <w:noProof/>
        </w:rPr>
        <w:t xml:space="preserve">Driessen, J., </w:t>
      </w:r>
      <w:r w:rsidR="00693D1C" w:rsidRPr="00734837">
        <w:rPr>
          <w:noProof/>
        </w:rPr>
        <w:t>and</w:t>
      </w:r>
      <w:r w:rsidRPr="00734837">
        <w:rPr>
          <w:noProof/>
        </w:rPr>
        <w:t xml:space="preserve"> Laeven, L. (2007). International portfolio diversification benefits: Cross-country evidence from a local perspective.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31</w:t>
      </w:r>
      <w:r w:rsidRPr="00734837">
        <w:rPr>
          <w:noProof/>
        </w:rPr>
        <w:t xml:space="preserve">(6), 1693–1712. </w:t>
      </w:r>
    </w:p>
    <w:p w:rsidR="004A2AB5" w:rsidRPr="00734837" w:rsidRDefault="004A2AB5" w:rsidP="00A4115E">
      <w:pPr>
        <w:pStyle w:val="NormalWeb"/>
        <w:ind w:left="480" w:hanging="480"/>
        <w:jc w:val="both"/>
      </w:pPr>
      <w:r w:rsidRPr="00734837">
        <w:rPr>
          <w:rStyle w:val="cit-name-surname"/>
          <w:iCs/>
          <w:color w:val="222222"/>
        </w:rPr>
        <w:t>Efron, B.</w:t>
      </w:r>
      <w:r w:rsidRPr="00734837">
        <w:rPr>
          <w:rStyle w:val="HTMLCite"/>
          <w:color w:val="222222"/>
        </w:rPr>
        <w:t xml:space="preserve">, &amp; </w:t>
      </w:r>
      <w:r w:rsidRPr="00734837">
        <w:rPr>
          <w:rStyle w:val="cit-name-surname"/>
          <w:iCs/>
          <w:color w:val="222222"/>
        </w:rPr>
        <w:t>Tibshirani, R. J.</w:t>
      </w:r>
      <w:r w:rsidRPr="00734837">
        <w:rPr>
          <w:rStyle w:val="HTMLCite"/>
          <w:color w:val="222222"/>
        </w:rPr>
        <w:t xml:space="preserve"> (</w:t>
      </w:r>
      <w:r w:rsidRPr="00734837">
        <w:rPr>
          <w:rStyle w:val="cit-pub-date"/>
          <w:iCs/>
          <w:color w:val="222222"/>
        </w:rPr>
        <w:t>1993</w:t>
      </w:r>
      <w:r w:rsidRPr="00734837">
        <w:rPr>
          <w:rStyle w:val="HTMLCite"/>
          <w:color w:val="222222"/>
        </w:rPr>
        <w:t xml:space="preserve">). </w:t>
      </w:r>
      <w:r w:rsidRPr="00734837">
        <w:rPr>
          <w:rStyle w:val="cit-source"/>
          <w:iCs/>
          <w:color w:val="222222"/>
        </w:rPr>
        <w:t>An introduction to the bootstrap</w:t>
      </w:r>
      <w:r w:rsidRPr="00734837">
        <w:rPr>
          <w:rStyle w:val="HTMLCite"/>
          <w:color w:val="222222"/>
        </w:rPr>
        <w:t xml:space="preserve">. </w:t>
      </w:r>
      <w:r w:rsidRPr="00734837">
        <w:rPr>
          <w:rStyle w:val="cit-publ-loc"/>
          <w:iCs/>
          <w:color w:val="222222"/>
        </w:rPr>
        <w:t>New York</w:t>
      </w:r>
      <w:r w:rsidRPr="00734837">
        <w:rPr>
          <w:rStyle w:val="HTMLCite"/>
          <w:color w:val="222222"/>
        </w:rPr>
        <w:t xml:space="preserve">: </w:t>
      </w:r>
      <w:r w:rsidRPr="00734837">
        <w:rPr>
          <w:rStyle w:val="cit-publ-name"/>
          <w:iCs/>
          <w:color w:val="222222"/>
        </w:rPr>
        <w:t>Chapman &amp; Hall</w:t>
      </w:r>
      <w:r w:rsidRPr="00734837">
        <w:rPr>
          <w:rStyle w:val="HTMLCite"/>
          <w:color w:val="222222"/>
        </w:rPr>
        <w:t>.`</w:t>
      </w:r>
    </w:p>
    <w:p w:rsidR="00A4115E" w:rsidRPr="00734837" w:rsidRDefault="00A4115E" w:rsidP="00A4115E">
      <w:pPr>
        <w:pStyle w:val="NormalWeb"/>
        <w:ind w:left="480" w:hanging="480"/>
        <w:jc w:val="both"/>
        <w:rPr>
          <w:noProof/>
        </w:rPr>
      </w:pPr>
      <w:r w:rsidRPr="00734837">
        <w:t xml:space="preserve">Elton, E. J., </w:t>
      </w:r>
      <w:r w:rsidR="00693D1C" w:rsidRPr="00734837">
        <w:t>and</w:t>
      </w:r>
      <w:r w:rsidRPr="00734837">
        <w:t xml:space="preserve"> Gruber, M. J. (2000). The rationality of asset allocation recommendations. </w:t>
      </w:r>
      <w:r w:rsidRPr="00734837">
        <w:rPr>
          <w:i/>
        </w:rPr>
        <w:t>The Journal of Financial and Quantitative Analysis, 35</w:t>
      </w:r>
      <w:r w:rsidRPr="00734837">
        <w:t>(1), 25-41.</w:t>
      </w:r>
      <w:r w:rsidRPr="00734837">
        <w:rPr>
          <w:noProof/>
        </w:rPr>
        <w:t xml:space="preserve"> </w:t>
      </w:r>
    </w:p>
    <w:p w:rsidR="00A4115E" w:rsidRPr="00734837" w:rsidRDefault="00A4115E" w:rsidP="00A4115E">
      <w:pPr>
        <w:pStyle w:val="NormalWeb"/>
        <w:ind w:left="720" w:hanging="720"/>
        <w:jc w:val="both"/>
        <w:rPr>
          <w:noProof/>
        </w:rPr>
      </w:pPr>
      <w:r w:rsidRPr="00734837">
        <w:rPr>
          <w:noProof/>
        </w:rPr>
        <w:t xml:space="preserve">Forbes Magazine. (2014). </w:t>
      </w:r>
      <w:r w:rsidRPr="00734837">
        <w:rPr>
          <w:i/>
          <w:noProof/>
        </w:rPr>
        <w:t xml:space="preserve">Top Quotes About Africa At The 2014 World Economic Forum in Davos. </w:t>
      </w:r>
      <w:r w:rsidRPr="00734837">
        <w:rPr>
          <w:noProof/>
        </w:rPr>
        <w:t>Retrieved on 23</w:t>
      </w:r>
      <w:r w:rsidRPr="00734837">
        <w:rPr>
          <w:noProof/>
          <w:vertAlign w:val="superscript"/>
        </w:rPr>
        <w:t>rd</w:t>
      </w:r>
      <w:r w:rsidRPr="00734837">
        <w:rPr>
          <w:noProof/>
        </w:rPr>
        <w:t xml:space="preserve"> November, 2014,  from http://www.forbes.com/sites/faraigun dan/2014/01/28/top-quotes-about-africa-at-the-2014-world-economic-forum-in-davos/</w:t>
      </w:r>
    </w:p>
    <w:p w:rsidR="00A4115E" w:rsidRPr="00734837" w:rsidRDefault="00A4115E" w:rsidP="00A4115E">
      <w:pPr>
        <w:pStyle w:val="NormalWeb"/>
        <w:ind w:left="720" w:hanging="720"/>
        <w:jc w:val="both"/>
        <w:rPr>
          <w:noProof/>
        </w:rPr>
      </w:pPr>
      <w:r w:rsidRPr="00734837">
        <w:rPr>
          <w:noProof/>
        </w:rPr>
        <w:t xml:space="preserve">Evans, J. L., </w:t>
      </w:r>
      <w:r w:rsidR="00693D1C" w:rsidRPr="00734837">
        <w:rPr>
          <w:noProof/>
        </w:rPr>
        <w:t>and</w:t>
      </w:r>
      <w:r w:rsidRPr="00734837">
        <w:rPr>
          <w:noProof/>
        </w:rPr>
        <w:t xml:space="preserve"> Archer, S. H., (1968). Diversification and the reductiom of dispersion :An Empirical Analysis. </w:t>
      </w:r>
      <w:r w:rsidRPr="00734837">
        <w:rPr>
          <w:i/>
          <w:noProof/>
        </w:rPr>
        <w:t>The Journal of Finance</w:t>
      </w:r>
      <w:r w:rsidRPr="00734837">
        <w:rPr>
          <w:noProof/>
        </w:rPr>
        <w:t xml:space="preserve">, </w:t>
      </w:r>
      <w:r w:rsidRPr="00734837">
        <w:rPr>
          <w:i/>
          <w:noProof/>
        </w:rPr>
        <w:t>23</w:t>
      </w:r>
      <w:r w:rsidRPr="00734837">
        <w:rPr>
          <w:noProof/>
        </w:rPr>
        <w:t>(5),761-767.</w:t>
      </w:r>
    </w:p>
    <w:p w:rsidR="00A4115E" w:rsidRPr="00734837" w:rsidRDefault="00A4115E" w:rsidP="00A4115E">
      <w:pPr>
        <w:pStyle w:val="NormalWeb"/>
        <w:ind w:left="720" w:hanging="720"/>
        <w:jc w:val="both"/>
        <w:rPr>
          <w:noProof/>
        </w:rPr>
      </w:pPr>
      <w:r w:rsidRPr="00734837">
        <w:rPr>
          <w:noProof/>
        </w:rPr>
        <w:lastRenderedPageBreak/>
        <w:t xml:space="preserve">Farinelli, S., Ferreira, M., Rossello, D., Thoeny, M., </w:t>
      </w:r>
      <w:r w:rsidR="00693D1C" w:rsidRPr="00734837">
        <w:rPr>
          <w:noProof/>
        </w:rPr>
        <w:t>and</w:t>
      </w:r>
      <w:r w:rsidRPr="00734837">
        <w:rPr>
          <w:noProof/>
        </w:rPr>
        <w:t xml:space="preserve"> Tibiletti, L. (2008). Beyond Sharpe ratio: Optimal asset allocation using different performance ratios.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32</w:t>
      </w:r>
      <w:r w:rsidRPr="00734837">
        <w:rPr>
          <w:noProof/>
        </w:rPr>
        <w:t xml:space="preserve">(10), 2057–2063. </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García-Herrero, A., </w:t>
      </w:r>
      <w:r w:rsidR="00693D1C" w:rsidRPr="00734837">
        <w:rPr>
          <w:noProof/>
        </w:rPr>
        <w:t>and</w:t>
      </w:r>
      <w:r w:rsidRPr="00734837">
        <w:rPr>
          <w:noProof/>
        </w:rPr>
        <w:t xml:space="preserve"> Vázquez, F. (2013). International diversification gains and home bias in banking.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37</w:t>
      </w:r>
      <w:r w:rsidRPr="00734837">
        <w:rPr>
          <w:iCs/>
          <w:noProof/>
        </w:rPr>
        <w:t>(7)</w:t>
      </w:r>
      <w:r w:rsidRPr="00734837">
        <w:rPr>
          <w:noProof/>
        </w:rPr>
        <w:t xml:space="preserve">, 2560–2571. </w:t>
      </w:r>
    </w:p>
    <w:p w:rsidR="00A4115E" w:rsidRPr="00734837" w:rsidRDefault="00A4115E" w:rsidP="000308EF">
      <w:pPr>
        <w:pStyle w:val="NormalWeb"/>
        <w:jc w:val="both"/>
      </w:pPr>
      <w:r w:rsidRPr="00734837">
        <w:fldChar w:fldCharType="end"/>
      </w:r>
      <w:r w:rsidRPr="00734837">
        <w:t xml:space="preserve">Gaudecker H.-M. V. (2015). How does household portfolio diversification vary with financial literacy and financial advice? </w:t>
      </w:r>
      <w:r w:rsidRPr="00734837">
        <w:rPr>
          <w:i/>
        </w:rPr>
        <w:t>The Journal of Finance, 70</w:t>
      </w:r>
      <w:r w:rsidRPr="00734837">
        <w:t>(2), 489-507.</w:t>
      </w:r>
    </w:p>
    <w:p w:rsidR="00A4115E" w:rsidRPr="00734837" w:rsidRDefault="00A4115E" w:rsidP="00A4115E">
      <w:pPr>
        <w:pStyle w:val="NormalWeb"/>
        <w:ind w:left="480" w:hanging="480"/>
        <w:jc w:val="both"/>
        <w:rPr>
          <w:noProof/>
        </w:rPr>
      </w:pPr>
      <w:r w:rsidRPr="00734837">
        <w:rPr>
          <w:noProof/>
        </w:rPr>
        <w:t xml:space="preserve">Gerstner, T., Griebel, M., Holtz, M., Goschnick, R., </w:t>
      </w:r>
      <w:r w:rsidR="00693D1C" w:rsidRPr="00734837">
        <w:rPr>
          <w:noProof/>
        </w:rPr>
        <w:t>and</w:t>
      </w:r>
      <w:r w:rsidRPr="00734837">
        <w:rPr>
          <w:noProof/>
        </w:rPr>
        <w:t xml:space="preserve"> Haep, M. (2008). A general asset-liability management model for the efficient simulation of portfolios of life insurance policies.  </w:t>
      </w:r>
      <w:r w:rsidRPr="00734837">
        <w:rPr>
          <w:i/>
          <w:iCs/>
          <w:noProof/>
        </w:rPr>
        <w:t>Insurance: Mathematics and Economics</w:t>
      </w:r>
      <w:r w:rsidRPr="00734837">
        <w:rPr>
          <w:noProof/>
        </w:rPr>
        <w:t xml:space="preserve">, </w:t>
      </w:r>
      <w:r w:rsidRPr="00734837">
        <w:rPr>
          <w:i/>
          <w:iCs/>
          <w:noProof/>
        </w:rPr>
        <w:t>42</w:t>
      </w:r>
      <w:r w:rsidRPr="00734837">
        <w:rPr>
          <w:iCs/>
          <w:noProof/>
        </w:rPr>
        <w:t>(2)</w:t>
      </w:r>
      <w:r w:rsidRPr="00734837">
        <w:rPr>
          <w:noProof/>
        </w:rPr>
        <w:t>, 704–716.</w:t>
      </w:r>
    </w:p>
    <w:p w:rsidR="00A4115E" w:rsidRPr="00734837" w:rsidRDefault="00A4115E" w:rsidP="00A4115E">
      <w:pPr>
        <w:pStyle w:val="NormalWeb"/>
        <w:ind w:left="480" w:hanging="480"/>
        <w:jc w:val="both"/>
        <w:rPr>
          <w:noProof/>
        </w:rPr>
      </w:pPr>
      <w:r w:rsidRPr="00734837">
        <w:rPr>
          <w:noProof/>
        </w:rPr>
        <w:t xml:space="preserve">Goetzmann, W. N., </w:t>
      </w:r>
      <w:r w:rsidR="00693D1C" w:rsidRPr="00734837">
        <w:rPr>
          <w:noProof/>
        </w:rPr>
        <w:t>and</w:t>
      </w:r>
      <w:r w:rsidRPr="00734837">
        <w:rPr>
          <w:noProof/>
        </w:rPr>
        <w:t xml:space="preserve"> Kumar, A. (2008). Equity Portfolio Diversification. </w:t>
      </w:r>
      <w:r w:rsidRPr="00734837">
        <w:rPr>
          <w:i/>
          <w:iCs/>
          <w:noProof/>
        </w:rPr>
        <w:t>Review of Finance</w:t>
      </w:r>
      <w:r w:rsidRPr="00734837">
        <w:rPr>
          <w:noProof/>
        </w:rPr>
        <w:t xml:space="preserve">, </w:t>
      </w:r>
      <w:r w:rsidRPr="00734837">
        <w:rPr>
          <w:i/>
          <w:iCs/>
          <w:noProof/>
        </w:rPr>
        <w:t>12</w:t>
      </w:r>
      <w:r w:rsidRPr="00734837">
        <w:rPr>
          <w:iCs/>
          <w:noProof/>
        </w:rPr>
        <w:t>(3)</w:t>
      </w:r>
      <w:r w:rsidRPr="00734837">
        <w:rPr>
          <w:noProof/>
        </w:rPr>
        <w:t xml:space="preserve">, 433–463. </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Gökgöz, F., </w:t>
      </w:r>
      <w:r w:rsidR="00693D1C" w:rsidRPr="00734837">
        <w:rPr>
          <w:noProof/>
        </w:rPr>
        <w:t>and</w:t>
      </w:r>
      <w:r w:rsidRPr="00734837">
        <w:rPr>
          <w:noProof/>
        </w:rPr>
        <w:t xml:space="preserve"> Atmaca, M. E. (2012). Financial optimization in the Turkish electricity market: Markowitz’s mean-variance approach. </w:t>
      </w:r>
      <w:r w:rsidRPr="00734837">
        <w:rPr>
          <w:i/>
          <w:iCs/>
          <w:noProof/>
        </w:rPr>
        <w:t>Renewable and Sustainable Energy Reviews</w:t>
      </w:r>
      <w:r w:rsidRPr="00734837">
        <w:rPr>
          <w:noProof/>
        </w:rPr>
        <w:t xml:space="preserve">, </w:t>
      </w:r>
      <w:r w:rsidRPr="00734837">
        <w:rPr>
          <w:i/>
          <w:iCs/>
          <w:noProof/>
        </w:rPr>
        <w:t>16</w:t>
      </w:r>
      <w:r w:rsidRPr="00734837">
        <w:rPr>
          <w:noProof/>
        </w:rPr>
        <w:t xml:space="preserve">(1), 357–368. </w:t>
      </w:r>
    </w:p>
    <w:p w:rsidR="00A4115E" w:rsidRPr="00734837" w:rsidRDefault="00A4115E" w:rsidP="000308EF">
      <w:pPr>
        <w:pStyle w:val="NormalWeb"/>
        <w:jc w:val="both"/>
        <w:rPr>
          <w:noProof/>
        </w:rPr>
      </w:pPr>
      <w:r w:rsidRPr="00734837">
        <w:fldChar w:fldCharType="end"/>
      </w:r>
      <w:r w:rsidRPr="00734837">
        <w:rPr>
          <w:noProof/>
        </w:rPr>
        <w:t xml:space="preserve">Gratcheva, E. M., </w:t>
      </w:r>
      <w:r w:rsidR="00693D1C" w:rsidRPr="00734837">
        <w:rPr>
          <w:noProof/>
        </w:rPr>
        <w:t>and</w:t>
      </w:r>
      <w:r w:rsidRPr="00734837">
        <w:rPr>
          <w:noProof/>
        </w:rPr>
        <w:t xml:space="preserve"> Falk, J. E. (2003). Optimal deviations from an asset allocation. </w:t>
      </w:r>
      <w:r w:rsidRPr="00734837">
        <w:rPr>
          <w:i/>
          <w:iCs/>
          <w:noProof/>
        </w:rPr>
        <w:t xml:space="preserve">Computers </w:t>
      </w:r>
      <w:r w:rsidR="00693D1C" w:rsidRPr="00734837">
        <w:rPr>
          <w:i/>
          <w:iCs/>
          <w:noProof/>
        </w:rPr>
        <w:t>and</w:t>
      </w:r>
      <w:r w:rsidRPr="00734837">
        <w:rPr>
          <w:i/>
          <w:iCs/>
          <w:noProof/>
        </w:rPr>
        <w:t xml:space="preserve"> Operations Research</w:t>
      </w:r>
      <w:r w:rsidRPr="00734837">
        <w:rPr>
          <w:noProof/>
        </w:rPr>
        <w:t xml:space="preserve">, </w:t>
      </w:r>
      <w:r w:rsidRPr="00734837">
        <w:rPr>
          <w:i/>
          <w:iCs/>
          <w:noProof/>
        </w:rPr>
        <w:t>30</w:t>
      </w:r>
      <w:r w:rsidRPr="00734837">
        <w:rPr>
          <w:noProof/>
        </w:rPr>
        <w:t xml:space="preserve">(11), 1643–1659. </w:t>
      </w:r>
      <w:r w:rsidRPr="00734837">
        <w:fldChar w:fldCharType="begin" w:fldLock="1"/>
      </w:r>
      <w:r w:rsidRPr="00734837">
        <w:instrText xml:space="preserve">ADDIN Mendeley Bibliography CSL_BIBLIOGRAPHY </w:instrText>
      </w:r>
      <w:r w:rsidRPr="00734837">
        <w:fldChar w:fldCharType="separate"/>
      </w:r>
    </w:p>
    <w:p w:rsidR="00A4115E" w:rsidRPr="00734837" w:rsidRDefault="00A4115E" w:rsidP="00A4115E">
      <w:pPr>
        <w:pStyle w:val="NormalWeb"/>
        <w:ind w:left="480" w:hanging="480"/>
        <w:jc w:val="both"/>
        <w:rPr>
          <w:noProof/>
        </w:rPr>
      </w:pPr>
      <w:r w:rsidRPr="00734837">
        <w:rPr>
          <w:noProof/>
        </w:rPr>
        <w:t xml:space="preserve">Groot, W. De., Pang, J., </w:t>
      </w:r>
      <w:r w:rsidR="00693D1C" w:rsidRPr="00734837">
        <w:rPr>
          <w:noProof/>
        </w:rPr>
        <w:t>and</w:t>
      </w:r>
      <w:r w:rsidRPr="00734837">
        <w:rPr>
          <w:noProof/>
        </w:rPr>
        <w:t xml:space="preserve"> Swinkels, L. (2012). The cross-section of stock returns in frontier emerging markets. </w:t>
      </w:r>
      <w:r w:rsidRPr="00734837">
        <w:rPr>
          <w:i/>
          <w:iCs/>
          <w:noProof/>
        </w:rPr>
        <w:t>Journal of Empirical Finance</w:t>
      </w:r>
      <w:r w:rsidRPr="00734837">
        <w:rPr>
          <w:noProof/>
        </w:rPr>
        <w:t xml:space="preserve">, </w:t>
      </w:r>
      <w:r w:rsidRPr="00734837">
        <w:rPr>
          <w:i/>
          <w:iCs/>
          <w:noProof/>
        </w:rPr>
        <w:t>19</w:t>
      </w:r>
      <w:r w:rsidRPr="00734837">
        <w:rPr>
          <w:noProof/>
        </w:rPr>
        <w:t xml:space="preserve">(5), 796–818. </w:t>
      </w:r>
    </w:p>
    <w:p w:rsidR="00A4115E" w:rsidRPr="00734837" w:rsidRDefault="00A4115E" w:rsidP="00A4115E">
      <w:pPr>
        <w:pStyle w:val="NormalWeb"/>
        <w:ind w:left="480" w:hanging="480"/>
        <w:jc w:val="both"/>
        <w:rPr>
          <w:noProof/>
        </w:rPr>
      </w:pPr>
      <w:r w:rsidRPr="00734837">
        <w:rPr>
          <w:noProof/>
        </w:rPr>
        <w:t xml:space="preserve">Guidolin, M., </w:t>
      </w:r>
      <w:r w:rsidR="00693D1C" w:rsidRPr="00734837">
        <w:rPr>
          <w:noProof/>
        </w:rPr>
        <w:t>and</w:t>
      </w:r>
      <w:r w:rsidRPr="00734837">
        <w:rPr>
          <w:noProof/>
        </w:rPr>
        <w:t xml:space="preserve"> Hyde, S. (2012). Can VAR models capture regime shifts in asset returns? A long-horizon strategic asset allocation perspective.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36</w:t>
      </w:r>
      <w:r w:rsidRPr="00734837">
        <w:rPr>
          <w:noProof/>
        </w:rPr>
        <w:t>(3), 695–716.</w:t>
      </w:r>
      <w:r w:rsidRPr="00734837">
        <w:fldChar w:fldCharType="begin" w:fldLock="1"/>
      </w:r>
      <w:r w:rsidRPr="00734837">
        <w:instrText xml:space="preserve">ADDIN Mendeley Bibliography CSL_BIBLIOGRAPHY </w:instrText>
      </w:r>
      <w:r w:rsidRPr="00734837">
        <w:fldChar w:fldCharType="separate"/>
      </w:r>
    </w:p>
    <w:p w:rsidR="00A4115E" w:rsidRPr="00734837" w:rsidRDefault="00A4115E" w:rsidP="000308EF">
      <w:pPr>
        <w:pStyle w:val="NormalWeb"/>
        <w:ind w:left="480" w:hanging="480"/>
        <w:jc w:val="both"/>
        <w:rPr>
          <w:noProof/>
        </w:rPr>
      </w:pPr>
      <w:r w:rsidRPr="00734837">
        <w:fldChar w:fldCharType="end"/>
      </w:r>
      <w:r w:rsidRPr="00734837">
        <w:rPr>
          <w:noProof/>
        </w:rPr>
        <w:t xml:space="preserve">Guo, X., Ye, L., </w:t>
      </w:r>
      <w:r w:rsidR="00693D1C" w:rsidRPr="00734837">
        <w:rPr>
          <w:noProof/>
        </w:rPr>
        <w:t>and</w:t>
      </w:r>
      <w:r w:rsidRPr="00734837">
        <w:rPr>
          <w:noProof/>
        </w:rPr>
        <w:t xml:space="preserve"> Yin, G. (2012). A mean–variance optimization problem for discounted Markov decision processes. </w:t>
      </w:r>
      <w:r w:rsidRPr="00734837">
        <w:rPr>
          <w:i/>
          <w:iCs/>
          <w:noProof/>
        </w:rPr>
        <w:t>European Journal of Operational Research</w:t>
      </w:r>
      <w:r w:rsidRPr="00734837">
        <w:rPr>
          <w:noProof/>
        </w:rPr>
        <w:t xml:space="preserve">, </w:t>
      </w:r>
      <w:r w:rsidRPr="00734837">
        <w:rPr>
          <w:i/>
          <w:iCs/>
          <w:noProof/>
        </w:rPr>
        <w:t>220</w:t>
      </w:r>
      <w:r w:rsidR="000308EF" w:rsidRPr="00734837">
        <w:rPr>
          <w:noProof/>
        </w:rPr>
        <w:t xml:space="preserve">(2), 423–429. </w:t>
      </w:r>
      <w:r w:rsidRPr="00734837">
        <w:fldChar w:fldCharType="begin" w:fldLock="1"/>
      </w:r>
      <w:r w:rsidRPr="00734837">
        <w:instrText xml:space="preserve">ADDIN Mendeley Bibliography CSL_BIBLIOGRAPHY </w:instrText>
      </w:r>
      <w:r w:rsidRPr="00734837">
        <w:fldChar w:fldCharType="separate"/>
      </w:r>
    </w:p>
    <w:p w:rsidR="001E1D61" w:rsidRPr="00734837" w:rsidRDefault="00517832" w:rsidP="001E1D61">
      <w:pPr>
        <w:autoSpaceDE w:val="0"/>
        <w:autoSpaceDN w:val="0"/>
        <w:adjustRightInd w:val="0"/>
        <w:spacing w:after="0" w:line="240" w:lineRule="auto"/>
        <w:rPr>
          <w:rFonts w:ascii="Times New Roman" w:hAnsi="Times New Roman" w:cs="Times New Roman"/>
          <w:i/>
          <w:iCs/>
          <w:sz w:val="24"/>
          <w:szCs w:val="24"/>
          <w:lang w:val="en-GB"/>
        </w:rPr>
      </w:pPr>
      <w:r w:rsidRPr="00734837">
        <w:rPr>
          <w:rFonts w:ascii="Times New Roman" w:hAnsi="Times New Roman" w:cs="Times New Roman"/>
          <w:sz w:val="24"/>
          <w:szCs w:val="24"/>
          <w:lang w:val="en-GB"/>
        </w:rPr>
        <w:t>Harvey, C.,</w:t>
      </w:r>
      <w:r w:rsidR="001E1D61" w:rsidRPr="00734837">
        <w:rPr>
          <w:rFonts w:ascii="Times New Roman" w:hAnsi="Times New Roman" w:cs="Times New Roman"/>
          <w:sz w:val="24"/>
          <w:szCs w:val="24"/>
          <w:lang w:val="en-GB"/>
        </w:rPr>
        <w:t xml:space="preserve"> R., 1995, Predictable risk and returns in emerging markets</w:t>
      </w:r>
      <w:r w:rsidR="001E1D61" w:rsidRPr="00734837">
        <w:rPr>
          <w:rFonts w:ascii="Times New Roman" w:hAnsi="Times New Roman" w:cs="Times New Roman"/>
          <w:i/>
          <w:iCs/>
          <w:sz w:val="24"/>
          <w:szCs w:val="24"/>
          <w:lang w:val="en-GB"/>
        </w:rPr>
        <w:t>, Review of Financial Studies</w:t>
      </w:r>
      <w:r w:rsidR="001E1D61" w:rsidRPr="00734837">
        <w:rPr>
          <w:rFonts w:ascii="Times New Roman" w:hAnsi="Times New Roman" w:cs="Times New Roman"/>
          <w:sz w:val="24"/>
          <w:szCs w:val="24"/>
          <w:lang w:val="en-GB"/>
        </w:rPr>
        <w:t>8, 773-816</w:t>
      </w:r>
    </w:p>
    <w:p w:rsidR="00A4115E" w:rsidRPr="00734837" w:rsidRDefault="00A4115E" w:rsidP="00A4115E">
      <w:pPr>
        <w:pStyle w:val="NormalWeb"/>
        <w:ind w:left="720" w:hanging="720"/>
        <w:jc w:val="both"/>
        <w:rPr>
          <w:noProof/>
        </w:rPr>
      </w:pPr>
      <w:r w:rsidRPr="00734837">
        <w:rPr>
          <w:noProof/>
        </w:rPr>
        <w:t xml:space="preserve">Horneff, W. J., Maurer, R. H., Mitchell, O. S., </w:t>
      </w:r>
      <w:r w:rsidR="00693D1C" w:rsidRPr="00734837">
        <w:rPr>
          <w:noProof/>
        </w:rPr>
        <w:t>and</w:t>
      </w:r>
      <w:r w:rsidRPr="00734837">
        <w:rPr>
          <w:noProof/>
        </w:rPr>
        <w:t xml:space="preserve"> Stamos, M. Z. (2009). Asset allocation and location over the life cycle with investment-linked survival-contingent payouts.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33</w:t>
      </w:r>
      <w:r w:rsidRPr="00734837">
        <w:rPr>
          <w:noProof/>
        </w:rPr>
        <w:t xml:space="preserve">(9), 1688–1699. </w:t>
      </w:r>
    </w:p>
    <w:p w:rsidR="00A4115E" w:rsidRPr="00734837" w:rsidRDefault="00A4115E" w:rsidP="00A4115E">
      <w:pPr>
        <w:pStyle w:val="NormalWeb"/>
        <w:ind w:left="720" w:hanging="630"/>
        <w:jc w:val="both"/>
        <w:rPr>
          <w:noProof/>
        </w:rPr>
      </w:pPr>
      <w:r w:rsidRPr="00734837">
        <w:fldChar w:fldCharType="end"/>
      </w:r>
      <w:r w:rsidRPr="00734837">
        <w:rPr>
          <w:noProof/>
        </w:rPr>
        <w:t xml:space="preserve">Huang, H.-C., </w:t>
      </w:r>
      <w:r w:rsidR="00693D1C" w:rsidRPr="00734837">
        <w:rPr>
          <w:noProof/>
        </w:rPr>
        <w:t>and</w:t>
      </w:r>
      <w:r w:rsidRPr="00734837">
        <w:rPr>
          <w:noProof/>
        </w:rPr>
        <w:t xml:space="preserve"> Lee, Y.-T. (2010). Optimal asset allocation for a general portfolio of life insurance policies. </w:t>
      </w:r>
      <w:r w:rsidRPr="00734837">
        <w:rPr>
          <w:i/>
          <w:iCs/>
          <w:noProof/>
        </w:rPr>
        <w:t>Insurance: Mathematics and Economics</w:t>
      </w:r>
      <w:r w:rsidRPr="00734837">
        <w:rPr>
          <w:noProof/>
        </w:rPr>
        <w:t xml:space="preserve">, </w:t>
      </w:r>
      <w:r w:rsidRPr="00734837">
        <w:rPr>
          <w:i/>
          <w:iCs/>
          <w:noProof/>
        </w:rPr>
        <w:t>46</w:t>
      </w:r>
      <w:r w:rsidRPr="00734837">
        <w:rPr>
          <w:noProof/>
        </w:rPr>
        <w:t xml:space="preserve">(2), 271–280. </w:t>
      </w:r>
    </w:p>
    <w:p w:rsidR="00A4115E" w:rsidRPr="00734837" w:rsidRDefault="00A4115E" w:rsidP="00A4115E">
      <w:pPr>
        <w:pStyle w:val="NormalWeb"/>
        <w:ind w:left="720" w:hanging="720"/>
        <w:jc w:val="both"/>
        <w:rPr>
          <w:noProof/>
        </w:rPr>
      </w:pPr>
      <w:r w:rsidRPr="00734837">
        <w:rPr>
          <w:noProof/>
        </w:rPr>
        <w:t xml:space="preserve">Huang, X. (2008). Portfolio selection with a new definition of risk. </w:t>
      </w:r>
      <w:r w:rsidRPr="00734837">
        <w:rPr>
          <w:i/>
          <w:iCs/>
          <w:noProof/>
        </w:rPr>
        <w:t>European Journal of Operational Research</w:t>
      </w:r>
      <w:r w:rsidRPr="00734837">
        <w:rPr>
          <w:noProof/>
        </w:rPr>
        <w:t xml:space="preserve">, </w:t>
      </w:r>
      <w:r w:rsidRPr="00734837">
        <w:rPr>
          <w:i/>
          <w:iCs/>
          <w:noProof/>
        </w:rPr>
        <w:t>186</w:t>
      </w:r>
      <w:r w:rsidRPr="00734837">
        <w:rPr>
          <w:noProof/>
        </w:rPr>
        <w:t>(1), 351–357.</w:t>
      </w:r>
    </w:p>
    <w:p w:rsidR="00A4115E" w:rsidRPr="00734837" w:rsidRDefault="00A4115E" w:rsidP="00A4115E">
      <w:pPr>
        <w:pStyle w:val="NormalWeb"/>
        <w:ind w:left="720" w:hanging="720"/>
        <w:jc w:val="both"/>
      </w:pPr>
      <w:r w:rsidRPr="00734837">
        <w:rPr>
          <w:color w:val="000000" w:themeColor="text1"/>
        </w:rPr>
        <w:lastRenderedPageBreak/>
        <w:t xml:space="preserve">Huberman, G., </w:t>
      </w:r>
      <w:r w:rsidR="00693D1C" w:rsidRPr="00734837">
        <w:rPr>
          <w:color w:val="000000" w:themeColor="text1"/>
        </w:rPr>
        <w:t>and</w:t>
      </w:r>
      <w:r w:rsidRPr="00734837">
        <w:rPr>
          <w:color w:val="000000" w:themeColor="text1"/>
        </w:rPr>
        <w:t xml:space="preserve"> Kandel, S., 1987. Mean–variance spanning. </w:t>
      </w:r>
      <w:r w:rsidRPr="00734837">
        <w:rPr>
          <w:i/>
          <w:color w:val="000000" w:themeColor="text1"/>
        </w:rPr>
        <w:t>Journal of Finance 42</w:t>
      </w:r>
      <w:r w:rsidRPr="00734837">
        <w:rPr>
          <w:color w:val="000000" w:themeColor="text1"/>
        </w:rPr>
        <w:t>(4)</w:t>
      </w:r>
      <w:r w:rsidRPr="00734837">
        <w:rPr>
          <w:i/>
          <w:color w:val="000000" w:themeColor="text1"/>
        </w:rPr>
        <w:t>,</w:t>
      </w:r>
      <w:r w:rsidRPr="00734837">
        <w:rPr>
          <w:color w:val="000000" w:themeColor="text1"/>
        </w:rPr>
        <w:t xml:space="preserve"> 873–888.</w:t>
      </w:r>
    </w:p>
    <w:p w:rsidR="00A4115E" w:rsidRPr="00734837" w:rsidRDefault="00A4115E" w:rsidP="00A4115E">
      <w:pPr>
        <w:pStyle w:val="NormalWeb"/>
        <w:ind w:left="480" w:hanging="480"/>
        <w:jc w:val="both"/>
        <w:rPr>
          <w:noProof/>
        </w:rPr>
      </w:pPr>
      <w:r w:rsidRPr="00734837">
        <w:rPr>
          <w:noProof/>
        </w:rPr>
        <w:t xml:space="preserve">Hung, M., Liu, Y., </w:t>
      </w:r>
      <w:r w:rsidR="00693D1C" w:rsidRPr="00734837">
        <w:rPr>
          <w:noProof/>
        </w:rPr>
        <w:t>and</w:t>
      </w:r>
      <w:r w:rsidRPr="00734837">
        <w:rPr>
          <w:noProof/>
        </w:rPr>
        <w:t xml:space="preserve"> Tsai, C. (2012). Managerial personal diversification and portfolio equity incentives. </w:t>
      </w:r>
      <w:r w:rsidRPr="00734837">
        <w:rPr>
          <w:i/>
          <w:iCs/>
          <w:noProof/>
        </w:rPr>
        <w:t>Journal of Corporate Finance</w:t>
      </w:r>
      <w:r w:rsidRPr="00734837">
        <w:rPr>
          <w:noProof/>
        </w:rPr>
        <w:t xml:space="preserve">, </w:t>
      </w:r>
      <w:r w:rsidRPr="00734837">
        <w:rPr>
          <w:i/>
          <w:iCs/>
          <w:noProof/>
        </w:rPr>
        <w:t>18</w:t>
      </w:r>
      <w:r w:rsidRPr="00734837">
        <w:rPr>
          <w:noProof/>
        </w:rPr>
        <w:t xml:space="preserve">(1), 38–64. </w:t>
      </w:r>
    </w:p>
    <w:p w:rsidR="00A4115E" w:rsidRPr="00734837" w:rsidRDefault="00A4115E" w:rsidP="00A4115E">
      <w:pPr>
        <w:pStyle w:val="NormalWeb"/>
        <w:ind w:left="720" w:hanging="720"/>
        <w:jc w:val="both"/>
        <w:rPr>
          <w:noProof/>
        </w:rPr>
      </w:pPr>
      <w:r w:rsidRPr="00734837">
        <w:rPr>
          <w:noProof/>
        </w:rPr>
        <w:t xml:space="preserve">Jacobs, H., Müller, S., </w:t>
      </w:r>
      <w:r w:rsidR="00693D1C" w:rsidRPr="00734837">
        <w:rPr>
          <w:noProof/>
        </w:rPr>
        <w:t>and</w:t>
      </w:r>
      <w:r w:rsidRPr="00734837">
        <w:rPr>
          <w:noProof/>
        </w:rPr>
        <w:t xml:space="preserve"> Weber, M. (2014). How should individual investors diversify ? An empirical evaluation of alternative asset allocation policies. </w:t>
      </w:r>
      <w:r w:rsidRPr="00734837">
        <w:rPr>
          <w:i/>
          <w:iCs/>
          <w:noProof/>
        </w:rPr>
        <w:t>Journal of Financial Markets</w:t>
      </w:r>
      <w:r w:rsidRPr="00734837">
        <w:rPr>
          <w:noProof/>
        </w:rPr>
        <w:t xml:space="preserve">, </w:t>
      </w:r>
      <w:r w:rsidRPr="00734837">
        <w:rPr>
          <w:i/>
          <w:iCs/>
          <w:noProof/>
        </w:rPr>
        <w:t>19</w:t>
      </w:r>
      <w:r w:rsidRPr="00734837">
        <w:rPr>
          <w:noProof/>
        </w:rPr>
        <w:t>, 62–85.</w:t>
      </w:r>
    </w:p>
    <w:p w:rsidR="00085C5E" w:rsidRPr="00734837" w:rsidRDefault="00085C5E" w:rsidP="00085C5E">
      <w:pPr>
        <w:pStyle w:val="NormalWeb"/>
        <w:spacing w:line="276" w:lineRule="auto"/>
        <w:ind w:left="480" w:hanging="480"/>
        <w:rPr>
          <w:noProof/>
        </w:rPr>
      </w:pPr>
      <w:r w:rsidRPr="00734837">
        <w:rPr>
          <w:noProof/>
        </w:rPr>
        <w:t xml:space="preserve">Jorion, P. (1994). Portfolio Optimization in Practice. </w:t>
      </w:r>
      <w:r w:rsidRPr="00734837">
        <w:rPr>
          <w:i/>
          <w:noProof/>
        </w:rPr>
        <w:t xml:space="preserve">Financial Analysts Journal, </w:t>
      </w:r>
      <w:r w:rsidRPr="00734837">
        <w:rPr>
          <w:i/>
          <w:iCs/>
          <w:noProof/>
        </w:rPr>
        <w:t>48</w:t>
      </w:r>
      <w:r w:rsidRPr="00734837">
        <w:rPr>
          <w:noProof/>
        </w:rPr>
        <w:t>(1), 68–74.</w:t>
      </w:r>
    </w:p>
    <w:p w:rsidR="00A4115E" w:rsidRPr="00734837" w:rsidRDefault="00A4115E" w:rsidP="00A4115E">
      <w:pPr>
        <w:pStyle w:val="NormalWeb"/>
        <w:ind w:left="480" w:hanging="480"/>
        <w:jc w:val="both"/>
        <w:rPr>
          <w:noProof/>
        </w:rPr>
      </w:pPr>
      <w:r w:rsidRPr="00734837">
        <w:rPr>
          <w:noProof/>
        </w:rPr>
        <w:t xml:space="preserve">Kerstens, K., Mounir, A., </w:t>
      </w:r>
      <w:r w:rsidR="00693D1C" w:rsidRPr="00734837">
        <w:rPr>
          <w:noProof/>
        </w:rPr>
        <w:t>and</w:t>
      </w:r>
      <w:r w:rsidRPr="00734837">
        <w:rPr>
          <w:noProof/>
        </w:rPr>
        <w:t xml:space="preserve"> Van de Woestyne, I. (2011). Geometric representation of the mean–variance–skewness portfolio frontier based upon the shortage function. </w:t>
      </w:r>
      <w:r w:rsidRPr="00734837">
        <w:rPr>
          <w:i/>
          <w:iCs/>
          <w:noProof/>
        </w:rPr>
        <w:t>European Journal of Operational Research</w:t>
      </w:r>
      <w:r w:rsidRPr="00734837">
        <w:rPr>
          <w:noProof/>
        </w:rPr>
        <w:t xml:space="preserve">, </w:t>
      </w:r>
      <w:r w:rsidRPr="00734837">
        <w:rPr>
          <w:i/>
          <w:iCs/>
          <w:noProof/>
        </w:rPr>
        <w:t>210</w:t>
      </w:r>
      <w:r w:rsidRPr="00734837">
        <w:rPr>
          <w:noProof/>
        </w:rPr>
        <w:t xml:space="preserve">(1), 81–94. </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Kisaka, S. E., Mbithi, J. A., </w:t>
      </w:r>
      <w:r w:rsidR="00693D1C" w:rsidRPr="00734837">
        <w:rPr>
          <w:noProof/>
        </w:rPr>
        <w:t>and</w:t>
      </w:r>
      <w:r w:rsidRPr="00734837">
        <w:rPr>
          <w:noProof/>
        </w:rPr>
        <w:t xml:space="preserve"> Kitur, H. (2015). Determining the Optimal Portfolio Size on the Nairobi Securities Exchange. </w:t>
      </w:r>
      <w:r w:rsidRPr="00734837">
        <w:rPr>
          <w:i/>
          <w:iCs/>
          <w:noProof/>
        </w:rPr>
        <w:t>Research Journal of Finance and Accounting</w:t>
      </w:r>
      <w:r w:rsidRPr="00734837">
        <w:rPr>
          <w:noProof/>
        </w:rPr>
        <w:t xml:space="preserve">, </w:t>
      </w:r>
      <w:r w:rsidRPr="00734837">
        <w:rPr>
          <w:i/>
          <w:iCs/>
          <w:noProof/>
        </w:rPr>
        <w:t>6</w:t>
      </w:r>
      <w:r w:rsidRPr="00734837">
        <w:rPr>
          <w:noProof/>
        </w:rPr>
        <w:t>(6), 215–230.</w:t>
      </w:r>
    </w:p>
    <w:p w:rsidR="00A4115E" w:rsidRPr="00734837" w:rsidRDefault="00A4115E" w:rsidP="00A4115E">
      <w:pPr>
        <w:pStyle w:val="NormalWeb"/>
        <w:ind w:left="480" w:hanging="480"/>
        <w:jc w:val="both"/>
        <w:rPr>
          <w:noProof/>
        </w:rPr>
      </w:pPr>
      <w:r w:rsidRPr="00734837">
        <w:fldChar w:fldCharType="end"/>
      </w:r>
      <w:r w:rsidRPr="00734837">
        <w:rPr>
          <w:noProof/>
        </w:rPr>
        <w:t xml:space="preserve">Klassen, K. J., </w:t>
      </w:r>
      <w:r w:rsidR="00693D1C" w:rsidRPr="00734837">
        <w:rPr>
          <w:noProof/>
        </w:rPr>
        <w:t>and</w:t>
      </w:r>
      <w:r w:rsidRPr="00734837">
        <w:rPr>
          <w:noProof/>
        </w:rPr>
        <w:t xml:space="preserve"> Yoogalingam, R. (2013). Appointment system design with interruptions and physician lateness. </w:t>
      </w:r>
      <w:r w:rsidRPr="00734837">
        <w:rPr>
          <w:i/>
          <w:iCs/>
          <w:noProof/>
        </w:rPr>
        <w:t xml:space="preserve">International Journal of Operations </w:t>
      </w:r>
      <w:r w:rsidR="00693D1C" w:rsidRPr="00734837">
        <w:rPr>
          <w:i/>
          <w:iCs/>
          <w:noProof/>
        </w:rPr>
        <w:t>and</w:t>
      </w:r>
      <w:r w:rsidRPr="00734837">
        <w:rPr>
          <w:i/>
          <w:iCs/>
          <w:noProof/>
        </w:rPr>
        <w:t xml:space="preserve"> Production Management</w:t>
      </w:r>
      <w:r w:rsidRPr="00734837">
        <w:rPr>
          <w:noProof/>
        </w:rPr>
        <w:t xml:space="preserve">, </w:t>
      </w:r>
      <w:r w:rsidRPr="00734837">
        <w:rPr>
          <w:i/>
          <w:iCs/>
          <w:noProof/>
        </w:rPr>
        <w:t>33</w:t>
      </w:r>
      <w:r w:rsidRPr="00734837">
        <w:rPr>
          <w:noProof/>
        </w:rPr>
        <w:t xml:space="preserve">(4), 394–414. </w:t>
      </w:r>
    </w:p>
    <w:p w:rsidR="00A4115E" w:rsidRPr="00734837" w:rsidRDefault="00A4115E" w:rsidP="00A4115E">
      <w:pPr>
        <w:pStyle w:val="NormalWeb"/>
        <w:ind w:left="480" w:hanging="480"/>
        <w:jc w:val="both"/>
        <w:rPr>
          <w:noProof/>
        </w:rPr>
      </w:pPr>
      <w:r w:rsidRPr="00734837">
        <w:rPr>
          <w:noProof/>
        </w:rPr>
        <w:t xml:space="preserve">Klein, R. W., </w:t>
      </w:r>
      <w:r w:rsidR="00693D1C" w:rsidRPr="00734837">
        <w:rPr>
          <w:noProof/>
        </w:rPr>
        <w:t>and</w:t>
      </w:r>
      <w:r w:rsidRPr="00734837">
        <w:rPr>
          <w:noProof/>
        </w:rPr>
        <w:t xml:space="preserve"> Bawa, V. S. (1976). The effect of estimating risk on an optimal portfolio choice. </w:t>
      </w:r>
      <w:r w:rsidRPr="00734837">
        <w:rPr>
          <w:i/>
          <w:noProof/>
        </w:rPr>
        <w:t>Journal of Financial Economics, 3</w:t>
      </w:r>
      <w:r w:rsidRPr="00734837">
        <w:rPr>
          <w:noProof/>
        </w:rPr>
        <w:t>(3), 215-231.</w:t>
      </w:r>
    </w:p>
    <w:p w:rsidR="00A4115E" w:rsidRPr="00734837" w:rsidRDefault="00A4115E" w:rsidP="00A4115E">
      <w:pPr>
        <w:pStyle w:val="NormalWeb"/>
        <w:ind w:left="720" w:hanging="720"/>
        <w:jc w:val="both"/>
        <w:rPr>
          <w:noProof/>
        </w:rPr>
      </w:pPr>
      <w:r w:rsidRPr="00734837">
        <w:rPr>
          <w:noProof/>
        </w:rPr>
        <w:t xml:space="preserve">Kraus, A., </w:t>
      </w:r>
      <w:r w:rsidR="00693D1C" w:rsidRPr="00734837">
        <w:rPr>
          <w:noProof/>
        </w:rPr>
        <w:t>and</w:t>
      </w:r>
      <w:r w:rsidRPr="00734837">
        <w:rPr>
          <w:noProof/>
        </w:rPr>
        <w:t xml:space="preserve"> Litzenberger, R. H. (1976). Skewness preference  and the valuation of risk assets. </w:t>
      </w:r>
      <w:r w:rsidRPr="00734837">
        <w:rPr>
          <w:i/>
          <w:iCs/>
          <w:noProof/>
        </w:rPr>
        <w:t>Journal of Finance</w:t>
      </w:r>
      <w:r w:rsidRPr="00734837">
        <w:rPr>
          <w:noProof/>
        </w:rPr>
        <w:t xml:space="preserve">, </w:t>
      </w:r>
      <w:r w:rsidRPr="00734837">
        <w:rPr>
          <w:i/>
          <w:iCs/>
          <w:noProof/>
        </w:rPr>
        <w:t>31</w:t>
      </w:r>
      <w:r w:rsidRPr="00734837">
        <w:rPr>
          <w:noProof/>
        </w:rPr>
        <w:t>(4), 1085–1100.</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Ledoit, O., </w:t>
      </w:r>
      <w:r w:rsidR="00693D1C" w:rsidRPr="00734837">
        <w:rPr>
          <w:noProof/>
        </w:rPr>
        <w:t>and</w:t>
      </w:r>
      <w:r w:rsidRPr="00734837">
        <w:rPr>
          <w:noProof/>
        </w:rPr>
        <w:t xml:space="preserve"> Wolf, M. (2003). Improved estimation of the covariance matrix of stock returns with an application to portfolio selection. </w:t>
      </w:r>
      <w:r w:rsidRPr="00734837">
        <w:rPr>
          <w:i/>
          <w:iCs/>
          <w:noProof/>
        </w:rPr>
        <w:t>Journal of Empirical Finance</w:t>
      </w:r>
      <w:r w:rsidRPr="00734837">
        <w:rPr>
          <w:noProof/>
        </w:rPr>
        <w:t xml:space="preserve">, </w:t>
      </w:r>
      <w:r w:rsidRPr="00734837">
        <w:rPr>
          <w:i/>
          <w:iCs/>
          <w:noProof/>
        </w:rPr>
        <w:t>10</w:t>
      </w:r>
      <w:r w:rsidRPr="00734837">
        <w:rPr>
          <w:noProof/>
        </w:rPr>
        <w:t xml:space="preserve">(5), 603–621. </w:t>
      </w:r>
    </w:p>
    <w:p w:rsidR="00A4115E" w:rsidRPr="00734837" w:rsidRDefault="00A4115E" w:rsidP="00A4115E">
      <w:pPr>
        <w:pStyle w:val="NormalWeb"/>
        <w:ind w:left="480" w:hanging="480"/>
        <w:jc w:val="both"/>
        <w:rPr>
          <w:noProof/>
        </w:rPr>
      </w:pPr>
      <w:r w:rsidRPr="00734837">
        <w:fldChar w:fldCharType="end"/>
      </w:r>
      <w:r w:rsidRPr="00734837">
        <w:rPr>
          <w:noProof/>
        </w:rPr>
        <w:t xml:space="preserve">Ledoit, O.,  </w:t>
      </w:r>
      <w:r w:rsidR="00693D1C" w:rsidRPr="00734837">
        <w:rPr>
          <w:noProof/>
        </w:rPr>
        <w:t>and</w:t>
      </w:r>
      <w:r w:rsidRPr="00734837">
        <w:rPr>
          <w:noProof/>
        </w:rPr>
        <w:t xml:space="preserve"> Wolf, M. (2008). Robust performance hypothesis testing with the Sharpe ratio. </w:t>
      </w:r>
      <w:r w:rsidRPr="00734837">
        <w:rPr>
          <w:i/>
          <w:noProof/>
        </w:rPr>
        <w:t>Journal of Empirical Finance,</w:t>
      </w:r>
      <w:r w:rsidRPr="00734837">
        <w:rPr>
          <w:noProof/>
        </w:rPr>
        <w:t xml:space="preserve"> </w:t>
      </w:r>
      <w:r w:rsidRPr="00734837">
        <w:rPr>
          <w:i/>
          <w:iCs/>
          <w:noProof/>
        </w:rPr>
        <w:t>15</w:t>
      </w:r>
      <w:r w:rsidRPr="00734837">
        <w:rPr>
          <w:iCs/>
          <w:noProof/>
        </w:rPr>
        <w:t>(5)</w:t>
      </w:r>
      <w:r w:rsidRPr="00734837">
        <w:rPr>
          <w:noProof/>
        </w:rPr>
        <w:t xml:space="preserve">, 850–859. </w:t>
      </w:r>
    </w:p>
    <w:p w:rsidR="00A4115E" w:rsidRPr="00734837" w:rsidRDefault="00A4115E" w:rsidP="00A4115E">
      <w:pPr>
        <w:pStyle w:val="NormalWeb"/>
        <w:ind w:left="480" w:hanging="480"/>
        <w:jc w:val="both"/>
        <w:rPr>
          <w:noProof/>
        </w:rPr>
      </w:pPr>
      <w:r w:rsidRPr="00734837">
        <w:rPr>
          <w:noProof/>
        </w:rPr>
        <w:t xml:space="preserve">Lessard, D. R. (1973). International Portfolio Diversification: A multivariate analysis for a group of Latin American countries. </w:t>
      </w:r>
      <w:r w:rsidRPr="00734837">
        <w:rPr>
          <w:i/>
          <w:noProof/>
        </w:rPr>
        <w:t>The Journal of Finance, 28</w:t>
      </w:r>
      <w:r w:rsidRPr="00734837">
        <w:rPr>
          <w:noProof/>
        </w:rPr>
        <w:t>(3), 619-633.</w:t>
      </w:r>
    </w:p>
    <w:p w:rsidR="00A4115E" w:rsidRPr="00734837" w:rsidRDefault="00A4115E" w:rsidP="00A4115E">
      <w:pPr>
        <w:pStyle w:val="NormalWeb"/>
        <w:ind w:left="480" w:hanging="480"/>
        <w:jc w:val="both"/>
        <w:rPr>
          <w:noProof/>
        </w:rPr>
      </w:pPr>
      <w:r w:rsidRPr="00734837">
        <w:rPr>
          <w:noProof/>
        </w:rPr>
        <w:t xml:space="preserve">Levy, M., </w:t>
      </w:r>
      <w:r w:rsidR="00693D1C" w:rsidRPr="00734837">
        <w:rPr>
          <w:noProof/>
        </w:rPr>
        <w:t>and</w:t>
      </w:r>
      <w:r w:rsidRPr="00734837">
        <w:rPr>
          <w:noProof/>
        </w:rPr>
        <w:t xml:space="preserve"> Levy, H. (2015). Keeping up with the Joneses and optimal diversification. </w:t>
      </w:r>
      <w:r w:rsidRPr="00734837">
        <w:rPr>
          <w:i/>
          <w:iCs/>
          <w:noProof/>
        </w:rPr>
        <w:t>Journal of Banking and Finance</w:t>
      </w:r>
      <w:r w:rsidRPr="00734837">
        <w:rPr>
          <w:noProof/>
        </w:rPr>
        <w:t xml:space="preserve">, </w:t>
      </w:r>
      <w:r w:rsidRPr="00734837">
        <w:rPr>
          <w:i/>
          <w:iCs/>
          <w:noProof/>
        </w:rPr>
        <w:t>58</w:t>
      </w:r>
      <w:r w:rsidRPr="00734837">
        <w:rPr>
          <w:noProof/>
        </w:rPr>
        <w:t xml:space="preserve">, 29–38. </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Li, K., Sarkar, A., </w:t>
      </w:r>
      <w:r w:rsidR="00693D1C" w:rsidRPr="00734837">
        <w:rPr>
          <w:noProof/>
        </w:rPr>
        <w:t>and</w:t>
      </w:r>
      <w:r w:rsidRPr="00734837">
        <w:rPr>
          <w:noProof/>
        </w:rPr>
        <w:t xml:space="preserve"> Wang, Z. (2003). Diversification benefits of emerging markets subject to portfolio constraints. </w:t>
      </w:r>
      <w:r w:rsidRPr="00734837">
        <w:rPr>
          <w:i/>
          <w:iCs/>
          <w:noProof/>
        </w:rPr>
        <w:t>Journal of Empirical Finance</w:t>
      </w:r>
      <w:r w:rsidRPr="00734837">
        <w:rPr>
          <w:noProof/>
        </w:rPr>
        <w:t xml:space="preserve">, </w:t>
      </w:r>
      <w:r w:rsidRPr="00734837">
        <w:rPr>
          <w:i/>
          <w:iCs/>
          <w:noProof/>
        </w:rPr>
        <w:t>10</w:t>
      </w:r>
      <w:r w:rsidRPr="00734837">
        <w:rPr>
          <w:noProof/>
        </w:rPr>
        <w:t xml:space="preserve">(1-2), 57–80. </w:t>
      </w:r>
    </w:p>
    <w:p w:rsidR="00A4115E" w:rsidRPr="00734837" w:rsidRDefault="00A4115E" w:rsidP="0022727A">
      <w:pPr>
        <w:pStyle w:val="NormalWeb"/>
        <w:ind w:left="480" w:hanging="480"/>
        <w:jc w:val="both"/>
        <w:rPr>
          <w:noProof/>
        </w:rPr>
      </w:pPr>
      <w:r w:rsidRPr="00734837">
        <w:fldChar w:fldCharType="end"/>
      </w:r>
      <w:r w:rsidRPr="00734837">
        <w:rPr>
          <w:noProof/>
        </w:rPr>
        <w:t xml:space="preserve">Liu, Y., Zhang, W., </w:t>
      </w:r>
      <w:r w:rsidR="00693D1C" w:rsidRPr="00734837">
        <w:rPr>
          <w:noProof/>
        </w:rPr>
        <w:t>and</w:t>
      </w:r>
      <w:r w:rsidRPr="00734837">
        <w:rPr>
          <w:noProof/>
        </w:rPr>
        <w:t xml:space="preserve"> Xu, W. (2012). Automatica Fuzzy multi-period portfolio selection optimization models using. </w:t>
      </w:r>
      <w:r w:rsidRPr="00734837">
        <w:rPr>
          <w:i/>
          <w:iCs/>
          <w:noProof/>
        </w:rPr>
        <w:t>Automatica</w:t>
      </w:r>
      <w:r w:rsidRPr="00734837">
        <w:rPr>
          <w:noProof/>
        </w:rPr>
        <w:t xml:space="preserve">, </w:t>
      </w:r>
      <w:r w:rsidRPr="00734837">
        <w:rPr>
          <w:i/>
          <w:iCs/>
          <w:noProof/>
        </w:rPr>
        <w:t>48</w:t>
      </w:r>
      <w:r w:rsidRPr="00734837">
        <w:rPr>
          <w:noProof/>
        </w:rPr>
        <w:t>(12), 3042–3053.</w:t>
      </w:r>
    </w:p>
    <w:p w:rsidR="00A4115E" w:rsidRPr="00734837" w:rsidRDefault="00A4115E" w:rsidP="00A4115E">
      <w:pPr>
        <w:pStyle w:val="NormalWeb"/>
        <w:ind w:left="720" w:hanging="720"/>
        <w:jc w:val="both"/>
        <w:rPr>
          <w:noProof/>
        </w:rPr>
      </w:pPr>
      <w:r w:rsidRPr="00734837">
        <w:rPr>
          <w:noProof/>
        </w:rPr>
        <w:lastRenderedPageBreak/>
        <w:t xml:space="preserve">Markowitz, H. (1952). Portofolio Selection. </w:t>
      </w:r>
      <w:r w:rsidRPr="00734837">
        <w:rPr>
          <w:i/>
          <w:noProof/>
        </w:rPr>
        <w:t>The Journal of Finance, 7</w:t>
      </w:r>
      <w:r w:rsidRPr="00734837">
        <w:rPr>
          <w:noProof/>
        </w:rPr>
        <w:t>(1), 77-91.</w:t>
      </w:r>
    </w:p>
    <w:p w:rsidR="00F07C2A" w:rsidRPr="00734837" w:rsidRDefault="00F07C2A" w:rsidP="00F07C2A">
      <w:pPr>
        <w:pStyle w:val="NormalWeb"/>
        <w:spacing w:line="276" w:lineRule="auto"/>
        <w:ind w:left="720" w:hanging="720"/>
        <w:jc w:val="both"/>
      </w:pPr>
      <w:r w:rsidRPr="00734837">
        <w:rPr>
          <w:noProof/>
        </w:rPr>
        <w:t xml:space="preserve">Markowitz, H. (1999). The early history of portfolio theory: 1600-1960. </w:t>
      </w:r>
      <w:r w:rsidRPr="00734837">
        <w:rPr>
          <w:i/>
          <w:noProof/>
        </w:rPr>
        <w:t>Financial Analyst Journal, 7</w:t>
      </w:r>
      <w:r w:rsidRPr="00734837">
        <w:rPr>
          <w:noProof/>
        </w:rPr>
        <w:t>(1),77-91.</w:t>
      </w:r>
    </w:p>
    <w:p w:rsidR="00A4115E" w:rsidRPr="00734837" w:rsidRDefault="00A4115E" w:rsidP="00A4115E">
      <w:pPr>
        <w:pStyle w:val="NormalWeb"/>
        <w:ind w:left="720" w:hanging="720"/>
        <w:jc w:val="both"/>
      </w:pPr>
      <w:r w:rsidRPr="00734837">
        <w:rPr>
          <w:noProof/>
        </w:rPr>
        <w:t xml:space="preserve">Mensah, Lord, Avuglah, R. K., </w:t>
      </w:r>
      <w:r w:rsidR="00693D1C" w:rsidRPr="00734837">
        <w:rPr>
          <w:noProof/>
        </w:rPr>
        <w:t>and</w:t>
      </w:r>
      <w:r w:rsidRPr="00734837">
        <w:rPr>
          <w:noProof/>
        </w:rPr>
        <w:t xml:space="preserve"> Dedu, V. (2013). Allocation of Assets on the Ghana Stock Exchange (GSE). </w:t>
      </w:r>
      <w:r w:rsidRPr="00734837">
        <w:rPr>
          <w:i/>
          <w:iCs/>
          <w:noProof/>
        </w:rPr>
        <w:t>International Journal of Financial Research</w:t>
      </w:r>
      <w:r w:rsidRPr="00734837">
        <w:rPr>
          <w:noProof/>
        </w:rPr>
        <w:t xml:space="preserve">, </w:t>
      </w:r>
      <w:r w:rsidRPr="00734837">
        <w:rPr>
          <w:i/>
          <w:iCs/>
          <w:noProof/>
        </w:rPr>
        <w:t>4</w:t>
      </w:r>
      <w:r w:rsidRPr="00734837">
        <w:rPr>
          <w:noProof/>
        </w:rPr>
        <w:t xml:space="preserve">(2), 108–114. </w:t>
      </w:r>
    </w:p>
    <w:p w:rsidR="00A4115E" w:rsidRPr="00734837" w:rsidRDefault="00A4115E" w:rsidP="00A4115E">
      <w:pPr>
        <w:pStyle w:val="NormalWeb"/>
        <w:ind w:left="720" w:hanging="720"/>
        <w:jc w:val="both"/>
      </w:pPr>
      <w:r w:rsidRPr="00734837">
        <w:t xml:space="preserve">Meric, I., </w:t>
      </w:r>
      <w:r w:rsidR="00693D1C" w:rsidRPr="00734837">
        <w:t>and</w:t>
      </w:r>
      <w:r w:rsidRPr="00734837">
        <w:t xml:space="preserve"> Meric, G. (1989). Potential gains from international portfolio diversification and inter-temporal stability and seasonality in international stock market relationships. </w:t>
      </w:r>
      <w:r w:rsidRPr="00734837">
        <w:rPr>
          <w:i/>
        </w:rPr>
        <w:t>Journal of Banking and Finance, 13</w:t>
      </w:r>
      <w:r w:rsidRPr="00734837">
        <w:t>(4-5)</w:t>
      </w:r>
      <w:r w:rsidRPr="00734837">
        <w:rPr>
          <w:i/>
        </w:rPr>
        <w:t xml:space="preserve">, </w:t>
      </w:r>
      <w:r w:rsidRPr="00734837">
        <w:t>627-640.</w:t>
      </w:r>
    </w:p>
    <w:p w:rsidR="00A4115E" w:rsidRPr="00734837" w:rsidRDefault="00A4115E" w:rsidP="00A4115E">
      <w:pPr>
        <w:pStyle w:val="NormalWeb"/>
        <w:ind w:left="720" w:hanging="72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Miralles-Marcelo, J. L., Miralles-Quirós, M. M., </w:t>
      </w:r>
      <w:r w:rsidR="00693D1C" w:rsidRPr="00734837">
        <w:rPr>
          <w:noProof/>
        </w:rPr>
        <w:t>and</w:t>
      </w:r>
      <w:r w:rsidRPr="00734837">
        <w:rPr>
          <w:noProof/>
        </w:rPr>
        <w:t xml:space="preserve"> Miralles-Quirós, J. L. (2015). North American Journal of Economics and Finance Improving international diversification benefits for US investors. </w:t>
      </w:r>
      <w:r w:rsidRPr="00734837">
        <w:rPr>
          <w:i/>
          <w:iCs/>
          <w:noProof/>
        </w:rPr>
        <w:t>North American Journal of Economics and Finance</w:t>
      </w:r>
      <w:r w:rsidRPr="00734837">
        <w:rPr>
          <w:noProof/>
        </w:rPr>
        <w:t xml:space="preserve">, </w:t>
      </w:r>
      <w:r w:rsidRPr="00734837">
        <w:rPr>
          <w:i/>
          <w:iCs/>
          <w:noProof/>
        </w:rPr>
        <w:t>32</w:t>
      </w:r>
      <w:r w:rsidRPr="00734837">
        <w:rPr>
          <w:noProof/>
        </w:rPr>
        <w:t xml:space="preserve">, 64–76. </w:t>
      </w:r>
    </w:p>
    <w:p w:rsidR="00A4115E" w:rsidRPr="00734837" w:rsidRDefault="00A4115E" w:rsidP="00A4115E">
      <w:pPr>
        <w:pStyle w:val="NormalWeb"/>
        <w:ind w:left="720" w:hanging="720"/>
        <w:jc w:val="both"/>
        <w:rPr>
          <w:noProof/>
        </w:rPr>
      </w:pPr>
      <w:r w:rsidRPr="00734837">
        <w:fldChar w:fldCharType="end"/>
      </w:r>
      <w:r w:rsidRPr="00734837">
        <w:rPr>
          <w:noProof/>
        </w:rPr>
        <w:t xml:space="preserve">Mossin, J. (1968). optimal multiperiod portfolio policies. </w:t>
      </w:r>
      <w:r w:rsidRPr="00734837">
        <w:rPr>
          <w:i/>
          <w:iCs/>
          <w:noProof/>
        </w:rPr>
        <w:t>The Journal of Business</w:t>
      </w:r>
      <w:r w:rsidRPr="00734837">
        <w:rPr>
          <w:noProof/>
        </w:rPr>
        <w:t xml:space="preserve">, </w:t>
      </w:r>
      <w:r w:rsidRPr="00734837">
        <w:rPr>
          <w:i/>
          <w:iCs/>
          <w:noProof/>
        </w:rPr>
        <w:t>41</w:t>
      </w:r>
      <w:r w:rsidRPr="00734837">
        <w:rPr>
          <w:noProof/>
        </w:rPr>
        <w:t>(2), 215–229.</w:t>
      </w:r>
    </w:p>
    <w:p w:rsidR="00A4115E" w:rsidRPr="00734837" w:rsidRDefault="00A4115E" w:rsidP="00A4115E">
      <w:pPr>
        <w:pStyle w:val="NormalWeb"/>
        <w:ind w:left="720" w:hanging="720"/>
        <w:jc w:val="both"/>
        <w:rPr>
          <w:noProof/>
        </w:rPr>
      </w:pPr>
      <w:r w:rsidRPr="00734837">
        <w:rPr>
          <w:noProof/>
        </w:rPr>
        <w:t xml:space="preserve">Munk, C., </w:t>
      </w:r>
      <w:r w:rsidR="00693D1C" w:rsidRPr="00734837">
        <w:rPr>
          <w:noProof/>
        </w:rPr>
        <w:t>and</w:t>
      </w:r>
      <w:r w:rsidRPr="00734837">
        <w:rPr>
          <w:noProof/>
        </w:rPr>
        <w:t xml:space="preserve"> Sørensen, C. (2010). Dynamic asset allocation with stochastic income and interest rates. </w:t>
      </w:r>
      <w:r w:rsidRPr="00734837">
        <w:rPr>
          <w:i/>
          <w:iCs/>
          <w:noProof/>
        </w:rPr>
        <w:t>Journal of Financial Economics</w:t>
      </w:r>
      <w:r w:rsidRPr="00734837">
        <w:rPr>
          <w:noProof/>
        </w:rPr>
        <w:t xml:space="preserve">, </w:t>
      </w:r>
      <w:r w:rsidRPr="00734837">
        <w:rPr>
          <w:i/>
          <w:iCs/>
          <w:noProof/>
        </w:rPr>
        <w:t>96</w:t>
      </w:r>
      <w:r w:rsidRPr="00734837">
        <w:rPr>
          <w:noProof/>
        </w:rPr>
        <w:t xml:space="preserve">(3), 433–462. </w:t>
      </w:r>
    </w:p>
    <w:p w:rsidR="00A4115E" w:rsidRPr="00734837" w:rsidRDefault="00A4115E" w:rsidP="00A4115E">
      <w:pPr>
        <w:pStyle w:val="NormalWeb"/>
        <w:ind w:left="720" w:hanging="720"/>
        <w:jc w:val="both"/>
        <w:rPr>
          <w:color w:val="000000" w:themeColor="text1"/>
        </w:rPr>
      </w:pPr>
      <w:r w:rsidRPr="00734837">
        <w:rPr>
          <w:color w:val="000000" w:themeColor="text1"/>
        </w:rPr>
        <w:t xml:space="preserve">Obstfeld, M., 1994. Risk-taking, global diversification, and growth. </w:t>
      </w:r>
      <w:r w:rsidRPr="00734837">
        <w:rPr>
          <w:i/>
          <w:color w:val="000000" w:themeColor="text1"/>
        </w:rPr>
        <w:t>American Economic Review, 84,</w:t>
      </w:r>
      <w:r w:rsidRPr="00734837">
        <w:rPr>
          <w:color w:val="000000" w:themeColor="text1"/>
        </w:rPr>
        <w:t xml:space="preserve"> 1310–1329.</w:t>
      </w:r>
    </w:p>
    <w:p w:rsidR="00A4115E" w:rsidRPr="00734837" w:rsidRDefault="00A4115E" w:rsidP="00A4115E">
      <w:pPr>
        <w:pStyle w:val="NormalWeb"/>
        <w:ind w:left="720" w:hanging="720"/>
        <w:jc w:val="both"/>
        <w:rPr>
          <w:noProof/>
        </w:rPr>
      </w:pPr>
      <w:r w:rsidRPr="00734837">
        <w:rPr>
          <w:noProof/>
        </w:rPr>
        <w:t xml:space="preserve">Prakash, A. J., Chang, C.-H., </w:t>
      </w:r>
      <w:r w:rsidR="00693D1C" w:rsidRPr="00734837">
        <w:rPr>
          <w:noProof/>
        </w:rPr>
        <w:t>and</w:t>
      </w:r>
      <w:r w:rsidRPr="00734837">
        <w:rPr>
          <w:noProof/>
        </w:rPr>
        <w:t xml:space="preserve"> Pactwa, T. E. (2003). Selecting a portfolio with skewness: Recent evidence from US, European, and Latin American equity markets.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27</w:t>
      </w:r>
      <w:r w:rsidRPr="00734837">
        <w:rPr>
          <w:noProof/>
        </w:rPr>
        <w:t xml:space="preserve">(7), 1375–1390. </w:t>
      </w:r>
    </w:p>
    <w:p w:rsidR="00A4115E" w:rsidRPr="00734837" w:rsidRDefault="00A4115E" w:rsidP="00A4115E">
      <w:pPr>
        <w:pStyle w:val="NormalWeb"/>
        <w:ind w:left="720" w:hanging="720"/>
        <w:jc w:val="both"/>
        <w:rPr>
          <w:noProof/>
        </w:rPr>
      </w:pPr>
      <w:r w:rsidRPr="00734837">
        <w:rPr>
          <w:noProof/>
        </w:rPr>
        <w:t>Rousseau, P.L.,</w:t>
      </w:r>
      <w:r w:rsidR="00693D1C" w:rsidRPr="00734837">
        <w:rPr>
          <w:noProof/>
        </w:rPr>
        <w:t>and</w:t>
      </w:r>
      <w:r w:rsidRPr="00734837">
        <w:rPr>
          <w:noProof/>
        </w:rPr>
        <w:t xml:space="preserve"> Wachtel, P. (2000). Equity markets and growth: Cross-country evidence on timing and outcomes, 1980–1995. </w:t>
      </w:r>
      <w:r w:rsidRPr="00734837">
        <w:rPr>
          <w:i/>
          <w:iCs/>
          <w:noProof/>
        </w:rPr>
        <w:t xml:space="preserve">Journal of Banking </w:t>
      </w:r>
      <w:r w:rsidR="00693D1C" w:rsidRPr="00734837">
        <w:rPr>
          <w:i/>
          <w:iCs/>
          <w:noProof/>
        </w:rPr>
        <w:t>and</w:t>
      </w:r>
      <w:r w:rsidRPr="00734837">
        <w:rPr>
          <w:i/>
          <w:iCs/>
          <w:noProof/>
        </w:rPr>
        <w:t xml:space="preserve"> Finance</w:t>
      </w:r>
      <w:r w:rsidRPr="00734837">
        <w:rPr>
          <w:noProof/>
        </w:rPr>
        <w:t xml:space="preserve">, </w:t>
      </w:r>
      <w:r w:rsidRPr="00734837">
        <w:rPr>
          <w:i/>
          <w:iCs/>
          <w:noProof/>
        </w:rPr>
        <w:t>24</w:t>
      </w:r>
      <w:r w:rsidRPr="00734837">
        <w:rPr>
          <w:noProof/>
        </w:rPr>
        <w:t>(12), 1933–1957.</w:t>
      </w:r>
    </w:p>
    <w:p w:rsidR="00A4115E" w:rsidRPr="00734837" w:rsidRDefault="00A4115E" w:rsidP="00A4115E">
      <w:pPr>
        <w:pStyle w:val="NormalWeb"/>
        <w:ind w:left="480" w:hanging="480"/>
        <w:jc w:val="both"/>
        <w:rPr>
          <w:noProof/>
        </w:rPr>
      </w:pPr>
      <w:r w:rsidRPr="00734837">
        <w:rPr>
          <w:noProof/>
        </w:rPr>
        <w:t xml:space="preserve">Siegel, A. F., </w:t>
      </w:r>
      <w:r w:rsidR="00693D1C" w:rsidRPr="00734837">
        <w:rPr>
          <w:noProof/>
        </w:rPr>
        <w:t>and</w:t>
      </w:r>
      <w:r w:rsidRPr="00734837">
        <w:rPr>
          <w:noProof/>
        </w:rPr>
        <w:t xml:space="preserve"> Woodgate, A. (2007). Performance of Portfolios Optimized with Estimation Error. </w:t>
      </w:r>
      <w:r w:rsidRPr="00734837">
        <w:rPr>
          <w:i/>
          <w:iCs/>
          <w:noProof/>
        </w:rPr>
        <w:t>Management Science</w:t>
      </w:r>
      <w:r w:rsidRPr="00734837">
        <w:rPr>
          <w:noProof/>
        </w:rPr>
        <w:t xml:space="preserve">, </w:t>
      </w:r>
      <w:r w:rsidRPr="00734837">
        <w:rPr>
          <w:i/>
          <w:iCs/>
          <w:noProof/>
        </w:rPr>
        <w:t>53</w:t>
      </w:r>
      <w:r w:rsidRPr="00734837">
        <w:rPr>
          <w:noProof/>
        </w:rPr>
        <w:t xml:space="preserve">(6), 1005–1015. </w:t>
      </w:r>
    </w:p>
    <w:p w:rsidR="00A4115E" w:rsidRPr="00734837" w:rsidRDefault="00A4115E" w:rsidP="00A4115E">
      <w:pPr>
        <w:spacing w:line="240" w:lineRule="auto"/>
        <w:ind w:left="450" w:hanging="450"/>
        <w:jc w:val="both"/>
        <w:rPr>
          <w:rFonts w:ascii="Times New Roman" w:hAnsi="Times New Roman" w:cs="Times New Roman"/>
          <w:sz w:val="24"/>
          <w:szCs w:val="24"/>
        </w:rPr>
      </w:pPr>
      <w:r w:rsidRPr="00734837">
        <w:rPr>
          <w:rFonts w:ascii="Times New Roman" w:hAnsi="Times New Roman" w:cs="Times New Roman"/>
          <w:sz w:val="24"/>
          <w:szCs w:val="24"/>
        </w:rPr>
        <w:t xml:space="preserve">Simar, L.,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Wilson, P.W. (1998). Sensitivity Analysis of Efficiency Scores: How to Bootstrap in Nonparametric Frontier Models. </w:t>
      </w:r>
      <w:r w:rsidRPr="00734837">
        <w:rPr>
          <w:rFonts w:ascii="Times New Roman" w:hAnsi="Times New Roman" w:cs="Times New Roman"/>
          <w:i/>
          <w:sz w:val="24"/>
          <w:szCs w:val="24"/>
        </w:rPr>
        <w:t>Management Science, 44</w:t>
      </w:r>
      <w:r w:rsidRPr="00734837">
        <w:rPr>
          <w:rFonts w:ascii="Times New Roman" w:hAnsi="Times New Roman" w:cs="Times New Roman"/>
          <w:sz w:val="24"/>
          <w:szCs w:val="24"/>
        </w:rPr>
        <w:t>(1), 49-61.</w:t>
      </w:r>
    </w:p>
    <w:p w:rsidR="00A4115E" w:rsidRPr="00734837" w:rsidRDefault="00A4115E" w:rsidP="00A4115E">
      <w:pPr>
        <w:spacing w:line="240" w:lineRule="auto"/>
        <w:ind w:left="450" w:hanging="450"/>
        <w:jc w:val="both"/>
        <w:rPr>
          <w:rFonts w:ascii="Times New Roman" w:hAnsi="Times New Roman" w:cs="Times New Roman"/>
          <w:sz w:val="24"/>
          <w:szCs w:val="24"/>
        </w:rPr>
      </w:pPr>
      <w:r w:rsidRPr="00734837">
        <w:rPr>
          <w:rFonts w:ascii="Times New Roman" w:hAnsi="Times New Roman" w:cs="Times New Roman"/>
          <w:sz w:val="24"/>
          <w:szCs w:val="24"/>
        </w:rPr>
        <w:t xml:space="preserve">Simar, L.,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Wilson, P.W. (2000). A general methodology for bootstrapping in non-parametric frontier models. </w:t>
      </w:r>
      <w:r w:rsidRPr="00734837">
        <w:rPr>
          <w:rFonts w:ascii="Times New Roman" w:hAnsi="Times New Roman" w:cs="Times New Roman"/>
          <w:i/>
          <w:sz w:val="24"/>
          <w:szCs w:val="24"/>
        </w:rPr>
        <w:t>Journal of Applied Statistics, 27</w:t>
      </w:r>
      <w:r w:rsidRPr="00734837">
        <w:rPr>
          <w:rFonts w:ascii="Times New Roman" w:hAnsi="Times New Roman" w:cs="Times New Roman"/>
          <w:sz w:val="24"/>
          <w:szCs w:val="24"/>
        </w:rPr>
        <w:t xml:space="preserve">(6), 779–802. </w:t>
      </w:r>
    </w:p>
    <w:p w:rsidR="00A4115E" w:rsidRPr="00734837" w:rsidRDefault="00A4115E" w:rsidP="00A4115E">
      <w:pPr>
        <w:spacing w:line="240" w:lineRule="auto"/>
        <w:ind w:left="450" w:hanging="450"/>
        <w:jc w:val="both"/>
        <w:rPr>
          <w:rFonts w:ascii="Times New Roman" w:hAnsi="Times New Roman" w:cs="Times New Roman"/>
          <w:sz w:val="24"/>
          <w:szCs w:val="24"/>
        </w:rPr>
      </w:pPr>
      <w:r w:rsidRPr="00734837">
        <w:rPr>
          <w:rFonts w:ascii="Times New Roman" w:hAnsi="Times New Roman" w:cs="Times New Roman"/>
          <w:sz w:val="24"/>
          <w:szCs w:val="24"/>
        </w:rPr>
        <w:t xml:space="preserve">Simar, L., </w:t>
      </w:r>
      <w:r w:rsidR="00693D1C" w:rsidRPr="00734837">
        <w:rPr>
          <w:rFonts w:ascii="Times New Roman" w:hAnsi="Times New Roman" w:cs="Times New Roman"/>
          <w:sz w:val="24"/>
          <w:szCs w:val="24"/>
        </w:rPr>
        <w:t>and</w:t>
      </w:r>
      <w:r w:rsidRPr="00734837">
        <w:rPr>
          <w:rFonts w:ascii="Times New Roman" w:hAnsi="Times New Roman" w:cs="Times New Roman"/>
          <w:sz w:val="24"/>
          <w:szCs w:val="24"/>
        </w:rPr>
        <w:t xml:space="preserve"> Wilson, P.W. (2007). Estimation and inference in two-stage, semi-parametric models of production processes. </w:t>
      </w:r>
      <w:r w:rsidRPr="00734837">
        <w:rPr>
          <w:rFonts w:ascii="Times New Roman" w:hAnsi="Times New Roman" w:cs="Times New Roman"/>
          <w:i/>
          <w:sz w:val="24"/>
          <w:szCs w:val="24"/>
        </w:rPr>
        <w:t>Journal of Econometrics, 136</w:t>
      </w:r>
      <w:r w:rsidRPr="00734837">
        <w:rPr>
          <w:rFonts w:ascii="Times New Roman" w:hAnsi="Times New Roman" w:cs="Times New Roman"/>
          <w:sz w:val="24"/>
          <w:szCs w:val="24"/>
        </w:rPr>
        <w:t>(1), 31-64.</w:t>
      </w:r>
    </w:p>
    <w:p w:rsidR="00A4115E" w:rsidRPr="00734837" w:rsidRDefault="00A4115E" w:rsidP="00A4115E">
      <w:pPr>
        <w:spacing w:line="240" w:lineRule="auto"/>
        <w:ind w:left="450" w:hanging="450"/>
        <w:jc w:val="both"/>
        <w:rPr>
          <w:rFonts w:ascii="Times New Roman" w:hAnsi="Times New Roman" w:cs="Times New Roman"/>
          <w:sz w:val="24"/>
          <w:szCs w:val="24"/>
        </w:rPr>
      </w:pPr>
      <w:r w:rsidRPr="00734837">
        <w:rPr>
          <w:rFonts w:ascii="Times New Roman" w:hAnsi="Times New Roman" w:cs="Times New Roman"/>
          <w:noProof/>
          <w:sz w:val="24"/>
          <w:szCs w:val="24"/>
        </w:rPr>
        <w:t xml:space="preserve">Sun, Q., </w:t>
      </w:r>
      <w:r w:rsidR="00693D1C" w:rsidRPr="00734837">
        <w:rPr>
          <w:rFonts w:ascii="Times New Roman" w:hAnsi="Times New Roman" w:cs="Times New Roman"/>
          <w:noProof/>
          <w:sz w:val="24"/>
          <w:szCs w:val="24"/>
        </w:rPr>
        <w:t>and</w:t>
      </w:r>
      <w:r w:rsidRPr="00734837">
        <w:rPr>
          <w:rFonts w:ascii="Times New Roman" w:hAnsi="Times New Roman" w:cs="Times New Roman"/>
          <w:noProof/>
          <w:sz w:val="24"/>
          <w:szCs w:val="24"/>
        </w:rPr>
        <w:t xml:space="preserve"> Yan, Y. (2003). Skewness persistence with optimal portfolio selection. </w:t>
      </w:r>
      <w:r w:rsidRPr="00734837">
        <w:rPr>
          <w:rFonts w:ascii="Times New Roman" w:hAnsi="Times New Roman" w:cs="Times New Roman"/>
          <w:i/>
          <w:iCs/>
          <w:noProof/>
          <w:sz w:val="24"/>
          <w:szCs w:val="24"/>
        </w:rPr>
        <w:t xml:space="preserve">Journal of Banking </w:t>
      </w:r>
      <w:r w:rsidR="00693D1C" w:rsidRPr="00734837">
        <w:rPr>
          <w:rFonts w:ascii="Times New Roman" w:hAnsi="Times New Roman" w:cs="Times New Roman"/>
          <w:i/>
          <w:iCs/>
          <w:noProof/>
          <w:sz w:val="24"/>
          <w:szCs w:val="24"/>
        </w:rPr>
        <w:t>and</w:t>
      </w:r>
      <w:r w:rsidRPr="00734837">
        <w:rPr>
          <w:rFonts w:ascii="Times New Roman" w:hAnsi="Times New Roman" w:cs="Times New Roman"/>
          <w:i/>
          <w:iCs/>
          <w:noProof/>
          <w:sz w:val="24"/>
          <w:szCs w:val="24"/>
        </w:rPr>
        <w:t xml:space="preserve"> Finance</w:t>
      </w:r>
      <w:r w:rsidRPr="00734837">
        <w:rPr>
          <w:rFonts w:ascii="Times New Roman" w:hAnsi="Times New Roman" w:cs="Times New Roman"/>
          <w:noProof/>
          <w:sz w:val="24"/>
          <w:szCs w:val="24"/>
        </w:rPr>
        <w:t xml:space="preserve">, </w:t>
      </w:r>
      <w:r w:rsidRPr="00734837">
        <w:rPr>
          <w:rFonts w:ascii="Times New Roman" w:hAnsi="Times New Roman" w:cs="Times New Roman"/>
          <w:i/>
          <w:iCs/>
          <w:noProof/>
          <w:sz w:val="24"/>
          <w:szCs w:val="24"/>
        </w:rPr>
        <w:t>27</w:t>
      </w:r>
      <w:r w:rsidRPr="00734837">
        <w:rPr>
          <w:rFonts w:ascii="Times New Roman" w:hAnsi="Times New Roman" w:cs="Times New Roman"/>
          <w:noProof/>
          <w:sz w:val="24"/>
          <w:szCs w:val="24"/>
        </w:rPr>
        <w:t>(6), 1111–1121.</w:t>
      </w:r>
      <w:r w:rsidRPr="00734837">
        <w:rPr>
          <w:rFonts w:ascii="Times New Roman" w:hAnsi="Times New Roman" w:cs="Times New Roman"/>
          <w:sz w:val="24"/>
          <w:szCs w:val="24"/>
        </w:rPr>
        <w:t xml:space="preserve"> </w:t>
      </w:r>
    </w:p>
    <w:p w:rsidR="00C46AE0" w:rsidRPr="00734837" w:rsidRDefault="00C46AE0" w:rsidP="00C46AE0">
      <w:pPr>
        <w:pStyle w:val="NormalWeb"/>
        <w:spacing w:line="276" w:lineRule="auto"/>
        <w:ind w:left="480" w:hanging="480"/>
        <w:rPr>
          <w:noProof/>
        </w:rPr>
      </w:pPr>
      <w:r w:rsidRPr="00734837">
        <w:rPr>
          <w:noProof/>
        </w:rPr>
        <w:lastRenderedPageBreak/>
        <w:t xml:space="preserve">Tepla, L. (2000). Optimal portfolio policies with borrowing and shortsale constraints. </w:t>
      </w:r>
      <w:r w:rsidRPr="00734837">
        <w:rPr>
          <w:i/>
          <w:noProof/>
        </w:rPr>
        <w:t>Journal of Economic Dynamic and Control,</w:t>
      </w:r>
      <w:r w:rsidRPr="00734837">
        <w:rPr>
          <w:noProof/>
        </w:rPr>
        <w:t xml:space="preserve"> </w:t>
      </w:r>
      <w:r w:rsidRPr="00734837">
        <w:rPr>
          <w:i/>
          <w:iCs/>
          <w:noProof/>
        </w:rPr>
        <w:t>24</w:t>
      </w:r>
      <w:r w:rsidRPr="00734837">
        <w:rPr>
          <w:iCs/>
          <w:noProof/>
        </w:rPr>
        <w:t>(11-12)</w:t>
      </w:r>
      <w:r w:rsidRPr="00734837">
        <w:rPr>
          <w:noProof/>
        </w:rPr>
        <w:t>, 1623–1639.</w:t>
      </w:r>
    </w:p>
    <w:p w:rsidR="00A4115E" w:rsidRPr="00734837" w:rsidRDefault="00A4115E" w:rsidP="00A4115E">
      <w:pPr>
        <w:pStyle w:val="NormalWeb"/>
        <w:ind w:left="480" w:hanging="480"/>
        <w:jc w:val="both"/>
        <w:rPr>
          <w:rFonts w:eastAsia="Times New Roman"/>
        </w:rPr>
      </w:pPr>
      <w:r w:rsidRPr="00734837">
        <w:rPr>
          <w:rFonts w:eastAsia="Times New Roman"/>
        </w:rPr>
        <w:t xml:space="preserve">Tortosa-Ausina, E., Armero, C., Conesa, D., </w:t>
      </w:r>
      <w:r w:rsidR="00693D1C" w:rsidRPr="00734837">
        <w:rPr>
          <w:rFonts w:eastAsia="Times New Roman"/>
        </w:rPr>
        <w:t>and</w:t>
      </w:r>
      <w:r w:rsidRPr="00734837">
        <w:rPr>
          <w:rFonts w:eastAsia="Times New Roman"/>
        </w:rPr>
        <w:t xml:space="preserve"> Grifell-Tatjé, E. (2012). Bootstrapping profit change: An application to Spanish banks. </w:t>
      </w:r>
      <w:r w:rsidRPr="00734837">
        <w:rPr>
          <w:rFonts w:eastAsia="Times New Roman"/>
          <w:i/>
          <w:iCs/>
        </w:rPr>
        <w:t xml:space="preserve">Computers </w:t>
      </w:r>
      <w:r w:rsidR="00693D1C" w:rsidRPr="00734837">
        <w:rPr>
          <w:rFonts w:eastAsia="Times New Roman"/>
          <w:i/>
          <w:iCs/>
        </w:rPr>
        <w:t>and</w:t>
      </w:r>
      <w:r w:rsidRPr="00734837">
        <w:rPr>
          <w:rFonts w:eastAsia="Times New Roman"/>
          <w:i/>
          <w:iCs/>
        </w:rPr>
        <w:t xml:space="preserve"> Operations Research</w:t>
      </w:r>
      <w:r w:rsidRPr="00734837">
        <w:rPr>
          <w:rFonts w:eastAsia="Times New Roman"/>
        </w:rPr>
        <w:t xml:space="preserve">, </w:t>
      </w:r>
      <w:r w:rsidRPr="00734837">
        <w:rPr>
          <w:rFonts w:eastAsia="Times New Roman"/>
          <w:i/>
          <w:iCs/>
        </w:rPr>
        <w:t>39</w:t>
      </w:r>
      <w:r w:rsidRPr="00734837">
        <w:rPr>
          <w:rFonts w:eastAsia="Times New Roman"/>
        </w:rPr>
        <w:t>(8), 1857-1871.</w:t>
      </w:r>
    </w:p>
    <w:p w:rsidR="00A4115E" w:rsidRPr="00734837" w:rsidRDefault="00A4115E" w:rsidP="00A4115E">
      <w:pPr>
        <w:pStyle w:val="NormalWeb"/>
        <w:ind w:left="480" w:hanging="480"/>
        <w:jc w:val="both"/>
        <w:rPr>
          <w:noProof/>
        </w:rPr>
      </w:pPr>
      <w:r w:rsidRPr="00734837">
        <w:rPr>
          <w:noProof/>
        </w:rPr>
        <w:t xml:space="preserve">Wang, J., </w:t>
      </w:r>
      <w:r w:rsidR="00693D1C" w:rsidRPr="00734837">
        <w:rPr>
          <w:noProof/>
        </w:rPr>
        <w:t>and</w:t>
      </w:r>
      <w:r w:rsidRPr="00734837">
        <w:rPr>
          <w:noProof/>
        </w:rPr>
        <w:t xml:space="preserve"> Forsyth, P. A. (2011). Continuous time mean variance asset allocation: A time-consistent strategy. </w:t>
      </w:r>
      <w:r w:rsidRPr="00734837">
        <w:rPr>
          <w:i/>
          <w:iCs/>
          <w:noProof/>
        </w:rPr>
        <w:t>European Journal of Operational Research</w:t>
      </w:r>
      <w:r w:rsidRPr="00734837">
        <w:rPr>
          <w:noProof/>
        </w:rPr>
        <w:t xml:space="preserve">, </w:t>
      </w:r>
      <w:r w:rsidRPr="00734837">
        <w:rPr>
          <w:i/>
          <w:iCs/>
          <w:noProof/>
        </w:rPr>
        <w:t>209</w:t>
      </w:r>
      <w:r w:rsidRPr="00734837">
        <w:rPr>
          <w:noProof/>
        </w:rPr>
        <w:t>(2), 184–201.</w:t>
      </w:r>
    </w:p>
    <w:p w:rsidR="00517832" w:rsidRPr="00734837" w:rsidRDefault="00517832" w:rsidP="00517832">
      <w:pPr>
        <w:pStyle w:val="NormalWeb"/>
        <w:spacing w:line="276" w:lineRule="auto"/>
        <w:ind w:left="480" w:hanging="480"/>
        <w:jc w:val="both"/>
        <w:rPr>
          <w:noProof/>
        </w:rPr>
      </w:pPr>
      <w:r w:rsidRPr="00734837">
        <w:rPr>
          <w:noProof/>
        </w:rPr>
        <w:t xml:space="preserve">Xie, S. (2009). Insurance : Mathematics and Economics Continuous-time mean – variance portfolio selection with liability and regime switching. </w:t>
      </w:r>
      <w:r w:rsidRPr="00734837">
        <w:rPr>
          <w:i/>
          <w:iCs/>
          <w:noProof/>
        </w:rPr>
        <w:t>Insurance: Mathematics and Economics</w:t>
      </w:r>
      <w:r w:rsidRPr="00734837">
        <w:rPr>
          <w:noProof/>
        </w:rPr>
        <w:t xml:space="preserve">, </w:t>
      </w:r>
      <w:r w:rsidRPr="00734837">
        <w:rPr>
          <w:i/>
          <w:iCs/>
          <w:noProof/>
        </w:rPr>
        <w:t>45</w:t>
      </w:r>
      <w:r w:rsidRPr="00734837">
        <w:rPr>
          <w:noProof/>
        </w:rPr>
        <w:t>(1), 148–155.</w:t>
      </w:r>
    </w:p>
    <w:p w:rsidR="00A4115E" w:rsidRPr="00734837" w:rsidRDefault="00A4115E" w:rsidP="00A4115E">
      <w:pPr>
        <w:pStyle w:val="NormalWeb"/>
        <w:ind w:left="480" w:hanging="480"/>
        <w:jc w:val="both"/>
        <w:rPr>
          <w:noProof/>
        </w:rPr>
      </w:pPr>
      <w:r w:rsidRPr="00734837">
        <w:rPr>
          <w:noProof/>
        </w:rPr>
        <w:t xml:space="preserve">Yao, H., Li, Z., </w:t>
      </w:r>
      <w:r w:rsidR="00693D1C" w:rsidRPr="00734837">
        <w:rPr>
          <w:noProof/>
        </w:rPr>
        <w:t>and</w:t>
      </w:r>
      <w:r w:rsidRPr="00734837">
        <w:rPr>
          <w:noProof/>
        </w:rPr>
        <w:t xml:space="preserve"> Chen, S. (2014). Continuous-time mean – variance portfolio selection with only risky assets. </w:t>
      </w:r>
      <w:r w:rsidRPr="00734837">
        <w:rPr>
          <w:i/>
          <w:iCs/>
          <w:noProof/>
        </w:rPr>
        <w:t>Economic Modelling</w:t>
      </w:r>
      <w:r w:rsidRPr="00734837">
        <w:rPr>
          <w:noProof/>
        </w:rPr>
        <w:t xml:space="preserve">, </w:t>
      </w:r>
      <w:r w:rsidRPr="00734837">
        <w:rPr>
          <w:i/>
          <w:iCs/>
          <w:noProof/>
        </w:rPr>
        <w:t>36</w:t>
      </w:r>
      <w:r w:rsidRPr="00734837">
        <w:rPr>
          <w:noProof/>
        </w:rPr>
        <w:t xml:space="preserve">, 244–251. </w:t>
      </w:r>
    </w:p>
    <w:p w:rsidR="00A4115E" w:rsidRPr="00734837" w:rsidRDefault="00A4115E" w:rsidP="00A4115E">
      <w:pPr>
        <w:pStyle w:val="NormalWeb"/>
        <w:ind w:left="480" w:hanging="480"/>
        <w:jc w:val="both"/>
        <w:rPr>
          <w:noProof/>
        </w:rPr>
      </w:pPr>
      <w:r w:rsidRPr="00734837">
        <w:rPr>
          <w:noProof/>
        </w:rPr>
        <w:t xml:space="preserve">Zhang, W.-G. (2007). Possibilistic mean-standard deviation models to portfolio selection for bounded assets. </w:t>
      </w:r>
      <w:r w:rsidRPr="00734837">
        <w:rPr>
          <w:i/>
          <w:iCs/>
          <w:noProof/>
        </w:rPr>
        <w:t>Applied Mathematics and Computation</w:t>
      </w:r>
      <w:r w:rsidRPr="00734837">
        <w:rPr>
          <w:noProof/>
        </w:rPr>
        <w:t xml:space="preserve">, </w:t>
      </w:r>
      <w:r w:rsidRPr="00734837">
        <w:rPr>
          <w:i/>
          <w:iCs/>
          <w:noProof/>
        </w:rPr>
        <w:t>189</w:t>
      </w:r>
      <w:r w:rsidRPr="00734837">
        <w:rPr>
          <w:noProof/>
        </w:rPr>
        <w:t xml:space="preserve">, 1614–1623. </w:t>
      </w:r>
    </w:p>
    <w:p w:rsidR="00A4115E" w:rsidRPr="00734837" w:rsidRDefault="00A4115E" w:rsidP="00A4115E">
      <w:pPr>
        <w:pStyle w:val="NormalWeb"/>
        <w:ind w:left="480" w:hanging="480"/>
        <w:jc w:val="both"/>
        <w:rPr>
          <w:noProof/>
        </w:rPr>
      </w:pPr>
      <w:r w:rsidRPr="00734837">
        <w:fldChar w:fldCharType="begin" w:fldLock="1"/>
      </w:r>
      <w:r w:rsidRPr="00734837">
        <w:instrText xml:space="preserve">ADDIN Mendeley Bibliography CSL_BIBLIOGRAPHY </w:instrText>
      </w:r>
      <w:r w:rsidRPr="00734837">
        <w:fldChar w:fldCharType="separate"/>
      </w:r>
      <w:r w:rsidRPr="00734837">
        <w:rPr>
          <w:noProof/>
        </w:rPr>
        <w:t xml:space="preserve">Zhang, W.-G., Wang, Y.-L., Chen, Z.-P., </w:t>
      </w:r>
      <w:r w:rsidR="00693D1C" w:rsidRPr="00734837">
        <w:rPr>
          <w:noProof/>
        </w:rPr>
        <w:t>and</w:t>
      </w:r>
      <w:r w:rsidRPr="00734837">
        <w:rPr>
          <w:noProof/>
        </w:rPr>
        <w:t xml:space="preserve"> Nie, Z.-K. (2007). Possibilistic mean-variance models and efficient frontiers for portfolio selection problem. </w:t>
      </w:r>
      <w:r w:rsidRPr="00734837">
        <w:rPr>
          <w:i/>
          <w:iCs/>
          <w:noProof/>
        </w:rPr>
        <w:t>Information Sciences</w:t>
      </w:r>
      <w:r w:rsidRPr="00734837">
        <w:rPr>
          <w:noProof/>
        </w:rPr>
        <w:t xml:space="preserve">, </w:t>
      </w:r>
      <w:r w:rsidRPr="00734837">
        <w:rPr>
          <w:i/>
          <w:iCs/>
          <w:noProof/>
        </w:rPr>
        <w:t>177</w:t>
      </w:r>
      <w:r w:rsidRPr="00734837">
        <w:rPr>
          <w:iCs/>
          <w:noProof/>
        </w:rPr>
        <w:t>(13)</w:t>
      </w:r>
      <w:r w:rsidRPr="00734837">
        <w:rPr>
          <w:noProof/>
        </w:rPr>
        <w:t xml:space="preserve">, 2787–2801. </w:t>
      </w:r>
    </w:p>
    <w:p w:rsidR="00A4115E" w:rsidRPr="00734837" w:rsidRDefault="00A4115E" w:rsidP="00F56AAD">
      <w:pPr>
        <w:pStyle w:val="NormalWeb"/>
        <w:ind w:left="480" w:hanging="480"/>
        <w:jc w:val="both"/>
        <w:rPr>
          <w:noProof/>
        </w:rPr>
      </w:pPr>
      <w:r w:rsidRPr="00734837">
        <w:fldChar w:fldCharType="end"/>
      </w:r>
      <w:r w:rsidRPr="00734837">
        <w:rPr>
          <w:noProof/>
        </w:rPr>
        <w:t xml:space="preserve"> Zhou, J., </w:t>
      </w:r>
      <w:r w:rsidR="00693D1C" w:rsidRPr="00734837">
        <w:rPr>
          <w:noProof/>
        </w:rPr>
        <w:t>and</w:t>
      </w:r>
      <w:r w:rsidRPr="00734837">
        <w:rPr>
          <w:noProof/>
        </w:rPr>
        <w:t xml:space="preserve"> Nicholson, J. R. (2015). Economic value of modeling covariance asymmetry for mixed-asset portfolio diversifications. </w:t>
      </w:r>
      <w:r w:rsidRPr="00734837">
        <w:rPr>
          <w:i/>
          <w:iCs/>
          <w:noProof/>
        </w:rPr>
        <w:t>Economic Modelling</w:t>
      </w:r>
      <w:r w:rsidRPr="00734837">
        <w:rPr>
          <w:noProof/>
        </w:rPr>
        <w:t xml:space="preserve">, </w:t>
      </w:r>
      <w:r w:rsidRPr="00734837">
        <w:rPr>
          <w:i/>
          <w:iCs/>
          <w:noProof/>
        </w:rPr>
        <w:t>45</w:t>
      </w:r>
      <w:r w:rsidRPr="00734837">
        <w:rPr>
          <w:noProof/>
        </w:rPr>
        <w:t>, 14–21.</w:t>
      </w:r>
    </w:p>
    <w:p w:rsidR="00517832" w:rsidRPr="00734837" w:rsidRDefault="00A4115E" w:rsidP="00517832">
      <w:pPr>
        <w:pStyle w:val="NormalWeb"/>
        <w:spacing w:line="276" w:lineRule="auto"/>
        <w:ind w:left="720" w:hanging="720"/>
        <w:jc w:val="both"/>
        <w:rPr>
          <w:noProof/>
        </w:rPr>
      </w:pPr>
      <w:r w:rsidRPr="00734837">
        <w:fldChar w:fldCharType="end"/>
      </w:r>
      <w:r w:rsidRPr="00734837">
        <w:rPr>
          <w:noProof/>
        </w:rPr>
        <w:fldChar w:fldCharType="end"/>
      </w:r>
      <w:r w:rsidR="00517832" w:rsidRPr="00734837">
        <w:rPr>
          <w:noProof/>
        </w:rPr>
        <w:t xml:space="preserve"> Zhu, Y., &amp; Zhou, G. (2009). Technical analysis: An asset allocation perspective on the use of moving averages. </w:t>
      </w:r>
      <w:r w:rsidR="00517832" w:rsidRPr="00734837">
        <w:rPr>
          <w:i/>
          <w:iCs/>
          <w:noProof/>
        </w:rPr>
        <w:t>Journal of Financial Economics</w:t>
      </w:r>
      <w:r w:rsidR="00517832" w:rsidRPr="00734837">
        <w:rPr>
          <w:noProof/>
        </w:rPr>
        <w:t xml:space="preserve">, </w:t>
      </w:r>
      <w:r w:rsidR="00517832" w:rsidRPr="00734837">
        <w:rPr>
          <w:i/>
          <w:iCs/>
          <w:noProof/>
        </w:rPr>
        <w:t>92</w:t>
      </w:r>
      <w:r w:rsidR="00517832" w:rsidRPr="00734837">
        <w:rPr>
          <w:noProof/>
        </w:rPr>
        <w:t xml:space="preserve">(3), 519–544. </w:t>
      </w:r>
    </w:p>
    <w:p w:rsidR="00A4115E" w:rsidRPr="00734837" w:rsidRDefault="00A4115E" w:rsidP="00A4115E">
      <w:pPr>
        <w:spacing w:line="240" w:lineRule="auto"/>
        <w:rPr>
          <w:rFonts w:ascii="Times New Roman" w:hAnsi="Times New Roman" w:cs="Times New Roman"/>
        </w:rPr>
      </w:pPr>
    </w:p>
    <w:sectPr w:rsidR="00A4115E" w:rsidRPr="00734837" w:rsidSect="006E3E8E">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FC" w:rsidRDefault="00DF1BFC" w:rsidP="00A854C1">
      <w:pPr>
        <w:spacing w:after="0" w:line="240" w:lineRule="auto"/>
      </w:pPr>
      <w:r>
        <w:separator/>
      </w:r>
    </w:p>
  </w:endnote>
  <w:endnote w:type="continuationSeparator" w:id="0">
    <w:p w:rsidR="00DF1BFC" w:rsidRDefault="00DF1BFC" w:rsidP="00A8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cmillanRoma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93" w:rsidRDefault="005F1793">
    <w:pPr>
      <w:pStyle w:val="Footer"/>
      <w:jc w:val="center"/>
    </w:pPr>
  </w:p>
  <w:p w:rsidR="005F1793" w:rsidRDefault="005F1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27909"/>
      <w:docPartObj>
        <w:docPartGallery w:val="Page Numbers (Bottom of Page)"/>
        <w:docPartUnique/>
      </w:docPartObj>
    </w:sdtPr>
    <w:sdtEndPr>
      <w:rPr>
        <w:noProof/>
      </w:rPr>
    </w:sdtEndPr>
    <w:sdtContent>
      <w:p w:rsidR="005F1793" w:rsidRDefault="005F1793">
        <w:pPr>
          <w:pStyle w:val="Footer"/>
          <w:jc w:val="center"/>
        </w:pPr>
        <w:r>
          <w:fldChar w:fldCharType="begin"/>
        </w:r>
        <w:r>
          <w:instrText xml:space="preserve"> PAGE   \* MERGEFORMAT </w:instrText>
        </w:r>
        <w:r>
          <w:fldChar w:fldCharType="separate"/>
        </w:r>
        <w:r w:rsidR="00CA64A1">
          <w:rPr>
            <w:noProof/>
          </w:rPr>
          <w:t>10</w:t>
        </w:r>
        <w:r>
          <w:rPr>
            <w:noProof/>
          </w:rPr>
          <w:fldChar w:fldCharType="end"/>
        </w:r>
      </w:p>
    </w:sdtContent>
  </w:sdt>
  <w:p w:rsidR="005F1793" w:rsidRDefault="005F1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24540"/>
      <w:docPartObj>
        <w:docPartGallery w:val="Page Numbers (Bottom of Page)"/>
        <w:docPartUnique/>
      </w:docPartObj>
    </w:sdtPr>
    <w:sdtEndPr>
      <w:rPr>
        <w:noProof/>
      </w:rPr>
    </w:sdtEndPr>
    <w:sdtContent>
      <w:p w:rsidR="005F1793" w:rsidRDefault="005F1793">
        <w:pPr>
          <w:pStyle w:val="Footer"/>
          <w:jc w:val="center"/>
        </w:pPr>
        <w:r>
          <w:fldChar w:fldCharType="begin"/>
        </w:r>
        <w:r>
          <w:instrText xml:space="preserve"> PAGE   \* MERGEFORMAT </w:instrText>
        </w:r>
        <w:r>
          <w:fldChar w:fldCharType="separate"/>
        </w:r>
        <w:r w:rsidR="00CA64A1">
          <w:rPr>
            <w:noProof/>
          </w:rPr>
          <w:t>19</w:t>
        </w:r>
        <w:r>
          <w:rPr>
            <w:noProof/>
          </w:rPr>
          <w:fldChar w:fldCharType="end"/>
        </w:r>
      </w:p>
    </w:sdtContent>
  </w:sdt>
  <w:p w:rsidR="005F1793" w:rsidRDefault="005F1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FC" w:rsidRDefault="00DF1BFC" w:rsidP="00A854C1">
      <w:pPr>
        <w:spacing w:after="0" w:line="240" w:lineRule="auto"/>
      </w:pPr>
      <w:r>
        <w:separator/>
      </w:r>
    </w:p>
  </w:footnote>
  <w:footnote w:type="continuationSeparator" w:id="0">
    <w:p w:rsidR="00DF1BFC" w:rsidRDefault="00DF1BFC" w:rsidP="00A85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1A9"/>
    <w:multiLevelType w:val="hybridMultilevel"/>
    <w:tmpl w:val="FDAEA9E0"/>
    <w:lvl w:ilvl="0" w:tplc="08090013">
      <w:start w:val="1"/>
      <w:numFmt w:val="upperRoman"/>
      <w:lvlText w:val="%1."/>
      <w:lvlJc w:val="righ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4B4727B0"/>
    <w:multiLevelType w:val="hybridMultilevel"/>
    <w:tmpl w:val="54B64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66EA0"/>
    <w:multiLevelType w:val="hybridMultilevel"/>
    <w:tmpl w:val="A47EF3AC"/>
    <w:lvl w:ilvl="0" w:tplc="D7A6AD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25CFF"/>
    <w:multiLevelType w:val="hybridMultilevel"/>
    <w:tmpl w:val="265C1210"/>
    <w:lvl w:ilvl="0" w:tplc="A7B2C1CC">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1564134"/>
    <w:multiLevelType w:val="hybridMultilevel"/>
    <w:tmpl w:val="203C1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C62CA"/>
    <w:multiLevelType w:val="hybridMultilevel"/>
    <w:tmpl w:val="54B64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88"/>
    <w:rsid w:val="00000411"/>
    <w:rsid w:val="00000C63"/>
    <w:rsid w:val="000012AA"/>
    <w:rsid w:val="000018E4"/>
    <w:rsid w:val="000019CD"/>
    <w:rsid w:val="000024D0"/>
    <w:rsid w:val="000061CC"/>
    <w:rsid w:val="0000695D"/>
    <w:rsid w:val="00006A24"/>
    <w:rsid w:val="000078AF"/>
    <w:rsid w:val="000106BD"/>
    <w:rsid w:val="000113D3"/>
    <w:rsid w:val="00011703"/>
    <w:rsid w:val="00011D0B"/>
    <w:rsid w:val="00012C46"/>
    <w:rsid w:val="0001416B"/>
    <w:rsid w:val="000163FD"/>
    <w:rsid w:val="000203BE"/>
    <w:rsid w:val="00020F1B"/>
    <w:rsid w:val="0002137D"/>
    <w:rsid w:val="00021B16"/>
    <w:rsid w:val="0002258D"/>
    <w:rsid w:val="000229A1"/>
    <w:rsid w:val="00022B8D"/>
    <w:rsid w:val="00022CE7"/>
    <w:rsid w:val="000250AE"/>
    <w:rsid w:val="00026E02"/>
    <w:rsid w:val="00027B18"/>
    <w:rsid w:val="000308EF"/>
    <w:rsid w:val="00031B50"/>
    <w:rsid w:val="00031D09"/>
    <w:rsid w:val="00032045"/>
    <w:rsid w:val="00032506"/>
    <w:rsid w:val="00032721"/>
    <w:rsid w:val="000328BA"/>
    <w:rsid w:val="00033F1D"/>
    <w:rsid w:val="00033F7D"/>
    <w:rsid w:val="000345C2"/>
    <w:rsid w:val="00034AAD"/>
    <w:rsid w:val="00035975"/>
    <w:rsid w:val="0003715B"/>
    <w:rsid w:val="000409EF"/>
    <w:rsid w:val="000410D2"/>
    <w:rsid w:val="00041285"/>
    <w:rsid w:val="000419D7"/>
    <w:rsid w:val="00042F8F"/>
    <w:rsid w:val="00042FB7"/>
    <w:rsid w:val="00043B6B"/>
    <w:rsid w:val="000444BF"/>
    <w:rsid w:val="00044D6C"/>
    <w:rsid w:val="00045192"/>
    <w:rsid w:val="000460AF"/>
    <w:rsid w:val="0004618A"/>
    <w:rsid w:val="000472C3"/>
    <w:rsid w:val="00047DE3"/>
    <w:rsid w:val="0005140B"/>
    <w:rsid w:val="00051A62"/>
    <w:rsid w:val="00051D39"/>
    <w:rsid w:val="00051F6A"/>
    <w:rsid w:val="00052DD7"/>
    <w:rsid w:val="00053D31"/>
    <w:rsid w:val="00054395"/>
    <w:rsid w:val="000559FD"/>
    <w:rsid w:val="0005693F"/>
    <w:rsid w:val="0005756C"/>
    <w:rsid w:val="00057B0D"/>
    <w:rsid w:val="00060212"/>
    <w:rsid w:val="00060954"/>
    <w:rsid w:val="00060C14"/>
    <w:rsid w:val="00060C28"/>
    <w:rsid w:val="00061892"/>
    <w:rsid w:val="000619DC"/>
    <w:rsid w:val="00062CC0"/>
    <w:rsid w:val="00062E0D"/>
    <w:rsid w:val="0006366D"/>
    <w:rsid w:val="0006446A"/>
    <w:rsid w:val="00065386"/>
    <w:rsid w:val="000653CD"/>
    <w:rsid w:val="00065409"/>
    <w:rsid w:val="00065B3F"/>
    <w:rsid w:val="00066401"/>
    <w:rsid w:val="000669F9"/>
    <w:rsid w:val="00067240"/>
    <w:rsid w:val="0007012A"/>
    <w:rsid w:val="0007079D"/>
    <w:rsid w:val="00070E68"/>
    <w:rsid w:val="0007199B"/>
    <w:rsid w:val="00072CF5"/>
    <w:rsid w:val="00074A52"/>
    <w:rsid w:val="000756FE"/>
    <w:rsid w:val="0007683B"/>
    <w:rsid w:val="0008072A"/>
    <w:rsid w:val="00080B17"/>
    <w:rsid w:val="00080B34"/>
    <w:rsid w:val="0008260B"/>
    <w:rsid w:val="0008382F"/>
    <w:rsid w:val="000841FA"/>
    <w:rsid w:val="00084347"/>
    <w:rsid w:val="00084E21"/>
    <w:rsid w:val="00085443"/>
    <w:rsid w:val="00085675"/>
    <w:rsid w:val="00085C5E"/>
    <w:rsid w:val="00086D8B"/>
    <w:rsid w:val="00090326"/>
    <w:rsid w:val="000904D5"/>
    <w:rsid w:val="00091385"/>
    <w:rsid w:val="00091680"/>
    <w:rsid w:val="00092211"/>
    <w:rsid w:val="000932A1"/>
    <w:rsid w:val="00096330"/>
    <w:rsid w:val="00096446"/>
    <w:rsid w:val="00096D51"/>
    <w:rsid w:val="00097F0D"/>
    <w:rsid w:val="000A15B7"/>
    <w:rsid w:val="000A177A"/>
    <w:rsid w:val="000A179B"/>
    <w:rsid w:val="000A26AC"/>
    <w:rsid w:val="000A28D5"/>
    <w:rsid w:val="000A3688"/>
    <w:rsid w:val="000A388A"/>
    <w:rsid w:val="000A3E97"/>
    <w:rsid w:val="000A54C3"/>
    <w:rsid w:val="000A605F"/>
    <w:rsid w:val="000A6BF8"/>
    <w:rsid w:val="000A70A6"/>
    <w:rsid w:val="000A77F2"/>
    <w:rsid w:val="000B0EDF"/>
    <w:rsid w:val="000B1218"/>
    <w:rsid w:val="000B1A91"/>
    <w:rsid w:val="000B35FD"/>
    <w:rsid w:val="000B3916"/>
    <w:rsid w:val="000B3FC5"/>
    <w:rsid w:val="000B4928"/>
    <w:rsid w:val="000B764A"/>
    <w:rsid w:val="000C0022"/>
    <w:rsid w:val="000C2013"/>
    <w:rsid w:val="000C2765"/>
    <w:rsid w:val="000C4168"/>
    <w:rsid w:val="000C467D"/>
    <w:rsid w:val="000C5022"/>
    <w:rsid w:val="000C5B4F"/>
    <w:rsid w:val="000C6C7B"/>
    <w:rsid w:val="000C74D8"/>
    <w:rsid w:val="000C7B82"/>
    <w:rsid w:val="000C7CE0"/>
    <w:rsid w:val="000D06B0"/>
    <w:rsid w:val="000D06D0"/>
    <w:rsid w:val="000D0D61"/>
    <w:rsid w:val="000D29F9"/>
    <w:rsid w:val="000D2BF6"/>
    <w:rsid w:val="000D3974"/>
    <w:rsid w:val="000D438B"/>
    <w:rsid w:val="000D4A8E"/>
    <w:rsid w:val="000D4C89"/>
    <w:rsid w:val="000D5E4E"/>
    <w:rsid w:val="000D6DC7"/>
    <w:rsid w:val="000D7132"/>
    <w:rsid w:val="000D7A49"/>
    <w:rsid w:val="000D7AE0"/>
    <w:rsid w:val="000E1C0E"/>
    <w:rsid w:val="000E33D8"/>
    <w:rsid w:val="000E3B4C"/>
    <w:rsid w:val="000E3EDB"/>
    <w:rsid w:val="000E4965"/>
    <w:rsid w:val="000E5790"/>
    <w:rsid w:val="000E5836"/>
    <w:rsid w:val="000E5F19"/>
    <w:rsid w:val="000E617B"/>
    <w:rsid w:val="000E7086"/>
    <w:rsid w:val="000E7139"/>
    <w:rsid w:val="000E7DD7"/>
    <w:rsid w:val="000F0AFC"/>
    <w:rsid w:val="000F0BD9"/>
    <w:rsid w:val="000F2340"/>
    <w:rsid w:val="000F2918"/>
    <w:rsid w:val="000F46D4"/>
    <w:rsid w:val="000F5866"/>
    <w:rsid w:val="000F5ACE"/>
    <w:rsid w:val="000F681C"/>
    <w:rsid w:val="000F6FB2"/>
    <w:rsid w:val="000F7895"/>
    <w:rsid w:val="000F7B44"/>
    <w:rsid w:val="00100E2F"/>
    <w:rsid w:val="001012F2"/>
    <w:rsid w:val="00101D2B"/>
    <w:rsid w:val="00102E9D"/>
    <w:rsid w:val="00103581"/>
    <w:rsid w:val="001058BB"/>
    <w:rsid w:val="00106469"/>
    <w:rsid w:val="00106A36"/>
    <w:rsid w:val="00106B15"/>
    <w:rsid w:val="00106E53"/>
    <w:rsid w:val="00107766"/>
    <w:rsid w:val="0010782C"/>
    <w:rsid w:val="0011041F"/>
    <w:rsid w:val="00110A24"/>
    <w:rsid w:val="001112E3"/>
    <w:rsid w:val="00112850"/>
    <w:rsid w:val="00112C54"/>
    <w:rsid w:val="00112D78"/>
    <w:rsid w:val="00112F25"/>
    <w:rsid w:val="001137A2"/>
    <w:rsid w:val="0011497D"/>
    <w:rsid w:val="001153CC"/>
    <w:rsid w:val="00115D36"/>
    <w:rsid w:val="00115D51"/>
    <w:rsid w:val="00117BAE"/>
    <w:rsid w:val="001203C7"/>
    <w:rsid w:val="00121561"/>
    <w:rsid w:val="00121ACC"/>
    <w:rsid w:val="0012437E"/>
    <w:rsid w:val="00125952"/>
    <w:rsid w:val="00126B59"/>
    <w:rsid w:val="001270EB"/>
    <w:rsid w:val="00127453"/>
    <w:rsid w:val="00127E69"/>
    <w:rsid w:val="00130D5A"/>
    <w:rsid w:val="001323C0"/>
    <w:rsid w:val="001333F2"/>
    <w:rsid w:val="00133A38"/>
    <w:rsid w:val="00133FD2"/>
    <w:rsid w:val="001347EE"/>
    <w:rsid w:val="001353FD"/>
    <w:rsid w:val="00137905"/>
    <w:rsid w:val="00137A8D"/>
    <w:rsid w:val="0014007F"/>
    <w:rsid w:val="001424FA"/>
    <w:rsid w:val="00143329"/>
    <w:rsid w:val="00144103"/>
    <w:rsid w:val="00146817"/>
    <w:rsid w:val="0014708E"/>
    <w:rsid w:val="001472AE"/>
    <w:rsid w:val="001507B5"/>
    <w:rsid w:val="00150901"/>
    <w:rsid w:val="00150ABC"/>
    <w:rsid w:val="00150F05"/>
    <w:rsid w:val="00152448"/>
    <w:rsid w:val="00152D81"/>
    <w:rsid w:val="00153743"/>
    <w:rsid w:val="00153957"/>
    <w:rsid w:val="00154811"/>
    <w:rsid w:val="00155442"/>
    <w:rsid w:val="00155DE4"/>
    <w:rsid w:val="001565BB"/>
    <w:rsid w:val="00157006"/>
    <w:rsid w:val="001578F2"/>
    <w:rsid w:val="001605D7"/>
    <w:rsid w:val="00160EEF"/>
    <w:rsid w:val="001614AC"/>
    <w:rsid w:val="001617B2"/>
    <w:rsid w:val="00161D6B"/>
    <w:rsid w:val="00165331"/>
    <w:rsid w:val="001656FA"/>
    <w:rsid w:val="00165DAE"/>
    <w:rsid w:val="00166866"/>
    <w:rsid w:val="0016791B"/>
    <w:rsid w:val="001709F1"/>
    <w:rsid w:val="00171198"/>
    <w:rsid w:val="0017185A"/>
    <w:rsid w:val="00172BC2"/>
    <w:rsid w:val="0017445D"/>
    <w:rsid w:val="00174AAB"/>
    <w:rsid w:val="00175409"/>
    <w:rsid w:val="001757D0"/>
    <w:rsid w:val="00176C8B"/>
    <w:rsid w:val="001778F0"/>
    <w:rsid w:val="001808CA"/>
    <w:rsid w:val="00180900"/>
    <w:rsid w:val="00180E3C"/>
    <w:rsid w:val="00180E56"/>
    <w:rsid w:val="00180F6D"/>
    <w:rsid w:val="00181D61"/>
    <w:rsid w:val="001821DB"/>
    <w:rsid w:val="0018342C"/>
    <w:rsid w:val="00183485"/>
    <w:rsid w:val="001834D3"/>
    <w:rsid w:val="0018363E"/>
    <w:rsid w:val="00184A52"/>
    <w:rsid w:val="0018532A"/>
    <w:rsid w:val="00185EF7"/>
    <w:rsid w:val="0018699D"/>
    <w:rsid w:val="0018735C"/>
    <w:rsid w:val="00187624"/>
    <w:rsid w:val="0019001D"/>
    <w:rsid w:val="00191BC8"/>
    <w:rsid w:val="0019262F"/>
    <w:rsid w:val="00192AF5"/>
    <w:rsid w:val="0019408D"/>
    <w:rsid w:val="00194877"/>
    <w:rsid w:val="00194CB6"/>
    <w:rsid w:val="00196342"/>
    <w:rsid w:val="001967C4"/>
    <w:rsid w:val="00196D38"/>
    <w:rsid w:val="0019721A"/>
    <w:rsid w:val="00197893"/>
    <w:rsid w:val="001A147B"/>
    <w:rsid w:val="001A182B"/>
    <w:rsid w:val="001A2C3A"/>
    <w:rsid w:val="001A3DC8"/>
    <w:rsid w:val="001A51DC"/>
    <w:rsid w:val="001A5202"/>
    <w:rsid w:val="001A5F61"/>
    <w:rsid w:val="001A6185"/>
    <w:rsid w:val="001A6EDE"/>
    <w:rsid w:val="001B0F96"/>
    <w:rsid w:val="001B298B"/>
    <w:rsid w:val="001B2F25"/>
    <w:rsid w:val="001B3412"/>
    <w:rsid w:val="001B372C"/>
    <w:rsid w:val="001B49D7"/>
    <w:rsid w:val="001B4B5B"/>
    <w:rsid w:val="001B4E76"/>
    <w:rsid w:val="001B591B"/>
    <w:rsid w:val="001B681F"/>
    <w:rsid w:val="001B7C1F"/>
    <w:rsid w:val="001C08D6"/>
    <w:rsid w:val="001C091A"/>
    <w:rsid w:val="001C1897"/>
    <w:rsid w:val="001C1D5B"/>
    <w:rsid w:val="001C1E65"/>
    <w:rsid w:val="001C23C4"/>
    <w:rsid w:val="001C4AE2"/>
    <w:rsid w:val="001C51F6"/>
    <w:rsid w:val="001C5814"/>
    <w:rsid w:val="001C65D8"/>
    <w:rsid w:val="001C6C15"/>
    <w:rsid w:val="001C7C85"/>
    <w:rsid w:val="001D019E"/>
    <w:rsid w:val="001D09CB"/>
    <w:rsid w:val="001D0B01"/>
    <w:rsid w:val="001D0B0D"/>
    <w:rsid w:val="001D2CA3"/>
    <w:rsid w:val="001D382E"/>
    <w:rsid w:val="001D3BAA"/>
    <w:rsid w:val="001D3D85"/>
    <w:rsid w:val="001D5DD2"/>
    <w:rsid w:val="001D6639"/>
    <w:rsid w:val="001D6A73"/>
    <w:rsid w:val="001D75AC"/>
    <w:rsid w:val="001D7DFD"/>
    <w:rsid w:val="001E0C69"/>
    <w:rsid w:val="001E1D61"/>
    <w:rsid w:val="001E3252"/>
    <w:rsid w:val="001E4415"/>
    <w:rsid w:val="001E5960"/>
    <w:rsid w:val="001F0FA1"/>
    <w:rsid w:val="001F1811"/>
    <w:rsid w:val="001F430B"/>
    <w:rsid w:val="001F4465"/>
    <w:rsid w:val="001F5E69"/>
    <w:rsid w:val="001F7F53"/>
    <w:rsid w:val="0020048F"/>
    <w:rsid w:val="0020115E"/>
    <w:rsid w:val="00202258"/>
    <w:rsid w:val="00202CE6"/>
    <w:rsid w:val="002037DB"/>
    <w:rsid w:val="00204219"/>
    <w:rsid w:val="002044BA"/>
    <w:rsid w:val="002053A1"/>
    <w:rsid w:val="002072E5"/>
    <w:rsid w:val="002105CC"/>
    <w:rsid w:val="0021133F"/>
    <w:rsid w:val="0021155E"/>
    <w:rsid w:val="0021158A"/>
    <w:rsid w:val="002116C7"/>
    <w:rsid w:val="00211C49"/>
    <w:rsid w:val="00212C02"/>
    <w:rsid w:val="00212E59"/>
    <w:rsid w:val="00212F26"/>
    <w:rsid w:val="00214444"/>
    <w:rsid w:val="002148E3"/>
    <w:rsid w:val="00215603"/>
    <w:rsid w:val="002160DA"/>
    <w:rsid w:val="0021611C"/>
    <w:rsid w:val="00216730"/>
    <w:rsid w:val="00216931"/>
    <w:rsid w:val="00216FF5"/>
    <w:rsid w:val="00220E41"/>
    <w:rsid w:val="00221765"/>
    <w:rsid w:val="002221DD"/>
    <w:rsid w:val="00222601"/>
    <w:rsid w:val="00222DE6"/>
    <w:rsid w:val="00223031"/>
    <w:rsid w:val="0022399C"/>
    <w:rsid w:val="00224B38"/>
    <w:rsid w:val="00224CCC"/>
    <w:rsid w:val="00224CF6"/>
    <w:rsid w:val="00225767"/>
    <w:rsid w:val="00226190"/>
    <w:rsid w:val="0022727A"/>
    <w:rsid w:val="00227DE0"/>
    <w:rsid w:val="00230275"/>
    <w:rsid w:val="00230F55"/>
    <w:rsid w:val="0023134E"/>
    <w:rsid w:val="002317FC"/>
    <w:rsid w:val="00231913"/>
    <w:rsid w:val="00232A11"/>
    <w:rsid w:val="00232B23"/>
    <w:rsid w:val="00232DC5"/>
    <w:rsid w:val="0023328A"/>
    <w:rsid w:val="00235309"/>
    <w:rsid w:val="002358FE"/>
    <w:rsid w:val="00235BF2"/>
    <w:rsid w:val="002364FA"/>
    <w:rsid w:val="00236E7A"/>
    <w:rsid w:val="00237D57"/>
    <w:rsid w:val="0024100F"/>
    <w:rsid w:val="002414B7"/>
    <w:rsid w:val="00241A4D"/>
    <w:rsid w:val="0024292A"/>
    <w:rsid w:val="00242A1B"/>
    <w:rsid w:val="00242BBC"/>
    <w:rsid w:val="00243002"/>
    <w:rsid w:val="00245BB9"/>
    <w:rsid w:val="00247676"/>
    <w:rsid w:val="00247A3D"/>
    <w:rsid w:val="00250BE7"/>
    <w:rsid w:val="0025360B"/>
    <w:rsid w:val="00253A7D"/>
    <w:rsid w:val="00253BAB"/>
    <w:rsid w:val="00254057"/>
    <w:rsid w:val="002548C1"/>
    <w:rsid w:val="00255CD5"/>
    <w:rsid w:val="00256BBB"/>
    <w:rsid w:val="00256D35"/>
    <w:rsid w:val="00257EF2"/>
    <w:rsid w:val="00260CA5"/>
    <w:rsid w:val="00261685"/>
    <w:rsid w:val="00264B3B"/>
    <w:rsid w:val="00264DA6"/>
    <w:rsid w:val="00264EDF"/>
    <w:rsid w:val="00264F83"/>
    <w:rsid w:val="00265A13"/>
    <w:rsid w:val="00267220"/>
    <w:rsid w:val="00270540"/>
    <w:rsid w:val="00271362"/>
    <w:rsid w:val="00271D6A"/>
    <w:rsid w:val="002741BD"/>
    <w:rsid w:val="0027595E"/>
    <w:rsid w:val="00277270"/>
    <w:rsid w:val="00280118"/>
    <w:rsid w:val="00280673"/>
    <w:rsid w:val="00280A8B"/>
    <w:rsid w:val="00280FF0"/>
    <w:rsid w:val="00281690"/>
    <w:rsid w:val="00282F3E"/>
    <w:rsid w:val="002832D7"/>
    <w:rsid w:val="0028370B"/>
    <w:rsid w:val="002840B8"/>
    <w:rsid w:val="00285944"/>
    <w:rsid w:val="00286589"/>
    <w:rsid w:val="00286BCA"/>
    <w:rsid w:val="002874FC"/>
    <w:rsid w:val="00290011"/>
    <w:rsid w:val="002902F9"/>
    <w:rsid w:val="00290372"/>
    <w:rsid w:val="002910E9"/>
    <w:rsid w:val="00291854"/>
    <w:rsid w:val="002922B5"/>
    <w:rsid w:val="00293FB2"/>
    <w:rsid w:val="00293FEF"/>
    <w:rsid w:val="00294869"/>
    <w:rsid w:val="00294A96"/>
    <w:rsid w:val="00295C52"/>
    <w:rsid w:val="002964BE"/>
    <w:rsid w:val="00297E83"/>
    <w:rsid w:val="002A38A9"/>
    <w:rsid w:val="002A3FDF"/>
    <w:rsid w:val="002A4283"/>
    <w:rsid w:val="002A4302"/>
    <w:rsid w:val="002A487F"/>
    <w:rsid w:val="002A5791"/>
    <w:rsid w:val="002A6297"/>
    <w:rsid w:val="002A71F4"/>
    <w:rsid w:val="002B064E"/>
    <w:rsid w:val="002B1217"/>
    <w:rsid w:val="002B13FE"/>
    <w:rsid w:val="002B37C2"/>
    <w:rsid w:val="002B3F42"/>
    <w:rsid w:val="002B4602"/>
    <w:rsid w:val="002B73F1"/>
    <w:rsid w:val="002C06AA"/>
    <w:rsid w:val="002C0BAE"/>
    <w:rsid w:val="002C0DC2"/>
    <w:rsid w:val="002C0E26"/>
    <w:rsid w:val="002C143E"/>
    <w:rsid w:val="002C2785"/>
    <w:rsid w:val="002C3485"/>
    <w:rsid w:val="002C5078"/>
    <w:rsid w:val="002C523B"/>
    <w:rsid w:val="002C5E9F"/>
    <w:rsid w:val="002C5F5F"/>
    <w:rsid w:val="002C67D2"/>
    <w:rsid w:val="002C7A15"/>
    <w:rsid w:val="002D0AAE"/>
    <w:rsid w:val="002D0EFF"/>
    <w:rsid w:val="002D1011"/>
    <w:rsid w:val="002D12D1"/>
    <w:rsid w:val="002D2537"/>
    <w:rsid w:val="002D2C0B"/>
    <w:rsid w:val="002D2C37"/>
    <w:rsid w:val="002D3423"/>
    <w:rsid w:val="002D4139"/>
    <w:rsid w:val="002D4703"/>
    <w:rsid w:val="002D50FB"/>
    <w:rsid w:val="002D5DDA"/>
    <w:rsid w:val="002D61FF"/>
    <w:rsid w:val="002D6419"/>
    <w:rsid w:val="002D793D"/>
    <w:rsid w:val="002E0743"/>
    <w:rsid w:val="002E0963"/>
    <w:rsid w:val="002E28A5"/>
    <w:rsid w:val="002E2FCF"/>
    <w:rsid w:val="002E521C"/>
    <w:rsid w:val="002E57DB"/>
    <w:rsid w:val="002E68EE"/>
    <w:rsid w:val="002F027B"/>
    <w:rsid w:val="002F0398"/>
    <w:rsid w:val="002F0688"/>
    <w:rsid w:val="002F0E04"/>
    <w:rsid w:val="002F187B"/>
    <w:rsid w:val="002F202B"/>
    <w:rsid w:val="002F2CCB"/>
    <w:rsid w:val="002F2E4D"/>
    <w:rsid w:val="002F39F5"/>
    <w:rsid w:val="002F3F6B"/>
    <w:rsid w:val="002F4155"/>
    <w:rsid w:val="002F54F1"/>
    <w:rsid w:val="002F613B"/>
    <w:rsid w:val="002F6B71"/>
    <w:rsid w:val="002F72A4"/>
    <w:rsid w:val="002F7A11"/>
    <w:rsid w:val="002F7F43"/>
    <w:rsid w:val="00300697"/>
    <w:rsid w:val="003015D3"/>
    <w:rsid w:val="00302C5C"/>
    <w:rsid w:val="00302CCE"/>
    <w:rsid w:val="00303263"/>
    <w:rsid w:val="00303B30"/>
    <w:rsid w:val="003059EF"/>
    <w:rsid w:val="00306CAA"/>
    <w:rsid w:val="0030721E"/>
    <w:rsid w:val="00307A88"/>
    <w:rsid w:val="003112AE"/>
    <w:rsid w:val="00311AD2"/>
    <w:rsid w:val="0031207A"/>
    <w:rsid w:val="003124BF"/>
    <w:rsid w:val="00313042"/>
    <w:rsid w:val="00313CD3"/>
    <w:rsid w:val="0031415C"/>
    <w:rsid w:val="00314DF2"/>
    <w:rsid w:val="0031620D"/>
    <w:rsid w:val="00316A2C"/>
    <w:rsid w:val="00316EB7"/>
    <w:rsid w:val="003201F1"/>
    <w:rsid w:val="0032093F"/>
    <w:rsid w:val="00321294"/>
    <w:rsid w:val="0032155A"/>
    <w:rsid w:val="003215C3"/>
    <w:rsid w:val="00321715"/>
    <w:rsid w:val="00322DE9"/>
    <w:rsid w:val="0032310A"/>
    <w:rsid w:val="00323824"/>
    <w:rsid w:val="003243D2"/>
    <w:rsid w:val="003264E8"/>
    <w:rsid w:val="0032689F"/>
    <w:rsid w:val="003269E1"/>
    <w:rsid w:val="00326EA6"/>
    <w:rsid w:val="003278A6"/>
    <w:rsid w:val="00330746"/>
    <w:rsid w:val="0033148D"/>
    <w:rsid w:val="00331C57"/>
    <w:rsid w:val="00332B81"/>
    <w:rsid w:val="00332DAE"/>
    <w:rsid w:val="003330D3"/>
    <w:rsid w:val="003343C2"/>
    <w:rsid w:val="00334C4C"/>
    <w:rsid w:val="0033652D"/>
    <w:rsid w:val="00336CB5"/>
    <w:rsid w:val="00336CE0"/>
    <w:rsid w:val="00336EBA"/>
    <w:rsid w:val="00337225"/>
    <w:rsid w:val="00341CAF"/>
    <w:rsid w:val="00342D46"/>
    <w:rsid w:val="003432AE"/>
    <w:rsid w:val="00344492"/>
    <w:rsid w:val="00345ADA"/>
    <w:rsid w:val="00346659"/>
    <w:rsid w:val="00346B6F"/>
    <w:rsid w:val="00347498"/>
    <w:rsid w:val="00347C4E"/>
    <w:rsid w:val="00350220"/>
    <w:rsid w:val="00350D47"/>
    <w:rsid w:val="00351181"/>
    <w:rsid w:val="00351742"/>
    <w:rsid w:val="00351909"/>
    <w:rsid w:val="00352475"/>
    <w:rsid w:val="00352A01"/>
    <w:rsid w:val="003531D2"/>
    <w:rsid w:val="00353568"/>
    <w:rsid w:val="0035508F"/>
    <w:rsid w:val="0035595C"/>
    <w:rsid w:val="00355FA3"/>
    <w:rsid w:val="00356451"/>
    <w:rsid w:val="003570FB"/>
    <w:rsid w:val="00360012"/>
    <w:rsid w:val="00360FA0"/>
    <w:rsid w:val="003613DA"/>
    <w:rsid w:val="0036158E"/>
    <w:rsid w:val="0036175F"/>
    <w:rsid w:val="00361EC6"/>
    <w:rsid w:val="00362707"/>
    <w:rsid w:val="00362843"/>
    <w:rsid w:val="00362D4E"/>
    <w:rsid w:val="00362F14"/>
    <w:rsid w:val="00363E2B"/>
    <w:rsid w:val="00363F09"/>
    <w:rsid w:val="0036512C"/>
    <w:rsid w:val="00365171"/>
    <w:rsid w:val="003658A6"/>
    <w:rsid w:val="00366A70"/>
    <w:rsid w:val="00366B38"/>
    <w:rsid w:val="003670C7"/>
    <w:rsid w:val="00367265"/>
    <w:rsid w:val="00370186"/>
    <w:rsid w:val="00371208"/>
    <w:rsid w:val="00372E8B"/>
    <w:rsid w:val="00373193"/>
    <w:rsid w:val="00376748"/>
    <w:rsid w:val="00377AE2"/>
    <w:rsid w:val="00377C90"/>
    <w:rsid w:val="00377E38"/>
    <w:rsid w:val="00381832"/>
    <w:rsid w:val="00381DE3"/>
    <w:rsid w:val="003836E5"/>
    <w:rsid w:val="00384FBD"/>
    <w:rsid w:val="00386066"/>
    <w:rsid w:val="00386304"/>
    <w:rsid w:val="00386F36"/>
    <w:rsid w:val="003909CD"/>
    <w:rsid w:val="003917E5"/>
    <w:rsid w:val="00393415"/>
    <w:rsid w:val="0039360A"/>
    <w:rsid w:val="003943DE"/>
    <w:rsid w:val="00395D84"/>
    <w:rsid w:val="00396032"/>
    <w:rsid w:val="00396478"/>
    <w:rsid w:val="00397632"/>
    <w:rsid w:val="00397AB6"/>
    <w:rsid w:val="003A16D4"/>
    <w:rsid w:val="003A1BBC"/>
    <w:rsid w:val="003A2A01"/>
    <w:rsid w:val="003A36CF"/>
    <w:rsid w:val="003A4DC7"/>
    <w:rsid w:val="003A66B1"/>
    <w:rsid w:val="003A752D"/>
    <w:rsid w:val="003B14B5"/>
    <w:rsid w:val="003B1F30"/>
    <w:rsid w:val="003B230A"/>
    <w:rsid w:val="003B4884"/>
    <w:rsid w:val="003B4899"/>
    <w:rsid w:val="003B5691"/>
    <w:rsid w:val="003B5AF1"/>
    <w:rsid w:val="003B757B"/>
    <w:rsid w:val="003C0AFA"/>
    <w:rsid w:val="003C0C41"/>
    <w:rsid w:val="003C103D"/>
    <w:rsid w:val="003C1A2A"/>
    <w:rsid w:val="003C1FD1"/>
    <w:rsid w:val="003C31AA"/>
    <w:rsid w:val="003C332D"/>
    <w:rsid w:val="003C4966"/>
    <w:rsid w:val="003C4D1B"/>
    <w:rsid w:val="003D0B72"/>
    <w:rsid w:val="003D3144"/>
    <w:rsid w:val="003D36A9"/>
    <w:rsid w:val="003D4E48"/>
    <w:rsid w:val="003D58DD"/>
    <w:rsid w:val="003D595E"/>
    <w:rsid w:val="003D5CA6"/>
    <w:rsid w:val="003D60E4"/>
    <w:rsid w:val="003D6B4C"/>
    <w:rsid w:val="003E0138"/>
    <w:rsid w:val="003E1F47"/>
    <w:rsid w:val="003E3ABE"/>
    <w:rsid w:val="003E5786"/>
    <w:rsid w:val="003E608C"/>
    <w:rsid w:val="003E7216"/>
    <w:rsid w:val="003F07B3"/>
    <w:rsid w:val="003F0B9A"/>
    <w:rsid w:val="003F0FD5"/>
    <w:rsid w:val="003F24D0"/>
    <w:rsid w:val="003F29C6"/>
    <w:rsid w:val="003F30C2"/>
    <w:rsid w:val="003F3125"/>
    <w:rsid w:val="003F4903"/>
    <w:rsid w:val="003F5F9F"/>
    <w:rsid w:val="00400E48"/>
    <w:rsid w:val="00401DB1"/>
    <w:rsid w:val="004021DE"/>
    <w:rsid w:val="004024B7"/>
    <w:rsid w:val="00402E51"/>
    <w:rsid w:val="0040334D"/>
    <w:rsid w:val="004047A4"/>
    <w:rsid w:val="0040496C"/>
    <w:rsid w:val="0040564C"/>
    <w:rsid w:val="00407054"/>
    <w:rsid w:val="00407A77"/>
    <w:rsid w:val="00410CBB"/>
    <w:rsid w:val="004131DC"/>
    <w:rsid w:val="004134D5"/>
    <w:rsid w:val="0041355E"/>
    <w:rsid w:val="00413596"/>
    <w:rsid w:val="00413930"/>
    <w:rsid w:val="00414049"/>
    <w:rsid w:val="00414603"/>
    <w:rsid w:val="00415A85"/>
    <w:rsid w:val="0041610E"/>
    <w:rsid w:val="0042071B"/>
    <w:rsid w:val="004208CA"/>
    <w:rsid w:val="00421649"/>
    <w:rsid w:val="00423211"/>
    <w:rsid w:val="004237EE"/>
    <w:rsid w:val="00423E10"/>
    <w:rsid w:val="0042426F"/>
    <w:rsid w:val="004246E4"/>
    <w:rsid w:val="00424F79"/>
    <w:rsid w:val="004251B4"/>
    <w:rsid w:val="00426B12"/>
    <w:rsid w:val="00426F9D"/>
    <w:rsid w:val="00427138"/>
    <w:rsid w:val="00430982"/>
    <w:rsid w:val="00430FB1"/>
    <w:rsid w:val="0043369F"/>
    <w:rsid w:val="004339F4"/>
    <w:rsid w:val="00433A67"/>
    <w:rsid w:val="004354BD"/>
    <w:rsid w:val="0043603C"/>
    <w:rsid w:val="004361FB"/>
    <w:rsid w:val="00436324"/>
    <w:rsid w:val="00436E09"/>
    <w:rsid w:val="00437155"/>
    <w:rsid w:val="004373AB"/>
    <w:rsid w:val="00440741"/>
    <w:rsid w:val="00442CEB"/>
    <w:rsid w:val="00442E8C"/>
    <w:rsid w:val="0044319F"/>
    <w:rsid w:val="004439CE"/>
    <w:rsid w:val="004443BE"/>
    <w:rsid w:val="004448C3"/>
    <w:rsid w:val="00444AA8"/>
    <w:rsid w:val="00444ED4"/>
    <w:rsid w:val="00445A72"/>
    <w:rsid w:val="00446317"/>
    <w:rsid w:val="00446BFF"/>
    <w:rsid w:val="004505D2"/>
    <w:rsid w:val="00450CD6"/>
    <w:rsid w:val="004523A6"/>
    <w:rsid w:val="0045287D"/>
    <w:rsid w:val="0045372A"/>
    <w:rsid w:val="004537E0"/>
    <w:rsid w:val="00453AA2"/>
    <w:rsid w:val="00453B52"/>
    <w:rsid w:val="004546AB"/>
    <w:rsid w:val="0045501F"/>
    <w:rsid w:val="00456227"/>
    <w:rsid w:val="00456D70"/>
    <w:rsid w:val="00457809"/>
    <w:rsid w:val="00457CCE"/>
    <w:rsid w:val="00457D7D"/>
    <w:rsid w:val="00460556"/>
    <w:rsid w:val="00460A97"/>
    <w:rsid w:val="0046172C"/>
    <w:rsid w:val="004621A0"/>
    <w:rsid w:val="004629CD"/>
    <w:rsid w:val="00463548"/>
    <w:rsid w:val="00463B2D"/>
    <w:rsid w:val="00463B6E"/>
    <w:rsid w:val="00463FEC"/>
    <w:rsid w:val="0046450F"/>
    <w:rsid w:val="00464794"/>
    <w:rsid w:val="00464BE2"/>
    <w:rsid w:val="00464F36"/>
    <w:rsid w:val="00465379"/>
    <w:rsid w:val="0046632E"/>
    <w:rsid w:val="00467103"/>
    <w:rsid w:val="00467453"/>
    <w:rsid w:val="00471789"/>
    <w:rsid w:val="00472277"/>
    <w:rsid w:val="00472B41"/>
    <w:rsid w:val="00473A07"/>
    <w:rsid w:val="00473DDA"/>
    <w:rsid w:val="00474FC7"/>
    <w:rsid w:val="00475976"/>
    <w:rsid w:val="00477D18"/>
    <w:rsid w:val="00481A0F"/>
    <w:rsid w:val="00483CE2"/>
    <w:rsid w:val="00484D91"/>
    <w:rsid w:val="004853F8"/>
    <w:rsid w:val="0048569E"/>
    <w:rsid w:val="004858A8"/>
    <w:rsid w:val="00485C24"/>
    <w:rsid w:val="00485DB5"/>
    <w:rsid w:val="0048747F"/>
    <w:rsid w:val="0048762E"/>
    <w:rsid w:val="00487E37"/>
    <w:rsid w:val="004902A6"/>
    <w:rsid w:val="00490F50"/>
    <w:rsid w:val="00491586"/>
    <w:rsid w:val="00491687"/>
    <w:rsid w:val="00492541"/>
    <w:rsid w:val="00492751"/>
    <w:rsid w:val="00492C5E"/>
    <w:rsid w:val="0049406D"/>
    <w:rsid w:val="004946CA"/>
    <w:rsid w:val="00494C0F"/>
    <w:rsid w:val="00495A46"/>
    <w:rsid w:val="00495E82"/>
    <w:rsid w:val="00497964"/>
    <w:rsid w:val="00497BE0"/>
    <w:rsid w:val="004A008A"/>
    <w:rsid w:val="004A0C64"/>
    <w:rsid w:val="004A11CE"/>
    <w:rsid w:val="004A2268"/>
    <w:rsid w:val="004A2A34"/>
    <w:rsid w:val="004A2AB5"/>
    <w:rsid w:val="004A2AB9"/>
    <w:rsid w:val="004A2D48"/>
    <w:rsid w:val="004A3034"/>
    <w:rsid w:val="004A39D1"/>
    <w:rsid w:val="004A4EF4"/>
    <w:rsid w:val="004A5397"/>
    <w:rsid w:val="004A6729"/>
    <w:rsid w:val="004A742C"/>
    <w:rsid w:val="004A7E14"/>
    <w:rsid w:val="004B0113"/>
    <w:rsid w:val="004B017B"/>
    <w:rsid w:val="004B0294"/>
    <w:rsid w:val="004B1190"/>
    <w:rsid w:val="004B19C6"/>
    <w:rsid w:val="004B1C19"/>
    <w:rsid w:val="004B20F7"/>
    <w:rsid w:val="004B2B6C"/>
    <w:rsid w:val="004B319F"/>
    <w:rsid w:val="004B407D"/>
    <w:rsid w:val="004B4890"/>
    <w:rsid w:val="004B4E43"/>
    <w:rsid w:val="004B65A4"/>
    <w:rsid w:val="004B72FF"/>
    <w:rsid w:val="004B76F9"/>
    <w:rsid w:val="004C0C06"/>
    <w:rsid w:val="004C15F8"/>
    <w:rsid w:val="004C1B5E"/>
    <w:rsid w:val="004C2FB1"/>
    <w:rsid w:val="004C506E"/>
    <w:rsid w:val="004C567C"/>
    <w:rsid w:val="004C5951"/>
    <w:rsid w:val="004C5E8C"/>
    <w:rsid w:val="004C67AB"/>
    <w:rsid w:val="004C7810"/>
    <w:rsid w:val="004D173F"/>
    <w:rsid w:val="004D1A31"/>
    <w:rsid w:val="004D24FC"/>
    <w:rsid w:val="004D380A"/>
    <w:rsid w:val="004D4F38"/>
    <w:rsid w:val="004D4F85"/>
    <w:rsid w:val="004D70AF"/>
    <w:rsid w:val="004E0141"/>
    <w:rsid w:val="004E16F2"/>
    <w:rsid w:val="004E2D5F"/>
    <w:rsid w:val="004E3E99"/>
    <w:rsid w:val="004E4125"/>
    <w:rsid w:val="004E49C3"/>
    <w:rsid w:val="004E7B4B"/>
    <w:rsid w:val="004F0269"/>
    <w:rsid w:val="004F0AC3"/>
    <w:rsid w:val="004F1B97"/>
    <w:rsid w:val="004F223B"/>
    <w:rsid w:val="004F304C"/>
    <w:rsid w:val="004F3D1B"/>
    <w:rsid w:val="004F504B"/>
    <w:rsid w:val="004F71F0"/>
    <w:rsid w:val="005003FB"/>
    <w:rsid w:val="0050315B"/>
    <w:rsid w:val="005072D2"/>
    <w:rsid w:val="00507455"/>
    <w:rsid w:val="0050748E"/>
    <w:rsid w:val="00507A84"/>
    <w:rsid w:val="00510C3E"/>
    <w:rsid w:val="005116D7"/>
    <w:rsid w:val="00513534"/>
    <w:rsid w:val="00513C55"/>
    <w:rsid w:val="0051534F"/>
    <w:rsid w:val="0051535B"/>
    <w:rsid w:val="00517832"/>
    <w:rsid w:val="00520F90"/>
    <w:rsid w:val="005213A8"/>
    <w:rsid w:val="005216C1"/>
    <w:rsid w:val="0052209D"/>
    <w:rsid w:val="00522443"/>
    <w:rsid w:val="00522601"/>
    <w:rsid w:val="005227F4"/>
    <w:rsid w:val="005229A0"/>
    <w:rsid w:val="005230C8"/>
    <w:rsid w:val="00523777"/>
    <w:rsid w:val="005238FE"/>
    <w:rsid w:val="00524E00"/>
    <w:rsid w:val="005253F3"/>
    <w:rsid w:val="00525814"/>
    <w:rsid w:val="00526D7E"/>
    <w:rsid w:val="005271B9"/>
    <w:rsid w:val="00531C10"/>
    <w:rsid w:val="00531D2C"/>
    <w:rsid w:val="005323BD"/>
    <w:rsid w:val="00534996"/>
    <w:rsid w:val="00534A4C"/>
    <w:rsid w:val="005350A0"/>
    <w:rsid w:val="00536091"/>
    <w:rsid w:val="0053755F"/>
    <w:rsid w:val="0054066B"/>
    <w:rsid w:val="005425C6"/>
    <w:rsid w:val="00542B31"/>
    <w:rsid w:val="00542D9D"/>
    <w:rsid w:val="00543262"/>
    <w:rsid w:val="00543447"/>
    <w:rsid w:val="005449FE"/>
    <w:rsid w:val="005455AD"/>
    <w:rsid w:val="005459EC"/>
    <w:rsid w:val="00546DF4"/>
    <w:rsid w:val="0054767A"/>
    <w:rsid w:val="0055024C"/>
    <w:rsid w:val="005509CB"/>
    <w:rsid w:val="00550D2E"/>
    <w:rsid w:val="0055144D"/>
    <w:rsid w:val="00552E0B"/>
    <w:rsid w:val="00554BB0"/>
    <w:rsid w:val="00554E08"/>
    <w:rsid w:val="00555112"/>
    <w:rsid w:val="005557A5"/>
    <w:rsid w:val="00555FC3"/>
    <w:rsid w:val="00556F09"/>
    <w:rsid w:val="005604BD"/>
    <w:rsid w:val="00560DE3"/>
    <w:rsid w:val="005630F0"/>
    <w:rsid w:val="005639E8"/>
    <w:rsid w:val="00563DD2"/>
    <w:rsid w:val="0056404F"/>
    <w:rsid w:val="0056419C"/>
    <w:rsid w:val="00564C06"/>
    <w:rsid w:val="00565D2E"/>
    <w:rsid w:val="00566606"/>
    <w:rsid w:val="00567447"/>
    <w:rsid w:val="0056788C"/>
    <w:rsid w:val="00570F0B"/>
    <w:rsid w:val="005711A3"/>
    <w:rsid w:val="00573123"/>
    <w:rsid w:val="0057484F"/>
    <w:rsid w:val="00575695"/>
    <w:rsid w:val="00575D9E"/>
    <w:rsid w:val="005761AF"/>
    <w:rsid w:val="00576605"/>
    <w:rsid w:val="00577512"/>
    <w:rsid w:val="00577C10"/>
    <w:rsid w:val="00577F64"/>
    <w:rsid w:val="00580BB0"/>
    <w:rsid w:val="00580CCD"/>
    <w:rsid w:val="0058339D"/>
    <w:rsid w:val="00583659"/>
    <w:rsid w:val="005842EE"/>
    <w:rsid w:val="005859FF"/>
    <w:rsid w:val="005873EF"/>
    <w:rsid w:val="00590A4A"/>
    <w:rsid w:val="00590A67"/>
    <w:rsid w:val="00591416"/>
    <w:rsid w:val="005918AA"/>
    <w:rsid w:val="00591977"/>
    <w:rsid w:val="005937CB"/>
    <w:rsid w:val="00594E5B"/>
    <w:rsid w:val="00594E91"/>
    <w:rsid w:val="005951D9"/>
    <w:rsid w:val="00596A9C"/>
    <w:rsid w:val="005978D1"/>
    <w:rsid w:val="00597F7E"/>
    <w:rsid w:val="005A107C"/>
    <w:rsid w:val="005A1A2D"/>
    <w:rsid w:val="005A2261"/>
    <w:rsid w:val="005A2B81"/>
    <w:rsid w:val="005A594C"/>
    <w:rsid w:val="005A5ADC"/>
    <w:rsid w:val="005A5D1E"/>
    <w:rsid w:val="005A5FFB"/>
    <w:rsid w:val="005A64D2"/>
    <w:rsid w:val="005A7CF1"/>
    <w:rsid w:val="005A7D1D"/>
    <w:rsid w:val="005B3F54"/>
    <w:rsid w:val="005B4484"/>
    <w:rsid w:val="005B48E2"/>
    <w:rsid w:val="005B48E7"/>
    <w:rsid w:val="005B6139"/>
    <w:rsid w:val="005B6693"/>
    <w:rsid w:val="005B672E"/>
    <w:rsid w:val="005B6CBA"/>
    <w:rsid w:val="005B72A7"/>
    <w:rsid w:val="005B7F3B"/>
    <w:rsid w:val="005C0E5D"/>
    <w:rsid w:val="005C0F3A"/>
    <w:rsid w:val="005C1616"/>
    <w:rsid w:val="005C233E"/>
    <w:rsid w:val="005C245F"/>
    <w:rsid w:val="005C28EB"/>
    <w:rsid w:val="005C413F"/>
    <w:rsid w:val="005C6408"/>
    <w:rsid w:val="005C64EA"/>
    <w:rsid w:val="005C6ACD"/>
    <w:rsid w:val="005C6D8B"/>
    <w:rsid w:val="005C752C"/>
    <w:rsid w:val="005C7C91"/>
    <w:rsid w:val="005D110C"/>
    <w:rsid w:val="005D17B4"/>
    <w:rsid w:val="005D27BB"/>
    <w:rsid w:val="005D30FC"/>
    <w:rsid w:val="005D3A2E"/>
    <w:rsid w:val="005D3AE1"/>
    <w:rsid w:val="005D5831"/>
    <w:rsid w:val="005D5FB5"/>
    <w:rsid w:val="005D6A8E"/>
    <w:rsid w:val="005D7761"/>
    <w:rsid w:val="005D7CB0"/>
    <w:rsid w:val="005E152A"/>
    <w:rsid w:val="005E3FAE"/>
    <w:rsid w:val="005E46AE"/>
    <w:rsid w:val="005E48B5"/>
    <w:rsid w:val="005E4A20"/>
    <w:rsid w:val="005E5071"/>
    <w:rsid w:val="005E51D3"/>
    <w:rsid w:val="005E6876"/>
    <w:rsid w:val="005E713F"/>
    <w:rsid w:val="005F1793"/>
    <w:rsid w:val="005F208D"/>
    <w:rsid w:val="005F271F"/>
    <w:rsid w:val="005F2959"/>
    <w:rsid w:val="005F3E9F"/>
    <w:rsid w:val="005F4094"/>
    <w:rsid w:val="005F561D"/>
    <w:rsid w:val="005F6DFB"/>
    <w:rsid w:val="005F7159"/>
    <w:rsid w:val="005F74BA"/>
    <w:rsid w:val="005F7628"/>
    <w:rsid w:val="00600A89"/>
    <w:rsid w:val="00600C31"/>
    <w:rsid w:val="00601BEA"/>
    <w:rsid w:val="00603B95"/>
    <w:rsid w:val="00604464"/>
    <w:rsid w:val="00604948"/>
    <w:rsid w:val="00604E52"/>
    <w:rsid w:val="0060587B"/>
    <w:rsid w:val="006070F5"/>
    <w:rsid w:val="006075B7"/>
    <w:rsid w:val="006076DC"/>
    <w:rsid w:val="00607B27"/>
    <w:rsid w:val="00610468"/>
    <w:rsid w:val="00610C01"/>
    <w:rsid w:val="00611256"/>
    <w:rsid w:val="0061253D"/>
    <w:rsid w:val="00612E8B"/>
    <w:rsid w:val="006132E8"/>
    <w:rsid w:val="0061437E"/>
    <w:rsid w:val="00614CE9"/>
    <w:rsid w:val="00614D37"/>
    <w:rsid w:val="0061615C"/>
    <w:rsid w:val="00616A67"/>
    <w:rsid w:val="00617217"/>
    <w:rsid w:val="00617BCB"/>
    <w:rsid w:val="0062193A"/>
    <w:rsid w:val="00622CBF"/>
    <w:rsid w:val="0062310A"/>
    <w:rsid w:val="0062339E"/>
    <w:rsid w:val="00625073"/>
    <w:rsid w:val="00626F36"/>
    <w:rsid w:val="006272AC"/>
    <w:rsid w:val="00627409"/>
    <w:rsid w:val="00627EA8"/>
    <w:rsid w:val="0063055A"/>
    <w:rsid w:val="00632529"/>
    <w:rsid w:val="00632C10"/>
    <w:rsid w:val="00632C14"/>
    <w:rsid w:val="00634594"/>
    <w:rsid w:val="00634911"/>
    <w:rsid w:val="00635CCB"/>
    <w:rsid w:val="006369CC"/>
    <w:rsid w:val="00637039"/>
    <w:rsid w:val="00640B4D"/>
    <w:rsid w:val="00642346"/>
    <w:rsid w:val="00642C03"/>
    <w:rsid w:val="00643D7C"/>
    <w:rsid w:val="00645281"/>
    <w:rsid w:val="00647A53"/>
    <w:rsid w:val="00647C53"/>
    <w:rsid w:val="00647F6B"/>
    <w:rsid w:val="006505AF"/>
    <w:rsid w:val="00651582"/>
    <w:rsid w:val="00651BF9"/>
    <w:rsid w:val="0065384E"/>
    <w:rsid w:val="00656005"/>
    <w:rsid w:val="00656055"/>
    <w:rsid w:val="006562F6"/>
    <w:rsid w:val="00656F46"/>
    <w:rsid w:val="00657365"/>
    <w:rsid w:val="00657CF6"/>
    <w:rsid w:val="0066066C"/>
    <w:rsid w:val="00661081"/>
    <w:rsid w:val="00661EBE"/>
    <w:rsid w:val="0066304B"/>
    <w:rsid w:val="00663586"/>
    <w:rsid w:val="0066476B"/>
    <w:rsid w:val="00664DB0"/>
    <w:rsid w:val="006658B4"/>
    <w:rsid w:val="0066675F"/>
    <w:rsid w:val="00666958"/>
    <w:rsid w:val="006706F5"/>
    <w:rsid w:val="00670D3C"/>
    <w:rsid w:val="00671460"/>
    <w:rsid w:val="00672F04"/>
    <w:rsid w:val="00673288"/>
    <w:rsid w:val="006753AD"/>
    <w:rsid w:val="00676083"/>
    <w:rsid w:val="00676929"/>
    <w:rsid w:val="00681927"/>
    <w:rsid w:val="00681AAE"/>
    <w:rsid w:val="006823AB"/>
    <w:rsid w:val="00682471"/>
    <w:rsid w:val="006830F1"/>
    <w:rsid w:val="006850EC"/>
    <w:rsid w:val="006862B1"/>
    <w:rsid w:val="006863F9"/>
    <w:rsid w:val="006864EC"/>
    <w:rsid w:val="006869FD"/>
    <w:rsid w:val="00686AF5"/>
    <w:rsid w:val="00686D3D"/>
    <w:rsid w:val="00687052"/>
    <w:rsid w:val="00687382"/>
    <w:rsid w:val="0068769F"/>
    <w:rsid w:val="006878B8"/>
    <w:rsid w:val="00690446"/>
    <w:rsid w:val="0069077E"/>
    <w:rsid w:val="00691D18"/>
    <w:rsid w:val="00692285"/>
    <w:rsid w:val="00692EF3"/>
    <w:rsid w:val="006936A1"/>
    <w:rsid w:val="0069377D"/>
    <w:rsid w:val="006938F7"/>
    <w:rsid w:val="00693D1C"/>
    <w:rsid w:val="00693EC8"/>
    <w:rsid w:val="00695EE3"/>
    <w:rsid w:val="00696C3C"/>
    <w:rsid w:val="006A1CE8"/>
    <w:rsid w:val="006A222E"/>
    <w:rsid w:val="006A4B84"/>
    <w:rsid w:val="006A4FC2"/>
    <w:rsid w:val="006A50D3"/>
    <w:rsid w:val="006A5FEC"/>
    <w:rsid w:val="006A661A"/>
    <w:rsid w:val="006B08F5"/>
    <w:rsid w:val="006B10DE"/>
    <w:rsid w:val="006B1FC1"/>
    <w:rsid w:val="006B2CEB"/>
    <w:rsid w:val="006B302A"/>
    <w:rsid w:val="006B3567"/>
    <w:rsid w:val="006B375D"/>
    <w:rsid w:val="006B4805"/>
    <w:rsid w:val="006B51AB"/>
    <w:rsid w:val="006B53FF"/>
    <w:rsid w:val="006B6F10"/>
    <w:rsid w:val="006B70A3"/>
    <w:rsid w:val="006B70AD"/>
    <w:rsid w:val="006B712E"/>
    <w:rsid w:val="006C1C48"/>
    <w:rsid w:val="006C1D8D"/>
    <w:rsid w:val="006C44A9"/>
    <w:rsid w:val="006C68B6"/>
    <w:rsid w:val="006C6B87"/>
    <w:rsid w:val="006D1291"/>
    <w:rsid w:val="006D1690"/>
    <w:rsid w:val="006D1F24"/>
    <w:rsid w:val="006D25D8"/>
    <w:rsid w:val="006D6461"/>
    <w:rsid w:val="006D6521"/>
    <w:rsid w:val="006D693D"/>
    <w:rsid w:val="006E0DAE"/>
    <w:rsid w:val="006E13FA"/>
    <w:rsid w:val="006E2D3A"/>
    <w:rsid w:val="006E3B2E"/>
    <w:rsid w:val="006E3E8E"/>
    <w:rsid w:val="006E4701"/>
    <w:rsid w:val="006E4767"/>
    <w:rsid w:val="006E4EFB"/>
    <w:rsid w:val="006E50D2"/>
    <w:rsid w:val="006E5E4D"/>
    <w:rsid w:val="006E6BF9"/>
    <w:rsid w:val="006F0DC1"/>
    <w:rsid w:val="006F2546"/>
    <w:rsid w:val="006F3357"/>
    <w:rsid w:val="006F3A64"/>
    <w:rsid w:val="006F3EB7"/>
    <w:rsid w:val="006F545B"/>
    <w:rsid w:val="006F5A82"/>
    <w:rsid w:val="006F6244"/>
    <w:rsid w:val="006F6882"/>
    <w:rsid w:val="006F6A01"/>
    <w:rsid w:val="006F6A32"/>
    <w:rsid w:val="0070257C"/>
    <w:rsid w:val="00703D1E"/>
    <w:rsid w:val="0070567A"/>
    <w:rsid w:val="00705D1F"/>
    <w:rsid w:val="00705E25"/>
    <w:rsid w:val="00706057"/>
    <w:rsid w:val="00706FA8"/>
    <w:rsid w:val="00710119"/>
    <w:rsid w:val="00710C68"/>
    <w:rsid w:val="00711124"/>
    <w:rsid w:val="00711304"/>
    <w:rsid w:val="00712918"/>
    <w:rsid w:val="00714C67"/>
    <w:rsid w:val="00717446"/>
    <w:rsid w:val="007220C9"/>
    <w:rsid w:val="007222B0"/>
    <w:rsid w:val="0072367F"/>
    <w:rsid w:val="0072422A"/>
    <w:rsid w:val="00724732"/>
    <w:rsid w:val="00725EBF"/>
    <w:rsid w:val="0072637D"/>
    <w:rsid w:val="007269EF"/>
    <w:rsid w:val="00727A93"/>
    <w:rsid w:val="00727BC7"/>
    <w:rsid w:val="00727F8C"/>
    <w:rsid w:val="00731CF6"/>
    <w:rsid w:val="00732A13"/>
    <w:rsid w:val="00734837"/>
    <w:rsid w:val="00735D1B"/>
    <w:rsid w:val="0073614D"/>
    <w:rsid w:val="00737B87"/>
    <w:rsid w:val="0074011B"/>
    <w:rsid w:val="00740F6B"/>
    <w:rsid w:val="007418C7"/>
    <w:rsid w:val="00741CA3"/>
    <w:rsid w:val="007420E3"/>
    <w:rsid w:val="007429D1"/>
    <w:rsid w:val="00742A1B"/>
    <w:rsid w:val="007442E2"/>
    <w:rsid w:val="007452B2"/>
    <w:rsid w:val="007452D9"/>
    <w:rsid w:val="00746FE0"/>
    <w:rsid w:val="00747043"/>
    <w:rsid w:val="007477C5"/>
    <w:rsid w:val="00747CB3"/>
    <w:rsid w:val="00750322"/>
    <w:rsid w:val="007527D4"/>
    <w:rsid w:val="00752D6F"/>
    <w:rsid w:val="007532D7"/>
    <w:rsid w:val="00753E9F"/>
    <w:rsid w:val="00755956"/>
    <w:rsid w:val="00755D0C"/>
    <w:rsid w:val="007561FD"/>
    <w:rsid w:val="00756CD3"/>
    <w:rsid w:val="0075792E"/>
    <w:rsid w:val="00757CFF"/>
    <w:rsid w:val="00757F6D"/>
    <w:rsid w:val="00760639"/>
    <w:rsid w:val="007606D2"/>
    <w:rsid w:val="00760E23"/>
    <w:rsid w:val="00760F58"/>
    <w:rsid w:val="00762B36"/>
    <w:rsid w:val="00763F9D"/>
    <w:rsid w:val="0076473A"/>
    <w:rsid w:val="0076508A"/>
    <w:rsid w:val="007653FE"/>
    <w:rsid w:val="0076574C"/>
    <w:rsid w:val="00767116"/>
    <w:rsid w:val="00767FEA"/>
    <w:rsid w:val="00770B18"/>
    <w:rsid w:val="00770F3E"/>
    <w:rsid w:val="00772B4D"/>
    <w:rsid w:val="00772E74"/>
    <w:rsid w:val="00772EFA"/>
    <w:rsid w:val="007735A6"/>
    <w:rsid w:val="00773BC1"/>
    <w:rsid w:val="00774E35"/>
    <w:rsid w:val="00775573"/>
    <w:rsid w:val="00775A5F"/>
    <w:rsid w:val="00775F9A"/>
    <w:rsid w:val="00776BF0"/>
    <w:rsid w:val="00777501"/>
    <w:rsid w:val="00777D06"/>
    <w:rsid w:val="0078025C"/>
    <w:rsid w:val="007814E5"/>
    <w:rsid w:val="007830F8"/>
    <w:rsid w:val="0078385F"/>
    <w:rsid w:val="00784ADF"/>
    <w:rsid w:val="007851EF"/>
    <w:rsid w:val="00785E79"/>
    <w:rsid w:val="00790119"/>
    <w:rsid w:val="0079198B"/>
    <w:rsid w:val="00791A4F"/>
    <w:rsid w:val="00792476"/>
    <w:rsid w:val="0079267C"/>
    <w:rsid w:val="00792AA9"/>
    <w:rsid w:val="00792BE9"/>
    <w:rsid w:val="00793182"/>
    <w:rsid w:val="007937D0"/>
    <w:rsid w:val="00793E50"/>
    <w:rsid w:val="00795B5C"/>
    <w:rsid w:val="00797423"/>
    <w:rsid w:val="00797A9E"/>
    <w:rsid w:val="007A1CDC"/>
    <w:rsid w:val="007A1EEF"/>
    <w:rsid w:val="007A3C3D"/>
    <w:rsid w:val="007A3FA0"/>
    <w:rsid w:val="007A46F5"/>
    <w:rsid w:val="007A4853"/>
    <w:rsid w:val="007A5407"/>
    <w:rsid w:val="007A6DD1"/>
    <w:rsid w:val="007A7173"/>
    <w:rsid w:val="007A7D19"/>
    <w:rsid w:val="007B0F74"/>
    <w:rsid w:val="007B1295"/>
    <w:rsid w:val="007B195C"/>
    <w:rsid w:val="007B38E2"/>
    <w:rsid w:val="007B4DDD"/>
    <w:rsid w:val="007B500A"/>
    <w:rsid w:val="007B529D"/>
    <w:rsid w:val="007B5C82"/>
    <w:rsid w:val="007B6B66"/>
    <w:rsid w:val="007C0727"/>
    <w:rsid w:val="007C0E6F"/>
    <w:rsid w:val="007C14F5"/>
    <w:rsid w:val="007C22EA"/>
    <w:rsid w:val="007C25EC"/>
    <w:rsid w:val="007C3897"/>
    <w:rsid w:val="007C421A"/>
    <w:rsid w:val="007C454E"/>
    <w:rsid w:val="007C48EC"/>
    <w:rsid w:val="007C4C7F"/>
    <w:rsid w:val="007C56D1"/>
    <w:rsid w:val="007C5870"/>
    <w:rsid w:val="007C5FAB"/>
    <w:rsid w:val="007C6CC3"/>
    <w:rsid w:val="007D0400"/>
    <w:rsid w:val="007D0F70"/>
    <w:rsid w:val="007D26F4"/>
    <w:rsid w:val="007D323B"/>
    <w:rsid w:val="007D37CB"/>
    <w:rsid w:val="007D43AF"/>
    <w:rsid w:val="007D4574"/>
    <w:rsid w:val="007D54CB"/>
    <w:rsid w:val="007D61C8"/>
    <w:rsid w:val="007D7952"/>
    <w:rsid w:val="007D7A3D"/>
    <w:rsid w:val="007E0451"/>
    <w:rsid w:val="007E0967"/>
    <w:rsid w:val="007E1BA4"/>
    <w:rsid w:val="007E1CF5"/>
    <w:rsid w:val="007E1DC5"/>
    <w:rsid w:val="007E2946"/>
    <w:rsid w:val="007E2AD1"/>
    <w:rsid w:val="007E44FA"/>
    <w:rsid w:val="007E4ABD"/>
    <w:rsid w:val="007E4F6D"/>
    <w:rsid w:val="007E64B5"/>
    <w:rsid w:val="007E731E"/>
    <w:rsid w:val="007F003D"/>
    <w:rsid w:val="007F0CB5"/>
    <w:rsid w:val="007F0D4E"/>
    <w:rsid w:val="007F11FC"/>
    <w:rsid w:val="007F160B"/>
    <w:rsid w:val="007F219A"/>
    <w:rsid w:val="007F26B8"/>
    <w:rsid w:val="007F30FE"/>
    <w:rsid w:val="007F31F2"/>
    <w:rsid w:val="007F390E"/>
    <w:rsid w:val="007F454F"/>
    <w:rsid w:val="007F4719"/>
    <w:rsid w:val="007F69B4"/>
    <w:rsid w:val="007F7A21"/>
    <w:rsid w:val="007F7F70"/>
    <w:rsid w:val="0080202B"/>
    <w:rsid w:val="00802A8C"/>
    <w:rsid w:val="00803031"/>
    <w:rsid w:val="00803054"/>
    <w:rsid w:val="008030D6"/>
    <w:rsid w:val="008032CD"/>
    <w:rsid w:val="00803CF5"/>
    <w:rsid w:val="00803D43"/>
    <w:rsid w:val="00805003"/>
    <w:rsid w:val="00805700"/>
    <w:rsid w:val="008058DB"/>
    <w:rsid w:val="00806910"/>
    <w:rsid w:val="00806DEB"/>
    <w:rsid w:val="00807767"/>
    <w:rsid w:val="00810293"/>
    <w:rsid w:val="0081379D"/>
    <w:rsid w:val="00813973"/>
    <w:rsid w:val="00816915"/>
    <w:rsid w:val="00817DE9"/>
    <w:rsid w:val="00817E37"/>
    <w:rsid w:val="00820CB6"/>
    <w:rsid w:val="00821593"/>
    <w:rsid w:val="0082199E"/>
    <w:rsid w:val="00821B88"/>
    <w:rsid w:val="00822520"/>
    <w:rsid w:val="0082279F"/>
    <w:rsid w:val="008229D6"/>
    <w:rsid w:val="00822C60"/>
    <w:rsid w:val="008232D2"/>
    <w:rsid w:val="0082412E"/>
    <w:rsid w:val="00825224"/>
    <w:rsid w:val="008256E6"/>
    <w:rsid w:val="00825C65"/>
    <w:rsid w:val="0082683E"/>
    <w:rsid w:val="008273A7"/>
    <w:rsid w:val="00831C0E"/>
    <w:rsid w:val="00832767"/>
    <w:rsid w:val="00832FD8"/>
    <w:rsid w:val="00833CD5"/>
    <w:rsid w:val="00834053"/>
    <w:rsid w:val="00834838"/>
    <w:rsid w:val="0083575F"/>
    <w:rsid w:val="00836026"/>
    <w:rsid w:val="00841067"/>
    <w:rsid w:val="0084110C"/>
    <w:rsid w:val="00841622"/>
    <w:rsid w:val="008425DC"/>
    <w:rsid w:val="00843A04"/>
    <w:rsid w:val="00843C82"/>
    <w:rsid w:val="00844438"/>
    <w:rsid w:val="0084444D"/>
    <w:rsid w:val="008446AB"/>
    <w:rsid w:val="00844ED6"/>
    <w:rsid w:val="00847758"/>
    <w:rsid w:val="00851D1F"/>
    <w:rsid w:val="0085210B"/>
    <w:rsid w:val="00852419"/>
    <w:rsid w:val="0085314F"/>
    <w:rsid w:val="008540B2"/>
    <w:rsid w:val="00854215"/>
    <w:rsid w:val="00854FC9"/>
    <w:rsid w:val="00855483"/>
    <w:rsid w:val="00855BE1"/>
    <w:rsid w:val="00857406"/>
    <w:rsid w:val="00857784"/>
    <w:rsid w:val="008577B5"/>
    <w:rsid w:val="008600A7"/>
    <w:rsid w:val="008601A3"/>
    <w:rsid w:val="00860B74"/>
    <w:rsid w:val="0086298E"/>
    <w:rsid w:val="008629CC"/>
    <w:rsid w:val="00862F09"/>
    <w:rsid w:val="0086377E"/>
    <w:rsid w:val="00863C76"/>
    <w:rsid w:val="00864447"/>
    <w:rsid w:val="008649D9"/>
    <w:rsid w:val="00864EC7"/>
    <w:rsid w:val="008656F8"/>
    <w:rsid w:val="00865E05"/>
    <w:rsid w:val="00865FA0"/>
    <w:rsid w:val="008674C1"/>
    <w:rsid w:val="008679E2"/>
    <w:rsid w:val="0087032C"/>
    <w:rsid w:val="008706BE"/>
    <w:rsid w:val="00872CEF"/>
    <w:rsid w:val="0087336F"/>
    <w:rsid w:val="00875054"/>
    <w:rsid w:val="008754C5"/>
    <w:rsid w:val="008769A3"/>
    <w:rsid w:val="00877E87"/>
    <w:rsid w:val="00880443"/>
    <w:rsid w:val="00881DB3"/>
    <w:rsid w:val="008843C4"/>
    <w:rsid w:val="008858B5"/>
    <w:rsid w:val="00886589"/>
    <w:rsid w:val="008871F9"/>
    <w:rsid w:val="00887D2F"/>
    <w:rsid w:val="00887E19"/>
    <w:rsid w:val="00890AE8"/>
    <w:rsid w:val="00890C6C"/>
    <w:rsid w:val="00891423"/>
    <w:rsid w:val="00894FE9"/>
    <w:rsid w:val="00895373"/>
    <w:rsid w:val="00895698"/>
    <w:rsid w:val="00896101"/>
    <w:rsid w:val="008A2182"/>
    <w:rsid w:val="008A3919"/>
    <w:rsid w:val="008A46C7"/>
    <w:rsid w:val="008A4B86"/>
    <w:rsid w:val="008A578B"/>
    <w:rsid w:val="008A737A"/>
    <w:rsid w:val="008B01F5"/>
    <w:rsid w:val="008B06EC"/>
    <w:rsid w:val="008B0AD4"/>
    <w:rsid w:val="008B0DC9"/>
    <w:rsid w:val="008B12DF"/>
    <w:rsid w:val="008B15F2"/>
    <w:rsid w:val="008B1E1A"/>
    <w:rsid w:val="008B2096"/>
    <w:rsid w:val="008B47FA"/>
    <w:rsid w:val="008B4825"/>
    <w:rsid w:val="008B4EA1"/>
    <w:rsid w:val="008B5238"/>
    <w:rsid w:val="008B5A48"/>
    <w:rsid w:val="008B5B2D"/>
    <w:rsid w:val="008B6508"/>
    <w:rsid w:val="008B71F4"/>
    <w:rsid w:val="008B781C"/>
    <w:rsid w:val="008B794D"/>
    <w:rsid w:val="008C013D"/>
    <w:rsid w:val="008C18CC"/>
    <w:rsid w:val="008C2C85"/>
    <w:rsid w:val="008C3EA0"/>
    <w:rsid w:val="008C4154"/>
    <w:rsid w:val="008C42C9"/>
    <w:rsid w:val="008C53C9"/>
    <w:rsid w:val="008C5DD3"/>
    <w:rsid w:val="008C6F06"/>
    <w:rsid w:val="008D0145"/>
    <w:rsid w:val="008D0394"/>
    <w:rsid w:val="008D0428"/>
    <w:rsid w:val="008D06E5"/>
    <w:rsid w:val="008D0989"/>
    <w:rsid w:val="008D149A"/>
    <w:rsid w:val="008D29A8"/>
    <w:rsid w:val="008D455E"/>
    <w:rsid w:val="008D4921"/>
    <w:rsid w:val="008D6770"/>
    <w:rsid w:val="008D6D54"/>
    <w:rsid w:val="008D7287"/>
    <w:rsid w:val="008D7741"/>
    <w:rsid w:val="008D7A42"/>
    <w:rsid w:val="008E07F2"/>
    <w:rsid w:val="008E0C35"/>
    <w:rsid w:val="008E1D74"/>
    <w:rsid w:val="008E38AE"/>
    <w:rsid w:val="008E4100"/>
    <w:rsid w:val="008E4E00"/>
    <w:rsid w:val="008E529F"/>
    <w:rsid w:val="008E562A"/>
    <w:rsid w:val="008E5977"/>
    <w:rsid w:val="008E680B"/>
    <w:rsid w:val="008E74A4"/>
    <w:rsid w:val="008F00B4"/>
    <w:rsid w:val="008F01D5"/>
    <w:rsid w:val="008F0DF9"/>
    <w:rsid w:val="008F2AA8"/>
    <w:rsid w:val="008F2B6A"/>
    <w:rsid w:val="008F3BB5"/>
    <w:rsid w:val="008F418F"/>
    <w:rsid w:val="008F51E7"/>
    <w:rsid w:val="008F5C4E"/>
    <w:rsid w:val="008F5E0C"/>
    <w:rsid w:val="008F5E4F"/>
    <w:rsid w:val="008F606A"/>
    <w:rsid w:val="008F6436"/>
    <w:rsid w:val="008F647C"/>
    <w:rsid w:val="008F66F5"/>
    <w:rsid w:val="008F70D2"/>
    <w:rsid w:val="008F7F31"/>
    <w:rsid w:val="008F7FFC"/>
    <w:rsid w:val="0090102A"/>
    <w:rsid w:val="0090106E"/>
    <w:rsid w:val="009016F9"/>
    <w:rsid w:val="0090225A"/>
    <w:rsid w:val="009026AF"/>
    <w:rsid w:val="009035E3"/>
    <w:rsid w:val="009037DF"/>
    <w:rsid w:val="00904306"/>
    <w:rsid w:val="009057A4"/>
    <w:rsid w:val="00905AA5"/>
    <w:rsid w:val="00905F87"/>
    <w:rsid w:val="00907AB5"/>
    <w:rsid w:val="00910BFB"/>
    <w:rsid w:val="00911466"/>
    <w:rsid w:val="00913290"/>
    <w:rsid w:val="0091361B"/>
    <w:rsid w:val="00913A58"/>
    <w:rsid w:val="00913EB6"/>
    <w:rsid w:val="0091401C"/>
    <w:rsid w:val="00914923"/>
    <w:rsid w:val="00915544"/>
    <w:rsid w:val="009166B8"/>
    <w:rsid w:val="00916DAB"/>
    <w:rsid w:val="00917043"/>
    <w:rsid w:val="00917EC8"/>
    <w:rsid w:val="009200A9"/>
    <w:rsid w:val="00920535"/>
    <w:rsid w:val="00920FD1"/>
    <w:rsid w:val="009226E3"/>
    <w:rsid w:val="00924095"/>
    <w:rsid w:val="00924302"/>
    <w:rsid w:val="00925136"/>
    <w:rsid w:val="00926C88"/>
    <w:rsid w:val="00930B4B"/>
    <w:rsid w:val="0093137C"/>
    <w:rsid w:val="00931447"/>
    <w:rsid w:val="00932D81"/>
    <w:rsid w:val="00932F3D"/>
    <w:rsid w:val="0093318E"/>
    <w:rsid w:val="009331FC"/>
    <w:rsid w:val="0093341F"/>
    <w:rsid w:val="00933F29"/>
    <w:rsid w:val="00934150"/>
    <w:rsid w:val="00935F1F"/>
    <w:rsid w:val="00935F71"/>
    <w:rsid w:val="0093639D"/>
    <w:rsid w:val="00936515"/>
    <w:rsid w:val="00936C7B"/>
    <w:rsid w:val="00936CF8"/>
    <w:rsid w:val="00937150"/>
    <w:rsid w:val="009371AD"/>
    <w:rsid w:val="00937C58"/>
    <w:rsid w:val="009402E4"/>
    <w:rsid w:val="00940430"/>
    <w:rsid w:val="0094091C"/>
    <w:rsid w:val="00941067"/>
    <w:rsid w:val="00942276"/>
    <w:rsid w:val="00942412"/>
    <w:rsid w:val="009424A4"/>
    <w:rsid w:val="0094297F"/>
    <w:rsid w:val="00943B2B"/>
    <w:rsid w:val="00944F9E"/>
    <w:rsid w:val="00945121"/>
    <w:rsid w:val="0094523A"/>
    <w:rsid w:val="00946AE2"/>
    <w:rsid w:val="00946EA1"/>
    <w:rsid w:val="00947B2E"/>
    <w:rsid w:val="0095015E"/>
    <w:rsid w:val="0095083D"/>
    <w:rsid w:val="009513BE"/>
    <w:rsid w:val="009538B9"/>
    <w:rsid w:val="00953E30"/>
    <w:rsid w:val="00953F44"/>
    <w:rsid w:val="009540CC"/>
    <w:rsid w:val="009540F5"/>
    <w:rsid w:val="00954D12"/>
    <w:rsid w:val="00954ED6"/>
    <w:rsid w:val="00955DA0"/>
    <w:rsid w:val="00956322"/>
    <w:rsid w:val="0096041C"/>
    <w:rsid w:val="00960D2B"/>
    <w:rsid w:val="00961E02"/>
    <w:rsid w:val="00963771"/>
    <w:rsid w:val="009658DE"/>
    <w:rsid w:val="009706F7"/>
    <w:rsid w:val="00970A97"/>
    <w:rsid w:val="009712D7"/>
    <w:rsid w:val="0097188A"/>
    <w:rsid w:val="0097370A"/>
    <w:rsid w:val="00974530"/>
    <w:rsid w:val="0097454C"/>
    <w:rsid w:val="00976635"/>
    <w:rsid w:val="009769EE"/>
    <w:rsid w:val="009774DF"/>
    <w:rsid w:val="00977E2E"/>
    <w:rsid w:val="00980E09"/>
    <w:rsid w:val="0098103A"/>
    <w:rsid w:val="00981F3F"/>
    <w:rsid w:val="009828A3"/>
    <w:rsid w:val="00982973"/>
    <w:rsid w:val="009834A0"/>
    <w:rsid w:val="00983AF3"/>
    <w:rsid w:val="00983D39"/>
    <w:rsid w:val="00985F10"/>
    <w:rsid w:val="00986813"/>
    <w:rsid w:val="00986F83"/>
    <w:rsid w:val="00990F38"/>
    <w:rsid w:val="009914C5"/>
    <w:rsid w:val="00991EA5"/>
    <w:rsid w:val="00991EE2"/>
    <w:rsid w:val="0099245E"/>
    <w:rsid w:val="00992A6C"/>
    <w:rsid w:val="00992C31"/>
    <w:rsid w:val="00992FAD"/>
    <w:rsid w:val="0099309C"/>
    <w:rsid w:val="00994C34"/>
    <w:rsid w:val="00995133"/>
    <w:rsid w:val="0099712D"/>
    <w:rsid w:val="00997148"/>
    <w:rsid w:val="009974D8"/>
    <w:rsid w:val="00997680"/>
    <w:rsid w:val="00997AC3"/>
    <w:rsid w:val="009A09DB"/>
    <w:rsid w:val="009A2869"/>
    <w:rsid w:val="009A3B94"/>
    <w:rsid w:val="009A4B32"/>
    <w:rsid w:val="009A4F3A"/>
    <w:rsid w:val="009A5084"/>
    <w:rsid w:val="009A59F9"/>
    <w:rsid w:val="009A5DF3"/>
    <w:rsid w:val="009A7844"/>
    <w:rsid w:val="009B0F70"/>
    <w:rsid w:val="009B101C"/>
    <w:rsid w:val="009B18BB"/>
    <w:rsid w:val="009B1A34"/>
    <w:rsid w:val="009B3692"/>
    <w:rsid w:val="009B48A8"/>
    <w:rsid w:val="009B505B"/>
    <w:rsid w:val="009B5A97"/>
    <w:rsid w:val="009B730E"/>
    <w:rsid w:val="009B78A2"/>
    <w:rsid w:val="009B7DCC"/>
    <w:rsid w:val="009C0534"/>
    <w:rsid w:val="009C1B28"/>
    <w:rsid w:val="009C259D"/>
    <w:rsid w:val="009C2A94"/>
    <w:rsid w:val="009C2CA8"/>
    <w:rsid w:val="009C3121"/>
    <w:rsid w:val="009C3409"/>
    <w:rsid w:val="009C4429"/>
    <w:rsid w:val="009C590A"/>
    <w:rsid w:val="009C6215"/>
    <w:rsid w:val="009C65A1"/>
    <w:rsid w:val="009D0119"/>
    <w:rsid w:val="009D1100"/>
    <w:rsid w:val="009D147C"/>
    <w:rsid w:val="009D1EA3"/>
    <w:rsid w:val="009D2F0C"/>
    <w:rsid w:val="009D30C4"/>
    <w:rsid w:val="009D3A87"/>
    <w:rsid w:val="009D64FF"/>
    <w:rsid w:val="009D7437"/>
    <w:rsid w:val="009D7C92"/>
    <w:rsid w:val="009E33A1"/>
    <w:rsid w:val="009E3415"/>
    <w:rsid w:val="009E350B"/>
    <w:rsid w:val="009E3CB4"/>
    <w:rsid w:val="009E46BF"/>
    <w:rsid w:val="009E5279"/>
    <w:rsid w:val="009E73BA"/>
    <w:rsid w:val="009E73F3"/>
    <w:rsid w:val="009F06C9"/>
    <w:rsid w:val="009F162E"/>
    <w:rsid w:val="009F1938"/>
    <w:rsid w:val="009F207E"/>
    <w:rsid w:val="009F22EC"/>
    <w:rsid w:val="009F234E"/>
    <w:rsid w:val="009F32FF"/>
    <w:rsid w:val="009F54EE"/>
    <w:rsid w:val="009F626F"/>
    <w:rsid w:val="009F7409"/>
    <w:rsid w:val="009F7609"/>
    <w:rsid w:val="009F7F0E"/>
    <w:rsid w:val="009F7FBE"/>
    <w:rsid w:val="00A0034C"/>
    <w:rsid w:val="00A00485"/>
    <w:rsid w:val="00A00605"/>
    <w:rsid w:val="00A019BD"/>
    <w:rsid w:val="00A01ADC"/>
    <w:rsid w:val="00A01FFE"/>
    <w:rsid w:val="00A0275C"/>
    <w:rsid w:val="00A0425E"/>
    <w:rsid w:val="00A0495D"/>
    <w:rsid w:val="00A04D5C"/>
    <w:rsid w:val="00A05727"/>
    <w:rsid w:val="00A06246"/>
    <w:rsid w:val="00A06327"/>
    <w:rsid w:val="00A06758"/>
    <w:rsid w:val="00A07153"/>
    <w:rsid w:val="00A106A1"/>
    <w:rsid w:val="00A11986"/>
    <w:rsid w:val="00A12690"/>
    <w:rsid w:val="00A142B4"/>
    <w:rsid w:val="00A14790"/>
    <w:rsid w:val="00A15A53"/>
    <w:rsid w:val="00A16AF8"/>
    <w:rsid w:val="00A17ED7"/>
    <w:rsid w:val="00A2024A"/>
    <w:rsid w:val="00A207CE"/>
    <w:rsid w:val="00A21493"/>
    <w:rsid w:val="00A2196B"/>
    <w:rsid w:val="00A21BE9"/>
    <w:rsid w:val="00A222A3"/>
    <w:rsid w:val="00A22519"/>
    <w:rsid w:val="00A22D81"/>
    <w:rsid w:val="00A23426"/>
    <w:rsid w:val="00A23601"/>
    <w:rsid w:val="00A23FB3"/>
    <w:rsid w:val="00A24264"/>
    <w:rsid w:val="00A254FA"/>
    <w:rsid w:val="00A267FA"/>
    <w:rsid w:val="00A269EF"/>
    <w:rsid w:val="00A26B12"/>
    <w:rsid w:val="00A307B3"/>
    <w:rsid w:val="00A31A66"/>
    <w:rsid w:val="00A31B7A"/>
    <w:rsid w:val="00A31CF5"/>
    <w:rsid w:val="00A31E45"/>
    <w:rsid w:val="00A31F60"/>
    <w:rsid w:val="00A3227D"/>
    <w:rsid w:val="00A336E9"/>
    <w:rsid w:val="00A34125"/>
    <w:rsid w:val="00A355C1"/>
    <w:rsid w:val="00A35C81"/>
    <w:rsid w:val="00A35D79"/>
    <w:rsid w:val="00A360BD"/>
    <w:rsid w:val="00A36EFD"/>
    <w:rsid w:val="00A37473"/>
    <w:rsid w:val="00A40FFF"/>
    <w:rsid w:val="00A4115E"/>
    <w:rsid w:val="00A41220"/>
    <w:rsid w:val="00A41944"/>
    <w:rsid w:val="00A41CF0"/>
    <w:rsid w:val="00A424F9"/>
    <w:rsid w:val="00A42819"/>
    <w:rsid w:val="00A42AA0"/>
    <w:rsid w:val="00A42DBA"/>
    <w:rsid w:val="00A43CB9"/>
    <w:rsid w:val="00A448BE"/>
    <w:rsid w:val="00A46A93"/>
    <w:rsid w:val="00A47EA8"/>
    <w:rsid w:val="00A508DD"/>
    <w:rsid w:val="00A513F3"/>
    <w:rsid w:val="00A525B4"/>
    <w:rsid w:val="00A52803"/>
    <w:rsid w:val="00A53064"/>
    <w:rsid w:val="00A54D27"/>
    <w:rsid w:val="00A54F4D"/>
    <w:rsid w:val="00A55845"/>
    <w:rsid w:val="00A56556"/>
    <w:rsid w:val="00A56959"/>
    <w:rsid w:val="00A611CA"/>
    <w:rsid w:val="00A61C4D"/>
    <w:rsid w:val="00A61CF1"/>
    <w:rsid w:val="00A61D19"/>
    <w:rsid w:val="00A62E9C"/>
    <w:rsid w:val="00A634BF"/>
    <w:rsid w:val="00A634DB"/>
    <w:rsid w:val="00A655C4"/>
    <w:rsid w:val="00A67180"/>
    <w:rsid w:val="00A67239"/>
    <w:rsid w:val="00A6772F"/>
    <w:rsid w:val="00A677F4"/>
    <w:rsid w:val="00A67F6A"/>
    <w:rsid w:val="00A707F3"/>
    <w:rsid w:val="00A71085"/>
    <w:rsid w:val="00A71450"/>
    <w:rsid w:val="00A71757"/>
    <w:rsid w:val="00A7218A"/>
    <w:rsid w:val="00A722A2"/>
    <w:rsid w:val="00A73345"/>
    <w:rsid w:val="00A76532"/>
    <w:rsid w:val="00A765EE"/>
    <w:rsid w:val="00A806C5"/>
    <w:rsid w:val="00A80ADC"/>
    <w:rsid w:val="00A818B8"/>
    <w:rsid w:val="00A8201F"/>
    <w:rsid w:val="00A822B7"/>
    <w:rsid w:val="00A828B7"/>
    <w:rsid w:val="00A82AC5"/>
    <w:rsid w:val="00A83828"/>
    <w:rsid w:val="00A85343"/>
    <w:rsid w:val="00A854C1"/>
    <w:rsid w:val="00A85AAE"/>
    <w:rsid w:val="00A86F15"/>
    <w:rsid w:val="00A878E5"/>
    <w:rsid w:val="00A90836"/>
    <w:rsid w:val="00A91500"/>
    <w:rsid w:val="00A92848"/>
    <w:rsid w:val="00A93682"/>
    <w:rsid w:val="00A93B58"/>
    <w:rsid w:val="00A9423F"/>
    <w:rsid w:val="00A943DC"/>
    <w:rsid w:val="00A954F3"/>
    <w:rsid w:val="00A97296"/>
    <w:rsid w:val="00A974F6"/>
    <w:rsid w:val="00A97CAB"/>
    <w:rsid w:val="00AA1D4E"/>
    <w:rsid w:val="00AA1EBC"/>
    <w:rsid w:val="00AA2115"/>
    <w:rsid w:val="00AA271F"/>
    <w:rsid w:val="00AA2A7C"/>
    <w:rsid w:val="00AA315F"/>
    <w:rsid w:val="00AA359F"/>
    <w:rsid w:val="00AA35FF"/>
    <w:rsid w:val="00AA3E83"/>
    <w:rsid w:val="00AA626D"/>
    <w:rsid w:val="00AA666F"/>
    <w:rsid w:val="00AA6940"/>
    <w:rsid w:val="00AA69AA"/>
    <w:rsid w:val="00AA6FB5"/>
    <w:rsid w:val="00AA76F4"/>
    <w:rsid w:val="00AA7F85"/>
    <w:rsid w:val="00AB0BFA"/>
    <w:rsid w:val="00AB1152"/>
    <w:rsid w:val="00AB1535"/>
    <w:rsid w:val="00AB18A3"/>
    <w:rsid w:val="00AB248B"/>
    <w:rsid w:val="00AB2DBB"/>
    <w:rsid w:val="00AB4056"/>
    <w:rsid w:val="00AB4501"/>
    <w:rsid w:val="00AB52FA"/>
    <w:rsid w:val="00AB5A9B"/>
    <w:rsid w:val="00AB5F0E"/>
    <w:rsid w:val="00AB7156"/>
    <w:rsid w:val="00AB7A53"/>
    <w:rsid w:val="00AB7A74"/>
    <w:rsid w:val="00AC050F"/>
    <w:rsid w:val="00AC0712"/>
    <w:rsid w:val="00AC0767"/>
    <w:rsid w:val="00AC0A64"/>
    <w:rsid w:val="00AC2727"/>
    <w:rsid w:val="00AC3123"/>
    <w:rsid w:val="00AC328D"/>
    <w:rsid w:val="00AC3A25"/>
    <w:rsid w:val="00AC429C"/>
    <w:rsid w:val="00AC49A3"/>
    <w:rsid w:val="00AC55BE"/>
    <w:rsid w:val="00AC6BEB"/>
    <w:rsid w:val="00AC6D5E"/>
    <w:rsid w:val="00AC7B41"/>
    <w:rsid w:val="00AD0F3B"/>
    <w:rsid w:val="00AD1519"/>
    <w:rsid w:val="00AD1AC3"/>
    <w:rsid w:val="00AD1EB2"/>
    <w:rsid w:val="00AD2299"/>
    <w:rsid w:val="00AD28DC"/>
    <w:rsid w:val="00AD2C99"/>
    <w:rsid w:val="00AD31CF"/>
    <w:rsid w:val="00AD3403"/>
    <w:rsid w:val="00AD345D"/>
    <w:rsid w:val="00AD48EB"/>
    <w:rsid w:val="00AD68A8"/>
    <w:rsid w:val="00AD6EEF"/>
    <w:rsid w:val="00AD73F7"/>
    <w:rsid w:val="00AE0850"/>
    <w:rsid w:val="00AE0AC6"/>
    <w:rsid w:val="00AE0ED2"/>
    <w:rsid w:val="00AE20B6"/>
    <w:rsid w:val="00AE25AF"/>
    <w:rsid w:val="00AE352F"/>
    <w:rsid w:val="00AE42ED"/>
    <w:rsid w:val="00AE44C3"/>
    <w:rsid w:val="00AE4544"/>
    <w:rsid w:val="00AE4638"/>
    <w:rsid w:val="00AE4BB8"/>
    <w:rsid w:val="00AE53C2"/>
    <w:rsid w:val="00AE5867"/>
    <w:rsid w:val="00AE5CAE"/>
    <w:rsid w:val="00AE638F"/>
    <w:rsid w:val="00AE6B31"/>
    <w:rsid w:val="00AE6BFF"/>
    <w:rsid w:val="00AF019C"/>
    <w:rsid w:val="00AF1258"/>
    <w:rsid w:val="00AF1406"/>
    <w:rsid w:val="00AF1574"/>
    <w:rsid w:val="00AF1FCA"/>
    <w:rsid w:val="00AF28C9"/>
    <w:rsid w:val="00AF3148"/>
    <w:rsid w:val="00AF3CD4"/>
    <w:rsid w:val="00AF52D9"/>
    <w:rsid w:val="00AF63C6"/>
    <w:rsid w:val="00AF6978"/>
    <w:rsid w:val="00AF7B13"/>
    <w:rsid w:val="00B01521"/>
    <w:rsid w:val="00B01599"/>
    <w:rsid w:val="00B01732"/>
    <w:rsid w:val="00B02D30"/>
    <w:rsid w:val="00B02DC5"/>
    <w:rsid w:val="00B03261"/>
    <w:rsid w:val="00B0472E"/>
    <w:rsid w:val="00B0512B"/>
    <w:rsid w:val="00B0631A"/>
    <w:rsid w:val="00B070A2"/>
    <w:rsid w:val="00B07244"/>
    <w:rsid w:val="00B07E0A"/>
    <w:rsid w:val="00B135D2"/>
    <w:rsid w:val="00B146BE"/>
    <w:rsid w:val="00B14CA5"/>
    <w:rsid w:val="00B14D82"/>
    <w:rsid w:val="00B15517"/>
    <w:rsid w:val="00B16E22"/>
    <w:rsid w:val="00B20243"/>
    <w:rsid w:val="00B2031B"/>
    <w:rsid w:val="00B20CDC"/>
    <w:rsid w:val="00B20F2B"/>
    <w:rsid w:val="00B21575"/>
    <w:rsid w:val="00B22418"/>
    <w:rsid w:val="00B22EE5"/>
    <w:rsid w:val="00B22FDC"/>
    <w:rsid w:val="00B23FA1"/>
    <w:rsid w:val="00B24A07"/>
    <w:rsid w:val="00B24B83"/>
    <w:rsid w:val="00B24EE3"/>
    <w:rsid w:val="00B24FF6"/>
    <w:rsid w:val="00B25E36"/>
    <w:rsid w:val="00B25FF1"/>
    <w:rsid w:val="00B26771"/>
    <w:rsid w:val="00B26F17"/>
    <w:rsid w:val="00B27AF8"/>
    <w:rsid w:val="00B27C90"/>
    <w:rsid w:val="00B307EC"/>
    <w:rsid w:val="00B30EF3"/>
    <w:rsid w:val="00B30F93"/>
    <w:rsid w:val="00B311CF"/>
    <w:rsid w:val="00B33192"/>
    <w:rsid w:val="00B3432E"/>
    <w:rsid w:val="00B34FC1"/>
    <w:rsid w:val="00B35925"/>
    <w:rsid w:val="00B35D27"/>
    <w:rsid w:val="00B374E2"/>
    <w:rsid w:val="00B40802"/>
    <w:rsid w:val="00B40D0C"/>
    <w:rsid w:val="00B44755"/>
    <w:rsid w:val="00B46790"/>
    <w:rsid w:val="00B46F9E"/>
    <w:rsid w:val="00B4757C"/>
    <w:rsid w:val="00B50C01"/>
    <w:rsid w:val="00B50D00"/>
    <w:rsid w:val="00B518C7"/>
    <w:rsid w:val="00B51D1F"/>
    <w:rsid w:val="00B55841"/>
    <w:rsid w:val="00B5586E"/>
    <w:rsid w:val="00B571E4"/>
    <w:rsid w:val="00B6034C"/>
    <w:rsid w:val="00B60586"/>
    <w:rsid w:val="00B6065E"/>
    <w:rsid w:val="00B617FA"/>
    <w:rsid w:val="00B618CE"/>
    <w:rsid w:val="00B61D0F"/>
    <w:rsid w:val="00B61F95"/>
    <w:rsid w:val="00B62E90"/>
    <w:rsid w:val="00B63CEA"/>
    <w:rsid w:val="00B63FEF"/>
    <w:rsid w:val="00B64829"/>
    <w:rsid w:val="00B659DE"/>
    <w:rsid w:val="00B65C78"/>
    <w:rsid w:val="00B66238"/>
    <w:rsid w:val="00B67F56"/>
    <w:rsid w:val="00B70186"/>
    <w:rsid w:val="00B70BEA"/>
    <w:rsid w:val="00B71280"/>
    <w:rsid w:val="00B71EAE"/>
    <w:rsid w:val="00B73E9E"/>
    <w:rsid w:val="00B745FE"/>
    <w:rsid w:val="00B74E28"/>
    <w:rsid w:val="00B752D9"/>
    <w:rsid w:val="00B7585D"/>
    <w:rsid w:val="00B75C0D"/>
    <w:rsid w:val="00B75C5E"/>
    <w:rsid w:val="00B77364"/>
    <w:rsid w:val="00B77E43"/>
    <w:rsid w:val="00B8021E"/>
    <w:rsid w:val="00B8099B"/>
    <w:rsid w:val="00B8154F"/>
    <w:rsid w:val="00B826DD"/>
    <w:rsid w:val="00B82E5D"/>
    <w:rsid w:val="00B852F5"/>
    <w:rsid w:val="00B85F6D"/>
    <w:rsid w:val="00B861C4"/>
    <w:rsid w:val="00B871AF"/>
    <w:rsid w:val="00B90473"/>
    <w:rsid w:val="00B90CC2"/>
    <w:rsid w:val="00B9172A"/>
    <w:rsid w:val="00B91E06"/>
    <w:rsid w:val="00B930FF"/>
    <w:rsid w:val="00B9382A"/>
    <w:rsid w:val="00B94C9E"/>
    <w:rsid w:val="00B95AF6"/>
    <w:rsid w:val="00BA032C"/>
    <w:rsid w:val="00BA12C4"/>
    <w:rsid w:val="00BA1A66"/>
    <w:rsid w:val="00BA2CEC"/>
    <w:rsid w:val="00BA3C45"/>
    <w:rsid w:val="00BA4282"/>
    <w:rsid w:val="00BA5C87"/>
    <w:rsid w:val="00BA6433"/>
    <w:rsid w:val="00BA6C71"/>
    <w:rsid w:val="00BA7AC6"/>
    <w:rsid w:val="00BB08DD"/>
    <w:rsid w:val="00BB176C"/>
    <w:rsid w:val="00BB3718"/>
    <w:rsid w:val="00BB63E6"/>
    <w:rsid w:val="00BB69F2"/>
    <w:rsid w:val="00BB7024"/>
    <w:rsid w:val="00BB7F3E"/>
    <w:rsid w:val="00BC0D6F"/>
    <w:rsid w:val="00BC13FE"/>
    <w:rsid w:val="00BC1C0D"/>
    <w:rsid w:val="00BC50EA"/>
    <w:rsid w:val="00BC55A5"/>
    <w:rsid w:val="00BC7008"/>
    <w:rsid w:val="00BC750B"/>
    <w:rsid w:val="00BC76D4"/>
    <w:rsid w:val="00BC7C26"/>
    <w:rsid w:val="00BC7FEA"/>
    <w:rsid w:val="00BD017F"/>
    <w:rsid w:val="00BD0E9C"/>
    <w:rsid w:val="00BD19DD"/>
    <w:rsid w:val="00BD21FD"/>
    <w:rsid w:val="00BD2D9C"/>
    <w:rsid w:val="00BD2FC7"/>
    <w:rsid w:val="00BD310F"/>
    <w:rsid w:val="00BD39E1"/>
    <w:rsid w:val="00BD3E1C"/>
    <w:rsid w:val="00BD4FE9"/>
    <w:rsid w:val="00BD6064"/>
    <w:rsid w:val="00BD645B"/>
    <w:rsid w:val="00BD753A"/>
    <w:rsid w:val="00BD7BAD"/>
    <w:rsid w:val="00BE12C0"/>
    <w:rsid w:val="00BE3A7F"/>
    <w:rsid w:val="00BE71B8"/>
    <w:rsid w:val="00BE71D2"/>
    <w:rsid w:val="00BE7764"/>
    <w:rsid w:val="00BE7FA0"/>
    <w:rsid w:val="00BF07B9"/>
    <w:rsid w:val="00BF1F06"/>
    <w:rsid w:val="00BF2B1F"/>
    <w:rsid w:val="00BF3BB8"/>
    <w:rsid w:val="00BF4CA2"/>
    <w:rsid w:val="00BF4F4A"/>
    <w:rsid w:val="00BF5170"/>
    <w:rsid w:val="00BF5C61"/>
    <w:rsid w:val="00BF775D"/>
    <w:rsid w:val="00BF7765"/>
    <w:rsid w:val="00BF7A0E"/>
    <w:rsid w:val="00C002EB"/>
    <w:rsid w:val="00C00313"/>
    <w:rsid w:val="00C0116A"/>
    <w:rsid w:val="00C01508"/>
    <w:rsid w:val="00C01AC1"/>
    <w:rsid w:val="00C032B4"/>
    <w:rsid w:val="00C0343E"/>
    <w:rsid w:val="00C03846"/>
    <w:rsid w:val="00C03A10"/>
    <w:rsid w:val="00C03E9C"/>
    <w:rsid w:val="00C03F2F"/>
    <w:rsid w:val="00C040F3"/>
    <w:rsid w:val="00C04B9B"/>
    <w:rsid w:val="00C04CD2"/>
    <w:rsid w:val="00C05C16"/>
    <w:rsid w:val="00C06B5E"/>
    <w:rsid w:val="00C06C2D"/>
    <w:rsid w:val="00C07411"/>
    <w:rsid w:val="00C07662"/>
    <w:rsid w:val="00C0786E"/>
    <w:rsid w:val="00C07A41"/>
    <w:rsid w:val="00C12319"/>
    <w:rsid w:val="00C124D2"/>
    <w:rsid w:val="00C13780"/>
    <w:rsid w:val="00C151C8"/>
    <w:rsid w:val="00C154FA"/>
    <w:rsid w:val="00C16CE1"/>
    <w:rsid w:val="00C212D4"/>
    <w:rsid w:val="00C2131E"/>
    <w:rsid w:val="00C21C0C"/>
    <w:rsid w:val="00C22D53"/>
    <w:rsid w:val="00C24BD9"/>
    <w:rsid w:val="00C25143"/>
    <w:rsid w:val="00C25EBE"/>
    <w:rsid w:val="00C2681F"/>
    <w:rsid w:val="00C27149"/>
    <w:rsid w:val="00C31453"/>
    <w:rsid w:val="00C3394E"/>
    <w:rsid w:val="00C34048"/>
    <w:rsid w:val="00C3430C"/>
    <w:rsid w:val="00C34C45"/>
    <w:rsid w:val="00C36AB5"/>
    <w:rsid w:val="00C36E1E"/>
    <w:rsid w:val="00C3796E"/>
    <w:rsid w:val="00C41E2F"/>
    <w:rsid w:val="00C426A0"/>
    <w:rsid w:val="00C42F3A"/>
    <w:rsid w:val="00C430D1"/>
    <w:rsid w:val="00C43499"/>
    <w:rsid w:val="00C43F63"/>
    <w:rsid w:val="00C450EB"/>
    <w:rsid w:val="00C45179"/>
    <w:rsid w:val="00C458F3"/>
    <w:rsid w:val="00C46AE0"/>
    <w:rsid w:val="00C47750"/>
    <w:rsid w:val="00C501C1"/>
    <w:rsid w:val="00C50B82"/>
    <w:rsid w:val="00C51A3A"/>
    <w:rsid w:val="00C52A7B"/>
    <w:rsid w:val="00C52C9B"/>
    <w:rsid w:val="00C52CEE"/>
    <w:rsid w:val="00C540E6"/>
    <w:rsid w:val="00C542F9"/>
    <w:rsid w:val="00C5501D"/>
    <w:rsid w:val="00C5628D"/>
    <w:rsid w:val="00C5675D"/>
    <w:rsid w:val="00C568FA"/>
    <w:rsid w:val="00C56C17"/>
    <w:rsid w:val="00C57D71"/>
    <w:rsid w:val="00C619ED"/>
    <w:rsid w:val="00C61D7E"/>
    <w:rsid w:val="00C62F6B"/>
    <w:rsid w:val="00C63E7C"/>
    <w:rsid w:val="00C6667C"/>
    <w:rsid w:val="00C7212F"/>
    <w:rsid w:val="00C7217C"/>
    <w:rsid w:val="00C72394"/>
    <w:rsid w:val="00C72A3A"/>
    <w:rsid w:val="00C7623E"/>
    <w:rsid w:val="00C76E99"/>
    <w:rsid w:val="00C77219"/>
    <w:rsid w:val="00C774A5"/>
    <w:rsid w:val="00C7782D"/>
    <w:rsid w:val="00C80FEF"/>
    <w:rsid w:val="00C82600"/>
    <w:rsid w:val="00C856F9"/>
    <w:rsid w:val="00C8604A"/>
    <w:rsid w:val="00C86982"/>
    <w:rsid w:val="00C86D8D"/>
    <w:rsid w:val="00C90460"/>
    <w:rsid w:val="00C90B5F"/>
    <w:rsid w:val="00C9192D"/>
    <w:rsid w:val="00C928FB"/>
    <w:rsid w:val="00C92CB8"/>
    <w:rsid w:val="00C92D21"/>
    <w:rsid w:val="00C94E17"/>
    <w:rsid w:val="00C96718"/>
    <w:rsid w:val="00C96C43"/>
    <w:rsid w:val="00C972C6"/>
    <w:rsid w:val="00C977BB"/>
    <w:rsid w:val="00C978E1"/>
    <w:rsid w:val="00C97FBE"/>
    <w:rsid w:val="00CA0969"/>
    <w:rsid w:val="00CA09A6"/>
    <w:rsid w:val="00CA0E95"/>
    <w:rsid w:val="00CA131A"/>
    <w:rsid w:val="00CA2E84"/>
    <w:rsid w:val="00CA3525"/>
    <w:rsid w:val="00CA38C5"/>
    <w:rsid w:val="00CA3A0F"/>
    <w:rsid w:val="00CA3BD9"/>
    <w:rsid w:val="00CA4827"/>
    <w:rsid w:val="00CA499B"/>
    <w:rsid w:val="00CA4B64"/>
    <w:rsid w:val="00CA4C46"/>
    <w:rsid w:val="00CA64A1"/>
    <w:rsid w:val="00CA6761"/>
    <w:rsid w:val="00CA7CB5"/>
    <w:rsid w:val="00CB0905"/>
    <w:rsid w:val="00CB0A82"/>
    <w:rsid w:val="00CB2D99"/>
    <w:rsid w:val="00CB5372"/>
    <w:rsid w:val="00CB5D60"/>
    <w:rsid w:val="00CB69C8"/>
    <w:rsid w:val="00CC10C9"/>
    <w:rsid w:val="00CC112B"/>
    <w:rsid w:val="00CC1ADA"/>
    <w:rsid w:val="00CC1B6F"/>
    <w:rsid w:val="00CC2290"/>
    <w:rsid w:val="00CC3C02"/>
    <w:rsid w:val="00CC480E"/>
    <w:rsid w:val="00CC561F"/>
    <w:rsid w:val="00CC5758"/>
    <w:rsid w:val="00CC67D4"/>
    <w:rsid w:val="00CC7A83"/>
    <w:rsid w:val="00CD101D"/>
    <w:rsid w:val="00CD11E5"/>
    <w:rsid w:val="00CD1D73"/>
    <w:rsid w:val="00CD251C"/>
    <w:rsid w:val="00CD3128"/>
    <w:rsid w:val="00CD34C4"/>
    <w:rsid w:val="00CD3553"/>
    <w:rsid w:val="00CD35DC"/>
    <w:rsid w:val="00CD4CB9"/>
    <w:rsid w:val="00CD69D9"/>
    <w:rsid w:val="00CD6A75"/>
    <w:rsid w:val="00CD6F30"/>
    <w:rsid w:val="00CD7132"/>
    <w:rsid w:val="00CD7F26"/>
    <w:rsid w:val="00CD7F61"/>
    <w:rsid w:val="00CE0A71"/>
    <w:rsid w:val="00CE0B97"/>
    <w:rsid w:val="00CE118B"/>
    <w:rsid w:val="00CE3F6A"/>
    <w:rsid w:val="00CE3F79"/>
    <w:rsid w:val="00CE6BA8"/>
    <w:rsid w:val="00CE76BB"/>
    <w:rsid w:val="00CE76DE"/>
    <w:rsid w:val="00CE7A7A"/>
    <w:rsid w:val="00CE7C41"/>
    <w:rsid w:val="00CF1E3B"/>
    <w:rsid w:val="00CF43A7"/>
    <w:rsid w:val="00CF4495"/>
    <w:rsid w:val="00CF4812"/>
    <w:rsid w:val="00CF4F1F"/>
    <w:rsid w:val="00CF52DB"/>
    <w:rsid w:val="00CF603F"/>
    <w:rsid w:val="00CF6614"/>
    <w:rsid w:val="00CF796D"/>
    <w:rsid w:val="00D002F1"/>
    <w:rsid w:val="00D018DA"/>
    <w:rsid w:val="00D01971"/>
    <w:rsid w:val="00D04331"/>
    <w:rsid w:val="00D0439B"/>
    <w:rsid w:val="00D04665"/>
    <w:rsid w:val="00D04760"/>
    <w:rsid w:val="00D04DCD"/>
    <w:rsid w:val="00D0525B"/>
    <w:rsid w:val="00D05D09"/>
    <w:rsid w:val="00D05EEC"/>
    <w:rsid w:val="00D12984"/>
    <w:rsid w:val="00D12D4E"/>
    <w:rsid w:val="00D14063"/>
    <w:rsid w:val="00D14270"/>
    <w:rsid w:val="00D14401"/>
    <w:rsid w:val="00D157B0"/>
    <w:rsid w:val="00D1596B"/>
    <w:rsid w:val="00D15C3F"/>
    <w:rsid w:val="00D16C5F"/>
    <w:rsid w:val="00D1705C"/>
    <w:rsid w:val="00D178CB"/>
    <w:rsid w:val="00D20627"/>
    <w:rsid w:val="00D21513"/>
    <w:rsid w:val="00D233B7"/>
    <w:rsid w:val="00D23E95"/>
    <w:rsid w:val="00D23FE3"/>
    <w:rsid w:val="00D24E0C"/>
    <w:rsid w:val="00D25DCD"/>
    <w:rsid w:val="00D2726E"/>
    <w:rsid w:val="00D27367"/>
    <w:rsid w:val="00D3307D"/>
    <w:rsid w:val="00D337B3"/>
    <w:rsid w:val="00D344AE"/>
    <w:rsid w:val="00D35C69"/>
    <w:rsid w:val="00D35CAC"/>
    <w:rsid w:val="00D36383"/>
    <w:rsid w:val="00D36470"/>
    <w:rsid w:val="00D36893"/>
    <w:rsid w:val="00D37964"/>
    <w:rsid w:val="00D40437"/>
    <w:rsid w:val="00D40E76"/>
    <w:rsid w:val="00D42213"/>
    <w:rsid w:val="00D42291"/>
    <w:rsid w:val="00D422DA"/>
    <w:rsid w:val="00D4293B"/>
    <w:rsid w:val="00D43CF6"/>
    <w:rsid w:val="00D43F36"/>
    <w:rsid w:val="00D46869"/>
    <w:rsid w:val="00D46C42"/>
    <w:rsid w:val="00D474D7"/>
    <w:rsid w:val="00D50A03"/>
    <w:rsid w:val="00D50CA2"/>
    <w:rsid w:val="00D511B3"/>
    <w:rsid w:val="00D5175E"/>
    <w:rsid w:val="00D51B46"/>
    <w:rsid w:val="00D521BC"/>
    <w:rsid w:val="00D52351"/>
    <w:rsid w:val="00D52927"/>
    <w:rsid w:val="00D5392C"/>
    <w:rsid w:val="00D553E9"/>
    <w:rsid w:val="00D57867"/>
    <w:rsid w:val="00D57B27"/>
    <w:rsid w:val="00D60F9E"/>
    <w:rsid w:val="00D62CA6"/>
    <w:rsid w:val="00D63425"/>
    <w:rsid w:val="00D63BB8"/>
    <w:rsid w:val="00D6498B"/>
    <w:rsid w:val="00D64A13"/>
    <w:rsid w:val="00D64BB7"/>
    <w:rsid w:val="00D650B6"/>
    <w:rsid w:val="00D659A7"/>
    <w:rsid w:val="00D65FC8"/>
    <w:rsid w:val="00D665CD"/>
    <w:rsid w:val="00D66EC7"/>
    <w:rsid w:val="00D67160"/>
    <w:rsid w:val="00D67D6B"/>
    <w:rsid w:val="00D67E34"/>
    <w:rsid w:val="00D702BB"/>
    <w:rsid w:val="00D70533"/>
    <w:rsid w:val="00D70A69"/>
    <w:rsid w:val="00D70E21"/>
    <w:rsid w:val="00D71AAD"/>
    <w:rsid w:val="00D71C22"/>
    <w:rsid w:val="00D729A3"/>
    <w:rsid w:val="00D73463"/>
    <w:rsid w:val="00D734B3"/>
    <w:rsid w:val="00D73AED"/>
    <w:rsid w:val="00D73EC8"/>
    <w:rsid w:val="00D758E6"/>
    <w:rsid w:val="00D758FD"/>
    <w:rsid w:val="00D75AD3"/>
    <w:rsid w:val="00D75C76"/>
    <w:rsid w:val="00D75E0F"/>
    <w:rsid w:val="00D763AC"/>
    <w:rsid w:val="00D76417"/>
    <w:rsid w:val="00D7678E"/>
    <w:rsid w:val="00D772EE"/>
    <w:rsid w:val="00D77E81"/>
    <w:rsid w:val="00D77F18"/>
    <w:rsid w:val="00D81361"/>
    <w:rsid w:val="00D815D7"/>
    <w:rsid w:val="00D83168"/>
    <w:rsid w:val="00D83188"/>
    <w:rsid w:val="00D83D54"/>
    <w:rsid w:val="00D843D8"/>
    <w:rsid w:val="00D849B6"/>
    <w:rsid w:val="00D85860"/>
    <w:rsid w:val="00D85B94"/>
    <w:rsid w:val="00D8605D"/>
    <w:rsid w:val="00D90026"/>
    <w:rsid w:val="00D910E3"/>
    <w:rsid w:val="00D91533"/>
    <w:rsid w:val="00D91722"/>
    <w:rsid w:val="00D919E6"/>
    <w:rsid w:val="00D92063"/>
    <w:rsid w:val="00D92251"/>
    <w:rsid w:val="00D92385"/>
    <w:rsid w:val="00D92C59"/>
    <w:rsid w:val="00D931B0"/>
    <w:rsid w:val="00D939F6"/>
    <w:rsid w:val="00D95D16"/>
    <w:rsid w:val="00DA01F0"/>
    <w:rsid w:val="00DA0C23"/>
    <w:rsid w:val="00DA1797"/>
    <w:rsid w:val="00DA1944"/>
    <w:rsid w:val="00DA20B9"/>
    <w:rsid w:val="00DA2422"/>
    <w:rsid w:val="00DA288F"/>
    <w:rsid w:val="00DA2BDE"/>
    <w:rsid w:val="00DA2E7A"/>
    <w:rsid w:val="00DA44FD"/>
    <w:rsid w:val="00DA6419"/>
    <w:rsid w:val="00DA64C5"/>
    <w:rsid w:val="00DA6D8F"/>
    <w:rsid w:val="00DB1DD8"/>
    <w:rsid w:val="00DB1E0F"/>
    <w:rsid w:val="00DB3F30"/>
    <w:rsid w:val="00DB492C"/>
    <w:rsid w:val="00DB535A"/>
    <w:rsid w:val="00DB576A"/>
    <w:rsid w:val="00DB671E"/>
    <w:rsid w:val="00DB67FA"/>
    <w:rsid w:val="00DB6F5D"/>
    <w:rsid w:val="00DB73D7"/>
    <w:rsid w:val="00DC0286"/>
    <w:rsid w:val="00DC062B"/>
    <w:rsid w:val="00DC0AA5"/>
    <w:rsid w:val="00DC1688"/>
    <w:rsid w:val="00DC2A42"/>
    <w:rsid w:val="00DC3035"/>
    <w:rsid w:val="00DC3B49"/>
    <w:rsid w:val="00DC3E88"/>
    <w:rsid w:val="00DC4D14"/>
    <w:rsid w:val="00DC52DC"/>
    <w:rsid w:val="00DC56EB"/>
    <w:rsid w:val="00DC60F5"/>
    <w:rsid w:val="00DC6441"/>
    <w:rsid w:val="00DC6739"/>
    <w:rsid w:val="00DC6887"/>
    <w:rsid w:val="00DC6C7B"/>
    <w:rsid w:val="00DC753A"/>
    <w:rsid w:val="00DC76C7"/>
    <w:rsid w:val="00DD005E"/>
    <w:rsid w:val="00DD0EF6"/>
    <w:rsid w:val="00DD15B1"/>
    <w:rsid w:val="00DD15FA"/>
    <w:rsid w:val="00DD2C4B"/>
    <w:rsid w:val="00DD2CF9"/>
    <w:rsid w:val="00DD2E71"/>
    <w:rsid w:val="00DD327B"/>
    <w:rsid w:val="00DD32EB"/>
    <w:rsid w:val="00DD4C79"/>
    <w:rsid w:val="00DD4CBA"/>
    <w:rsid w:val="00DD617F"/>
    <w:rsid w:val="00DD702C"/>
    <w:rsid w:val="00DD77FE"/>
    <w:rsid w:val="00DD7CB5"/>
    <w:rsid w:val="00DE0510"/>
    <w:rsid w:val="00DE0C20"/>
    <w:rsid w:val="00DE0C27"/>
    <w:rsid w:val="00DE138C"/>
    <w:rsid w:val="00DE1673"/>
    <w:rsid w:val="00DE16B7"/>
    <w:rsid w:val="00DE2DBD"/>
    <w:rsid w:val="00DE5AA8"/>
    <w:rsid w:val="00DE78C7"/>
    <w:rsid w:val="00DF0BA7"/>
    <w:rsid w:val="00DF1091"/>
    <w:rsid w:val="00DF1BFC"/>
    <w:rsid w:val="00DF1D84"/>
    <w:rsid w:val="00DF299F"/>
    <w:rsid w:val="00DF2E87"/>
    <w:rsid w:val="00DF4163"/>
    <w:rsid w:val="00DF4D19"/>
    <w:rsid w:val="00DF5EE7"/>
    <w:rsid w:val="00DF69AE"/>
    <w:rsid w:val="00DF7147"/>
    <w:rsid w:val="00E009F0"/>
    <w:rsid w:val="00E00ADA"/>
    <w:rsid w:val="00E00F17"/>
    <w:rsid w:val="00E01785"/>
    <w:rsid w:val="00E017CA"/>
    <w:rsid w:val="00E018FD"/>
    <w:rsid w:val="00E0254B"/>
    <w:rsid w:val="00E02994"/>
    <w:rsid w:val="00E02C9F"/>
    <w:rsid w:val="00E02CBC"/>
    <w:rsid w:val="00E035E3"/>
    <w:rsid w:val="00E04CC4"/>
    <w:rsid w:val="00E0512E"/>
    <w:rsid w:val="00E05ACF"/>
    <w:rsid w:val="00E05C02"/>
    <w:rsid w:val="00E106D3"/>
    <w:rsid w:val="00E11C28"/>
    <w:rsid w:val="00E11FF4"/>
    <w:rsid w:val="00E12344"/>
    <w:rsid w:val="00E124B9"/>
    <w:rsid w:val="00E12B81"/>
    <w:rsid w:val="00E133A6"/>
    <w:rsid w:val="00E1398D"/>
    <w:rsid w:val="00E14269"/>
    <w:rsid w:val="00E143BC"/>
    <w:rsid w:val="00E14573"/>
    <w:rsid w:val="00E147F3"/>
    <w:rsid w:val="00E14A8B"/>
    <w:rsid w:val="00E15BCD"/>
    <w:rsid w:val="00E15D47"/>
    <w:rsid w:val="00E161CE"/>
    <w:rsid w:val="00E1634D"/>
    <w:rsid w:val="00E16C76"/>
    <w:rsid w:val="00E17FCB"/>
    <w:rsid w:val="00E2099F"/>
    <w:rsid w:val="00E20C95"/>
    <w:rsid w:val="00E217B9"/>
    <w:rsid w:val="00E21FA5"/>
    <w:rsid w:val="00E221E1"/>
    <w:rsid w:val="00E2256A"/>
    <w:rsid w:val="00E22922"/>
    <w:rsid w:val="00E22CB8"/>
    <w:rsid w:val="00E23467"/>
    <w:rsid w:val="00E235BD"/>
    <w:rsid w:val="00E23A16"/>
    <w:rsid w:val="00E24B44"/>
    <w:rsid w:val="00E24E9B"/>
    <w:rsid w:val="00E25F91"/>
    <w:rsid w:val="00E26F1C"/>
    <w:rsid w:val="00E3010B"/>
    <w:rsid w:val="00E30FD2"/>
    <w:rsid w:val="00E3173F"/>
    <w:rsid w:val="00E3195E"/>
    <w:rsid w:val="00E329F5"/>
    <w:rsid w:val="00E33203"/>
    <w:rsid w:val="00E33328"/>
    <w:rsid w:val="00E336F3"/>
    <w:rsid w:val="00E33B4C"/>
    <w:rsid w:val="00E33EC8"/>
    <w:rsid w:val="00E342F7"/>
    <w:rsid w:val="00E34389"/>
    <w:rsid w:val="00E348D1"/>
    <w:rsid w:val="00E34C20"/>
    <w:rsid w:val="00E35369"/>
    <w:rsid w:val="00E36423"/>
    <w:rsid w:val="00E40977"/>
    <w:rsid w:val="00E40E52"/>
    <w:rsid w:val="00E4118B"/>
    <w:rsid w:val="00E41852"/>
    <w:rsid w:val="00E41CF3"/>
    <w:rsid w:val="00E41DCC"/>
    <w:rsid w:val="00E42B8D"/>
    <w:rsid w:val="00E43808"/>
    <w:rsid w:val="00E44085"/>
    <w:rsid w:val="00E45726"/>
    <w:rsid w:val="00E45752"/>
    <w:rsid w:val="00E45917"/>
    <w:rsid w:val="00E47EFA"/>
    <w:rsid w:val="00E501E4"/>
    <w:rsid w:val="00E50F1E"/>
    <w:rsid w:val="00E519F7"/>
    <w:rsid w:val="00E52A1F"/>
    <w:rsid w:val="00E53800"/>
    <w:rsid w:val="00E546C1"/>
    <w:rsid w:val="00E5506B"/>
    <w:rsid w:val="00E561D8"/>
    <w:rsid w:val="00E5646B"/>
    <w:rsid w:val="00E616F5"/>
    <w:rsid w:val="00E61977"/>
    <w:rsid w:val="00E624E8"/>
    <w:rsid w:val="00E627E9"/>
    <w:rsid w:val="00E63CC3"/>
    <w:rsid w:val="00E64C94"/>
    <w:rsid w:val="00E64FDE"/>
    <w:rsid w:val="00E65346"/>
    <w:rsid w:val="00E65392"/>
    <w:rsid w:val="00E66606"/>
    <w:rsid w:val="00E679F3"/>
    <w:rsid w:val="00E67BC0"/>
    <w:rsid w:val="00E7013D"/>
    <w:rsid w:val="00E72302"/>
    <w:rsid w:val="00E72A62"/>
    <w:rsid w:val="00E731E1"/>
    <w:rsid w:val="00E733FD"/>
    <w:rsid w:val="00E73D06"/>
    <w:rsid w:val="00E73FDC"/>
    <w:rsid w:val="00E74DB5"/>
    <w:rsid w:val="00E74FD9"/>
    <w:rsid w:val="00E75720"/>
    <w:rsid w:val="00E75A08"/>
    <w:rsid w:val="00E76392"/>
    <w:rsid w:val="00E766EF"/>
    <w:rsid w:val="00E77B6D"/>
    <w:rsid w:val="00E803AB"/>
    <w:rsid w:val="00E82AE1"/>
    <w:rsid w:val="00E83484"/>
    <w:rsid w:val="00E83B2F"/>
    <w:rsid w:val="00E84BF2"/>
    <w:rsid w:val="00E857D3"/>
    <w:rsid w:val="00E8667F"/>
    <w:rsid w:val="00E869AD"/>
    <w:rsid w:val="00E87732"/>
    <w:rsid w:val="00E903A6"/>
    <w:rsid w:val="00E9144F"/>
    <w:rsid w:val="00E9162C"/>
    <w:rsid w:val="00E9272E"/>
    <w:rsid w:val="00E92768"/>
    <w:rsid w:val="00E93414"/>
    <w:rsid w:val="00E9540E"/>
    <w:rsid w:val="00E96D9D"/>
    <w:rsid w:val="00E972D9"/>
    <w:rsid w:val="00EA0797"/>
    <w:rsid w:val="00EA0FCE"/>
    <w:rsid w:val="00EA32BE"/>
    <w:rsid w:val="00EA438E"/>
    <w:rsid w:val="00EA47E1"/>
    <w:rsid w:val="00EA541F"/>
    <w:rsid w:val="00EA7818"/>
    <w:rsid w:val="00EA7F9D"/>
    <w:rsid w:val="00EB087F"/>
    <w:rsid w:val="00EB27CD"/>
    <w:rsid w:val="00EB2A1F"/>
    <w:rsid w:val="00EB3942"/>
    <w:rsid w:val="00EB4C7C"/>
    <w:rsid w:val="00EB5398"/>
    <w:rsid w:val="00EB5DCA"/>
    <w:rsid w:val="00EB5F56"/>
    <w:rsid w:val="00EB6D2C"/>
    <w:rsid w:val="00EB7257"/>
    <w:rsid w:val="00EB7DE7"/>
    <w:rsid w:val="00EC0AA7"/>
    <w:rsid w:val="00EC0F14"/>
    <w:rsid w:val="00EC14D4"/>
    <w:rsid w:val="00EC16A2"/>
    <w:rsid w:val="00EC1B0A"/>
    <w:rsid w:val="00EC1E68"/>
    <w:rsid w:val="00EC1FF5"/>
    <w:rsid w:val="00EC200E"/>
    <w:rsid w:val="00EC278F"/>
    <w:rsid w:val="00EC310C"/>
    <w:rsid w:val="00EC35CD"/>
    <w:rsid w:val="00EC4F95"/>
    <w:rsid w:val="00EC68FA"/>
    <w:rsid w:val="00EC711A"/>
    <w:rsid w:val="00EC7267"/>
    <w:rsid w:val="00ED1679"/>
    <w:rsid w:val="00ED2477"/>
    <w:rsid w:val="00ED360E"/>
    <w:rsid w:val="00ED4959"/>
    <w:rsid w:val="00ED4972"/>
    <w:rsid w:val="00ED497A"/>
    <w:rsid w:val="00ED4D06"/>
    <w:rsid w:val="00ED6CC9"/>
    <w:rsid w:val="00EE0945"/>
    <w:rsid w:val="00EE1944"/>
    <w:rsid w:val="00EE1B87"/>
    <w:rsid w:val="00EE21D1"/>
    <w:rsid w:val="00EE3A14"/>
    <w:rsid w:val="00EE3B92"/>
    <w:rsid w:val="00EE51CE"/>
    <w:rsid w:val="00EE58FF"/>
    <w:rsid w:val="00EE6D94"/>
    <w:rsid w:val="00EE7955"/>
    <w:rsid w:val="00EF073D"/>
    <w:rsid w:val="00EF0AA5"/>
    <w:rsid w:val="00EF0E10"/>
    <w:rsid w:val="00EF103B"/>
    <w:rsid w:val="00EF1E41"/>
    <w:rsid w:val="00EF454F"/>
    <w:rsid w:val="00EF492D"/>
    <w:rsid w:val="00EF49D9"/>
    <w:rsid w:val="00EF6879"/>
    <w:rsid w:val="00F0029F"/>
    <w:rsid w:val="00F004FD"/>
    <w:rsid w:val="00F0126A"/>
    <w:rsid w:val="00F01C76"/>
    <w:rsid w:val="00F01DB0"/>
    <w:rsid w:val="00F01E14"/>
    <w:rsid w:val="00F025C4"/>
    <w:rsid w:val="00F03F3E"/>
    <w:rsid w:val="00F04009"/>
    <w:rsid w:val="00F04184"/>
    <w:rsid w:val="00F044AD"/>
    <w:rsid w:val="00F04FAC"/>
    <w:rsid w:val="00F06733"/>
    <w:rsid w:val="00F074F1"/>
    <w:rsid w:val="00F078B4"/>
    <w:rsid w:val="00F07928"/>
    <w:rsid w:val="00F079A5"/>
    <w:rsid w:val="00F079BC"/>
    <w:rsid w:val="00F07C2A"/>
    <w:rsid w:val="00F07D0B"/>
    <w:rsid w:val="00F10050"/>
    <w:rsid w:val="00F1021D"/>
    <w:rsid w:val="00F11BE2"/>
    <w:rsid w:val="00F120E5"/>
    <w:rsid w:val="00F12584"/>
    <w:rsid w:val="00F12CFE"/>
    <w:rsid w:val="00F12DEC"/>
    <w:rsid w:val="00F12F84"/>
    <w:rsid w:val="00F148BB"/>
    <w:rsid w:val="00F161CC"/>
    <w:rsid w:val="00F16FFE"/>
    <w:rsid w:val="00F17515"/>
    <w:rsid w:val="00F21219"/>
    <w:rsid w:val="00F21578"/>
    <w:rsid w:val="00F216E6"/>
    <w:rsid w:val="00F21EBF"/>
    <w:rsid w:val="00F21F62"/>
    <w:rsid w:val="00F2391E"/>
    <w:rsid w:val="00F23A9C"/>
    <w:rsid w:val="00F23AB8"/>
    <w:rsid w:val="00F25869"/>
    <w:rsid w:val="00F25DCF"/>
    <w:rsid w:val="00F26728"/>
    <w:rsid w:val="00F26E76"/>
    <w:rsid w:val="00F27CCF"/>
    <w:rsid w:val="00F30619"/>
    <w:rsid w:val="00F3222E"/>
    <w:rsid w:val="00F33A85"/>
    <w:rsid w:val="00F346CD"/>
    <w:rsid w:val="00F34D9A"/>
    <w:rsid w:val="00F3699E"/>
    <w:rsid w:val="00F37205"/>
    <w:rsid w:val="00F373A4"/>
    <w:rsid w:val="00F3784C"/>
    <w:rsid w:val="00F40B37"/>
    <w:rsid w:val="00F412CF"/>
    <w:rsid w:val="00F41BB5"/>
    <w:rsid w:val="00F41DBA"/>
    <w:rsid w:val="00F4295F"/>
    <w:rsid w:val="00F43B83"/>
    <w:rsid w:val="00F43D93"/>
    <w:rsid w:val="00F441AB"/>
    <w:rsid w:val="00F44779"/>
    <w:rsid w:val="00F457A6"/>
    <w:rsid w:val="00F45AF8"/>
    <w:rsid w:val="00F45C99"/>
    <w:rsid w:val="00F45F31"/>
    <w:rsid w:val="00F4723A"/>
    <w:rsid w:val="00F52603"/>
    <w:rsid w:val="00F54746"/>
    <w:rsid w:val="00F565F6"/>
    <w:rsid w:val="00F56AAD"/>
    <w:rsid w:val="00F60180"/>
    <w:rsid w:val="00F61AB3"/>
    <w:rsid w:val="00F6217B"/>
    <w:rsid w:val="00F64B3C"/>
    <w:rsid w:val="00F65243"/>
    <w:rsid w:val="00F65D3F"/>
    <w:rsid w:val="00F6673F"/>
    <w:rsid w:val="00F66908"/>
    <w:rsid w:val="00F66BF3"/>
    <w:rsid w:val="00F7015B"/>
    <w:rsid w:val="00F70A11"/>
    <w:rsid w:val="00F70D95"/>
    <w:rsid w:val="00F716D3"/>
    <w:rsid w:val="00F721C9"/>
    <w:rsid w:val="00F723A2"/>
    <w:rsid w:val="00F7289C"/>
    <w:rsid w:val="00F76776"/>
    <w:rsid w:val="00F77BB0"/>
    <w:rsid w:val="00F80366"/>
    <w:rsid w:val="00F80B59"/>
    <w:rsid w:val="00F8168D"/>
    <w:rsid w:val="00F82511"/>
    <w:rsid w:val="00F82979"/>
    <w:rsid w:val="00F840B7"/>
    <w:rsid w:val="00F850CA"/>
    <w:rsid w:val="00F85143"/>
    <w:rsid w:val="00F85998"/>
    <w:rsid w:val="00F867DF"/>
    <w:rsid w:val="00F86BA5"/>
    <w:rsid w:val="00F87E73"/>
    <w:rsid w:val="00F90B53"/>
    <w:rsid w:val="00F90EF1"/>
    <w:rsid w:val="00F9177D"/>
    <w:rsid w:val="00F928F0"/>
    <w:rsid w:val="00F929CD"/>
    <w:rsid w:val="00F944DF"/>
    <w:rsid w:val="00F9544E"/>
    <w:rsid w:val="00F9630E"/>
    <w:rsid w:val="00F96994"/>
    <w:rsid w:val="00F9702B"/>
    <w:rsid w:val="00FA04F8"/>
    <w:rsid w:val="00FA1022"/>
    <w:rsid w:val="00FA1A7B"/>
    <w:rsid w:val="00FA302E"/>
    <w:rsid w:val="00FA3353"/>
    <w:rsid w:val="00FA353D"/>
    <w:rsid w:val="00FA531A"/>
    <w:rsid w:val="00FA531C"/>
    <w:rsid w:val="00FA5A60"/>
    <w:rsid w:val="00FA6656"/>
    <w:rsid w:val="00FA770E"/>
    <w:rsid w:val="00FA77F0"/>
    <w:rsid w:val="00FA7F28"/>
    <w:rsid w:val="00FB0575"/>
    <w:rsid w:val="00FB4F8A"/>
    <w:rsid w:val="00FB517F"/>
    <w:rsid w:val="00FB6010"/>
    <w:rsid w:val="00FB635B"/>
    <w:rsid w:val="00FB6D0E"/>
    <w:rsid w:val="00FB6FC5"/>
    <w:rsid w:val="00FB7589"/>
    <w:rsid w:val="00FB787B"/>
    <w:rsid w:val="00FC229D"/>
    <w:rsid w:val="00FC3917"/>
    <w:rsid w:val="00FC3FB8"/>
    <w:rsid w:val="00FC41FA"/>
    <w:rsid w:val="00FC4BF3"/>
    <w:rsid w:val="00FC4D00"/>
    <w:rsid w:val="00FC51D7"/>
    <w:rsid w:val="00FC5AAF"/>
    <w:rsid w:val="00FC6493"/>
    <w:rsid w:val="00FC64CF"/>
    <w:rsid w:val="00FC7360"/>
    <w:rsid w:val="00FC73FA"/>
    <w:rsid w:val="00FC7CE8"/>
    <w:rsid w:val="00FD0A4D"/>
    <w:rsid w:val="00FD1B5C"/>
    <w:rsid w:val="00FD2CAC"/>
    <w:rsid w:val="00FD3E87"/>
    <w:rsid w:val="00FD3FFE"/>
    <w:rsid w:val="00FD46C3"/>
    <w:rsid w:val="00FD47F3"/>
    <w:rsid w:val="00FD4A52"/>
    <w:rsid w:val="00FD5E01"/>
    <w:rsid w:val="00FD64CB"/>
    <w:rsid w:val="00FD6897"/>
    <w:rsid w:val="00FE1112"/>
    <w:rsid w:val="00FE133B"/>
    <w:rsid w:val="00FE146C"/>
    <w:rsid w:val="00FE1A50"/>
    <w:rsid w:val="00FE2460"/>
    <w:rsid w:val="00FE2D85"/>
    <w:rsid w:val="00FE407A"/>
    <w:rsid w:val="00FE5768"/>
    <w:rsid w:val="00FE5FE1"/>
    <w:rsid w:val="00FE6E17"/>
    <w:rsid w:val="00FE742B"/>
    <w:rsid w:val="00FF0ECA"/>
    <w:rsid w:val="00FF0F68"/>
    <w:rsid w:val="00FF277E"/>
    <w:rsid w:val="00FF327C"/>
    <w:rsid w:val="00FF4146"/>
    <w:rsid w:val="00FF4614"/>
    <w:rsid w:val="00FF491D"/>
    <w:rsid w:val="00FF4A9E"/>
    <w:rsid w:val="00FF4AAB"/>
    <w:rsid w:val="00FF4DA3"/>
    <w:rsid w:val="00FF56EA"/>
    <w:rsid w:val="00FF5705"/>
    <w:rsid w:val="00FF5C60"/>
    <w:rsid w:val="00FF6861"/>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777"/>
    <w:pPr>
      <w:keepNext/>
      <w:keepLines/>
      <w:spacing w:before="24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23777"/>
    <w:pPr>
      <w:keepNext/>
      <w:keepLines/>
      <w:spacing w:before="200" w:after="12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035E3"/>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88"/>
    <w:rPr>
      <w:rFonts w:ascii="Tahoma" w:hAnsi="Tahoma" w:cs="Tahoma"/>
      <w:sz w:val="16"/>
      <w:szCs w:val="16"/>
    </w:rPr>
  </w:style>
  <w:style w:type="character" w:customStyle="1" w:styleId="Heading1Char">
    <w:name w:val="Heading 1 Char"/>
    <w:basedOn w:val="DefaultParagraphFont"/>
    <w:link w:val="Heading1"/>
    <w:uiPriority w:val="9"/>
    <w:rsid w:val="00523777"/>
    <w:rPr>
      <w:rFonts w:ascii="Times New Roman" w:eastAsiaTheme="majorEastAsia" w:hAnsi="Times New Roman" w:cstheme="majorBidi"/>
      <w:b/>
      <w:sz w:val="28"/>
      <w:szCs w:val="32"/>
    </w:rPr>
  </w:style>
  <w:style w:type="paragraph" w:styleId="NoSpacing">
    <w:name w:val="No Spacing"/>
    <w:link w:val="NoSpacingChar"/>
    <w:uiPriority w:val="1"/>
    <w:qFormat/>
    <w:rsid w:val="00821B88"/>
    <w:pPr>
      <w:spacing w:after="0" w:line="240" w:lineRule="auto"/>
    </w:pPr>
  </w:style>
  <w:style w:type="character" w:customStyle="1" w:styleId="NoSpacingChar">
    <w:name w:val="No Spacing Char"/>
    <w:basedOn w:val="DefaultParagraphFont"/>
    <w:link w:val="NoSpacing"/>
    <w:uiPriority w:val="1"/>
    <w:rsid w:val="00821B88"/>
  </w:style>
  <w:style w:type="character" w:customStyle="1" w:styleId="Heading2Char">
    <w:name w:val="Heading 2 Char"/>
    <w:basedOn w:val="DefaultParagraphFont"/>
    <w:link w:val="Heading2"/>
    <w:uiPriority w:val="9"/>
    <w:rsid w:val="00523777"/>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035E3"/>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AC0A64"/>
    <w:pPr>
      <w:ind w:left="720"/>
      <w:contextualSpacing/>
    </w:pPr>
    <w:rPr>
      <w:rFonts w:ascii="Calibri" w:eastAsia="Calibri" w:hAnsi="Calibri" w:cs="Times New Roman"/>
    </w:rPr>
  </w:style>
  <w:style w:type="paragraph" w:styleId="TOC1">
    <w:name w:val="toc 1"/>
    <w:basedOn w:val="Normal"/>
    <w:next w:val="Normal"/>
    <w:autoRedefine/>
    <w:uiPriority w:val="39"/>
    <w:unhideWhenUsed/>
    <w:rsid w:val="00AC0A64"/>
    <w:pPr>
      <w:spacing w:after="100"/>
    </w:pPr>
    <w:rPr>
      <w:rFonts w:ascii="Calibri" w:eastAsia="Calibri" w:hAnsi="Calibri" w:cs="Times New Roman"/>
    </w:rPr>
  </w:style>
  <w:style w:type="paragraph" w:styleId="TOC2">
    <w:name w:val="toc 2"/>
    <w:basedOn w:val="Normal"/>
    <w:next w:val="Normal"/>
    <w:autoRedefine/>
    <w:uiPriority w:val="39"/>
    <w:unhideWhenUsed/>
    <w:rsid w:val="00AC0A64"/>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AC0A64"/>
    <w:pPr>
      <w:spacing w:after="100"/>
      <w:ind w:left="440"/>
    </w:pPr>
    <w:rPr>
      <w:rFonts w:ascii="Calibri" w:eastAsia="Calibri" w:hAnsi="Calibri" w:cs="Times New Roman"/>
    </w:rPr>
  </w:style>
  <w:style w:type="character" w:styleId="Hyperlink">
    <w:name w:val="Hyperlink"/>
    <w:basedOn w:val="DefaultParagraphFont"/>
    <w:uiPriority w:val="99"/>
    <w:unhideWhenUsed/>
    <w:rsid w:val="00AC0A64"/>
    <w:rPr>
      <w:color w:val="0000FF" w:themeColor="hyperlink"/>
      <w:u w:val="single"/>
    </w:rPr>
  </w:style>
  <w:style w:type="paragraph" w:styleId="TableofFigures">
    <w:name w:val="table of figures"/>
    <w:basedOn w:val="Normal"/>
    <w:next w:val="Normal"/>
    <w:uiPriority w:val="99"/>
    <w:unhideWhenUsed/>
    <w:rsid w:val="00AC0A64"/>
    <w:pPr>
      <w:spacing w:after="0"/>
    </w:pPr>
    <w:rPr>
      <w:rFonts w:ascii="Calibri" w:eastAsia="Calibri" w:hAnsi="Calibri" w:cs="Times New Roman"/>
    </w:rPr>
  </w:style>
  <w:style w:type="character" w:styleId="CommentReference">
    <w:name w:val="annotation reference"/>
    <w:uiPriority w:val="99"/>
    <w:semiHidden/>
    <w:unhideWhenUsed/>
    <w:rsid w:val="00AC0A64"/>
    <w:rPr>
      <w:sz w:val="16"/>
      <w:szCs w:val="16"/>
    </w:rPr>
  </w:style>
  <w:style w:type="paragraph" w:styleId="CommentText">
    <w:name w:val="annotation text"/>
    <w:basedOn w:val="Normal"/>
    <w:link w:val="CommentTextChar"/>
    <w:uiPriority w:val="99"/>
    <w:semiHidden/>
    <w:unhideWhenUsed/>
    <w:rsid w:val="00AC0A6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C0A64"/>
    <w:rPr>
      <w:rFonts w:ascii="Calibri" w:eastAsia="Calibri" w:hAnsi="Calibri" w:cs="Times New Roman"/>
      <w:sz w:val="20"/>
      <w:szCs w:val="20"/>
    </w:rPr>
  </w:style>
  <w:style w:type="character" w:styleId="PlaceholderText">
    <w:name w:val="Placeholder Text"/>
    <w:basedOn w:val="DefaultParagraphFont"/>
    <w:uiPriority w:val="99"/>
    <w:semiHidden/>
    <w:rsid w:val="00AC0A64"/>
    <w:rPr>
      <w:color w:val="808080"/>
    </w:rPr>
  </w:style>
  <w:style w:type="paragraph" w:styleId="Caption">
    <w:name w:val="caption"/>
    <w:basedOn w:val="Normal"/>
    <w:next w:val="Normal"/>
    <w:uiPriority w:val="35"/>
    <w:unhideWhenUsed/>
    <w:qFormat/>
    <w:rsid w:val="00AC0A64"/>
    <w:pPr>
      <w:spacing w:line="240" w:lineRule="auto"/>
    </w:pPr>
    <w:rPr>
      <w:rFonts w:ascii="Calibri" w:eastAsia="Calibri" w:hAnsi="Calibri" w:cs="Times New Roman"/>
      <w:i/>
      <w:iCs/>
      <w:color w:val="1F497D" w:themeColor="text2"/>
      <w:sz w:val="18"/>
      <w:szCs w:val="18"/>
    </w:rPr>
  </w:style>
  <w:style w:type="paragraph" w:styleId="NormalWeb">
    <w:name w:val="Normal (Web)"/>
    <w:basedOn w:val="Normal"/>
    <w:uiPriority w:val="99"/>
    <w:unhideWhenUsed/>
    <w:rsid w:val="00AC0A6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C0A6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0A64"/>
    <w:rPr>
      <w:rFonts w:ascii="Calibri" w:eastAsia="Calibri" w:hAnsi="Calibri" w:cs="Times New Roman"/>
    </w:rPr>
  </w:style>
  <w:style w:type="paragraph" w:styleId="Footer">
    <w:name w:val="footer"/>
    <w:basedOn w:val="Normal"/>
    <w:link w:val="FooterChar"/>
    <w:uiPriority w:val="99"/>
    <w:unhideWhenUsed/>
    <w:rsid w:val="00AC0A6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C0A64"/>
    <w:rPr>
      <w:rFonts w:ascii="Calibri" w:eastAsia="Calibri" w:hAnsi="Calibri" w:cs="Times New Roman"/>
    </w:rPr>
  </w:style>
  <w:style w:type="paragraph" w:styleId="TOCHeading">
    <w:name w:val="TOC Heading"/>
    <w:basedOn w:val="Heading1"/>
    <w:next w:val="Normal"/>
    <w:uiPriority w:val="39"/>
    <w:unhideWhenUsed/>
    <w:qFormat/>
    <w:rsid w:val="00AC0A64"/>
    <w:pPr>
      <w:spacing w:line="259" w:lineRule="auto"/>
      <w:outlineLvl w:val="9"/>
    </w:pPr>
  </w:style>
  <w:style w:type="character" w:styleId="FollowedHyperlink">
    <w:name w:val="FollowedHyperlink"/>
    <w:basedOn w:val="DefaultParagraphFont"/>
    <w:uiPriority w:val="99"/>
    <w:semiHidden/>
    <w:unhideWhenUsed/>
    <w:rsid w:val="00AC0A64"/>
    <w:rPr>
      <w:color w:val="954F72"/>
      <w:u w:val="single"/>
    </w:rPr>
  </w:style>
  <w:style w:type="paragraph" w:customStyle="1" w:styleId="xl66">
    <w:name w:val="xl66"/>
    <w:basedOn w:val="Normal"/>
    <w:rsid w:val="00AC0A6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C0A6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3">
    <w:name w:val="xl63"/>
    <w:basedOn w:val="Normal"/>
    <w:rsid w:val="00AC0A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AC0A6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AC0A6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64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9D9"/>
    <w:rPr>
      <w:sz w:val="20"/>
      <w:szCs w:val="20"/>
    </w:rPr>
  </w:style>
  <w:style w:type="character" w:styleId="FootnoteReference">
    <w:name w:val="footnote reference"/>
    <w:basedOn w:val="DefaultParagraphFont"/>
    <w:uiPriority w:val="99"/>
    <w:semiHidden/>
    <w:unhideWhenUsed/>
    <w:rsid w:val="008649D9"/>
    <w:rPr>
      <w:vertAlign w:val="superscript"/>
    </w:rPr>
  </w:style>
  <w:style w:type="character" w:styleId="HTMLCite">
    <w:name w:val="HTML Cite"/>
    <w:basedOn w:val="DefaultParagraphFont"/>
    <w:uiPriority w:val="99"/>
    <w:semiHidden/>
    <w:unhideWhenUsed/>
    <w:rsid w:val="004A2AB5"/>
    <w:rPr>
      <w:i/>
      <w:iCs/>
    </w:rPr>
  </w:style>
  <w:style w:type="character" w:customStyle="1" w:styleId="cit-name-surname">
    <w:name w:val="cit-name-surname"/>
    <w:basedOn w:val="DefaultParagraphFont"/>
    <w:rsid w:val="004A2AB5"/>
  </w:style>
  <w:style w:type="character" w:customStyle="1" w:styleId="cit-pub-date">
    <w:name w:val="cit-pub-date"/>
    <w:basedOn w:val="DefaultParagraphFont"/>
    <w:rsid w:val="004A2AB5"/>
  </w:style>
  <w:style w:type="character" w:customStyle="1" w:styleId="cit-source">
    <w:name w:val="cit-source"/>
    <w:basedOn w:val="DefaultParagraphFont"/>
    <w:rsid w:val="004A2AB5"/>
  </w:style>
  <w:style w:type="character" w:customStyle="1" w:styleId="cit-publ-loc">
    <w:name w:val="cit-publ-loc"/>
    <w:basedOn w:val="DefaultParagraphFont"/>
    <w:rsid w:val="004A2AB5"/>
  </w:style>
  <w:style w:type="character" w:customStyle="1" w:styleId="cit-publ-name">
    <w:name w:val="cit-publ-name"/>
    <w:basedOn w:val="DefaultParagraphFont"/>
    <w:rsid w:val="004A2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777"/>
    <w:pPr>
      <w:keepNext/>
      <w:keepLines/>
      <w:spacing w:before="24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23777"/>
    <w:pPr>
      <w:keepNext/>
      <w:keepLines/>
      <w:spacing w:before="200" w:after="12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035E3"/>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88"/>
    <w:rPr>
      <w:rFonts w:ascii="Tahoma" w:hAnsi="Tahoma" w:cs="Tahoma"/>
      <w:sz w:val="16"/>
      <w:szCs w:val="16"/>
    </w:rPr>
  </w:style>
  <w:style w:type="character" w:customStyle="1" w:styleId="Heading1Char">
    <w:name w:val="Heading 1 Char"/>
    <w:basedOn w:val="DefaultParagraphFont"/>
    <w:link w:val="Heading1"/>
    <w:uiPriority w:val="9"/>
    <w:rsid w:val="00523777"/>
    <w:rPr>
      <w:rFonts w:ascii="Times New Roman" w:eastAsiaTheme="majorEastAsia" w:hAnsi="Times New Roman" w:cstheme="majorBidi"/>
      <w:b/>
      <w:sz w:val="28"/>
      <w:szCs w:val="32"/>
    </w:rPr>
  </w:style>
  <w:style w:type="paragraph" w:styleId="NoSpacing">
    <w:name w:val="No Spacing"/>
    <w:link w:val="NoSpacingChar"/>
    <w:uiPriority w:val="1"/>
    <w:qFormat/>
    <w:rsid w:val="00821B88"/>
    <w:pPr>
      <w:spacing w:after="0" w:line="240" w:lineRule="auto"/>
    </w:pPr>
  </w:style>
  <w:style w:type="character" w:customStyle="1" w:styleId="NoSpacingChar">
    <w:name w:val="No Spacing Char"/>
    <w:basedOn w:val="DefaultParagraphFont"/>
    <w:link w:val="NoSpacing"/>
    <w:uiPriority w:val="1"/>
    <w:rsid w:val="00821B88"/>
  </w:style>
  <w:style w:type="character" w:customStyle="1" w:styleId="Heading2Char">
    <w:name w:val="Heading 2 Char"/>
    <w:basedOn w:val="DefaultParagraphFont"/>
    <w:link w:val="Heading2"/>
    <w:uiPriority w:val="9"/>
    <w:rsid w:val="00523777"/>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035E3"/>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AC0A64"/>
    <w:pPr>
      <w:ind w:left="720"/>
      <w:contextualSpacing/>
    </w:pPr>
    <w:rPr>
      <w:rFonts w:ascii="Calibri" w:eastAsia="Calibri" w:hAnsi="Calibri" w:cs="Times New Roman"/>
    </w:rPr>
  </w:style>
  <w:style w:type="paragraph" w:styleId="TOC1">
    <w:name w:val="toc 1"/>
    <w:basedOn w:val="Normal"/>
    <w:next w:val="Normal"/>
    <w:autoRedefine/>
    <w:uiPriority w:val="39"/>
    <w:unhideWhenUsed/>
    <w:rsid w:val="00AC0A64"/>
    <w:pPr>
      <w:spacing w:after="100"/>
    </w:pPr>
    <w:rPr>
      <w:rFonts w:ascii="Calibri" w:eastAsia="Calibri" w:hAnsi="Calibri" w:cs="Times New Roman"/>
    </w:rPr>
  </w:style>
  <w:style w:type="paragraph" w:styleId="TOC2">
    <w:name w:val="toc 2"/>
    <w:basedOn w:val="Normal"/>
    <w:next w:val="Normal"/>
    <w:autoRedefine/>
    <w:uiPriority w:val="39"/>
    <w:unhideWhenUsed/>
    <w:rsid w:val="00AC0A64"/>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AC0A64"/>
    <w:pPr>
      <w:spacing w:after="100"/>
      <w:ind w:left="440"/>
    </w:pPr>
    <w:rPr>
      <w:rFonts w:ascii="Calibri" w:eastAsia="Calibri" w:hAnsi="Calibri" w:cs="Times New Roman"/>
    </w:rPr>
  </w:style>
  <w:style w:type="character" w:styleId="Hyperlink">
    <w:name w:val="Hyperlink"/>
    <w:basedOn w:val="DefaultParagraphFont"/>
    <w:uiPriority w:val="99"/>
    <w:unhideWhenUsed/>
    <w:rsid w:val="00AC0A64"/>
    <w:rPr>
      <w:color w:val="0000FF" w:themeColor="hyperlink"/>
      <w:u w:val="single"/>
    </w:rPr>
  </w:style>
  <w:style w:type="paragraph" w:styleId="TableofFigures">
    <w:name w:val="table of figures"/>
    <w:basedOn w:val="Normal"/>
    <w:next w:val="Normal"/>
    <w:uiPriority w:val="99"/>
    <w:unhideWhenUsed/>
    <w:rsid w:val="00AC0A64"/>
    <w:pPr>
      <w:spacing w:after="0"/>
    </w:pPr>
    <w:rPr>
      <w:rFonts w:ascii="Calibri" w:eastAsia="Calibri" w:hAnsi="Calibri" w:cs="Times New Roman"/>
    </w:rPr>
  </w:style>
  <w:style w:type="character" w:styleId="CommentReference">
    <w:name w:val="annotation reference"/>
    <w:uiPriority w:val="99"/>
    <w:semiHidden/>
    <w:unhideWhenUsed/>
    <w:rsid w:val="00AC0A64"/>
    <w:rPr>
      <w:sz w:val="16"/>
      <w:szCs w:val="16"/>
    </w:rPr>
  </w:style>
  <w:style w:type="paragraph" w:styleId="CommentText">
    <w:name w:val="annotation text"/>
    <w:basedOn w:val="Normal"/>
    <w:link w:val="CommentTextChar"/>
    <w:uiPriority w:val="99"/>
    <w:semiHidden/>
    <w:unhideWhenUsed/>
    <w:rsid w:val="00AC0A6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C0A64"/>
    <w:rPr>
      <w:rFonts w:ascii="Calibri" w:eastAsia="Calibri" w:hAnsi="Calibri" w:cs="Times New Roman"/>
      <w:sz w:val="20"/>
      <w:szCs w:val="20"/>
    </w:rPr>
  </w:style>
  <w:style w:type="character" w:styleId="PlaceholderText">
    <w:name w:val="Placeholder Text"/>
    <w:basedOn w:val="DefaultParagraphFont"/>
    <w:uiPriority w:val="99"/>
    <w:semiHidden/>
    <w:rsid w:val="00AC0A64"/>
    <w:rPr>
      <w:color w:val="808080"/>
    </w:rPr>
  </w:style>
  <w:style w:type="paragraph" w:styleId="Caption">
    <w:name w:val="caption"/>
    <w:basedOn w:val="Normal"/>
    <w:next w:val="Normal"/>
    <w:uiPriority w:val="35"/>
    <w:unhideWhenUsed/>
    <w:qFormat/>
    <w:rsid w:val="00AC0A64"/>
    <w:pPr>
      <w:spacing w:line="240" w:lineRule="auto"/>
    </w:pPr>
    <w:rPr>
      <w:rFonts w:ascii="Calibri" w:eastAsia="Calibri" w:hAnsi="Calibri" w:cs="Times New Roman"/>
      <w:i/>
      <w:iCs/>
      <w:color w:val="1F497D" w:themeColor="text2"/>
      <w:sz w:val="18"/>
      <w:szCs w:val="18"/>
    </w:rPr>
  </w:style>
  <w:style w:type="paragraph" w:styleId="NormalWeb">
    <w:name w:val="Normal (Web)"/>
    <w:basedOn w:val="Normal"/>
    <w:uiPriority w:val="99"/>
    <w:unhideWhenUsed/>
    <w:rsid w:val="00AC0A6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C0A6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0A64"/>
    <w:rPr>
      <w:rFonts w:ascii="Calibri" w:eastAsia="Calibri" w:hAnsi="Calibri" w:cs="Times New Roman"/>
    </w:rPr>
  </w:style>
  <w:style w:type="paragraph" w:styleId="Footer">
    <w:name w:val="footer"/>
    <w:basedOn w:val="Normal"/>
    <w:link w:val="FooterChar"/>
    <w:uiPriority w:val="99"/>
    <w:unhideWhenUsed/>
    <w:rsid w:val="00AC0A6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C0A64"/>
    <w:rPr>
      <w:rFonts w:ascii="Calibri" w:eastAsia="Calibri" w:hAnsi="Calibri" w:cs="Times New Roman"/>
    </w:rPr>
  </w:style>
  <w:style w:type="paragraph" w:styleId="TOCHeading">
    <w:name w:val="TOC Heading"/>
    <w:basedOn w:val="Heading1"/>
    <w:next w:val="Normal"/>
    <w:uiPriority w:val="39"/>
    <w:unhideWhenUsed/>
    <w:qFormat/>
    <w:rsid w:val="00AC0A64"/>
    <w:pPr>
      <w:spacing w:line="259" w:lineRule="auto"/>
      <w:outlineLvl w:val="9"/>
    </w:pPr>
  </w:style>
  <w:style w:type="character" w:styleId="FollowedHyperlink">
    <w:name w:val="FollowedHyperlink"/>
    <w:basedOn w:val="DefaultParagraphFont"/>
    <w:uiPriority w:val="99"/>
    <w:semiHidden/>
    <w:unhideWhenUsed/>
    <w:rsid w:val="00AC0A64"/>
    <w:rPr>
      <w:color w:val="954F72"/>
      <w:u w:val="single"/>
    </w:rPr>
  </w:style>
  <w:style w:type="paragraph" w:customStyle="1" w:styleId="xl66">
    <w:name w:val="xl66"/>
    <w:basedOn w:val="Normal"/>
    <w:rsid w:val="00AC0A6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C0A6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3">
    <w:name w:val="xl63"/>
    <w:basedOn w:val="Normal"/>
    <w:rsid w:val="00AC0A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AC0A6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AC0A6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64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9D9"/>
    <w:rPr>
      <w:sz w:val="20"/>
      <w:szCs w:val="20"/>
    </w:rPr>
  </w:style>
  <w:style w:type="character" w:styleId="FootnoteReference">
    <w:name w:val="footnote reference"/>
    <w:basedOn w:val="DefaultParagraphFont"/>
    <w:uiPriority w:val="99"/>
    <w:semiHidden/>
    <w:unhideWhenUsed/>
    <w:rsid w:val="008649D9"/>
    <w:rPr>
      <w:vertAlign w:val="superscript"/>
    </w:rPr>
  </w:style>
  <w:style w:type="character" w:styleId="HTMLCite">
    <w:name w:val="HTML Cite"/>
    <w:basedOn w:val="DefaultParagraphFont"/>
    <w:uiPriority w:val="99"/>
    <w:semiHidden/>
    <w:unhideWhenUsed/>
    <w:rsid w:val="004A2AB5"/>
    <w:rPr>
      <w:i/>
      <w:iCs/>
    </w:rPr>
  </w:style>
  <w:style w:type="character" w:customStyle="1" w:styleId="cit-name-surname">
    <w:name w:val="cit-name-surname"/>
    <w:basedOn w:val="DefaultParagraphFont"/>
    <w:rsid w:val="004A2AB5"/>
  </w:style>
  <w:style w:type="character" w:customStyle="1" w:styleId="cit-pub-date">
    <w:name w:val="cit-pub-date"/>
    <w:basedOn w:val="DefaultParagraphFont"/>
    <w:rsid w:val="004A2AB5"/>
  </w:style>
  <w:style w:type="character" w:customStyle="1" w:styleId="cit-source">
    <w:name w:val="cit-source"/>
    <w:basedOn w:val="DefaultParagraphFont"/>
    <w:rsid w:val="004A2AB5"/>
  </w:style>
  <w:style w:type="character" w:customStyle="1" w:styleId="cit-publ-loc">
    <w:name w:val="cit-publ-loc"/>
    <w:basedOn w:val="DefaultParagraphFont"/>
    <w:rsid w:val="004A2AB5"/>
  </w:style>
  <w:style w:type="character" w:customStyle="1" w:styleId="cit-publ-name">
    <w:name w:val="cit-publ-name"/>
    <w:basedOn w:val="DefaultParagraphFont"/>
    <w:rsid w:val="004A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hyperlink" Target="https://ideas.repec.org/s/eee/retrec.html"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hyperlink" Target="https://ideas.repec.org/a/eee/retrec/v23y2008i1p53-64.html" TargetMode="Externa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53D5-8FCB-4726-BADC-2ED0E10F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7841</Words>
  <Characters>44697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Mills</dc:creator>
  <cp:lastModifiedBy>Dr.lord mensah</cp:lastModifiedBy>
  <cp:revision>9</cp:revision>
  <cp:lastPrinted>2015-12-18T13:51:00Z</cp:lastPrinted>
  <dcterms:created xsi:type="dcterms:W3CDTF">2015-12-18T13:50:00Z</dcterms:created>
  <dcterms:modified xsi:type="dcterms:W3CDTF">2016-01-25T20:10:00Z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1099257640</vt:i4>
  </property>
</Properties>
</file>