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23" w:rsidRPr="0068758C" w:rsidRDefault="00D6751E" w:rsidP="00DF2F23">
      <w:pPr>
        <w:rPr>
          <w:rFonts w:asciiTheme="majorBidi" w:hAnsiTheme="majorBidi" w:cstheme="majorBidi"/>
          <w:b/>
          <w:bCs/>
          <w:sz w:val="30"/>
          <w:szCs w:val="30"/>
          <w:lang w:val="en-US"/>
        </w:rPr>
      </w:pPr>
      <w:r w:rsidRPr="0068758C">
        <w:rPr>
          <w:rFonts w:asciiTheme="majorBidi" w:hAnsiTheme="majorBidi" w:cstheme="majorBidi"/>
          <w:b/>
          <w:bCs/>
          <w:sz w:val="30"/>
          <w:szCs w:val="30"/>
          <w:lang w:val="en-US"/>
        </w:rPr>
        <w:t>On the Comovements</w:t>
      </w:r>
      <w:r w:rsidR="00DF2F23" w:rsidRPr="0068758C">
        <w:rPr>
          <w:rFonts w:asciiTheme="majorBidi" w:hAnsiTheme="majorBidi" w:cstheme="majorBidi"/>
          <w:b/>
          <w:bCs/>
          <w:sz w:val="30"/>
          <w:szCs w:val="30"/>
          <w:lang w:val="en-US"/>
        </w:rPr>
        <w:t xml:space="preserve"> among European Exchange Rates and Stock prices: A</w:t>
      </w:r>
      <w:r w:rsidR="00A86EC1" w:rsidRPr="0068758C">
        <w:rPr>
          <w:rFonts w:asciiTheme="majorBidi" w:hAnsiTheme="majorBidi" w:cstheme="majorBidi"/>
          <w:b/>
          <w:bCs/>
          <w:sz w:val="30"/>
          <w:szCs w:val="30"/>
          <w:lang w:val="en-US"/>
        </w:rPr>
        <w:t xml:space="preserve"> </w:t>
      </w:r>
      <w:r w:rsidR="00DF2F23" w:rsidRPr="0068758C">
        <w:rPr>
          <w:rFonts w:asciiTheme="majorBidi" w:hAnsiTheme="majorBidi" w:cstheme="majorBidi"/>
          <w:b/>
          <w:bCs/>
          <w:sz w:val="30"/>
          <w:szCs w:val="30"/>
          <w:lang w:val="en-US"/>
        </w:rPr>
        <w:t>Multivariate Time-Varying Asymmetric Approach</w:t>
      </w:r>
    </w:p>
    <w:p w:rsidR="00DF2F23" w:rsidRPr="00D540F7" w:rsidRDefault="00DF2F23" w:rsidP="00966A00">
      <w:pPr>
        <w:jc w:val="both"/>
        <w:rPr>
          <w:rFonts w:asciiTheme="majorBidi" w:hAnsiTheme="majorBidi" w:cstheme="majorBidi"/>
          <w:b/>
          <w:sz w:val="24"/>
          <w:szCs w:val="24"/>
          <w:lang w:val="en-US"/>
        </w:rPr>
      </w:pPr>
    </w:p>
    <w:p w:rsidR="00DF2F23" w:rsidRPr="00D540F7" w:rsidRDefault="00DF2F23" w:rsidP="00DF2F23">
      <w:pPr>
        <w:pStyle w:val="Notedebasdepage"/>
        <w:jc w:val="center"/>
        <w:rPr>
          <w:rFonts w:asciiTheme="majorBidi" w:hAnsiTheme="majorBidi" w:cstheme="majorBidi"/>
          <w:bCs/>
          <w:i/>
          <w:color w:val="548DD4" w:themeColor="text2" w:themeTint="99"/>
          <w:sz w:val="22"/>
          <w:szCs w:val="22"/>
          <w:lang w:val="en-US"/>
        </w:rPr>
      </w:pPr>
    </w:p>
    <w:p w:rsidR="00DF2F23" w:rsidRPr="00D540F7" w:rsidRDefault="00DF2F23" w:rsidP="00DF2F23">
      <w:pPr>
        <w:rPr>
          <w:rFonts w:asciiTheme="majorBidi" w:hAnsiTheme="majorBidi" w:cstheme="majorBidi"/>
          <w:lang w:val="en-US"/>
        </w:rPr>
      </w:pPr>
    </w:p>
    <w:p w:rsidR="00DF2F23" w:rsidRPr="00A86EC1" w:rsidRDefault="00DF2F23" w:rsidP="00DF2F23">
      <w:pPr>
        <w:rPr>
          <w:rFonts w:asciiTheme="majorBidi" w:hAnsiTheme="majorBidi" w:cstheme="majorBidi"/>
          <w:b/>
          <w:sz w:val="26"/>
          <w:szCs w:val="26"/>
          <w:lang w:val="en-US"/>
        </w:rPr>
      </w:pPr>
      <w:r w:rsidRPr="00A86EC1">
        <w:rPr>
          <w:rFonts w:asciiTheme="majorBidi" w:hAnsiTheme="majorBidi" w:cstheme="majorBidi"/>
          <w:b/>
          <w:sz w:val="26"/>
          <w:szCs w:val="26"/>
          <w:lang w:val="en-US"/>
        </w:rPr>
        <w:t>Riadh El Abed</w:t>
      </w:r>
    </w:p>
    <w:p w:rsidR="00DF2F23" w:rsidRPr="00A86EC1" w:rsidRDefault="00DF2F23" w:rsidP="00DF2F23">
      <w:pPr>
        <w:rPr>
          <w:rFonts w:asciiTheme="majorBidi" w:hAnsiTheme="majorBidi" w:cstheme="majorBidi"/>
          <w:i/>
          <w:lang w:val="en-US"/>
        </w:rPr>
      </w:pPr>
    </w:p>
    <w:p w:rsidR="00DF2F23" w:rsidRPr="00A86EC1" w:rsidRDefault="00DF2F23" w:rsidP="00DF2F23">
      <w:pPr>
        <w:rPr>
          <w:rFonts w:asciiTheme="majorBidi" w:hAnsiTheme="majorBidi" w:cstheme="majorBidi"/>
          <w:i/>
          <w:lang w:val="en-US"/>
        </w:rPr>
      </w:pPr>
      <w:r w:rsidRPr="00A86EC1">
        <w:rPr>
          <w:rFonts w:asciiTheme="majorBidi" w:hAnsiTheme="majorBidi" w:cstheme="majorBidi"/>
          <w:i/>
          <w:lang w:val="en-US"/>
        </w:rPr>
        <w:t>University of Tunis El Manar</w:t>
      </w:r>
    </w:p>
    <w:p w:rsidR="00DF2F23" w:rsidRPr="00A86EC1" w:rsidRDefault="00DF2F23" w:rsidP="00DF2F23">
      <w:pPr>
        <w:rPr>
          <w:rFonts w:asciiTheme="majorBidi" w:hAnsiTheme="majorBidi" w:cstheme="majorBidi"/>
          <w:i/>
        </w:rPr>
      </w:pPr>
      <w:r w:rsidRPr="00A86EC1">
        <w:rPr>
          <w:rFonts w:asciiTheme="majorBidi" w:hAnsiTheme="majorBidi" w:cstheme="majorBidi"/>
          <w:i/>
        </w:rPr>
        <w:t>Faculté des Sciences Economiques et de Gestion de Tunis</w:t>
      </w:r>
    </w:p>
    <w:p w:rsidR="00DF2F23" w:rsidRPr="00A86EC1" w:rsidRDefault="00DF2F23" w:rsidP="00DF2F23">
      <w:pPr>
        <w:rPr>
          <w:rFonts w:asciiTheme="majorBidi" w:hAnsiTheme="majorBidi" w:cstheme="majorBidi"/>
          <w:i/>
        </w:rPr>
      </w:pPr>
      <w:r w:rsidRPr="00A86EC1">
        <w:rPr>
          <w:rFonts w:asciiTheme="majorBidi" w:hAnsiTheme="majorBidi" w:cstheme="majorBidi"/>
          <w:b/>
          <w:i/>
        </w:rPr>
        <w:t>L</w:t>
      </w:r>
      <w:r w:rsidRPr="00A86EC1">
        <w:rPr>
          <w:rFonts w:asciiTheme="majorBidi" w:hAnsiTheme="majorBidi" w:cstheme="majorBidi"/>
          <w:i/>
        </w:rPr>
        <w:t>aboratoire d’Ingénierie Financière et Economique (LIFE)</w:t>
      </w:r>
    </w:p>
    <w:p w:rsidR="00DF2F23" w:rsidRPr="00A86EC1" w:rsidRDefault="00DF2F23" w:rsidP="00DF2F23">
      <w:pPr>
        <w:rPr>
          <w:rFonts w:asciiTheme="majorBidi" w:hAnsiTheme="majorBidi" w:cstheme="majorBidi"/>
          <w:i/>
        </w:rPr>
      </w:pPr>
      <w:r w:rsidRPr="00A86EC1">
        <w:rPr>
          <w:rFonts w:asciiTheme="majorBidi" w:eastAsia="Times New Roman" w:hAnsiTheme="majorBidi" w:cstheme="majorBidi"/>
          <w:lang w:eastAsia="fr-FR"/>
        </w:rPr>
        <w:t xml:space="preserve">E-mail : </w:t>
      </w:r>
      <w:hyperlink r:id="rId7" w:history="1">
        <w:r w:rsidRPr="00A86EC1">
          <w:rPr>
            <w:rStyle w:val="Lienhypertexte"/>
            <w:rFonts w:asciiTheme="majorBidi" w:hAnsiTheme="majorBidi" w:cstheme="majorBidi"/>
            <w:bCs/>
            <w:i/>
          </w:rPr>
          <w:t>riadh.abed@gmail.com</w:t>
        </w:r>
      </w:hyperlink>
    </w:p>
    <w:p w:rsidR="00DF2F23" w:rsidRPr="00A86EC1" w:rsidRDefault="00DF2F23" w:rsidP="00DF2F23">
      <w:pPr>
        <w:rPr>
          <w:rFonts w:asciiTheme="majorBidi" w:hAnsiTheme="majorBidi" w:cstheme="majorBidi"/>
          <w:sz w:val="30"/>
          <w:szCs w:val="30"/>
        </w:rPr>
      </w:pPr>
    </w:p>
    <w:p w:rsidR="00DF2F23" w:rsidRPr="00D17181" w:rsidRDefault="00DF2F23" w:rsidP="00955A5F">
      <w:pPr>
        <w:jc w:val="both"/>
        <w:rPr>
          <w:rFonts w:asciiTheme="majorBidi" w:hAnsiTheme="majorBidi" w:cstheme="majorBidi"/>
          <w:sz w:val="30"/>
          <w:szCs w:val="30"/>
        </w:rPr>
      </w:pPr>
    </w:p>
    <w:p w:rsidR="00896A8C" w:rsidRPr="007A6BE1" w:rsidRDefault="00896A8C" w:rsidP="004433F3">
      <w:pPr>
        <w:jc w:val="both"/>
        <w:rPr>
          <w:rFonts w:asciiTheme="majorBidi" w:hAnsiTheme="majorBidi" w:cstheme="majorBidi"/>
          <w:b/>
          <w:sz w:val="24"/>
          <w:szCs w:val="24"/>
        </w:rPr>
      </w:pPr>
    </w:p>
    <w:p w:rsidR="004433F3" w:rsidRDefault="004433F3" w:rsidP="004433F3">
      <w:pPr>
        <w:jc w:val="both"/>
        <w:rPr>
          <w:rFonts w:asciiTheme="majorBidi" w:hAnsiTheme="majorBidi" w:cstheme="majorBidi"/>
          <w:sz w:val="24"/>
          <w:szCs w:val="24"/>
          <w:lang w:val="en-US"/>
        </w:rPr>
      </w:pPr>
      <w:r w:rsidRPr="00484139">
        <w:rPr>
          <w:rFonts w:asciiTheme="majorBidi" w:hAnsiTheme="majorBidi" w:cstheme="majorBidi"/>
          <w:b/>
          <w:sz w:val="24"/>
          <w:szCs w:val="24"/>
          <w:lang w:val="en-US"/>
        </w:rPr>
        <w:t>Abstract</w:t>
      </w:r>
      <w:r w:rsidRPr="00484139">
        <w:rPr>
          <w:rFonts w:asciiTheme="majorBidi" w:hAnsiTheme="majorBidi" w:cstheme="majorBidi"/>
          <w:sz w:val="24"/>
          <w:szCs w:val="24"/>
          <w:lang w:val="en-US"/>
        </w:rPr>
        <w:t>:</w:t>
      </w:r>
    </w:p>
    <w:p w:rsidR="00FF27EE" w:rsidRPr="00484139" w:rsidRDefault="00FF27EE" w:rsidP="004433F3">
      <w:pPr>
        <w:jc w:val="both"/>
        <w:rPr>
          <w:rFonts w:asciiTheme="majorBidi" w:hAnsiTheme="majorBidi" w:cstheme="majorBidi"/>
          <w:sz w:val="24"/>
          <w:szCs w:val="24"/>
          <w:lang w:val="en-US"/>
        </w:rPr>
      </w:pPr>
    </w:p>
    <w:p w:rsidR="00607232" w:rsidRPr="00FF27EE" w:rsidRDefault="00484139" w:rsidP="00D57E57">
      <w:pPr>
        <w:ind w:firstLine="340"/>
        <w:jc w:val="both"/>
        <w:rPr>
          <w:rFonts w:asciiTheme="majorBidi" w:hAnsiTheme="majorBidi" w:cstheme="majorBidi"/>
          <w:lang w:val="en-US"/>
        </w:rPr>
      </w:pPr>
      <w:r>
        <w:rPr>
          <w:rFonts w:asciiTheme="majorBidi" w:hAnsiTheme="majorBidi" w:cstheme="majorBidi"/>
          <w:lang w:val="en-US"/>
        </w:rPr>
        <w:t>In this paper</w:t>
      </w:r>
      <w:r w:rsidR="00D57E57">
        <w:rPr>
          <w:rFonts w:asciiTheme="majorBidi" w:hAnsiTheme="majorBidi" w:cstheme="majorBidi"/>
          <w:lang w:val="en-US"/>
        </w:rPr>
        <w:t>,</w:t>
      </w:r>
      <w:r>
        <w:rPr>
          <w:rFonts w:asciiTheme="majorBidi" w:hAnsiTheme="majorBidi" w:cstheme="majorBidi"/>
          <w:lang w:val="en-US"/>
        </w:rPr>
        <w:t xml:space="preserve"> we study</w:t>
      </w:r>
      <w:r w:rsidR="00607232" w:rsidRPr="00840C6C">
        <w:rPr>
          <w:rFonts w:asciiTheme="majorBidi" w:hAnsiTheme="majorBidi" w:cstheme="majorBidi"/>
          <w:lang w:val="en-US"/>
        </w:rPr>
        <w:t xml:space="preserve"> the interdependence </w:t>
      </w:r>
      <w:r w:rsidR="00D57E57">
        <w:rPr>
          <w:rFonts w:asciiTheme="majorBidi" w:hAnsiTheme="majorBidi" w:cstheme="majorBidi"/>
          <w:lang w:val="en-US"/>
        </w:rPr>
        <w:t>between</w:t>
      </w:r>
      <w:r w:rsidR="00607232" w:rsidRPr="00840C6C">
        <w:rPr>
          <w:rFonts w:asciiTheme="majorBidi" w:hAnsiTheme="majorBidi" w:cstheme="majorBidi"/>
          <w:lang w:val="en-US"/>
        </w:rPr>
        <w:t xml:space="preserve"> </w:t>
      </w:r>
      <w:r w:rsidR="00D57E57">
        <w:rPr>
          <w:rFonts w:asciiTheme="majorBidi" w:hAnsiTheme="majorBidi" w:cstheme="majorBidi"/>
          <w:lang w:val="en-US"/>
        </w:rPr>
        <w:t xml:space="preserve">the </w:t>
      </w:r>
      <w:r w:rsidR="00607232" w:rsidRPr="00840C6C">
        <w:rPr>
          <w:rFonts w:asciiTheme="majorBidi" w:hAnsiTheme="majorBidi" w:cstheme="majorBidi"/>
          <w:lang w:val="en-US"/>
        </w:rPr>
        <w:t>US dollar exchange rates</w:t>
      </w:r>
      <w:r w:rsidR="00D57E57">
        <w:rPr>
          <w:rFonts w:asciiTheme="majorBidi" w:hAnsiTheme="majorBidi" w:cstheme="majorBidi"/>
          <w:lang w:val="en-US"/>
        </w:rPr>
        <w:t>,</w:t>
      </w:r>
      <w:r w:rsidR="00607232" w:rsidRPr="00840C6C">
        <w:rPr>
          <w:rFonts w:asciiTheme="majorBidi" w:hAnsiTheme="majorBidi" w:cstheme="majorBidi"/>
          <w:lang w:val="en-US"/>
        </w:rPr>
        <w:t xml:space="preserve"> expressed in </w:t>
      </w:r>
      <w:r w:rsidR="00840C6C" w:rsidRPr="00840C6C">
        <w:rPr>
          <w:rFonts w:asciiTheme="majorBidi" w:hAnsiTheme="majorBidi" w:cstheme="majorBidi"/>
          <w:lang w:val="en-US"/>
        </w:rPr>
        <w:t>euro (EUR)</w:t>
      </w:r>
      <w:r w:rsidR="00D57E57">
        <w:rPr>
          <w:rFonts w:asciiTheme="majorBidi" w:hAnsiTheme="majorBidi" w:cstheme="majorBidi"/>
          <w:lang w:val="en-US"/>
        </w:rPr>
        <w:t>, and three European stock price indices, namely DAX30, CAC40, and FTSE100</w:t>
      </w:r>
      <w:r w:rsidR="00607232" w:rsidRPr="00840C6C">
        <w:rPr>
          <w:rFonts w:asciiTheme="majorBidi" w:hAnsiTheme="majorBidi" w:cstheme="majorBidi"/>
          <w:lang w:val="en-US"/>
        </w:rPr>
        <w:t xml:space="preserve">. Focusing on different phases of the </w:t>
      </w:r>
      <w:r w:rsidR="00D57E57">
        <w:rPr>
          <w:rFonts w:asciiTheme="majorBidi" w:hAnsiTheme="majorBidi" w:cstheme="majorBidi"/>
          <w:lang w:val="en-US"/>
        </w:rPr>
        <w:t xml:space="preserve">recent </w:t>
      </w:r>
      <w:r w:rsidR="00607232" w:rsidRPr="00840C6C">
        <w:rPr>
          <w:rFonts w:asciiTheme="majorBidi" w:hAnsiTheme="majorBidi" w:cstheme="majorBidi"/>
          <w:lang w:val="en-US"/>
        </w:rPr>
        <w:t xml:space="preserve">Global </w:t>
      </w:r>
      <w:r w:rsidR="00D57E57">
        <w:rPr>
          <w:rFonts w:asciiTheme="majorBidi" w:hAnsiTheme="majorBidi" w:cstheme="majorBidi"/>
          <w:lang w:val="en-US"/>
        </w:rPr>
        <w:t>F</w:t>
      </w:r>
      <w:r w:rsidR="00607232" w:rsidRPr="00840C6C">
        <w:rPr>
          <w:rFonts w:asciiTheme="majorBidi" w:hAnsiTheme="majorBidi" w:cstheme="majorBidi"/>
          <w:lang w:val="en-US"/>
        </w:rPr>
        <w:t xml:space="preserve">inancial </w:t>
      </w:r>
      <w:r w:rsidR="00D57E57">
        <w:rPr>
          <w:rFonts w:asciiTheme="majorBidi" w:hAnsiTheme="majorBidi" w:cstheme="majorBidi"/>
          <w:lang w:val="en-US"/>
        </w:rPr>
        <w:t>C</w:t>
      </w:r>
      <w:r w:rsidR="00607232" w:rsidRPr="00840C6C">
        <w:rPr>
          <w:rFonts w:asciiTheme="majorBidi" w:hAnsiTheme="majorBidi" w:cstheme="majorBidi"/>
          <w:lang w:val="en-US"/>
        </w:rPr>
        <w:t xml:space="preserve">risis (GFC) and the Eurozone Sovereign Debt Crisis (ESDC), we </w:t>
      </w:r>
      <w:r w:rsidR="00D57E57">
        <w:rPr>
          <w:rFonts w:asciiTheme="majorBidi" w:hAnsiTheme="majorBidi" w:cstheme="majorBidi"/>
          <w:lang w:val="en-US"/>
        </w:rPr>
        <w:t>use</w:t>
      </w:r>
      <w:r w:rsidR="00607232" w:rsidRPr="00840C6C">
        <w:rPr>
          <w:rFonts w:asciiTheme="majorBidi" w:hAnsiTheme="majorBidi" w:cstheme="majorBidi"/>
          <w:lang w:val="en-US"/>
        </w:rPr>
        <w:t xml:space="preserve"> a multivariate asymmetric dynamic conditional correlation EGARCH framework, during the period spanning </w:t>
      </w:r>
      <w:r w:rsidR="00840C6C" w:rsidRPr="00840C6C">
        <w:rPr>
          <w:rFonts w:asciiTheme="majorBidi" w:hAnsiTheme="majorBidi" w:cstheme="majorBidi"/>
          <w:lang w:val="en-US"/>
        </w:rPr>
        <w:t>from January 1, 2002 until December 10, 2013</w:t>
      </w:r>
      <w:r w:rsidR="00607232" w:rsidRPr="00840C6C">
        <w:rPr>
          <w:rFonts w:asciiTheme="majorBidi" w:hAnsiTheme="majorBidi" w:cstheme="majorBidi"/>
          <w:lang w:val="en-US"/>
        </w:rPr>
        <w:t>.</w:t>
      </w:r>
      <w:r w:rsidR="00D57E57">
        <w:rPr>
          <w:rFonts w:asciiTheme="majorBidi" w:hAnsiTheme="majorBidi" w:cstheme="majorBidi"/>
          <w:lang w:val="en-US"/>
        </w:rPr>
        <w:t xml:space="preserve"> </w:t>
      </w:r>
      <w:r w:rsidRPr="00595F07">
        <w:rPr>
          <w:rFonts w:asciiTheme="majorBidi" w:hAnsiTheme="majorBidi" w:cstheme="majorBidi"/>
          <w:lang w:val="en-US"/>
        </w:rPr>
        <w:t>The empirical results</w:t>
      </w:r>
      <w:r w:rsidR="00607232" w:rsidRPr="00595F07">
        <w:rPr>
          <w:rFonts w:asciiTheme="majorBidi" w:hAnsiTheme="majorBidi" w:cstheme="majorBidi"/>
          <w:lang w:val="en-US"/>
        </w:rPr>
        <w:t xml:space="preserve"> suggest </w:t>
      </w:r>
      <w:r w:rsidR="00D57E57">
        <w:rPr>
          <w:rFonts w:asciiTheme="majorBidi" w:hAnsiTheme="majorBidi" w:cstheme="majorBidi"/>
          <w:lang w:val="en-US"/>
        </w:rPr>
        <w:t xml:space="preserve">the existence of </w:t>
      </w:r>
      <w:r w:rsidR="00607232" w:rsidRPr="00595F07">
        <w:rPr>
          <w:rFonts w:asciiTheme="majorBidi" w:hAnsiTheme="majorBidi" w:cstheme="majorBidi"/>
          <w:lang w:val="en-US"/>
        </w:rPr>
        <w:t>asymmetric responses in correlation</w:t>
      </w:r>
      <w:r w:rsidRPr="00595F07">
        <w:rPr>
          <w:rFonts w:asciiTheme="majorBidi" w:hAnsiTheme="majorBidi" w:cstheme="majorBidi"/>
          <w:lang w:val="en-US"/>
        </w:rPr>
        <w:t xml:space="preserve">s among the three European stock </w:t>
      </w:r>
      <w:r w:rsidR="00D57E57">
        <w:rPr>
          <w:rFonts w:asciiTheme="majorBidi" w:hAnsiTheme="majorBidi" w:cstheme="majorBidi"/>
          <w:lang w:val="en-US"/>
        </w:rPr>
        <w:t xml:space="preserve">market </w:t>
      </w:r>
      <w:r w:rsidRPr="00595F07">
        <w:rPr>
          <w:rFonts w:asciiTheme="majorBidi" w:hAnsiTheme="majorBidi" w:cstheme="majorBidi"/>
          <w:lang w:val="en-US"/>
        </w:rPr>
        <w:t xml:space="preserve">prices and </w:t>
      </w:r>
      <w:r w:rsidR="00D57E57">
        <w:rPr>
          <w:rFonts w:asciiTheme="majorBidi" w:hAnsiTheme="majorBidi" w:cstheme="majorBidi"/>
          <w:lang w:val="en-US"/>
        </w:rPr>
        <w:t xml:space="preserve">the euro </w:t>
      </w:r>
      <w:r w:rsidRPr="00595F07">
        <w:rPr>
          <w:rFonts w:asciiTheme="majorBidi" w:hAnsiTheme="majorBidi" w:cstheme="majorBidi"/>
          <w:lang w:val="en-US"/>
        </w:rPr>
        <w:t>exchange rate.</w:t>
      </w:r>
      <w:r w:rsidR="00D57E57">
        <w:rPr>
          <w:rFonts w:asciiTheme="majorBidi" w:hAnsiTheme="majorBidi" w:cstheme="majorBidi"/>
          <w:lang w:val="en-US"/>
        </w:rPr>
        <w:t xml:space="preserve"> </w:t>
      </w:r>
      <w:r w:rsidR="00607232" w:rsidRPr="00FF27EE">
        <w:rPr>
          <w:rFonts w:asciiTheme="majorBidi" w:hAnsiTheme="majorBidi" w:cstheme="majorBidi"/>
          <w:lang w:val="en-US"/>
        </w:rPr>
        <w:t>Moreover,</w:t>
      </w:r>
      <w:r w:rsidR="00FF27EE" w:rsidRPr="00FF27EE">
        <w:rPr>
          <w:rFonts w:asciiTheme="majorBidi" w:hAnsiTheme="majorBidi" w:cstheme="majorBidi"/>
          <w:lang w:val="en-US"/>
        </w:rPr>
        <w:t xml:space="preserve"> the results indicate an increase</w:t>
      </w:r>
      <w:r w:rsidR="00607232" w:rsidRPr="00FF27EE">
        <w:rPr>
          <w:rFonts w:asciiTheme="majorBidi" w:hAnsiTheme="majorBidi" w:cstheme="majorBidi"/>
          <w:lang w:val="en-US"/>
        </w:rPr>
        <w:t xml:space="preserve"> of exchange rates</w:t>
      </w:r>
      <w:r w:rsidR="00FF27EE" w:rsidRPr="00FF27EE">
        <w:rPr>
          <w:rFonts w:asciiTheme="majorBidi" w:hAnsiTheme="majorBidi" w:cstheme="majorBidi"/>
          <w:lang w:val="en-US"/>
        </w:rPr>
        <w:t xml:space="preserve"> and stock prices</w:t>
      </w:r>
      <w:r w:rsidR="00607232" w:rsidRPr="00FF27EE">
        <w:rPr>
          <w:rFonts w:asciiTheme="majorBidi" w:hAnsiTheme="majorBidi" w:cstheme="majorBidi"/>
          <w:lang w:val="en-US"/>
        </w:rPr>
        <w:t xml:space="preserve"> correlations during the crisis periods, suggesting the different vulnerability of the currencies. Final</w:t>
      </w:r>
      <w:r w:rsidR="00FF27EE" w:rsidRPr="00FF27EE">
        <w:rPr>
          <w:rFonts w:asciiTheme="majorBidi" w:hAnsiTheme="majorBidi" w:cstheme="majorBidi"/>
          <w:lang w:val="en-US"/>
        </w:rPr>
        <w:t>ly, we find some significant decrease</w:t>
      </w:r>
      <w:r w:rsidR="00607232" w:rsidRPr="00FF27EE">
        <w:rPr>
          <w:rFonts w:asciiTheme="majorBidi" w:hAnsiTheme="majorBidi" w:cstheme="majorBidi"/>
          <w:lang w:val="en-US"/>
        </w:rPr>
        <w:t>s in the estimated dynamic correlations, indicating existence of a “currency contagion effect” during turmoil periods.</w:t>
      </w:r>
    </w:p>
    <w:p w:rsidR="004433F3" w:rsidRPr="00607232" w:rsidRDefault="004433F3" w:rsidP="004433F3">
      <w:pPr>
        <w:jc w:val="both"/>
        <w:rPr>
          <w:rFonts w:asciiTheme="majorBidi" w:hAnsiTheme="majorBidi" w:cstheme="majorBidi"/>
          <w:bCs/>
          <w:sz w:val="24"/>
          <w:szCs w:val="24"/>
          <w:lang w:val="en-US"/>
        </w:rPr>
      </w:pPr>
    </w:p>
    <w:p w:rsidR="004433F3" w:rsidRPr="00D57E57" w:rsidRDefault="004433F3" w:rsidP="004433F3">
      <w:pPr>
        <w:jc w:val="both"/>
        <w:rPr>
          <w:rFonts w:asciiTheme="majorBidi" w:hAnsiTheme="majorBidi" w:cstheme="majorBidi"/>
          <w:bCs/>
        </w:rPr>
      </w:pPr>
      <w:r w:rsidRPr="00D57E57">
        <w:rPr>
          <w:rFonts w:asciiTheme="majorBidi" w:hAnsiTheme="majorBidi" w:cstheme="majorBidi"/>
          <w:bCs/>
          <w:i/>
        </w:rPr>
        <w:t>JEL classification</w:t>
      </w:r>
      <w:r w:rsidR="00796E93" w:rsidRPr="00D57E57">
        <w:rPr>
          <w:rFonts w:asciiTheme="majorBidi" w:hAnsiTheme="majorBidi" w:cstheme="majorBidi"/>
          <w:bCs/>
        </w:rPr>
        <w:t>: C13, C22, C32, C52, C53, G15.</w:t>
      </w:r>
    </w:p>
    <w:p w:rsidR="004433F3" w:rsidRPr="00D57E57" w:rsidRDefault="004433F3" w:rsidP="004433F3">
      <w:pPr>
        <w:pBdr>
          <w:bottom w:val="single" w:sz="6" w:space="1" w:color="auto"/>
        </w:pBdr>
        <w:jc w:val="both"/>
        <w:rPr>
          <w:rFonts w:asciiTheme="majorBidi" w:hAnsiTheme="majorBidi" w:cstheme="majorBidi"/>
          <w:bCs/>
          <w:lang w:val="en-US"/>
        </w:rPr>
      </w:pPr>
      <w:r w:rsidRPr="00D57E57">
        <w:rPr>
          <w:rFonts w:asciiTheme="majorBidi" w:hAnsiTheme="majorBidi" w:cstheme="majorBidi"/>
          <w:bCs/>
          <w:i/>
          <w:lang w:val="en-US"/>
        </w:rPr>
        <w:t>Keywords</w:t>
      </w:r>
      <w:r w:rsidRPr="00D57E57">
        <w:rPr>
          <w:rFonts w:asciiTheme="majorBidi" w:hAnsiTheme="majorBidi" w:cstheme="majorBidi"/>
          <w:bCs/>
          <w:lang w:val="en-US"/>
        </w:rPr>
        <w:t xml:space="preserve">: A-DCC model, </w:t>
      </w:r>
      <w:r w:rsidR="00796E93" w:rsidRPr="00D57E57">
        <w:rPr>
          <w:rFonts w:asciiTheme="majorBidi" w:hAnsiTheme="majorBidi" w:cstheme="majorBidi"/>
          <w:bCs/>
          <w:lang w:val="en-US"/>
        </w:rPr>
        <w:t xml:space="preserve">Global financial crisis, European sovereign debt crisis, exchange rates, stock </w:t>
      </w:r>
      <w:r w:rsidR="00D57E57">
        <w:rPr>
          <w:rFonts w:asciiTheme="majorBidi" w:hAnsiTheme="majorBidi" w:cstheme="majorBidi"/>
          <w:bCs/>
          <w:lang w:val="en-US"/>
        </w:rPr>
        <w:t xml:space="preserve">prices, </w:t>
      </w:r>
      <w:r w:rsidR="00796E93" w:rsidRPr="00D57E57">
        <w:rPr>
          <w:rFonts w:asciiTheme="majorBidi" w:hAnsiTheme="majorBidi" w:cstheme="majorBidi"/>
          <w:bCs/>
          <w:lang w:val="en-US"/>
        </w:rPr>
        <w:t>currency contagion</w:t>
      </w:r>
      <w:r w:rsidRPr="00D57E57">
        <w:rPr>
          <w:rFonts w:asciiTheme="majorBidi" w:hAnsiTheme="majorBidi" w:cstheme="majorBidi"/>
          <w:bCs/>
          <w:lang w:val="en-US"/>
        </w:rPr>
        <w:t>.</w:t>
      </w:r>
    </w:p>
    <w:p w:rsidR="00A426B2" w:rsidRPr="00D540F7" w:rsidRDefault="00A426B2" w:rsidP="004433F3">
      <w:pPr>
        <w:jc w:val="both"/>
        <w:rPr>
          <w:rFonts w:asciiTheme="majorBidi" w:hAnsiTheme="majorBidi" w:cstheme="majorBidi"/>
          <w:sz w:val="24"/>
          <w:szCs w:val="24"/>
          <w:lang w:val="en-US"/>
        </w:rPr>
      </w:pPr>
    </w:p>
    <w:p w:rsidR="00CF17FE" w:rsidRPr="00D540F7" w:rsidRDefault="00CF17FE" w:rsidP="00CF17FE">
      <w:pPr>
        <w:pStyle w:val="Paragraphedeliste"/>
        <w:numPr>
          <w:ilvl w:val="0"/>
          <w:numId w:val="1"/>
        </w:numPr>
        <w:spacing w:after="0" w:line="240" w:lineRule="auto"/>
        <w:ind w:left="340" w:hanging="340"/>
        <w:jc w:val="both"/>
        <w:rPr>
          <w:rFonts w:asciiTheme="majorBidi" w:hAnsiTheme="majorBidi" w:cstheme="majorBidi"/>
          <w:b/>
          <w:sz w:val="24"/>
          <w:szCs w:val="24"/>
          <w:lang w:val="en-US"/>
        </w:rPr>
      </w:pPr>
      <w:r w:rsidRPr="00D540F7">
        <w:rPr>
          <w:rFonts w:asciiTheme="majorBidi" w:hAnsiTheme="majorBidi" w:cstheme="majorBidi"/>
          <w:b/>
          <w:sz w:val="24"/>
          <w:szCs w:val="24"/>
          <w:lang w:val="en-US"/>
        </w:rPr>
        <w:t>Introduction</w:t>
      </w:r>
    </w:p>
    <w:p w:rsidR="00CF17FE" w:rsidRPr="00D540F7" w:rsidRDefault="00CF17FE" w:rsidP="00CF17FE">
      <w:pPr>
        <w:pStyle w:val="Paragraphedeliste"/>
        <w:spacing w:after="0" w:line="240" w:lineRule="auto"/>
        <w:ind w:left="680"/>
        <w:jc w:val="both"/>
        <w:rPr>
          <w:rFonts w:asciiTheme="majorBidi" w:hAnsiTheme="majorBidi" w:cstheme="majorBidi"/>
          <w:sz w:val="24"/>
          <w:szCs w:val="24"/>
          <w:lang w:val="en-US"/>
        </w:rPr>
      </w:pPr>
    </w:p>
    <w:p w:rsidR="00CF17FE" w:rsidRPr="00485F89" w:rsidRDefault="00CF17FE" w:rsidP="00485F89">
      <w:pPr>
        <w:ind w:firstLine="340"/>
        <w:jc w:val="both"/>
        <w:rPr>
          <w:rFonts w:asciiTheme="majorBidi" w:hAnsiTheme="majorBidi" w:cstheme="majorBidi"/>
          <w:lang w:val="en-US"/>
        </w:rPr>
      </w:pPr>
      <w:r w:rsidRPr="00485F89">
        <w:rPr>
          <w:rFonts w:asciiTheme="majorBidi" w:hAnsiTheme="majorBidi" w:cstheme="majorBidi"/>
          <w:lang w:val="en-US"/>
        </w:rPr>
        <w:t>Unlike past crises, such as the 1997 Asian financial crisis, the 1998 Russian crisis and the 1999 Brazilian crisis, the recent 2007-2009 global financial crisis</w:t>
      </w:r>
      <w:r w:rsidR="00485F89">
        <w:rPr>
          <w:rFonts w:asciiTheme="majorBidi" w:hAnsiTheme="majorBidi" w:cstheme="majorBidi"/>
          <w:lang w:val="en-US"/>
        </w:rPr>
        <w:t>,</w:t>
      </w:r>
      <w:r w:rsidRPr="00485F89">
        <w:rPr>
          <w:rFonts w:asciiTheme="majorBidi" w:hAnsiTheme="majorBidi" w:cstheme="majorBidi"/>
          <w:lang w:val="en-US"/>
        </w:rPr>
        <w:t xml:space="preserve"> originated from the largest and most </w:t>
      </w:r>
      <w:r w:rsidR="00485F89">
        <w:rPr>
          <w:rFonts w:asciiTheme="majorBidi" w:hAnsiTheme="majorBidi" w:cstheme="majorBidi"/>
          <w:lang w:val="en-US"/>
        </w:rPr>
        <w:t xml:space="preserve">US influential economy, </w:t>
      </w:r>
      <w:r w:rsidRPr="00485F89">
        <w:rPr>
          <w:rFonts w:asciiTheme="majorBidi" w:hAnsiTheme="majorBidi" w:cstheme="majorBidi"/>
          <w:lang w:val="en-US"/>
        </w:rPr>
        <w:t>was spreading over the other countries’ financial markets worldwide. Global financial crisis resulted in sharp declines in asset prices, stock and foreign exchange markets, and skyrocketing of risk premiums on interbank loans. It also disrupted country's financial system and threatened real economy with huge contractions.</w:t>
      </w:r>
    </w:p>
    <w:p w:rsidR="001579B5" w:rsidRPr="00485F89" w:rsidRDefault="001579B5" w:rsidP="00FE0625">
      <w:pPr>
        <w:ind w:firstLine="340"/>
        <w:jc w:val="both"/>
        <w:rPr>
          <w:rFonts w:asciiTheme="majorBidi" w:hAnsiTheme="majorBidi" w:cstheme="majorBidi"/>
          <w:lang w:val="en-US"/>
        </w:rPr>
      </w:pPr>
      <w:r w:rsidRPr="00485F89">
        <w:rPr>
          <w:rFonts w:asciiTheme="majorBidi" w:hAnsiTheme="majorBidi" w:cstheme="majorBidi"/>
          <w:lang w:val="en-US"/>
        </w:rPr>
        <w:t>The dynamic relationships between exchange rate movements and stock prices have attracted a</w:t>
      </w:r>
      <w:r w:rsidR="00485F89">
        <w:rPr>
          <w:rFonts w:asciiTheme="majorBidi" w:hAnsiTheme="majorBidi" w:cstheme="majorBidi"/>
          <w:lang w:val="en-US"/>
        </w:rPr>
        <w:t xml:space="preserve"> </w:t>
      </w:r>
      <w:r w:rsidRPr="00485F89">
        <w:rPr>
          <w:rFonts w:asciiTheme="majorBidi" w:hAnsiTheme="majorBidi" w:cstheme="majorBidi"/>
          <w:lang w:val="en-US"/>
        </w:rPr>
        <w:t xml:space="preserve">special attention from both practitioners and academics. A </w:t>
      </w:r>
      <w:r w:rsidR="00485F89">
        <w:rPr>
          <w:rFonts w:asciiTheme="majorBidi" w:hAnsiTheme="majorBidi" w:cstheme="majorBidi"/>
          <w:lang w:val="en-US"/>
        </w:rPr>
        <w:t xml:space="preserve">strong relationship between these variables </w:t>
      </w:r>
      <w:r w:rsidRPr="00485F89">
        <w:rPr>
          <w:rFonts w:asciiTheme="majorBidi" w:hAnsiTheme="majorBidi" w:cstheme="majorBidi"/>
          <w:lang w:val="en-US"/>
        </w:rPr>
        <w:t>would have important implications for international capital budgeting</w:t>
      </w:r>
      <w:r w:rsidR="00485F89">
        <w:rPr>
          <w:rFonts w:asciiTheme="majorBidi" w:hAnsiTheme="majorBidi" w:cstheme="majorBidi"/>
          <w:lang w:val="en-US"/>
        </w:rPr>
        <w:t xml:space="preserve"> </w:t>
      </w:r>
      <w:r w:rsidRPr="00485F89">
        <w:rPr>
          <w:rFonts w:asciiTheme="majorBidi" w:hAnsiTheme="majorBidi" w:cstheme="majorBidi"/>
          <w:lang w:val="en-US"/>
        </w:rPr>
        <w:t>decisions</w:t>
      </w:r>
      <w:r w:rsidR="00FE0625" w:rsidRPr="00485F89">
        <w:rPr>
          <w:rFonts w:asciiTheme="majorBidi" w:hAnsiTheme="majorBidi" w:cstheme="majorBidi"/>
          <w:lang w:val="en-US"/>
        </w:rPr>
        <w:t xml:space="preserve"> and economic policies</w:t>
      </w:r>
      <w:r w:rsidRPr="00485F89">
        <w:rPr>
          <w:rFonts w:asciiTheme="majorBidi" w:hAnsiTheme="majorBidi" w:cstheme="majorBidi"/>
          <w:lang w:val="en-US"/>
        </w:rPr>
        <w:t xml:space="preserve"> because negative shocks affecting one market may be transmitted quickly to another</w:t>
      </w:r>
      <w:r w:rsidR="00485F89">
        <w:rPr>
          <w:rFonts w:asciiTheme="majorBidi" w:hAnsiTheme="majorBidi" w:cstheme="majorBidi"/>
          <w:lang w:val="en-US"/>
        </w:rPr>
        <w:t xml:space="preserve"> </w:t>
      </w:r>
      <w:r w:rsidRPr="00485F89">
        <w:rPr>
          <w:rFonts w:asciiTheme="majorBidi" w:hAnsiTheme="majorBidi" w:cstheme="majorBidi"/>
          <w:lang w:val="en-US"/>
        </w:rPr>
        <w:t>through contagious effects. This issue has become more critic</w:t>
      </w:r>
      <w:r w:rsidR="00FE0625" w:rsidRPr="00485F89">
        <w:rPr>
          <w:rFonts w:asciiTheme="majorBidi" w:hAnsiTheme="majorBidi" w:cstheme="majorBidi"/>
          <w:lang w:val="en-US"/>
        </w:rPr>
        <w:t xml:space="preserve">al with the occurrence of recent </w:t>
      </w:r>
      <w:r w:rsidR="00485F89">
        <w:rPr>
          <w:rFonts w:asciiTheme="majorBidi" w:hAnsiTheme="majorBidi" w:cstheme="majorBidi"/>
          <w:lang w:val="en-US"/>
        </w:rPr>
        <w:t>“</w:t>
      </w:r>
      <w:r w:rsidRPr="00485F89">
        <w:rPr>
          <w:rFonts w:asciiTheme="majorBidi" w:hAnsiTheme="majorBidi" w:cstheme="majorBidi"/>
          <w:lang w:val="en-US"/>
        </w:rPr>
        <w:t>black swan events</w:t>
      </w:r>
      <w:r w:rsidR="00485F89">
        <w:rPr>
          <w:rFonts w:asciiTheme="majorBidi" w:hAnsiTheme="majorBidi" w:cstheme="majorBidi"/>
          <w:lang w:val="en-US"/>
        </w:rPr>
        <w:t xml:space="preserve">” such as the </w:t>
      </w:r>
      <w:r w:rsidRPr="00485F89">
        <w:rPr>
          <w:rFonts w:asciiTheme="majorBidi" w:hAnsiTheme="majorBidi" w:cstheme="majorBidi"/>
          <w:lang w:val="en-US"/>
        </w:rPr>
        <w:t xml:space="preserve">2007 </w:t>
      </w:r>
      <w:r w:rsidR="00485F89">
        <w:rPr>
          <w:rFonts w:asciiTheme="majorBidi" w:hAnsiTheme="majorBidi" w:cstheme="majorBidi"/>
          <w:lang w:val="en-US"/>
        </w:rPr>
        <w:t xml:space="preserve">US </w:t>
      </w:r>
      <w:r w:rsidRPr="00485F89">
        <w:rPr>
          <w:rFonts w:asciiTheme="majorBidi" w:hAnsiTheme="majorBidi" w:cstheme="majorBidi"/>
          <w:lang w:val="en-US"/>
        </w:rPr>
        <w:t>subprime crisis</w:t>
      </w:r>
      <w:r w:rsidR="00FE0625" w:rsidRPr="00485F89">
        <w:rPr>
          <w:rFonts w:asciiTheme="majorBidi" w:hAnsiTheme="majorBidi" w:cstheme="majorBidi"/>
          <w:lang w:val="en-US"/>
        </w:rPr>
        <w:t>.</w:t>
      </w:r>
    </w:p>
    <w:p w:rsidR="00CF17FE" w:rsidRPr="00485F89" w:rsidRDefault="00CF17FE" w:rsidP="00485F89">
      <w:pPr>
        <w:ind w:firstLine="340"/>
        <w:jc w:val="both"/>
        <w:rPr>
          <w:rFonts w:asciiTheme="majorBidi" w:hAnsiTheme="majorBidi" w:cstheme="majorBidi"/>
          <w:lang w:val="en-US"/>
        </w:rPr>
      </w:pPr>
      <w:r w:rsidRPr="00485F89">
        <w:rPr>
          <w:rFonts w:asciiTheme="majorBidi" w:hAnsiTheme="majorBidi" w:cstheme="majorBidi"/>
          <w:lang w:val="en-US"/>
        </w:rPr>
        <w:t>In the economic theory, interaction between foreign exchange and stock market</w:t>
      </w:r>
      <w:r w:rsidR="00485F89">
        <w:rPr>
          <w:rFonts w:asciiTheme="majorBidi" w:hAnsiTheme="majorBidi" w:cstheme="majorBidi"/>
          <w:lang w:val="en-US"/>
        </w:rPr>
        <w:t>s</w:t>
      </w:r>
      <w:r w:rsidRPr="00485F89">
        <w:rPr>
          <w:rFonts w:asciiTheme="majorBidi" w:hAnsiTheme="majorBidi" w:cstheme="majorBidi"/>
          <w:lang w:val="en-US"/>
        </w:rPr>
        <w:t xml:space="preserve"> </w:t>
      </w:r>
      <w:r w:rsidR="00485F89">
        <w:rPr>
          <w:rFonts w:asciiTheme="majorBidi" w:hAnsiTheme="majorBidi" w:cstheme="majorBidi"/>
          <w:lang w:val="en-US"/>
        </w:rPr>
        <w:t>have been</w:t>
      </w:r>
      <w:r w:rsidRPr="00485F89">
        <w:rPr>
          <w:rFonts w:asciiTheme="majorBidi" w:hAnsiTheme="majorBidi" w:cstheme="majorBidi"/>
          <w:lang w:val="en-US"/>
        </w:rPr>
        <w:t xml:space="preserve"> </w:t>
      </w:r>
      <w:r w:rsidR="00485F89" w:rsidRPr="00485F89">
        <w:rPr>
          <w:rFonts w:asciiTheme="majorBidi" w:hAnsiTheme="majorBidi" w:cstheme="majorBidi"/>
          <w:lang w:val="en-US"/>
        </w:rPr>
        <w:t>analyzed</w:t>
      </w:r>
      <w:r w:rsidRPr="00485F89">
        <w:rPr>
          <w:rFonts w:asciiTheme="majorBidi" w:hAnsiTheme="majorBidi" w:cstheme="majorBidi"/>
          <w:lang w:val="en-US"/>
        </w:rPr>
        <w:t xml:space="preserve"> through two theoretical approaches: the “stock oriented” approach (</w:t>
      </w:r>
      <w:r w:rsidR="00485F89">
        <w:rPr>
          <w:rFonts w:asciiTheme="majorBidi" w:hAnsiTheme="majorBidi" w:cstheme="majorBidi"/>
          <w:lang w:val="en-US"/>
        </w:rPr>
        <w:t xml:space="preserve">see </w:t>
      </w:r>
      <w:r w:rsidRPr="00485F89">
        <w:rPr>
          <w:rFonts w:asciiTheme="majorBidi" w:hAnsiTheme="majorBidi" w:cstheme="majorBidi"/>
          <w:color w:val="4F81BD" w:themeColor="accent1"/>
          <w:lang w:val="en-US"/>
        </w:rPr>
        <w:t>Branson, 1983</w:t>
      </w:r>
      <w:r w:rsidRPr="00485F89">
        <w:rPr>
          <w:rFonts w:asciiTheme="majorBidi" w:hAnsiTheme="majorBidi" w:cstheme="majorBidi"/>
          <w:lang w:val="en-US"/>
        </w:rPr>
        <w:t>;</w:t>
      </w:r>
      <w:r w:rsidRPr="00485F89">
        <w:rPr>
          <w:rFonts w:asciiTheme="majorBidi" w:hAnsiTheme="majorBidi" w:cstheme="majorBidi"/>
          <w:color w:val="4F81BD" w:themeColor="accent1"/>
          <w:lang w:val="en-US"/>
        </w:rPr>
        <w:t xml:space="preserve"> Frankel, 1983</w:t>
      </w:r>
      <w:r w:rsidRPr="00485F89">
        <w:rPr>
          <w:rFonts w:asciiTheme="majorBidi" w:hAnsiTheme="majorBidi" w:cstheme="majorBidi"/>
          <w:lang w:val="en-US"/>
        </w:rPr>
        <w:t>) and the “flow oriented” approach (</w:t>
      </w:r>
      <w:r w:rsidR="009815A3">
        <w:rPr>
          <w:rFonts w:asciiTheme="majorBidi" w:hAnsiTheme="majorBidi" w:cstheme="majorBidi"/>
          <w:lang w:val="en-US"/>
        </w:rPr>
        <w:t xml:space="preserve">see </w:t>
      </w:r>
      <w:r w:rsidRPr="00485F89">
        <w:rPr>
          <w:rFonts w:asciiTheme="majorBidi" w:hAnsiTheme="majorBidi" w:cstheme="majorBidi"/>
          <w:color w:val="4F81BD" w:themeColor="accent1"/>
          <w:lang w:val="en-US"/>
        </w:rPr>
        <w:t>Dornbush and Fisher, 1980</w:t>
      </w:r>
      <w:r w:rsidRPr="00485F89">
        <w:rPr>
          <w:rFonts w:asciiTheme="majorBidi" w:hAnsiTheme="majorBidi" w:cstheme="majorBidi"/>
          <w:lang w:val="en-US"/>
        </w:rPr>
        <w:t>). In the first approach, the foreign exchange rate is determined by the demand and supply of financial assets such as equities and bonds. In the second approach, the exchange rate is determined by a country’s current ac</w:t>
      </w:r>
      <w:r w:rsidR="009815A3">
        <w:rPr>
          <w:rFonts w:asciiTheme="majorBidi" w:hAnsiTheme="majorBidi" w:cstheme="majorBidi"/>
          <w:lang w:val="en-US"/>
        </w:rPr>
        <w:t xml:space="preserve">count balance or trade balance. In addition, the </w:t>
      </w:r>
      <w:r w:rsidRPr="00485F89">
        <w:rPr>
          <w:rFonts w:asciiTheme="majorBidi" w:hAnsiTheme="majorBidi" w:cstheme="majorBidi"/>
          <w:lang w:val="en-US"/>
        </w:rPr>
        <w:t>Flow oriented models provides a positive interaction between stock price and foreign exchange rate.</w:t>
      </w:r>
    </w:p>
    <w:p w:rsidR="00485F89" w:rsidRDefault="00CF17FE" w:rsidP="003A2B89">
      <w:pPr>
        <w:ind w:firstLine="340"/>
        <w:jc w:val="both"/>
        <w:rPr>
          <w:rFonts w:asciiTheme="majorBidi" w:hAnsiTheme="majorBidi" w:cstheme="majorBidi"/>
          <w:lang w:val="en-US"/>
        </w:rPr>
      </w:pPr>
      <w:r w:rsidRPr="00485F89">
        <w:rPr>
          <w:rFonts w:asciiTheme="majorBidi" w:hAnsiTheme="majorBidi" w:cstheme="majorBidi"/>
          <w:lang w:val="en-US"/>
        </w:rPr>
        <w:lastRenderedPageBreak/>
        <w:t xml:space="preserve">In the literature, a positive relationship between stock prices and exchange rate may result from a real interest rate disturbance as the real interest </w:t>
      </w:r>
      <w:r w:rsidR="009815A3" w:rsidRPr="00485F89">
        <w:rPr>
          <w:rFonts w:asciiTheme="majorBidi" w:hAnsiTheme="majorBidi" w:cstheme="majorBidi"/>
          <w:lang w:val="en-US"/>
        </w:rPr>
        <w:t>rises;</w:t>
      </w:r>
      <w:r w:rsidRPr="00485F89">
        <w:rPr>
          <w:rFonts w:asciiTheme="majorBidi" w:hAnsiTheme="majorBidi" w:cstheme="majorBidi"/>
          <w:lang w:val="en-US"/>
        </w:rPr>
        <w:t xml:space="preserve"> the exchange rate falls and the capital inflow increases (</w:t>
      </w:r>
      <w:r w:rsidR="009815A3">
        <w:rPr>
          <w:rFonts w:asciiTheme="majorBidi" w:hAnsiTheme="majorBidi" w:cstheme="majorBidi"/>
          <w:lang w:val="en-US"/>
        </w:rPr>
        <w:t xml:space="preserve">see </w:t>
      </w:r>
      <w:r w:rsidRPr="00485F89">
        <w:rPr>
          <w:rFonts w:asciiTheme="majorBidi" w:hAnsiTheme="majorBidi" w:cstheme="majorBidi"/>
          <w:color w:val="4F81BD" w:themeColor="accent1"/>
          <w:lang w:val="en-US"/>
        </w:rPr>
        <w:t>Wu, 2001</w:t>
      </w:r>
      <w:r w:rsidRPr="00485F89">
        <w:rPr>
          <w:rFonts w:asciiTheme="majorBidi" w:hAnsiTheme="majorBidi" w:cstheme="majorBidi"/>
          <w:lang w:val="en-US"/>
        </w:rPr>
        <w:t>).</w:t>
      </w:r>
      <w:r w:rsidR="00485F89">
        <w:rPr>
          <w:rFonts w:asciiTheme="majorBidi" w:hAnsiTheme="majorBidi" w:cstheme="majorBidi"/>
          <w:lang w:val="en-US"/>
        </w:rPr>
        <w:t xml:space="preserve"> </w:t>
      </w:r>
      <w:r w:rsidRPr="00485F89">
        <w:rPr>
          <w:rFonts w:asciiTheme="majorBidi" w:hAnsiTheme="majorBidi" w:cstheme="majorBidi"/>
          <w:lang w:val="en-US"/>
        </w:rPr>
        <w:t>On the other hand</w:t>
      </w:r>
      <w:r w:rsidR="009815A3">
        <w:rPr>
          <w:rFonts w:asciiTheme="majorBidi" w:hAnsiTheme="majorBidi" w:cstheme="majorBidi"/>
          <w:lang w:val="en-US"/>
        </w:rPr>
        <w:t>,</w:t>
      </w:r>
      <w:r w:rsidRPr="00485F89">
        <w:rPr>
          <w:rFonts w:asciiTheme="majorBidi" w:hAnsiTheme="majorBidi" w:cstheme="majorBidi"/>
          <w:lang w:val="en-US"/>
        </w:rPr>
        <w:t xml:space="preserve"> the theory of arbitrage suggests that a higher real interest rate</w:t>
      </w:r>
      <w:r w:rsidR="009815A3">
        <w:rPr>
          <w:rFonts w:asciiTheme="majorBidi" w:hAnsiTheme="majorBidi" w:cstheme="majorBidi"/>
          <w:lang w:val="en-US"/>
        </w:rPr>
        <w:t xml:space="preserve"> </w:t>
      </w:r>
      <w:r w:rsidRPr="00485F89">
        <w:rPr>
          <w:rFonts w:asciiTheme="majorBidi" w:hAnsiTheme="majorBidi" w:cstheme="majorBidi"/>
          <w:lang w:val="en-US"/>
        </w:rPr>
        <w:t xml:space="preserve">causes the stock prices to fall and decrease the present value </w:t>
      </w:r>
      <w:r w:rsidR="009815A3">
        <w:rPr>
          <w:rFonts w:asciiTheme="majorBidi" w:hAnsiTheme="majorBidi" w:cstheme="majorBidi"/>
          <w:lang w:val="en-US"/>
        </w:rPr>
        <w:t>of the firms’ future cash-flows</w:t>
      </w:r>
      <w:r w:rsidRPr="00485F89">
        <w:rPr>
          <w:rFonts w:asciiTheme="majorBidi" w:hAnsiTheme="majorBidi" w:cstheme="majorBidi"/>
          <w:lang w:val="en-US"/>
        </w:rPr>
        <w:t>.</w:t>
      </w:r>
      <w:r w:rsidR="009815A3">
        <w:rPr>
          <w:rFonts w:asciiTheme="majorBidi" w:hAnsiTheme="majorBidi" w:cstheme="majorBidi"/>
          <w:lang w:val="en-US"/>
        </w:rPr>
        <w:t xml:space="preserve"> Besides, c</w:t>
      </w:r>
      <w:r w:rsidRPr="00485F89">
        <w:rPr>
          <w:rFonts w:asciiTheme="majorBidi" w:hAnsiTheme="majorBidi" w:cstheme="majorBidi"/>
          <w:lang w:val="en-US"/>
        </w:rPr>
        <w:t xml:space="preserve">hanges in exchange rate </w:t>
      </w:r>
      <w:r w:rsidR="009815A3">
        <w:rPr>
          <w:rFonts w:asciiTheme="majorBidi" w:hAnsiTheme="majorBidi" w:cstheme="majorBidi"/>
          <w:lang w:val="en-US"/>
        </w:rPr>
        <w:t>could affect</w:t>
      </w:r>
      <w:r w:rsidRPr="00485F89">
        <w:rPr>
          <w:rFonts w:asciiTheme="majorBidi" w:hAnsiTheme="majorBidi" w:cstheme="majorBidi"/>
          <w:lang w:val="en-US"/>
        </w:rPr>
        <w:t xml:space="preserve"> the international competitiveness of countries</w:t>
      </w:r>
      <w:r w:rsidR="009815A3">
        <w:rPr>
          <w:rFonts w:asciiTheme="majorBidi" w:hAnsiTheme="majorBidi" w:cstheme="majorBidi"/>
          <w:lang w:val="en-US"/>
        </w:rPr>
        <w:t>,</w:t>
      </w:r>
      <w:r w:rsidRPr="00485F89">
        <w:rPr>
          <w:rFonts w:asciiTheme="majorBidi" w:hAnsiTheme="majorBidi" w:cstheme="majorBidi"/>
          <w:lang w:val="en-US"/>
        </w:rPr>
        <w:t xml:space="preserve"> where exports are strong and fluctuations in foreign exchange rates </w:t>
      </w:r>
      <w:r w:rsidR="009815A3">
        <w:rPr>
          <w:rFonts w:asciiTheme="majorBidi" w:hAnsiTheme="majorBidi" w:cstheme="majorBidi"/>
          <w:lang w:val="en-US"/>
        </w:rPr>
        <w:t>could</w:t>
      </w:r>
      <w:r w:rsidRPr="00485F89">
        <w:rPr>
          <w:rFonts w:asciiTheme="majorBidi" w:hAnsiTheme="majorBidi" w:cstheme="majorBidi"/>
          <w:lang w:val="en-US"/>
        </w:rPr>
        <w:t xml:space="preserve"> lead to substantial changes in the relative performance of equity portfolios, expressed in a common currency (</w:t>
      </w:r>
      <w:r w:rsidR="009815A3">
        <w:rPr>
          <w:rFonts w:asciiTheme="majorBidi" w:hAnsiTheme="majorBidi" w:cstheme="majorBidi"/>
          <w:lang w:val="en-US"/>
        </w:rPr>
        <w:t xml:space="preserve">see </w:t>
      </w:r>
      <w:r w:rsidRPr="00485F89">
        <w:rPr>
          <w:rFonts w:asciiTheme="majorBidi" w:hAnsiTheme="majorBidi" w:cstheme="majorBidi"/>
          <w:color w:val="4F81BD" w:themeColor="accent1"/>
          <w:lang w:val="en-US"/>
        </w:rPr>
        <w:t>Malliaropulos, 1998</w:t>
      </w:r>
      <w:r w:rsidRPr="00485F89">
        <w:rPr>
          <w:rFonts w:asciiTheme="majorBidi" w:hAnsiTheme="majorBidi" w:cstheme="majorBidi"/>
          <w:lang w:val="en-US"/>
        </w:rPr>
        <w:t>).</w:t>
      </w:r>
    </w:p>
    <w:p w:rsidR="00CF17FE" w:rsidRPr="00485F89" w:rsidRDefault="000472EA" w:rsidP="000472EA">
      <w:pPr>
        <w:ind w:firstLine="340"/>
        <w:jc w:val="both"/>
        <w:rPr>
          <w:rFonts w:asciiTheme="majorBidi" w:hAnsiTheme="majorBidi" w:cstheme="majorBidi"/>
          <w:lang w:val="en-US"/>
        </w:rPr>
      </w:pPr>
      <w:r>
        <w:rPr>
          <w:rFonts w:asciiTheme="majorBidi" w:hAnsiTheme="majorBidi" w:cstheme="majorBidi"/>
          <w:lang w:val="en-US"/>
        </w:rPr>
        <w:t xml:space="preserve">Numerous studies have tried to examine </w:t>
      </w:r>
      <w:r w:rsidR="00CF17FE" w:rsidRPr="00485F89">
        <w:rPr>
          <w:rFonts w:asciiTheme="majorBidi" w:hAnsiTheme="majorBidi" w:cstheme="majorBidi"/>
          <w:lang w:val="en-US"/>
        </w:rPr>
        <w:t>the effect on</w:t>
      </w:r>
      <w:r>
        <w:rPr>
          <w:rFonts w:asciiTheme="majorBidi" w:hAnsiTheme="majorBidi" w:cstheme="majorBidi"/>
          <w:lang w:val="en-US"/>
        </w:rPr>
        <w:t xml:space="preserve"> stock prices of exchange rates;</w:t>
      </w:r>
      <w:r w:rsidR="00CF17FE" w:rsidRPr="00485F89">
        <w:rPr>
          <w:rFonts w:asciiTheme="majorBidi" w:hAnsiTheme="majorBidi" w:cstheme="majorBidi"/>
          <w:lang w:val="en-US"/>
        </w:rPr>
        <w:t xml:space="preserve"> however, the findings are not uniform (</w:t>
      </w:r>
      <w:r>
        <w:rPr>
          <w:rFonts w:asciiTheme="majorBidi" w:hAnsiTheme="majorBidi" w:cstheme="majorBidi"/>
          <w:lang w:val="en-US"/>
        </w:rPr>
        <w:t xml:space="preserve">see </w:t>
      </w:r>
      <w:r w:rsidR="00CF17FE" w:rsidRPr="00485F89">
        <w:rPr>
          <w:rFonts w:asciiTheme="majorBidi" w:hAnsiTheme="majorBidi" w:cstheme="majorBidi"/>
          <w:color w:val="4F81BD" w:themeColor="accent1"/>
          <w:lang w:val="en-US"/>
        </w:rPr>
        <w:t>Ibrahim, 2000</w:t>
      </w:r>
      <w:r w:rsidR="00CF17FE" w:rsidRPr="00485F89">
        <w:rPr>
          <w:rFonts w:asciiTheme="majorBidi" w:hAnsiTheme="majorBidi" w:cstheme="majorBidi"/>
          <w:lang w:val="en-US"/>
        </w:rPr>
        <w:t xml:space="preserve">). Some studies give evidence </w:t>
      </w:r>
      <w:r>
        <w:rPr>
          <w:rFonts w:asciiTheme="majorBidi" w:hAnsiTheme="majorBidi" w:cstheme="majorBidi"/>
          <w:lang w:val="en-US"/>
        </w:rPr>
        <w:t>for</w:t>
      </w:r>
      <w:r w:rsidR="00CF17FE" w:rsidRPr="00485F89">
        <w:rPr>
          <w:rFonts w:asciiTheme="majorBidi" w:hAnsiTheme="majorBidi" w:cstheme="majorBidi"/>
          <w:lang w:val="en-US"/>
        </w:rPr>
        <w:t xml:space="preserve"> negative effects </w:t>
      </w:r>
      <w:r>
        <w:rPr>
          <w:rFonts w:asciiTheme="majorBidi" w:hAnsiTheme="majorBidi" w:cstheme="majorBidi"/>
          <w:lang w:val="en-US"/>
        </w:rPr>
        <w:t>of</w:t>
      </w:r>
      <w:r w:rsidR="00CF17FE" w:rsidRPr="00485F89">
        <w:rPr>
          <w:rFonts w:asciiTheme="majorBidi" w:hAnsiTheme="majorBidi" w:cstheme="majorBidi"/>
          <w:lang w:val="en-US"/>
        </w:rPr>
        <w:t xml:space="preserve"> exchange rates on stock </w:t>
      </w:r>
      <w:r>
        <w:rPr>
          <w:rFonts w:asciiTheme="majorBidi" w:hAnsiTheme="majorBidi" w:cstheme="majorBidi"/>
          <w:lang w:val="en-US"/>
        </w:rPr>
        <w:t>prices</w:t>
      </w:r>
      <w:r w:rsidR="00CF17FE" w:rsidRPr="00485F89">
        <w:rPr>
          <w:rFonts w:asciiTheme="majorBidi" w:hAnsiTheme="majorBidi" w:cstheme="majorBidi"/>
          <w:lang w:val="en-US"/>
        </w:rPr>
        <w:t xml:space="preserve"> (</w:t>
      </w:r>
      <w:r>
        <w:rPr>
          <w:rFonts w:asciiTheme="majorBidi" w:hAnsiTheme="majorBidi" w:cstheme="majorBidi"/>
          <w:lang w:val="en-US"/>
        </w:rPr>
        <w:t xml:space="preserve">see </w:t>
      </w:r>
      <w:r w:rsidR="00CF17FE" w:rsidRPr="00485F89">
        <w:rPr>
          <w:rFonts w:asciiTheme="majorBidi" w:hAnsiTheme="majorBidi" w:cstheme="majorBidi"/>
          <w:color w:val="4F81BD" w:themeColor="accent1"/>
          <w:lang w:val="en-US"/>
        </w:rPr>
        <w:t>Soenen and Henningar, 1988</w:t>
      </w:r>
      <w:r w:rsidR="00CF17FE" w:rsidRPr="00485F89">
        <w:rPr>
          <w:rFonts w:asciiTheme="majorBidi" w:hAnsiTheme="majorBidi" w:cstheme="majorBidi"/>
          <w:lang w:val="en-US"/>
        </w:rPr>
        <w:t>), while others found positive effects (</w:t>
      </w:r>
      <w:r>
        <w:rPr>
          <w:rFonts w:asciiTheme="majorBidi" w:hAnsiTheme="majorBidi" w:cstheme="majorBidi"/>
          <w:lang w:val="en-US"/>
        </w:rPr>
        <w:t xml:space="preserve">see </w:t>
      </w:r>
      <w:r w:rsidR="00CF17FE" w:rsidRPr="00485F89">
        <w:rPr>
          <w:rFonts w:asciiTheme="majorBidi" w:hAnsiTheme="majorBidi" w:cstheme="majorBidi"/>
          <w:color w:val="4F81BD" w:themeColor="accent1"/>
          <w:lang w:val="en-US"/>
        </w:rPr>
        <w:t>Aggarwal, 1981</w:t>
      </w:r>
      <w:r w:rsidR="00CF17FE" w:rsidRPr="00485F89">
        <w:rPr>
          <w:rFonts w:asciiTheme="majorBidi" w:hAnsiTheme="majorBidi" w:cstheme="majorBidi"/>
          <w:lang w:val="en-US"/>
        </w:rPr>
        <w:t xml:space="preserve">). </w:t>
      </w:r>
      <w:r>
        <w:rPr>
          <w:rFonts w:asciiTheme="majorBidi" w:hAnsiTheme="majorBidi" w:cstheme="majorBidi"/>
          <w:lang w:val="en-US"/>
        </w:rPr>
        <w:t>Nevertheless, somme o</w:t>
      </w:r>
      <w:r w:rsidR="00CF17FE" w:rsidRPr="00485F89">
        <w:rPr>
          <w:rFonts w:asciiTheme="majorBidi" w:hAnsiTheme="majorBidi" w:cstheme="majorBidi"/>
          <w:lang w:val="en-US"/>
        </w:rPr>
        <w:t xml:space="preserve">ther studies </w:t>
      </w:r>
      <w:r>
        <w:rPr>
          <w:rFonts w:asciiTheme="majorBidi" w:hAnsiTheme="majorBidi" w:cstheme="majorBidi"/>
          <w:lang w:val="en-US"/>
        </w:rPr>
        <w:t>argue</w:t>
      </w:r>
      <w:r w:rsidR="00CF17FE" w:rsidRPr="00485F89">
        <w:rPr>
          <w:rFonts w:asciiTheme="majorBidi" w:hAnsiTheme="majorBidi" w:cstheme="majorBidi"/>
          <w:lang w:val="en-US"/>
        </w:rPr>
        <w:t xml:space="preserve"> that the exchange rate </w:t>
      </w:r>
      <w:r>
        <w:rPr>
          <w:rFonts w:asciiTheme="majorBidi" w:hAnsiTheme="majorBidi" w:cstheme="majorBidi"/>
          <w:lang w:val="en-US"/>
        </w:rPr>
        <w:t>movements</w:t>
      </w:r>
      <w:r w:rsidR="00CF17FE" w:rsidRPr="00485F89">
        <w:rPr>
          <w:rFonts w:asciiTheme="majorBidi" w:hAnsiTheme="majorBidi" w:cstheme="majorBidi"/>
          <w:lang w:val="en-US"/>
        </w:rPr>
        <w:t xml:space="preserve"> have no significant impact on stock market</w:t>
      </w:r>
      <w:r>
        <w:rPr>
          <w:rFonts w:asciiTheme="majorBidi" w:hAnsiTheme="majorBidi" w:cstheme="majorBidi"/>
          <w:lang w:val="en-US"/>
        </w:rPr>
        <w:t>s</w:t>
      </w:r>
      <w:r w:rsidR="00CF17FE" w:rsidRPr="00485F89">
        <w:rPr>
          <w:rFonts w:asciiTheme="majorBidi" w:hAnsiTheme="majorBidi" w:cstheme="majorBidi"/>
          <w:lang w:val="en-US"/>
        </w:rPr>
        <w:t xml:space="preserve"> (</w:t>
      </w:r>
      <w:r>
        <w:rPr>
          <w:rFonts w:asciiTheme="majorBidi" w:hAnsiTheme="majorBidi" w:cstheme="majorBidi"/>
          <w:lang w:val="en-US"/>
        </w:rPr>
        <w:t xml:space="preserve">see </w:t>
      </w:r>
      <w:r w:rsidR="00CF17FE" w:rsidRPr="00485F89">
        <w:rPr>
          <w:rFonts w:asciiTheme="majorBidi" w:hAnsiTheme="majorBidi" w:cstheme="majorBidi"/>
          <w:color w:val="4F81BD" w:themeColor="accent1"/>
          <w:lang w:val="en-US"/>
        </w:rPr>
        <w:t>Solnik, 198</w:t>
      </w:r>
      <w:r w:rsidR="00086A55" w:rsidRPr="00485F89">
        <w:rPr>
          <w:rFonts w:asciiTheme="majorBidi" w:hAnsiTheme="majorBidi" w:cstheme="majorBidi"/>
          <w:color w:val="4F81BD" w:themeColor="accent1"/>
          <w:lang w:val="en-US"/>
        </w:rPr>
        <w:t>4</w:t>
      </w:r>
      <w:r w:rsidR="00CF17FE" w:rsidRPr="00485F89">
        <w:rPr>
          <w:rFonts w:asciiTheme="majorBidi" w:hAnsiTheme="majorBidi" w:cstheme="majorBidi"/>
          <w:lang w:val="en-US"/>
        </w:rPr>
        <w:t xml:space="preserve">). </w:t>
      </w:r>
    </w:p>
    <w:p w:rsidR="004C4291" w:rsidRDefault="008C7406" w:rsidP="004C4291">
      <w:pPr>
        <w:ind w:firstLine="340"/>
        <w:jc w:val="both"/>
        <w:rPr>
          <w:rFonts w:asciiTheme="majorBidi" w:hAnsiTheme="majorBidi" w:cstheme="majorBidi"/>
          <w:lang w:val="en-US"/>
        </w:rPr>
      </w:pPr>
      <w:r w:rsidRPr="00485F89">
        <w:rPr>
          <w:rFonts w:asciiTheme="majorBidi" w:hAnsiTheme="majorBidi" w:cstheme="majorBidi"/>
          <w:lang w:val="en-US"/>
        </w:rPr>
        <w:t>The empirica</w:t>
      </w:r>
      <w:r w:rsidR="000472EA">
        <w:rPr>
          <w:rFonts w:asciiTheme="majorBidi" w:hAnsiTheme="majorBidi" w:cstheme="majorBidi"/>
          <w:lang w:val="en-US"/>
        </w:rPr>
        <w:t>l evidence on the stock price-</w:t>
      </w:r>
      <w:r w:rsidRPr="00485F89">
        <w:rPr>
          <w:rFonts w:asciiTheme="majorBidi" w:hAnsiTheme="majorBidi" w:cstheme="majorBidi"/>
          <w:lang w:val="en-US"/>
        </w:rPr>
        <w:t>exchange rate relationships has been document</w:t>
      </w:r>
      <w:r w:rsidR="000472EA">
        <w:rPr>
          <w:rFonts w:asciiTheme="majorBidi" w:hAnsiTheme="majorBidi" w:cstheme="majorBidi"/>
          <w:lang w:val="en-US"/>
        </w:rPr>
        <w:t>ed</w:t>
      </w:r>
      <w:r w:rsidRPr="00485F89">
        <w:rPr>
          <w:rFonts w:asciiTheme="majorBidi" w:hAnsiTheme="majorBidi" w:cstheme="majorBidi"/>
          <w:lang w:val="en-US"/>
        </w:rPr>
        <w:t xml:space="preserve"> by</w:t>
      </w:r>
      <w:r w:rsidR="000472EA">
        <w:rPr>
          <w:rFonts w:asciiTheme="majorBidi" w:hAnsiTheme="majorBidi" w:cstheme="majorBidi"/>
          <w:lang w:val="en-US"/>
        </w:rPr>
        <w:t xml:space="preserve"> </w:t>
      </w:r>
      <w:r w:rsidRPr="00485F89">
        <w:rPr>
          <w:rFonts w:asciiTheme="majorBidi" w:hAnsiTheme="majorBidi" w:cstheme="majorBidi"/>
          <w:lang w:val="en-US"/>
        </w:rPr>
        <w:t xml:space="preserve">numerous studies. For example, </w:t>
      </w:r>
      <w:r w:rsidRPr="00485F89">
        <w:rPr>
          <w:rFonts w:asciiTheme="majorBidi" w:hAnsiTheme="majorBidi" w:cstheme="majorBidi"/>
          <w:color w:val="4F81BD" w:themeColor="accent1"/>
          <w:lang w:val="en-US"/>
        </w:rPr>
        <w:t>Yang and Doong (2004)</w:t>
      </w:r>
      <w:r w:rsidRPr="00485F89">
        <w:rPr>
          <w:rFonts w:asciiTheme="majorBidi" w:hAnsiTheme="majorBidi" w:cstheme="majorBidi"/>
          <w:lang w:val="en-US"/>
        </w:rPr>
        <w:t xml:space="preserve"> find that stock market movements </w:t>
      </w:r>
      <w:r w:rsidR="005554E9" w:rsidRPr="00485F89">
        <w:rPr>
          <w:rFonts w:asciiTheme="majorBidi" w:hAnsiTheme="majorBidi" w:cstheme="majorBidi"/>
          <w:lang w:val="en-US"/>
        </w:rPr>
        <w:t>have a significant effec</w:t>
      </w:r>
      <w:r w:rsidRPr="00485F89">
        <w:rPr>
          <w:rFonts w:asciiTheme="majorBidi" w:hAnsiTheme="majorBidi" w:cstheme="majorBidi"/>
          <w:lang w:val="en-US"/>
        </w:rPr>
        <w:t>t on future exchange rate changes for the G7 countries over the period</w:t>
      </w:r>
      <w:r w:rsidR="000472EA">
        <w:rPr>
          <w:rFonts w:asciiTheme="majorBidi" w:hAnsiTheme="majorBidi" w:cstheme="majorBidi"/>
          <w:lang w:val="en-US"/>
        </w:rPr>
        <w:t xml:space="preserve"> </w:t>
      </w:r>
      <w:r w:rsidRPr="00485F89">
        <w:rPr>
          <w:rFonts w:asciiTheme="majorBidi" w:hAnsiTheme="majorBidi" w:cstheme="majorBidi"/>
          <w:lang w:val="en-US"/>
        </w:rPr>
        <w:t>1979-1999.</w:t>
      </w:r>
      <w:r w:rsidR="000472EA">
        <w:rPr>
          <w:rFonts w:asciiTheme="majorBidi" w:hAnsiTheme="majorBidi" w:cstheme="majorBidi"/>
          <w:lang w:val="en-US"/>
        </w:rPr>
        <w:t xml:space="preserve"> </w:t>
      </w:r>
      <w:r w:rsidR="005554E9" w:rsidRPr="00485F89">
        <w:rPr>
          <w:rFonts w:asciiTheme="majorBidi" w:hAnsiTheme="majorBidi" w:cstheme="majorBidi"/>
          <w:color w:val="4F81BD" w:themeColor="accent1"/>
          <w:lang w:val="en-US"/>
        </w:rPr>
        <w:t>Pan et al. (2007)</w:t>
      </w:r>
      <w:r w:rsidR="005554E9" w:rsidRPr="00485F89">
        <w:rPr>
          <w:rFonts w:asciiTheme="majorBidi" w:hAnsiTheme="majorBidi" w:cstheme="majorBidi"/>
          <w:lang w:val="en-US"/>
        </w:rPr>
        <w:t xml:space="preserve"> use a VAR approach to analyze the interaction between stock markets and exchange markets </w:t>
      </w:r>
      <w:r w:rsidR="000472EA">
        <w:rPr>
          <w:rFonts w:asciiTheme="majorBidi" w:hAnsiTheme="majorBidi" w:cstheme="majorBidi"/>
          <w:lang w:val="en-US"/>
        </w:rPr>
        <w:t xml:space="preserve">for seven East Asian countries. They </w:t>
      </w:r>
      <w:r w:rsidR="005554E9" w:rsidRPr="00485F89">
        <w:rPr>
          <w:rFonts w:asciiTheme="majorBidi" w:hAnsiTheme="majorBidi" w:cstheme="majorBidi"/>
          <w:lang w:val="en-US"/>
        </w:rPr>
        <w:t xml:space="preserve">provide evidence of a significant bidirectional relationship between these markets before the Asian financial crisis. More recently, </w:t>
      </w:r>
      <w:r w:rsidR="00A15F5D">
        <w:rPr>
          <w:rFonts w:asciiTheme="majorBidi" w:hAnsiTheme="majorBidi" w:cstheme="majorBidi"/>
          <w:lang w:val="en-US"/>
        </w:rPr>
        <w:t xml:space="preserve">some other studies have investigated this issue, by employing different methodologies (see </w:t>
      </w:r>
      <w:r w:rsidR="00A15F5D" w:rsidRPr="00485F89">
        <w:rPr>
          <w:rFonts w:asciiTheme="majorBidi" w:hAnsiTheme="majorBidi" w:cstheme="majorBidi"/>
          <w:color w:val="4F81BD" w:themeColor="accent1"/>
          <w:lang w:val="en-US"/>
        </w:rPr>
        <w:t>Inagaki, 2007</w:t>
      </w:r>
      <w:r w:rsidR="00A15F5D" w:rsidRPr="00A15F5D">
        <w:rPr>
          <w:rFonts w:asciiTheme="majorBidi" w:hAnsiTheme="majorBidi" w:cstheme="majorBidi"/>
          <w:lang w:val="en-US"/>
        </w:rPr>
        <w:t>;</w:t>
      </w:r>
      <w:r w:rsidR="00A15F5D">
        <w:rPr>
          <w:rFonts w:asciiTheme="majorBidi" w:hAnsiTheme="majorBidi" w:cstheme="majorBidi"/>
          <w:color w:val="4F81BD" w:themeColor="accent1"/>
          <w:lang w:val="en-US"/>
        </w:rPr>
        <w:t xml:space="preserve"> </w:t>
      </w:r>
      <w:r w:rsidR="00A15F5D" w:rsidRPr="00485F89">
        <w:rPr>
          <w:rFonts w:asciiTheme="majorBidi" w:hAnsiTheme="majorBidi" w:cstheme="majorBidi"/>
          <w:color w:val="4F81BD" w:themeColor="accent1"/>
          <w:lang w:val="en-US"/>
        </w:rPr>
        <w:t>Nikkinen et al., 2006</w:t>
      </w:r>
      <w:r w:rsidR="00A15F5D" w:rsidRPr="00A15F5D">
        <w:rPr>
          <w:rFonts w:asciiTheme="majorBidi" w:hAnsiTheme="majorBidi" w:cstheme="majorBidi"/>
          <w:lang w:val="en-US"/>
        </w:rPr>
        <w:t>;</w:t>
      </w:r>
      <w:r w:rsidR="00A15F5D" w:rsidRPr="00A15F5D">
        <w:rPr>
          <w:rFonts w:asciiTheme="majorBidi" w:hAnsiTheme="majorBidi" w:cstheme="majorBidi"/>
          <w:color w:val="4F81BD" w:themeColor="accent1"/>
          <w:lang w:val="en-US"/>
        </w:rPr>
        <w:t xml:space="preserve"> </w:t>
      </w:r>
      <w:r w:rsidR="00A15F5D" w:rsidRPr="00485F89">
        <w:rPr>
          <w:rFonts w:asciiTheme="majorBidi" w:hAnsiTheme="majorBidi" w:cstheme="majorBidi"/>
          <w:color w:val="4F81BD" w:themeColor="accent1"/>
          <w:lang w:val="en-US"/>
        </w:rPr>
        <w:t>Patton, 2006</w:t>
      </w:r>
      <w:r w:rsidR="00A15F5D" w:rsidRPr="00A15F5D">
        <w:rPr>
          <w:rFonts w:asciiTheme="majorBidi" w:hAnsiTheme="majorBidi" w:cstheme="majorBidi"/>
          <w:lang w:val="en-US"/>
        </w:rPr>
        <w:t>;</w:t>
      </w:r>
      <w:r w:rsidR="00A15F5D" w:rsidRPr="00485F89">
        <w:rPr>
          <w:rFonts w:asciiTheme="majorBidi" w:hAnsiTheme="majorBidi" w:cstheme="majorBidi"/>
          <w:color w:val="4F81BD" w:themeColor="accent1"/>
          <w:lang w:val="en-US"/>
        </w:rPr>
        <w:t xml:space="preserve"> Boero et al., 2011</w:t>
      </w:r>
      <w:r w:rsidR="00A15F5D" w:rsidRPr="00A15F5D">
        <w:rPr>
          <w:rFonts w:asciiTheme="majorBidi" w:hAnsiTheme="majorBidi" w:cstheme="majorBidi"/>
          <w:lang w:val="en-US"/>
        </w:rPr>
        <w:t>;</w:t>
      </w:r>
      <w:r w:rsidR="00A15F5D" w:rsidRPr="00A15F5D">
        <w:rPr>
          <w:rFonts w:asciiTheme="majorBidi" w:hAnsiTheme="majorBidi" w:cstheme="majorBidi"/>
          <w:color w:val="4F81BD" w:themeColor="accent1"/>
          <w:lang w:val="en-US"/>
        </w:rPr>
        <w:t xml:space="preserve"> </w:t>
      </w:r>
      <w:r w:rsidR="00A15F5D" w:rsidRPr="00485F89">
        <w:rPr>
          <w:rFonts w:asciiTheme="majorBidi" w:hAnsiTheme="majorBidi" w:cstheme="majorBidi"/>
          <w:color w:val="4F81BD" w:themeColor="accent1"/>
          <w:lang w:val="en-US"/>
        </w:rPr>
        <w:t>Rodriquez, 2007</w:t>
      </w:r>
      <w:r w:rsidR="00A15F5D" w:rsidRPr="00A15F5D">
        <w:rPr>
          <w:rFonts w:asciiTheme="majorBidi" w:hAnsiTheme="majorBidi" w:cstheme="majorBidi"/>
          <w:lang w:val="en-US"/>
        </w:rPr>
        <w:t>;</w:t>
      </w:r>
      <w:r w:rsidR="00A15F5D" w:rsidRPr="00485F89">
        <w:rPr>
          <w:rFonts w:asciiTheme="majorBidi" w:hAnsiTheme="majorBidi" w:cstheme="majorBidi"/>
          <w:color w:val="4F81BD" w:themeColor="accent1"/>
          <w:lang w:val="en-US"/>
        </w:rPr>
        <w:t xml:space="preserve"> Kenourgios et al., 2011</w:t>
      </w:r>
      <w:r w:rsidR="00A15F5D" w:rsidRPr="00A15F5D">
        <w:rPr>
          <w:rFonts w:asciiTheme="majorBidi" w:hAnsiTheme="majorBidi" w:cstheme="majorBidi"/>
          <w:lang w:val="en-US"/>
        </w:rPr>
        <w:t>;</w:t>
      </w:r>
      <w:r w:rsidR="00A15F5D">
        <w:rPr>
          <w:rFonts w:asciiTheme="majorBidi" w:hAnsiTheme="majorBidi" w:cstheme="majorBidi"/>
          <w:color w:val="4F81BD" w:themeColor="accent1"/>
          <w:lang w:val="en-US"/>
        </w:rPr>
        <w:t xml:space="preserve"> </w:t>
      </w:r>
      <w:r w:rsidR="00A15F5D" w:rsidRPr="00485F89">
        <w:rPr>
          <w:rFonts w:asciiTheme="majorBidi" w:hAnsiTheme="majorBidi" w:cstheme="majorBidi"/>
          <w:color w:val="4F81BD" w:themeColor="accent1"/>
          <w:lang w:val="en-US"/>
        </w:rPr>
        <w:t>Perez-Rodriguez, 2006</w:t>
      </w:r>
      <w:r w:rsidR="00A15F5D" w:rsidRPr="00A15F5D">
        <w:rPr>
          <w:rFonts w:asciiTheme="majorBidi" w:hAnsiTheme="majorBidi" w:cstheme="majorBidi"/>
          <w:lang w:val="en-US"/>
        </w:rPr>
        <w:t>;</w:t>
      </w:r>
      <w:r w:rsidR="00A15F5D" w:rsidRPr="00485F89">
        <w:rPr>
          <w:rFonts w:asciiTheme="majorBidi" w:hAnsiTheme="majorBidi" w:cstheme="majorBidi"/>
          <w:color w:val="4F81BD" w:themeColor="accent1"/>
          <w:lang w:val="en-US"/>
        </w:rPr>
        <w:t xml:space="preserve"> Kitamura, 2010</w:t>
      </w:r>
      <w:r w:rsidR="00A15F5D" w:rsidRPr="00A15F5D">
        <w:rPr>
          <w:rFonts w:asciiTheme="majorBidi" w:hAnsiTheme="majorBidi" w:cstheme="majorBidi"/>
          <w:lang w:val="en-US"/>
        </w:rPr>
        <w:t>;</w:t>
      </w:r>
      <w:r w:rsidR="00A15F5D" w:rsidRPr="00485F89">
        <w:rPr>
          <w:rFonts w:asciiTheme="majorBidi" w:hAnsiTheme="majorBidi" w:cstheme="majorBidi"/>
          <w:color w:val="4F81BD" w:themeColor="accent1"/>
          <w:lang w:val="en-US"/>
        </w:rPr>
        <w:t xml:space="preserve"> Dimitriou and Kenourgios, 2013</w:t>
      </w:r>
      <w:r w:rsidR="00A15F5D" w:rsidRPr="00A15F5D">
        <w:rPr>
          <w:rFonts w:asciiTheme="majorBidi" w:hAnsiTheme="majorBidi" w:cstheme="majorBidi"/>
          <w:lang w:val="en-US"/>
        </w:rPr>
        <w:t>;</w:t>
      </w:r>
      <w:r w:rsidR="00A15F5D" w:rsidRPr="00485F89">
        <w:rPr>
          <w:rFonts w:asciiTheme="majorBidi" w:hAnsiTheme="majorBidi" w:cstheme="majorBidi"/>
          <w:color w:val="4F81BD" w:themeColor="accent1"/>
          <w:lang w:val="en-US"/>
        </w:rPr>
        <w:t xml:space="preserve"> Tamakoshi and Hamori, 2014</w:t>
      </w:r>
      <w:r w:rsidR="00A15F5D" w:rsidRPr="00A15F5D">
        <w:rPr>
          <w:rFonts w:asciiTheme="majorBidi" w:hAnsiTheme="majorBidi" w:cstheme="majorBidi"/>
          <w:lang w:val="en-US"/>
        </w:rPr>
        <w:t>;</w:t>
      </w:r>
      <w:r w:rsidR="00A15F5D">
        <w:rPr>
          <w:rFonts w:asciiTheme="majorBidi" w:hAnsiTheme="majorBidi" w:cstheme="majorBidi"/>
          <w:lang w:val="en-US"/>
        </w:rPr>
        <w:t xml:space="preserve"> </w:t>
      </w:r>
      <w:r w:rsidR="00A15F5D">
        <w:rPr>
          <w:rFonts w:asciiTheme="majorBidi" w:hAnsiTheme="majorBidi" w:cstheme="majorBidi"/>
          <w:color w:val="4F81BD" w:themeColor="accent1"/>
          <w:lang w:val="en-US"/>
        </w:rPr>
        <w:t xml:space="preserve">Chkili et al., </w:t>
      </w:r>
      <w:r w:rsidR="005554E9" w:rsidRPr="00485F89">
        <w:rPr>
          <w:rFonts w:asciiTheme="majorBidi" w:hAnsiTheme="majorBidi" w:cstheme="majorBidi"/>
          <w:color w:val="4F81BD" w:themeColor="accent1"/>
          <w:lang w:val="en-US"/>
        </w:rPr>
        <w:t>2011</w:t>
      </w:r>
      <w:r w:rsidR="005554E9" w:rsidRPr="00A15F5D">
        <w:rPr>
          <w:rFonts w:asciiTheme="majorBidi" w:hAnsiTheme="majorBidi" w:cstheme="majorBidi"/>
          <w:lang w:val="en-US"/>
        </w:rPr>
        <w:t>)</w:t>
      </w:r>
      <w:r w:rsidR="00A15F5D">
        <w:rPr>
          <w:rFonts w:asciiTheme="majorBidi" w:hAnsiTheme="majorBidi" w:cstheme="majorBidi"/>
          <w:lang w:val="en-US"/>
        </w:rPr>
        <w:t>.</w:t>
      </w:r>
    </w:p>
    <w:p w:rsidR="00FC75DA" w:rsidRPr="00485F89" w:rsidRDefault="00607232" w:rsidP="004C4291">
      <w:pPr>
        <w:ind w:firstLine="340"/>
        <w:jc w:val="both"/>
        <w:rPr>
          <w:rFonts w:asciiTheme="majorBidi" w:hAnsiTheme="majorBidi" w:cstheme="majorBidi"/>
          <w:lang w:val="en-US"/>
        </w:rPr>
      </w:pPr>
      <w:r w:rsidRPr="00485F89">
        <w:rPr>
          <w:rFonts w:asciiTheme="majorBidi" w:hAnsiTheme="majorBidi" w:cstheme="majorBidi"/>
          <w:lang w:val="en-US"/>
        </w:rPr>
        <w:t>However, most of these studies do not address how the interdependence between stock prices and exchange rates was affected by the recent global financial and European sovereign debt crises. The main objective of this work is to explore the asymmetric dynamics in the correlations among exchange rates and stock prices, as this remains underexplored in empirical research.</w:t>
      </w:r>
    </w:p>
    <w:p w:rsidR="00A14247" w:rsidRPr="00485F89" w:rsidRDefault="00607232" w:rsidP="004C4291">
      <w:pPr>
        <w:ind w:firstLine="340"/>
        <w:jc w:val="both"/>
        <w:rPr>
          <w:rFonts w:asciiTheme="majorBidi" w:hAnsiTheme="majorBidi" w:cstheme="majorBidi"/>
          <w:lang w:val="en-US"/>
        </w:rPr>
      </w:pPr>
      <w:r w:rsidRPr="00485F89">
        <w:rPr>
          <w:rFonts w:asciiTheme="majorBidi" w:hAnsiTheme="majorBidi" w:cstheme="majorBidi"/>
          <w:lang w:val="en-US"/>
        </w:rPr>
        <w:t xml:space="preserve">Furthermore, it would be interesting to conduct an empirical analysis on how the dependence structures of the three European stock prices and the exchange rate (USD/EUR) changed particularly during the recent global financial and Eurozone sovereign debt crises. Two major contributions on this topic are made in the present study. First, we investigate the asymmetric behavior of dynamic correlations among exchange rate and stock prices by </w:t>
      </w:r>
      <w:r w:rsidR="004C4291">
        <w:rPr>
          <w:rFonts w:asciiTheme="majorBidi" w:hAnsiTheme="majorBidi" w:cstheme="majorBidi"/>
          <w:lang w:val="en-US"/>
        </w:rPr>
        <w:t>using</w:t>
      </w:r>
      <w:r w:rsidRPr="00485F89">
        <w:rPr>
          <w:rFonts w:asciiTheme="majorBidi" w:hAnsiTheme="majorBidi" w:cstheme="majorBidi"/>
          <w:lang w:val="en-US"/>
        </w:rPr>
        <w:t xml:space="preserve"> the multivariate asymmetric DCC (A-DCC) model put forward by </w:t>
      </w:r>
      <w:r w:rsidRPr="00485F89">
        <w:rPr>
          <w:rFonts w:asciiTheme="majorBidi" w:hAnsiTheme="majorBidi" w:cstheme="majorBidi"/>
          <w:color w:val="4F81BD" w:themeColor="accent1"/>
          <w:lang w:val="en-US"/>
        </w:rPr>
        <w:t>Cappiello et al. (2006)</w:t>
      </w:r>
      <w:r w:rsidRPr="00485F89">
        <w:rPr>
          <w:rFonts w:asciiTheme="majorBidi" w:hAnsiTheme="majorBidi" w:cstheme="majorBidi"/>
          <w:lang w:val="en-US"/>
        </w:rPr>
        <w:t>. The A-DCC model allows for conditional asymmetries in covariance and correlation dynamics, thereby enabling to examine the presence of asymmetric responses in correlations during periods of negative shocks. Second, we evaluate how the global financial and European sovereign debt crises influenced the estimated DCCs among the currency markets.</w:t>
      </w:r>
    </w:p>
    <w:p w:rsidR="001579B5" w:rsidRPr="00485F89" w:rsidRDefault="001579B5" w:rsidP="001579B5">
      <w:pPr>
        <w:ind w:firstLine="340"/>
        <w:jc w:val="both"/>
        <w:rPr>
          <w:rFonts w:asciiTheme="majorBidi" w:hAnsiTheme="majorBidi" w:cstheme="majorBidi"/>
          <w:lang w:val="en-US"/>
        </w:rPr>
      </w:pPr>
      <w:r w:rsidRPr="00485F89">
        <w:rPr>
          <w:rFonts w:asciiTheme="majorBidi" w:hAnsiTheme="majorBidi" w:cstheme="majorBidi"/>
          <w:lang w:val="en-US"/>
        </w:rPr>
        <w:t>The layout of the present study is as follows. Section 2 presents the empirical methodology and the identification of the length and the phases of the two crises. Section 3 provides the data and a preliminary analysis. Section 4 presents and discusses the tests for sign and size bias. The empirical results are displayed, analyzed and discussed in section 5, while section 6 reports the concluding remarks.</w:t>
      </w:r>
    </w:p>
    <w:p w:rsidR="001579B5" w:rsidRDefault="001579B5" w:rsidP="00CF17FE">
      <w:pPr>
        <w:ind w:firstLine="340"/>
        <w:jc w:val="both"/>
        <w:rPr>
          <w:rFonts w:asciiTheme="majorBidi" w:hAnsiTheme="majorBidi" w:cstheme="majorBidi"/>
          <w:color w:val="FF0000"/>
          <w:sz w:val="24"/>
          <w:szCs w:val="24"/>
          <w:lang w:val="en-US"/>
        </w:rPr>
      </w:pPr>
    </w:p>
    <w:p w:rsidR="00CF17FE" w:rsidRPr="004C4291" w:rsidRDefault="00CF17FE" w:rsidP="004C4291">
      <w:pPr>
        <w:pStyle w:val="Paragraphedeliste"/>
        <w:numPr>
          <w:ilvl w:val="0"/>
          <w:numId w:val="1"/>
        </w:numPr>
        <w:spacing w:after="0" w:line="240" w:lineRule="auto"/>
        <w:ind w:left="340" w:hanging="340"/>
        <w:jc w:val="both"/>
        <w:rPr>
          <w:rFonts w:asciiTheme="majorBidi" w:hAnsiTheme="majorBidi" w:cstheme="majorBidi"/>
          <w:b/>
          <w:sz w:val="24"/>
          <w:szCs w:val="24"/>
          <w:lang w:val="en-US"/>
        </w:rPr>
      </w:pPr>
      <w:r w:rsidRPr="004C4291">
        <w:rPr>
          <w:rFonts w:asciiTheme="majorBidi" w:hAnsiTheme="majorBidi" w:cstheme="majorBidi"/>
          <w:b/>
          <w:sz w:val="24"/>
          <w:szCs w:val="24"/>
          <w:lang w:val="en-US"/>
        </w:rPr>
        <w:t>Econometric methodology</w:t>
      </w:r>
    </w:p>
    <w:p w:rsidR="004C4291" w:rsidRPr="004C4291" w:rsidRDefault="004C4291" w:rsidP="004C4291">
      <w:pPr>
        <w:jc w:val="both"/>
        <w:rPr>
          <w:rFonts w:asciiTheme="majorBidi" w:hAnsiTheme="majorBidi" w:cstheme="majorBidi"/>
          <w:bCs/>
          <w:lang w:val="en-US"/>
        </w:rPr>
      </w:pPr>
    </w:p>
    <w:p w:rsidR="00CF17FE" w:rsidRPr="004C4291" w:rsidRDefault="00CF17FE" w:rsidP="004C4291">
      <w:pPr>
        <w:ind w:left="397" w:hanging="340"/>
        <w:jc w:val="both"/>
        <w:rPr>
          <w:rFonts w:asciiTheme="majorBidi" w:hAnsiTheme="majorBidi" w:cstheme="majorBidi"/>
          <w:b/>
          <w:sz w:val="23"/>
          <w:szCs w:val="23"/>
          <w:lang w:val="en-US"/>
        </w:rPr>
      </w:pPr>
      <w:r w:rsidRPr="004C4291">
        <w:rPr>
          <w:rFonts w:asciiTheme="majorBidi" w:hAnsiTheme="majorBidi" w:cstheme="majorBidi"/>
          <w:b/>
          <w:sz w:val="23"/>
          <w:szCs w:val="23"/>
          <w:lang w:val="en-US"/>
        </w:rPr>
        <w:t>2.1. AG-DCC-EGARCH model</w:t>
      </w:r>
    </w:p>
    <w:p w:rsidR="00CF17FE" w:rsidRPr="004C4291" w:rsidRDefault="00CF17FE" w:rsidP="00CF17FE">
      <w:pPr>
        <w:ind w:firstLine="340"/>
        <w:jc w:val="both"/>
        <w:rPr>
          <w:rFonts w:asciiTheme="majorBidi" w:hAnsiTheme="majorBidi" w:cstheme="majorBidi"/>
          <w:lang w:val="en-US"/>
        </w:rPr>
      </w:pPr>
    </w:p>
    <w:p w:rsidR="00CF17FE" w:rsidRPr="004C4291" w:rsidRDefault="00CF17FE" w:rsidP="00CF17FE">
      <w:pPr>
        <w:ind w:firstLine="340"/>
        <w:jc w:val="both"/>
        <w:rPr>
          <w:rFonts w:asciiTheme="majorBidi" w:hAnsiTheme="majorBidi" w:cstheme="majorBidi"/>
          <w:lang w:val="en-US"/>
        </w:rPr>
      </w:pPr>
      <w:r w:rsidRPr="004C4291">
        <w:rPr>
          <w:rFonts w:asciiTheme="majorBidi" w:hAnsiTheme="majorBidi" w:cstheme="majorBidi"/>
          <w:lang w:val="en-US"/>
        </w:rPr>
        <w:t>To investigate the dynamics of the correlations between</w:t>
      </w:r>
      <w:r w:rsidR="00805E11">
        <w:rPr>
          <w:rFonts w:asciiTheme="majorBidi" w:hAnsiTheme="majorBidi" w:cstheme="majorBidi"/>
          <w:lang w:val="en-US"/>
        </w:rPr>
        <w:t xml:space="preserve"> </w:t>
      </w:r>
      <w:r w:rsidR="00B25CEE" w:rsidRPr="004C4291">
        <w:rPr>
          <w:rFonts w:asciiTheme="majorBidi" w:hAnsiTheme="majorBidi" w:cstheme="majorBidi"/>
          <w:lang w:val="en-US"/>
        </w:rPr>
        <w:t>Americain exchange rat</w:t>
      </w:r>
      <w:r w:rsidR="00E04466">
        <w:rPr>
          <w:rFonts w:asciiTheme="majorBidi" w:hAnsiTheme="majorBidi" w:cstheme="majorBidi"/>
          <w:lang w:val="en-US"/>
        </w:rPr>
        <w:t>e expressed in (EUR) and three E</w:t>
      </w:r>
      <w:r w:rsidR="00B25CEE" w:rsidRPr="004C4291">
        <w:rPr>
          <w:rFonts w:asciiTheme="majorBidi" w:hAnsiTheme="majorBidi" w:cstheme="majorBidi"/>
          <w:lang w:val="en-US"/>
        </w:rPr>
        <w:t>uropean</w:t>
      </w:r>
      <w:r w:rsidRPr="004C4291">
        <w:rPr>
          <w:rFonts w:asciiTheme="majorBidi" w:hAnsiTheme="majorBidi" w:cstheme="majorBidi"/>
          <w:lang w:val="en-US"/>
        </w:rPr>
        <w:t xml:space="preserve"> stock markets</w:t>
      </w:r>
      <w:r w:rsidR="00B25CEE" w:rsidRPr="004C4291">
        <w:rPr>
          <w:rFonts w:asciiTheme="majorBidi" w:hAnsiTheme="majorBidi" w:cstheme="majorBidi"/>
          <w:lang w:val="en-US"/>
        </w:rPr>
        <w:t xml:space="preserve"> namely Germany (DAX30), France (CAC40) and United Kingdom (FTSE100)</w:t>
      </w:r>
      <w:r w:rsidRPr="004C4291">
        <w:rPr>
          <w:rFonts w:asciiTheme="majorBidi" w:hAnsiTheme="majorBidi" w:cstheme="majorBidi"/>
          <w:lang w:val="en-US"/>
        </w:rPr>
        <w:t xml:space="preserve">, we use the asymmetric generalized dynamic conditional correlation (AG-DCC) model developed by </w:t>
      </w:r>
      <w:r w:rsidRPr="004C4291">
        <w:rPr>
          <w:rFonts w:asciiTheme="majorBidi" w:hAnsiTheme="majorBidi" w:cstheme="majorBidi"/>
          <w:color w:val="0070C0"/>
          <w:lang w:val="en-US"/>
        </w:rPr>
        <w:t>Cappiello et al. (2006)</w:t>
      </w:r>
      <w:r w:rsidRPr="004C4291">
        <w:rPr>
          <w:rFonts w:asciiTheme="majorBidi" w:hAnsiTheme="majorBidi" w:cstheme="majorBidi"/>
          <w:lang w:val="en-US"/>
        </w:rPr>
        <w:t xml:space="preserve">. This approach generalizes the DCC model of </w:t>
      </w:r>
      <w:r w:rsidRPr="004C4291">
        <w:rPr>
          <w:rFonts w:asciiTheme="majorBidi" w:hAnsiTheme="majorBidi" w:cstheme="majorBidi"/>
          <w:color w:val="0070C0"/>
          <w:lang w:val="en-US"/>
        </w:rPr>
        <w:t>Engle (2002)</w:t>
      </w:r>
      <w:r w:rsidRPr="004C4291">
        <w:rPr>
          <w:rFonts w:asciiTheme="majorBidi" w:hAnsiTheme="majorBidi" w:cstheme="majorBidi"/>
          <w:lang w:val="en-US"/>
        </w:rPr>
        <w:t xml:space="preserve"> by introducing two modifications: asset-specific correlation evolution parameters and conditional asymmetries in correlation dynamics. In this paper, we adopt the following three step approach (see also </w:t>
      </w:r>
      <w:r w:rsidRPr="004C4291">
        <w:rPr>
          <w:rFonts w:asciiTheme="majorBidi" w:hAnsiTheme="majorBidi" w:cstheme="majorBidi"/>
          <w:color w:val="0070C0"/>
          <w:lang w:val="en-US"/>
        </w:rPr>
        <w:t>Kenourgios et al. (2011)</w:t>
      </w:r>
      <w:r w:rsidRPr="004C4291">
        <w:rPr>
          <w:rFonts w:asciiTheme="majorBidi" w:hAnsiTheme="majorBidi" w:cstheme="majorBidi"/>
          <w:lang w:val="en-US"/>
        </w:rPr>
        <w:t xml:space="preserve">, </w:t>
      </w:r>
      <w:r w:rsidRPr="004C4291">
        <w:rPr>
          <w:rFonts w:asciiTheme="majorBidi" w:hAnsiTheme="majorBidi" w:cstheme="majorBidi"/>
          <w:color w:val="0070C0"/>
          <w:lang w:val="en-US"/>
        </w:rPr>
        <w:t>Toyoshima et al. (2012)</w:t>
      </w:r>
      <w:r w:rsidRPr="004C4291">
        <w:rPr>
          <w:rFonts w:asciiTheme="majorBidi" w:hAnsiTheme="majorBidi" w:cstheme="majorBidi"/>
          <w:lang w:val="en-US"/>
        </w:rPr>
        <w:t xml:space="preserve">, </w:t>
      </w:r>
      <w:r w:rsidRPr="004C4291">
        <w:rPr>
          <w:rFonts w:asciiTheme="majorBidi" w:hAnsiTheme="majorBidi" w:cstheme="majorBidi"/>
          <w:color w:val="0070C0"/>
          <w:lang w:val="en-US"/>
        </w:rPr>
        <w:t>Samitas and Tsakalos (2013)</w:t>
      </w:r>
      <w:r w:rsidRPr="004C4291">
        <w:rPr>
          <w:rFonts w:asciiTheme="majorBidi" w:hAnsiTheme="majorBidi" w:cstheme="majorBidi"/>
          <w:lang w:val="en-US"/>
        </w:rPr>
        <w:t xml:space="preserve"> and </w:t>
      </w:r>
      <w:r w:rsidRPr="004C4291">
        <w:rPr>
          <w:rFonts w:asciiTheme="majorBidi" w:hAnsiTheme="majorBidi" w:cstheme="majorBidi"/>
          <w:color w:val="0070C0"/>
          <w:lang w:val="en-US"/>
        </w:rPr>
        <w:t>Toyoshima and Hamori (2013)</w:t>
      </w:r>
      <w:r w:rsidRPr="004C4291">
        <w:rPr>
          <w:rFonts w:asciiTheme="majorBidi" w:hAnsiTheme="majorBidi" w:cstheme="majorBidi"/>
          <w:lang w:val="en-US"/>
        </w:rPr>
        <w:t>). In the first step,  we estimate the conditional variances of exchange rate</w:t>
      </w:r>
      <w:r w:rsidR="003F4456" w:rsidRPr="004C4291">
        <w:rPr>
          <w:rFonts w:asciiTheme="majorBidi" w:hAnsiTheme="majorBidi" w:cstheme="majorBidi"/>
          <w:lang w:val="en-US"/>
        </w:rPr>
        <w:t xml:space="preserve"> and stock market</w:t>
      </w:r>
      <w:r w:rsidRPr="004C4291">
        <w:rPr>
          <w:rFonts w:asciiTheme="majorBidi" w:hAnsiTheme="majorBidi" w:cstheme="majorBidi"/>
          <w:lang w:val="en-US"/>
        </w:rPr>
        <w:t xml:space="preserve"> returns using an autoregressive- asymmetric exponential generalized </w:t>
      </w:r>
      <w:r w:rsidRPr="004C4291">
        <w:rPr>
          <w:rFonts w:asciiTheme="majorBidi" w:hAnsiTheme="majorBidi" w:cstheme="majorBidi"/>
          <w:lang w:val="en-US"/>
        </w:rPr>
        <w:lastRenderedPageBreak/>
        <w:t>autoregressive conditional heteroscedasticity (</w:t>
      </w:r>
      <m:oMath>
        <m:r>
          <w:rPr>
            <w:rFonts w:ascii="Cambria Math" w:hAnsi="Cambria Math" w:cstheme="majorBidi"/>
            <w:lang w:val="en-US"/>
          </w:rPr>
          <m:t>AR</m:t>
        </m:r>
        <m:d>
          <m:dPr>
            <m:ctrlPr>
              <w:rPr>
                <w:rFonts w:ascii="Cambria Math" w:hAnsi="Cambria Math" w:cstheme="majorBidi"/>
                <w:i/>
                <w:lang w:val="en-US"/>
              </w:rPr>
            </m:ctrlPr>
          </m:dPr>
          <m:e>
            <m:r>
              <w:rPr>
                <w:rFonts w:ascii="Cambria Math" w:hAnsi="Cambria Math" w:cstheme="majorBidi"/>
                <w:lang w:val="en-US"/>
              </w:rPr>
              <m:t>m</m:t>
            </m:r>
          </m:e>
        </m:d>
        <m:r>
          <w:rPr>
            <w:rFonts w:ascii="Cambria Math" w:hAnsi="Cambria Math" w:cstheme="majorBidi"/>
            <w:lang w:val="en-US"/>
          </w:rPr>
          <m:t>-EGARCH(p,q)</m:t>
        </m:r>
      </m:oMath>
      <w:r w:rsidRPr="004C4291">
        <w:rPr>
          <w:rFonts w:asciiTheme="majorBidi" w:hAnsiTheme="majorBidi" w:cstheme="majorBidi"/>
          <w:lang w:val="en-US"/>
        </w:rPr>
        <w:t>) model</w:t>
      </w:r>
      <w:r w:rsidRPr="004C4291">
        <w:rPr>
          <w:rStyle w:val="Appelnotedebasdep"/>
          <w:rFonts w:asciiTheme="majorBidi" w:hAnsiTheme="majorBidi" w:cstheme="majorBidi"/>
          <w:lang w:val="en-US"/>
        </w:rPr>
        <w:footnoteReference w:id="2"/>
      </w:r>
      <w:r w:rsidRPr="004C4291">
        <w:rPr>
          <w:rFonts w:asciiTheme="majorBidi" w:hAnsiTheme="majorBidi" w:cstheme="majorBidi"/>
          <w:lang w:val="en-US"/>
        </w:rPr>
        <w:t>. For a more detailed analysis, we use the following equations:</w:t>
      </w:r>
    </w:p>
    <w:p w:rsidR="00CF17FE" w:rsidRPr="004C4291" w:rsidRDefault="00CF17FE" w:rsidP="00CF17FE">
      <w:pPr>
        <w:ind w:firstLine="357"/>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ab/>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0</m:t>
            </m:r>
          </m:sub>
        </m:sSub>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m</m:t>
            </m:r>
          </m:sup>
          <m:e>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i</m:t>
                </m:r>
              </m:sub>
            </m:sSub>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t-i</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e>
        </m:nary>
      </m:oMath>
      <w:r w:rsidRPr="004C4291">
        <w:rPr>
          <w:rFonts w:asciiTheme="majorBidi" w:hAnsiTheme="majorBidi" w:cstheme="majorBidi"/>
          <w:lang w:val="en-US"/>
        </w:rPr>
        <w:t xml:space="preserve">                                                                         </w:t>
      </w:r>
      <w:r w:rsidR="0068758C">
        <w:rPr>
          <w:rFonts w:asciiTheme="majorBidi" w:hAnsiTheme="majorBidi" w:cstheme="majorBidi"/>
          <w:lang w:val="en-US"/>
        </w:rPr>
        <w:t xml:space="preserve">             </w:t>
      </w:r>
      <w:r w:rsidRPr="004C4291">
        <w:rPr>
          <w:rFonts w:asciiTheme="majorBidi" w:hAnsiTheme="majorBidi" w:cstheme="majorBidi"/>
          <w:lang w:val="en-US"/>
        </w:rPr>
        <w:t xml:space="preserve">                  (1)</w:t>
      </w:r>
    </w:p>
    <w:p w:rsidR="00CF17FE" w:rsidRPr="004C4291" w:rsidRDefault="00CF17FE" w:rsidP="00CF17FE">
      <w:pPr>
        <w:jc w:val="both"/>
        <w:rPr>
          <w:rFonts w:asciiTheme="majorBidi" w:hAnsiTheme="majorBidi" w:cstheme="majorBidi"/>
          <w:lang w:val="en-US"/>
        </w:rPr>
      </w:pPr>
    </w:p>
    <w:p w:rsidR="00CF17FE" w:rsidRPr="004C4291" w:rsidRDefault="00194326" w:rsidP="00CF17FE">
      <w:pPr>
        <w:ind w:firstLine="708"/>
        <w:jc w:val="both"/>
        <w:rPr>
          <w:rFonts w:asciiTheme="majorBidi" w:hAnsiTheme="majorBidi" w:cstheme="majorBidi"/>
          <w:lang w:val="en-US"/>
        </w:rPr>
      </w:pPr>
      <m:oMath>
        <m:func>
          <m:funcPr>
            <m:ctrlPr>
              <w:rPr>
                <w:rFonts w:ascii="Cambria Math" w:hAnsi="Cambria Math" w:cstheme="majorBidi"/>
                <w:i/>
                <w:lang w:val="en-US"/>
              </w:rPr>
            </m:ctrlPr>
          </m:funcPr>
          <m:fName>
            <m:r>
              <w:rPr>
                <w:rFonts w:ascii="Cambria Math" w:hAnsi="Cambria Math" w:cstheme="majorBidi"/>
                <w:lang w:val="en-US"/>
              </w:rPr>
              <m:t>ln</m:t>
            </m:r>
          </m:fName>
          <m:e>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e>
            </m:d>
          </m:e>
        </m:func>
        <m:r>
          <w:rPr>
            <w:rFonts w:ascii="Cambria Math" w:hAnsi="Cambria Math" w:cstheme="majorBidi"/>
            <w:lang w:val="en-US"/>
          </w:rPr>
          <m:t>=ω+</m:t>
        </m:r>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q</m:t>
            </m:r>
          </m:sup>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α</m:t>
                </m:r>
              </m:e>
              <m:sub>
                <m:r>
                  <w:rPr>
                    <w:rFonts w:ascii="Cambria Math" w:hAnsi="Cambria Math" w:cstheme="majorBidi"/>
                    <w:lang w:val="en-US"/>
                  </w:rPr>
                  <m:t>i</m:t>
                </m:r>
              </m:sub>
            </m:sSub>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e>
            </m:d>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r>
              <w:rPr>
                <w:rFonts w:ascii="Cambria Math" w:hAnsi="Cambria Math" w:cstheme="majorBidi"/>
                <w:lang w:val="en-US"/>
              </w:rPr>
              <m:t>]</m:t>
            </m:r>
          </m:e>
        </m:nary>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p</m:t>
            </m:r>
          </m:sup>
          <m:e>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i</m:t>
                </m:r>
              </m:sub>
            </m:sSub>
            <m:r>
              <w:rPr>
                <w:rFonts w:ascii="Cambria Math" w:hAnsi="Cambria Math" w:cstheme="majorBidi"/>
                <w:lang w:val="en-US"/>
              </w:rPr>
              <m:t>ln⁡(</m:t>
            </m:r>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t-i</m:t>
                </m:r>
              </m:sub>
            </m:sSub>
            <m:r>
              <w:rPr>
                <w:rFonts w:ascii="Cambria Math" w:hAnsi="Cambria Math" w:cstheme="majorBidi"/>
                <w:lang w:val="en-US"/>
              </w:rPr>
              <m:t>)</m:t>
            </m:r>
          </m:e>
        </m:nary>
      </m:oMath>
      <w:r w:rsidR="00CF17FE" w:rsidRPr="004C4291">
        <w:rPr>
          <w:rFonts w:asciiTheme="majorBidi" w:hAnsiTheme="majorBidi" w:cstheme="majorBidi"/>
          <w:lang w:val="en-US"/>
        </w:rPr>
        <w:t xml:space="preserve">                               </w:t>
      </w:r>
      <w:r w:rsidR="0068758C">
        <w:rPr>
          <w:rFonts w:asciiTheme="majorBidi" w:hAnsiTheme="majorBidi" w:cstheme="majorBidi"/>
          <w:lang w:val="en-US"/>
        </w:rPr>
        <w:t xml:space="preserve">            </w:t>
      </w:r>
      <w:r w:rsidR="00CF17FE" w:rsidRPr="004C4291">
        <w:rPr>
          <w:rFonts w:asciiTheme="majorBidi" w:hAnsiTheme="majorBidi" w:cstheme="majorBidi"/>
          <w:lang w:val="en-US"/>
        </w:rPr>
        <w:t xml:space="preserve">           (2)</w:t>
      </w:r>
    </w:p>
    <w:p w:rsidR="00CF17FE" w:rsidRPr="004C4291" w:rsidRDefault="00CF17FE" w:rsidP="00CF17FE">
      <w:pPr>
        <w:ind w:firstLine="708"/>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where</w:t>
      </w:r>
      <m:oMath>
        <m:sSub>
          <m:sSubPr>
            <m:ctrlPr>
              <w:rPr>
                <w:rFonts w:ascii="Cambria Math" w:hAnsi="Cambria Math" w:cstheme="majorBidi"/>
                <w:i/>
                <w:lang w:val="en-US"/>
              </w:rPr>
            </m:ctrlPr>
          </m:sSubPr>
          <m:e>
            <m:r>
              <w:rPr>
                <w:rFonts w:ascii="Cambria Math" w:hAnsi="Cambria Math" w:cstheme="majorBidi"/>
                <w:lang w:val="en-US"/>
              </w:rPr>
              <m:t xml:space="preserve"> r</m:t>
            </m:r>
          </m:e>
          <m:sub>
            <m:r>
              <w:rPr>
                <w:rFonts w:ascii="Cambria Math" w:hAnsi="Cambria Math" w:cstheme="majorBidi"/>
                <w:lang w:val="en-US"/>
              </w:rPr>
              <m:t>t</m:t>
            </m:r>
          </m:sub>
        </m:sSub>
      </m:oMath>
      <w:r w:rsidRPr="004C4291">
        <w:rPr>
          <w:rFonts w:asciiTheme="majorBidi" w:hAnsiTheme="majorBidi" w:cstheme="majorBidi"/>
          <w:lang w:val="en-US"/>
        </w:rPr>
        <w:t xml:space="preserve"> indicates stock returns</w:t>
      </w:r>
      <w:r w:rsidR="00933B46" w:rsidRPr="004C4291">
        <w:rPr>
          <w:rFonts w:asciiTheme="majorBidi" w:hAnsiTheme="majorBidi" w:cstheme="majorBidi"/>
          <w:lang w:val="en-US"/>
        </w:rPr>
        <w:t xml:space="preserve"> and exchange rate return</w:t>
      </w:r>
      <w:r w:rsidRPr="004C4291">
        <w:rPr>
          <w:rFonts w:asciiTheme="majorBidi" w:hAnsiTheme="majorBidi"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oMath>
      <w:r w:rsidRPr="004C4291">
        <w:rPr>
          <w:rFonts w:asciiTheme="majorBidi" w:hAnsiTheme="majorBidi" w:cstheme="majorBidi"/>
          <w:lang w:val="en-US"/>
        </w:rPr>
        <w:t xml:space="preserve"> is the error term,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oMath>
      <w:r w:rsidRPr="004C4291">
        <w:rPr>
          <w:rFonts w:asciiTheme="majorBidi" w:hAnsiTheme="majorBidi" w:cstheme="majorBidi"/>
          <w:lang w:val="en-US"/>
        </w:rPr>
        <w:t xml:space="preserve"> is the conditional volatility, and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r>
          <w:rPr>
            <w:rFonts w:ascii="Cambria Math" w:hAnsi="Cambria Math" w:cstheme="majorBidi"/>
            <w:lang w:val="en-US"/>
          </w:rPr>
          <m:t>/</m:t>
        </m:r>
        <m:rad>
          <m:radPr>
            <m:degHide m:val="on"/>
            <m:ctrlPr>
              <w:rPr>
                <w:rFonts w:ascii="Cambria Math" w:hAnsi="Cambria Math" w:cstheme="majorBidi"/>
                <w:i/>
                <w:lang w:val="en-US"/>
              </w:rPr>
            </m:ctrlPr>
          </m:radPr>
          <m:deg/>
          <m:e>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e>
        </m:rad>
      </m:oMath>
      <w:r w:rsidRPr="004C4291">
        <w:rPr>
          <w:rFonts w:asciiTheme="majorBidi" w:hAnsiTheme="majorBidi" w:cstheme="majorBidi"/>
          <w:lang w:val="en-US"/>
        </w:rPr>
        <w:t xml:space="preserve"> is the standardized residual.</w:t>
      </w:r>
    </w:p>
    <w:p w:rsidR="00CF17FE" w:rsidRPr="004C4291" w:rsidRDefault="00CF17FE" w:rsidP="00CF17FE">
      <w:pPr>
        <w:jc w:val="both"/>
        <w:rPr>
          <w:rFonts w:asciiTheme="majorBidi" w:hAnsiTheme="majorBidi" w:cstheme="majorBidi"/>
          <w:lang w:val="en-US"/>
        </w:rPr>
      </w:pPr>
    </w:p>
    <w:p w:rsidR="00CF17FE" w:rsidRPr="004C4291" w:rsidRDefault="00CF17FE" w:rsidP="00CF17FE">
      <w:pPr>
        <w:jc w:val="both"/>
        <w:rPr>
          <w:rFonts w:asciiTheme="majorBidi" w:eastAsiaTheme="minorEastAsia" w:hAnsiTheme="majorBidi" w:cstheme="majorBidi"/>
          <w:lang w:val="en-US"/>
        </w:rPr>
      </w:pPr>
      <w:r w:rsidRPr="004C4291">
        <w:rPr>
          <w:rFonts w:asciiTheme="majorBidi" w:eastAsiaTheme="minorEastAsia" w:hAnsiTheme="majorBidi" w:cstheme="majorBidi"/>
          <w:lang w:val="en-US"/>
        </w:rPr>
        <w:t>The EGARCH model has several advantages over the pure GARCH specification.</w:t>
      </w:r>
      <w:r w:rsidR="00F85D42">
        <w:rPr>
          <w:rFonts w:asciiTheme="majorBidi" w:eastAsiaTheme="minorEastAsia" w:hAnsiTheme="majorBidi" w:cstheme="majorBidi"/>
          <w:lang w:val="en-US"/>
        </w:rPr>
        <w:t xml:space="preserve"> </w:t>
      </w:r>
      <w:r w:rsidRPr="004C4291">
        <w:rPr>
          <w:rFonts w:asciiTheme="majorBidi" w:eastAsiaTheme="minorEastAsia" w:hAnsiTheme="majorBidi" w:cstheme="majorBidi"/>
          <w:lang w:val="en-US"/>
        </w:rPr>
        <w:t xml:space="preserve">First, since </w:t>
      </w:r>
      <m:oMath>
        <m:sSub>
          <m:sSubPr>
            <m:ctrlPr>
              <w:rPr>
                <w:rFonts w:ascii="Cambria Math" w:hAnsi="Cambria Math" w:cstheme="majorBidi"/>
                <w:i/>
                <w:lang w:val="en-US"/>
              </w:rPr>
            </m:ctrlPr>
          </m:sSubPr>
          <m:e>
            <m:r>
              <w:rPr>
                <w:rFonts w:ascii="Cambria Math" w:hAnsi="Cambria Math" w:cstheme="majorBidi"/>
                <w:lang w:val="en-US"/>
              </w:rPr>
              <m:t>ln⁡(h</m:t>
            </m:r>
          </m:e>
          <m:sub>
            <m:r>
              <w:rPr>
                <w:rFonts w:ascii="Cambria Math" w:hAnsi="Cambria Math" w:cstheme="majorBidi"/>
                <w:lang w:val="en-US"/>
              </w:rPr>
              <m:t>t</m:t>
            </m:r>
          </m:sub>
        </m:sSub>
        <m:r>
          <w:rPr>
            <w:rFonts w:ascii="Cambria Math" w:hAnsi="Cambria Math" w:cstheme="majorBidi"/>
            <w:lang w:val="en-US"/>
          </w:rPr>
          <m:t>)</m:t>
        </m:r>
      </m:oMath>
      <w:r w:rsidRPr="004C4291">
        <w:rPr>
          <w:rFonts w:asciiTheme="majorBidi" w:eastAsiaTheme="minorEastAsia" w:hAnsiTheme="majorBidi" w:cstheme="majorBidi"/>
          <w:lang w:val="en-US"/>
        </w:rPr>
        <w:t xml:space="preserve"> is modelled, then even if the parameters are negative,</w:t>
      </w:r>
      <m:oMath>
        <m:sSub>
          <m:sSubPr>
            <m:ctrlPr>
              <w:rPr>
                <w:rFonts w:ascii="Cambria Math" w:eastAsiaTheme="minorEastAsia" w:hAnsi="Cambria Math" w:cstheme="majorBidi"/>
                <w:i/>
                <w:iCs/>
              </w:rPr>
            </m:ctrlPr>
          </m:sSubPr>
          <m:e>
            <m:r>
              <w:rPr>
                <w:rFonts w:ascii="Cambria Math" w:eastAsiaTheme="minorEastAsia" w:hAnsi="Cambria Math" w:cstheme="majorBidi"/>
                <w:lang w:val="en-US"/>
              </w:rPr>
              <m:t xml:space="preserve"> h</m:t>
            </m:r>
          </m:e>
          <m:sub>
            <m:r>
              <w:rPr>
                <w:rFonts w:ascii="Cambria Math" w:eastAsiaTheme="minorEastAsia" w:hAnsi="Cambria Math" w:cstheme="majorBidi"/>
              </w:rPr>
              <m:t>t</m:t>
            </m:r>
          </m:sub>
        </m:sSub>
      </m:oMath>
      <w:r w:rsidRPr="004C4291">
        <w:rPr>
          <w:rFonts w:asciiTheme="majorBidi" w:eastAsiaTheme="minorEastAsia" w:hAnsiTheme="majorBidi" w:cstheme="majorBidi"/>
          <w:lang w:val="en-US"/>
        </w:rPr>
        <w:t>will be positive. There is thus no need to artificially impose non-negativityconstraints on the model parameters. Second, asymmetries are</w:t>
      </w:r>
      <w:r w:rsidR="00F85D42">
        <w:rPr>
          <w:rFonts w:asciiTheme="majorBidi" w:eastAsiaTheme="minorEastAsia" w:hAnsiTheme="majorBidi" w:cstheme="majorBidi"/>
          <w:lang w:val="en-US"/>
        </w:rPr>
        <w:t xml:space="preserve"> </w:t>
      </w:r>
      <w:r w:rsidRPr="004C4291">
        <w:rPr>
          <w:rFonts w:asciiTheme="majorBidi" w:eastAsiaTheme="minorEastAsia" w:hAnsiTheme="majorBidi" w:cstheme="majorBidi"/>
          <w:lang w:val="en-US"/>
        </w:rPr>
        <w:t>allowed for under the EGARCH formulation, since if the relationship between</w:t>
      </w:r>
      <w:r w:rsidR="00F85D42">
        <w:rPr>
          <w:rFonts w:asciiTheme="majorBidi" w:eastAsiaTheme="minorEastAsia" w:hAnsiTheme="majorBidi" w:cstheme="majorBidi"/>
          <w:lang w:val="en-US"/>
        </w:rPr>
        <w:t xml:space="preserve"> </w:t>
      </w:r>
      <w:r w:rsidRPr="004C4291">
        <w:rPr>
          <w:rFonts w:asciiTheme="majorBidi" w:eastAsiaTheme="minorEastAsia" w:hAnsiTheme="majorBidi" w:cstheme="majorBidi"/>
          <w:lang w:val="en-US"/>
        </w:rPr>
        <w:t xml:space="preserve">volatility and returns is negative, </w:t>
      </w:r>
      <m:oMath>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oMath>
      <w:r w:rsidRPr="004C4291">
        <w:rPr>
          <w:rFonts w:asciiTheme="majorBidi" w:eastAsiaTheme="minorEastAsia" w:hAnsiTheme="majorBidi" w:cstheme="majorBidi"/>
          <w:lang w:val="en-US"/>
        </w:rPr>
        <w:t xml:space="preserve">will be negative. </w:t>
      </w:r>
      <w:r w:rsidRPr="004C4291">
        <w:rPr>
          <w:rFonts w:asciiTheme="majorBidi" w:hAnsiTheme="majorBidi" w:cstheme="majorBidi"/>
          <w:lang w:val="en-US"/>
        </w:rPr>
        <w:t xml:space="preserve">Note that a negative value of </w:t>
      </w:r>
      <m:oMath>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oMath>
      <w:r w:rsidRPr="004C4291">
        <w:rPr>
          <w:rFonts w:asciiTheme="majorBidi" w:eastAsiaTheme="minorEastAsia" w:hAnsiTheme="majorBidi" w:cstheme="majorBidi"/>
          <w:lang w:val="en-US"/>
        </w:rPr>
        <w:t xml:space="preserve"> means that negative residuals tend to produce higher variances in the immediate future.</w:t>
      </w:r>
    </w:p>
    <w:p w:rsidR="00CF17FE" w:rsidRPr="004C4291" w:rsidRDefault="00CF17FE" w:rsidP="00CF17FE">
      <w:pPr>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 xml:space="preserve">We assume that the random variable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4C4291">
        <w:rPr>
          <w:rFonts w:asciiTheme="majorBidi" w:hAnsiTheme="majorBidi" w:cstheme="majorBidi"/>
          <w:lang w:val="en-US"/>
        </w:rPr>
        <w:t xml:space="preserve"> has a student distribution (see </w:t>
      </w:r>
      <w:r w:rsidRPr="004C4291">
        <w:rPr>
          <w:rFonts w:asciiTheme="majorBidi" w:hAnsiTheme="majorBidi" w:cstheme="majorBidi"/>
          <w:color w:val="0070C0"/>
          <w:lang w:val="en-US"/>
        </w:rPr>
        <w:t>Bollerslev (1987)</w:t>
      </w:r>
      <w:r w:rsidRPr="004C4291">
        <w:rPr>
          <w:rFonts w:asciiTheme="majorBidi" w:hAnsiTheme="majorBidi" w:cstheme="majorBidi"/>
          <w:lang w:val="en-US"/>
        </w:rPr>
        <w:t xml:space="preserve">) with </w:t>
      </w:r>
      <m:oMath>
        <m:r>
          <w:rPr>
            <w:rFonts w:ascii="Cambria Math" w:hAnsi="Cambria Math" w:cstheme="majorBidi"/>
            <w:lang w:val="en-US"/>
          </w:rPr>
          <m:t>υ&gt;2</m:t>
        </m:r>
      </m:oMath>
      <w:r w:rsidRPr="004C4291">
        <w:rPr>
          <w:rFonts w:asciiTheme="majorBidi" w:hAnsiTheme="majorBidi" w:cstheme="majorBidi"/>
          <w:lang w:val="en-US"/>
        </w:rPr>
        <w:t xml:space="preserve"> degrees of freedom with a density given by:</w:t>
      </w:r>
    </w:p>
    <w:p w:rsidR="00CF17FE" w:rsidRPr="004C4291" w:rsidRDefault="00CF17FE" w:rsidP="00CF17FE">
      <w:pPr>
        <w:jc w:val="both"/>
        <w:rPr>
          <w:rFonts w:asciiTheme="majorBidi" w:hAnsiTheme="majorBidi" w:cstheme="majorBidi"/>
          <w:lang w:val="en-US"/>
        </w:rPr>
      </w:pPr>
    </w:p>
    <w:p w:rsidR="00CF17FE" w:rsidRPr="004C4291" w:rsidRDefault="00CF17FE" w:rsidP="0068758C">
      <w:pPr>
        <w:jc w:val="both"/>
        <w:rPr>
          <w:rFonts w:asciiTheme="majorBidi" w:hAnsiTheme="majorBidi" w:cstheme="majorBidi"/>
          <w:lang w:val="en-US"/>
        </w:rPr>
      </w:pPr>
      <w:r w:rsidRPr="004C4291">
        <w:rPr>
          <w:rFonts w:asciiTheme="majorBidi" w:hAnsiTheme="majorBidi" w:cstheme="majorBidi"/>
          <w:lang w:val="en-US"/>
        </w:rPr>
        <w:tab/>
      </w:r>
      <m:oMath>
        <m:r>
          <w:rPr>
            <w:rFonts w:ascii="Cambria Math" w:hAnsi="Cambria Math" w:cstheme="majorBidi"/>
            <w:lang w:val="en-US"/>
          </w:rPr>
          <m:t>D</m:t>
        </m:r>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,υ</m:t>
            </m:r>
          </m:e>
        </m:d>
        <m:r>
          <w:rPr>
            <w:rFonts w:ascii="Cambria Math" w:hAnsi="Cambria Math" w:cstheme="majorBidi"/>
            <w:lang w:val="en-US"/>
          </w:rPr>
          <m:t>=</m:t>
        </m:r>
        <m:f>
          <m:fPr>
            <m:ctrlPr>
              <w:rPr>
                <w:rFonts w:ascii="Cambria Math" w:hAnsi="Cambria Math" w:cstheme="majorBidi"/>
                <w:i/>
                <w:lang w:val="en-US"/>
              </w:rPr>
            </m:ctrlPr>
          </m:fPr>
          <m:num>
            <m:r>
              <m:rPr>
                <m:sty m:val="p"/>
              </m:rPr>
              <w:rPr>
                <w:rFonts w:ascii="Cambria Math" w:hAnsi="Cambria Math" w:cstheme="majorBidi"/>
                <w:lang w:val="en-US"/>
              </w:rPr>
              <m:t>Γ</m:t>
            </m:r>
            <m:r>
              <w:rPr>
                <w:rFonts w:ascii="Cambria Math" w:hAnsi="Cambria Math" w:cstheme="majorBidi"/>
                <w:lang w:val="en-US"/>
              </w:rPr>
              <m:t>(υ+</m:t>
            </m:r>
            <m:f>
              <m:fPr>
                <m:ctrlPr>
                  <w:rPr>
                    <w:rFonts w:ascii="Cambria Math" w:hAnsi="Cambria Math" w:cstheme="majorBidi"/>
                    <w:i/>
                    <w:lang w:val="en-US"/>
                  </w:rPr>
                </m:ctrlPr>
              </m:fPr>
              <m:num>
                <m:r>
                  <w:rPr>
                    <w:rFonts w:ascii="Cambria Math" w:hAnsi="Cambria Math" w:cstheme="majorBidi"/>
                    <w:lang w:val="en-US"/>
                  </w:rPr>
                  <m:t>1</m:t>
                </m:r>
              </m:num>
              <m:den>
                <m:r>
                  <w:rPr>
                    <w:rFonts w:ascii="Cambria Math" w:hAnsi="Cambria Math" w:cstheme="majorBidi"/>
                    <w:lang w:val="en-US"/>
                  </w:rPr>
                  <m:t>2</m:t>
                </m:r>
              </m:den>
            </m:f>
            <m:r>
              <w:rPr>
                <w:rFonts w:ascii="Cambria Math" w:hAnsi="Cambria Math" w:cstheme="majorBidi"/>
                <w:lang w:val="en-US"/>
              </w:rPr>
              <m:t>)</m:t>
            </m:r>
          </m:num>
          <m:den>
            <m:r>
              <m:rPr>
                <m:sty m:val="p"/>
              </m:rPr>
              <w:rPr>
                <w:rFonts w:ascii="Cambria Math" w:hAnsi="Cambria Math" w:cstheme="majorBidi"/>
                <w:lang w:val="en-US"/>
              </w:rPr>
              <m:t>Γ</m:t>
            </m:r>
            <m:r>
              <w:rPr>
                <w:rFonts w:ascii="Cambria Math" w:hAnsi="Cambria Math" w:cstheme="majorBidi"/>
                <w:lang w:val="en-US"/>
              </w:rPr>
              <m:t>(</m:t>
            </m:r>
            <m:f>
              <m:fPr>
                <m:ctrlPr>
                  <w:rPr>
                    <w:rFonts w:ascii="Cambria Math" w:hAnsi="Cambria Math" w:cstheme="majorBidi"/>
                    <w:i/>
                    <w:lang w:val="en-US"/>
                  </w:rPr>
                </m:ctrlPr>
              </m:fPr>
              <m:num>
                <m:r>
                  <w:rPr>
                    <w:rFonts w:ascii="Cambria Math" w:hAnsi="Cambria Math" w:cstheme="majorBidi"/>
                    <w:lang w:val="en-US"/>
                  </w:rPr>
                  <m:t>υ</m:t>
                </m:r>
              </m:num>
              <m:den>
                <m:r>
                  <w:rPr>
                    <w:rFonts w:ascii="Cambria Math" w:hAnsi="Cambria Math" w:cstheme="majorBidi"/>
                    <w:lang w:val="en-US"/>
                  </w:rPr>
                  <m:t>2</m:t>
                </m:r>
              </m:den>
            </m:f>
            <m:r>
              <w:rPr>
                <w:rFonts w:ascii="Cambria Math" w:hAnsi="Cambria Math" w:cstheme="majorBidi"/>
                <w:lang w:val="en-US"/>
              </w:rPr>
              <m:t>)</m:t>
            </m:r>
            <m:rad>
              <m:radPr>
                <m:degHide m:val="on"/>
                <m:ctrlPr>
                  <w:rPr>
                    <w:rFonts w:ascii="Cambria Math" w:hAnsi="Cambria Math" w:cstheme="majorBidi"/>
                    <w:i/>
                    <w:lang w:val="en-US"/>
                  </w:rPr>
                </m:ctrlPr>
              </m:radPr>
              <m:deg/>
              <m:e>
                <m:r>
                  <w:rPr>
                    <w:rFonts w:ascii="Cambria Math" w:hAnsi="Cambria Math" w:cstheme="majorBidi"/>
                    <w:lang w:val="en-US"/>
                  </w:rPr>
                  <m:t>π(υ-2)</m:t>
                </m:r>
              </m:e>
            </m:rad>
          </m:den>
        </m:f>
        <m:sSup>
          <m:sSupPr>
            <m:ctrlPr>
              <w:rPr>
                <w:rFonts w:ascii="Cambria Math" w:hAnsi="Cambria Math" w:cstheme="majorBidi"/>
                <w:i/>
                <w:lang w:val="en-US"/>
              </w:rPr>
            </m:ctrlPr>
          </m:sSupPr>
          <m:e>
            <m:r>
              <w:rPr>
                <w:rFonts w:ascii="Cambria Math" w:hAnsi="Cambria Math" w:cstheme="majorBidi"/>
                <w:lang w:val="en-US"/>
              </w:rPr>
              <m:t>(1+</m:t>
            </m:r>
            <m:f>
              <m:fPr>
                <m:ctrlPr>
                  <w:rPr>
                    <w:rFonts w:ascii="Cambria Math" w:hAnsi="Cambria Math" w:cstheme="majorBidi"/>
                    <w:i/>
                    <w:lang w:val="en-US"/>
                  </w:rPr>
                </m:ctrlPr>
              </m:fPr>
              <m:num>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t</m:t>
                    </m:r>
                  </m:sub>
                  <m:sup>
                    <m:r>
                      <w:rPr>
                        <w:rFonts w:ascii="Cambria Math" w:hAnsi="Cambria Math" w:cstheme="majorBidi"/>
                        <w:lang w:val="en-US"/>
                      </w:rPr>
                      <m:t>2</m:t>
                    </m:r>
                  </m:sup>
                </m:sSubSup>
              </m:num>
              <m:den>
                <m:r>
                  <w:rPr>
                    <w:rFonts w:ascii="Cambria Math" w:hAnsi="Cambria Math" w:cstheme="majorBidi"/>
                    <w:lang w:val="en-US"/>
                  </w:rPr>
                  <m:t>υ-2</m:t>
                </m:r>
              </m:den>
            </m:f>
            <m:r>
              <w:rPr>
                <w:rFonts w:ascii="Cambria Math" w:hAnsi="Cambria Math" w:cstheme="majorBidi"/>
                <w:lang w:val="en-US"/>
              </w:rPr>
              <m:t>)</m:t>
            </m:r>
          </m:e>
          <m:sup>
            <m:f>
              <m:fPr>
                <m:ctrlPr>
                  <w:rPr>
                    <w:rFonts w:ascii="Cambria Math" w:hAnsi="Cambria Math" w:cstheme="majorBidi"/>
                    <w:i/>
                    <w:lang w:val="en-US"/>
                  </w:rPr>
                </m:ctrlPr>
              </m:fPr>
              <m:num>
                <m:r>
                  <w:rPr>
                    <w:rFonts w:ascii="Cambria Math" w:hAnsi="Cambria Math" w:cstheme="majorBidi"/>
                    <w:lang w:val="en-US"/>
                  </w:rPr>
                  <m:t>1</m:t>
                </m:r>
              </m:num>
              <m:den>
                <m:r>
                  <w:rPr>
                    <w:rFonts w:ascii="Cambria Math" w:hAnsi="Cambria Math" w:cstheme="majorBidi"/>
                    <w:lang w:val="en-US"/>
                  </w:rPr>
                  <m:t>2</m:t>
                </m:r>
              </m:den>
            </m:f>
            <m:r>
              <w:rPr>
                <w:rFonts w:ascii="Cambria Math" w:hAnsi="Cambria Math" w:cstheme="majorBidi"/>
                <w:lang w:val="en-US"/>
              </w:rPr>
              <m:t>-υ</m:t>
            </m:r>
          </m:sup>
        </m:sSup>
      </m:oMath>
      <w:r w:rsidRPr="004C4291">
        <w:rPr>
          <w:rFonts w:asciiTheme="majorBidi" w:hAnsiTheme="majorBidi" w:cstheme="majorBidi"/>
          <w:lang w:val="en-US"/>
        </w:rPr>
        <w:t xml:space="preserve">                                                                     </w:t>
      </w:r>
      <w:r w:rsidR="0068758C">
        <w:rPr>
          <w:rFonts w:asciiTheme="majorBidi" w:hAnsiTheme="majorBidi" w:cstheme="majorBidi"/>
          <w:lang w:val="en-US"/>
        </w:rPr>
        <w:t xml:space="preserve">             </w:t>
      </w:r>
      <w:r w:rsidRPr="004C4291">
        <w:rPr>
          <w:rFonts w:asciiTheme="majorBidi" w:hAnsiTheme="majorBidi" w:cstheme="majorBidi"/>
          <w:lang w:val="en-US"/>
        </w:rPr>
        <w:t xml:space="preserve">       (3)</w:t>
      </w:r>
    </w:p>
    <w:p w:rsidR="00CF17FE" w:rsidRPr="004C4291" w:rsidRDefault="00CF17FE" w:rsidP="00CF17FE">
      <w:pPr>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where</w:t>
      </w:r>
      <m:oMath>
        <m:r>
          <m:rPr>
            <m:sty m:val="p"/>
          </m:rPr>
          <w:rPr>
            <w:rFonts w:ascii="Cambria Math" w:hAnsi="Cambria Math" w:cstheme="majorBidi"/>
            <w:lang w:val="en-US"/>
          </w:rPr>
          <m:t>Γ</m:t>
        </m:r>
        <m:r>
          <w:rPr>
            <w:rFonts w:ascii="Cambria Math" w:hAnsi="Cambria Math" w:cstheme="majorBidi"/>
            <w:lang w:val="en-US"/>
          </w:rPr>
          <m:t>(υ)</m:t>
        </m:r>
      </m:oMath>
      <w:r w:rsidRPr="004C4291">
        <w:rPr>
          <w:rFonts w:asciiTheme="majorBidi" w:hAnsiTheme="majorBidi" w:cstheme="majorBidi"/>
          <w:lang w:val="en-US"/>
        </w:rPr>
        <w:t xml:space="preserve"> is the gamma function and </w:t>
      </w:r>
      <m:oMath>
        <m:r>
          <w:rPr>
            <w:rFonts w:ascii="Cambria Math" w:hAnsi="Cambria Math" w:cstheme="majorBidi"/>
            <w:lang w:val="en-US"/>
          </w:rPr>
          <m:t>υ</m:t>
        </m:r>
      </m:oMath>
      <w:r w:rsidRPr="004C4291">
        <w:rPr>
          <w:rFonts w:asciiTheme="majorBidi" w:hAnsiTheme="majorBidi" w:cstheme="majorBidi"/>
          <w:lang w:val="en-US"/>
        </w:rPr>
        <w:t xml:space="preserve"> is the parameter that describes the thickness of the distribution tails. The Student distribution is symmetric around zero and, for </w:t>
      </w:r>
      <m:oMath>
        <m:r>
          <w:rPr>
            <w:rFonts w:ascii="Cambria Math" w:hAnsi="Cambria Math" w:cstheme="majorBidi"/>
            <w:lang w:val="en-US"/>
          </w:rPr>
          <m:t>v &gt;4</m:t>
        </m:r>
      </m:oMath>
      <w:r w:rsidRPr="004C4291">
        <w:rPr>
          <w:rFonts w:asciiTheme="majorBidi" w:hAnsiTheme="majorBidi" w:cstheme="majorBidi"/>
          <w:lang w:val="en-US"/>
        </w:rPr>
        <w:t xml:space="preserve">, the conditional kurtosis equals </w:t>
      </w:r>
      <m:oMath>
        <m:r>
          <w:rPr>
            <w:rFonts w:ascii="Cambria Math" w:hAnsi="Cambria Math" w:cstheme="majorBidi"/>
            <w:lang w:val="en-US"/>
          </w:rPr>
          <m:t>3(v -2)/(v -4),</m:t>
        </m:r>
      </m:oMath>
      <w:r w:rsidRPr="004C4291">
        <w:rPr>
          <w:rFonts w:asciiTheme="majorBidi" w:hAnsiTheme="majorBidi" w:cstheme="majorBidi"/>
          <w:lang w:val="en-US"/>
        </w:rPr>
        <w:t xml:space="preserve"> which exceeds the normal value of three. For large values of </w:t>
      </w:r>
      <m:oMath>
        <m:r>
          <w:rPr>
            <w:rFonts w:ascii="Cambria Math" w:hAnsi="Cambria Math" w:cstheme="majorBidi"/>
            <w:lang w:val="en-US"/>
          </w:rPr>
          <m:t>v</m:t>
        </m:r>
      </m:oMath>
      <w:r w:rsidRPr="004C4291">
        <w:rPr>
          <w:rFonts w:asciiTheme="majorBidi" w:hAnsiTheme="majorBidi" w:cstheme="majorBidi"/>
          <w:lang w:val="en-US"/>
        </w:rPr>
        <w:t>, its density converges to that of the standard normal.</w:t>
      </w:r>
    </w:p>
    <w:p w:rsidR="00CF17FE" w:rsidRPr="004C4291" w:rsidRDefault="00CF17FE" w:rsidP="00CF17FE">
      <w:pPr>
        <w:jc w:val="both"/>
        <w:rPr>
          <w:rFonts w:asciiTheme="majorBidi" w:hAnsiTheme="majorBidi" w:cstheme="majorBidi"/>
          <w:lang w:val="en-US"/>
        </w:rPr>
      </w:pPr>
    </w:p>
    <w:p w:rsidR="00CF17FE" w:rsidRPr="004C4291" w:rsidRDefault="00CF17FE" w:rsidP="00CF17FE">
      <w:pPr>
        <w:ind w:firstLine="340"/>
        <w:jc w:val="both"/>
        <w:rPr>
          <w:rFonts w:asciiTheme="majorBidi" w:hAnsiTheme="majorBidi" w:cstheme="majorBidi"/>
          <w:lang w:val="en-US"/>
        </w:rPr>
      </w:pPr>
      <w:r w:rsidRPr="004C4291">
        <w:rPr>
          <w:rFonts w:asciiTheme="majorBidi" w:hAnsiTheme="majorBidi" w:cstheme="majorBidi"/>
          <w:lang w:val="en-US"/>
        </w:rPr>
        <w:t xml:space="preserve">The log form of the </w:t>
      </w:r>
      <m:oMath>
        <m:r>
          <w:rPr>
            <w:rFonts w:ascii="Cambria Math" w:hAnsi="Cambria Math" w:cstheme="majorBidi"/>
            <w:lang w:val="en-US"/>
          </w:rPr>
          <m:t>EGARCH(p,q)</m:t>
        </m:r>
      </m:oMath>
      <w:r w:rsidRPr="004C4291">
        <w:rPr>
          <w:rFonts w:asciiTheme="majorBidi" w:hAnsiTheme="majorBidi" w:cstheme="majorBidi"/>
          <w:lang w:val="en-US"/>
        </w:rPr>
        <w:t xml:space="preserve"> model ensures the positivity of the conditional variance, without the need to constrain the parameters of the model. The term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oMath>
      <w:r w:rsidRPr="004C4291">
        <w:rPr>
          <w:rFonts w:asciiTheme="majorBidi" w:hAnsiTheme="majorBidi" w:cstheme="majorBidi"/>
          <w:lang w:val="en-US"/>
        </w:rPr>
        <w:t xml:space="preserve"> indicates the asymmetric effect of positive and negative shocks. If </w:t>
      </w:r>
      <m:oMath>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r>
          <w:rPr>
            <w:rFonts w:ascii="Cambria Math" w:hAnsi="Cambria Math" w:cstheme="majorBidi"/>
            <w:lang w:val="en-US"/>
          </w:rPr>
          <m:t>&gt;0</m:t>
        </m:r>
      </m:oMath>
      <w:r w:rsidRPr="004C4291">
        <w:rPr>
          <w:rFonts w:asciiTheme="majorBidi" w:hAnsiTheme="majorBidi" w:cstheme="majorBidi"/>
          <w:lang w:val="en-US"/>
        </w:rPr>
        <w:t xml:space="preserve">, then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t-i</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σ</m:t>
            </m:r>
          </m:e>
          <m:sub>
            <m:r>
              <w:rPr>
                <w:rFonts w:ascii="Cambria Math" w:hAnsi="Cambria Math" w:cstheme="majorBidi"/>
                <w:lang w:val="en-US"/>
              </w:rPr>
              <m:t>t-i</m:t>
            </m:r>
          </m:sub>
        </m:sSub>
      </m:oMath>
      <w:r w:rsidRPr="004C4291">
        <w:rPr>
          <w:rFonts w:asciiTheme="majorBidi" w:hAnsiTheme="majorBidi" w:cstheme="majorBidi"/>
          <w:lang w:val="en-US"/>
        </w:rPr>
        <w:t xml:space="preserve"> is positive. The term </w:t>
      </w:r>
      <m:oMath>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p</m:t>
            </m:r>
          </m:sup>
          <m:e>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i</m:t>
                </m:r>
              </m:sub>
            </m:sSub>
          </m:e>
        </m:nary>
      </m:oMath>
      <w:r w:rsidRPr="004C4291">
        <w:rPr>
          <w:rFonts w:asciiTheme="majorBidi" w:hAnsiTheme="majorBidi" w:cstheme="majorBidi"/>
          <w:lang w:val="en-US"/>
        </w:rPr>
        <w:t xml:space="preserve"> measures the persistence of shocks to the conditional variance.</w:t>
      </w:r>
    </w:p>
    <w:p w:rsidR="00CF17FE" w:rsidRPr="004C4291" w:rsidRDefault="00CF17FE" w:rsidP="00CF17FE">
      <w:pPr>
        <w:ind w:firstLine="340"/>
        <w:jc w:val="both"/>
        <w:rPr>
          <w:rFonts w:asciiTheme="majorBidi" w:hAnsiTheme="majorBidi" w:cstheme="majorBidi"/>
          <w:lang w:val="en-US"/>
        </w:rPr>
      </w:pPr>
      <w:r w:rsidRPr="004C4291">
        <w:rPr>
          <w:rFonts w:asciiTheme="majorBidi" w:hAnsiTheme="majorBidi" w:cstheme="majorBidi"/>
          <w:lang w:val="en-US"/>
        </w:rPr>
        <w:t xml:space="preserve">The conditional mean equation (Eq. 1) is specified as an autoregressive process or order </w:t>
      </w:r>
      <m:oMath>
        <m:r>
          <w:rPr>
            <w:rFonts w:ascii="Cambria Math" w:hAnsi="Cambria Math" w:cstheme="majorBidi"/>
            <w:lang w:val="en-US"/>
          </w:rPr>
          <m:t>m</m:t>
        </m:r>
      </m:oMath>
      <w:r w:rsidRPr="004C4291">
        <w:rPr>
          <w:rFonts w:asciiTheme="majorBidi" w:hAnsiTheme="majorBidi" w:cstheme="majorBidi"/>
          <w:lang w:val="en-US"/>
        </w:rPr>
        <w:t xml:space="preserve">. The optimal lag length </w:t>
      </w:r>
      <m:oMath>
        <m:r>
          <w:rPr>
            <w:rFonts w:ascii="Cambria Math" w:hAnsi="Cambria Math" w:cstheme="majorBidi"/>
            <w:lang w:val="en-US"/>
          </w:rPr>
          <m:t>m</m:t>
        </m:r>
      </m:oMath>
      <w:r w:rsidRPr="004C4291">
        <w:rPr>
          <w:rFonts w:asciiTheme="majorBidi" w:hAnsiTheme="majorBidi" w:cstheme="majorBidi"/>
          <w:lang w:val="en-US"/>
        </w:rPr>
        <w:t xml:space="preserve"> for each asset return series is given by the Schwartz-Bayesian Information Criterion (SBIC). (Eq. 2).represents the conditional variance and is specified as and </w:t>
      </w:r>
      <m:oMath>
        <m:r>
          <w:rPr>
            <w:rFonts w:ascii="Cambria Math" w:hAnsi="Cambria Math" w:cstheme="majorBidi"/>
            <w:lang w:val="en-US"/>
          </w:rPr>
          <m:t>EGARCH(p,q)</m:t>
        </m:r>
      </m:oMath>
      <w:r w:rsidRPr="004C4291">
        <w:rPr>
          <w:rFonts w:asciiTheme="majorBidi" w:hAnsiTheme="majorBidi" w:cstheme="majorBidi"/>
          <w:lang w:val="en-US"/>
        </w:rPr>
        <w:t xml:space="preserve"> process. The optimal lag lengths </w:t>
      </w:r>
      <m:oMath>
        <m:r>
          <w:rPr>
            <w:rFonts w:ascii="Cambria Math" w:hAnsi="Cambria Math" w:cstheme="majorBidi"/>
            <w:lang w:val="en-US"/>
          </w:rPr>
          <m:t>p</m:t>
        </m:r>
      </m:oMath>
      <w:r w:rsidRPr="004C4291">
        <w:rPr>
          <w:rFonts w:asciiTheme="majorBidi" w:hAnsiTheme="majorBidi" w:cstheme="majorBidi"/>
          <w:lang w:val="en-US"/>
        </w:rPr>
        <w:t xml:space="preserve"> and </w:t>
      </w:r>
      <m:oMath>
        <m:r>
          <w:rPr>
            <w:rFonts w:ascii="Cambria Math" w:hAnsi="Cambria Math" w:cstheme="majorBidi"/>
            <w:lang w:val="en-US"/>
          </w:rPr>
          <m:t>q</m:t>
        </m:r>
      </m:oMath>
      <w:r w:rsidRPr="004C4291">
        <w:rPr>
          <w:rFonts w:asciiTheme="majorBidi" w:hAnsiTheme="majorBidi" w:cstheme="majorBidi"/>
          <w:lang w:val="en-US"/>
        </w:rPr>
        <w:t xml:space="preserve"> are determined by employing the SBIC criterion.</w:t>
      </w:r>
    </w:p>
    <w:p w:rsidR="00CF17FE" w:rsidRPr="004C4291" w:rsidRDefault="00CF17FE" w:rsidP="00CF17FE">
      <w:pPr>
        <w:ind w:firstLine="340"/>
        <w:jc w:val="both"/>
        <w:rPr>
          <w:rFonts w:asciiTheme="majorBidi" w:hAnsiTheme="majorBidi" w:cstheme="majorBidi"/>
          <w:lang w:val="en-US"/>
        </w:rPr>
      </w:pPr>
      <w:r w:rsidRPr="004C4291">
        <w:rPr>
          <w:rFonts w:asciiTheme="majorBidi" w:hAnsiTheme="majorBidi" w:cstheme="majorBidi"/>
          <w:lang w:val="en-US"/>
        </w:rPr>
        <w:t>From Eq. 2, we first obtain the conditional volatilities and then recover the conditional correlations. The conditional covariance matrix is then defined as follows:</w:t>
      </w:r>
    </w:p>
    <w:p w:rsidR="00CF17FE" w:rsidRPr="004C4291" w:rsidRDefault="00CF17FE" w:rsidP="00CF17FE">
      <w:pPr>
        <w:ind w:firstLine="340"/>
        <w:jc w:val="both"/>
        <w:rPr>
          <w:rFonts w:asciiTheme="majorBidi" w:hAnsiTheme="majorBidi" w:cstheme="majorBidi"/>
          <w:lang w:val="en-US"/>
        </w:rPr>
      </w:pPr>
    </w:p>
    <w:p w:rsidR="00CF17FE" w:rsidRPr="004C4291" w:rsidRDefault="00194326" w:rsidP="00CF17FE">
      <w:pPr>
        <w:ind w:firstLine="360"/>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oMath>
      <w:r w:rsidR="00CF17FE" w:rsidRPr="004C4291">
        <w:rPr>
          <w:rFonts w:asciiTheme="majorBidi" w:hAnsiTheme="majorBidi" w:cstheme="majorBidi"/>
          <w:lang w:val="en-US"/>
        </w:rPr>
        <w:t xml:space="preserve">                                                                                                  </w:t>
      </w:r>
      <w:r w:rsidR="0068758C">
        <w:rPr>
          <w:rFonts w:asciiTheme="majorBidi" w:hAnsiTheme="majorBidi" w:cstheme="majorBidi"/>
          <w:lang w:val="en-US"/>
        </w:rPr>
        <w:t xml:space="preserve">             </w:t>
      </w:r>
      <w:r w:rsidR="00CF17FE" w:rsidRPr="004C4291">
        <w:rPr>
          <w:rFonts w:asciiTheme="majorBidi" w:hAnsiTheme="majorBidi" w:cstheme="majorBidi"/>
          <w:lang w:val="en-US"/>
        </w:rPr>
        <w:t xml:space="preserve">                     (4)</w:t>
      </w:r>
    </w:p>
    <w:p w:rsidR="0068758C" w:rsidRDefault="0068758C" w:rsidP="00CF17FE">
      <w:pPr>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 xml:space="preserve">where the diagonal matrix </w:t>
      </w:r>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oMath>
      <w:r w:rsidRPr="004C4291">
        <w:rPr>
          <w:rFonts w:asciiTheme="majorBidi" w:hAnsiTheme="majorBidi" w:cstheme="majorBidi"/>
          <w:lang w:val="en-US"/>
        </w:rPr>
        <w:t xml:space="preserve"> is the conditional standard deviation obtained from Eq. 2. The matrix of the standardized residuals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4C4291">
        <w:rPr>
          <w:rFonts w:asciiTheme="majorBidi" w:hAnsiTheme="majorBidi" w:cstheme="majorBidi"/>
          <w:lang w:val="en-US"/>
        </w:rPr>
        <w:t xml:space="preserve"> is used to estimate the parameters of the Asymmetric dynamic conditional correlation (A-DCC) model developed by </w:t>
      </w:r>
      <w:r w:rsidRPr="004C4291">
        <w:rPr>
          <w:rFonts w:asciiTheme="majorBidi" w:hAnsiTheme="majorBidi" w:cstheme="majorBidi"/>
          <w:color w:val="4F81BD" w:themeColor="accent1"/>
          <w:lang w:val="en-US"/>
        </w:rPr>
        <w:t>Cappiello et al. (2006)</w:t>
      </w:r>
      <w:r w:rsidRPr="004C4291">
        <w:rPr>
          <w:rFonts w:asciiTheme="majorBidi" w:hAnsiTheme="majorBidi" w:cstheme="majorBidi"/>
          <w:lang w:val="en-US"/>
        </w:rPr>
        <w:t>. The AG-DCC model is given as</w:t>
      </w:r>
    </w:p>
    <w:p w:rsidR="00CF17FE" w:rsidRPr="004C4291" w:rsidRDefault="00CF17FE" w:rsidP="00CF17FE">
      <w:pPr>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ab/>
      </w:r>
      <m:oMath>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r>
          <w:rPr>
            <w:rFonts w:ascii="Cambria Math" w:hAnsi="Cambria Math" w:cstheme="majorBidi"/>
            <w:lang w:val="en-US"/>
          </w:rPr>
          <m:t>=</m:t>
        </m:r>
        <m:d>
          <m:dPr>
            <m:ctrlPr>
              <w:rPr>
                <w:rFonts w:ascii="Cambria Math" w:hAnsi="Cambria Math" w:cstheme="majorBidi"/>
                <w:i/>
                <w:lang w:val="en-US"/>
              </w:rPr>
            </m:ctrlPr>
          </m:dPr>
          <m:e>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A-</m:t>
            </m:r>
            <m:sSup>
              <m:sSupPr>
                <m:ctrlPr>
                  <w:rPr>
                    <w:rFonts w:ascii="Cambria Math" w:hAnsi="Cambria Math" w:cstheme="majorBidi"/>
                    <w:i/>
                    <w:lang w:val="en-US"/>
                  </w:rPr>
                </m:ctrlPr>
              </m:sSupPr>
              <m:e>
                <m:r>
                  <w:rPr>
                    <w:rFonts w:ascii="Cambria Math" w:hAnsi="Cambria Math" w:cstheme="majorBidi"/>
                    <w:lang w:val="en-US"/>
                  </w:rPr>
                  <m:t>B</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B-</m:t>
            </m:r>
            <m:sSup>
              <m:sSupPr>
                <m:ctrlPr>
                  <w:rPr>
                    <w:rFonts w:ascii="Cambria Math" w:hAnsi="Cambria Math" w:cstheme="majorBidi"/>
                    <w:i/>
                    <w:lang w:val="en-US"/>
                  </w:rPr>
                </m:ctrlPr>
              </m:sSupPr>
              <m:e>
                <m:r>
                  <w:rPr>
                    <w:rFonts w:ascii="Cambria Math" w:hAnsi="Cambria Math" w:cstheme="majorBidi"/>
                    <w:lang w:val="en-US"/>
                  </w:rPr>
                  <m:t>G</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N</m:t>
                </m:r>
              </m:e>
            </m:acc>
            <m:r>
              <w:rPr>
                <w:rFonts w:ascii="Cambria Math" w:hAnsi="Cambria Math" w:cstheme="majorBidi"/>
                <w:lang w:val="en-US"/>
              </w:rPr>
              <m:t>G</m:t>
            </m:r>
          </m:e>
        </m:d>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m:t>
            </m:r>
          </m:sup>
        </m:sSup>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t-1</m:t>
            </m:r>
          </m:sub>
        </m:sSub>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t-1</m:t>
            </m:r>
          </m:sub>
          <m:sup>
            <m:r>
              <w:rPr>
                <w:rFonts w:ascii="Cambria Math" w:hAnsi="Cambria Math" w:cstheme="majorBidi"/>
                <w:lang w:val="en-US"/>
              </w:rPr>
              <m:t>'</m:t>
            </m:r>
          </m:sup>
        </m:sSubSup>
        <m:r>
          <w:rPr>
            <w:rFonts w:ascii="Cambria Math" w:hAnsi="Cambria Math" w:cstheme="majorBidi"/>
            <w:lang w:val="en-US"/>
          </w:rPr>
          <m:t>A+</m:t>
        </m:r>
        <m:sSup>
          <m:sSupPr>
            <m:ctrlPr>
              <w:rPr>
                <w:rFonts w:ascii="Cambria Math" w:hAnsi="Cambria Math" w:cstheme="majorBidi"/>
                <w:i/>
                <w:lang w:val="en-US"/>
              </w:rPr>
            </m:ctrlPr>
          </m:sSupPr>
          <m:e>
            <m:r>
              <w:rPr>
                <w:rFonts w:ascii="Cambria Math" w:hAnsi="Cambria Math" w:cstheme="majorBidi"/>
                <w:lang w:val="en-US"/>
              </w:rPr>
              <m:t>B</m:t>
            </m:r>
          </m:e>
          <m:sup>
            <m:r>
              <w:rPr>
                <w:rFonts w:ascii="Cambria Math" w:hAnsi="Cambria Math" w:cstheme="majorBidi"/>
                <w:lang w:val="en-US"/>
              </w:rPr>
              <m:t>'</m:t>
            </m:r>
          </m:sup>
        </m:sSup>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t-1</m:t>
            </m:r>
          </m:sub>
        </m:sSub>
        <m:r>
          <w:rPr>
            <w:rFonts w:ascii="Cambria Math" w:hAnsi="Cambria Math" w:cstheme="majorBidi"/>
            <w:lang w:val="en-US"/>
          </w:rPr>
          <m:t>B+</m:t>
        </m:r>
        <m:sSup>
          <m:sSupPr>
            <m:ctrlPr>
              <w:rPr>
                <w:rFonts w:ascii="Cambria Math" w:hAnsi="Cambria Math" w:cstheme="majorBidi"/>
                <w:i/>
                <w:lang w:val="en-US"/>
              </w:rPr>
            </m:ctrlPr>
          </m:sSupPr>
          <m:e>
            <m:r>
              <w:rPr>
                <w:rFonts w:ascii="Cambria Math" w:hAnsi="Cambria Math" w:cstheme="majorBidi"/>
                <w:lang w:val="en-US"/>
              </w:rPr>
              <m:t>G</m:t>
            </m:r>
          </m:e>
          <m:sup>
            <m:r>
              <w:rPr>
                <w:rFonts w:ascii="Cambria Math" w:hAnsi="Cambria Math" w:cstheme="majorBidi"/>
                <w:lang w:val="en-US"/>
              </w:rPr>
              <m:t>'</m:t>
            </m:r>
          </m:sup>
        </m:sSup>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t-1</m:t>
            </m:r>
          </m:sub>
        </m:sSub>
        <m:sSubSup>
          <m:sSubSupPr>
            <m:ctrlPr>
              <w:rPr>
                <w:rFonts w:ascii="Cambria Math" w:hAnsi="Cambria Math" w:cstheme="majorBidi"/>
                <w:i/>
                <w:lang w:val="en-US"/>
              </w:rPr>
            </m:ctrlPr>
          </m:sSubSupPr>
          <m:e>
            <m:r>
              <w:rPr>
                <w:rFonts w:ascii="Cambria Math" w:hAnsi="Cambria Math" w:cstheme="majorBidi"/>
                <w:lang w:val="en-US"/>
              </w:rPr>
              <m:t>η</m:t>
            </m:r>
          </m:e>
          <m:sub>
            <m:r>
              <w:rPr>
                <w:rFonts w:ascii="Cambria Math" w:hAnsi="Cambria Math" w:cstheme="majorBidi"/>
                <w:lang w:val="en-US"/>
              </w:rPr>
              <m:t>t-1</m:t>
            </m:r>
          </m:sub>
          <m:sup>
            <m:r>
              <w:rPr>
                <w:rFonts w:ascii="Cambria Math" w:hAnsi="Cambria Math" w:cstheme="majorBidi"/>
                <w:lang w:val="en-US"/>
              </w:rPr>
              <m:t>'</m:t>
            </m:r>
          </m:sup>
        </m:sSubSup>
        <m:r>
          <w:rPr>
            <w:rFonts w:ascii="Cambria Math" w:hAnsi="Cambria Math" w:cstheme="majorBidi"/>
            <w:lang w:val="en-US"/>
          </w:rPr>
          <m:t>G</m:t>
        </m:r>
      </m:oMath>
      <w:r w:rsidRPr="004C4291">
        <w:rPr>
          <w:rFonts w:asciiTheme="majorBidi" w:hAnsiTheme="majorBidi" w:cstheme="majorBidi"/>
          <w:lang w:val="en-US"/>
        </w:rPr>
        <w:t xml:space="preserve">  </w:t>
      </w:r>
      <w:r w:rsidR="0068758C">
        <w:rPr>
          <w:rFonts w:asciiTheme="majorBidi" w:hAnsiTheme="majorBidi" w:cstheme="majorBidi"/>
          <w:lang w:val="en-US"/>
        </w:rPr>
        <w:t xml:space="preserve">            </w:t>
      </w:r>
      <w:r w:rsidRPr="004C4291">
        <w:rPr>
          <w:rFonts w:asciiTheme="majorBidi" w:hAnsiTheme="majorBidi" w:cstheme="majorBidi"/>
          <w:lang w:val="en-US"/>
        </w:rPr>
        <w:t xml:space="preserve">   (5)</w:t>
      </w:r>
    </w:p>
    <w:p w:rsidR="00CF17FE" w:rsidRPr="004C4291" w:rsidRDefault="00CF17FE" w:rsidP="00CF17FE">
      <w:pPr>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where</w:t>
      </w:r>
      <m:oMath>
        <m:acc>
          <m:accPr>
            <m:chr m:val="̅"/>
            <m:ctrlPr>
              <w:rPr>
                <w:rFonts w:ascii="Cambria Math" w:hAnsi="Cambria Math" w:cstheme="majorBidi"/>
                <w:i/>
                <w:lang w:val="en-US"/>
              </w:rPr>
            </m:ctrlPr>
          </m:accPr>
          <m:e>
            <m:r>
              <w:rPr>
                <w:rFonts w:ascii="Cambria Math" w:hAnsi="Cambria Math" w:cstheme="majorBidi"/>
                <w:lang w:val="en-US"/>
              </w:rPr>
              <m:t>Q</m:t>
            </m:r>
          </m:e>
        </m:acc>
      </m:oMath>
      <w:r w:rsidRPr="004C4291">
        <w:rPr>
          <w:rFonts w:asciiTheme="majorBidi" w:hAnsiTheme="majorBidi" w:cstheme="majorBidi"/>
          <w:lang w:val="en-US"/>
        </w:rPr>
        <w:t xml:space="preserve"> and </w:t>
      </w:r>
      <m:oMath>
        <m:acc>
          <m:accPr>
            <m:chr m:val="̅"/>
            <m:ctrlPr>
              <w:rPr>
                <w:rFonts w:ascii="Cambria Math" w:hAnsi="Cambria Math" w:cstheme="majorBidi"/>
                <w:i/>
                <w:lang w:val="en-US"/>
              </w:rPr>
            </m:ctrlPr>
          </m:accPr>
          <m:e>
            <m:r>
              <w:rPr>
                <w:rFonts w:ascii="Cambria Math" w:hAnsi="Cambria Math" w:cstheme="majorBidi"/>
                <w:lang w:val="en-US"/>
              </w:rPr>
              <m:t>N</m:t>
            </m:r>
          </m:e>
        </m:acc>
        <m:r>
          <w:rPr>
            <w:rFonts w:ascii="Cambria Math" w:hAnsi="Cambria Math" w:cstheme="majorBidi"/>
            <w:lang w:val="en-US"/>
          </w:rPr>
          <m:t>=E(</m:t>
        </m:r>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m:t>
            </m:r>
          </m:sub>
        </m:sSub>
        <m:sSubSup>
          <m:sSubSupPr>
            <m:ctrlPr>
              <w:rPr>
                <w:rFonts w:ascii="Cambria Math" w:hAnsi="Cambria Math" w:cstheme="majorBidi"/>
                <w:i/>
                <w:lang w:val="en-US"/>
              </w:rPr>
            </m:ctrlPr>
          </m:sSubSupPr>
          <m:e>
            <m:r>
              <w:rPr>
                <w:rFonts w:ascii="Cambria Math" w:hAnsi="Cambria Math" w:cstheme="majorBidi"/>
                <w:lang w:val="en-US"/>
              </w:rPr>
              <m:t>η</m:t>
            </m:r>
          </m:e>
          <m:sub>
            <m:r>
              <w:rPr>
                <w:rFonts w:ascii="Cambria Math" w:hAnsi="Cambria Math" w:cstheme="majorBidi"/>
                <w:lang w:val="en-US"/>
              </w:rPr>
              <m:t>t</m:t>
            </m:r>
          </m:sub>
          <m:sup>
            <m:r>
              <w:rPr>
                <w:rFonts w:ascii="Cambria Math" w:hAnsi="Cambria Math" w:cstheme="majorBidi"/>
                <w:lang w:val="en-US"/>
              </w:rPr>
              <m:t>'</m:t>
            </m:r>
          </m:sup>
        </m:sSubSup>
        <m:r>
          <w:rPr>
            <w:rFonts w:ascii="Cambria Math" w:hAnsi="Cambria Math" w:cstheme="majorBidi"/>
            <w:lang w:val="en-US"/>
          </w:rPr>
          <m:t>)</m:t>
        </m:r>
      </m:oMath>
      <w:r w:rsidRPr="004C4291">
        <w:rPr>
          <w:rFonts w:asciiTheme="majorBidi" w:hAnsiTheme="majorBidi" w:cstheme="majorBidi"/>
          <w:lang w:val="en-US"/>
        </w:rPr>
        <w:t xml:space="preserve"> are the unconditional correlation matrices of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4C4291">
        <w:rPr>
          <w:rFonts w:asciiTheme="majorBidi"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m:t>
            </m:r>
          </m:sub>
        </m:sSub>
      </m:oMath>
      <w:r w:rsidRPr="004C4291">
        <w:rPr>
          <w:rFonts w:asciiTheme="majorBidi" w:hAnsiTheme="majorBidi"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m:t>
            </m:r>
          </m:sub>
        </m:sSub>
        <m:r>
          <w:rPr>
            <w:rFonts w:ascii="Cambria Math" w:hAnsi="Cambria Math" w:cstheme="majorBidi"/>
            <w:lang w:val="en-US"/>
          </w:rPr>
          <m:t>=I[</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&lt;0]∘</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4C4291">
        <w:rPr>
          <w:rFonts w:asciiTheme="majorBidi" w:hAnsiTheme="majorBidi" w:cstheme="majorBidi"/>
          <w:lang w:val="en-US"/>
        </w:rPr>
        <w:t xml:space="preserve">. </w:t>
      </w:r>
      <m:oMath>
        <m:r>
          <w:rPr>
            <w:rFonts w:ascii="Cambria Math" w:hAnsi="Cambria Math" w:cstheme="majorBidi"/>
            <w:lang w:val="en-US"/>
          </w:rPr>
          <m:t>I[.]</m:t>
        </m:r>
      </m:oMath>
      <w:r w:rsidRPr="004C4291">
        <w:rPr>
          <w:rFonts w:asciiTheme="majorBidi" w:hAnsiTheme="majorBidi" w:cstheme="majorBidi"/>
          <w:lang w:val="en-US"/>
        </w:rPr>
        <w:t xml:space="preserve">is an indicator function such that </w:t>
      </w:r>
      <m:oMath>
        <m:r>
          <w:rPr>
            <w:rFonts w:ascii="Cambria Math" w:hAnsi="Cambria Math" w:cstheme="majorBidi"/>
            <w:lang w:val="en-US"/>
          </w:rPr>
          <m:t>I=1</m:t>
        </m:r>
      </m:oMath>
      <w:r w:rsidRPr="004C4291">
        <w:rPr>
          <w:rFonts w:asciiTheme="majorBidi" w:hAnsiTheme="majorBidi" w:cstheme="majorBidi"/>
          <w:lang w:val="en-US"/>
        </w:rPr>
        <w:t xml:space="preserve"> if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&lt;0</m:t>
        </m:r>
      </m:oMath>
      <w:r w:rsidRPr="004C4291">
        <w:rPr>
          <w:rFonts w:asciiTheme="majorBidi" w:hAnsiTheme="majorBidi" w:cstheme="majorBidi"/>
          <w:lang w:val="en-US"/>
        </w:rPr>
        <w:t xml:space="preserve"> and </w:t>
      </w:r>
      <m:oMath>
        <m:r>
          <w:rPr>
            <w:rFonts w:ascii="Cambria Math" w:hAnsi="Cambria Math" w:cstheme="majorBidi"/>
            <w:lang w:val="en-US"/>
          </w:rPr>
          <m:t>I=0</m:t>
        </m:r>
      </m:oMath>
      <w:r w:rsidRPr="004C4291">
        <w:rPr>
          <w:rFonts w:asciiTheme="majorBidi" w:hAnsiTheme="majorBidi" w:cstheme="majorBidi"/>
          <w:lang w:val="en-US"/>
        </w:rPr>
        <w:t xml:space="preserve"> if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≥0</m:t>
        </m:r>
      </m:oMath>
      <w:r w:rsidRPr="004C4291">
        <w:rPr>
          <w:rFonts w:asciiTheme="majorBidi" w:hAnsiTheme="majorBidi" w:cstheme="majorBidi"/>
          <w:lang w:val="en-US"/>
        </w:rPr>
        <w:t xml:space="preserve">, while </w:t>
      </w:r>
      <m:oMath>
        <m:r>
          <w:rPr>
            <w:rFonts w:ascii="Cambria Math" w:hAnsi="Cambria Math" w:cstheme="majorBidi"/>
            <w:lang w:val="en-US"/>
          </w:rPr>
          <m:t>"∘"</m:t>
        </m:r>
      </m:oMath>
      <w:r w:rsidRPr="004C4291">
        <w:rPr>
          <w:rFonts w:asciiTheme="majorBidi" w:hAnsiTheme="majorBidi" w:cstheme="majorBidi"/>
          <w:lang w:val="en-US"/>
        </w:rPr>
        <w:t xml:space="preserve"> is the Hadamard product.</w:t>
      </w:r>
    </w:p>
    <w:p w:rsidR="00CF17FE" w:rsidRDefault="00CF17FE" w:rsidP="00CF17FE">
      <w:pPr>
        <w:ind w:firstLine="340"/>
        <w:jc w:val="both"/>
        <w:rPr>
          <w:rFonts w:asciiTheme="majorBidi" w:hAnsiTheme="majorBidi" w:cstheme="majorBidi"/>
          <w:lang w:val="en-US"/>
        </w:rPr>
      </w:pPr>
      <w:r w:rsidRPr="004C4291">
        <w:rPr>
          <w:rFonts w:asciiTheme="majorBidi" w:hAnsiTheme="majorBidi" w:cstheme="majorBidi"/>
          <w:lang w:val="en-US"/>
        </w:rPr>
        <w:lastRenderedPageBreak/>
        <w:t xml:space="preserve">The A-DCC(1,1) model is identified as a special case of the AG-DCC(1,1) model if the matrices </w:t>
      </w:r>
      <m:oMath>
        <m:r>
          <w:rPr>
            <w:rFonts w:ascii="Cambria Math" w:hAnsi="Cambria Math" w:cstheme="majorBidi"/>
            <w:lang w:val="en-US"/>
          </w:rPr>
          <m:t>A</m:t>
        </m:r>
      </m:oMath>
      <w:r w:rsidRPr="004C4291">
        <w:rPr>
          <w:rFonts w:asciiTheme="majorBidi" w:hAnsiTheme="majorBidi" w:cstheme="majorBidi"/>
          <w:lang w:val="en-US"/>
        </w:rPr>
        <w:t xml:space="preserve">, </w:t>
      </w:r>
      <m:oMath>
        <m:r>
          <w:rPr>
            <w:rFonts w:ascii="Cambria Math" w:hAnsi="Cambria Math" w:cstheme="majorBidi"/>
            <w:lang w:val="en-US"/>
          </w:rPr>
          <m:t>B</m:t>
        </m:r>
      </m:oMath>
      <w:r w:rsidRPr="004C4291">
        <w:rPr>
          <w:rFonts w:asciiTheme="majorBidi" w:hAnsiTheme="majorBidi" w:cstheme="majorBidi"/>
          <w:lang w:val="en-US"/>
        </w:rPr>
        <w:t xml:space="preserve"> and </w:t>
      </w:r>
      <m:oMath>
        <m:r>
          <w:rPr>
            <w:rFonts w:ascii="Cambria Math" w:hAnsi="Cambria Math" w:cstheme="majorBidi"/>
            <w:lang w:val="en-US"/>
          </w:rPr>
          <m:t>G</m:t>
        </m:r>
      </m:oMath>
      <w:r w:rsidRPr="004C4291">
        <w:rPr>
          <w:rFonts w:asciiTheme="majorBidi" w:hAnsiTheme="majorBidi" w:cstheme="majorBidi"/>
          <w:lang w:val="en-US"/>
        </w:rPr>
        <w:t xml:space="preserve"> are replaced by the scalars </w:t>
      </w:r>
      <m:oMath>
        <m:sSub>
          <m:sSubPr>
            <m:ctrlPr>
              <w:rPr>
                <w:rFonts w:ascii="Cambria Math" w:hAnsi="Cambria Math" w:cstheme="majorBidi"/>
                <w:i/>
                <w:lang w:val="en-US"/>
              </w:rPr>
            </m:ctrlPr>
          </m:sSubPr>
          <m:e>
            <m:r>
              <w:rPr>
                <w:rFonts w:ascii="Cambria Math" w:hAnsi="Cambria Math" w:cstheme="majorBidi"/>
                <w:lang w:val="en-US"/>
              </w:rPr>
              <m:t>a</m:t>
            </m:r>
          </m:e>
          <m:sub>
            <m:r>
              <w:rPr>
                <w:rFonts w:ascii="Cambria Math" w:hAnsi="Cambria Math" w:cstheme="majorBidi"/>
                <w:lang w:val="en-US"/>
              </w:rPr>
              <m: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 xml:space="preserve"> b</m:t>
            </m:r>
          </m:e>
          <m:sub>
            <m:r>
              <w:rPr>
                <w:rFonts w:ascii="Cambria Math" w:hAnsi="Cambria Math" w:cstheme="majorBidi"/>
                <w:lang w:val="en-US"/>
              </w:rPr>
              <m:t>1</m:t>
            </m:r>
          </m:sub>
        </m:sSub>
      </m:oMath>
      <w:r w:rsidRPr="004C4291">
        <w:rPr>
          <w:rFonts w:asciiTheme="majorBidi"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g</m:t>
            </m:r>
          </m:e>
          <m:sub>
            <m:r>
              <w:rPr>
                <w:rFonts w:ascii="Cambria Math" w:hAnsi="Cambria Math" w:cstheme="majorBidi"/>
                <w:lang w:val="en-US"/>
              </w:rPr>
              <m:t>1</m:t>
            </m:r>
          </m:sub>
        </m:sSub>
      </m:oMath>
      <w:r w:rsidRPr="004C4291">
        <w:rPr>
          <w:rFonts w:asciiTheme="majorBidi" w:hAnsiTheme="majorBidi" w:cstheme="majorBidi"/>
          <w:lang w:val="en-US"/>
        </w:rPr>
        <w:t xml:space="preserve">. </w:t>
      </w:r>
      <w:r w:rsidRPr="004C4291">
        <w:rPr>
          <w:rFonts w:asciiTheme="majorBidi" w:hAnsiTheme="majorBidi" w:cstheme="majorBidi"/>
          <w:color w:val="4F81BD" w:themeColor="accent1"/>
          <w:lang w:val="en-US"/>
        </w:rPr>
        <w:t>Cappiello et al. (2006)</w:t>
      </w:r>
      <w:r w:rsidRPr="004C4291">
        <w:rPr>
          <w:rFonts w:asciiTheme="majorBidi" w:hAnsiTheme="majorBidi" w:cstheme="majorBidi"/>
          <w:lang w:val="en-US"/>
        </w:rPr>
        <w:t xml:space="preserve"> show that </w:t>
      </w:r>
      <m:oMath>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oMath>
      <w:r w:rsidRPr="004C4291">
        <w:rPr>
          <w:rFonts w:asciiTheme="majorBidi" w:hAnsiTheme="majorBidi" w:cstheme="majorBidi"/>
          <w:lang w:val="en-US"/>
        </w:rPr>
        <w:t xml:space="preserve"> is positive definite with a probability of one if </w:t>
      </w:r>
      <m:oMath>
        <m:d>
          <m:dPr>
            <m:ctrlPr>
              <w:rPr>
                <w:rFonts w:ascii="Cambria Math" w:hAnsi="Cambria Math" w:cstheme="majorBidi"/>
                <w:i/>
                <w:lang w:val="en-US"/>
              </w:rPr>
            </m:ctrlPr>
          </m:dPr>
          <m:e>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A-</m:t>
            </m:r>
            <m:sSup>
              <m:sSupPr>
                <m:ctrlPr>
                  <w:rPr>
                    <w:rFonts w:ascii="Cambria Math" w:hAnsi="Cambria Math" w:cstheme="majorBidi"/>
                    <w:i/>
                    <w:lang w:val="en-US"/>
                  </w:rPr>
                </m:ctrlPr>
              </m:sSupPr>
              <m:e>
                <m:r>
                  <w:rPr>
                    <w:rFonts w:ascii="Cambria Math" w:hAnsi="Cambria Math" w:cstheme="majorBidi"/>
                    <w:lang w:val="en-US"/>
                  </w:rPr>
                  <m:t>B</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B-</m:t>
            </m:r>
            <m:sSup>
              <m:sSupPr>
                <m:ctrlPr>
                  <w:rPr>
                    <w:rFonts w:ascii="Cambria Math" w:hAnsi="Cambria Math" w:cstheme="majorBidi"/>
                    <w:i/>
                    <w:lang w:val="en-US"/>
                  </w:rPr>
                </m:ctrlPr>
              </m:sSupPr>
              <m:e>
                <m:r>
                  <w:rPr>
                    <w:rFonts w:ascii="Cambria Math" w:hAnsi="Cambria Math" w:cstheme="majorBidi"/>
                    <w:lang w:val="en-US"/>
                  </w:rPr>
                  <m:t>G</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N</m:t>
                </m:r>
              </m:e>
            </m:acc>
            <m:r>
              <w:rPr>
                <w:rFonts w:ascii="Cambria Math" w:hAnsi="Cambria Math" w:cstheme="majorBidi"/>
                <w:lang w:val="en-US"/>
              </w:rPr>
              <m:t>G</m:t>
            </m:r>
          </m:e>
        </m:d>
      </m:oMath>
      <w:r w:rsidRPr="004C4291">
        <w:rPr>
          <w:rFonts w:asciiTheme="majorBidi" w:hAnsiTheme="majorBidi" w:cstheme="majorBidi"/>
          <w:lang w:val="en-US"/>
        </w:rPr>
        <w:t xml:space="preserve"> is positive definite. The next step consists in computing the correlation matrix </w:t>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oMath>
      <w:r w:rsidRPr="004C4291">
        <w:rPr>
          <w:rFonts w:asciiTheme="majorBidi" w:hAnsiTheme="majorBidi" w:cstheme="majorBidi"/>
          <w:lang w:val="en-US"/>
        </w:rPr>
        <w:t xml:space="preserve"> from the following equation:</w:t>
      </w:r>
    </w:p>
    <w:p w:rsidR="0068758C" w:rsidRPr="004C4291" w:rsidRDefault="0068758C" w:rsidP="00CF17FE">
      <w:pPr>
        <w:ind w:firstLine="340"/>
        <w:jc w:val="both"/>
        <w:rPr>
          <w:rFonts w:asciiTheme="majorBidi" w:hAnsiTheme="majorBidi" w:cstheme="majorBidi"/>
          <w:lang w:val="en-US"/>
        </w:rPr>
      </w:pPr>
    </w:p>
    <w:p w:rsidR="00CF17FE" w:rsidRPr="004C4291" w:rsidRDefault="00194326" w:rsidP="00CF17FE">
      <w:pPr>
        <w:ind w:firstLine="357"/>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sSubSup>
          <m:sSubSupPr>
            <m:ctrlPr>
              <w:rPr>
                <w:rFonts w:ascii="Cambria Math" w:hAnsi="Cambria Math" w:cstheme="majorBidi"/>
                <w:i/>
                <w:lang w:val="en-US"/>
              </w:rPr>
            </m:ctrlPr>
          </m:sSubSupPr>
          <m:e>
            <m:r>
              <w:rPr>
                <w:rFonts w:ascii="Cambria Math" w:hAnsi="Cambria Math" w:cstheme="majorBidi"/>
                <w:lang w:val="en-US"/>
              </w:rPr>
              <m:t>Q</m:t>
            </m:r>
          </m:e>
          <m:sub>
            <m:r>
              <w:rPr>
                <w:rFonts w:ascii="Cambria Math" w:hAnsi="Cambria Math" w:cstheme="majorBidi"/>
                <w:lang w:val="en-US"/>
              </w:rPr>
              <m:t>t</m:t>
            </m:r>
          </m:sub>
          <m:sup>
            <m:r>
              <w:rPr>
                <w:rFonts w:ascii="Cambria Math" w:hAnsi="Cambria Math" w:cstheme="majorBidi"/>
                <w:lang w:val="en-US"/>
              </w:rPr>
              <m:t>*-1</m:t>
            </m:r>
          </m:sup>
        </m:sSubSup>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sSubSup>
          <m:sSubSupPr>
            <m:ctrlPr>
              <w:rPr>
                <w:rFonts w:ascii="Cambria Math" w:hAnsi="Cambria Math" w:cstheme="majorBidi"/>
                <w:i/>
                <w:lang w:val="en-US"/>
              </w:rPr>
            </m:ctrlPr>
          </m:sSubSupPr>
          <m:e>
            <m:r>
              <w:rPr>
                <w:rFonts w:ascii="Cambria Math" w:hAnsi="Cambria Math" w:cstheme="majorBidi"/>
                <w:lang w:val="en-US"/>
              </w:rPr>
              <m:t>Q</m:t>
            </m:r>
          </m:e>
          <m:sub>
            <m:r>
              <w:rPr>
                <w:rFonts w:ascii="Cambria Math" w:hAnsi="Cambria Math" w:cstheme="majorBidi"/>
                <w:lang w:val="en-US"/>
              </w:rPr>
              <m:t>t</m:t>
            </m:r>
          </m:sub>
          <m:sup>
            <m:r>
              <w:rPr>
                <w:rFonts w:ascii="Cambria Math" w:hAnsi="Cambria Math" w:cstheme="majorBidi"/>
                <w:lang w:val="en-US"/>
              </w:rPr>
              <m:t>*-1</m:t>
            </m:r>
          </m:sup>
        </m:sSubSup>
      </m:oMath>
      <w:r w:rsidR="00CF17FE" w:rsidRPr="004C4291">
        <w:rPr>
          <w:rFonts w:asciiTheme="majorBidi" w:hAnsiTheme="majorBidi" w:cstheme="majorBidi"/>
          <w:lang w:val="en-US"/>
        </w:rPr>
        <w:t xml:space="preserve">                                                                                                           </w:t>
      </w:r>
      <w:r w:rsidR="0068758C">
        <w:rPr>
          <w:rFonts w:asciiTheme="majorBidi" w:hAnsiTheme="majorBidi" w:cstheme="majorBidi"/>
          <w:lang w:val="en-US"/>
        </w:rPr>
        <w:t xml:space="preserve">             </w:t>
      </w:r>
      <w:r w:rsidR="00CF17FE" w:rsidRPr="004C4291">
        <w:rPr>
          <w:rFonts w:asciiTheme="majorBidi" w:hAnsiTheme="majorBidi" w:cstheme="majorBidi"/>
          <w:lang w:val="en-US"/>
        </w:rPr>
        <w:t xml:space="preserve">    (6)</w:t>
      </w:r>
    </w:p>
    <w:p w:rsidR="00CF17FE" w:rsidRPr="004C4291" w:rsidRDefault="00CF17FE" w:rsidP="00CF17FE">
      <w:pPr>
        <w:ind w:firstLine="357"/>
        <w:jc w:val="both"/>
        <w:rPr>
          <w:rFonts w:asciiTheme="majorBidi" w:hAnsiTheme="majorBidi" w:cstheme="majorBidi"/>
          <w:lang w:val="en-US"/>
        </w:rPr>
      </w:pPr>
    </w:p>
    <w:p w:rsidR="00CF17FE" w:rsidRPr="004C4291" w:rsidRDefault="00CF17FE" w:rsidP="00CF17FE">
      <w:pPr>
        <w:jc w:val="both"/>
        <w:rPr>
          <w:rFonts w:asciiTheme="majorBidi" w:hAnsiTheme="majorBidi" w:cstheme="majorBidi"/>
          <w:lang w:val="en-US"/>
        </w:rPr>
      </w:pPr>
      <w:r w:rsidRPr="004C4291">
        <w:rPr>
          <w:rFonts w:asciiTheme="majorBidi" w:hAnsiTheme="majorBidi" w:cstheme="majorBidi"/>
          <w:lang w:val="en-US"/>
        </w:rPr>
        <w:t>where</w:t>
      </w:r>
      <m:oMath>
        <m:sSubSup>
          <m:sSubSupPr>
            <m:ctrlPr>
              <w:rPr>
                <w:rFonts w:ascii="Cambria Math" w:hAnsi="Cambria Math" w:cstheme="majorBidi"/>
                <w:i/>
                <w:lang w:val="en-US"/>
              </w:rPr>
            </m:ctrlPr>
          </m:sSubSupPr>
          <m:e>
            <m:r>
              <w:rPr>
                <w:rFonts w:ascii="Cambria Math" w:hAnsi="Cambria Math" w:cstheme="majorBidi"/>
                <w:lang w:val="en-US"/>
              </w:rPr>
              <m:t>Q</m:t>
            </m:r>
          </m:e>
          <m:sub>
            <m:r>
              <w:rPr>
                <w:rFonts w:ascii="Cambria Math" w:hAnsi="Cambria Math" w:cstheme="majorBidi"/>
                <w:lang w:val="en-US"/>
              </w:rPr>
              <m:t>t</m:t>
            </m:r>
          </m:sub>
          <m:sup>
            <m:r>
              <w:rPr>
                <w:rFonts w:ascii="Cambria Math" w:hAnsi="Cambria Math" w:cstheme="majorBidi"/>
                <w:lang w:val="en-US"/>
              </w:rPr>
              <m:t>*</m:t>
            </m:r>
          </m:sup>
        </m:sSubSup>
        <m:r>
          <w:rPr>
            <w:rFonts w:ascii="Cambria Math" w:hAnsi="Cambria Math" w:cstheme="majorBidi"/>
            <w:lang w:val="en-US"/>
          </w:rPr>
          <m:t>=</m:t>
        </m:r>
        <m:rad>
          <m:radPr>
            <m:degHide m:val="on"/>
            <m:ctrlPr>
              <w:rPr>
                <w:rFonts w:ascii="Cambria Math" w:hAnsi="Cambria Math" w:cstheme="majorBidi"/>
                <w:i/>
                <w:lang w:val="en-US"/>
              </w:rPr>
            </m:ctrlPr>
          </m:radPr>
          <m:deg/>
          <m:e>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ii,t</m:t>
                </m:r>
              </m:sub>
            </m:sSub>
          </m:e>
        </m:rad>
      </m:oMath>
      <w:r w:rsidRPr="004C4291">
        <w:rPr>
          <w:rFonts w:asciiTheme="majorBidi" w:hAnsiTheme="majorBidi" w:cstheme="majorBidi"/>
          <w:lang w:val="en-US"/>
        </w:rPr>
        <w:t xml:space="preserve"> is a diagonal matrix with a square root of the </w:t>
      </w:r>
      <m:oMath>
        <m:r>
          <w:rPr>
            <w:rFonts w:ascii="Cambria Math" w:hAnsi="Cambria Math" w:cstheme="majorBidi"/>
            <w:lang w:val="en-US"/>
          </w:rPr>
          <m:t>ith</m:t>
        </m:r>
      </m:oMath>
      <w:r w:rsidRPr="004C4291">
        <w:rPr>
          <w:rFonts w:asciiTheme="majorBidi" w:hAnsiTheme="majorBidi" w:cstheme="majorBidi"/>
          <w:lang w:val="en-US"/>
        </w:rPr>
        <w:t xml:space="preserve"> diagonal element of </w:t>
      </w:r>
      <m:oMath>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oMath>
      <w:r w:rsidRPr="004C4291">
        <w:rPr>
          <w:rFonts w:asciiTheme="majorBidi" w:hAnsiTheme="majorBidi" w:cstheme="majorBidi"/>
          <w:lang w:val="en-US"/>
        </w:rPr>
        <w:t xml:space="preserve"> on its </w:t>
      </w:r>
      <m:oMath>
        <m:r>
          <w:rPr>
            <w:rFonts w:ascii="Cambria Math" w:hAnsi="Cambria Math" w:cstheme="majorBidi"/>
            <w:lang w:val="en-US"/>
          </w:rPr>
          <m:t>ith</m:t>
        </m:r>
      </m:oMath>
      <w:r w:rsidRPr="004C4291">
        <w:rPr>
          <w:rFonts w:asciiTheme="majorBidi" w:hAnsiTheme="majorBidi" w:cstheme="majorBidi"/>
          <w:lang w:val="en-US"/>
        </w:rPr>
        <w:t xml:space="preserve"> diagonal position.</w:t>
      </w:r>
    </w:p>
    <w:p w:rsidR="001E197F" w:rsidRPr="004C4291" w:rsidRDefault="001E197F" w:rsidP="00CF17FE">
      <w:pPr>
        <w:jc w:val="both"/>
        <w:rPr>
          <w:rFonts w:asciiTheme="majorBidi" w:hAnsiTheme="majorBidi" w:cstheme="majorBidi"/>
          <w:lang w:val="en-US"/>
        </w:rPr>
      </w:pPr>
    </w:p>
    <w:p w:rsidR="00CF17FE" w:rsidRPr="004C4291" w:rsidRDefault="00CF17FE" w:rsidP="004C4291">
      <w:pPr>
        <w:ind w:left="397" w:hanging="340"/>
        <w:jc w:val="both"/>
        <w:rPr>
          <w:rFonts w:asciiTheme="majorBidi" w:hAnsiTheme="majorBidi" w:cstheme="majorBidi"/>
          <w:b/>
          <w:sz w:val="23"/>
          <w:szCs w:val="23"/>
          <w:lang w:val="en-US"/>
        </w:rPr>
      </w:pPr>
      <w:r w:rsidRPr="004C4291">
        <w:rPr>
          <w:rFonts w:asciiTheme="majorBidi" w:hAnsiTheme="majorBidi" w:cstheme="majorBidi"/>
          <w:b/>
          <w:sz w:val="23"/>
          <w:szCs w:val="23"/>
          <w:lang w:val="en-US"/>
        </w:rPr>
        <w:t>2.2. Crisis periods specification</w:t>
      </w:r>
    </w:p>
    <w:p w:rsidR="00CF17FE" w:rsidRPr="004C4291" w:rsidRDefault="00CF17FE" w:rsidP="0068758C">
      <w:pPr>
        <w:ind w:firstLine="340"/>
        <w:jc w:val="both"/>
        <w:rPr>
          <w:rFonts w:ascii="Times New Roman" w:hAnsi="Times New Roman" w:cs="Times New Roman"/>
          <w:bCs/>
          <w:lang w:val="en-US"/>
        </w:rPr>
      </w:pPr>
    </w:p>
    <w:p w:rsidR="00CF17FE" w:rsidRPr="004C4291" w:rsidRDefault="00CF17FE" w:rsidP="00CF17FE">
      <w:pPr>
        <w:ind w:firstLine="360"/>
        <w:jc w:val="both"/>
        <w:rPr>
          <w:rFonts w:ascii="Times New Roman" w:hAnsi="Times New Roman" w:cs="Times New Roman"/>
          <w:bCs/>
          <w:color w:val="FF0000"/>
          <w:lang w:val="en-US"/>
        </w:rPr>
      </w:pPr>
      <w:r w:rsidRPr="004C4291">
        <w:rPr>
          <w:rFonts w:ascii="Times New Roman" w:hAnsi="Times New Roman" w:cs="Times New Roman"/>
          <w:bCs/>
          <w:lang w:val="en-US"/>
        </w:rPr>
        <w:t xml:space="preserve">The recent global financial crisis and European sovereign debt crisis have some unique features, such as the length, breadth and crisis sources. Numerous studies use major economic and financial events in order to determine the crisis length and source ad-hoc (see </w:t>
      </w:r>
      <w:r w:rsidRPr="004C4291">
        <w:rPr>
          <w:rFonts w:ascii="Times New Roman" w:hAnsi="Times New Roman" w:cs="Times New Roman"/>
          <w:bCs/>
          <w:color w:val="4F81BD" w:themeColor="accent1"/>
          <w:lang w:val="en-US"/>
        </w:rPr>
        <w:t>Forbes and Rigobon, 2002</w:t>
      </w:r>
      <w:r w:rsidRPr="004C4291">
        <w:rPr>
          <w:rFonts w:ascii="Times New Roman" w:hAnsi="Times New Roman" w:cs="Times New Roman"/>
          <w:bCs/>
          <w:lang w:val="en-US"/>
        </w:rPr>
        <w:t xml:space="preserve">; </w:t>
      </w:r>
      <w:r w:rsidRPr="004C4291">
        <w:rPr>
          <w:rFonts w:ascii="Times New Roman" w:hAnsi="Times New Roman" w:cs="Times New Roman"/>
          <w:bCs/>
          <w:color w:val="4F81BD" w:themeColor="accent1"/>
          <w:lang w:val="en-US"/>
        </w:rPr>
        <w:t>Chiang et al., 2007</w:t>
      </w:r>
      <w:r w:rsidRPr="004C4291">
        <w:rPr>
          <w:rFonts w:ascii="Times New Roman" w:hAnsi="Times New Roman" w:cs="Times New Roman"/>
          <w:bCs/>
          <w:lang w:val="en-US"/>
        </w:rPr>
        <w:t xml:space="preserve">, among others). Nevertheless, other studies follow a statistical approach using Markov regime switching processes to identify the crisis period endogenously (see </w:t>
      </w:r>
      <w:r w:rsidRPr="004C4291">
        <w:rPr>
          <w:rFonts w:ascii="Times New Roman" w:hAnsi="Times New Roman" w:cs="Times New Roman"/>
          <w:bCs/>
          <w:color w:val="4F81BD" w:themeColor="accent1"/>
          <w:lang w:val="en-US"/>
        </w:rPr>
        <w:t>Boyer et al., 2006;Rodriguez, 2007</w:t>
      </w:r>
      <w:r w:rsidRPr="004C4291">
        <w:rPr>
          <w:rFonts w:ascii="Times New Roman" w:hAnsi="Times New Roman" w:cs="Times New Roman"/>
          <w:bCs/>
          <w:lang w:val="en-US"/>
        </w:rPr>
        <w:t xml:space="preserve">, </w:t>
      </w:r>
      <w:r w:rsidRPr="004C4291">
        <w:rPr>
          <w:rFonts w:ascii="Times New Roman" w:hAnsi="Times New Roman" w:cs="Times New Roman"/>
          <w:bCs/>
          <w:color w:val="4F81BD" w:themeColor="accent1"/>
          <w:lang w:val="en-US"/>
        </w:rPr>
        <w:t>among others</w:t>
      </w:r>
      <w:r w:rsidRPr="004C4291">
        <w:rPr>
          <w:rFonts w:ascii="Times New Roman" w:hAnsi="Times New Roman" w:cs="Times New Roman"/>
          <w:bCs/>
          <w:lang w:val="en-US"/>
        </w:rPr>
        <w:t xml:space="preserve">). Note that both economic and statistical approaches are at least in some degree arbitrary. Some studies avoid discretion in the definition of the crisis period by using discretion in the choice of the econometric model to estimate the location of the crisis period in time. </w:t>
      </w:r>
      <w:r w:rsidRPr="004C4291">
        <w:rPr>
          <w:rFonts w:ascii="Times New Roman" w:hAnsi="Times New Roman" w:cs="Times New Roman"/>
          <w:bCs/>
          <w:color w:val="4F81BD" w:themeColor="accent1"/>
          <w:lang w:val="en-US"/>
        </w:rPr>
        <w:t>Baur (2012)</w:t>
      </w:r>
      <w:r w:rsidRPr="004C4291">
        <w:rPr>
          <w:rFonts w:ascii="Times New Roman" w:hAnsi="Times New Roman" w:cs="Times New Roman"/>
          <w:bCs/>
          <w:lang w:val="en-US"/>
        </w:rPr>
        <w:t xml:space="preserve"> uses both key financial and economic events and estimates of excess volatility to identify the crisis period and investigates the transmission of the global financial crisis from the financial sector to real economy.</w:t>
      </w:r>
    </w:p>
    <w:p w:rsidR="00CF17FE" w:rsidRPr="004C4291" w:rsidRDefault="00CF17FE" w:rsidP="00CF17FE">
      <w:pPr>
        <w:ind w:firstLine="360"/>
        <w:jc w:val="both"/>
        <w:rPr>
          <w:rFonts w:ascii="Times New Roman" w:hAnsi="Times New Roman" w:cs="Times New Roman"/>
          <w:bCs/>
          <w:lang w:val="en-US"/>
        </w:rPr>
      </w:pPr>
      <w:r w:rsidRPr="004C4291">
        <w:rPr>
          <w:rFonts w:ascii="Times New Roman" w:hAnsi="Times New Roman" w:cs="Times New Roman"/>
          <w:bCs/>
          <w:lang w:val="en-US"/>
        </w:rPr>
        <w:t xml:space="preserve">In this study, we specify the length of both global financial and sovereign debt crises and their phases following both the economic and statistical approaches. First, we define a relatively long crisis period based on all major international financial and economic news events representing both crises. We use the official timelines provided by </w:t>
      </w:r>
      <w:r w:rsidRPr="004C4291">
        <w:rPr>
          <w:rFonts w:ascii="Times New Roman" w:hAnsi="Times New Roman" w:cs="Times New Roman"/>
          <w:bCs/>
          <w:color w:val="4F81BD" w:themeColor="accent1"/>
          <w:lang w:val="en-US"/>
        </w:rPr>
        <w:t>Federal Reserve Board of St. Louis (2009)</w:t>
      </w:r>
      <w:r w:rsidRPr="004C4291">
        <w:rPr>
          <w:rFonts w:ascii="Times New Roman" w:hAnsi="Times New Roman" w:cs="Times New Roman"/>
          <w:bCs/>
          <w:lang w:val="en-US"/>
        </w:rPr>
        <w:t xml:space="preserve"> and the Bank for International Settlements (</w:t>
      </w:r>
      <w:r w:rsidRPr="004C4291">
        <w:rPr>
          <w:rFonts w:ascii="Times New Roman" w:hAnsi="Times New Roman" w:cs="Times New Roman"/>
          <w:bCs/>
          <w:color w:val="4F81BD" w:themeColor="accent1"/>
          <w:lang w:val="en-US"/>
        </w:rPr>
        <w:t>BIS, 2009</w:t>
      </w:r>
      <w:r w:rsidRPr="004C4291">
        <w:rPr>
          <w:rFonts w:ascii="Times New Roman" w:hAnsi="Times New Roman" w:cs="Times New Roman"/>
          <w:bCs/>
          <w:lang w:val="en-US"/>
        </w:rPr>
        <w:t>), among others, in order to choose the crisis period. According to these studies, the timeline of the global financial crisis is separated in four phases. Phase 1 described as “initial financial turmoil” spans from August 1, 2007 to September 15, 2008. Phase 2 is defined as “sharp financial market deterioration” and spans from September 16, 2008 to December 31, 2008. Phase 3 described as “macroeconomic deterioration” spans from January 1, 2009 until March 31, 2009. Phase 4 described as a phase of “stabilization and tentative signs of recovery” (post-crisis period) and including a financial market rally, spans from April 1, 2009 until November 4, 2009.</w:t>
      </w:r>
    </w:p>
    <w:p w:rsidR="00CF17FE" w:rsidRPr="004C4291" w:rsidRDefault="00CF17FE" w:rsidP="004C4291">
      <w:pPr>
        <w:ind w:firstLine="360"/>
        <w:jc w:val="both"/>
        <w:rPr>
          <w:rFonts w:asciiTheme="majorBidi" w:hAnsiTheme="majorBidi" w:cstheme="majorBidi"/>
          <w:lang w:val="en-US"/>
        </w:rPr>
      </w:pPr>
      <w:r w:rsidRPr="004C4291">
        <w:rPr>
          <w:rFonts w:asciiTheme="majorBidi" w:hAnsiTheme="majorBidi" w:cstheme="majorBidi"/>
          <w:lang w:val="en-US"/>
        </w:rPr>
        <w:t xml:space="preserve">Using the European central </w:t>
      </w:r>
      <w:r w:rsidRPr="0068758C">
        <w:rPr>
          <w:rFonts w:asciiTheme="majorBidi" w:hAnsiTheme="majorBidi" w:cstheme="majorBidi"/>
          <w:lang w:val="en-US"/>
        </w:rPr>
        <w:t>bank (ECB)</w:t>
      </w:r>
      <w:r w:rsidRPr="0068758C">
        <w:rPr>
          <w:rStyle w:val="Appelnotedebasdep"/>
          <w:rFonts w:asciiTheme="majorBidi" w:hAnsiTheme="majorBidi" w:cstheme="majorBidi"/>
          <w:lang w:val="en-US"/>
        </w:rPr>
        <w:footnoteReference w:id="3"/>
      </w:r>
      <w:r w:rsidRPr="004C4291">
        <w:rPr>
          <w:rFonts w:asciiTheme="majorBidi" w:hAnsiTheme="majorBidi" w:cstheme="majorBidi"/>
          <w:lang w:val="en-US"/>
        </w:rPr>
        <w:t xml:space="preserve"> and Reuters</w:t>
      </w:r>
      <w:r w:rsidRPr="004C4291">
        <w:rPr>
          <w:rStyle w:val="Appelnotedebasdep"/>
          <w:rFonts w:asciiTheme="majorBidi" w:hAnsiTheme="majorBidi" w:cstheme="majorBidi"/>
          <w:lang w:val="en-US"/>
        </w:rPr>
        <w:footnoteReference w:id="4"/>
      </w:r>
      <w:r w:rsidRPr="004C4291">
        <w:rPr>
          <w:rFonts w:asciiTheme="majorBidi" w:hAnsiTheme="majorBidi" w:cstheme="majorBidi"/>
          <w:lang w:val="en-US"/>
        </w:rPr>
        <w:t xml:space="preserve"> timelines, the European Sovereign Debt crisis timeline</w:t>
      </w:r>
      <w:r w:rsidRPr="004C4291">
        <w:rPr>
          <w:rStyle w:val="Appelnotedebasdep"/>
          <w:rFonts w:asciiTheme="majorBidi" w:hAnsiTheme="majorBidi" w:cstheme="majorBidi"/>
          <w:lang w:val="en-US"/>
        </w:rPr>
        <w:footnoteReference w:id="5"/>
      </w:r>
      <w:r w:rsidRPr="004C4291">
        <w:rPr>
          <w:rFonts w:asciiTheme="majorBidi" w:hAnsiTheme="majorBidi" w:cstheme="majorBidi"/>
          <w:lang w:val="en-US"/>
        </w:rPr>
        <w:t xml:space="preserve"> is constructed as follows. Phase 1 spans from November 5, 2009 until April 22, 2010. It begins when Greece revealed that its budget deficit was 12.7% of gross domestic product (GDP), more than twice what the country had previously disclosed, leading to a sharp increase of the regional sovereign risk. Phase 2 spans from April 23, 2010 onwards until the end of the sample period. It triggered shortly </w:t>
      </w:r>
      <w:r w:rsidRPr="0068758C">
        <w:rPr>
          <w:rFonts w:asciiTheme="majorBidi" w:hAnsiTheme="majorBidi" w:cstheme="majorBidi"/>
          <w:lang w:val="en-US"/>
        </w:rPr>
        <w:t>before the EU-IMF</w:t>
      </w:r>
      <w:r w:rsidRPr="004C4291">
        <w:rPr>
          <w:rFonts w:asciiTheme="majorBidi" w:hAnsiTheme="majorBidi" w:cstheme="majorBidi"/>
          <w:lang w:val="en-US"/>
        </w:rPr>
        <w:t xml:space="preserve"> bailout of Greece in May 2010, when the Greek Prime Minister announced that the austerity packages are not enough and requested for a bailout plan from the Eurozone and the IMF.</w:t>
      </w:r>
    </w:p>
    <w:p w:rsidR="00CF17FE" w:rsidRPr="004C4291" w:rsidRDefault="00CF17FE" w:rsidP="00CF17FE">
      <w:pPr>
        <w:ind w:firstLine="360"/>
        <w:jc w:val="both"/>
        <w:rPr>
          <w:rFonts w:ascii="Times New Roman" w:hAnsi="Times New Roman" w:cs="Times New Roman"/>
          <w:bCs/>
          <w:color w:val="FF0000"/>
          <w:lang w:val="en-US"/>
        </w:rPr>
      </w:pPr>
      <w:r w:rsidRPr="004C4291">
        <w:rPr>
          <w:rFonts w:ascii="Times New Roman" w:hAnsi="Times New Roman" w:cs="Times New Roman"/>
          <w:bCs/>
          <w:lang w:val="en-US"/>
        </w:rPr>
        <w:t xml:space="preserve">In order to identify regimes of excess exchange rate conditional volatility </w:t>
      </w:r>
      <m:oMath>
        <m:r>
          <w:rPr>
            <w:rFonts w:ascii="Cambria Math" w:hAnsi="Cambria Math" w:cs="Times New Roman"/>
            <w:lang w:val="en-US"/>
          </w:rPr>
          <m:t>(</m:t>
        </m:r>
        <m:sSub>
          <m:sSubPr>
            <m:ctrlPr>
              <w:rPr>
                <w:rFonts w:ascii="Cambria Math" w:hAnsi="Cambria Math" w:cs="Times New Roman"/>
                <w:bCs/>
                <w:i/>
                <w:lang w:val="en-US"/>
              </w:rPr>
            </m:ctrlPr>
          </m:sSubPr>
          <m:e>
            <m:r>
              <w:rPr>
                <w:rFonts w:ascii="Cambria Math" w:hAnsi="Cambria Math" w:cs="Times New Roman"/>
                <w:lang w:val="en-US"/>
              </w:rPr>
              <m:t>h</m:t>
            </m:r>
          </m:e>
          <m:sub>
            <m:r>
              <w:rPr>
                <w:rFonts w:ascii="Cambria Math" w:hAnsi="Cambria Math" w:cs="Times New Roman"/>
                <w:lang w:val="en-US"/>
              </w:rPr>
              <m:t>it</m:t>
            </m:r>
          </m:sub>
        </m:sSub>
        <m:r>
          <w:rPr>
            <w:rFonts w:ascii="Cambria Math" w:hAnsi="Cambria Math" w:cs="Times New Roman"/>
            <w:lang w:val="en-US"/>
          </w:rPr>
          <m:t>)</m:t>
        </m:r>
      </m:oMath>
      <w:r w:rsidRPr="004C4291">
        <w:rPr>
          <w:rFonts w:ascii="Times New Roman" w:eastAsiaTheme="minorEastAsia" w:hAnsi="Times New Roman" w:cs="Times New Roman"/>
          <w:lang w:val="en-US"/>
        </w:rPr>
        <w:t xml:space="preserve"> and stock price conditional volatility</w:t>
      </w:r>
      <w:r w:rsidRPr="004C4291">
        <w:rPr>
          <w:rFonts w:ascii="Times New Roman" w:hAnsi="Times New Roman" w:cs="Times New Roman"/>
          <w:bCs/>
          <w:lang w:val="en-US"/>
        </w:rPr>
        <w:t>, we follow a statistical approach based on a Markov Switching Dynamic Regression (MS-DR)</w:t>
      </w:r>
      <w:r w:rsidRPr="004C4291">
        <w:rPr>
          <w:rStyle w:val="Appelnotedebasdep"/>
          <w:rFonts w:ascii="Times New Roman" w:hAnsi="Times New Roman" w:cs="Times New Roman"/>
          <w:bCs/>
          <w:lang w:val="en-US"/>
        </w:rPr>
        <w:footnoteReference w:id="6"/>
      </w:r>
      <w:r w:rsidRPr="004C4291">
        <w:rPr>
          <w:rFonts w:ascii="Times New Roman" w:hAnsi="Times New Roman" w:cs="Times New Roman"/>
          <w:bCs/>
          <w:lang w:val="en-US"/>
        </w:rPr>
        <w:t xml:space="preserve"> model, which takes into account endogenous structural breaks and thus allows </w:t>
      </w:r>
      <w:r w:rsidRPr="004C4291">
        <w:rPr>
          <w:rFonts w:ascii="Times New Roman" w:hAnsi="Times New Roman" w:cs="Times New Roman"/>
          <w:bCs/>
          <w:lang w:val="en-US"/>
        </w:rPr>
        <w:lastRenderedPageBreak/>
        <w:t xml:space="preserve">the data to determine the beginning and end of each phase of the crises. Stock prices and exchange rates’ conditional volatilities are obtained from estimating the univariate AR(0)–EGARCH(1,1) model during the entire sample period. This model can be used to identify the crises periods endogenously and thus allows the data to determine the beginning and end of each phase of the crises. The MS-DR model assumes the existence of two regimes (“stable” and “volatile”), where the regime </w:t>
      </w:r>
      <m:oMath>
        <m:r>
          <w:rPr>
            <w:rFonts w:ascii="Cambria Math" w:hAnsi="Cambria Math" w:cs="Times New Roman"/>
            <w:lang w:val="en-US"/>
          </w:rPr>
          <m:t>0</m:t>
        </m:r>
      </m:oMath>
      <w:r w:rsidRPr="004C4291">
        <w:rPr>
          <w:rFonts w:ascii="Times New Roman" w:hAnsi="Times New Roman" w:cs="Times New Roman"/>
          <w:bCs/>
          <w:lang w:val="en-US"/>
        </w:rPr>
        <w:t xml:space="preserve"> (“stable” regime) defines the lower values of </w:t>
      </w:r>
      <m:oMath>
        <m:sSub>
          <m:sSubPr>
            <m:ctrlPr>
              <w:rPr>
                <w:rFonts w:ascii="Cambria Math" w:hAnsi="Cambria Math" w:cs="Times New Roman"/>
                <w:bCs/>
                <w:i/>
                <w:lang w:val="en-US"/>
              </w:rPr>
            </m:ctrlPr>
          </m:sSubPr>
          <m:e>
            <m:r>
              <w:rPr>
                <w:rFonts w:ascii="Cambria Math" w:hAnsi="Cambria Math" w:cs="Times New Roman"/>
                <w:lang w:val="en-US"/>
              </w:rPr>
              <m:t>h</m:t>
            </m:r>
          </m:e>
          <m:sub>
            <m:r>
              <w:rPr>
                <w:rFonts w:ascii="Cambria Math" w:hAnsi="Cambria Math" w:cs="Times New Roman"/>
                <w:lang w:val="en-US"/>
              </w:rPr>
              <m:t>it</m:t>
            </m:r>
          </m:sub>
        </m:sSub>
      </m:oMath>
      <w:r w:rsidRPr="004C4291">
        <w:rPr>
          <w:rFonts w:ascii="Times New Roman" w:hAnsi="Times New Roman" w:cs="Times New Roman"/>
          <w:bCs/>
          <w:lang w:val="en-US"/>
        </w:rPr>
        <w:t xml:space="preserve"> and the regime </w:t>
      </w:r>
      <m:oMath>
        <m:r>
          <w:rPr>
            <w:rFonts w:ascii="Cambria Math" w:hAnsi="Cambria Math" w:cs="Times New Roman"/>
            <w:lang w:val="en-US"/>
          </w:rPr>
          <m:t>1</m:t>
        </m:r>
      </m:oMath>
      <w:r w:rsidRPr="004C4291">
        <w:rPr>
          <w:rFonts w:ascii="Times New Roman" w:hAnsi="Times New Roman" w:cs="Times New Roman"/>
          <w:bCs/>
          <w:lang w:val="en-US"/>
        </w:rPr>
        <w:t xml:space="preserve"> (“volatile/crisis regime”) their higher values.</w:t>
      </w:r>
    </w:p>
    <w:p w:rsidR="00CF17FE" w:rsidRPr="0068758C" w:rsidRDefault="00CF17FE" w:rsidP="0068758C">
      <w:pPr>
        <w:ind w:firstLine="360"/>
        <w:jc w:val="both"/>
        <w:rPr>
          <w:rFonts w:ascii="Times New Roman" w:hAnsi="Times New Roman" w:cs="Times New Roman"/>
          <w:bCs/>
          <w:color w:val="FF0000"/>
          <w:lang w:val="en-US"/>
        </w:rPr>
      </w:pPr>
      <w:r w:rsidRPr="004C4291">
        <w:rPr>
          <w:rFonts w:ascii="Times New Roman" w:hAnsi="Times New Roman" w:cs="Times New Roman"/>
          <w:bCs/>
          <w:lang w:val="en-US"/>
        </w:rPr>
        <w:t xml:space="preserve">The smoothed regime probabilities of </w:t>
      </w:r>
      <m:oMath>
        <m:sSub>
          <m:sSubPr>
            <m:ctrlPr>
              <w:rPr>
                <w:rFonts w:ascii="Cambria Math" w:hAnsi="Cambria Math" w:cs="Times New Roman"/>
                <w:bCs/>
                <w:i/>
                <w:lang w:val="en-US"/>
              </w:rPr>
            </m:ctrlPr>
          </m:sSubPr>
          <m:e>
            <m:r>
              <w:rPr>
                <w:rFonts w:ascii="Cambria Math" w:hAnsi="Cambria Math" w:cs="Times New Roman"/>
                <w:lang w:val="en-US"/>
              </w:rPr>
              <m:t>h</m:t>
            </m:r>
          </m:e>
          <m:sub>
            <m:r>
              <w:rPr>
                <w:rFonts w:ascii="Cambria Math" w:hAnsi="Cambria Math" w:cs="Times New Roman"/>
                <w:lang w:val="en-US"/>
              </w:rPr>
              <m:t>it</m:t>
            </m:r>
          </m:sub>
        </m:sSub>
      </m:oMath>
      <w:r w:rsidRPr="004C4291">
        <w:rPr>
          <w:rFonts w:ascii="Times New Roman" w:hAnsi="Times New Roman" w:cs="Times New Roman"/>
          <w:bCs/>
          <w:lang w:val="en-US"/>
        </w:rPr>
        <w:t xml:space="preserve"> depicted in Fig. 1 reveal that that the “volatile”/crisis regimes for each examined currency are all located within the crisis period based on economic and financial news events described above.</w:t>
      </w:r>
    </w:p>
    <w:p w:rsidR="00CF17FE" w:rsidRPr="0068758C" w:rsidRDefault="00CF17FE" w:rsidP="00CF17FE">
      <w:pPr>
        <w:rPr>
          <w:rFonts w:asciiTheme="majorBidi" w:hAnsiTheme="majorBidi" w:cstheme="majorBidi"/>
          <w:sz w:val="20"/>
          <w:szCs w:val="20"/>
        </w:rPr>
      </w:pPr>
      <w:r w:rsidRPr="0068758C">
        <w:rPr>
          <w:rFonts w:asciiTheme="majorBidi" w:hAnsiTheme="majorBidi" w:cstheme="majorBidi"/>
          <w:sz w:val="20"/>
          <w:szCs w:val="20"/>
        </w:rPr>
        <w:t>USD/EUR</w:t>
      </w:r>
    </w:p>
    <w:p w:rsidR="00CF17FE" w:rsidRDefault="00CF17FE" w:rsidP="00CF17FE">
      <w:pPr>
        <w:jc w:val="left"/>
      </w:pPr>
      <w:r>
        <w:rPr>
          <w:noProof/>
          <w:lang w:eastAsia="fr-FR"/>
        </w:rPr>
        <w:drawing>
          <wp:inline distT="0" distB="0" distL="0" distR="0">
            <wp:extent cx="5762298" cy="4382219"/>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4381019"/>
                    </a:xfrm>
                    <a:prstGeom prst="rect">
                      <a:avLst/>
                    </a:prstGeom>
                    <a:noFill/>
                    <a:ln w="9525">
                      <a:noFill/>
                      <a:miter lim="800000"/>
                      <a:headEnd/>
                      <a:tailEnd/>
                    </a:ln>
                  </pic:spPr>
                </pic:pic>
              </a:graphicData>
            </a:graphic>
          </wp:inline>
        </w:drawing>
      </w:r>
    </w:p>
    <w:p w:rsidR="0068758C" w:rsidRDefault="0068758C" w:rsidP="00CF17FE">
      <w:pPr>
        <w:rPr>
          <w:rFonts w:asciiTheme="majorBidi" w:hAnsiTheme="majorBidi" w:cstheme="majorBidi"/>
          <w:sz w:val="20"/>
          <w:szCs w:val="20"/>
        </w:rPr>
      </w:pPr>
    </w:p>
    <w:p w:rsidR="0068758C" w:rsidRDefault="0068758C" w:rsidP="00CF17FE">
      <w:pPr>
        <w:rPr>
          <w:rFonts w:asciiTheme="majorBidi" w:hAnsiTheme="majorBidi" w:cstheme="majorBidi"/>
          <w:sz w:val="20"/>
          <w:szCs w:val="20"/>
        </w:rPr>
      </w:pPr>
    </w:p>
    <w:p w:rsidR="00CF17FE" w:rsidRPr="0068758C" w:rsidRDefault="00CF17FE" w:rsidP="00CF17FE">
      <w:pPr>
        <w:rPr>
          <w:rFonts w:asciiTheme="majorBidi" w:hAnsiTheme="majorBidi" w:cstheme="majorBidi"/>
          <w:sz w:val="20"/>
          <w:szCs w:val="20"/>
        </w:rPr>
      </w:pPr>
      <w:r w:rsidRPr="0068758C">
        <w:rPr>
          <w:rFonts w:asciiTheme="majorBidi" w:hAnsiTheme="majorBidi" w:cstheme="majorBidi"/>
          <w:sz w:val="20"/>
          <w:szCs w:val="20"/>
        </w:rPr>
        <w:t>DAX30</w:t>
      </w:r>
    </w:p>
    <w:p w:rsidR="00CF17FE" w:rsidRDefault="00CF17FE" w:rsidP="001E197F">
      <w:pPr>
        <w:jc w:val="left"/>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5760649" cy="3821502"/>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0720" cy="3821549"/>
                    </a:xfrm>
                    <a:prstGeom prst="rect">
                      <a:avLst/>
                    </a:prstGeom>
                    <a:noFill/>
                    <a:ln w="9525">
                      <a:noFill/>
                      <a:miter lim="800000"/>
                      <a:headEnd/>
                      <a:tailEnd/>
                    </a:ln>
                  </pic:spPr>
                </pic:pic>
              </a:graphicData>
            </a:graphic>
          </wp:inline>
        </w:drawing>
      </w:r>
    </w:p>
    <w:p w:rsidR="00CF17FE" w:rsidRPr="001B6BC9" w:rsidRDefault="00CF17FE" w:rsidP="00CF17FE">
      <w:pPr>
        <w:jc w:val="left"/>
        <w:rPr>
          <w:rFonts w:asciiTheme="majorBidi" w:hAnsiTheme="majorBidi" w:cstheme="majorBidi"/>
          <w:b/>
          <w:bCs/>
          <w:sz w:val="24"/>
          <w:szCs w:val="24"/>
        </w:rPr>
      </w:pPr>
    </w:p>
    <w:p w:rsidR="00CF17FE" w:rsidRPr="0068758C" w:rsidRDefault="00CF17FE" w:rsidP="00CF17FE">
      <w:pPr>
        <w:rPr>
          <w:rFonts w:asciiTheme="majorBidi" w:hAnsiTheme="majorBidi" w:cstheme="majorBidi"/>
          <w:sz w:val="20"/>
          <w:szCs w:val="20"/>
        </w:rPr>
      </w:pPr>
      <w:r w:rsidRPr="0068758C">
        <w:rPr>
          <w:rFonts w:asciiTheme="majorBidi" w:hAnsiTheme="majorBidi" w:cstheme="majorBidi"/>
          <w:sz w:val="20"/>
          <w:szCs w:val="20"/>
        </w:rPr>
        <w:t>CAC40</w:t>
      </w:r>
    </w:p>
    <w:p w:rsidR="00CF17FE" w:rsidRDefault="00CF17FE" w:rsidP="00CF17FE">
      <w:pPr>
        <w:jc w:val="left"/>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5760648" cy="3968151"/>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60720" cy="3968201"/>
                    </a:xfrm>
                    <a:prstGeom prst="rect">
                      <a:avLst/>
                    </a:prstGeom>
                    <a:noFill/>
                    <a:ln w="9525">
                      <a:noFill/>
                      <a:miter lim="800000"/>
                      <a:headEnd/>
                      <a:tailEnd/>
                    </a:ln>
                  </pic:spPr>
                </pic:pic>
              </a:graphicData>
            </a:graphic>
          </wp:inline>
        </w:drawing>
      </w:r>
    </w:p>
    <w:p w:rsidR="00CF17FE" w:rsidRDefault="00CF17FE" w:rsidP="00CF17FE">
      <w:pPr>
        <w:jc w:val="left"/>
        <w:rPr>
          <w:rFonts w:asciiTheme="majorBidi" w:hAnsiTheme="majorBidi" w:cstheme="majorBidi"/>
          <w:b/>
          <w:bCs/>
          <w:sz w:val="24"/>
          <w:szCs w:val="24"/>
        </w:rPr>
      </w:pPr>
    </w:p>
    <w:p w:rsidR="00331EA0" w:rsidRDefault="00331EA0" w:rsidP="00CF17FE">
      <w:pPr>
        <w:rPr>
          <w:rFonts w:asciiTheme="majorBidi" w:hAnsiTheme="majorBidi" w:cstheme="majorBidi"/>
          <w:b/>
          <w:bCs/>
          <w:sz w:val="24"/>
          <w:szCs w:val="24"/>
        </w:rPr>
      </w:pPr>
    </w:p>
    <w:p w:rsidR="00331EA0" w:rsidRDefault="00331EA0" w:rsidP="00CF17FE">
      <w:pPr>
        <w:rPr>
          <w:rFonts w:asciiTheme="majorBidi" w:hAnsiTheme="majorBidi" w:cstheme="majorBidi"/>
          <w:b/>
          <w:bCs/>
          <w:sz w:val="24"/>
          <w:szCs w:val="24"/>
        </w:rPr>
      </w:pPr>
    </w:p>
    <w:p w:rsidR="00CF17FE" w:rsidRPr="0068758C" w:rsidRDefault="00CF17FE" w:rsidP="00CF17FE">
      <w:pPr>
        <w:rPr>
          <w:rFonts w:asciiTheme="majorBidi" w:hAnsiTheme="majorBidi" w:cstheme="majorBidi"/>
          <w:sz w:val="20"/>
          <w:szCs w:val="20"/>
        </w:rPr>
      </w:pPr>
      <w:r w:rsidRPr="0068758C">
        <w:rPr>
          <w:rFonts w:asciiTheme="majorBidi" w:hAnsiTheme="majorBidi" w:cstheme="majorBidi"/>
          <w:sz w:val="20"/>
          <w:szCs w:val="20"/>
        </w:rPr>
        <w:t>FTSE100</w:t>
      </w:r>
    </w:p>
    <w:p w:rsidR="00CF17FE" w:rsidRDefault="00CF17FE" w:rsidP="00884822">
      <w:pPr>
        <w:jc w:val="left"/>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5760649" cy="4071668"/>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60720" cy="4071718"/>
                    </a:xfrm>
                    <a:prstGeom prst="rect">
                      <a:avLst/>
                    </a:prstGeom>
                    <a:noFill/>
                    <a:ln w="9525">
                      <a:noFill/>
                      <a:miter lim="800000"/>
                      <a:headEnd/>
                      <a:tailEnd/>
                    </a:ln>
                  </pic:spPr>
                </pic:pic>
              </a:graphicData>
            </a:graphic>
          </wp:inline>
        </w:drawing>
      </w:r>
    </w:p>
    <w:p w:rsidR="00CF17FE" w:rsidRPr="004C4291" w:rsidRDefault="00CF17FE" w:rsidP="00CF17FE">
      <w:pPr>
        <w:rPr>
          <w:rFonts w:ascii="Times New Roman" w:hAnsi="Times New Roman" w:cs="Times New Roman"/>
          <w:bCs/>
          <w:sz w:val="20"/>
          <w:szCs w:val="20"/>
          <w:lang w:val="en-US"/>
        </w:rPr>
      </w:pPr>
      <w:r w:rsidRPr="004C4291">
        <w:rPr>
          <w:rFonts w:ascii="Times New Roman" w:hAnsi="Times New Roman" w:cs="Times New Roman"/>
          <w:b/>
          <w:sz w:val="20"/>
          <w:szCs w:val="20"/>
          <w:lang w:val="en-US"/>
        </w:rPr>
        <w:t>Fig.1.</w:t>
      </w:r>
      <w:r w:rsidRPr="004C4291">
        <w:rPr>
          <w:rFonts w:ascii="Times New Roman" w:hAnsi="Times New Roman" w:cs="Times New Roman"/>
          <w:bCs/>
          <w:sz w:val="20"/>
          <w:szCs w:val="20"/>
          <w:lang w:val="en-US"/>
        </w:rPr>
        <w:t xml:space="preserve">Regime classification of stock index and exchange rates’ conditional volatilities </w:t>
      </w:r>
      <m:oMath>
        <m:r>
          <w:rPr>
            <w:rFonts w:ascii="Cambria Math" w:hAnsi="Cambria Math" w:cs="Times New Roman"/>
            <w:sz w:val="20"/>
            <w:szCs w:val="20"/>
            <w:lang w:val="en-US"/>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h</m:t>
            </m:r>
          </m:e>
          <m:sub>
            <m:r>
              <w:rPr>
                <w:rFonts w:ascii="Cambria Math" w:hAnsi="Cambria Math" w:cs="Times New Roman"/>
                <w:sz w:val="20"/>
                <w:szCs w:val="20"/>
                <w:lang w:val="en-US"/>
              </w:rPr>
              <m:t>it</m:t>
            </m:r>
          </m:sub>
        </m:sSub>
        <m:r>
          <w:rPr>
            <w:rFonts w:ascii="Cambria Math" w:hAnsi="Cambria Math" w:cs="Times New Roman"/>
            <w:sz w:val="20"/>
            <w:szCs w:val="20"/>
            <w:lang w:val="en-US"/>
          </w:rPr>
          <m:t>)</m:t>
        </m:r>
      </m:oMath>
      <w:r w:rsidRPr="004C4291">
        <w:rPr>
          <w:rFonts w:ascii="Times New Roman" w:hAnsi="Times New Roman" w:cs="Times New Roman"/>
          <w:bCs/>
          <w:sz w:val="20"/>
          <w:szCs w:val="20"/>
          <w:lang w:val="en-US"/>
        </w:rPr>
        <w:t>.</w:t>
      </w:r>
    </w:p>
    <w:p w:rsidR="00CF17FE" w:rsidRPr="00D42285" w:rsidRDefault="00CF17FE" w:rsidP="00CF17FE">
      <w:pPr>
        <w:jc w:val="both"/>
        <w:rPr>
          <w:rFonts w:asciiTheme="majorBidi" w:hAnsiTheme="majorBidi" w:cstheme="majorBidi"/>
          <w:bCs/>
          <w:i/>
          <w:iCs/>
          <w:color w:val="FF0000"/>
          <w:sz w:val="16"/>
          <w:szCs w:val="16"/>
          <w:lang w:val="en-US"/>
        </w:rPr>
      </w:pPr>
    </w:p>
    <w:p w:rsidR="009C701E" w:rsidRDefault="00CF17FE" w:rsidP="00817969">
      <w:pPr>
        <w:jc w:val="both"/>
        <w:rPr>
          <w:rFonts w:asciiTheme="majorBidi" w:hAnsiTheme="majorBidi" w:cstheme="majorBidi"/>
          <w:sz w:val="16"/>
          <w:szCs w:val="16"/>
          <w:lang w:val="en-US"/>
        </w:rPr>
      </w:pPr>
      <w:r w:rsidRPr="00F65D10">
        <w:rPr>
          <w:rFonts w:asciiTheme="majorBidi" w:hAnsiTheme="majorBidi" w:cstheme="majorBidi"/>
          <w:bCs/>
          <w:i/>
          <w:iCs/>
          <w:sz w:val="16"/>
          <w:szCs w:val="16"/>
          <w:lang w:val="en-US"/>
        </w:rPr>
        <w:t>Notes</w:t>
      </w:r>
      <w:r w:rsidRPr="00F65D10">
        <w:rPr>
          <w:rFonts w:asciiTheme="majorBidi" w:hAnsiTheme="majorBidi" w:cstheme="majorBidi"/>
          <w:bCs/>
          <w:sz w:val="16"/>
          <w:szCs w:val="16"/>
          <w:lang w:val="en-US"/>
        </w:rPr>
        <w:t xml:space="preserve">: </w:t>
      </w:r>
      <w:r w:rsidRPr="00F65D10">
        <w:rPr>
          <w:rFonts w:asciiTheme="majorBidi" w:hAnsiTheme="majorBidi" w:cstheme="majorBidi"/>
          <w:sz w:val="16"/>
          <w:szCs w:val="16"/>
          <w:lang w:val="en-US"/>
        </w:rPr>
        <w:t>Regime 0, in light blue, corresponds to periods of stable and low volatility. Regime 1, in grey, denotes periods of rising and persistent volatility returns. The red columns indicate the smoothed regime probabilities, while the grey shaded spaces are the regimes of excess volatilities according to MS-DR model.</w:t>
      </w:r>
    </w:p>
    <w:p w:rsidR="004D7A53" w:rsidRPr="00817969" w:rsidRDefault="004D7A53" w:rsidP="00817969">
      <w:pPr>
        <w:jc w:val="both"/>
        <w:rPr>
          <w:rFonts w:asciiTheme="majorBidi" w:hAnsiTheme="majorBidi" w:cstheme="majorBidi"/>
          <w:sz w:val="16"/>
          <w:szCs w:val="16"/>
          <w:lang w:val="en-US"/>
        </w:rPr>
      </w:pPr>
    </w:p>
    <w:p w:rsidR="00CF17FE" w:rsidRDefault="00CF17FE" w:rsidP="004C4291">
      <w:pPr>
        <w:ind w:left="340" w:hanging="340"/>
        <w:jc w:val="both"/>
        <w:rPr>
          <w:rFonts w:asciiTheme="majorBidi" w:hAnsiTheme="majorBidi" w:cstheme="majorBidi"/>
          <w:b/>
          <w:sz w:val="24"/>
          <w:szCs w:val="24"/>
          <w:lang w:val="en-US"/>
        </w:rPr>
      </w:pPr>
      <w:r>
        <w:rPr>
          <w:rFonts w:asciiTheme="majorBidi" w:hAnsiTheme="majorBidi" w:cstheme="majorBidi"/>
          <w:b/>
          <w:sz w:val="24"/>
          <w:szCs w:val="24"/>
          <w:lang w:val="en-US"/>
        </w:rPr>
        <w:t>3</w:t>
      </w:r>
      <w:r w:rsidRPr="00F936A3">
        <w:rPr>
          <w:rFonts w:asciiTheme="majorBidi" w:hAnsiTheme="majorBidi" w:cstheme="majorBidi"/>
          <w:b/>
          <w:sz w:val="24"/>
          <w:szCs w:val="24"/>
          <w:lang w:val="en-US"/>
        </w:rPr>
        <w:t xml:space="preserve">. </w:t>
      </w:r>
      <w:r>
        <w:rPr>
          <w:rFonts w:asciiTheme="majorBidi" w:hAnsiTheme="majorBidi" w:cstheme="majorBidi"/>
          <w:b/>
          <w:sz w:val="24"/>
          <w:szCs w:val="24"/>
          <w:lang w:val="en-US"/>
        </w:rPr>
        <w:t>Data and preliminary analyses</w:t>
      </w:r>
    </w:p>
    <w:p w:rsidR="00CF17FE" w:rsidRPr="004C4291" w:rsidRDefault="00CF17FE" w:rsidP="00CF17FE">
      <w:pPr>
        <w:ind w:firstLine="340"/>
        <w:jc w:val="both"/>
        <w:rPr>
          <w:rFonts w:asciiTheme="majorBidi" w:hAnsiTheme="majorBidi" w:cstheme="majorBidi"/>
          <w:lang w:val="en-US"/>
        </w:rPr>
      </w:pPr>
    </w:p>
    <w:p w:rsidR="00CF17FE" w:rsidRPr="004C4291" w:rsidRDefault="00933B46" w:rsidP="00CF17FE">
      <w:pPr>
        <w:autoSpaceDE w:val="0"/>
        <w:autoSpaceDN w:val="0"/>
        <w:adjustRightInd w:val="0"/>
        <w:jc w:val="both"/>
        <w:rPr>
          <w:rFonts w:asciiTheme="majorBidi" w:hAnsiTheme="majorBidi" w:cstheme="majorBidi"/>
          <w:lang w:val="en-US"/>
        </w:rPr>
      </w:pPr>
      <w:r w:rsidRPr="004C4291">
        <w:rPr>
          <w:rFonts w:asciiTheme="majorBidi" w:hAnsiTheme="majorBidi" w:cstheme="majorBidi"/>
          <w:lang w:val="en-US"/>
        </w:rPr>
        <w:t>T</w:t>
      </w:r>
      <w:r w:rsidR="00F85D42">
        <w:rPr>
          <w:rFonts w:asciiTheme="majorBidi" w:hAnsiTheme="majorBidi" w:cstheme="majorBidi"/>
          <w:lang w:val="en-US"/>
        </w:rPr>
        <w:t>he data comprises daily America</w:t>
      </w:r>
      <w:r w:rsidRPr="004C4291">
        <w:rPr>
          <w:rFonts w:asciiTheme="majorBidi" w:hAnsiTheme="majorBidi" w:cstheme="majorBidi"/>
          <w:lang w:val="en-US"/>
        </w:rPr>
        <w:t>n</w:t>
      </w:r>
      <w:r w:rsidR="00CF17FE" w:rsidRPr="004C4291">
        <w:rPr>
          <w:rFonts w:asciiTheme="majorBidi" w:hAnsiTheme="majorBidi" w:cstheme="majorBidi"/>
          <w:lang w:val="en-US"/>
        </w:rPr>
        <w:t xml:space="preserve"> excha</w:t>
      </w:r>
      <w:r w:rsidRPr="004C4291">
        <w:rPr>
          <w:rFonts w:asciiTheme="majorBidi" w:hAnsiTheme="majorBidi" w:cstheme="majorBidi"/>
          <w:lang w:val="en-US"/>
        </w:rPr>
        <w:t>nge rates expressed in</w:t>
      </w:r>
      <w:r w:rsidR="00CF17FE" w:rsidRPr="004C4291">
        <w:rPr>
          <w:rFonts w:asciiTheme="majorBidi" w:hAnsiTheme="majorBidi" w:cstheme="majorBidi"/>
          <w:lang w:val="en-US"/>
        </w:rPr>
        <w:t xml:space="preserve"> (EUR) of the European foreign currencies </w:t>
      </w:r>
      <w:r w:rsidRPr="004C4291">
        <w:rPr>
          <w:rFonts w:asciiTheme="majorBidi" w:hAnsiTheme="majorBidi" w:cstheme="majorBidi"/>
          <w:lang w:val="en-US"/>
        </w:rPr>
        <w:t>and daily stock prices for three</w:t>
      </w:r>
      <w:r w:rsidR="00D83A55" w:rsidRPr="004C4291">
        <w:rPr>
          <w:rFonts w:asciiTheme="majorBidi" w:hAnsiTheme="majorBidi" w:cstheme="majorBidi"/>
          <w:lang w:val="en-US"/>
        </w:rPr>
        <w:t xml:space="preserve"> major</w:t>
      </w:r>
      <w:r w:rsidRPr="004C4291">
        <w:rPr>
          <w:rFonts w:asciiTheme="majorBidi" w:hAnsiTheme="majorBidi" w:cstheme="majorBidi"/>
          <w:lang w:val="en-US"/>
        </w:rPr>
        <w:t xml:space="preserve"> European countries</w:t>
      </w:r>
      <w:r w:rsidR="00CF17FE" w:rsidRPr="004C4291">
        <w:rPr>
          <w:rFonts w:asciiTheme="majorBidi" w:hAnsiTheme="majorBidi" w:cstheme="majorBidi"/>
          <w:lang w:val="en-US"/>
        </w:rPr>
        <w:t>. All data are sourced from the Board of Governor</w:t>
      </w:r>
      <w:r w:rsidR="001579B5" w:rsidRPr="004C4291">
        <w:rPr>
          <w:rFonts w:asciiTheme="majorBidi" w:hAnsiTheme="majorBidi" w:cstheme="majorBidi"/>
          <w:lang w:val="en-US"/>
        </w:rPr>
        <w:t>s of the Federal Reserve System</w:t>
      </w:r>
      <w:r w:rsidR="00CF17FE" w:rsidRPr="004C4291">
        <w:rPr>
          <w:rFonts w:asciiTheme="majorBidi" w:hAnsiTheme="majorBidi" w:cstheme="majorBidi"/>
          <w:lang w:val="en-US"/>
        </w:rPr>
        <w:t xml:space="preserve"> and (http// </w:t>
      </w:r>
      <w:hyperlink r:id="rId12" w:history="1">
        <w:r w:rsidR="00CF17FE" w:rsidRPr="004C4291">
          <w:rPr>
            <w:rStyle w:val="Lienhypertexte"/>
            <w:rFonts w:asciiTheme="majorBidi" w:hAnsiTheme="majorBidi" w:cstheme="majorBidi"/>
            <w:lang w:val="en-US"/>
          </w:rPr>
          <w:t>www.econstats.com</w:t>
        </w:r>
      </w:hyperlink>
      <w:r w:rsidR="00CF17FE" w:rsidRPr="004C4291">
        <w:rPr>
          <w:rFonts w:asciiTheme="majorBidi" w:hAnsiTheme="majorBidi" w:cstheme="majorBidi"/>
          <w:lang w:val="en-US"/>
        </w:rPr>
        <w:t>). We use daily data not only to secure a sufficient number of observations for examining the recent global financial and European sovereign debt crises, but also to avoid the inefficiency that might arise if smaller samples are applied to a time-varying parameter method such as the A-DCC model.</w:t>
      </w:r>
    </w:p>
    <w:p w:rsidR="00CF17FE" w:rsidRPr="004C4291" w:rsidRDefault="00CF17FE" w:rsidP="00CF17FE">
      <w:pPr>
        <w:ind w:firstLine="340"/>
        <w:jc w:val="both"/>
        <w:rPr>
          <w:rFonts w:asciiTheme="majorBidi" w:eastAsiaTheme="minorEastAsia" w:hAnsiTheme="majorBidi" w:cstheme="majorBidi"/>
          <w:lang w:val="en-US"/>
        </w:rPr>
      </w:pPr>
      <w:r w:rsidRPr="004C4291">
        <w:rPr>
          <w:rFonts w:asciiTheme="majorBidi" w:hAnsiTheme="majorBidi" w:cstheme="majorBidi"/>
          <w:lang w:val="en-US"/>
        </w:rPr>
        <w:t>The sample cover</w:t>
      </w:r>
      <w:r w:rsidR="00933B46" w:rsidRPr="004C4291">
        <w:rPr>
          <w:rFonts w:asciiTheme="majorBidi" w:hAnsiTheme="majorBidi" w:cstheme="majorBidi"/>
          <w:lang w:val="en-US"/>
        </w:rPr>
        <w:t>s a period from January 01, 2002</w:t>
      </w:r>
      <w:r w:rsidRPr="004C4291">
        <w:rPr>
          <w:rFonts w:asciiTheme="majorBidi" w:hAnsiTheme="majorBidi" w:cstheme="majorBidi"/>
          <w:lang w:val="en-US"/>
        </w:rPr>
        <w:t xml:space="preserve"> until December 10, 2013, </w:t>
      </w:r>
      <w:r w:rsidR="00933B46" w:rsidRPr="004C4291">
        <w:rPr>
          <w:rFonts w:asciiTheme="majorBidi" w:hAnsiTheme="majorBidi" w:cstheme="majorBidi"/>
          <w:lang w:val="en-US"/>
        </w:rPr>
        <w:t>leading to a sample size of 3116</w:t>
      </w:r>
      <w:r w:rsidRPr="004C4291">
        <w:rPr>
          <w:rFonts w:asciiTheme="majorBidi" w:hAnsiTheme="majorBidi" w:cstheme="majorBidi"/>
          <w:lang w:val="en-US"/>
        </w:rPr>
        <w:t xml:space="preserve">observations. For each currency, the continuously compounded return is computed as: </w:t>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=100*</m:t>
        </m:r>
        <m:r>
          <m:rPr>
            <m:sty m:val="p"/>
          </m:rPr>
          <w:rPr>
            <w:rFonts w:ascii="Cambria Math" w:hAnsi="Cambria Math" w:cstheme="majorBidi"/>
            <w:lang w:val="en-US"/>
          </w:rPr>
          <m:t>ln⁡</m:t>
        </m:r>
        <m:r>
          <w:rPr>
            <w:rFonts w:ascii="Cambria Math" w:hAnsi="Cambria Math" w:cstheme="majorBidi"/>
            <w:lang w:val="en-US"/>
          </w:rPr>
          <m:t>(</m:t>
        </m:r>
        <m:f>
          <m:fPr>
            <m:ctrlPr>
              <w:rPr>
                <w:rFonts w:ascii="Cambria Math" w:hAnsi="Cambria Math" w:cstheme="majorBidi"/>
                <w:i/>
                <w:lang w:val="en-US"/>
              </w:rPr>
            </m:ctrlPr>
          </m:fPr>
          <m:num>
            <m:sSub>
              <m:sSubPr>
                <m:ctrlPr>
                  <w:rPr>
                    <w:rFonts w:ascii="Cambria Math" w:hAnsi="Cambria Math" w:cstheme="majorBidi"/>
                    <w:i/>
                    <w:lang w:val="en-US"/>
                  </w:rPr>
                </m:ctrlPr>
              </m:sSubPr>
              <m:e>
                <m:r>
                  <w:rPr>
                    <w:rFonts w:ascii="Cambria Math" w:hAnsi="Cambria Math" w:cstheme="majorBidi"/>
                    <w:lang w:val="en-US"/>
                  </w:rPr>
                  <m:t>p</m:t>
                </m:r>
              </m:e>
              <m:sub>
                <m:r>
                  <w:rPr>
                    <w:rFonts w:ascii="Cambria Math" w:hAnsi="Cambria Math" w:cstheme="majorBidi"/>
                    <w:lang w:val="en-US"/>
                  </w:rPr>
                  <m:t>t</m:t>
                </m:r>
              </m:sub>
            </m:sSub>
          </m:num>
          <m:den>
            <m:sSub>
              <m:sSubPr>
                <m:ctrlPr>
                  <w:rPr>
                    <w:rFonts w:ascii="Cambria Math" w:hAnsi="Cambria Math" w:cstheme="majorBidi"/>
                    <w:i/>
                    <w:lang w:val="en-US"/>
                  </w:rPr>
                </m:ctrlPr>
              </m:sSubPr>
              <m:e>
                <m:r>
                  <w:rPr>
                    <w:rFonts w:ascii="Cambria Math" w:hAnsi="Cambria Math" w:cstheme="majorBidi"/>
                    <w:lang w:val="en-US"/>
                  </w:rPr>
                  <m:t>p</m:t>
                </m:r>
              </m:e>
              <m:sub>
                <m:r>
                  <w:rPr>
                    <w:rFonts w:ascii="Cambria Math" w:hAnsi="Cambria Math" w:cstheme="majorBidi"/>
                    <w:lang w:val="en-US"/>
                  </w:rPr>
                  <m:t>t-1</m:t>
                </m:r>
              </m:sub>
            </m:sSub>
          </m:den>
        </m:f>
        <m:r>
          <w:rPr>
            <w:rFonts w:ascii="Cambria Math" w:hAnsi="Cambria Math" w:cstheme="majorBidi"/>
            <w:lang w:val="en-US"/>
          </w:rPr>
          <m:t>)</m:t>
        </m:r>
      </m:oMath>
      <w:r w:rsidRPr="004C4291">
        <w:rPr>
          <w:rFonts w:asciiTheme="majorBidi" w:eastAsiaTheme="minorEastAsia" w:hAnsiTheme="majorBidi" w:cstheme="majorBidi"/>
          <w:lang w:val="en-US"/>
        </w:rPr>
        <w:t xml:space="preserve"> for t = 1, 2, … T, where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p</m:t>
            </m:r>
          </m:e>
          <m:sub>
            <m:r>
              <w:rPr>
                <w:rFonts w:ascii="Cambria Math" w:eastAsiaTheme="minorEastAsia" w:hAnsi="Cambria Math" w:cstheme="majorBidi"/>
                <w:lang w:val="en-US"/>
              </w:rPr>
              <m:t>t</m:t>
            </m:r>
          </m:sub>
        </m:sSub>
      </m:oMath>
      <w:r w:rsidRPr="004C4291">
        <w:rPr>
          <w:rFonts w:asciiTheme="majorBidi" w:eastAsiaTheme="minorEastAsia" w:hAnsiTheme="majorBidi" w:cstheme="majorBidi"/>
          <w:lang w:val="en-US"/>
        </w:rPr>
        <w:t xml:space="preserve"> is the price on day t. </w:t>
      </w:r>
    </w:p>
    <w:p w:rsidR="00CF17FE" w:rsidRPr="004C4291" w:rsidRDefault="00331EA0" w:rsidP="00331EA0">
      <w:pPr>
        <w:ind w:firstLine="340"/>
        <w:jc w:val="both"/>
        <w:rPr>
          <w:rFonts w:asciiTheme="majorBidi" w:hAnsiTheme="majorBidi" w:cstheme="majorBidi"/>
          <w:lang w:val="en-US"/>
        </w:rPr>
      </w:pPr>
      <w:r w:rsidRPr="004C4291">
        <w:rPr>
          <w:rFonts w:asciiTheme="majorBidi" w:hAnsiTheme="majorBidi" w:cstheme="majorBidi"/>
          <w:lang w:val="en-US"/>
        </w:rPr>
        <w:t>Table 1 reports the descriptive statistics for our data set. DAX30 exhibits the largest positive mean return, thereby suggesting that the stock price is most significantly. Moreover, the positive mean return for USD/EUR indicate the depreciation of the currency and the negative mean return for CAC40 indicate the appreciation of the currency. In addition, the standard deviation or volatility of DAX30 is the highest over the sample period. The higher levels of Skewness for USDEUR and CAC40 indicate that extreme variations tend to occur more frequently for these currencies. Besides, there exist fat tails in the return distribution according to the high values of kurtosis for all stock prices. To accommodate the existence of “fat tails”, we assume student-t distributed innovations. Furthermore, the Jarque-Bera statistic rejects normality assumption at the 1% level for all for all stock prices and exchange rate. This finding indirectly supports the existence of an ARCH effect in the distribution of exchange rate and stock market returns.</w:t>
      </w:r>
    </w:p>
    <w:p w:rsidR="00125123" w:rsidRPr="004C4291" w:rsidRDefault="00125123" w:rsidP="00125123">
      <w:pPr>
        <w:rPr>
          <w:lang w:val="en-US"/>
        </w:rPr>
      </w:pPr>
    </w:p>
    <w:p w:rsidR="00EE5D2A" w:rsidRPr="004C4291" w:rsidRDefault="00EE5D2A" w:rsidP="00BA6642">
      <w:pPr>
        <w:pStyle w:val="Lgende"/>
        <w:keepNext/>
        <w:spacing w:after="0"/>
        <w:ind w:left="1474" w:right="1474"/>
        <w:jc w:val="both"/>
        <w:rPr>
          <w:rFonts w:asciiTheme="majorBidi" w:hAnsiTheme="majorBidi" w:cstheme="majorBidi"/>
          <w:color w:val="auto"/>
          <w:sz w:val="20"/>
          <w:szCs w:val="20"/>
          <w:lang w:val="en-US"/>
        </w:rPr>
      </w:pPr>
      <w:r w:rsidRPr="004C4291">
        <w:rPr>
          <w:rFonts w:asciiTheme="majorBidi" w:hAnsiTheme="majorBidi" w:cstheme="majorBidi"/>
          <w:color w:val="auto"/>
          <w:sz w:val="20"/>
          <w:szCs w:val="20"/>
          <w:lang w:val="en-US"/>
        </w:rPr>
        <w:lastRenderedPageBreak/>
        <w:t xml:space="preserve">Table </w:t>
      </w:r>
      <w:r w:rsidR="00194326" w:rsidRPr="004C4291">
        <w:rPr>
          <w:rFonts w:asciiTheme="majorBidi" w:hAnsiTheme="majorBidi" w:cstheme="majorBidi"/>
          <w:color w:val="auto"/>
          <w:sz w:val="20"/>
          <w:szCs w:val="20"/>
          <w:lang w:val="en-US"/>
        </w:rPr>
        <w:fldChar w:fldCharType="begin"/>
      </w:r>
      <w:r w:rsidRPr="004C4291">
        <w:rPr>
          <w:rFonts w:asciiTheme="majorBidi" w:hAnsiTheme="majorBidi" w:cstheme="majorBidi"/>
          <w:color w:val="auto"/>
          <w:sz w:val="20"/>
          <w:szCs w:val="20"/>
          <w:lang w:val="en-US"/>
        </w:rPr>
        <w:instrText xml:space="preserve"> SEQ Tableau \* ARABIC </w:instrText>
      </w:r>
      <w:r w:rsidR="00194326" w:rsidRPr="004C4291">
        <w:rPr>
          <w:rFonts w:asciiTheme="majorBidi" w:hAnsiTheme="majorBidi" w:cstheme="majorBidi"/>
          <w:color w:val="auto"/>
          <w:sz w:val="20"/>
          <w:szCs w:val="20"/>
          <w:lang w:val="en-US"/>
        </w:rPr>
        <w:fldChar w:fldCharType="separate"/>
      </w:r>
      <w:r w:rsidR="00955A5F">
        <w:rPr>
          <w:rFonts w:asciiTheme="majorBidi" w:hAnsiTheme="majorBidi" w:cstheme="majorBidi"/>
          <w:noProof/>
          <w:color w:val="auto"/>
          <w:sz w:val="20"/>
          <w:szCs w:val="20"/>
          <w:lang w:val="en-US"/>
        </w:rPr>
        <w:t>1</w:t>
      </w:r>
      <w:r w:rsidR="00194326" w:rsidRPr="004C4291">
        <w:rPr>
          <w:rFonts w:asciiTheme="majorBidi" w:hAnsiTheme="majorBidi" w:cstheme="majorBidi"/>
          <w:color w:val="auto"/>
          <w:sz w:val="20"/>
          <w:szCs w:val="20"/>
          <w:lang w:val="en-US"/>
        </w:rPr>
        <w:fldChar w:fldCharType="end"/>
      </w:r>
    </w:p>
    <w:p w:rsidR="00A8537A" w:rsidRPr="004C4291" w:rsidRDefault="00EE5D2A" w:rsidP="00BA6642">
      <w:pPr>
        <w:ind w:left="1474" w:right="1474"/>
        <w:jc w:val="both"/>
        <w:rPr>
          <w:rFonts w:asciiTheme="majorBidi" w:hAnsiTheme="majorBidi" w:cstheme="majorBidi"/>
          <w:sz w:val="20"/>
          <w:szCs w:val="20"/>
          <w:lang w:val="en-US" w:eastAsia="fr-FR"/>
        </w:rPr>
      </w:pPr>
      <w:r w:rsidRPr="004C4291">
        <w:rPr>
          <w:rFonts w:asciiTheme="majorBidi" w:hAnsiTheme="majorBidi" w:cstheme="majorBidi"/>
          <w:sz w:val="20"/>
          <w:szCs w:val="20"/>
          <w:lang w:val="en-US"/>
        </w:rPr>
        <w:t>Descriptive statistics for exchange rate and stock market returns.</w:t>
      </w:r>
    </w:p>
    <w:tbl>
      <w:tblPr>
        <w:tblW w:w="6167" w:type="dxa"/>
        <w:jc w:val="center"/>
        <w:tblInd w:w="56" w:type="dxa"/>
        <w:tblCellMar>
          <w:left w:w="70" w:type="dxa"/>
          <w:right w:w="70" w:type="dxa"/>
        </w:tblCellMar>
        <w:tblLook w:val="04A0"/>
      </w:tblPr>
      <w:tblGrid>
        <w:gridCol w:w="1412"/>
        <w:gridCol w:w="1012"/>
        <w:gridCol w:w="224"/>
        <w:gridCol w:w="965"/>
        <w:gridCol w:w="212"/>
        <w:gridCol w:w="1012"/>
        <w:gridCol w:w="224"/>
        <w:gridCol w:w="1106"/>
      </w:tblGrid>
      <w:tr w:rsidR="00A8537A" w:rsidRPr="00A8537A" w:rsidTr="00A8537A">
        <w:trPr>
          <w:trHeight w:val="54"/>
          <w:jc w:val="center"/>
        </w:trPr>
        <w:tc>
          <w:tcPr>
            <w:tcW w:w="1412" w:type="dxa"/>
            <w:tcBorders>
              <w:top w:val="single" w:sz="8" w:space="0" w:color="auto"/>
              <w:left w:val="nil"/>
              <w:bottom w:val="single" w:sz="8" w:space="0" w:color="auto"/>
              <w:right w:val="nil"/>
            </w:tcBorders>
            <w:shd w:val="clear" w:color="auto" w:fill="auto"/>
            <w:noWrap/>
            <w:vAlign w:val="bottom"/>
            <w:hideMark/>
          </w:tcPr>
          <w:p w:rsidR="00A8537A" w:rsidRPr="00767AFB" w:rsidRDefault="00A8537A" w:rsidP="00A8537A">
            <w:pPr>
              <w:jc w:val="left"/>
              <w:rPr>
                <w:rFonts w:ascii="Times New Roman" w:eastAsia="Times New Roman" w:hAnsi="Times New Roman" w:cs="Times New Roman"/>
                <w:sz w:val="16"/>
                <w:szCs w:val="16"/>
                <w:lang w:val="en-US" w:eastAsia="fr-FR"/>
              </w:rPr>
            </w:pPr>
            <w:r w:rsidRPr="00767AFB">
              <w:rPr>
                <w:rFonts w:ascii="Times New Roman" w:eastAsia="Times New Roman" w:hAnsi="Times New Roman" w:cs="Times New Roman"/>
                <w:sz w:val="16"/>
                <w:szCs w:val="16"/>
                <w:lang w:val="en-US" w:eastAsia="fr-FR"/>
              </w:rPr>
              <w:t> </w:t>
            </w:r>
          </w:p>
        </w:tc>
        <w:tc>
          <w:tcPr>
            <w:tcW w:w="1012" w:type="dxa"/>
            <w:tcBorders>
              <w:top w:val="single" w:sz="8" w:space="0" w:color="auto"/>
              <w:left w:val="nil"/>
              <w:bottom w:val="single" w:sz="8" w:space="0" w:color="auto"/>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USDEUR</w:t>
            </w:r>
          </w:p>
        </w:tc>
        <w:tc>
          <w:tcPr>
            <w:tcW w:w="224" w:type="dxa"/>
            <w:tcBorders>
              <w:top w:val="single" w:sz="8" w:space="0" w:color="auto"/>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 </w:t>
            </w:r>
          </w:p>
        </w:tc>
        <w:tc>
          <w:tcPr>
            <w:tcW w:w="965" w:type="dxa"/>
            <w:tcBorders>
              <w:top w:val="single" w:sz="8" w:space="0" w:color="auto"/>
              <w:left w:val="nil"/>
              <w:bottom w:val="single" w:sz="8" w:space="0" w:color="auto"/>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DAX30</w:t>
            </w:r>
          </w:p>
        </w:tc>
        <w:tc>
          <w:tcPr>
            <w:tcW w:w="212" w:type="dxa"/>
            <w:tcBorders>
              <w:top w:val="single" w:sz="8" w:space="0" w:color="auto"/>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 </w:t>
            </w:r>
          </w:p>
        </w:tc>
        <w:tc>
          <w:tcPr>
            <w:tcW w:w="1012" w:type="dxa"/>
            <w:tcBorders>
              <w:top w:val="single" w:sz="8" w:space="0" w:color="auto"/>
              <w:left w:val="nil"/>
              <w:bottom w:val="single" w:sz="8" w:space="0" w:color="auto"/>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CAC40</w:t>
            </w:r>
          </w:p>
        </w:tc>
        <w:tc>
          <w:tcPr>
            <w:tcW w:w="224" w:type="dxa"/>
            <w:tcBorders>
              <w:top w:val="single" w:sz="8" w:space="0" w:color="auto"/>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 </w:t>
            </w:r>
          </w:p>
        </w:tc>
        <w:tc>
          <w:tcPr>
            <w:tcW w:w="1106" w:type="dxa"/>
            <w:tcBorders>
              <w:top w:val="single" w:sz="8" w:space="0" w:color="auto"/>
              <w:left w:val="nil"/>
              <w:bottom w:val="single" w:sz="8" w:space="0" w:color="auto"/>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FTSE100</w:t>
            </w:r>
          </w:p>
        </w:tc>
      </w:tr>
      <w:tr w:rsidR="00A8537A" w:rsidRPr="00A8537A" w:rsidTr="00767AFB">
        <w:trPr>
          <w:trHeight w:val="116"/>
          <w:jc w:val="center"/>
        </w:trPr>
        <w:tc>
          <w:tcPr>
            <w:tcW w:w="6167" w:type="dxa"/>
            <w:gridSpan w:val="8"/>
            <w:tcBorders>
              <w:top w:val="nil"/>
              <w:left w:val="nil"/>
              <w:bottom w:val="nil"/>
              <w:right w:val="nil"/>
            </w:tcBorders>
            <w:shd w:val="clear" w:color="auto" w:fill="auto"/>
            <w:noWrap/>
            <w:vAlign w:val="center"/>
            <w:hideMark/>
          </w:tcPr>
          <w:p w:rsidR="00A8537A" w:rsidRPr="001D4323" w:rsidRDefault="00A8537A" w:rsidP="00A8537A">
            <w:pPr>
              <w:jc w:val="left"/>
              <w:rPr>
                <w:rFonts w:ascii="Times New Roman" w:eastAsia="Times New Roman" w:hAnsi="Times New Roman" w:cs="Times New Roman"/>
                <w:b/>
                <w:bCs/>
                <w:i/>
                <w:iCs/>
                <w:sz w:val="16"/>
                <w:szCs w:val="16"/>
                <w:lang w:eastAsia="fr-FR"/>
              </w:rPr>
            </w:pPr>
            <w:r w:rsidRPr="001D4323">
              <w:rPr>
                <w:rFonts w:ascii="Times New Roman" w:eastAsia="Times New Roman" w:hAnsi="Times New Roman" w:cs="Times New Roman"/>
                <w:b/>
                <w:bCs/>
                <w:i/>
                <w:iCs/>
                <w:sz w:val="16"/>
                <w:szCs w:val="16"/>
                <w:lang w:eastAsia="fr-FR"/>
              </w:rPr>
              <w:t>Panel A: descriptive statistics</w:t>
            </w:r>
          </w:p>
        </w:tc>
      </w:tr>
      <w:tr w:rsidR="00A8537A" w:rsidRPr="00A8537A" w:rsidTr="00A8537A">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Mean</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0.0139</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0.0182</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-0.0039</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0.0071</w:t>
            </w:r>
          </w:p>
        </w:tc>
      </w:tr>
      <w:tr w:rsidR="00A8537A" w:rsidRPr="00A8537A" w:rsidTr="00A8537A">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Maximum</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4.6208</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10.797</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10.595</w:t>
            </w:r>
            <w:r w:rsidR="00EE5D2A">
              <w:rPr>
                <w:rFonts w:ascii="Times New Roman" w:eastAsia="Times New Roman" w:hAnsi="Times New Roman" w:cs="Times New Roman"/>
                <w:sz w:val="16"/>
                <w:szCs w:val="16"/>
                <w:lang w:eastAsia="fr-FR"/>
              </w:rPr>
              <w:t>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9.3842</w:t>
            </w:r>
          </w:p>
        </w:tc>
      </w:tr>
      <w:tr w:rsidR="00A8537A" w:rsidRPr="00A8537A" w:rsidTr="00A8537A">
        <w:trPr>
          <w:trHeight w:val="131"/>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Minimum</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-3.0031</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-7.4335</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-9.4715</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-9.2646</w:t>
            </w:r>
          </w:p>
        </w:tc>
      </w:tr>
      <w:tr w:rsidR="00A8537A" w:rsidRPr="00A8537A" w:rsidTr="00A8537A">
        <w:trPr>
          <w:trHeight w:val="76"/>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Std. Deviation</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0.6264</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1.5512</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1.5196</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1.2464</w:t>
            </w:r>
          </w:p>
        </w:tc>
      </w:tr>
      <w:tr w:rsidR="00A8537A" w:rsidRPr="00A8537A" w:rsidTr="00A8537A">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Skewness</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0.0786**</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0.0481</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0.0751**</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-0.1290*</w:t>
            </w:r>
          </w:p>
        </w:tc>
      </w:tr>
      <w:tr w:rsidR="00A8537A" w:rsidRPr="00A8537A" w:rsidTr="00A8537A">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0.0728</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0.2724</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0.0867</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0.0032</w:t>
            </w:r>
          </w:p>
        </w:tc>
      </w:tr>
      <w:tr w:rsidR="00A8537A" w:rsidRPr="00A8537A" w:rsidTr="00A8537A">
        <w:trPr>
          <w:trHeight w:val="126"/>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ExcessKurtosis</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2.6362*</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4.9423*</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5.4332*</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7.1486*</w:t>
            </w:r>
          </w:p>
        </w:tc>
      </w:tr>
      <w:tr w:rsidR="00A8537A" w:rsidRPr="00A8537A" w:rsidTr="00A8537A">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w:t>
            </w:r>
            <w:r w:rsidR="00EE5D2A">
              <w:rPr>
                <w:rFonts w:ascii="Times New Roman" w:eastAsia="Times New Roman" w:hAnsi="Times New Roman" w:cs="Times New Roman"/>
                <w:sz w:val="14"/>
                <w:szCs w:val="14"/>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w:t>
            </w:r>
            <w:r w:rsidR="00EE5D2A">
              <w:rPr>
                <w:rFonts w:ascii="Times New Roman" w:eastAsia="Times New Roman" w:hAnsi="Times New Roman" w:cs="Times New Roman"/>
                <w:sz w:val="14"/>
                <w:szCs w:val="14"/>
                <w:lang w:eastAsia="fr-FR"/>
              </w:rPr>
              <w:t>.0000</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w:t>
            </w:r>
            <w:r w:rsidR="00EE5D2A">
              <w:rPr>
                <w:rFonts w:ascii="Times New Roman" w:eastAsia="Times New Roman" w:hAnsi="Times New Roman" w:cs="Times New Roman"/>
                <w:sz w:val="14"/>
                <w:szCs w:val="14"/>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w:t>
            </w:r>
            <w:r w:rsidR="00EE5D2A">
              <w:rPr>
                <w:rFonts w:ascii="Times New Roman" w:eastAsia="Times New Roman" w:hAnsi="Times New Roman" w:cs="Times New Roman"/>
                <w:sz w:val="14"/>
                <w:szCs w:val="14"/>
                <w:lang w:eastAsia="fr-FR"/>
              </w:rPr>
              <w:t>.0000</w:t>
            </w:r>
          </w:p>
        </w:tc>
      </w:tr>
      <w:tr w:rsidR="00A8537A" w:rsidRPr="00A8537A" w:rsidTr="00A8537A">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Jarque-Bera</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905.51*</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3172.5*</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3835.5*</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6643.4*</w:t>
            </w:r>
          </w:p>
        </w:tc>
      </w:tr>
      <w:tr w:rsidR="00A8537A" w:rsidRPr="00A8537A" w:rsidTr="00767AFB">
        <w:trPr>
          <w:trHeight w:val="90"/>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4"/>
                <w:szCs w:val="14"/>
                <w:lang w:eastAsia="fr-FR"/>
              </w:rPr>
            </w:pPr>
            <w:r w:rsidRPr="00A8537A">
              <w:rPr>
                <w:rFonts w:ascii="Times New Roman" w:eastAsia="Times New Roman" w:hAnsi="Times New Roman" w:cs="Times New Roman"/>
                <w:sz w:val="14"/>
                <w:szCs w:val="14"/>
                <w:lang w:eastAsia="fr-FR"/>
              </w:rPr>
              <w:t>0</w:t>
            </w:r>
            <w:r w:rsidR="00EE5D2A">
              <w:rPr>
                <w:rFonts w:ascii="Times New Roman" w:eastAsia="Times New Roman" w:hAnsi="Times New Roman" w:cs="Times New Roman"/>
                <w:sz w:val="14"/>
                <w:szCs w:val="14"/>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r>
      <w:tr w:rsidR="00A8537A" w:rsidRPr="00A8537A" w:rsidTr="00A8537A">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r>
      <w:tr w:rsidR="00A8537A" w:rsidRPr="00955A5F" w:rsidTr="00767AFB">
        <w:trPr>
          <w:trHeight w:val="74"/>
          <w:jc w:val="center"/>
        </w:trPr>
        <w:tc>
          <w:tcPr>
            <w:tcW w:w="6167" w:type="dxa"/>
            <w:gridSpan w:val="8"/>
            <w:tcBorders>
              <w:top w:val="nil"/>
              <w:left w:val="nil"/>
              <w:bottom w:val="nil"/>
              <w:right w:val="nil"/>
            </w:tcBorders>
            <w:shd w:val="clear" w:color="auto" w:fill="auto"/>
            <w:noWrap/>
            <w:vAlign w:val="bottom"/>
            <w:hideMark/>
          </w:tcPr>
          <w:p w:rsidR="00A8537A" w:rsidRPr="001D4323" w:rsidRDefault="00A8537A" w:rsidP="00A8537A">
            <w:pPr>
              <w:jc w:val="left"/>
              <w:rPr>
                <w:rFonts w:ascii="Times New Roman" w:eastAsia="Times New Roman" w:hAnsi="Times New Roman" w:cs="Times New Roman"/>
                <w:b/>
                <w:bCs/>
                <w:i/>
                <w:iCs/>
                <w:sz w:val="16"/>
                <w:szCs w:val="16"/>
                <w:lang w:val="en-US" w:eastAsia="fr-FR"/>
              </w:rPr>
            </w:pPr>
            <w:r w:rsidRPr="001D4323">
              <w:rPr>
                <w:rFonts w:ascii="Times New Roman" w:eastAsia="Times New Roman" w:hAnsi="Times New Roman" w:cs="Times New Roman"/>
                <w:b/>
                <w:bCs/>
                <w:i/>
                <w:iCs/>
                <w:sz w:val="16"/>
                <w:szCs w:val="16"/>
                <w:lang w:val="en-US" w:eastAsia="fr-FR"/>
              </w:rPr>
              <w:t>Panel B: Serial correlation and LM-ARCH tests</w:t>
            </w:r>
          </w:p>
        </w:tc>
      </w:tr>
      <w:tr w:rsidR="00A8537A" w:rsidRPr="00A8537A" w:rsidTr="00EC356B">
        <w:trPr>
          <w:trHeight w:val="85"/>
          <w:jc w:val="center"/>
        </w:trPr>
        <w:tc>
          <w:tcPr>
            <w:tcW w:w="1412" w:type="dxa"/>
            <w:tcBorders>
              <w:top w:val="nil"/>
              <w:left w:val="nil"/>
              <w:bottom w:val="nil"/>
              <w:right w:val="nil"/>
            </w:tcBorders>
            <w:shd w:val="clear" w:color="auto" w:fill="auto"/>
            <w:noWrap/>
            <w:vAlign w:val="center"/>
            <w:hideMark/>
          </w:tcPr>
          <w:p w:rsidR="00A8537A" w:rsidRPr="00BB0E36" w:rsidRDefault="00A8537A" w:rsidP="00A8537A">
            <w:pPr>
              <w:jc w:val="left"/>
              <w:rPr>
                <w:rFonts w:ascii="Times New Roman" w:eastAsia="Times New Roman" w:hAnsi="Times New Roman" w:cs="Times New Roman"/>
                <w:sz w:val="16"/>
                <w:szCs w:val="16"/>
                <w:lang w:eastAsia="fr-FR"/>
              </w:rPr>
            </w:pPr>
            <m:oMath>
              <m:r>
                <w:rPr>
                  <w:rFonts w:ascii="Cambria Math" w:eastAsia="Times New Roman" w:hAnsi="Cambria Math" w:cs="Times New Roman"/>
                  <w:sz w:val="16"/>
                  <w:szCs w:val="16"/>
                  <w:lang w:eastAsia="fr-FR"/>
                </w:rPr>
                <m:t>LB(20)</m:t>
              </m:r>
            </m:oMath>
            <w:r w:rsidR="00071966">
              <w:rPr>
                <w:rFonts w:ascii="Times New Roman" w:eastAsia="Times New Roman" w:hAnsi="Times New Roman" w:cs="Times New Roman"/>
                <w:sz w:val="16"/>
                <w:szCs w:val="16"/>
                <w:lang w:eastAsia="fr-FR"/>
              </w:rPr>
              <w:t xml:space="preserve"> </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29.5108</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73.654</w:t>
            </w:r>
            <w:r w:rsidR="00EE5D2A">
              <w:rPr>
                <w:rFonts w:ascii="Times New Roman" w:eastAsia="Times New Roman" w:hAnsi="Times New Roman" w:cs="Times New Roman"/>
                <w:sz w:val="16"/>
                <w:szCs w:val="16"/>
                <w:lang w:eastAsia="fr-FR"/>
              </w:rPr>
              <w:t>0*</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69.4058</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90.1888</w:t>
            </w:r>
            <w:r w:rsidR="00EE5D2A">
              <w:rPr>
                <w:rFonts w:ascii="Times New Roman" w:eastAsia="Times New Roman" w:hAnsi="Times New Roman" w:cs="Times New Roman"/>
                <w:sz w:val="16"/>
                <w:szCs w:val="16"/>
                <w:lang w:eastAsia="fr-FR"/>
              </w:rPr>
              <w:t>*</w:t>
            </w:r>
          </w:p>
        </w:tc>
      </w:tr>
      <w:tr w:rsidR="00A8537A" w:rsidRPr="00A8537A" w:rsidTr="00EC356B">
        <w:trPr>
          <w:trHeight w:val="74"/>
          <w:jc w:val="center"/>
        </w:trPr>
        <w:tc>
          <w:tcPr>
            <w:tcW w:w="1412" w:type="dxa"/>
            <w:tcBorders>
              <w:top w:val="nil"/>
              <w:left w:val="nil"/>
              <w:bottom w:val="nil"/>
              <w:right w:val="nil"/>
            </w:tcBorders>
            <w:shd w:val="clear" w:color="auto" w:fill="auto"/>
            <w:noWrap/>
            <w:vAlign w:val="center"/>
            <w:hideMark/>
          </w:tcPr>
          <w:p w:rsidR="00A8537A" w:rsidRPr="00BB0E36" w:rsidRDefault="00A8537A" w:rsidP="00A8537A">
            <w:pPr>
              <w:rPr>
                <w:rFonts w:ascii="Times New Roman" w:eastAsia="Times New Roman" w:hAnsi="Times New Roman" w:cs="Times New Roman"/>
                <w:sz w:val="12"/>
                <w:szCs w:val="12"/>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0.0781</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r>
      <w:tr w:rsidR="00A8537A" w:rsidRPr="00A8537A" w:rsidTr="00767AFB">
        <w:trPr>
          <w:trHeight w:val="74"/>
          <w:jc w:val="center"/>
        </w:trPr>
        <w:tc>
          <w:tcPr>
            <w:tcW w:w="1412" w:type="dxa"/>
            <w:tcBorders>
              <w:top w:val="nil"/>
              <w:left w:val="nil"/>
              <w:bottom w:val="nil"/>
              <w:right w:val="nil"/>
            </w:tcBorders>
            <w:shd w:val="clear" w:color="auto" w:fill="auto"/>
            <w:noWrap/>
            <w:vAlign w:val="center"/>
            <w:hideMark/>
          </w:tcPr>
          <w:p w:rsidR="00A8537A" w:rsidRPr="00BB0E36" w:rsidRDefault="00194326" w:rsidP="00A8537A">
            <w:pPr>
              <w:jc w:val="left"/>
              <w:rPr>
                <w:rFonts w:ascii="Times New Roman" w:eastAsia="Times New Roman" w:hAnsi="Times New Roman" w:cs="Times New Roman"/>
                <w:sz w:val="16"/>
                <w:szCs w:val="16"/>
                <w:lang w:eastAsia="fr-FR"/>
              </w:rPr>
            </w:pPr>
            <m:oMath>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LB</m:t>
                  </m:r>
                </m:e>
                <m:sup>
                  <m:r>
                    <w:rPr>
                      <w:rFonts w:ascii="Cambria Math" w:eastAsia="Times New Roman" w:hAnsi="Cambria Math" w:cs="Times New Roman"/>
                      <w:sz w:val="16"/>
                      <w:szCs w:val="16"/>
                      <w:lang w:eastAsia="fr-FR"/>
                    </w:rPr>
                    <m:t>2</m:t>
                  </m:r>
                </m:sup>
              </m:sSup>
              <m:r>
                <w:rPr>
                  <w:rFonts w:ascii="Cambria Math" w:eastAsia="Times New Roman" w:hAnsi="Cambria Math" w:cs="Times New Roman"/>
                  <w:sz w:val="16"/>
                  <w:szCs w:val="16"/>
                  <w:lang w:eastAsia="fr-FR"/>
                </w:rPr>
                <m:t>(20)</m:t>
              </m:r>
            </m:oMath>
            <w:r w:rsidR="00071966">
              <w:rPr>
                <w:rFonts w:ascii="Times New Roman" w:eastAsia="Times New Roman" w:hAnsi="Times New Roman" w:cs="Times New Roman"/>
                <w:sz w:val="16"/>
                <w:szCs w:val="16"/>
                <w:lang w:eastAsia="fr-FR"/>
              </w:rPr>
              <w:t xml:space="preserve"> </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736.05</w:t>
            </w:r>
            <w:r w:rsidR="00EE5D2A">
              <w:rPr>
                <w:rFonts w:ascii="Times New Roman" w:eastAsia="Times New Roman" w:hAnsi="Times New Roman" w:cs="Times New Roman"/>
                <w:sz w:val="16"/>
                <w:szCs w:val="16"/>
                <w:lang w:eastAsia="fr-FR"/>
              </w:rPr>
              <w:t>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34.3546</w:t>
            </w:r>
            <w:r w:rsidR="00EE5D2A">
              <w:rPr>
                <w:rFonts w:ascii="Times New Roman" w:eastAsia="Times New Roman" w:hAnsi="Times New Roman" w:cs="Times New Roman"/>
                <w:sz w:val="16"/>
                <w:szCs w:val="16"/>
                <w:lang w:eastAsia="fr-FR"/>
              </w:rPr>
              <w:t>**</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2859.02</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3733.88</w:t>
            </w:r>
            <w:r w:rsidR="00EE5D2A">
              <w:rPr>
                <w:rFonts w:ascii="Times New Roman" w:eastAsia="Times New Roman" w:hAnsi="Times New Roman" w:cs="Times New Roman"/>
                <w:sz w:val="16"/>
                <w:szCs w:val="16"/>
                <w:lang w:eastAsia="fr-FR"/>
              </w:rPr>
              <w:t>*</w:t>
            </w:r>
          </w:p>
        </w:tc>
      </w:tr>
      <w:tr w:rsidR="00A8537A" w:rsidRPr="00A8537A" w:rsidTr="00EC356B">
        <w:trPr>
          <w:trHeight w:val="74"/>
          <w:jc w:val="center"/>
        </w:trPr>
        <w:tc>
          <w:tcPr>
            <w:tcW w:w="1412" w:type="dxa"/>
            <w:tcBorders>
              <w:top w:val="nil"/>
              <w:left w:val="nil"/>
              <w:bottom w:val="nil"/>
              <w:right w:val="nil"/>
            </w:tcBorders>
            <w:shd w:val="clear" w:color="auto" w:fill="auto"/>
            <w:noWrap/>
            <w:vAlign w:val="center"/>
            <w:hideMark/>
          </w:tcPr>
          <w:p w:rsidR="00A8537A" w:rsidRPr="00BB0E36" w:rsidRDefault="00A8537A" w:rsidP="00A8537A">
            <w:pPr>
              <w:jc w:val="left"/>
              <w:rPr>
                <w:rFonts w:ascii="Times New Roman" w:eastAsia="Times New Roman" w:hAnsi="Times New Roman" w:cs="Times New Roman"/>
                <w:sz w:val="12"/>
                <w:szCs w:val="12"/>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0.0238</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p>
        </w:tc>
        <w:tc>
          <w:tcPr>
            <w:tcW w:w="1106" w:type="dxa"/>
            <w:tcBorders>
              <w:top w:val="nil"/>
              <w:left w:val="nil"/>
              <w:bottom w:val="nil"/>
              <w:right w:val="nil"/>
            </w:tcBorders>
            <w:shd w:val="clear" w:color="auto" w:fill="auto"/>
            <w:noWrap/>
            <w:vAlign w:val="bottom"/>
            <w:hideMark/>
          </w:tcPr>
          <w:p w:rsidR="00A8537A" w:rsidRPr="00EE5D2A" w:rsidRDefault="00A8537A" w:rsidP="00A8537A">
            <w:pPr>
              <w:rPr>
                <w:rFonts w:ascii="Times New Roman" w:eastAsia="Times New Roman" w:hAnsi="Times New Roman" w:cs="Times New Roman"/>
                <w:sz w:val="12"/>
                <w:szCs w:val="12"/>
                <w:lang w:eastAsia="fr-FR"/>
              </w:rPr>
            </w:pPr>
            <w:r w:rsidRPr="00EE5D2A">
              <w:rPr>
                <w:rFonts w:ascii="Times New Roman" w:eastAsia="Times New Roman" w:hAnsi="Times New Roman" w:cs="Times New Roman"/>
                <w:sz w:val="12"/>
                <w:szCs w:val="12"/>
                <w:lang w:eastAsia="fr-FR"/>
              </w:rPr>
              <w:t>0</w:t>
            </w:r>
            <w:r w:rsidR="00EE5D2A" w:rsidRPr="00EE5D2A">
              <w:rPr>
                <w:rFonts w:ascii="Times New Roman" w:eastAsia="Times New Roman" w:hAnsi="Times New Roman" w:cs="Times New Roman"/>
                <w:sz w:val="12"/>
                <w:szCs w:val="12"/>
                <w:lang w:eastAsia="fr-FR"/>
              </w:rPr>
              <w:t>.0000</w:t>
            </w:r>
          </w:p>
        </w:tc>
      </w:tr>
      <w:tr w:rsidR="00A8537A" w:rsidRPr="00A8537A" w:rsidTr="00767AFB">
        <w:trPr>
          <w:trHeight w:val="74"/>
          <w:jc w:val="center"/>
        </w:trPr>
        <w:tc>
          <w:tcPr>
            <w:tcW w:w="1412" w:type="dxa"/>
            <w:tcBorders>
              <w:top w:val="nil"/>
              <w:left w:val="nil"/>
              <w:bottom w:val="nil"/>
              <w:right w:val="nil"/>
            </w:tcBorders>
            <w:shd w:val="clear" w:color="auto" w:fill="auto"/>
            <w:noWrap/>
            <w:vAlign w:val="center"/>
            <w:hideMark/>
          </w:tcPr>
          <w:p w:rsidR="00A8537A" w:rsidRPr="00BB0E36" w:rsidRDefault="00A8537A" w:rsidP="00A8537A">
            <w:pPr>
              <w:jc w:val="left"/>
              <w:rPr>
                <w:rFonts w:ascii="Times New Roman" w:eastAsia="Times New Roman" w:hAnsi="Times New Roman" w:cs="Times New Roman"/>
                <w:sz w:val="16"/>
                <w:szCs w:val="16"/>
                <w:lang w:eastAsia="fr-FR"/>
              </w:rPr>
            </w:pPr>
            <w:r w:rsidRPr="00BB0E36">
              <w:rPr>
                <w:rFonts w:ascii="Times New Roman" w:eastAsia="Times New Roman" w:hAnsi="Times New Roman" w:cs="Times New Roman"/>
                <w:sz w:val="16"/>
                <w:szCs w:val="16"/>
                <w:lang w:eastAsia="fr-FR"/>
              </w:rPr>
              <w:t>ARCH 1-10</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25.567</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3146.25</w:t>
            </w:r>
            <w:r w:rsidR="00EE5D2A">
              <w:rPr>
                <w:rFonts w:ascii="Times New Roman" w:eastAsia="Times New Roman" w:hAnsi="Times New Roman" w:cs="Times New Roman"/>
                <w:sz w:val="16"/>
                <w:szCs w:val="16"/>
                <w:lang w:eastAsia="fr-FR"/>
              </w:rPr>
              <w:t>*</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71.513</w:t>
            </w:r>
            <w:r w:rsidR="00EE5D2A">
              <w:rPr>
                <w:rFonts w:ascii="Times New Roman" w:eastAsia="Times New Roman" w:hAnsi="Times New Roman" w:cs="Times New Roman"/>
                <w:sz w:val="16"/>
                <w:szCs w:val="16"/>
                <w:lang w:eastAsia="fr-FR"/>
              </w:rPr>
              <w:t>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98.756</w:t>
            </w:r>
            <w:r w:rsidR="00EE5D2A">
              <w:rPr>
                <w:rFonts w:ascii="Times New Roman" w:eastAsia="Times New Roman" w:hAnsi="Times New Roman" w:cs="Times New Roman"/>
                <w:sz w:val="16"/>
                <w:szCs w:val="16"/>
                <w:lang w:eastAsia="fr-FR"/>
              </w:rPr>
              <w:t>0*</w:t>
            </w:r>
          </w:p>
        </w:tc>
      </w:tr>
      <w:tr w:rsidR="00A8537A" w:rsidRPr="00A8537A" w:rsidTr="00EC356B">
        <w:trPr>
          <w:trHeight w:val="74"/>
          <w:jc w:val="center"/>
        </w:trPr>
        <w:tc>
          <w:tcPr>
            <w:tcW w:w="14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0</w:t>
            </w:r>
            <w:r w:rsidR="00EE5D2A">
              <w:rPr>
                <w:rFonts w:ascii="Times New Roman" w:eastAsia="Times New Roman" w:hAnsi="Times New Roman" w:cs="Times New Roman"/>
                <w:sz w:val="12"/>
                <w:szCs w:val="12"/>
                <w:lang w:eastAsia="fr-FR"/>
              </w:rPr>
              <w:t>.0000</w:t>
            </w:r>
          </w:p>
        </w:tc>
      </w:tr>
      <w:tr w:rsidR="00A8537A" w:rsidRPr="00955A5F" w:rsidTr="00767AFB">
        <w:trPr>
          <w:trHeight w:val="74"/>
          <w:jc w:val="center"/>
        </w:trPr>
        <w:tc>
          <w:tcPr>
            <w:tcW w:w="6167" w:type="dxa"/>
            <w:gridSpan w:val="8"/>
            <w:tcBorders>
              <w:top w:val="nil"/>
              <w:left w:val="nil"/>
              <w:bottom w:val="nil"/>
              <w:right w:val="nil"/>
            </w:tcBorders>
            <w:shd w:val="clear" w:color="auto" w:fill="auto"/>
            <w:noWrap/>
            <w:vAlign w:val="center"/>
            <w:hideMark/>
          </w:tcPr>
          <w:p w:rsidR="00A8537A" w:rsidRPr="001D4323" w:rsidRDefault="00A8537A" w:rsidP="00A8537A">
            <w:pPr>
              <w:jc w:val="left"/>
              <w:rPr>
                <w:rFonts w:ascii="Times New Roman" w:eastAsia="Times New Roman" w:hAnsi="Times New Roman" w:cs="Times New Roman"/>
                <w:b/>
                <w:bCs/>
                <w:i/>
                <w:iCs/>
                <w:sz w:val="16"/>
                <w:szCs w:val="16"/>
                <w:lang w:val="en-US" w:eastAsia="fr-FR"/>
              </w:rPr>
            </w:pPr>
            <w:r w:rsidRPr="001D4323">
              <w:rPr>
                <w:rFonts w:ascii="Times New Roman" w:eastAsia="Times New Roman" w:hAnsi="Times New Roman" w:cs="Times New Roman"/>
                <w:b/>
                <w:bCs/>
                <w:i/>
                <w:iCs/>
                <w:sz w:val="16"/>
                <w:szCs w:val="16"/>
                <w:lang w:val="en-US" w:eastAsia="fr-FR"/>
              </w:rPr>
              <w:t>Panel C: Unit Root tests</w:t>
            </w:r>
          </w:p>
        </w:tc>
      </w:tr>
      <w:tr w:rsidR="00A8537A" w:rsidRPr="00A8537A" w:rsidTr="00767AFB">
        <w:trPr>
          <w:trHeight w:val="74"/>
          <w:jc w:val="center"/>
        </w:trPr>
        <w:tc>
          <w:tcPr>
            <w:tcW w:w="1412" w:type="dxa"/>
            <w:tcBorders>
              <w:top w:val="nil"/>
              <w:left w:val="nil"/>
              <w:bottom w:val="nil"/>
              <w:right w:val="nil"/>
            </w:tcBorders>
            <w:shd w:val="clear" w:color="auto" w:fill="auto"/>
            <w:noWrap/>
            <w:vAlign w:val="bottom"/>
            <w:hideMark/>
          </w:tcPr>
          <w:p w:rsidR="00A8537A" w:rsidRPr="00257A28" w:rsidRDefault="00A8537A" w:rsidP="00A8537A">
            <w:pPr>
              <w:jc w:val="left"/>
              <w:rPr>
                <w:rFonts w:ascii="Times New Roman" w:eastAsia="Times New Roman" w:hAnsi="Times New Roman" w:cs="Times New Roman"/>
                <w:sz w:val="16"/>
                <w:szCs w:val="16"/>
                <w:lang w:val="en-US" w:eastAsia="fr-FR"/>
              </w:rPr>
            </w:pPr>
            <w:r w:rsidRPr="00A8537A">
              <w:rPr>
                <w:rFonts w:ascii="Times New Roman" w:eastAsia="Times New Roman" w:hAnsi="Times New Roman" w:cs="Times New Roman"/>
                <w:i/>
                <w:iCs/>
                <w:sz w:val="16"/>
                <w:szCs w:val="16"/>
                <w:lang w:val="en-US" w:eastAsia="fr-FR"/>
              </w:rPr>
              <w:t>ADF test statistic</w:t>
            </w: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-32.3705</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965"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-34.2341</w:t>
            </w:r>
            <w:r w:rsidR="00EE5D2A">
              <w:rPr>
                <w:rFonts w:ascii="Times New Roman" w:eastAsia="Times New Roman" w:hAnsi="Times New Roman" w:cs="Times New Roman"/>
                <w:sz w:val="16"/>
                <w:szCs w:val="16"/>
                <w:lang w:eastAsia="fr-FR"/>
              </w:rPr>
              <w:t>***</w:t>
            </w:r>
          </w:p>
        </w:tc>
        <w:tc>
          <w:tcPr>
            <w:tcW w:w="212"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012"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-36.08</w:t>
            </w:r>
            <w:r w:rsidR="00EE5D2A">
              <w:rPr>
                <w:rFonts w:ascii="Times New Roman" w:eastAsia="Times New Roman" w:hAnsi="Times New Roman" w:cs="Times New Roman"/>
                <w:sz w:val="16"/>
                <w:szCs w:val="16"/>
                <w:lang w:eastAsia="fr-FR"/>
              </w:rPr>
              <w:t>***</w:t>
            </w:r>
          </w:p>
        </w:tc>
        <w:tc>
          <w:tcPr>
            <w:tcW w:w="224" w:type="dxa"/>
            <w:tcBorders>
              <w:top w:val="nil"/>
              <w:left w:val="nil"/>
              <w:bottom w:val="nil"/>
              <w:right w:val="nil"/>
            </w:tcBorders>
            <w:shd w:val="clear" w:color="auto" w:fill="auto"/>
            <w:noWrap/>
            <w:vAlign w:val="bottom"/>
            <w:hideMark/>
          </w:tcPr>
          <w:p w:rsidR="00A8537A" w:rsidRPr="00A8537A" w:rsidRDefault="00A8537A" w:rsidP="00A8537A">
            <w:pPr>
              <w:jc w:val="left"/>
              <w:rPr>
                <w:rFonts w:ascii="Calibri" w:eastAsia="Times New Roman" w:hAnsi="Calibri" w:cs="Arial"/>
                <w:lang w:eastAsia="fr-FR"/>
              </w:rPr>
            </w:pPr>
          </w:p>
        </w:tc>
        <w:tc>
          <w:tcPr>
            <w:tcW w:w="1106" w:type="dxa"/>
            <w:tcBorders>
              <w:top w:val="nil"/>
              <w:left w:val="nil"/>
              <w:bottom w:val="nil"/>
              <w:right w:val="nil"/>
            </w:tcBorders>
            <w:shd w:val="clear" w:color="auto" w:fill="auto"/>
            <w:noWrap/>
            <w:vAlign w:val="bottom"/>
            <w:hideMark/>
          </w:tcPr>
          <w:p w:rsidR="00A8537A" w:rsidRPr="00A8537A" w:rsidRDefault="00A8537A" w:rsidP="00A8537A">
            <w:pPr>
              <w:rPr>
                <w:rFonts w:ascii="Times New Roman" w:eastAsia="Times New Roman" w:hAnsi="Times New Roman" w:cs="Times New Roman"/>
                <w:sz w:val="16"/>
                <w:szCs w:val="16"/>
                <w:lang w:eastAsia="fr-FR"/>
              </w:rPr>
            </w:pPr>
            <w:r w:rsidRPr="00A8537A">
              <w:rPr>
                <w:rFonts w:ascii="Times New Roman" w:eastAsia="Times New Roman" w:hAnsi="Times New Roman" w:cs="Times New Roman"/>
                <w:sz w:val="16"/>
                <w:szCs w:val="16"/>
                <w:lang w:eastAsia="fr-FR"/>
              </w:rPr>
              <w:t>-36.8778</w:t>
            </w:r>
            <w:r w:rsidR="00EE5D2A">
              <w:rPr>
                <w:rFonts w:ascii="Times New Roman" w:eastAsia="Times New Roman" w:hAnsi="Times New Roman" w:cs="Times New Roman"/>
                <w:sz w:val="16"/>
                <w:szCs w:val="16"/>
                <w:lang w:eastAsia="fr-FR"/>
              </w:rPr>
              <w:t>***</w:t>
            </w:r>
          </w:p>
        </w:tc>
      </w:tr>
      <w:tr w:rsidR="00767AFB" w:rsidRPr="00A8537A" w:rsidTr="00884822">
        <w:trPr>
          <w:trHeight w:val="74"/>
          <w:jc w:val="center"/>
        </w:trPr>
        <w:tc>
          <w:tcPr>
            <w:tcW w:w="1412" w:type="dxa"/>
            <w:tcBorders>
              <w:top w:val="nil"/>
              <w:left w:val="nil"/>
              <w:bottom w:val="single" w:sz="8" w:space="0" w:color="auto"/>
              <w:right w:val="nil"/>
            </w:tcBorders>
            <w:shd w:val="clear" w:color="auto" w:fill="auto"/>
            <w:noWrap/>
            <w:vAlign w:val="bottom"/>
            <w:hideMark/>
          </w:tcPr>
          <w:p w:rsidR="00767AFB" w:rsidRPr="00A8537A" w:rsidRDefault="00767AFB" w:rsidP="00A8537A">
            <w:pPr>
              <w:jc w:val="left"/>
              <w:rPr>
                <w:rFonts w:ascii="Calibri" w:eastAsia="Times New Roman" w:hAnsi="Calibri" w:cs="Arial"/>
                <w:lang w:eastAsia="fr-FR"/>
              </w:rPr>
            </w:pPr>
          </w:p>
        </w:tc>
        <w:tc>
          <w:tcPr>
            <w:tcW w:w="1012" w:type="dxa"/>
            <w:tcBorders>
              <w:top w:val="nil"/>
              <w:left w:val="nil"/>
              <w:bottom w:val="single" w:sz="8" w:space="0" w:color="auto"/>
              <w:right w:val="nil"/>
            </w:tcBorders>
            <w:shd w:val="clear" w:color="auto" w:fill="auto"/>
            <w:noWrap/>
            <w:vAlign w:val="bottom"/>
            <w:hideMark/>
          </w:tcPr>
          <w:p w:rsidR="00767AFB" w:rsidRPr="00A8537A" w:rsidRDefault="00767AFB"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-1.9409</w:t>
            </w:r>
          </w:p>
        </w:tc>
        <w:tc>
          <w:tcPr>
            <w:tcW w:w="224" w:type="dxa"/>
            <w:tcBorders>
              <w:top w:val="nil"/>
              <w:left w:val="nil"/>
              <w:bottom w:val="single" w:sz="8" w:space="0" w:color="auto"/>
              <w:right w:val="nil"/>
            </w:tcBorders>
            <w:shd w:val="clear" w:color="auto" w:fill="auto"/>
            <w:noWrap/>
            <w:vAlign w:val="bottom"/>
            <w:hideMark/>
          </w:tcPr>
          <w:p w:rsidR="00767AFB" w:rsidRPr="00A8537A" w:rsidRDefault="00767AFB" w:rsidP="00A8537A">
            <w:pPr>
              <w:jc w:val="left"/>
              <w:rPr>
                <w:rFonts w:ascii="Calibri" w:eastAsia="Times New Roman" w:hAnsi="Calibri" w:cs="Arial"/>
                <w:lang w:eastAsia="fr-FR"/>
              </w:rPr>
            </w:pPr>
            <w:r w:rsidRPr="00A8537A">
              <w:rPr>
                <w:rFonts w:ascii="Calibri" w:eastAsia="Times New Roman" w:hAnsi="Calibri" w:cs="Arial"/>
                <w:lang w:eastAsia="fr-FR"/>
              </w:rPr>
              <w:t> </w:t>
            </w:r>
          </w:p>
        </w:tc>
        <w:tc>
          <w:tcPr>
            <w:tcW w:w="965" w:type="dxa"/>
            <w:tcBorders>
              <w:top w:val="nil"/>
              <w:left w:val="nil"/>
              <w:bottom w:val="single" w:sz="8" w:space="0" w:color="auto"/>
              <w:right w:val="nil"/>
            </w:tcBorders>
            <w:shd w:val="clear" w:color="auto" w:fill="auto"/>
            <w:noWrap/>
            <w:vAlign w:val="bottom"/>
            <w:hideMark/>
          </w:tcPr>
          <w:p w:rsidR="00767AFB" w:rsidRPr="00A8537A" w:rsidRDefault="00767AFB"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-1.9409</w:t>
            </w:r>
          </w:p>
        </w:tc>
        <w:tc>
          <w:tcPr>
            <w:tcW w:w="212" w:type="dxa"/>
            <w:tcBorders>
              <w:top w:val="nil"/>
              <w:left w:val="nil"/>
              <w:bottom w:val="nil"/>
              <w:right w:val="nil"/>
            </w:tcBorders>
            <w:shd w:val="clear" w:color="auto" w:fill="auto"/>
            <w:noWrap/>
            <w:vAlign w:val="bottom"/>
            <w:hideMark/>
          </w:tcPr>
          <w:p w:rsidR="00767AFB" w:rsidRPr="00A8537A" w:rsidRDefault="00767AFB" w:rsidP="00767AFB">
            <w:pPr>
              <w:jc w:val="left"/>
              <w:rPr>
                <w:rFonts w:ascii="Calibri" w:eastAsia="Times New Roman" w:hAnsi="Calibri" w:cs="Arial"/>
                <w:lang w:eastAsia="fr-FR"/>
              </w:rPr>
            </w:pPr>
            <w:r w:rsidRPr="00A8537A">
              <w:rPr>
                <w:rFonts w:ascii="Calibri" w:eastAsia="Times New Roman" w:hAnsi="Calibri" w:cs="Arial"/>
                <w:lang w:eastAsia="fr-FR"/>
              </w:rPr>
              <w:t> </w:t>
            </w:r>
          </w:p>
        </w:tc>
        <w:tc>
          <w:tcPr>
            <w:tcW w:w="1012" w:type="dxa"/>
            <w:tcBorders>
              <w:top w:val="nil"/>
              <w:left w:val="nil"/>
              <w:bottom w:val="single" w:sz="8" w:space="0" w:color="auto"/>
              <w:right w:val="nil"/>
            </w:tcBorders>
            <w:shd w:val="clear" w:color="auto" w:fill="auto"/>
            <w:noWrap/>
            <w:vAlign w:val="bottom"/>
            <w:hideMark/>
          </w:tcPr>
          <w:p w:rsidR="00767AFB" w:rsidRPr="00A8537A" w:rsidRDefault="00767AFB"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-1.9409</w:t>
            </w:r>
          </w:p>
        </w:tc>
        <w:tc>
          <w:tcPr>
            <w:tcW w:w="224" w:type="dxa"/>
            <w:tcBorders>
              <w:top w:val="nil"/>
              <w:left w:val="nil"/>
              <w:bottom w:val="single" w:sz="8" w:space="0" w:color="auto"/>
              <w:right w:val="nil"/>
            </w:tcBorders>
            <w:shd w:val="clear" w:color="auto" w:fill="auto"/>
            <w:noWrap/>
            <w:vAlign w:val="bottom"/>
            <w:hideMark/>
          </w:tcPr>
          <w:p w:rsidR="00767AFB" w:rsidRPr="00A8537A" w:rsidRDefault="00767AFB" w:rsidP="00A8537A">
            <w:pPr>
              <w:jc w:val="left"/>
              <w:rPr>
                <w:rFonts w:ascii="Calibri" w:eastAsia="Times New Roman" w:hAnsi="Calibri" w:cs="Arial"/>
                <w:lang w:eastAsia="fr-FR"/>
              </w:rPr>
            </w:pPr>
            <w:r w:rsidRPr="00A8537A">
              <w:rPr>
                <w:rFonts w:ascii="Calibri" w:eastAsia="Times New Roman" w:hAnsi="Calibri" w:cs="Arial"/>
                <w:lang w:eastAsia="fr-FR"/>
              </w:rPr>
              <w:t> </w:t>
            </w:r>
          </w:p>
        </w:tc>
        <w:tc>
          <w:tcPr>
            <w:tcW w:w="1106" w:type="dxa"/>
            <w:tcBorders>
              <w:top w:val="nil"/>
              <w:left w:val="nil"/>
              <w:bottom w:val="single" w:sz="8" w:space="0" w:color="auto"/>
              <w:right w:val="nil"/>
            </w:tcBorders>
            <w:shd w:val="clear" w:color="auto" w:fill="auto"/>
            <w:noWrap/>
            <w:vAlign w:val="bottom"/>
            <w:hideMark/>
          </w:tcPr>
          <w:p w:rsidR="00767AFB" w:rsidRPr="00A8537A" w:rsidRDefault="00767AFB" w:rsidP="00A8537A">
            <w:pPr>
              <w:rPr>
                <w:rFonts w:ascii="Times New Roman" w:eastAsia="Times New Roman" w:hAnsi="Times New Roman" w:cs="Times New Roman"/>
                <w:sz w:val="12"/>
                <w:szCs w:val="12"/>
                <w:lang w:eastAsia="fr-FR"/>
              </w:rPr>
            </w:pPr>
            <w:r w:rsidRPr="00A8537A">
              <w:rPr>
                <w:rFonts w:ascii="Times New Roman" w:eastAsia="Times New Roman" w:hAnsi="Times New Roman" w:cs="Times New Roman"/>
                <w:sz w:val="12"/>
                <w:szCs w:val="12"/>
                <w:lang w:eastAsia="fr-FR"/>
              </w:rPr>
              <w:t>-1.9409</w:t>
            </w:r>
          </w:p>
        </w:tc>
      </w:tr>
    </w:tbl>
    <w:p w:rsidR="00BA6642" w:rsidRPr="004C4291" w:rsidRDefault="0054787C" w:rsidP="00BA6642">
      <w:pPr>
        <w:pStyle w:val="Lgende"/>
        <w:spacing w:after="0"/>
        <w:ind w:left="1474" w:right="1474"/>
        <w:jc w:val="both"/>
        <w:rPr>
          <w:rFonts w:asciiTheme="majorBidi" w:eastAsiaTheme="minorHAnsi" w:hAnsiTheme="majorBidi" w:cstheme="majorBidi"/>
          <w:b w:val="0"/>
          <w:bCs w:val="0"/>
          <w:color w:val="auto"/>
          <w:sz w:val="16"/>
          <w:szCs w:val="16"/>
          <w:lang w:val="en-US"/>
        </w:rPr>
      </w:pPr>
      <w:r w:rsidRPr="004C4291">
        <w:rPr>
          <w:rFonts w:asciiTheme="majorBidi" w:hAnsiTheme="majorBidi" w:cstheme="majorBidi"/>
          <w:color w:val="auto"/>
          <w:sz w:val="16"/>
          <w:szCs w:val="16"/>
          <w:lang w:val="en-US"/>
        </w:rPr>
        <w:t>Note</w:t>
      </w:r>
      <w:r w:rsidR="004C4291" w:rsidRPr="004C4291">
        <w:rPr>
          <w:rFonts w:asciiTheme="majorBidi" w:hAnsiTheme="majorBidi" w:cstheme="majorBidi"/>
          <w:color w:val="auto"/>
          <w:sz w:val="16"/>
          <w:szCs w:val="16"/>
          <w:lang w:val="en-US"/>
        </w:rPr>
        <w:t>:</w:t>
      </w:r>
      <w:r w:rsidR="004C4291" w:rsidRPr="004C4291">
        <w:rPr>
          <w:rFonts w:asciiTheme="majorBidi" w:eastAsiaTheme="minorHAnsi" w:hAnsiTheme="majorBidi" w:cstheme="majorBidi"/>
          <w:b w:val="0"/>
          <w:bCs w:val="0"/>
          <w:color w:val="auto"/>
          <w:sz w:val="16"/>
          <w:szCs w:val="16"/>
          <w:lang w:val="en-US"/>
        </w:rPr>
        <w:t xml:space="preserve"> Stock</w:t>
      </w:r>
      <w:r w:rsidR="00BA6642" w:rsidRPr="004C4291">
        <w:rPr>
          <w:rFonts w:asciiTheme="majorBidi" w:eastAsiaTheme="minorHAnsi" w:hAnsiTheme="majorBidi" w:cstheme="majorBidi"/>
          <w:b w:val="0"/>
          <w:bCs w:val="0"/>
          <w:color w:val="auto"/>
          <w:sz w:val="16"/>
          <w:szCs w:val="16"/>
          <w:lang w:val="en-US"/>
        </w:rPr>
        <w:t xml:space="preserve"> market returns and exchange rate are in daily frequency,</w:t>
      </w:r>
      <w:r w:rsidR="00BA6642" w:rsidRPr="004C4291">
        <w:rPr>
          <w:rFonts w:asciiTheme="majorBidi" w:hAnsiTheme="majorBidi" w:cstheme="majorBidi"/>
          <w:b w:val="0"/>
          <w:bCs w:val="0"/>
          <w:color w:val="auto"/>
          <w:sz w:val="16"/>
          <w:szCs w:val="16"/>
          <w:lang w:val="en-US"/>
        </w:rPr>
        <w:t xml:space="preserve"> t</w:t>
      </w:r>
      <w:r w:rsidRPr="004C4291">
        <w:rPr>
          <w:rFonts w:asciiTheme="majorBidi" w:hAnsiTheme="majorBidi" w:cstheme="majorBidi"/>
          <w:b w:val="0"/>
          <w:bCs w:val="0"/>
          <w:color w:val="auto"/>
          <w:sz w:val="16"/>
          <w:szCs w:val="16"/>
          <w:lang w:val="en-US"/>
        </w:rPr>
        <w:t>he superscript *, ** and *** denotes the 1%, 5% and 10% level of significance</w:t>
      </w:r>
      <w:r w:rsidRPr="004C4291">
        <w:rPr>
          <w:rFonts w:asciiTheme="majorBidi" w:eastAsiaTheme="minorHAnsi" w:hAnsiTheme="majorBidi" w:cstheme="majorBidi"/>
          <w:b w:val="0"/>
          <w:bCs w:val="0"/>
          <w:color w:val="auto"/>
          <w:sz w:val="16"/>
          <w:szCs w:val="16"/>
          <w:lang w:val="en-US"/>
        </w:rPr>
        <w:t>.</w:t>
      </w:r>
      <m:oMath>
        <m:r>
          <m:rPr>
            <m:sty m:val="bi"/>
          </m:rPr>
          <w:rPr>
            <w:rFonts w:ascii="Cambria Math" w:eastAsiaTheme="minorHAnsi" w:hAnsi="Cambria Math" w:cstheme="majorBidi"/>
            <w:color w:val="auto"/>
            <w:sz w:val="16"/>
            <w:szCs w:val="16"/>
            <w:lang w:val="en-US"/>
          </w:rPr>
          <m:t>LB</m:t>
        </m:r>
        <m:r>
          <m:rPr>
            <m:sty m:val="bi"/>
          </m:rPr>
          <w:rPr>
            <w:rFonts w:ascii="Cambria Math" w:eastAsiaTheme="minorHAnsi" w:hAnsiTheme="majorBidi" w:cstheme="majorBidi"/>
            <w:color w:val="auto"/>
            <w:sz w:val="16"/>
            <w:szCs w:val="16"/>
            <w:lang w:val="en-US"/>
          </w:rPr>
          <m:t>(20)</m:t>
        </m:r>
      </m:oMath>
      <w:r w:rsidR="004C4291" w:rsidRPr="004C4291">
        <w:rPr>
          <w:rFonts w:asciiTheme="majorBidi" w:hAnsiTheme="majorBidi" w:cstheme="majorBidi"/>
          <w:b w:val="0"/>
          <w:bCs w:val="0"/>
          <w:color w:val="auto"/>
          <w:sz w:val="16"/>
          <w:szCs w:val="16"/>
          <w:lang w:val="en-US"/>
        </w:rPr>
        <w:t xml:space="preserve"> </w:t>
      </w:r>
      <w:r w:rsidR="00BA6642" w:rsidRPr="004C4291">
        <w:rPr>
          <w:rFonts w:asciiTheme="majorBidi" w:eastAsiaTheme="minorHAnsi" w:hAnsiTheme="majorBidi" w:cstheme="majorBidi"/>
          <w:b w:val="0"/>
          <w:bCs w:val="0"/>
          <w:color w:val="auto"/>
          <w:sz w:val="16"/>
          <w:szCs w:val="16"/>
          <w:lang w:val="en-US"/>
        </w:rPr>
        <w:t>and</w:t>
      </w:r>
      <w:r w:rsidR="004C4291" w:rsidRPr="004C4291">
        <w:rPr>
          <w:rFonts w:asciiTheme="majorBidi" w:eastAsiaTheme="minorHAnsi" w:hAnsiTheme="majorBidi" w:cstheme="majorBidi"/>
          <w:b w:val="0"/>
          <w:bCs w:val="0"/>
          <w:color w:val="auto"/>
          <w:sz w:val="16"/>
          <w:szCs w:val="16"/>
          <w:lang w:val="en-US"/>
        </w:rPr>
        <w:t xml:space="preserve"> </w:t>
      </w:r>
      <m:oMath>
        <m:sSup>
          <m:sSupPr>
            <m:ctrlPr>
              <w:rPr>
                <w:rFonts w:ascii="Cambria Math" w:eastAsia="Times New Roman" w:hAnsiTheme="majorBidi" w:cstheme="majorBidi"/>
                <w:b w:val="0"/>
                <w:bCs w:val="0"/>
                <w:i/>
                <w:color w:val="auto"/>
                <w:sz w:val="16"/>
                <w:szCs w:val="16"/>
              </w:rPr>
            </m:ctrlPr>
          </m:sSupPr>
          <m:e>
            <m:r>
              <m:rPr>
                <m:sty m:val="bi"/>
              </m:rPr>
              <w:rPr>
                <w:rFonts w:ascii="Cambria Math" w:eastAsia="Times New Roman" w:hAnsi="Cambria Math" w:cstheme="majorBidi"/>
                <w:color w:val="auto"/>
                <w:sz w:val="16"/>
                <w:szCs w:val="16"/>
              </w:rPr>
              <m:t>LB</m:t>
            </m:r>
          </m:e>
          <m:sup>
            <m:r>
              <m:rPr>
                <m:sty m:val="bi"/>
              </m:rPr>
              <w:rPr>
                <w:rFonts w:ascii="Cambria Math" w:eastAsia="Times New Roman" w:hAnsiTheme="majorBidi" w:cstheme="majorBidi"/>
                <w:color w:val="auto"/>
                <w:sz w:val="16"/>
                <w:szCs w:val="16"/>
                <w:lang w:val="en-US"/>
              </w:rPr>
              <m:t>2</m:t>
            </m:r>
          </m:sup>
        </m:sSup>
        <m:r>
          <m:rPr>
            <m:sty m:val="bi"/>
          </m:rPr>
          <w:rPr>
            <w:rFonts w:ascii="Cambria Math" w:eastAsia="Times New Roman" w:hAnsiTheme="majorBidi" w:cstheme="majorBidi"/>
            <w:color w:val="auto"/>
            <w:sz w:val="16"/>
            <w:szCs w:val="16"/>
            <w:lang w:val="en-US"/>
          </w:rPr>
          <m:t>(20)</m:t>
        </m:r>
      </m:oMath>
      <w:r w:rsidR="00BA6642" w:rsidRPr="004C4291">
        <w:rPr>
          <w:rFonts w:asciiTheme="majorBidi" w:eastAsia="Times New Roman" w:hAnsiTheme="majorBidi" w:cstheme="majorBidi"/>
          <w:b w:val="0"/>
          <w:bCs w:val="0"/>
          <w:color w:val="auto"/>
          <w:sz w:val="16"/>
          <w:szCs w:val="16"/>
          <w:lang w:val="en-US"/>
        </w:rPr>
        <w:t xml:space="preserve"> are the 20</w:t>
      </w:r>
      <w:r w:rsidR="004C4291" w:rsidRPr="004C4291">
        <w:rPr>
          <w:rFonts w:asciiTheme="majorBidi" w:eastAsia="Times New Roman" w:hAnsiTheme="majorBidi" w:cstheme="majorBidi"/>
          <w:b w:val="0"/>
          <w:bCs w:val="0"/>
          <w:color w:val="auto"/>
          <w:sz w:val="16"/>
          <w:szCs w:val="16"/>
          <w:vertAlign w:val="superscript"/>
          <w:lang w:val="en-US"/>
        </w:rPr>
        <w:t>th</w:t>
      </w:r>
      <w:r w:rsidR="004C4291">
        <w:rPr>
          <w:rFonts w:asciiTheme="majorBidi" w:eastAsia="Times New Roman" w:hAnsiTheme="majorBidi" w:cstheme="majorBidi"/>
          <w:b w:val="0"/>
          <w:bCs w:val="0"/>
          <w:color w:val="auto"/>
          <w:sz w:val="16"/>
          <w:szCs w:val="16"/>
          <w:lang w:val="en-US"/>
        </w:rPr>
        <w:t xml:space="preserve"> </w:t>
      </w:r>
      <w:r w:rsidR="00BA6642" w:rsidRPr="004C4291">
        <w:rPr>
          <w:rFonts w:asciiTheme="majorBidi" w:eastAsia="Times New Roman" w:hAnsiTheme="majorBidi" w:cstheme="majorBidi"/>
          <w:b w:val="0"/>
          <w:bCs w:val="0"/>
          <w:color w:val="auto"/>
          <w:sz w:val="16"/>
          <w:szCs w:val="16"/>
          <w:lang w:val="en-US"/>
        </w:rPr>
        <w:t>order Ljung-Box tests for serial correlation in the standardized and squared standardized residuals, respectively</w:t>
      </w:r>
      <w:r w:rsidR="00BA6642" w:rsidRPr="004C4291">
        <w:rPr>
          <w:rFonts w:asciiTheme="majorBidi" w:eastAsiaTheme="minorHAnsi" w:hAnsiTheme="majorBidi" w:cstheme="majorBidi"/>
          <w:b w:val="0"/>
          <w:bCs w:val="0"/>
          <w:color w:val="auto"/>
          <w:sz w:val="16"/>
          <w:szCs w:val="16"/>
          <w:lang w:val="en-US"/>
        </w:rPr>
        <w:t>.</w:t>
      </w:r>
    </w:p>
    <w:p w:rsidR="009C701E" w:rsidRPr="004C4291" w:rsidRDefault="009C701E" w:rsidP="00336F57">
      <w:pPr>
        <w:jc w:val="both"/>
        <w:rPr>
          <w:rFonts w:asciiTheme="majorBidi" w:eastAsia="Times New Roman" w:hAnsiTheme="majorBidi" w:cstheme="majorBidi"/>
          <w:lang w:val="en-US"/>
        </w:rPr>
      </w:pPr>
    </w:p>
    <w:p w:rsidR="00E909A2" w:rsidRPr="004C4291" w:rsidRDefault="006A5585" w:rsidP="00E909A2">
      <w:pPr>
        <w:autoSpaceDE w:val="0"/>
        <w:autoSpaceDN w:val="0"/>
        <w:adjustRightInd w:val="0"/>
        <w:jc w:val="both"/>
        <w:rPr>
          <w:rFonts w:asciiTheme="majorBidi" w:hAnsiTheme="majorBidi" w:cstheme="majorBidi"/>
          <w:lang w:val="en-US"/>
        </w:rPr>
      </w:pPr>
      <w:r w:rsidRPr="004C4291">
        <w:rPr>
          <w:rFonts w:asciiTheme="majorBidi" w:hAnsiTheme="majorBidi" w:cstheme="majorBidi"/>
          <w:lang w:val="en-US"/>
        </w:rPr>
        <w:t>Fig. 2</w:t>
      </w:r>
      <w:r w:rsidR="00E909A2" w:rsidRPr="004C4291">
        <w:rPr>
          <w:rFonts w:asciiTheme="majorBidi" w:hAnsiTheme="majorBidi" w:cstheme="majorBidi"/>
          <w:lang w:val="en-US"/>
        </w:rPr>
        <w:t xml:space="preserve"> plots the evolution of exch</w:t>
      </w:r>
      <w:r w:rsidR="0020064D" w:rsidRPr="004C4291">
        <w:rPr>
          <w:rFonts w:asciiTheme="majorBidi" w:hAnsiTheme="majorBidi" w:cstheme="majorBidi"/>
          <w:lang w:val="en-US"/>
        </w:rPr>
        <w:t>ange market returns and european</w:t>
      </w:r>
      <w:r w:rsidR="00FD3933" w:rsidRPr="004C4291">
        <w:rPr>
          <w:rFonts w:asciiTheme="majorBidi" w:hAnsiTheme="majorBidi" w:cstheme="majorBidi"/>
          <w:lang w:val="en-US"/>
        </w:rPr>
        <w:t xml:space="preserve"> stock prices</w:t>
      </w:r>
      <w:r w:rsidR="00E909A2" w:rsidRPr="004C4291">
        <w:rPr>
          <w:rFonts w:asciiTheme="majorBidi" w:hAnsiTheme="majorBidi" w:cstheme="majorBidi"/>
          <w:lang w:val="en-US"/>
        </w:rPr>
        <w:t xml:space="preserve"> over time. The figure shows th</w:t>
      </w:r>
      <w:r w:rsidR="00FD3933" w:rsidRPr="004C4291">
        <w:rPr>
          <w:rFonts w:asciiTheme="majorBidi" w:hAnsiTheme="majorBidi" w:cstheme="majorBidi"/>
          <w:lang w:val="en-US"/>
        </w:rPr>
        <w:t>at exchange rate and stock prices</w:t>
      </w:r>
      <w:r w:rsidR="00E909A2" w:rsidRPr="004C4291">
        <w:rPr>
          <w:rFonts w:asciiTheme="majorBidi" w:hAnsiTheme="majorBidi" w:cstheme="majorBidi"/>
          <w:lang w:val="en-US"/>
        </w:rPr>
        <w:t xml:space="preserve"> trembled since 2008 with different intensity during the global financial crises. Moreover, the plot shows a clustering of larger return volatility. This means that foreign exchange markets and stock market are characterized by volatility clustering, i.e., large (small) volatility tends to be followed by large (small) volatility, revealing the presence of heteroskedasticity. This market phenomenon has been widely recognized and successfully captured by ARCH/GARCH family models to adequately describe exchange rate returns and stock market returns. </w:t>
      </w:r>
    </w:p>
    <w:p w:rsidR="00E909A2" w:rsidRDefault="00E909A2" w:rsidP="00A3084B">
      <w:pPr>
        <w:ind w:firstLine="340"/>
        <w:jc w:val="both"/>
        <w:rPr>
          <w:rFonts w:asciiTheme="majorBidi" w:eastAsia="Times New Roman" w:hAnsiTheme="majorBidi" w:cstheme="majorBidi"/>
          <w:sz w:val="24"/>
          <w:szCs w:val="24"/>
          <w:lang w:val="en-US"/>
        </w:rPr>
      </w:pPr>
    </w:p>
    <w:p w:rsidR="00E909A2" w:rsidRDefault="00E909A2" w:rsidP="00336F57">
      <w:pPr>
        <w:ind w:firstLine="340"/>
        <w:jc w:val="left"/>
        <w:rPr>
          <w:rFonts w:asciiTheme="majorBidi" w:eastAsia="Times New Roman" w:hAnsiTheme="majorBidi" w:cstheme="majorBidi"/>
          <w:sz w:val="24"/>
          <w:szCs w:val="24"/>
          <w:lang w:val="en-US"/>
        </w:rPr>
      </w:pPr>
      <w:r w:rsidRPr="00E909A2">
        <w:rPr>
          <w:rFonts w:asciiTheme="majorBidi" w:eastAsia="Times New Roman" w:hAnsiTheme="majorBidi" w:cstheme="majorBidi"/>
          <w:noProof/>
          <w:sz w:val="24"/>
          <w:szCs w:val="24"/>
          <w:lang w:eastAsia="fr-FR"/>
        </w:rPr>
        <w:drawing>
          <wp:inline distT="0" distB="0" distL="0" distR="0">
            <wp:extent cx="5650301" cy="2587925"/>
            <wp:effectExtent l="0" t="0" r="0" b="0"/>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650373" cy="2587958"/>
                    </a:xfrm>
                    <a:prstGeom prst="rect">
                      <a:avLst/>
                    </a:prstGeom>
                    <a:noFill/>
                    <a:ln w="9525">
                      <a:noFill/>
                      <a:miter lim="800000"/>
                      <a:headEnd/>
                      <a:tailEnd/>
                    </a:ln>
                  </pic:spPr>
                </pic:pic>
              </a:graphicData>
            </a:graphic>
          </wp:inline>
        </w:drawing>
      </w:r>
    </w:p>
    <w:p w:rsidR="006E4C82" w:rsidRPr="004C4291" w:rsidRDefault="007F70A9" w:rsidP="0058321C">
      <w:pPr>
        <w:autoSpaceDE w:val="0"/>
        <w:autoSpaceDN w:val="0"/>
        <w:adjustRightInd w:val="0"/>
        <w:rPr>
          <w:rFonts w:asciiTheme="majorBidi" w:hAnsiTheme="majorBidi" w:cstheme="majorBidi"/>
          <w:b/>
          <w:bCs/>
          <w:sz w:val="20"/>
          <w:szCs w:val="20"/>
          <w:lang w:val="en-US"/>
        </w:rPr>
      </w:pPr>
      <w:r w:rsidRPr="004C4291">
        <w:rPr>
          <w:rFonts w:asciiTheme="majorBidi" w:hAnsiTheme="majorBidi" w:cstheme="majorBidi"/>
          <w:b/>
          <w:bCs/>
          <w:sz w:val="20"/>
          <w:szCs w:val="20"/>
          <w:lang w:val="en-US"/>
        </w:rPr>
        <w:t>Fig.</w:t>
      </w:r>
      <w:r w:rsidR="00DA55CC" w:rsidRPr="004C4291">
        <w:rPr>
          <w:rFonts w:asciiTheme="majorBidi" w:hAnsiTheme="majorBidi" w:cstheme="majorBidi"/>
          <w:b/>
          <w:bCs/>
          <w:sz w:val="20"/>
          <w:szCs w:val="20"/>
          <w:lang w:val="en-US"/>
        </w:rPr>
        <w:t>2</w:t>
      </w:r>
      <w:r w:rsidRPr="004C4291">
        <w:rPr>
          <w:rFonts w:asciiTheme="majorBidi" w:hAnsiTheme="majorBidi" w:cstheme="majorBidi"/>
          <w:b/>
          <w:bCs/>
          <w:sz w:val="20"/>
          <w:szCs w:val="20"/>
          <w:lang w:val="en-US"/>
        </w:rPr>
        <w:t xml:space="preserve">. </w:t>
      </w:r>
      <w:r w:rsidRPr="004C4291">
        <w:rPr>
          <w:rFonts w:asciiTheme="majorBidi" w:hAnsiTheme="majorBidi" w:cstheme="majorBidi"/>
          <w:sz w:val="20"/>
          <w:szCs w:val="20"/>
          <w:lang w:val="en-US"/>
        </w:rPr>
        <w:t>Exchange rates and stock market returns behavior over time.</w:t>
      </w:r>
    </w:p>
    <w:p w:rsidR="00205AE1" w:rsidRPr="0058321C" w:rsidRDefault="00205AE1" w:rsidP="0068758C">
      <w:pPr>
        <w:autoSpaceDE w:val="0"/>
        <w:autoSpaceDN w:val="0"/>
        <w:adjustRightInd w:val="0"/>
        <w:jc w:val="both"/>
        <w:rPr>
          <w:rFonts w:asciiTheme="majorBidi" w:hAnsiTheme="majorBidi" w:cstheme="majorBidi"/>
          <w:b/>
          <w:bCs/>
          <w:lang w:val="en-US"/>
        </w:rPr>
      </w:pPr>
    </w:p>
    <w:p w:rsidR="006E4C82" w:rsidRPr="004C4291" w:rsidRDefault="006E4C82" w:rsidP="004C4291">
      <w:pPr>
        <w:pStyle w:val="Paragraphedeliste"/>
        <w:numPr>
          <w:ilvl w:val="1"/>
          <w:numId w:val="4"/>
        </w:numPr>
        <w:spacing w:after="0" w:line="240" w:lineRule="auto"/>
        <w:ind w:left="397" w:hanging="340"/>
        <w:jc w:val="both"/>
        <w:rPr>
          <w:rFonts w:asciiTheme="majorBidi" w:hAnsiTheme="majorBidi" w:cstheme="majorBidi"/>
          <w:b/>
          <w:sz w:val="23"/>
          <w:szCs w:val="23"/>
          <w:lang w:val="en-US"/>
        </w:rPr>
      </w:pPr>
      <w:r w:rsidRPr="004C4291">
        <w:rPr>
          <w:rFonts w:asciiTheme="majorBidi" w:hAnsiTheme="majorBidi" w:cstheme="majorBidi"/>
          <w:b/>
          <w:sz w:val="23"/>
          <w:szCs w:val="23"/>
          <w:lang w:val="en-US"/>
        </w:rPr>
        <w:t>Tests for sign and size bias</w:t>
      </w:r>
    </w:p>
    <w:p w:rsidR="004C4291" w:rsidRPr="004C4291" w:rsidRDefault="004C4291" w:rsidP="006E4C82">
      <w:pPr>
        <w:jc w:val="both"/>
        <w:rPr>
          <w:rFonts w:asciiTheme="majorBidi" w:hAnsiTheme="majorBidi" w:cstheme="majorBidi"/>
          <w:color w:val="0070C0"/>
          <w:lang w:val="en-US"/>
        </w:rPr>
      </w:pPr>
    </w:p>
    <w:p w:rsidR="006E4C82" w:rsidRPr="004C4291" w:rsidRDefault="006E4C82" w:rsidP="0068758C">
      <w:pPr>
        <w:ind w:firstLine="340"/>
        <w:jc w:val="both"/>
        <w:rPr>
          <w:rFonts w:asciiTheme="majorBidi" w:hAnsiTheme="majorBidi" w:cstheme="majorBidi"/>
          <w:color w:val="231F20"/>
          <w:lang w:val="en-US"/>
        </w:rPr>
      </w:pPr>
      <w:r w:rsidRPr="004C4291">
        <w:rPr>
          <w:rFonts w:asciiTheme="majorBidi" w:hAnsiTheme="majorBidi" w:cstheme="majorBidi"/>
          <w:color w:val="0070C0"/>
          <w:lang w:val="en-US"/>
        </w:rPr>
        <w:t>Engle and Ng (1993)</w:t>
      </w:r>
      <w:r w:rsidRPr="004C4291">
        <w:rPr>
          <w:rFonts w:asciiTheme="majorBidi" w:hAnsiTheme="majorBidi" w:cstheme="majorBidi"/>
          <w:color w:val="231F20"/>
          <w:lang w:val="en-US"/>
        </w:rPr>
        <w:t xml:space="preserve"> propose a set of tests for asymmetry in volatility, known as sign and size bias tests.The Engle and Ng tests should thus beused to determine whether an asymmetric model is required for a givenseries, or whether the symmetric GARCH model can be deemed adequate. In practice, the Engle-Ng tests are usually applied to the residuals of aGARCH fit to the returns data.</w:t>
      </w:r>
    </w:p>
    <w:p w:rsidR="006E4C82" w:rsidRPr="004C4291" w:rsidRDefault="006E4C82" w:rsidP="006E4C82">
      <w:pPr>
        <w:jc w:val="both"/>
        <w:rPr>
          <w:rFonts w:asciiTheme="majorBidi" w:hAnsiTheme="majorBidi" w:cstheme="majorBidi"/>
          <w:color w:val="231F20"/>
          <w:lang w:val="en-US"/>
        </w:rPr>
      </w:pPr>
    </w:p>
    <w:p w:rsidR="006E4C82" w:rsidRPr="004C4291" w:rsidRDefault="006E4C82" w:rsidP="006E4C82">
      <w:pPr>
        <w:jc w:val="both"/>
        <w:rPr>
          <w:rFonts w:asciiTheme="majorBidi" w:eastAsiaTheme="minorEastAsia" w:hAnsiTheme="majorBidi" w:cstheme="majorBidi"/>
          <w:color w:val="231F20"/>
          <w:lang w:val="en-US"/>
        </w:rPr>
      </w:pPr>
      <w:r w:rsidRPr="004C4291">
        <w:rPr>
          <w:rFonts w:asciiTheme="majorBidi" w:hAnsiTheme="majorBidi" w:cstheme="majorBidi"/>
          <w:color w:val="231F20"/>
          <w:lang w:val="en-US"/>
        </w:rPr>
        <w:lastRenderedPageBreak/>
        <w:t xml:space="preserve">Define </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4C4291">
        <w:rPr>
          <w:rFonts w:asciiTheme="majorBidi" w:eastAsiaTheme="minorEastAsia" w:hAnsiTheme="majorBidi" w:cstheme="majorBidi"/>
          <w:color w:val="231F20"/>
          <w:lang w:val="en-US"/>
        </w:rPr>
        <w:t xml:space="preserve"> as an indicator dummy variable such as:</w:t>
      </w:r>
    </w:p>
    <w:p w:rsidR="006E4C82" w:rsidRPr="004C4291" w:rsidRDefault="006E4C82" w:rsidP="006E4C82">
      <w:pPr>
        <w:jc w:val="both"/>
        <w:rPr>
          <w:rFonts w:asciiTheme="majorBidi" w:hAnsiTheme="majorBidi" w:cstheme="majorBidi"/>
          <w:color w:val="231F20"/>
          <w:lang w:val="en-US"/>
        </w:rPr>
      </w:pPr>
    </w:p>
    <w:p w:rsidR="006E4C82" w:rsidRPr="004C4291" w:rsidRDefault="00194326" w:rsidP="006E4C82">
      <w:pPr>
        <w:ind w:firstLine="708"/>
        <w:jc w:val="both"/>
        <w:rPr>
          <w:rFonts w:asciiTheme="majorBidi" w:eastAsiaTheme="minorEastAsia" w:hAnsiTheme="majorBidi" w:cstheme="majorBidi"/>
          <w:color w:val="231F20"/>
          <w:lang w:val="en-US"/>
        </w:rPr>
      </w:pP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r>
          <w:rPr>
            <w:rFonts w:ascii="Cambria Math" w:hAnsi="Cambria Math" w:cstheme="majorBidi"/>
            <w:color w:val="231F20"/>
            <w:lang w:val="en-US"/>
          </w:rPr>
          <m:t>=</m:t>
        </m:r>
        <m:d>
          <m:dPr>
            <m:begChr m:val="{"/>
            <m:endChr m:val=""/>
            <m:ctrlPr>
              <w:rPr>
                <w:rFonts w:ascii="Cambria Math" w:hAnsi="Cambria Math" w:cstheme="majorBidi"/>
                <w:i/>
                <w:color w:val="231F20"/>
                <w:lang w:val="en-US"/>
              </w:rPr>
            </m:ctrlPr>
          </m:dPr>
          <m:e>
            <m:eqArr>
              <m:eqArrPr>
                <m:ctrlPr>
                  <w:rPr>
                    <w:rFonts w:ascii="Cambria Math" w:hAnsi="Cambria Math" w:cstheme="majorBidi"/>
                    <w:i/>
                    <w:color w:val="231F20"/>
                    <w:lang w:val="en-US"/>
                  </w:rPr>
                </m:ctrlPr>
              </m:eqArrPr>
              <m:e>
                <m:r>
                  <w:rPr>
                    <w:rFonts w:ascii="Cambria Math" w:hAnsi="Cambria Math" w:cstheme="majorBidi"/>
                    <w:color w:val="231F20"/>
                    <w:lang w:val="en-US"/>
                  </w:rPr>
                  <m:t xml:space="preserve">1  if  </m:t>
                </m:r>
                <m:sSub>
                  <m:sSubPr>
                    <m:ctrlPr>
                      <w:rPr>
                        <w:rFonts w:ascii="Cambria Math" w:hAnsi="Cambria Math" w:cstheme="majorBidi"/>
                        <w:i/>
                        <w:color w:val="231F20"/>
                        <w:lang w:val="en-US"/>
                      </w:rPr>
                    </m:ctrlPr>
                  </m:sSubPr>
                  <m:e>
                    <m:acc>
                      <m:accPr>
                        <m:ctrlPr>
                          <w:rPr>
                            <w:rFonts w:ascii="Cambria Math" w:hAnsi="Cambria Math" w:cstheme="majorBidi"/>
                            <w:i/>
                            <w:color w:val="231F20"/>
                            <w:lang w:val="en-US"/>
                          </w:rPr>
                        </m:ctrlPr>
                      </m:accPr>
                      <m:e>
                        <m:r>
                          <w:rPr>
                            <w:rFonts w:ascii="Cambria Math" w:hAnsi="Cambria Math" w:cstheme="majorBidi"/>
                            <w:color w:val="231F20"/>
                            <w:lang w:val="en-US"/>
                          </w:rPr>
                          <m:t>z</m:t>
                        </m:r>
                      </m:e>
                    </m:acc>
                  </m:e>
                  <m:sub>
                    <m:r>
                      <w:rPr>
                        <w:rFonts w:ascii="Cambria Math" w:hAnsi="Cambria Math" w:cstheme="majorBidi"/>
                        <w:color w:val="231F20"/>
                        <w:lang w:val="en-US"/>
                      </w:rPr>
                      <m:t>t-1</m:t>
                    </m:r>
                  </m:sub>
                </m:sSub>
                <m:r>
                  <w:rPr>
                    <w:rFonts w:ascii="Cambria Math" w:hAnsi="Cambria Math" w:cstheme="majorBidi"/>
                    <w:color w:val="231F20"/>
                    <w:lang w:val="en-US"/>
                  </w:rPr>
                  <m:t>&lt;0</m:t>
                </m:r>
              </m:e>
              <m:e>
                <m:r>
                  <w:rPr>
                    <w:rFonts w:ascii="Cambria Math" w:hAnsi="Cambria Math" w:cstheme="majorBidi"/>
                    <w:color w:val="231F20"/>
                    <w:lang w:val="en-US"/>
                  </w:rPr>
                  <m:t xml:space="preserve">0     </m:t>
                </m:r>
                <m:r>
                  <m:rPr>
                    <m:sty m:val="p"/>
                  </m:rPr>
                  <w:rPr>
                    <w:rFonts w:ascii="Cambria Math" w:hAnsi="Cambria Math" w:cstheme="majorBidi"/>
                    <w:color w:val="231F20"/>
                    <w:lang w:val="en-US"/>
                  </w:rPr>
                  <m:t>otherwise</m:t>
                </m:r>
              </m:e>
            </m:eqArr>
          </m:e>
        </m:d>
      </m:oMath>
      <w:r w:rsidR="004C52AD" w:rsidRPr="004C4291">
        <w:rPr>
          <w:rFonts w:asciiTheme="majorBidi" w:eastAsiaTheme="minorEastAsia" w:hAnsiTheme="majorBidi" w:cstheme="majorBidi"/>
          <w:color w:val="231F20"/>
          <w:lang w:val="en-US"/>
        </w:rPr>
        <w:t xml:space="preserve">                              </w:t>
      </w:r>
      <w:r w:rsidR="0068758C">
        <w:rPr>
          <w:rFonts w:asciiTheme="majorBidi" w:eastAsiaTheme="minorEastAsia" w:hAnsiTheme="majorBidi" w:cstheme="majorBidi"/>
          <w:color w:val="231F20"/>
          <w:lang w:val="en-US"/>
        </w:rPr>
        <w:t xml:space="preserve">                                                                             </w:t>
      </w:r>
      <w:r w:rsidR="004C52AD" w:rsidRPr="004C4291">
        <w:rPr>
          <w:rFonts w:asciiTheme="majorBidi" w:eastAsiaTheme="minorEastAsia" w:hAnsiTheme="majorBidi" w:cstheme="majorBidi"/>
          <w:color w:val="231F20"/>
          <w:lang w:val="en-US"/>
        </w:rPr>
        <w:t xml:space="preserve">  (7</w:t>
      </w:r>
      <w:r w:rsidR="006E4C82" w:rsidRPr="004C4291">
        <w:rPr>
          <w:rFonts w:asciiTheme="majorBidi" w:eastAsiaTheme="minorEastAsia" w:hAnsiTheme="majorBidi" w:cstheme="majorBidi"/>
          <w:color w:val="231F20"/>
          <w:lang w:val="en-US"/>
        </w:rPr>
        <w:t>)</w:t>
      </w:r>
    </w:p>
    <w:p w:rsidR="006E4C82" w:rsidRPr="004C4291" w:rsidRDefault="006E4C82" w:rsidP="006E4C82">
      <w:pPr>
        <w:jc w:val="both"/>
        <w:rPr>
          <w:rFonts w:asciiTheme="majorBidi" w:hAnsiTheme="majorBidi" w:cstheme="majorBidi"/>
          <w:bCs/>
          <w:lang w:val="en-US"/>
        </w:rPr>
      </w:pPr>
    </w:p>
    <w:p w:rsidR="006E4C82" w:rsidRPr="004C4291" w:rsidRDefault="006E4C82" w:rsidP="006E4C82">
      <w:pPr>
        <w:jc w:val="both"/>
        <w:rPr>
          <w:rFonts w:asciiTheme="majorBidi" w:eastAsiaTheme="minorEastAsia" w:hAnsiTheme="majorBidi" w:cstheme="majorBidi"/>
          <w:bCs/>
          <w:lang w:val="en-US"/>
        </w:rPr>
      </w:pPr>
      <w:r w:rsidRPr="004C4291">
        <w:rPr>
          <w:rFonts w:asciiTheme="majorBidi" w:hAnsiTheme="majorBidi" w:cstheme="majorBidi"/>
          <w:bCs/>
          <w:lang w:val="en-US"/>
        </w:rPr>
        <w:t xml:space="preserve">The test for sign biasis based on the significance or otherwise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4C4291">
        <w:rPr>
          <w:rFonts w:asciiTheme="majorBidi" w:eastAsiaTheme="minorEastAsia" w:hAnsiTheme="majorBidi" w:cstheme="majorBidi"/>
          <w:bCs/>
          <w:lang w:val="en-US"/>
        </w:rPr>
        <w:t xml:space="preserve"> in the following regression:</w:t>
      </w:r>
    </w:p>
    <w:p w:rsidR="006E4C82" w:rsidRPr="004C4291" w:rsidRDefault="006E4C82" w:rsidP="006E4C82">
      <w:pPr>
        <w:jc w:val="both"/>
        <w:rPr>
          <w:rFonts w:asciiTheme="majorBidi" w:eastAsiaTheme="minorEastAsia" w:hAnsiTheme="majorBidi" w:cstheme="majorBidi"/>
          <w:bCs/>
          <w:lang w:val="en-US"/>
        </w:rPr>
      </w:pPr>
    </w:p>
    <w:p w:rsidR="006E4C82" w:rsidRPr="004C4291" w:rsidRDefault="00194326" w:rsidP="006E4C82">
      <w:pPr>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r>
          <w:rPr>
            <w:rFonts w:ascii="Cambria Math" w:hAnsi="Cambria Math" w:cstheme="majorBidi"/>
            <w:color w:val="231F20"/>
            <w:lang w:val="en-US"/>
          </w:rPr>
          <m:t>+</m:t>
        </m:r>
        <m:sSub>
          <m:sSubPr>
            <m:ctrlPr>
              <w:rPr>
                <w:rFonts w:ascii="Cambria Math" w:hAnsi="Cambria Math" w:cstheme="majorBidi"/>
                <w:i/>
                <w:color w:val="231F20"/>
                <w:lang w:val="en-US"/>
              </w:rPr>
            </m:ctrlPr>
          </m:sSubPr>
          <m:e>
            <m:r>
              <w:rPr>
                <w:rFonts w:ascii="Cambria Math" w:hAnsi="Cambria Math" w:cstheme="majorBidi"/>
                <w:color w:val="231F20"/>
                <w:lang w:val="en-US"/>
              </w:rPr>
              <m:t>ν</m:t>
            </m:r>
          </m:e>
          <m:sub>
            <m:r>
              <w:rPr>
                <w:rFonts w:ascii="Cambria Math" w:hAnsi="Cambria Math" w:cstheme="majorBidi"/>
                <w:color w:val="231F20"/>
                <w:lang w:val="en-US"/>
              </w:rPr>
              <m:t>t</m:t>
            </m:r>
          </m:sub>
        </m:sSub>
      </m:oMath>
      <w:r w:rsidR="004C52AD" w:rsidRPr="004C4291">
        <w:rPr>
          <w:rFonts w:asciiTheme="majorBidi" w:eastAsiaTheme="minorEastAsia" w:hAnsiTheme="majorBidi" w:cstheme="majorBidi"/>
          <w:color w:val="231F20"/>
          <w:lang w:val="en-US"/>
        </w:rPr>
        <w:t xml:space="preserve">                                </w:t>
      </w:r>
      <w:r w:rsidR="0068758C">
        <w:rPr>
          <w:rFonts w:asciiTheme="majorBidi" w:eastAsiaTheme="minorEastAsia" w:hAnsiTheme="majorBidi" w:cstheme="majorBidi"/>
          <w:color w:val="231F20"/>
          <w:lang w:val="en-US"/>
        </w:rPr>
        <w:t xml:space="preserve">                                                                            </w:t>
      </w:r>
      <w:r w:rsidR="004C52AD" w:rsidRPr="004C4291">
        <w:rPr>
          <w:rFonts w:asciiTheme="majorBidi" w:eastAsiaTheme="minorEastAsia" w:hAnsiTheme="majorBidi" w:cstheme="majorBidi"/>
          <w:color w:val="231F20"/>
          <w:lang w:val="en-US"/>
        </w:rPr>
        <w:t>(8</w:t>
      </w:r>
      <w:r w:rsidR="006E4C82" w:rsidRPr="004C4291">
        <w:rPr>
          <w:rFonts w:asciiTheme="majorBidi" w:eastAsiaTheme="minorEastAsia" w:hAnsiTheme="majorBidi" w:cstheme="majorBidi"/>
          <w:color w:val="231F20"/>
          <w:lang w:val="en-US"/>
        </w:rPr>
        <w:t>)</w:t>
      </w:r>
    </w:p>
    <w:p w:rsidR="006E4C82" w:rsidRPr="004C4291" w:rsidRDefault="006E4C82" w:rsidP="006E4C82">
      <w:pPr>
        <w:jc w:val="both"/>
        <w:rPr>
          <w:rFonts w:asciiTheme="majorBidi" w:hAnsiTheme="majorBidi" w:cstheme="majorBidi"/>
          <w:bCs/>
          <w:lang w:val="en-US"/>
        </w:rPr>
      </w:pPr>
    </w:p>
    <w:p w:rsidR="006E4C82" w:rsidRPr="004C4291" w:rsidRDefault="006E4C82" w:rsidP="006E4C82">
      <w:pPr>
        <w:jc w:val="both"/>
        <w:rPr>
          <w:rFonts w:asciiTheme="majorBidi" w:hAnsiTheme="majorBidi" w:cstheme="majorBidi"/>
          <w:bCs/>
          <w:lang w:val="en-US"/>
        </w:rPr>
      </w:pPr>
      <w:r w:rsidRPr="004C4291">
        <w:rPr>
          <w:rFonts w:asciiTheme="majorBidi" w:hAnsiTheme="majorBidi" w:cstheme="majorBidi"/>
          <w:bCs/>
          <w:lang w:val="en-US"/>
        </w:rPr>
        <w:t>where</w:t>
      </w:r>
      <m:oMath>
        <m:sSub>
          <m:sSubPr>
            <m:ctrlPr>
              <w:rPr>
                <w:rFonts w:ascii="Cambria Math" w:hAnsi="Cambria Math" w:cstheme="majorBidi"/>
                <w:i/>
                <w:color w:val="231F20"/>
                <w:lang w:val="en-US"/>
              </w:rPr>
            </m:ctrlPr>
          </m:sSubPr>
          <m:e>
            <m:r>
              <w:rPr>
                <w:rFonts w:ascii="Cambria Math" w:hAnsi="Cambria Math" w:cstheme="majorBidi"/>
                <w:color w:val="231F20"/>
                <w:lang w:val="en-US"/>
              </w:rPr>
              <m:t xml:space="preserve"> ν</m:t>
            </m:r>
          </m:e>
          <m:sub>
            <m:r>
              <w:rPr>
                <w:rFonts w:ascii="Cambria Math" w:hAnsi="Cambria Math" w:cstheme="majorBidi"/>
                <w:color w:val="231F20"/>
                <w:lang w:val="en-US"/>
              </w:rPr>
              <m:t>t</m:t>
            </m:r>
          </m:sub>
        </m:sSub>
      </m:oMath>
      <w:r w:rsidRPr="004C4291">
        <w:rPr>
          <w:rFonts w:asciiTheme="majorBidi" w:hAnsiTheme="majorBidi" w:cstheme="majorBidi"/>
          <w:bCs/>
          <w:lang w:val="en-US"/>
        </w:rPr>
        <w:t xml:space="preserve">is an independent and identically distributed error term. If positive and negative shocks to </w:t>
      </w:r>
      <m:oMath>
        <m:sSub>
          <m:sSubPr>
            <m:ctrlPr>
              <w:rPr>
                <w:rFonts w:ascii="Cambria Math" w:hAnsi="Cambria Math" w:cstheme="majorBidi"/>
                <w:i/>
                <w:color w:val="231F20"/>
                <w:lang w:val="en-US"/>
              </w:rPr>
            </m:ctrlPr>
          </m:sSubPr>
          <m:e>
            <m:acc>
              <m:accPr>
                <m:ctrlPr>
                  <w:rPr>
                    <w:rFonts w:ascii="Cambria Math" w:hAnsi="Cambria Math" w:cstheme="majorBidi"/>
                    <w:i/>
                    <w:color w:val="231F20"/>
                    <w:lang w:val="en-US"/>
                  </w:rPr>
                </m:ctrlPr>
              </m:accPr>
              <m:e>
                <m:r>
                  <w:rPr>
                    <w:rFonts w:ascii="Cambria Math" w:hAnsi="Cambria Math" w:cstheme="majorBidi"/>
                    <w:color w:val="231F20"/>
                    <w:lang w:val="en-US"/>
                  </w:rPr>
                  <m:t>z</m:t>
                </m:r>
              </m:e>
            </m:acc>
          </m:e>
          <m:sub>
            <m:r>
              <w:rPr>
                <w:rFonts w:ascii="Cambria Math" w:hAnsi="Cambria Math" w:cstheme="majorBidi"/>
                <w:color w:val="231F20"/>
                <w:lang w:val="en-US"/>
              </w:rPr>
              <m:t>t-1</m:t>
            </m:r>
          </m:sub>
        </m:sSub>
      </m:oMath>
      <w:r w:rsidRPr="004C4291">
        <w:rPr>
          <w:rFonts w:asciiTheme="majorBidi" w:hAnsiTheme="majorBidi" w:cstheme="majorBidi"/>
          <w:bCs/>
          <w:lang w:val="en-US"/>
        </w:rPr>
        <w:t xml:space="preserve"> impactdifferently upon the conditional variance, then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4C4291">
        <w:rPr>
          <w:rFonts w:asciiTheme="majorBidi" w:hAnsiTheme="majorBidi" w:cstheme="majorBidi"/>
          <w:bCs/>
          <w:lang w:val="en-US"/>
        </w:rPr>
        <w:t xml:space="preserve"> will be statisticallysignificant.</w:t>
      </w:r>
    </w:p>
    <w:p w:rsidR="006E4C82" w:rsidRPr="004C4291" w:rsidRDefault="006E4C82" w:rsidP="006E4C82">
      <w:pPr>
        <w:jc w:val="both"/>
        <w:rPr>
          <w:rFonts w:asciiTheme="majorBidi" w:hAnsiTheme="majorBidi" w:cstheme="majorBidi"/>
          <w:bCs/>
          <w:lang w:val="en-US"/>
        </w:rPr>
      </w:pPr>
    </w:p>
    <w:p w:rsidR="006E4C82" w:rsidRPr="004C4291" w:rsidRDefault="006E4C82" w:rsidP="0068758C">
      <w:pPr>
        <w:ind w:firstLine="340"/>
        <w:jc w:val="both"/>
        <w:rPr>
          <w:rFonts w:asciiTheme="majorBidi" w:hAnsiTheme="majorBidi" w:cstheme="majorBidi"/>
          <w:bCs/>
          <w:lang w:val="en-US"/>
        </w:rPr>
      </w:pPr>
      <w:r w:rsidRPr="004C4291">
        <w:rPr>
          <w:rFonts w:asciiTheme="majorBidi" w:hAnsiTheme="majorBidi" w:cstheme="majorBidi"/>
          <w:bCs/>
          <w:lang w:val="en-US"/>
        </w:rPr>
        <w:t>It could also be the case that the magnitude or size of the shock willaffect whether the response of volatility to shocks is symmetric or not.In this case, a negative size bias test would be conducted, based on a</w:t>
      </w:r>
      <w:r w:rsidR="00F85D42">
        <w:rPr>
          <w:rFonts w:asciiTheme="majorBidi" w:hAnsiTheme="majorBidi" w:cstheme="majorBidi"/>
          <w:bCs/>
          <w:lang w:val="en-US"/>
        </w:rPr>
        <w:t xml:space="preserve"> </w:t>
      </w:r>
      <w:r w:rsidRPr="004C4291">
        <w:rPr>
          <w:rFonts w:asciiTheme="majorBidi" w:hAnsiTheme="majorBidi" w:cstheme="majorBidi"/>
          <w:bCs/>
          <w:lang w:val="en-US"/>
        </w:rPr>
        <w:t xml:space="preserve">regression where </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4C4291">
        <w:rPr>
          <w:rFonts w:asciiTheme="majorBidi" w:hAnsiTheme="majorBidi" w:cstheme="majorBidi"/>
          <w:bCs/>
          <w:lang w:val="en-US"/>
        </w:rPr>
        <w:t xml:space="preserve"> is used as a slope dummy variable. Negativesize bias is argued to be present if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4C4291">
        <w:rPr>
          <w:rFonts w:asciiTheme="majorBidi" w:hAnsiTheme="majorBidi" w:cstheme="majorBidi"/>
          <w:bCs/>
          <w:lang w:val="en-US"/>
        </w:rPr>
        <w:t xml:space="preserve"> is statistically significant in the following regression:</w:t>
      </w:r>
    </w:p>
    <w:p w:rsidR="006E4C82" w:rsidRPr="004C4291" w:rsidRDefault="006E4C82" w:rsidP="006E4C82">
      <w:pPr>
        <w:jc w:val="both"/>
        <w:rPr>
          <w:rFonts w:asciiTheme="majorBidi" w:hAnsiTheme="majorBidi" w:cstheme="majorBidi"/>
          <w:bCs/>
          <w:lang w:val="en-US"/>
        </w:rPr>
      </w:pPr>
    </w:p>
    <w:p w:rsidR="006E4C82" w:rsidRPr="004C4291" w:rsidRDefault="00194326" w:rsidP="006E4C82">
      <w:pPr>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i/>
                <w:color w:val="231F20"/>
                <w:lang w:val="en-US"/>
              </w:rPr>
            </m:ctrlPr>
          </m:sSubPr>
          <m:e>
            <m:r>
              <w:rPr>
                <w:rFonts w:ascii="Cambria Math" w:hAnsi="Cambria Math" w:cstheme="majorBidi"/>
                <w:color w:val="231F20"/>
                <w:lang w:val="en-US"/>
              </w:rPr>
              <m:t>z</m:t>
            </m:r>
          </m:e>
          <m:sub>
            <m:r>
              <w:rPr>
                <w:rFonts w:ascii="Cambria Math" w:hAnsi="Cambria Math" w:cstheme="majorBidi"/>
                <w:color w:val="231F20"/>
                <w:lang w:val="en-US"/>
              </w:rPr>
              <m:t>t-1</m:t>
            </m:r>
          </m:sub>
        </m:sSub>
        <m:r>
          <w:rPr>
            <w:rFonts w:ascii="Cambria Math" w:hAnsi="Cambria Math" w:cstheme="majorBidi"/>
            <w:color w:val="231F20"/>
            <w:lang w:val="en-US"/>
          </w:rPr>
          <m:t>+</m:t>
        </m:r>
        <m:sSub>
          <m:sSubPr>
            <m:ctrlPr>
              <w:rPr>
                <w:rFonts w:ascii="Cambria Math" w:hAnsi="Cambria Math" w:cstheme="majorBidi"/>
                <w:i/>
                <w:color w:val="231F20"/>
                <w:lang w:val="en-US"/>
              </w:rPr>
            </m:ctrlPr>
          </m:sSubPr>
          <m:e>
            <m:r>
              <w:rPr>
                <w:rFonts w:ascii="Cambria Math" w:hAnsi="Cambria Math" w:cstheme="majorBidi"/>
                <w:color w:val="231F20"/>
                <w:lang w:val="en-US"/>
              </w:rPr>
              <m:t>ν</m:t>
            </m:r>
          </m:e>
          <m:sub>
            <m:r>
              <w:rPr>
                <w:rFonts w:ascii="Cambria Math" w:hAnsi="Cambria Math" w:cstheme="majorBidi"/>
                <w:color w:val="231F20"/>
                <w:lang w:val="en-US"/>
              </w:rPr>
              <m:t>t</m:t>
            </m:r>
          </m:sub>
        </m:sSub>
      </m:oMath>
      <w:r w:rsidR="004C52AD" w:rsidRPr="004C4291">
        <w:rPr>
          <w:rFonts w:asciiTheme="majorBidi" w:eastAsiaTheme="minorEastAsia" w:hAnsiTheme="majorBidi" w:cstheme="majorBidi"/>
          <w:color w:val="231F20"/>
          <w:lang w:val="en-US"/>
        </w:rPr>
        <w:t xml:space="preserve">                        </w:t>
      </w:r>
      <w:r w:rsidR="0068758C">
        <w:rPr>
          <w:rFonts w:asciiTheme="majorBidi" w:eastAsiaTheme="minorEastAsia" w:hAnsiTheme="majorBidi" w:cstheme="majorBidi"/>
          <w:color w:val="231F20"/>
          <w:lang w:val="en-US"/>
        </w:rPr>
        <w:t xml:space="preserve">                                                                     </w:t>
      </w:r>
      <w:r w:rsidR="004C52AD" w:rsidRPr="004C4291">
        <w:rPr>
          <w:rFonts w:asciiTheme="majorBidi" w:eastAsiaTheme="minorEastAsia" w:hAnsiTheme="majorBidi" w:cstheme="majorBidi"/>
          <w:color w:val="231F20"/>
          <w:lang w:val="en-US"/>
        </w:rPr>
        <w:t xml:space="preserve">        (9</w:t>
      </w:r>
      <w:r w:rsidR="006E4C82" w:rsidRPr="004C4291">
        <w:rPr>
          <w:rFonts w:asciiTheme="majorBidi" w:eastAsiaTheme="minorEastAsia" w:hAnsiTheme="majorBidi" w:cstheme="majorBidi"/>
          <w:color w:val="231F20"/>
          <w:lang w:val="en-US"/>
        </w:rPr>
        <w:t>)</w:t>
      </w:r>
    </w:p>
    <w:p w:rsidR="006E4C82" w:rsidRPr="004C4291" w:rsidRDefault="006E4C82" w:rsidP="006E4C82">
      <w:pPr>
        <w:jc w:val="both"/>
        <w:rPr>
          <w:rFonts w:asciiTheme="majorBidi" w:hAnsiTheme="majorBidi" w:cstheme="majorBidi"/>
          <w:bCs/>
          <w:lang w:val="en-US"/>
        </w:rPr>
      </w:pPr>
    </w:p>
    <w:p w:rsidR="006E4C82" w:rsidRPr="004C4291" w:rsidRDefault="006E4C82" w:rsidP="006E4C82">
      <w:pPr>
        <w:jc w:val="both"/>
        <w:rPr>
          <w:rFonts w:asciiTheme="majorBidi" w:eastAsiaTheme="minorEastAsia" w:hAnsiTheme="majorBidi" w:cstheme="majorBidi"/>
          <w:color w:val="231F20"/>
          <w:lang w:val="en-US"/>
        </w:rPr>
      </w:pPr>
      <w:r w:rsidRPr="004C4291">
        <w:rPr>
          <w:rFonts w:asciiTheme="majorBidi" w:hAnsiTheme="majorBidi" w:cstheme="majorBidi"/>
          <w:bCs/>
          <w:lang w:val="en-US"/>
        </w:rPr>
        <w:t>Finally, we define</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 xml:space="preserve"> S</m:t>
            </m:r>
          </m:e>
          <m:sub>
            <m:r>
              <w:rPr>
                <w:rFonts w:ascii="Cambria Math" w:hAnsi="Cambria Math" w:cstheme="majorBidi"/>
                <w:color w:val="231F20"/>
                <w:lang w:val="en-US"/>
              </w:rPr>
              <m:t>t-1</m:t>
            </m:r>
          </m:sub>
          <m:sup>
            <m:r>
              <w:rPr>
                <w:rFonts w:ascii="Cambria Math" w:hAnsi="Cambria Math" w:cstheme="majorBidi"/>
                <w:color w:val="231F20"/>
                <w:lang w:val="en-US"/>
              </w:rPr>
              <m:t>+</m:t>
            </m:r>
          </m:sup>
        </m:sSubSup>
        <m:r>
          <w:rPr>
            <w:rFonts w:ascii="Cambria Math" w:hAnsi="Cambria Math" w:cstheme="majorBidi"/>
            <w:color w:val="231F20"/>
            <w:lang w:val="en-US"/>
          </w:rPr>
          <m:t>=1-</m:t>
        </m:r>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4C4291">
        <w:rPr>
          <w:rFonts w:asciiTheme="majorBidi" w:eastAsiaTheme="minorEastAsia" w:hAnsiTheme="majorBidi" w:cstheme="majorBidi"/>
          <w:color w:val="231F20"/>
          <w:lang w:val="en-US"/>
        </w:rPr>
        <w:t xml:space="preserve">, so that </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4C4291">
        <w:rPr>
          <w:rFonts w:asciiTheme="majorBidi" w:eastAsiaTheme="minorEastAsia" w:hAnsiTheme="majorBidi" w:cstheme="majorBidi"/>
          <w:color w:val="231F20"/>
          <w:lang w:val="en-US"/>
        </w:rPr>
        <w:t xml:space="preserve">picks out the observationswith positive innovations. </w:t>
      </w:r>
      <w:r w:rsidRPr="004C4291">
        <w:rPr>
          <w:rFonts w:asciiTheme="majorBidi" w:hAnsiTheme="majorBidi" w:cstheme="majorBidi"/>
          <w:color w:val="0070C0"/>
          <w:lang w:val="en-US"/>
        </w:rPr>
        <w:t>Engle and Ng (1993)</w:t>
      </w:r>
      <w:r w:rsidR="00F85D42">
        <w:rPr>
          <w:rFonts w:asciiTheme="majorBidi" w:hAnsiTheme="majorBidi" w:cstheme="majorBidi"/>
          <w:color w:val="0070C0"/>
          <w:lang w:val="en-US"/>
        </w:rPr>
        <w:t xml:space="preserve"> </w:t>
      </w:r>
      <w:r w:rsidRPr="004C4291">
        <w:rPr>
          <w:rFonts w:asciiTheme="majorBidi" w:eastAsiaTheme="minorEastAsia" w:hAnsiTheme="majorBidi" w:cstheme="majorBidi"/>
          <w:color w:val="231F20"/>
          <w:lang w:val="en-US"/>
        </w:rPr>
        <w:t>propose a joint test for sign and</w:t>
      </w:r>
      <w:r w:rsidR="00F85D42">
        <w:rPr>
          <w:rFonts w:asciiTheme="majorBidi" w:eastAsiaTheme="minorEastAsia" w:hAnsiTheme="majorBidi" w:cstheme="majorBidi"/>
          <w:color w:val="231F20"/>
          <w:lang w:val="en-US"/>
        </w:rPr>
        <w:t xml:space="preserve"> </w:t>
      </w:r>
      <w:r w:rsidRPr="004C4291">
        <w:rPr>
          <w:rFonts w:asciiTheme="majorBidi" w:eastAsiaTheme="minorEastAsia" w:hAnsiTheme="majorBidi" w:cstheme="majorBidi"/>
          <w:color w:val="231F20"/>
          <w:lang w:val="en-US"/>
        </w:rPr>
        <w:t>size bias based on the following regression:</w:t>
      </w:r>
    </w:p>
    <w:p w:rsidR="006E4C82" w:rsidRPr="004C4291" w:rsidRDefault="006E4C82" w:rsidP="006E4C82">
      <w:pPr>
        <w:jc w:val="both"/>
        <w:rPr>
          <w:rFonts w:asciiTheme="majorBidi" w:eastAsiaTheme="minorEastAsia" w:hAnsiTheme="majorBidi" w:cstheme="majorBidi"/>
          <w:color w:val="231F20"/>
          <w:lang w:val="en-US"/>
        </w:rPr>
      </w:pPr>
    </w:p>
    <w:p w:rsidR="006E4C82" w:rsidRPr="004C4291" w:rsidRDefault="00194326" w:rsidP="006E4C82">
      <w:pPr>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2</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i/>
                <w:color w:val="231F20"/>
                <w:lang w:val="en-US"/>
              </w:rPr>
            </m:ctrlPr>
          </m:sSubPr>
          <m:e>
            <m:r>
              <w:rPr>
                <w:rFonts w:ascii="Cambria Math" w:hAnsi="Cambria Math" w:cstheme="majorBidi"/>
                <w:color w:val="231F20"/>
                <w:lang w:val="en-US"/>
              </w:rPr>
              <m:t>z</m:t>
            </m:r>
          </m:e>
          <m:sub>
            <m:r>
              <w:rPr>
                <w:rFonts w:ascii="Cambria Math" w:hAnsi="Cambria Math" w:cstheme="majorBidi"/>
                <w:color w:val="231F20"/>
                <w:lang w:val="en-US"/>
              </w:rPr>
              <m:t>t-1</m:t>
            </m:r>
          </m:sub>
        </m:sSub>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3</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i/>
                <w:color w:val="231F20"/>
                <w:lang w:val="en-US"/>
              </w:rPr>
            </m:ctrlPr>
          </m:sSubPr>
          <m:e>
            <m:r>
              <w:rPr>
                <w:rFonts w:ascii="Cambria Math" w:hAnsi="Cambria Math" w:cstheme="majorBidi"/>
                <w:color w:val="231F20"/>
                <w:lang w:val="en-US"/>
              </w:rPr>
              <m:t>z</m:t>
            </m:r>
          </m:e>
          <m:sub>
            <m:r>
              <w:rPr>
                <w:rFonts w:ascii="Cambria Math" w:hAnsi="Cambria Math" w:cstheme="majorBidi"/>
                <w:color w:val="231F20"/>
                <w:lang w:val="en-US"/>
              </w:rPr>
              <m:t>t-1</m:t>
            </m:r>
          </m:sub>
        </m:sSub>
        <m:r>
          <w:rPr>
            <w:rFonts w:ascii="Cambria Math" w:hAnsi="Cambria Math" w:cstheme="majorBidi"/>
            <w:color w:val="231F20"/>
            <w:lang w:val="en-US"/>
          </w:rPr>
          <m:t>+</m:t>
        </m:r>
        <m:sSub>
          <m:sSubPr>
            <m:ctrlPr>
              <w:rPr>
                <w:rFonts w:ascii="Cambria Math" w:hAnsi="Cambria Math" w:cstheme="majorBidi"/>
                <w:i/>
                <w:color w:val="231F20"/>
                <w:lang w:val="en-US"/>
              </w:rPr>
            </m:ctrlPr>
          </m:sSubPr>
          <m:e>
            <m:r>
              <w:rPr>
                <w:rFonts w:ascii="Cambria Math" w:hAnsi="Cambria Math" w:cstheme="majorBidi"/>
                <w:color w:val="231F20"/>
                <w:lang w:val="en-US"/>
              </w:rPr>
              <m:t>ν</m:t>
            </m:r>
          </m:e>
          <m:sub>
            <m:r>
              <w:rPr>
                <w:rFonts w:ascii="Cambria Math" w:hAnsi="Cambria Math" w:cstheme="majorBidi"/>
                <w:color w:val="231F20"/>
                <w:lang w:val="en-US"/>
              </w:rPr>
              <m:t>t</m:t>
            </m:r>
          </m:sub>
        </m:sSub>
      </m:oMath>
      <w:r w:rsidR="004C52AD" w:rsidRPr="004C4291">
        <w:rPr>
          <w:rFonts w:asciiTheme="majorBidi" w:eastAsiaTheme="minorEastAsia" w:hAnsiTheme="majorBidi" w:cstheme="majorBidi"/>
          <w:color w:val="231F20"/>
          <w:lang w:val="en-US"/>
        </w:rPr>
        <w:t xml:space="preserve">                              </w:t>
      </w:r>
      <w:r w:rsidR="0068758C">
        <w:rPr>
          <w:rFonts w:asciiTheme="majorBidi" w:eastAsiaTheme="minorEastAsia" w:hAnsiTheme="majorBidi" w:cstheme="majorBidi"/>
          <w:color w:val="231F20"/>
          <w:lang w:val="en-US"/>
        </w:rPr>
        <w:t xml:space="preserve">                                  </w:t>
      </w:r>
      <w:r w:rsidR="004C52AD" w:rsidRPr="004C4291">
        <w:rPr>
          <w:rFonts w:asciiTheme="majorBidi" w:eastAsiaTheme="minorEastAsia" w:hAnsiTheme="majorBidi" w:cstheme="majorBidi"/>
          <w:color w:val="231F20"/>
          <w:lang w:val="en-US"/>
        </w:rPr>
        <w:t>(10</w:t>
      </w:r>
      <w:r w:rsidR="006E4C82" w:rsidRPr="004C4291">
        <w:rPr>
          <w:rFonts w:asciiTheme="majorBidi" w:eastAsiaTheme="minorEastAsia" w:hAnsiTheme="majorBidi" w:cstheme="majorBidi"/>
          <w:color w:val="231F20"/>
          <w:lang w:val="en-US"/>
        </w:rPr>
        <w:t>)</w:t>
      </w:r>
    </w:p>
    <w:p w:rsidR="006E4C82" w:rsidRPr="004C4291" w:rsidRDefault="006E4C82" w:rsidP="006E4C82">
      <w:pPr>
        <w:jc w:val="both"/>
        <w:rPr>
          <w:rFonts w:asciiTheme="majorBidi" w:eastAsiaTheme="minorEastAsia" w:hAnsiTheme="majorBidi" w:cstheme="majorBidi"/>
          <w:color w:val="231F20"/>
          <w:lang w:val="en-US"/>
        </w:rPr>
      </w:pPr>
    </w:p>
    <w:p w:rsidR="0068758C" w:rsidRDefault="0068758C" w:rsidP="0068758C">
      <w:pPr>
        <w:ind w:firstLine="340"/>
        <w:jc w:val="both"/>
        <w:rPr>
          <w:rFonts w:asciiTheme="majorBidi" w:hAnsiTheme="majorBidi" w:cstheme="majorBidi"/>
          <w:bCs/>
          <w:lang w:val="en-US"/>
        </w:rPr>
      </w:pPr>
      <w:r>
        <w:rPr>
          <w:rFonts w:asciiTheme="majorBidi" w:hAnsiTheme="majorBidi" w:cstheme="majorBidi"/>
          <w:bCs/>
          <w:lang w:val="en-US"/>
        </w:rPr>
        <w:t>The statistical s</w:t>
      </w:r>
      <w:r w:rsidR="006E4C82" w:rsidRPr="004C4291">
        <w:rPr>
          <w:rFonts w:asciiTheme="majorBidi" w:hAnsiTheme="majorBidi" w:cstheme="majorBidi"/>
          <w:bCs/>
          <w:lang w:val="en-US"/>
        </w:rPr>
        <w:t xml:space="preserve">ignificance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006E4C82" w:rsidRPr="004C4291">
        <w:rPr>
          <w:rFonts w:asciiTheme="majorBidi" w:hAnsiTheme="majorBidi" w:cstheme="majorBidi"/>
          <w:bCs/>
          <w:lang w:val="en-US"/>
        </w:rPr>
        <w:t xml:space="preserve"> indicates the presence of sign bias, where positive andnegative shocks have differing impacts upon future volatility, comparedwith the symmetric response required by the standard GARCH formulation.However, the significance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2</m:t>
            </m:r>
          </m:sub>
        </m:sSub>
      </m:oMath>
      <w:r w:rsidR="006E4C82" w:rsidRPr="004C4291">
        <w:rPr>
          <w:rFonts w:asciiTheme="majorBidi" w:hAnsiTheme="majorBidi" w:cstheme="majorBidi"/>
          <w:bCs/>
          <w:lang w:val="en-US"/>
        </w:rPr>
        <w:t xml:space="preserve"> or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3</m:t>
            </m:r>
          </m:sub>
        </m:sSub>
      </m:oMath>
      <w:r w:rsidR="006E4C82" w:rsidRPr="004C4291">
        <w:rPr>
          <w:rFonts w:asciiTheme="majorBidi" w:hAnsiTheme="majorBidi" w:cstheme="majorBidi"/>
          <w:bCs/>
          <w:lang w:val="en-US"/>
        </w:rPr>
        <w:t xml:space="preserve"> would suggest the presence</w:t>
      </w:r>
      <w:r w:rsidR="00F85D42">
        <w:rPr>
          <w:rFonts w:asciiTheme="majorBidi" w:hAnsiTheme="majorBidi" w:cstheme="majorBidi"/>
          <w:bCs/>
          <w:lang w:val="en-US"/>
        </w:rPr>
        <w:t xml:space="preserve"> </w:t>
      </w:r>
      <w:r w:rsidR="006E4C82" w:rsidRPr="004C4291">
        <w:rPr>
          <w:rFonts w:asciiTheme="majorBidi" w:hAnsiTheme="majorBidi" w:cstheme="majorBidi"/>
          <w:bCs/>
          <w:lang w:val="en-US"/>
        </w:rPr>
        <w:t>of size bias, where not only the sign but the magnitude of the shock is</w:t>
      </w:r>
      <w:r w:rsidR="00F85D42">
        <w:rPr>
          <w:rFonts w:asciiTheme="majorBidi" w:hAnsiTheme="majorBidi" w:cstheme="majorBidi"/>
          <w:bCs/>
          <w:lang w:val="en-US"/>
        </w:rPr>
        <w:t xml:space="preserve"> </w:t>
      </w:r>
      <w:r w:rsidR="006E4C82" w:rsidRPr="004C4291">
        <w:rPr>
          <w:rFonts w:asciiTheme="majorBidi" w:hAnsiTheme="majorBidi" w:cstheme="majorBidi"/>
          <w:bCs/>
          <w:lang w:val="en-US"/>
        </w:rPr>
        <w:t>important. A joint test statistic is formulated in the standard fashion by</w:t>
      </w:r>
      <w:r w:rsidR="00F85D42">
        <w:rPr>
          <w:rFonts w:asciiTheme="majorBidi" w:hAnsiTheme="majorBidi" w:cstheme="majorBidi"/>
          <w:bCs/>
          <w:lang w:val="en-US"/>
        </w:rPr>
        <w:t xml:space="preserve"> </w:t>
      </w:r>
      <w:r w:rsidR="006E4C82" w:rsidRPr="004C4291">
        <w:rPr>
          <w:rFonts w:asciiTheme="majorBidi" w:hAnsiTheme="majorBidi" w:cstheme="majorBidi"/>
          <w:bCs/>
          <w:lang w:val="en-US"/>
        </w:rPr>
        <w:t xml:space="preserve">calculating </w:t>
      </w:r>
      <m:oMath>
        <m:r>
          <w:rPr>
            <w:rFonts w:ascii="Cambria Math" w:hAnsi="Cambria Math" w:cstheme="majorBidi"/>
            <w:lang w:val="en-US"/>
          </w:rPr>
          <m:t>T</m:t>
        </m:r>
        <m:sSup>
          <m:sSupPr>
            <m:ctrlPr>
              <w:rPr>
                <w:rFonts w:ascii="Cambria Math" w:hAnsi="Cambria Math" w:cstheme="majorBidi"/>
                <w:bCs/>
                <w:i/>
                <w:iCs/>
                <w:lang w:val="en-US"/>
              </w:rPr>
            </m:ctrlPr>
          </m:sSupPr>
          <m:e>
            <m:r>
              <w:rPr>
                <w:rFonts w:ascii="Cambria Math" w:hAnsi="Cambria Math" w:cstheme="majorBidi"/>
                <w:lang w:val="en-US"/>
              </w:rPr>
              <m:t>R</m:t>
            </m:r>
          </m:e>
          <m:sup>
            <m:r>
              <w:rPr>
                <w:rFonts w:ascii="Cambria Math" w:hAnsi="Cambria Math" w:cstheme="majorBidi"/>
                <w:lang w:val="en-US"/>
              </w:rPr>
              <m:t>2</m:t>
            </m:r>
          </m:sup>
        </m:sSup>
      </m:oMath>
      <w:r w:rsidR="006E4C82" w:rsidRPr="004C4291">
        <w:rPr>
          <w:rFonts w:asciiTheme="majorBidi" w:hAnsiTheme="majorBidi" w:cstheme="majorBidi"/>
          <w:bCs/>
          <w:lang w:val="en-US"/>
        </w:rPr>
        <w:t xml:space="preserve"> from regression (</w:t>
      </w:r>
      <w:r w:rsidR="004C52AD" w:rsidRPr="004C4291">
        <w:rPr>
          <w:rFonts w:asciiTheme="majorBidi" w:hAnsiTheme="majorBidi" w:cstheme="majorBidi"/>
          <w:bCs/>
          <w:lang w:val="en-US"/>
        </w:rPr>
        <w:t>10</w:t>
      </w:r>
      <w:r w:rsidR="006E4C82" w:rsidRPr="004C4291">
        <w:rPr>
          <w:rFonts w:asciiTheme="majorBidi" w:hAnsiTheme="majorBidi" w:cstheme="majorBidi"/>
          <w:bCs/>
          <w:lang w:val="en-US"/>
        </w:rPr>
        <w:t>), which will asymptotically follow a</w:t>
      </w:r>
      <m:oMath>
        <m:sSup>
          <m:sSupPr>
            <m:ctrlPr>
              <w:rPr>
                <w:rFonts w:ascii="Cambria Math" w:hAnsi="Cambria Math" w:cstheme="majorBidi"/>
                <w:bCs/>
                <w:i/>
                <w:iCs/>
              </w:rPr>
            </m:ctrlPr>
          </m:sSupPr>
          <m:e>
            <m:r>
              <w:rPr>
                <w:rFonts w:ascii="Cambria Math" w:hAnsi="Cambria Math" w:cstheme="majorBidi"/>
              </w:rPr>
              <m:t>χ</m:t>
            </m:r>
          </m:e>
          <m:sup>
            <m:r>
              <w:rPr>
                <w:rFonts w:ascii="Cambria Math" w:hAnsi="Cambria Math" w:cstheme="majorBidi"/>
                <w:lang w:val="en-US"/>
              </w:rPr>
              <m:t>2</m:t>
            </m:r>
          </m:sup>
        </m:sSup>
      </m:oMath>
      <w:r w:rsidR="006E4C82" w:rsidRPr="004C4291">
        <w:rPr>
          <w:rFonts w:asciiTheme="majorBidi" w:hAnsiTheme="majorBidi" w:cstheme="majorBidi"/>
          <w:bCs/>
          <w:lang w:val="en-US"/>
        </w:rPr>
        <w:t xml:space="preserve"> distribution with 3 degrees of freedom under the null hypothesis of</w:t>
      </w:r>
      <w:r w:rsidR="00F85D42">
        <w:rPr>
          <w:rFonts w:asciiTheme="majorBidi" w:hAnsiTheme="majorBidi" w:cstheme="majorBidi"/>
          <w:bCs/>
          <w:lang w:val="en-US"/>
        </w:rPr>
        <w:t xml:space="preserve"> </w:t>
      </w:r>
      <w:r w:rsidR="006E4C82" w:rsidRPr="004C4291">
        <w:rPr>
          <w:rFonts w:asciiTheme="majorBidi" w:hAnsiTheme="majorBidi" w:cstheme="majorBidi"/>
          <w:bCs/>
          <w:lang w:val="en-US"/>
        </w:rPr>
        <w:t>no asymmetric effects.</w:t>
      </w:r>
    </w:p>
    <w:p w:rsidR="006E4C82" w:rsidRPr="0068758C" w:rsidRDefault="00AB5DE2" w:rsidP="0068758C">
      <w:pPr>
        <w:ind w:firstLine="340"/>
        <w:jc w:val="both"/>
        <w:rPr>
          <w:rFonts w:asciiTheme="majorBidi" w:hAnsiTheme="majorBidi" w:cstheme="majorBidi"/>
          <w:bCs/>
          <w:lang w:val="en-US"/>
        </w:rPr>
      </w:pPr>
      <w:r w:rsidRPr="004C4291">
        <w:rPr>
          <w:rFonts w:asciiTheme="majorBidi" w:hAnsiTheme="majorBidi" w:cstheme="majorBidi"/>
          <w:lang w:val="en-US"/>
        </w:rPr>
        <w:t xml:space="preserve">Table 2 reports the results of Engle-Ng tests. First, the individual regression results show that the residuals of the symmetric GARCH model for the RDAX30, RCAC40 and RFTSE100 series </w:t>
      </w:r>
      <w:r w:rsidRPr="004C4291">
        <w:rPr>
          <w:rFonts w:asciiTheme="majorBidi" w:hAnsiTheme="majorBidi" w:cstheme="majorBidi"/>
          <w:color w:val="000000"/>
          <w:lang w:val="en-US"/>
        </w:rPr>
        <w:t>do not suffer from sign bias and/or negative size bias,</w:t>
      </w:r>
      <w:r w:rsidR="00F85D42">
        <w:rPr>
          <w:rFonts w:asciiTheme="majorBidi" w:hAnsiTheme="majorBidi" w:cstheme="majorBidi"/>
          <w:color w:val="000000"/>
          <w:lang w:val="en-US"/>
        </w:rPr>
        <w:t xml:space="preserve"> </w:t>
      </w:r>
      <w:r w:rsidRPr="004C4291">
        <w:rPr>
          <w:rFonts w:asciiTheme="majorBidi" w:hAnsiTheme="majorBidi" w:cstheme="majorBidi"/>
          <w:color w:val="000000"/>
          <w:lang w:val="en-US"/>
        </w:rPr>
        <w:t>but they do exhibit positive size bias</w:t>
      </w:r>
      <w:r w:rsidRPr="004C4291">
        <w:rPr>
          <w:rFonts w:asciiTheme="majorBidi" w:hAnsiTheme="majorBidi" w:cstheme="majorBidi"/>
          <w:lang w:val="en-US"/>
        </w:rPr>
        <w:t>.</w:t>
      </w:r>
      <w:r w:rsidR="00F85D42">
        <w:rPr>
          <w:rFonts w:asciiTheme="majorBidi" w:hAnsiTheme="majorBidi" w:cstheme="majorBidi"/>
          <w:lang w:val="en-US"/>
        </w:rPr>
        <w:t xml:space="preserve"> </w:t>
      </w:r>
      <w:r w:rsidRPr="004C4291">
        <w:rPr>
          <w:rFonts w:asciiTheme="majorBidi" w:hAnsiTheme="majorBidi" w:cstheme="majorBidi"/>
          <w:lang w:val="en-US"/>
        </w:rPr>
        <w:t>Second, for the RUSDEUR series, the individual regression results show that the residuals of the symmetric GARCH model exhibit sign bias, negative size bias and significant positive size bias.</w:t>
      </w:r>
    </w:p>
    <w:p w:rsidR="004C4291" w:rsidRPr="004C4291" w:rsidRDefault="004C4291" w:rsidP="004C4291">
      <w:pPr>
        <w:autoSpaceDE w:val="0"/>
        <w:autoSpaceDN w:val="0"/>
        <w:adjustRightInd w:val="0"/>
        <w:jc w:val="both"/>
        <w:rPr>
          <w:rFonts w:asciiTheme="majorBidi" w:hAnsiTheme="majorBidi" w:cstheme="majorBidi"/>
          <w:lang w:val="en-US"/>
        </w:rPr>
      </w:pPr>
    </w:p>
    <w:p w:rsidR="004C4291" w:rsidRPr="004C4291" w:rsidRDefault="004C4291" w:rsidP="004C4291">
      <w:pPr>
        <w:pStyle w:val="Lgende"/>
        <w:keepNext/>
        <w:spacing w:after="0"/>
        <w:ind w:left="454" w:right="454"/>
        <w:jc w:val="both"/>
        <w:rPr>
          <w:rFonts w:asciiTheme="majorBidi" w:hAnsiTheme="majorBidi" w:cstheme="majorBidi"/>
          <w:color w:val="auto"/>
          <w:sz w:val="20"/>
          <w:szCs w:val="20"/>
          <w:lang w:val="en-US"/>
        </w:rPr>
      </w:pPr>
      <w:r w:rsidRPr="004C4291">
        <w:rPr>
          <w:rFonts w:asciiTheme="majorBidi" w:hAnsiTheme="majorBidi" w:cstheme="majorBidi"/>
          <w:color w:val="auto"/>
          <w:sz w:val="20"/>
          <w:szCs w:val="20"/>
          <w:lang w:val="en-US"/>
        </w:rPr>
        <w:t xml:space="preserve">Table </w:t>
      </w:r>
      <w:r w:rsidR="00194326" w:rsidRPr="004C4291">
        <w:rPr>
          <w:rFonts w:asciiTheme="majorBidi" w:hAnsiTheme="majorBidi" w:cstheme="majorBidi"/>
          <w:color w:val="auto"/>
          <w:sz w:val="20"/>
          <w:szCs w:val="20"/>
        </w:rPr>
        <w:fldChar w:fldCharType="begin"/>
      </w:r>
      <w:r w:rsidRPr="004C4291">
        <w:rPr>
          <w:rFonts w:asciiTheme="majorBidi" w:hAnsiTheme="majorBidi" w:cstheme="majorBidi"/>
          <w:color w:val="auto"/>
          <w:sz w:val="20"/>
          <w:szCs w:val="20"/>
          <w:lang w:val="en-US"/>
        </w:rPr>
        <w:instrText xml:space="preserve"> SEQ Tableau \* ARABIC </w:instrText>
      </w:r>
      <w:r w:rsidR="00194326" w:rsidRPr="004C4291">
        <w:rPr>
          <w:rFonts w:asciiTheme="majorBidi" w:hAnsiTheme="majorBidi" w:cstheme="majorBidi"/>
          <w:color w:val="auto"/>
          <w:sz w:val="20"/>
          <w:szCs w:val="20"/>
        </w:rPr>
        <w:fldChar w:fldCharType="separate"/>
      </w:r>
      <w:r w:rsidR="00955A5F">
        <w:rPr>
          <w:rFonts w:asciiTheme="majorBidi" w:hAnsiTheme="majorBidi" w:cstheme="majorBidi"/>
          <w:noProof/>
          <w:color w:val="auto"/>
          <w:sz w:val="20"/>
          <w:szCs w:val="20"/>
          <w:lang w:val="en-US"/>
        </w:rPr>
        <w:t>2</w:t>
      </w:r>
      <w:r w:rsidR="00194326" w:rsidRPr="004C4291">
        <w:rPr>
          <w:rFonts w:asciiTheme="majorBidi" w:hAnsiTheme="majorBidi" w:cstheme="majorBidi"/>
          <w:color w:val="auto"/>
          <w:sz w:val="20"/>
          <w:szCs w:val="20"/>
        </w:rPr>
        <w:fldChar w:fldCharType="end"/>
      </w:r>
    </w:p>
    <w:p w:rsidR="004C4291" w:rsidRPr="004C4291" w:rsidRDefault="004C4291" w:rsidP="004C4291">
      <w:pPr>
        <w:ind w:left="454" w:right="454"/>
        <w:jc w:val="both"/>
        <w:rPr>
          <w:rFonts w:asciiTheme="majorBidi" w:hAnsiTheme="majorBidi" w:cstheme="majorBidi"/>
          <w:sz w:val="20"/>
          <w:szCs w:val="20"/>
          <w:lang w:val="en-US" w:eastAsia="fr-FR"/>
        </w:rPr>
      </w:pPr>
      <w:r w:rsidRPr="004C4291">
        <w:rPr>
          <w:rFonts w:asciiTheme="majorBidi" w:hAnsiTheme="majorBidi" w:cstheme="majorBidi"/>
          <w:sz w:val="20"/>
          <w:szCs w:val="20"/>
          <w:lang w:val="en-US"/>
        </w:rPr>
        <w:t>Tests for sign and size bias for exchange rate and stock market return series</w:t>
      </w:r>
      <w:r>
        <w:rPr>
          <w:rFonts w:asciiTheme="majorBidi" w:hAnsiTheme="majorBidi" w:cstheme="majorBidi"/>
          <w:sz w:val="20"/>
          <w:szCs w:val="20"/>
          <w:lang w:val="en-US"/>
        </w:rPr>
        <w:t>.</w:t>
      </w:r>
    </w:p>
    <w:tbl>
      <w:tblPr>
        <w:tblW w:w="8060" w:type="dxa"/>
        <w:jc w:val="center"/>
        <w:tblCellMar>
          <w:left w:w="70" w:type="dxa"/>
          <w:right w:w="70" w:type="dxa"/>
        </w:tblCellMar>
        <w:tblLook w:val="04A0"/>
      </w:tblPr>
      <w:tblGrid>
        <w:gridCol w:w="677"/>
        <w:gridCol w:w="590"/>
        <w:gridCol w:w="623"/>
        <w:gridCol w:w="487"/>
        <w:gridCol w:w="190"/>
        <w:gridCol w:w="580"/>
        <w:gridCol w:w="623"/>
        <w:gridCol w:w="505"/>
        <w:gridCol w:w="190"/>
        <w:gridCol w:w="530"/>
        <w:gridCol w:w="623"/>
        <w:gridCol w:w="543"/>
        <w:gridCol w:w="190"/>
        <w:gridCol w:w="599"/>
        <w:gridCol w:w="623"/>
        <w:gridCol w:w="487"/>
      </w:tblGrid>
      <w:tr w:rsidR="006E4C82" w:rsidRPr="006E4C82" w:rsidTr="00575D13">
        <w:trPr>
          <w:trHeight w:val="181"/>
          <w:jc w:val="center"/>
        </w:trPr>
        <w:tc>
          <w:tcPr>
            <w:tcW w:w="677" w:type="dxa"/>
            <w:vMerge w:val="restart"/>
            <w:tcBorders>
              <w:top w:val="single" w:sz="8" w:space="0" w:color="auto"/>
              <w:left w:val="nil"/>
              <w:bottom w:val="single" w:sz="8" w:space="0" w:color="000000"/>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Variables</w:t>
            </w:r>
          </w:p>
        </w:tc>
        <w:tc>
          <w:tcPr>
            <w:tcW w:w="1700" w:type="dxa"/>
            <w:gridSpan w:val="3"/>
            <w:tcBorders>
              <w:top w:val="single" w:sz="8" w:space="0" w:color="auto"/>
              <w:left w:val="nil"/>
              <w:bottom w:val="single" w:sz="8" w:space="0" w:color="auto"/>
              <w:right w:val="nil"/>
            </w:tcBorders>
            <w:shd w:val="clear" w:color="auto" w:fill="auto"/>
            <w:noWrap/>
            <w:vAlign w:val="bottom"/>
            <w:hideMark/>
          </w:tcPr>
          <w:p w:rsidR="006E4C82" w:rsidRPr="006E4C82" w:rsidRDefault="006E4C82" w:rsidP="004C52AD">
            <w:pPr>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USDEUR</w:t>
            </w:r>
          </w:p>
        </w:tc>
        <w:tc>
          <w:tcPr>
            <w:tcW w:w="190" w:type="dxa"/>
            <w:tcBorders>
              <w:top w:val="single" w:sz="8" w:space="0" w:color="auto"/>
              <w:left w:val="nil"/>
              <w:bottom w:val="nil"/>
              <w:right w:val="nil"/>
            </w:tcBorders>
            <w:shd w:val="clear" w:color="auto" w:fill="auto"/>
            <w:noWrap/>
            <w:vAlign w:val="bottom"/>
            <w:hideMark/>
          </w:tcPr>
          <w:p w:rsidR="006E4C82" w:rsidRPr="006E4C82" w:rsidRDefault="006E4C82" w:rsidP="004C52AD">
            <w:pPr>
              <w:rPr>
                <w:rFonts w:ascii="Calibri" w:eastAsia="Times New Roman" w:hAnsi="Calibri" w:cs="Arial"/>
                <w:lang w:eastAsia="fr-FR"/>
              </w:rPr>
            </w:pPr>
          </w:p>
        </w:tc>
        <w:tc>
          <w:tcPr>
            <w:tcW w:w="1708" w:type="dxa"/>
            <w:gridSpan w:val="3"/>
            <w:tcBorders>
              <w:top w:val="single" w:sz="8" w:space="0" w:color="auto"/>
              <w:left w:val="nil"/>
              <w:bottom w:val="single" w:sz="8" w:space="0" w:color="auto"/>
              <w:right w:val="nil"/>
            </w:tcBorders>
            <w:shd w:val="clear" w:color="auto" w:fill="auto"/>
            <w:noWrap/>
            <w:vAlign w:val="bottom"/>
            <w:hideMark/>
          </w:tcPr>
          <w:p w:rsidR="006E4C82" w:rsidRPr="006E4C82" w:rsidRDefault="006E4C82" w:rsidP="004C52AD">
            <w:pPr>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DAX30</w:t>
            </w:r>
          </w:p>
        </w:tc>
        <w:tc>
          <w:tcPr>
            <w:tcW w:w="190" w:type="dxa"/>
            <w:tcBorders>
              <w:top w:val="single" w:sz="8" w:space="0" w:color="auto"/>
              <w:left w:val="nil"/>
              <w:bottom w:val="nil"/>
              <w:right w:val="nil"/>
            </w:tcBorders>
            <w:shd w:val="clear" w:color="auto" w:fill="auto"/>
            <w:noWrap/>
            <w:vAlign w:val="bottom"/>
            <w:hideMark/>
          </w:tcPr>
          <w:p w:rsidR="006E4C82" w:rsidRPr="006E4C82" w:rsidRDefault="006E4C82" w:rsidP="004C52AD">
            <w:pPr>
              <w:rPr>
                <w:rFonts w:ascii="Calibri" w:eastAsia="Times New Roman" w:hAnsi="Calibri" w:cs="Arial"/>
                <w:lang w:eastAsia="fr-FR"/>
              </w:rPr>
            </w:pPr>
          </w:p>
        </w:tc>
        <w:tc>
          <w:tcPr>
            <w:tcW w:w="1696" w:type="dxa"/>
            <w:gridSpan w:val="3"/>
            <w:tcBorders>
              <w:top w:val="single" w:sz="8" w:space="0" w:color="auto"/>
              <w:left w:val="nil"/>
              <w:bottom w:val="single" w:sz="8" w:space="0" w:color="auto"/>
              <w:right w:val="nil"/>
            </w:tcBorders>
            <w:shd w:val="clear" w:color="auto" w:fill="auto"/>
            <w:noWrap/>
            <w:vAlign w:val="bottom"/>
            <w:hideMark/>
          </w:tcPr>
          <w:p w:rsidR="006E4C82" w:rsidRPr="006E4C82" w:rsidRDefault="006E4C82" w:rsidP="004C52AD">
            <w:pPr>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CAC40</w:t>
            </w:r>
          </w:p>
        </w:tc>
        <w:tc>
          <w:tcPr>
            <w:tcW w:w="190" w:type="dxa"/>
            <w:tcBorders>
              <w:top w:val="nil"/>
              <w:left w:val="nil"/>
              <w:bottom w:val="single" w:sz="8" w:space="0" w:color="auto"/>
              <w:right w:val="nil"/>
            </w:tcBorders>
            <w:shd w:val="clear" w:color="auto" w:fill="auto"/>
            <w:noWrap/>
            <w:vAlign w:val="bottom"/>
            <w:hideMark/>
          </w:tcPr>
          <w:p w:rsidR="006E4C82" w:rsidRPr="006E4C82" w:rsidRDefault="006E4C82" w:rsidP="004C52AD">
            <w:pPr>
              <w:rPr>
                <w:rFonts w:ascii="Calibri" w:eastAsia="Times New Roman" w:hAnsi="Calibri" w:cs="Arial"/>
                <w:lang w:eastAsia="fr-FR"/>
              </w:rPr>
            </w:pPr>
          </w:p>
        </w:tc>
        <w:tc>
          <w:tcPr>
            <w:tcW w:w="1709" w:type="dxa"/>
            <w:gridSpan w:val="3"/>
            <w:tcBorders>
              <w:top w:val="single" w:sz="8" w:space="0" w:color="auto"/>
              <w:left w:val="nil"/>
              <w:bottom w:val="single" w:sz="8" w:space="0" w:color="auto"/>
              <w:right w:val="nil"/>
            </w:tcBorders>
            <w:shd w:val="clear" w:color="auto" w:fill="auto"/>
            <w:noWrap/>
            <w:vAlign w:val="bottom"/>
            <w:hideMark/>
          </w:tcPr>
          <w:p w:rsidR="006E4C82" w:rsidRPr="006E4C82" w:rsidRDefault="006E4C82" w:rsidP="004C52AD">
            <w:pPr>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FTSE100</w:t>
            </w:r>
          </w:p>
        </w:tc>
      </w:tr>
      <w:tr w:rsidR="006E4C82" w:rsidRPr="006E4C82" w:rsidTr="00A87AA6">
        <w:trPr>
          <w:trHeight w:val="240"/>
          <w:jc w:val="center"/>
        </w:trPr>
        <w:tc>
          <w:tcPr>
            <w:tcW w:w="677" w:type="dxa"/>
            <w:vMerge/>
            <w:tcBorders>
              <w:top w:val="single" w:sz="8" w:space="0" w:color="auto"/>
              <w:left w:val="nil"/>
              <w:bottom w:val="single" w:sz="8" w:space="0" w:color="000000"/>
              <w:right w:val="nil"/>
            </w:tcBorders>
            <w:vAlign w:val="center"/>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p>
        </w:tc>
        <w:tc>
          <w:tcPr>
            <w:tcW w:w="590"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Coeff</w:t>
            </w:r>
          </w:p>
        </w:tc>
        <w:tc>
          <w:tcPr>
            <w:tcW w:w="623"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StdError</w:t>
            </w:r>
          </w:p>
        </w:tc>
        <w:tc>
          <w:tcPr>
            <w:tcW w:w="487"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Signif</w:t>
            </w:r>
          </w:p>
        </w:tc>
        <w:tc>
          <w:tcPr>
            <w:tcW w:w="190" w:type="dxa"/>
            <w:tcBorders>
              <w:top w:val="nil"/>
              <w:left w:val="nil"/>
              <w:bottom w:val="nil"/>
              <w:right w:val="nil"/>
            </w:tcBorders>
            <w:shd w:val="clear" w:color="auto" w:fill="auto"/>
            <w:noWrap/>
            <w:vAlign w:val="bottom"/>
            <w:hideMark/>
          </w:tcPr>
          <w:p w:rsidR="006E4C82" w:rsidRPr="006E4C82" w:rsidRDefault="006E4C82" w:rsidP="006E4C82">
            <w:pPr>
              <w:jc w:val="left"/>
              <w:rPr>
                <w:rFonts w:ascii="Calibri" w:eastAsia="Times New Roman" w:hAnsi="Calibri" w:cs="Arial"/>
                <w:lang w:eastAsia="fr-FR"/>
              </w:rPr>
            </w:pPr>
          </w:p>
        </w:tc>
        <w:tc>
          <w:tcPr>
            <w:tcW w:w="580"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Coeff</w:t>
            </w:r>
          </w:p>
        </w:tc>
        <w:tc>
          <w:tcPr>
            <w:tcW w:w="623"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StdError</w:t>
            </w:r>
          </w:p>
        </w:tc>
        <w:tc>
          <w:tcPr>
            <w:tcW w:w="505"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Signif</w:t>
            </w:r>
          </w:p>
        </w:tc>
        <w:tc>
          <w:tcPr>
            <w:tcW w:w="190" w:type="dxa"/>
            <w:tcBorders>
              <w:top w:val="nil"/>
              <w:left w:val="nil"/>
              <w:bottom w:val="nil"/>
              <w:right w:val="nil"/>
            </w:tcBorders>
            <w:shd w:val="clear" w:color="auto" w:fill="auto"/>
            <w:noWrap/>
            <w:vAlign w:val="bottom"/>
            <w:hideMark/>
          </w:tcPr>
          <w:p w:rsidR="006E4C82" w:rsidRPr="006E4C82" w:rsidRDefault="006E4C82" w:rsidP="006E4C82">
            <w:pPr>
              <w:jc w:val="left"/>
              <w:rPr>
                <w:rFonts w:ascii="Calibri" w:eastAsia="Times New Roman" w:hAnsi="Calibri" w:cs="Arial"/>
                <w:lang w:eastAsia="fr-FR"/>
              </w:rPr>
            </w:pPr>
          </w:p>
        </w:tc>
        <w:tc>
          <w:tcPr>
            <w:tcW w:w="530"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Coeff</w:t>
            </w:r>
          </w:p>
        </w:tc>
        <w:tc>
          <w:tcPr>
            <w:tcW w:w="623"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StdError</w:t>
            </w:r>
          </w:p>
        </w:tc>
        <w:tc>
          <w:tcPr>
            <w:tcW w:w="543"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Signif</w:t>
            </w:r>
          </w:p>
        </w:tc>
        <w:tc>
          <w:tcPr>
            <w:tcW w:w="190" w:type="dxa"/>
            <w:tcBorders>
              <w:top w:val="nil"/>
              <w:left w:val="nil"/>
              <w:bottom w:val="nil"/>
              <w:right w:val="nil"/>
            </w:tcBorders>
            <w:shd w:val="clear" w:color="auto" w:fill="auto"/>
            <w:noWrap/>
            <w:vAlign w:val="bottom"/>
            <w:hideMark/>
          </w:tcPr>
          <w:p w:rsidR="006E4C82" w:rsidRPr="006E4C82" w:rsidRDefault="006E4C82" w:rsidP="006E4C82">
            <w:pPr>
              <w:jc w:val="left"/>
              <w:rPr>
                <w:rFonts w:ascii="Calibri" w:eastAsia="Times New Roman" w:hAnsi="Calibri" w:cs="Arial"/>
                <w:lang w:eastAsia="fr-FR"/>
              </w:rPr>
            </w:pPr>
          </w:p>
        </w:tc>
        <w:tc>
          <w:tcPr>
            <w:tcW w:w="599"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Coeff</w:t>
            </w:r>
          </w:p>
        </w:tc>
        <w:tc>
          <w:tcPr>
            <w:tcW w:w="623"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StdError</w:t>
            </w:r>
          </w:p>
        </w:tc>
        <w:tc>
          <w:tcPr>
            <w:tcW w:w="487" w:type="dxa"/>
            <w:tcBorders>
              <w:top w:val="nil"/>
              <w:left w:val="nil"/>
              <w:bottom w:val="single" w:sz="8" w:space="0" w:color="auto"/>
              <w:right w:val="nil"/>
            </w:tcBorders>
            <w:shd w:val="clear" w:color="auto" w:fill="auto"/>
            <w:noWrap/>
            <w:vAlign w:val="bottom"/>
            <w:hideMark/>
          </w:tcPr>
          <w:p w:rsidR="006E4C82" w:rsidRPr="006E4C82" w:rsidRDefault="006E4C82" w:rsidP="006E4C82">
            <w:pPr>
              <w:jc w:val="left"/>
              <w:rPr>
                <w:rFonts w:ascii="Times New Roman" w:eastAsia="Times New Roman" w:hAnsi="Times New Roman" w:cs="Times New Roman"/>
                <w:color w:val="000000"/>
                <w:sz w:val="14"/>
                <w:szCs w:val="14"/>
                <w:lang w:eastAsia="fr-FR"/>
              </w:rPr>
            </w:pPr>
            <w:r w:rsidRPr="006E4C82">
              <w:rPr>
                <w:rFonts w:ascii="Times New Roman" w:eastAsia="Times New Roman" w:hAnsi="Times New Roman" w:cs="Times New Roman"/>
                <w:color w:val="000000"/>
                <w:sz w:val="14"/>
                <w:szCs w:val="14"/>
                <w:lang w:eastAsia="fr-FR"/>
              </w:rPr>
              <w:t>Signif</w:t>
            </w:r>
          </w:p>
        </w:tc>
      </w:tr>
      <w:tr w:rsidR="00F27093" w:rsidRPr="006E4C82" w:rsidTr="00A87AA6">
        <w:trPr>
          <w:trHeight w:val="240"/>
          <w:jc w:val="center"/>
        </w:trPr>
        <w:tc>
          <w:tcPr>
            <w:tcW w:w="677" w:type="dxa"/>
            <w:tcBorders>
              <w:top w:val="nil"/>
              <w:left w:val="nil"/>
              <w:bottom w:val="nil"/>
              <w:right w:val="nil"/>
            </w:tcBorders>
            <w:shd w:val="clear" w:color="auto" w:fill="auto"/>
            <w:noWrap/>
            <w:vAlign w:val="center"/>
            <w:hideMark/>
          </w:tcPr>
          <w:p w:rsidR="00F27093" w:rsidRPr="00BB0D8E" w:rsidRDefault="00194326" w:rsidP="00A87AA6">
            <w:pPr>
              <w:jc w:val="both"/>
              <w:rPr>
                <w:rFonts w:ascii="Times New Roman" w:eastAsia="Times New Roman" w:hAnsi="Times New Roman" w:cs="Times New Roman"/>
                <w:color w:val="000000"/>
                <w:sz w:val="16"/>
                <w:szCs w:val="16"/>
                <w:lang w:eastAsia="fr-FR"/>
              </w:rPr>
            </w:pPr>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0</m:t>
                  </m:r>
                </m:sub>
              </m:sSub>
            </m:oMath>
            <w:r w:rsidR="004C4291">
              <w:rPr>
                <w:rFonts w:ascii="Times New Roman" w:eastAsia="Times New Roman" w:hAnsi="Times New Roman" w:cs="Times New Roman"/>
                <w:bCs/>
                <w:color w:val="000000"/>
                <w:sz w:val="16"/>
                <w:szCs w:val="16"/>
                <w:lang w:val="en-US" w:eastAsia="fr-FR"/>
              </w:rPr>
              <w:t xml:space="preserve"> </w:t>
            </w:r>
          </w:p>
        </w:tc>
        <w:tc>
          <w:tcPr>
            <w:tcW w:w="59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1.0296</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0.0674</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w:t>
            </w:r>
            <w:r>
              <w:rPr>
                <w:rFonts w:ascii="Times New Roman" w:eastAsia="Times New Roman" w:hAnsi="Times New Roman" w:cs="Times New Roman"/>
                <w:color w:val="000000"/>
                <w:sz w:val="12"/>
                <w:szCs w:val="12"/>
                <w:lang w:eastAsia="fr-FR"/>
              </w:rPr>
              <w:t>.0000</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8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1.0369</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0.0723</w:t>
            </w:r>
          </w:p>
        </w:tc>
        <w:tc>
          <w:tcPr>
            <w:tcW w:w="505"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w:t>
            </w:r>
            <w:r>
              <w:rPr>
                <w:rFonts w:ascii="Times New Roman" w:eastAsia="Times New Roman" w:hAnsi="Times New Roman" w:cs="Times New Roman"/>
                <w:color w:val="000000"/>
                <w:sz w:val="12"/>
                <w:szCs w:val="12"/>
                <w:lang w:eastAsia="fr-FR"/>
              </w:rPr>
              <w:t>.0000</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3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1.0558</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0.0733</w:t>
            </w:r>
          </w:p>
        </w:tc>
        <w:tc>
          <w:tcPr>
            <w:tcW w:w="54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w:t>
            </w:r>
            <w:r>
              <w:rPr>
                <w:rFonts w:ascii="Times New Roman" w:eastAsia="Times New Roman" w:hAnsi="Times New Roman" w:cs="Times New Roman"/>
                <w:color w:val="000000"/>
                <w:sz w:val="12"/>
                <w:szCs w:val="12"/>
                <w:lang w:eastAsia="fr-FR"/>
              </w:rPr>
              <w:t>.0000</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99"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1.0948</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0.0721</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w:t>
            </w:r>
            <w:r>
              <w:rPr>
                <w:rFonts w:ascii="Times New Roman" w:eastAsia="Times New Roman" w:hAnsi="Times New Roman" w:cs="Times New Roman"/>
                <w:color w:val="000000"/>
                <w:sz w:val="12"/>
                <w:szCs w:val="12"/>
                <w:lang w:eastAsia="fr-FR"/>
              </w:rPr>
              <w:t>.0000</w:t>
            </w:r>
          </w:p>
        </w:tc>
      </w:tr>
      <w:tr w:rsidR="00F27093" w:rsidRPr="006E4C82" w:rsidTr="00A87AA6">
        <w:trPr>
          <w:trHeight w:val="240"/>
          <w:jc w:val="center"/>
        </w:trPr>
        <w:tc>
          <w:tcPr>
            <w:tcW w:w="677" w:type="dxa"/>
            <w:tcBorders>
              <w:top w:val="nil"/>
              <w:left w:val="nil"/>
              <w:bottom w:val="nil"/>
              <w:right w:val="nil"/>
            </w:tcBorders>
            <w:shd w:val="clear" w:color="auto" w:fill="auto"/>
            <w:noWrap/>
            <w:vAlign w:val="center"/>
            <w:hideMark/>
          </w:tcPr>
          <w:p w:rsidR="00F27093" w:rsidRPr="00BB0D8E" w:rsidRDefault="00194326" w:rsidP="00A87AA6">
            <w:pPr>
              <w:jc w:val="both"/>
              <w:rPr>
                <w:rFonts w:ascii="Times New Roman" w:eastAsia="Times New Roman" w:hAnsi="Times New Roman" w:cs="Times New Roman"/>
                <w:color w:val="000000"/>
                <w:sz w:val="16"/>
                <w:szCs w:val="16"/>
                <w:lang w:eastAsia="fr-FR"/>
              </w:rPr>
            </w:pPr>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1</m:t>
                  </m:r>
                </m:sub>
              </m:sSub>
            </m:oMath>
            <w:r w:rsidR="004C4291">
              <w:rPr>
                <w:rFonts w:ascii="Times New Roman" w:eastAsia="Times New Roman" w:hAnsi="Times New Roman" w:cs="Times New Roman"/>
                <w:bCs/>
                <w:color w:val="000000"/>
                <w:sz w:val="16"/>
                <w:szCs w:val="16"/>
                <w:lang w:val="en-US" w:eastAsia="fr-FR"/>
              </w:rPr>
              <w:t xml:space="preserve"> </w:t>
            </w:r>
          </w:p>
        </w:tc>
        <w:tc>
          <w:tcPr>
            <w:tcW w:w="59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0.1898</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0.0903</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0.0357</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8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0.13</w:t>
            </w:r>
            <w:r>
              <w:rPr>
                <w:rFonts w:ascii="Times New Roman" w:eastAsia="Times New Roman" w:hAnsi="Times New Roman" w:cs="Times New Roman"/>
                <w:color w:val="000000"/>
                <w:sz w:val="12"/>
                <w:szCs w:val="12"/>
                <w:lang w:eastAsia="fr-FR"/>
              </w:rPr>
              <w:t>00</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0.0984</w:t>
            </w:r>
          </w:p>
        </w:tc>
        <w:tc>
          <w:tcPr>
            <w:tcW w:w="505"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0.1865</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3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0.0861</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0.0991</w:t>
            </w:r>
          </w:p>
        </w:tc>
        <w:tc>
          <w:tcPr>
            <w:tcW w:w="54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0.385</w:t>
            </w:r>
            <w:r>
              <w:rPr>
                <w:rFonts w:ascii="Times New Roman" w:eastAsia="Times New Roman" w:hAnsi="Times New Roman" w:cs="Times New Roman"/>
                <w:color w:val="000000"/>
                <w:sz w:val="12"/>
                <w:szCs w:val="12"/>
                <w:lang w:eastAsia="fr-FR"/>
              </w:rPr>
              <w:t>0</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99"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-0.0333</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0.0966</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0.7302</w:t>
            </w:r>
          </w:p>
        </w:tc>
      </w:tr>
      <w:tr w:rsidR="00F27093" w:rsidRPr="006E4C82" w:rsidTr="00A87AA6">
        <w:trPr>
          <w:trHeight w:val="240"/>
          <w:jc w:val="center"/>
        </w:trPr>
        <w:tc>
          <w:tcPr>
            <w:tcW w:w="677" w:type="dxa"/>
            <w:tcBorders>
              <w:top w:val="nil"/>
              <w:left w:val="nil"/>
              <w:bottom w:val="nil"/>
              <w:right w:val="nil"/>
            </w:tcBorders>
            <w:shd w:val="clear" w:color="auto" w:fill="auto"/>
            <w:noWrap/>
            <w:vAlign w:val="center"/>
            <w:hideMark/>
          </w:tcPr>
          <w:p w:rsidR="00F27093" w:rsidRPr="00BB0D8E" w:rsidRDefault="00194326" w:rsidP="00A87AA6">
            <w:pPr>
              <w:jc w:val="both"/>
              <w:rPr>
                <w:rFonts w:ascii="Times New Roman" w:eastAsia="Times New Roman" w:hAnsi="Times New Roman" w:cs="Times New Roman"/>
                <w:color w:val="000000"/>
                <w:sz w:val="16"/>
                <w:szCs w:val="16"/>
                <w:lang w:eastAsia="fr-FR"/>
              </w:rPr>
            </w:pPr>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2</m:t>
                  </m:r>
                </m:sub>
              </m:sSub>
            </m:oMath>
            <w:r w:rsidR="004C4291">
              <w:rPr>
                <w:rFonts w:ascii="Times New Roman" w:eastAsia="Times New Roman" w:hAnsi="Times New Roman" w:cs="Times New Roman"/>
                <w:bCs/>
                <w:color w:val="000000"/>
                <w:sz w:val="16"/>
                <w:szCs w:val="16"/>
                <w:lang w:val="en-US" w:eastAsia="fr-FR"/>
              </w:rPr>
              <w:t xml:space="preserve"> </w:t>
            </w:r>
          </w:p>
        </w:tc>
        <w:tc>
          <w:tcPr>
            <w:tcW w:w="59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0.1802</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0.0608</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0.003</w:t>
            </w:r>
            <w:r>
              <w:rPr>
                <w:rFonts w:ascii="Times New Roman" w:eastAsia="Times New Roman" w:hAnsi="Times New Roman" w:cs="Times New Roman"/>
                <w:color w:val="000000"/>
                <w:sz w:val="12"/>
                <w:szCs w:val="12"/>
                <w:lang w:eastAsia="fr-FR"/>
              </w:rPr>
              <w:t>0</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8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0.0181</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0.063</w:t>
            </w:r>
          </w:p>
        </w:tc>
        <w:tc>
          <w:tcPr>
            <w:tcW w:w="505"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0.7732</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3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0.0439</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0.0639</w:t>
            </w:r>
          </w:p>
        </w:tc>
        <w:tc>
          <w:tcPr>
            <w:tcW w:w="54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0.4918</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99"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-0.0359</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0.0616</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0.5602</w:t>
            </w:r>
          </w:p>
        </w:tc>
      </w:tr>
      <w:tr w:rsidR="00F27093" w:rsidRPr="006E4C82" w:rsidTr="00A87AA6">
        <w:trPr>
          <w:trHeight w:val="240"/>
          <w:jc w:val="center"/>
        </w:trPr>
        <w:tc>
          <w:tcPr>
            <w:tcW w:w="677" w:type="dxa"/>
            <w:tcBorders>
              <w:top w:val="nil"/>
              <w:left w:val="nil"/>
              <w:bottom w:val="nil"/>
              <w:right w:val="nil"/>
            </w:tcBorders>
            <w:shd w:val="clear" w:color="auto" w:fill="auto"/>
            <w:noWrap/>
            <w:vAlign w:val="center"/>
            <w:hideMark/>
          </w:tcPr>
          <w:p w:rsidR="00F27093" w:rsidRPr="00BB0D8E" w:rsidRDefault="00194326" w:rsidP="00A87AA6">
            <w:pPr>
              <w:jc w:val="both"/>
              <w:rPr>
                <w:rFonts w:ascii="Times New Roman" w:eastAsia="Times New Roman" w:hAnsi="Times New Roman" w:cs="Times New Roman"/>
                <w:color w:val="000000"/>
                <w:sz w:val="16"/>
                <w:szCs w:val="16"/>
                <w:lang w:eastAsia="fr-FR"/>
              </w:rPr>
            </w:pPr>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3</m:t>
                  </m:r>
                </m:sub>
              </m:sSub>
            </m:oMath>
            <w:r w:rsidR="004C4291">
              <w:rPr>
                <w:rFonts w:ascii="Times New Roman" w:eastAsia="Times New Roman" w:hAnsi="Times New Roman" w:cs="Times New Roman"/>
                <w:bCs/>
                <w:color w:val="000000"/>
                <w:sz w:val="16"/>
                <w:szCs w:val="16"/>
                <w:lang w:val="en-US" w:eastAsia="fr-FR"/>
              </w:rPr>
              <w:t xml:space="preserve"> </w:t>
            </w:r>
          </w:p>
        </w:tc>
        <w:tc>
          <w:tcPr>
            <w:tcW w:w="59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-0.169</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0.0667</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0.0114</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8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-0.2716</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0.0774</w:t>
            </w:r>
          </w:p>
        </w:tc>
        <w:tc>
          <w:tcPr>
            <w:tcW w:w="505"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0.0004</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30"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-0.233</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0.0771</w:t>
            </w:r>
          </w:p>
        </w:tc>
        <w:tc>
          <w:tcPr>
            <w:tcW w:w="54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0.0025</w:t>
            </w:r>
          </w:p>
        </w:tc>
        <w:tc>
          <w:tcPr>
            <w:tcW w:w="190" w:type="dxa"/>
            <w:tcBorders>
              <w:top w:val="nil"/>
              <w:left w:val="nil"/>
              <w:bottom w:val="nil"/>
              <w:right w:val="nil"/>
            </w:tcBorders>
            <w:shd w:val="clear" w:color="auto" w:fill="auto"/>
            <w:noWrap/>
            <w:vAlign w:val="bottom"/>
            <w:hideMark/>
          </w:tcPr>
          <w:p w:rsidR="00F27093" w:rsidRPr="006E4C82" w:rsidRDefault="00F27093" w:rsidP="008221AE">
            <w:pPr>
              <w:rPr>
                <w:rFonts w:ascii="Calibri" w:eastAsia="Times New Roman" w:hAnsi="Calibri" w:cs="Arial"/>
                <w:lang w:eastAsia="fr-FR"/>
              </w:rPr>
            </w:pPr>
          </w:p>
        </w:tc>
        <w:tc>
          <w:tcPr>
            <w:tcW w:w="599"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-0.2572</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0.0759</w:t>
            </w:r>
          </w:p>
        </w:tc>
        <w:tc>
          <w:tcPr>
            <w:tcW w:w="487" w:type="dxa"/>
            <w:tcBorders>
              <w:top w:val="nil"/>
              <w:left w:val="nil"/>
              <w:bottom w:val="nil"/>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0.0007</w:t>
            </w:r>
          </w:p>
        </w:tc>
      </w:tr>
      <w:tr w:rsidR="00F27093" w:rsidRPr="006E4C82" w:rsidTr="00A87AA6">
        <w:trPr>
          <w:trHeight w:val="240"/>
          <w:jc w:val="center"/>
        </w:trPr>
        <w:tc>
          <w:tcPr>
            <w:tcW w:w="677" w:type="dxa"/>
            <w:tcBorders>
              <w:top w:val="nil"/>
              <w:left w:val="nil"/>
              <w:bottom w:val="single" w:sz="8" w:space="0" w:color="auto"/>
              <w:right w:val="nil"/>
            </w:tcBorders>
            <w:shd w:val="clear" w:color="auto" w:fill="auto"/>
            <w:noWrap/>
            <w:vAlign w:val="center"/>
            <w:hideMark/>
          </w:tcPr>
          <w:p w:rsidR="00F27093" w:rsidRPr="00BB0D8E" w:rsidRDefault="00194326" w:rsidP="00A87AA6">
            <w:pPr>
              <w:jc w:val="both"/>
              <w:rPr>
                <w:rFonts w:ascii="Times New Roman" w:eastAsia="Times New Roman" w:hAnsi="Times New Roman" w:cs="Times New Roman"/>
                <w:color w:val="000000"/>
                <w:sz w:val="16"/>
                <w:szCs w:val="16"/>
                <w:lang w:eastAsia="fr-FR"/>
              </w:rPr>
            </w:pPr>
            <m:oMath>
              <m:sSup>
                <m:sSupPr>
                  <m:ctrlPr>
                    <w:rPr>
                      <w:rFonts w:ascii="Cambria Math" w:eastAsia="Times New Roman" w:hAnsi="Cambria Math" w:cs="Times New Roman"/>
                      <w:i/>
                      <w:color w:val="000000"/>
                      <w:sz w:val="16"/>
                      <w:szCs w:val="16"/>
                      <w:lang w:eastAsia="fr-FR"/>
                    </w:rPr>
                  </m:ctrlPr>
                </m:sSupPr>
                <m:e>
                  <m:r>
                    <w:rPr>
                      <w:rFonts w:ascii="Cambria Math" w:eastAsia="Times New Roman" w:hAnsi="Cambria Math" w:cs="Times New Roman"/>
                      <w:color w:val="000000"/>
                      <w:sz w:val="16"/>
                      <w:szCs w:val="16"/>
                      <w:lang w:eastAsia="fr-FR"/>
                    </w:rPr>
                    <m:t>χ</m:t>
                  </m:r>
                </m:e>
                <m:sup>
                  <m:r>
                    <w:rPr>
                      <w:rFonts w:ascii="Cambria Math" w:eastAsia="Times New Roman" w:hAnsi="Cambria Math" w:cs="Times New Roman"/>
                      <w:color w:val="000000"/>
                      <w:sz w:val="16"/>
                      <w:szCs w:val="16"/>
                      <w:lang w:eastAsia="fr-FR"/>
                    </w:rPr>
                    <m:t>2</m:t>
                  </m:r>
                </m:sup>
              </m:sSup>
              <m:r>
                <w:rPr>
                  <w:rFonts w:ascii="Cambria Math" w:eastAsia="Times New Roman" w:hAnsi="Cambria Math" w:cs="Times New Roman"/>
                  <w:color w:val="000000"/>
                  <w:sz w:val="16"/>
                  <w:szCs w:val="16"/>
                  <w:lang w:eastAsia="fr-FR"/>
                </w:rPr>
                <m:t>(3)</m:t>
              </m:r>
            </m:oMath>
            <w:r w:rsidR="004C4291">
              <w:rPr>
                <w:rFonts w:ascii="Times New Roman" w:eastAsia="Times New Roman" w:hAnsi="Times New Roman" w:cs="Times New Roman"/>
                <w:color w:val="000000"/>
                <w:sz w:val="16"/>
                <w:szCs w:val="16"/>
                <w:lang w:eastAsia="fr-FR"/>
              </w:rPr>
              <w:t xml:space="preserve"> </w:t>
            </w:r>
          </w:p>
        </w:tc>
        <w:tc>
          <w:tcPr>
            <w:tcW w:w="590"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25.5128</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_</w:t>
            </w:r>
          </w:p>
        </w:tc>
        <w:tc>
          <w:tcPr>
            <w:tcW w:w="487"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w:t>
            </w:r>
            <w:r>
              <w:rPr>
                <w:rFonts w:ascii="Times New Roman" w:eastAsia="Times New Roman" w:hAnsi="Times New Roman" w:cs="Times New Roman"/>
                <w:color w:val="000000"/>
                <w:sz w:val="12"/>
                <w:szCs w:val="12"/>
                <w:lang w:eastAsia="fr-FR"/>
              </w:rPr>
              <w:t>.0000</w:t>
            </w:r>
          </w:p>
        </w:tc>
        <w:tc>
          <w:tcPr>
            <w:tcW w:w="190"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p>
        </w:tc>
        <w:tc>
          <w:tcPr>
            <w:tcW w:w="580"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35.72</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_</w:t>
            </w:r>
          </w:p>
        </w:tc>
        <w:tc>
          <w:tcPr>
            <w:tcW w:w="505"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w:t>
            </w:r>
            <w:r>
              <w:rPr>
                <w:rFonts w:ascii="Times New Roman" w:eastAsia="Times New Roman" w:hAnsi="Times New Roman" w:cs="Times New Roman"/>
                <w:color w:val="000000"/>
                <w:sz w:val="12"/>
                <w:szCs w:val="12"/>
                <w:lang w:eastAsia="fr-FR"/>
              </w:rPr>
              <w:t>.0000</w:t>
            </w:r>
          </w:p>
        </w:tc>
        <w:tc>
          <w:tcPr>
            <w:tcW w:w="190"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p>
        </w:tc>
        <w:tc>
          <w:tcPr>
            <w:tcW w:w="530"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21.777</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_</w:t>
            </w:r>
          </w:p>
        </w:tc>
        <w:tc>
          <w:tcPr>
            <w:tcW w:w="543"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w:t>
            </w:r>
            <w:r>
              <w:rPr>
                <w:rFonts w:ascii="Times New Roman" w:eastAsia="Times New Roman" w:hAnsi="Times New Roman" w:cs="Times New Roman"/>
                <w:color w:val="000000"/>
                <w:sz w:val="12"/>
                <w:szCs w:val="12"/>
                <w:lang w:eastAsia="fr-FR"/>
              </w:rPr>
              <w:t>.0000</w:t>
            </w:r>
          </w:p>
        </w:tc>
        <w:tc>
          <w:tcPr>
            <w:tcW w:w="190"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p>
        </w:tc>
        <w:tc>
          <w:tcPr>
            <w:tcW w:w="599"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20.7009</w:t>
            </w:r>
            <w:r w:rsidR="00C85376">
              <w:rPr>
                <w:rFonts w:ascii="Times New Roman" w:eastAsia="Times New Roman" w:hAnsi="Times New Roman" w:cs="Times New Roman"/>
                <w:color w:val="000000"/>
                <w:sz w:val="12"/>
                <w:szCs w:val="12"/>
                <w:lang w:eastAsia="fr-FR"/>
              </w:rPr>
              <w:t>*</w:t>
            </w:r>
          </w:p>
        </w:tc>
        <w:tc>
          <w:tcPr>
            <w:tcW w:w="623"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_</w:t>
            </w:r>
          </w:p>
        </w:tc>
        <w:tc>
          <w:tcPr>
            <w:tcW w:w="487" w:type="dxa"/>
            <w:tcBorders>
              <w:top w:val="nil"/>
              <w:left w:val="nil"/>
              <w:bottom w:val="single" w:sz="8" w:space="0" w:color="auto"/>
              <w:right w:val="nil"/>
            </w:tcBorders>
            <w:shd w:val="clear" w:color="auto" w:fill="auto"/>
            <w:noWrap/>
            <w:vAlign w:val="bottom"/>
            <w:hideMark/>
          </w:tcPr>
          <w:p w:rsidR="00F27093" w:rsidRPr="006E4C82" w:rsidRDefault="00F27093" w:rsidP="008221AE">
            <w:pPr>
              <w:rPr>
                <w:rFonts w:ascii="Times New Roman" w:eastAsia="Times New Roman" w:hAnsi="Times New Roman" w:cs="Times New Roman"/>
                <w:color w:val="000000"/>
                <w:sz w:val="12"/>
                <w:szCs w:val="12"/>
                <w:lang w:eastAsia="fr-FR"/>
              </w:rPr>
            </w:pPr>
            <w:r w:rsidRPr="006E4C82">
              <w:rPr>
                <w:rFonts w:ascii="Times New Roman" w:eastAsia="Times New Roman" w:hAnsi="Times New Roman" w:cs="Times New Roman"/>
                <w:color w:val="000000"/>
                <w:sz w:val="12"/>
                <w:szCs w:val="12"/>
                <w:lang w:eastAsia="fr-FR"/>
              </w:rPr>
              <w:t>0.0001</w:t>
            </w:r>
          </w:p>
        </w:tc>
      </w:tr>
    </w:tbl>
    <w:p w:rsidR="006E4C82" w:rsidRPr="00110C7D" w:rsidRDefault="006E4C82" w:rsidP="007A6BE1">
      <w:pPr>
        <w:pStyle w:val="Lgende"/>
        <w:spacing w:after="0"/>
        <w:ind w:left="510" w:right="567"/>
        <w:jc w:val="both"/>
        <w:rPr>
          <w:rFonts w:asciiTheme="majorBidi" w:hAnsiTheme="majorBidi" w:cstheme="majorBidi"/>
          <w:color w:val="auto"/>
          <w:sz w:val="16"/>
          <w:szCs w:val="16"/>
          <w:lang w:val="en-US"/>
        </w:rPr>
      </w:pPr>
      <w:r w:rsidRPr="00110C7D">
        <w:rPr>
          <w:rFonts w:asciiTheme="majorBidi" w:hAnsiTheme="majorBidi" w:cstheme="majorBidi"/>
          <w:color w:val="auto"/>
          <w:sz w:val="16"/>
          <w:szCs w:val="16"/>
          <w:lang w:val="en-US"/>
        </w:rPr>
        <w:t>Note :</w:t>
      </w:r>
      <w:r w:rsidRPr="00110C7D">
        <w:rPr>
          <w:rFonts w:asciiTheme="majorBidi" w:hAnsiTheme="majorBidi" w:cstheme="majorBidi"/>
          <w:b w:val="0"/>
          <w:color w:val="auto"/>
          <w:sz w:val="16"/>
          <w:szCs w:val="16"/>
          <w:lang w:val="en-US"/>
        </w:rPr>
        <w:t xml:space="preserve"> The superscripts *, ** and *** denote the level significance at 1%, 5%, and 10%, respectively.</w:t>
      </w:r>
    </w:p>
    <w:p w:rsidR="00E909A2" w:rsidRPr="004C4291" w:rsidRDefault="00E909A2" w:rsidP="007A6BE1">
      <w:pPr>
        <w:ind w:left="510" w:firstLine="340"/>
        <w:jc w:val="both"/>
        <w:rPr>
          <w:rFonts w:asciiTheme="majorBidi" w:eastAsia="Times New Roman" w:hAnsiTheme="majorBidi" w:cstheme="majorBidi"/>
          <w:lang w:val="en-US"/>
        </w:rPr>
      </w:pPr>
    </w:p>
    <w:p w:rsidR="0068758C" w:rsidRPr="0068758C" w:rsidRDefault="00432CA1" w:rsidP="0068758C">
      <w:pPr>
        <w:autoSpaceDE w:val="0"/>
        <w:autoSpaceDN w:val="0"/>
        <w:adjustRightInd w:val="0"/>
        <w:jc w:val="both"/>
        <w:rPr>
          <w:rFonts w:asciiTheme="majorBidi" w:hAnsiTheme="majorBidi" w:cstheme="majorBidi"/>
          <w:lang w:val="en-US"/>
        </w:rPr>
      </w:pPr>
      <w:r w:rsidRPr="004C4291">
        <w:rPr>
          <w:rFonts w:asciiTheme="majorBidi" w:hAnsiTheme="majorBidi" w:cstheme="majorBidi"/>
          <w:lang w:val="en-US"/>
        </w:rPr>
        <w:t xml:space="preserve">Finally, the </w:t>
      </w:r>
      <m:oMath>
        <m:sSup>
          <m:sSupPr>
            <m:ctrlPr>
              <w:rPr>
                <w:rFonts w:ascii="Cambria Math" w:hAnsi="Cambria Math" w:cstheme="majorBidi"/>
                <w:i/>
                <w:iCs/>
              </w:rPr>
            </m:ctrlPr>
          </m:sSupPr>
          <m:e>
            <m:r>
              <w:rPr>
                <w:rFonts w:ascii="Cambria Math" w:hAnsi="Cambria Math" w:cstheme="majorBidi"/>
              </w:rPr>
              <m:t>χ</m:t>
            </m:r>
          </m:e>
          <m:sup>
            <m:r>
              <w:rPr>
                <w:rFonts w:ascii="Cambria Math" w:hAnsi="Cambria Math" w:cstheme="majorBidi"/>
                <w:lang w:val="en-US"/>
              </w:rPr>
              <m:t>2</m:t>
            </m:r>
          </m:sup>
        </m:sSup>
        <m:r>
          <w:rPr>
            <w:rFonts w:ascii="Cambria Math" w:hAnsi="Cambria Math" w:cstheme="majorBidi"/>
            <w:lang w:val="en-US"/>
          </w:rPr>
          <m:t>(3)</m:t>
        </m:r>
      </m:oMath>
      <w:r w:rsidRPr="004C4291">
        <w:rPr>
          <w:rFonts w:asciiTheme="majorBidi" w:hAnsiTheme="majorBidi" w:cstheme="majorBidi"/>
          <w:lang w:val="en-US"/>
        </w:rPr>
        <w:t xml:space="preserve"> j</w:t>
      </w:r>
      <w:r w:rsidR="00900211" w:rsidRPr="004C4291">
        <w:rPr>
          <w:rFonts w:asciiTheme="majorBidi" w:hAnsiTheme="majorBidi" w:cstheme="majorBidi"/>
          <w:lang w:val="en-US"/>
        </w:rPr>
        <w:t>oint test statistics for USD/EUR, DAX30, CAC40 and FTSE100</w:t>
      </w:r>
      <w:r w:rsidRPr="004C4291">
        <w:rPr>
          <w:rFonts w:asciiTheme="majorBidi" w:hAnsiTheme="majorBidi" w:cstheme="majorBidi"/>
          <w:lang w:val="en-US"/>
        </w:rPr>
        <w:t xml:space="preserve"> have </w:t>
      </w:r>
      <w:r w:rsidRPr="004C4291">
        <w:rPr>
          <w:rFonts w:asciiTheme="majorBidi" w:hAnsiTheme="majorBidi" w:cstheme="majorBidi"/>
          <w:i/>
          <w:iCs/>
          <w:lang w:val="en-US"/>
        </w:rPr>
        <w:t>p</w:t>
      </w:r>
      <w:r w:rsidR="00900211" w:rsidRPr="004C4291">
        <w:rPr>
          <w:rFonts w:asciiTheme="majorBidi" w:hAnsiTheme="majorBidi" w:cstheme="majorBidi"/>
          <w:lang w:val="en-US"/>
        </w:rPr>
        <w:t>-values of 0.0000 and 0.0001</w:t>
      </w:r>
      <w:r w:rsidRPr="004C4291">
        <w:rPr>
          <w:rFonts w:asciiTheme="majorBidi" w:hAnsiTheme="majorBidi" w:cstheme="majorBidi"/>
          <w:lang w:val="en-US"/>
        </w:rPr>
        <w:t>, respectively, demonstrating a very rejection of the null of no asymmetries. The results overall would thus suggest motivation for estimating an asymmetric volatility model for these particular series.</w:t>
      </w:r>
    </w:p>
    <w:p w:rsidR="0068758C" w:rsidRDefault="0068758C" w:rsidP="00A3084B">
      <w:pPr>
        <w:ind w:firstLine="340"/>
        <w:jc w:val="both"/>
        <w:rPr>
          <w:rFonts w:asciiTheme="majorBidi" w:eastAsia="Times New Roman" w:hAnsiTheme="majorBidi" w:cstheme="majorBidi"/>
          <w:lang w:val="en-US"/>
        </w:rPr>
      </w:pPr>
    </w:p>
    <w:p w:rsidR="0068758C" w:rsidRDefault="0068758C" w:rsidP="00A3084B">
      <w:pPr>
        <w:ind w:firstLine="340"/>
        <w:jc w:val="both"/>
        <w:rPr>
          <w:rFonts w:asciiTheme="majorBidi" w:eastAsia="Times New Roman" w:hAnsiTheme="majorBidi" w:cstheme="majorBidi"/>
          <w:lang w:val="en-US"/>
        </w:rPr>
      </w:pPr>
    </w:p>
    <w:p w:rsidR="0068758C" w:rsidRPr="004C4291" w:rsidRDefault="0068758C" w:rsidP="00A3084B">
      <w:pPr>
        <w:ind w:firstLine="340"/>
        <w:jc w:val="both"/>
        <w:rPr>
          <w:rFonts w:asciiTheme="majorBidi" w:eastAsia="Times New Roman" w:hAnsiTheme="majorBidi" w:cstheme="majorBidi"/>
          <w:lang w:val="en-US"/>
        </w:rPr>
      </w:pPr>
    </w:p>
    <w:p w:rsidR="00021BC3" w:rsidRPr="004C4291" w:rsidRDefault="00021BC3" w:rsidP="004C4291">
      <w:pPr>
        <w:pStyle w:val="Paragraphedeliste"/>
        <w:numPr>
          <w:ilvl w:val="1"/>
          <w:numId w:val="4"/>
        </w:numPr>
        <w:spacing w:after="0" w:line="240" w:lineRule="auto"/>
        <w:ind w:left="397" w:hanging="340"/>
        <w:jc w:val="both"/>
        <w:rPr>
          <w:rFonts w:asciiTheme="majorBidi" w:hAnsiTheme="majorBidi" w:cstheme="majorBidi"/>
          <w:b/>
          <w:sz w:val="23"/>
          <w:szCs w:val="23"/>
          <w:lang w:val="en-US"/>
        </w:rPr>
      </w:pPr>
      <w:r w:rsidRPr="004C4291">
        <w:rPr>
          <w:rFonts w:asciiTheme="majorBidi" w:hAnsiTheme="majorBidi" w:cstheme="majorBidi"/>
          <w:b/>
          <w:sz w:val="23"/>
          <w:szCs w:val="23"/>
          <w:lang w:val="en-US"/>
        </w:rPr>
        <w:lastRenderedPageBreak/>
        <w:t>Empirical results</w:t>
      </w:r>
    </w:p>
    <w:p w:rsidR="00021BC3" w:rsidRPr="00D540F7" w:rsidRDefault="00021BC3" w:rsidP="00021BC3">
      <w:pPr>
        <w:pStyle w:val="Paragraphedeliste"/>
        <w:rPr>
          <w:rFonts w:asciiTheme="majorBidi" w:hAnsiTheme="majorBidi" w:cstheme="majorBidi"/>
          <w:b/>
          <w:sz w:val="24"/>
          <w:szCs w:val="24"/>
          <w:lang w:val="en-US"/>
        </w:rPr>
      </w:pPr>
    </w:p>
    <w:p w:rsidR="00021BC3" w:rsidRPr="004C4291" w:rsidRDefault="00021BC3" w:rsidP="004C4291">
      <w:pPr>
        <w:pStyle w:val="Paragraphedeliste"/>
        <w:numPr>
          <w:ilvl w:val="2"/>
          <w:numId w:val="4"/>
        </w:numPr>
        <w:spacing w:after="0" w:line="240" w:lineRule="auto"/>
        <w:ind w:left="453" w:hanging="340"/>
        <w:jc w:val="both"/>
        <w:rPr>
          <w:rFonts w:asciiTheme="majorBidi" w:hAnsiTheme="majorBidi" w:cstheme="majorBidi"/>
          <w:b/>
          <w:lang w:val="en-US"/>
        </w:rPr>
      </w:pPr>
      <w:r w:rsidRPr="004C4291">
        <w:rPr>
          <w:rFonts w:asciiTheme="majorBidi" w:hAnsiTheme="majorBidi" w:cstheme="majorBidi"/>
          <w:b/>
          <w:lang w:val="en-US"/>
        </w:rPr>
        <w:t>AR-EGARCH specification</w:t>
      </w:r>
    </w:p>
    <w:p w:rsidR="00021BC3" w:rsidRPr="004C4291" w:rsidRDefault="00021BC3" w:rsidP="00021BC3">
      <w:pPr>
        <w:pStyle w:val="Paragraphedeliste"/>
        <w:spacing w:after="0" w:line="240" w:lineRule="auto"/>
        <w:ind w:left="1440"/>
        <w:jc w:val="both"/>
        <w:rPr>
          <w:rFonts w:asciiTheme="majorBidi" w:hAnsiTheme="majorBidi" w:cstheme="majorBidi"/>
          <w:b/>
          <w:lang w:val="en-US"/>
        </w:rPr>
      </w:pPr>
    </w:p>
    <w:p w:rsidR="00021BC3" w:rsidRDefault="00021BC3" w:rsidP="004C4291">
      <w:pPr>
        <w:ind w:firstLine="340"/>
        <w:jc w:val="both"/>
        <w:rPr>
          <w:rFonts w:asciiTheme="majorBidi" w:hAnsiTheme="majorBidi" w:cstheme="majorBidi"/>
          <w:lang w:val="en-US"/>
        </w:rPr>
      </w:pPr>
      <w:r w:rsidRPr="004C4291">
        <w:rPr>
          <w:rFonts w:asciiTheme="majorBidi" w:hAnsiTheme="majorBidi" w:cstheme="majorBidi"/>
          <w:lang w:val="en-US"/>
        </w:rPr>
        <w:t>The first step of this specification is to estimate the univariate</w:t>
      </w:r>
      <m:oMath>
        <m:r>
          <w:rPr>
            <w:rFonts w:ascii="Cambria Math" w:hAnsi="Cambria Math" w:cstheme="majorBidi"/>
            <w:lang w:val="en-US"/>
          </w:rPr>
          <m:t>AR</m:t>
        </m:r>
        <m:r>
          <w:rPr>
            <w:rFonts w:ascii="Cambria Math" w:hAnsiTheme="majorBidi" w:cstheme="majorBidi"/>
            <w:lang w:val="en-US"/>
          </w:rPr>
          <m:t>(</m:t>
        </m:r>
        <m:r>
          <w:rPr>
            <w:rFonts w:ascii="Cambria Math" w:hAnsi="Cambria Math" w:cstheme="majorBidi"/>
            <w:lang w:val="en-US"/>
          </w:rPr>
          <m:t>m</m:t>
        </m:r>
        <m:r>
          <w:rPr>
            <w:rFonts w:ascii="Cambria Math" w:hAnsiTheme="majorBidi" w:cstheme="majorBidi"/>
            <w:lang w:val="en-US"/>
          </w:rPr>
          <m:t>)</m:t>
        </m:r>
        <m:r>
          <w:rPr>
            <w:rFonts w:ascii="Cambria Math" w:hAnsiTheme="majorBidi" w:cstheme="majorBidi"/>
            <w:lang w:val="en-US"/>
          </w:rPr>
          <m:t>-</m:t>
        </m:r>
        <m:r>
          <w:rPr>
            <w:rFonts w:ascii="Cambria Math" w:hAnsi="Cambria Math" w:cstheme="majorBidi"/>
            <w:lang w:val="en-US"/>
          </w:rPr>
          <m:t>EGARCH</m:t>
        </m:r>
        <m:r>
          <w:rPr>
            <w:rFonts w:ascii="Cambria Math" w:hAnsiTheme="majorBidi" w:cstheme="majorBidi"/>
            <w:lang w:val="en-US"/>
          </w:rPr>
          <m:t>(</m:t>
        </m:r>
        <m:r>
          <w:rPr>
            <w:rFonts w:ascii="Cambria Math" w:hAnsi="Cambria Math" w:cstheme="majorBidi"/>
            <w:lang w:val="en-US"/>
          </w:rPr>
          <m:t>p</m:t>
        </m:r>
        <m:r>
          <w:rPr>
            <w:rFonts w:ascii="Cambria Math" w:hAnsiTheme="majorBidi" w:cstheme="majorBidi"/>
            <w:lang w:val="en-US"/>
          </w:rPr>
          <m:t>,</m:t>
        </m:r>
        <m:r>
          <w:rPr>
            <w:rFonts w:ascii="Cambria Math" w:hAnsi="Cambria Math" w:cstheme="majorBidi"/>
            <w:lang w:val="en-US"/>
          </w:rPr>
          <m:t>q</m:t>
        </m:r>
        <m:r>
          <w:rPr>
            <w:rFonts w:ascii="Cambria Math" w:hAnsiTheme="majorBidi" w:cstheme="majorBidi"/>
            <w:lang w:val="en-US"/>
          </w:rPr>
          <m:t>)</m:t>
        </m:r>
      </m:oMath>
      <w:r w:rsidRPr="004C4291">
        <w:rPr>
          <w:rFonts w:asciiTheme="majorBidi" w:hAnsiTheme="majorBidi" w:cstheme="majorBidi"/>
          <w:lang w:val="en-US"/>
        </w:rPr>
        <w:t xml:space="preserve"> models for each exchange rate and stock market return series (see Table 3). This paper considers the asymmetric effect, while</w:t>
      </w:r>
      <w:r w:rsidRPr="004C4291">
        <w:rPr>
          <w:rFonts w:asciiTheme="majorBidi" w:hAnsiTheme="majorBidi" w:cstheme="majorBidi"/>
          <w:color w:val="0070C0"/>
          <w:lang w:val="en-US"/>
        </w:rPr>
        <w:t>Tamakoshi and Hamori (2014)</w:t>
      </w:r>
      <w:r w:rsidRPr="004C4291">
        <w:rPr>
          <w:rFonts w:asciiTheme="majorBidi" w:hAnsiTheme="majorBidi" w:cstheme="majorBidi"/>
          <w:lang w:val="en-US"/>
        </w:rPr>
        <w:t xml:space="preserve"> did not. The </w:t>
      </w:r>
      <m:oMath>
        <m:r>
          <w:rPr>
            <w:rFonts w:ascii="Cambria Math" w:hAnsi="Cambria Math" w:cstheme="majorBidi"/>
            <w:lang w:val="en-US"/>
          </w:rPr>
          <m:t>AR</m:t>
        </m:r>
        <m:d>
          <m:dPr>
            <m:ctrlPr>
              <w:rPr>
                <w:rFonts w:ascii="Cambria Math" w:hAnsiTheme="majorBidi" w:cstheme="majorBidi"/>
                <w:i/>
                <w:lang w:val="en-US"/>
              </w:rPr>
            </m:ctrlPr>
          </m:dPr>
          <m:e>
            <m:r>
              <w:rPr>
                <w:rFonts w:ascii="Cambria Math" w:hAnsiTheme="majorBidi" w:cstheme="majorBidi"/>
                <w:lang w:val="en-US"/>
              </w:rPr>
              <m:t>0</m:t>
            </m:r>
          </m:e>
        </m:d>
        <m:r>
          <w:rPr>
            <w:rFonts w:asciiTheme="majorBidi" w:hAnsiTheme="majorBidi" w:cstheme="majorBidi"/>
            <w:lang w:val="en-US"/>
          </w:rPr>
          <m:t>-</m:t>
        </m:r>
        <m:r>
          <w:rPr>
            <w:rFonts w:ascii="Cambria Math" w:hAnsi="Cambria Math" w:cstheme="majorBidi"/>
            <w:lang w:val="en-US"/>
          </w:rPr>
          <m:t>EGARCH</m:t>
        </m:r>
        <m:r>
          <w:rPr>
            <w:rFonts w:ascii="Cambria Math" w:hAnsiTheme="majorBidi" w:cstheme="majorBidi"/>
            <w:lang w:val="en-US"/>
          </w:rPr>
          <m:t>(1,1)</m:t>
        </m:r>
      </m:oMath>
      <w:r w:rsidRPr="004C4291">
        <w:rPr>
          <w:rFonts w:asciiTheme="majorBidi" w:hAnsiTheme="majorBidi" w:cstheme="majorBidi"/>
          <w:lang w:val="en-US"/>
        </w:rPr>
        <w:t xml:space="preserve"> model is choosen for all exchange rate and stock market returns. The estimated parameters of the </w:t>
      </w:r>
      <m:oMath>
        <m:r>
          <m:rPr>
            <m:sty m:val="p"/>
          </m:rPr>
          <w:rPr>
            <w:rFonts w:ascii="Cambria Math" w:hAnsiTheme="majorBidi" w:cstheme="majorBidi"/>
            <w:lang w:val="en-US"/>
          </w:rPr>
          <m:t>EGARCH(1,1)</m:t>
        </m:r>
      </m:oMath>
      <w:r w:rsidRPr="004C4291">
        <w:rPr>
          <w:rFonts w:asciiTheme="majorBidi" w:hAnsiTheme="majorBidi" w:cstheme="majorBidi"/>
          <w:lang w:val="en-US"/>
        </w:rPr>
        <w:t xml:space="preserve"> model are statistically significant at the 1% significa</w:t>
      </w:r>
      <w:r w:rsidR="0086152A" w:rsidRPr="004C4291">
        <w:rPr>
          <w:rFonts w:asciiTheme="majorBidi" w:hAnsiTheme="majorBidi" w:cstheme="majorBidi"/>
          <w:lang w:val="en-US"/>
        </w:rPr>
        <w:t>nce level or better for the four</w:t>
      </w:r>
      <w:r w:rsidRPr="004C4291">
        <w:rPr>
          <w:rFonts w:asciiTheme="majorBidi" w:hAnsiTheme="majorBidi" w:cstheme="majorBidi"/>
          <w:lang w:val="en-US"/>
        </w:rPr>
        <w:t xml:space="preserve"> variables</w:t>
      </w:r>
      <w:r w:rsidR="0086152A" w:rsidRPr="004C4291">
        <w:rPr>
          <w:rFonts w:asciiTheme="majorBidi" w:hAnsiTheme="majorBidi" w:cstheme="majorBidi"/>
          <w:lang w:val="en-US"/>
        </w:rPr>
        <w:t xml:space="preserve">, except the </w:t>
      </w:r>
      <m:oMath>
        <m:r>
          <w:rPr>
            <w:rFonts w:ascii="Cambria Math" w:hAnsi="Cambria Math" w:cstheme="majorBidi"/>
            <w:lang w:val="en-US"/>
          </w:rPr>
          <m:t>γ</m:t>
        </m:r>
      </m:oMath>
      <w:r w:rsidR="0086152A" w:rsidRPr="004C4291">
        <w:rPr>
          <w:rFonts w:asciiTheme="majorBidi" w:eastAsiaTheme="minorEastAsia" w:hAnsiTheme="majorBidi" w:cstheme="majorBidi"/>
          <w:lang w:val="en-US"/>
        </w:rPr>
        <w:t xml:space="preserve"> parameter for the USDEUR variable</w:t>
      </w:r>
      <w:r w:rsidRPr="004C4291">
        <w:rPr>
          <w:rFonts w:asciiTheme="majorBidi" w:hAnsiTheme="majorBidi" w:cstheme="majorBidi"/>
          <w:lang w:val="en-US"/>
        </w:rPr>
        <w:t xml:space="preserve">. Table 3 also reports the estimates of the parameter </w:t>
      </w:r>
      <m:oMath>
        <m:r>
          <m:rPr>
            <m:sty m:val="p"/>
          </m:rPr>
          <w:rPr>
            <w:rFonts w:ascii="Cambria Math" w:hAnsiTheme="majorBidi" w:cstheme="majorBidi"/>
            <w:lang w:val="en-US"/>
          </w:rPr>
          <m:t>β</m:t>
        </m:r>
      </m:oMath>
      <w:r w:rsidRPr="004C4291">
        <w:rPr>
          <w:rFonts w:asciiTheme="majorBidi" w:hAnsiTheme="majorBidi" w:cstheme="majorBidi"/>
          <w:lang w:val="en-US"/>
        </w:rPr>
        <w:t xml:space="preserve">, which measures the degree of volatility persistence. We find that </w:t>
      </w:r>
      <m:oMath>
        <m:r>
          <m:rPr>
            <m:sty m:val="p"/>
          </m:rPr>
          <w:rPr>
            <w:rFonts w:ascii="Cambria Math" w:hAnsiTheme="majorBidi" w:cstheme="majorBidi"/>
            <w:lang w:val="en-US"/>
          </w:rPr>
          <m:t>β</m:t>
        </m:r>
      </m:oMath>
      <w:r w:rsidRPr="004C4291">
        <w:rPr>
          <w:rFonts w:asciiTheme="majorBidi" w:hAnsiTheme="majorBidi" w:cstheme="majorBidi"/>
          <w:lang w:val="en-US"/>
        </w:rPr>
        <w:t xml:space="preserve"> for </w:t>
      </w:r>
      <w:r w:rsidR="00D872AF" w:rsidRPr="004C4291">
        <w:rPr>
          <w:rFonts w:asciiTheme="majorBidi" w:hAnsiTheme="majorBidi" w:cstheme="majorBidi"/>
          <w:lang w:val="en-US"/>
        </w:rPr>
        <w:t>Germany, France and United Kingdom stock prices and</w:t>
      </w:r>
      <w:r w:rsidR="002C13DF" w:rsidRPr="004C4291">
        <w:rPr>
          <w:rFonts w:asciiTheme="majorBidi" w:hAnsiTheme="majorBidi" w:cstheme="majorBidi"/>
          <w:lang w:val="en-US"/>
        </w:rPr>
        <w:t xml:space="preserve"> (USD/EUR)</w:t>
      </w:r>
      <w:r w:rsidR="0086152A" w:rsidRPr="004C4291">
        <w:rPr>
          <w:rFonts w:asciiTheme="majorBidi" w:hAnsiTheme="majorBidi" w:cstheme="majorBidi"/>
          <w:lang w:val="en-US"/>
        </w:rPr>
        <w:t xml:space="preserve"> exchange rate returns is 0.9949, 0.9854, 0.9817 and 0.9855</w:t>
      </w:r>
      <w:r w:rsidRPr="004C4291">
        <w:rPr>
          <w:rFonts w:asciiTheme="majorBidi" w:hAnsiTheme="majorBidi" w:cstheme="majorBidi"/>
          <w:lang w:val="en-US"/>
        </w:rPr>
        <w:t xml:space="preserve"> respectively. From these estimates, we could infer that the persistence in shocks to volatility is relatively large.</w:t>
      </w:r>
    </w:p>
    <w:p w:rsidR="004C4291" w:rsidRPr="004C4291" w:rsidRDefault="004C4291" w:rsidP="004C4291">
      <w:pPr>
        <w:ind w:firstLine="340"/>
        <w:jc w:val="both"/>
        <w:rPr>
          <w:rFonts w:asciiTheme="majorBidi" w:hAnsiTheme="majorBidi" w:cstheme="majorBidi"/>
          <w:lang w:val="en-US"/>
        </w:rPr>
      </w:pPr>
    </w:p>
    <w:p w:rsidR="004C4291" w:rsidRPr="004C4291" w:rsidRDefault="004C4291" w:rsidP="004C4291">
      <w:pPr>
        <w:pStyle w:val="Lgende"/>
        <w:keepNext/>
        <w:spacing w:after="0"/>
        <w:ind w:left="-170" w:right="-170"/>
        <w:jc w:val="both"/>
        <w:rPr>
          <w:rFonts w:asciiTheme="majorBidi" w:hAnsiTheme="majorBidi" w:cstheme="majorBidi"/>
          <w:color w:val="auto"/>
          <w:sz w:val="20"/>
          <w:szCs w:val="20"/>
          <w:lang w:val="en-US"/>
        </w:rPr>
      </w:pPr>
      <w:r w:rsidRPr="004C4291">
        <w:rPr>
          <w:rFonts w:asciiTheme="majorBidi" w:hAnsiTheme="majorBidi" w:cstheme="majorBidi"/>
          <w:color w:val="auto"/>
          <w:sz w:val="20"/>
          <w:szCs w:val="20"/>
          <w:lang w:val="en-US"/>
        </w:rPr>
        <w:t xml:space="preserve">Table </w:t>
      </w:r>
      <w:r w:rsidR="00194326" w:rsidRPr="004C4291">
        <w:rPr>
          <w:rFonts w:asciiTheme="majorBidi" w:hAnsiTheme="majorBidi" w:cstheme="majorBidi"/>
          <w:color w:val="auto"/>
          <w:sz w:val="20"/>
          <w:szCs w:val="20"/>
        </w:rPr>
        <w:fldChar w:fldCharType="begin"/>
      </w:r>
      <w:r w:rsidRPr="004C4291">
        <w:rPr>
          <w:rFonts w:asciiTheme="majorBidi" w:hAnsiTheme="majorBidi" w:cstheme="majorBidi"/>
          <w:color w:val="auto"/>
          <w:sz w:val="20"/>
          <w:szCs w:val="20"/>
          <w:lang w:val="en-US"/>
        </w:rPr>
        <w:instrText xml:space="preserve"> SEQ Tableau \* ARABIC </w:instrText>
      </w:r>
      <w:r w:rsidR="00194326" w:rsidRPr="004C4291">
        <w:rPr>
          <w:rFonts w:asciiTheme="majorBidi" w:hAnsiTheme="majorBidi" w:cstheme="majorBidi"/>
          <w:color w:val="auto"/>
          <w:sz w:val="20"/>
          <w:szCs w:val="20"/>
        </w:rPr>
        <w:fldChar w:fldCharType="separate"/>
      </w:r>
      <w:r w:rsidR="00955A5F">
        <w:rPr>
          <w:rFonts w:asciiTheme="majorBidi" w:hAnsiTheme="majorBidi" w:cstheme="majorBidi"/>
          <w:noProof/>
          <w:color w:val="auto"/>
          <w:sz w:val="20"/>
          <w:szCs w:val="20"/>
          <w:lang w:val="en-US"/>
        </w:rPr>
        <w:t>3</w:t>
      </w:r>
      <w:r w:rsidR="00194326" w:rsidRPr="004C4291">
        <w:rPr>
          <w:rFonts w:asciiTheme="majorBidi" w:hAnsiTheme="majorBidi" w:cstheme="majorBidi"/>
          <w:color w:val="auto"/>
          <w:sz w:val="20"/>
          <w:szCs w:val="20"/>
        </w:rPr>
        <w:fldChar w:fldCharType="end"/>
      </w:r>
    </w:p>
    <w:p w:rsidR="004C4291" w:rsidRPr="004C4291" w:rsidRDefault="004C4291" w:rsidP="004C4291">
      <w:pPr>
        <w:ind w:left="-170" w:right="-170"/>
        <w:jc w:val="both"/>
        <w:rPr>
          <w:rFonts w:asciiTheme="majorBidi" w:hAnsiTheme="majorBidi" w:cstheme="majorBidi"/>
          <w:sz w:val="20"/>
          <w:szCs w:val="20"/>
          <w:lang w:val="en-US"/>
        </w:rPr>
      </w:pPr>
      <w:r w:rsidRPr="004C4291">
        <w:rPr>
          <w:rFonts w:asciiTheme="majorBidi" w:hAnsiTheme="majorBidi" w:cstheme="majorBidi"/>
          <w:sz w:val="20"/>
          <w:szCs w:val="20"/>
          <w:lang w:val="en-US"/>
        </w:rPr>
        <w:t>AR (0)-EGARCH (1,1) estimation results.</w:t>
      </w:r>
    </w:p>
    <w:tbl>
      <w:tblPr>
        <w:tblW w:w="9434" w:type="dxa"/>
        <w:jc w:val="center"/>
        <w:tblCellMar>
          <w:left w:w="70" w:type="dxa"/>
          <w:right w:w="70" w:type="dxa"/>
        </w:tblCellMar>
        <w:tblLook w:val="04A0"/>
      </w:tblPr>
      <w:tblGrid>
        <w:gridCol w:w="1066"/>
        <w:gridCol w:w="787"/>
        <w:gridCol w:w="637"/>
        <w:gridCol w:w="564"/>
        <w:gridCol w:w="203"/>
        <w:gridCol w:w="787"/>
        <w:gridCol w:w="594"/>
        <w:gridCol w:w="562"/>
        <w:gridCol w:w="203"/>
        <w:gridCol w:w="729"/>
        <w:gridCol w:w="594"/>
        <w:gridCol w:w="562"/>
        <w:gridCol w:w="203"/>
        <w:gridCol w:w="787"/>
        <w:gridCol w:w="594"/>
        <w:gridCol w:w="562"/>
      </w:tblGrid>
      <w:tr w:rsidR="00021BC3" w:rsidRPr="00021BC3" w:rsidTr="004C4291">
        <w:trPr>
          <w:trHeight w:val="248"/>
          <w:jc w:val="center"/>
        </w:trPr>
        <w:tc>
          <w:tcPr>
            <w:tcW w:w="1066" w:type="dxa"/>
            <w:vMerge w:val="restart"/>
            <w:tcBorders>
              <w:top w:val="single" w:sz="8" w:space="0" w:color="auto"/>
              <w:left w:val="nil"/>
              <w:bottom w:val="single" w:sz="8" w:space="0" w:color="000000"/>
              <w:right w:val="nil"/>
            </w:tcBorders>
            <w:shd w:val="clear" w:color="auto" w:fill="auto"/>
            <w:noWrap/>
            <w:vAlign w:val="bottom"/>
            <w:hideMark/>
          </w:tcPr>
          <w:p w:rsidR="00021BC3" w:rsidRPr="00D80F43" w:rsidRDefault="00021BC3" w:rsidP="00021BC3">
            <w:pPr>
              <w:jc w:val="left"/>
              <w:rPr>
                <w:rFonts w:ascii="Times New Roman" w:eastAsia="Times New Roman" w:hAnsi="Times New Roman" w:cs="Times New Roman"/>
                <w:color w:val="000000"/>
                <w:sz w:val="16"/>
                <w:szCs w:val="16"/>
                <w:lang w:val="en-US" w:eastAsia="fr-FR"/>
              </w:rPr>
            </w:pPr>
            <w:r w:rsidRPr="00D80F43">
              <w:rPr>
                <w:rFonts w:ascii="Times New Roman" w:eastAsia="Times New Roman" w:hAnsi="Times New Roman" w:cs="Times New Roman"/>
                <w:color w:val="000000"/>
                <w:sz w:val="16"/>
                <w:szCs w:val="16"/>
                <w:lang w:val="en-US" w:eastAsia="fr-FR"/>
              </w:rPr>
              <w:t> </w:t>
            </w:r>
          </w:p>
        </w:tc>
        <w:tc>
          <w:tcPr>
            <w:tcW w:w="1988" w:type="dxa"/>
            <w:gridSpan w:val="3"/>
            <w:tcBorders>
              <w:top w:val="single" w:sz="8" w:space="0" w:color="auto"/>
              <w:left w:val="nil"/>
              <w:bottom w:val="single" w:sz="8" w:space="0" w:color="auto"/>
              <w:right w:val="nil"/>
            </w:tcBorders>
            <w:shd w:val="clear" w:color="auto" w:fill="auto"/>
            <w:noWrap/>
            <w:vAlign w:val="bottom"/>
            <w:hideMark/>
          </w:tcPr>
          <w:p w:rsidR="00021BC3" w:rsidRPr="00021BC3" w:rsidRDefault="00021BC3"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USDEUR</w:t>
            </w:r>
          </w:p>
        </w:tc>
        <w:tc>
          <w:tcPr>
            <w:tcW w:w="203" w:type="dxa"/>
            <w:tcBorders>
              <w:top w:val="single" w:sz="8" w:space="0" w:color="auto"/>
              <w:left w:val="nil"/>
              <w:bottom w:val="nil"/>
              <w:right w:val="nil"/>
            </w:tcBorders>
            <w:shd w:val="clear" w:color="auto" w:fill="auto"/>
            <w:noWrap/>
            <w:vAlign w:val="bottom"/>
            <w:hideMark/>
          </w:tcPr>
          <w:p w:rsidR="00021BC3" w:rsidRPr="00021BC3" w:rsidRDefault="00021BC3" w:rsidP="00021BC3">
            <w:pPr>
              <w:jc w:val="left"/>
              <w:rPr>
                <w:rFonts w:ascii="Calibri" w:eastAsia="Times New Roman" w:hAnsi="Calibri" w:cs="Arial"/>
                <w:lang w:eastAsia="fr-FR"/>
              </w:rPr>
            </w:pPr>
            <w:r w:rsidRPr="00021BC3">
              <w:rPr>
                <w:rFonts w:ascii="Calibri" w:eastAsia="Times New Roman" w:hAnsi="Calibri" w:cs="Arial"/>
                <w:lang w:eastAsia="fr-FR"/>
              </w:rPr>
              <w:t> </w:t>
            </w:r>
          </w:p>
        </w:tc>
        <w:tc>
          <w:tcPr>
            <w:tcW w:w="1943" w:type="dxa"/>
            <w:gridSpan w:val="3"/>
            <w:tcBorders>
              <w:top w:val="single" w:sz="8" w:space="0" w:color="auto"/>
              <w:left w:val="nil"/>
              <w:bottom w:val="single" w:sz="8" w:space="0" w:color="auto"/>
              <w:right w:val="nil"/>
            </w:tcBorders>
            <w:shd w:val="clear" w:color="auto" w:fill="auto"/>
            <w:noWrap/>
            <w:vAlign w:val="bottom"/>
            <w:hideMark/>
          </w:tcPr>
          <w:p w:rsidR="00021BC3" w:rsidRPr="00021BC3" w:rsidRDefault="00021BC3"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DAX30</w:t>
            </w:r>
          </w:p>
        </w:tc>
        <w:tc>
          <w:tcPr>
            <w:tcW w:w="203" w:type="dxa"/>
            <w:tcBorders>
              <w:top w:val="single" w:sz="8" w:space="0" w:color="auto"/>
              <w:left w:val="nil"/>
              <w:bottom w:val="nil"/>
              <w:right w:val="nil"/>
            </w:tcBorders>
            <w:shd w:val="clear" w:color="auto" w:fill="auto"/>
            <w:noWrap/>
            <w:vAlign w:val="bottom"/>
            <w:hideMark/>
          </w:tcPr>
          <w:p w:rsidR="00021BC3" w:rsidRPr="00021BC3" w:rsidRDefault="00021BC3" w:rsidP="00021BC3">
            <w:pPr>
              <w:jc w:val="left"/>
              <w:rPr>
                <w:rFonts w:ascii="Calibri" w:eastAsia="Times New Roman" w:hAnsi="Calibri" w:cs="Arial"/>
                <w:lang w:eastAsia="fr-FR"/>
              </w:rPr>
            </w:pPr>
            <w:r w:rsidRPr="00021BC3">
              <w:rPr>
                <w:rFonts w:ascii="Calibri" w:eastAsia="Times New Roman" w:hAnsi="Calibri" w:cs="Arial"/>
                <w:lang w:eastAsia="fr-FR"/>
              </w:rPr>
              <w:t> </w:t>
            </w:r>
          </w:p>
        </w:tc>
        <w:tc>
          <w:tcPr>
            <w:tcW w:w="1885" w:type="dxa"/>
            <w:gridSpan w:val="3"/>
            <w:tcBorders>
              <w:top w:val="single" w:sz="8" w:space="0" w:color="auto"/>
              <w:left w:val="nil"/>
              <w:bottom w:val="single" w:sz="8" w:space="0" w:color="auto"/>
              <w:right w:val="nil"/>
            </w:tcBorders>
            <w:shd w:val="clear" w:color="auto" w:fill="auto"/>
            <w:noWrap/>
            <w:vAlign w:val="bottom"/>
            <w:hideMark/>
          </w:tcPr>
          <w:p w:rsidR="00021BC3" w:rsidRPr="00021BC3" w:rsidRDefault="00021BC3"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CAC40</w:t>
            </w:r>
          </w:p>
        </w:tc>
        <w:tc>
          <w:tcPr>
            <w:tcW w:w="203"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Calibri" w:eastAsia="Times New Roman" w:hAnsi="Calibri" w:cs="Arial"/>
                <w:lang w:eastAsia="fr-FR"/>
              </w:rPr>
            </w:pPr>
            <w:r w:rsidRPr="00021BC3">
              <w:rPr>
                <w:rFonts w:ascii="Calibri" w:eastAsia="Times New Roman" w:hAnsi="Calibri" w:cs="Arial"/>
                <w:lang w:eastAsia="fr-FR"/>
              </w:rPr>
              <w:t> </w:t>
            </w:r>
          </w:p>
        </w:tc>
        <w:tc>
          <w:tcPr>
            <w:tcW w:w="1943" w:type="dxa"/>
            <w:gridSpan w:val="3"/>
            <w:tcBorders>
              <w:top w:val="single" w:sz="8" w:space="0" w:color="auto"/>
              <w:left w:val="nil"/>
              <w:bottom w:val="single" w:sz="8" w:space="0" w:color="auto"/>
              <w:right w:val="nil"/>
            </w:tcBorders>
            <w:shd w:val="clear" w:color="auto" w:fill="auto"/>
            <w:noWrap/>
            <w:vAlign w:val="bottom"/>
            <w:hideMark/>
          </w:tcPr>
          <w:p w:rsidR="00021BC3" w:rsidRPr="00021BC3" w:rsidRDefault="00021BC3"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FTSE100</w:t>
            </w:r>
          </w:p>
        </w:tc>
      </w:tr>
      <w:tr w:rsidR="00277301" w:rsidRPr="00021BC3" w:rsidTr="004C4291">
        <w:trPr>
          <w:trHeight w:val="248"/>
          <w:jc w:val="center"/>
        </w:trPr>
        <w:tc>
          <w:tcPr>
            <w:tcW w:w="1066" w:type="dxa"/>
            <w:vMerge/>
            <w:tcBorders>
              <w:top w:val="single" w:sz="8" w:space="0" w:color="auto"/>
              <w:left w:val="nil"/>
              <w:bottom w:val="single" w:sz="8" w:space="0" w:color="000000"/>
              <w:right w:val="nil"/>
            </w:tcBorders>
            <w:vAlign w:val="center"/>
            <w:hideMark/>
          </w:tcPr>
          <w:p w:rsidR="00021BC3" w:rsidRPr="00021BC3" w:rsidRDefault="00021BC3" w:rsidP="00021BC3">
            <w:pPr>
              <w:jc w:val="left"/>
              <w:rPr>
                <w:rFonts w:ascii="Times New Roman" w:eastAsia="Times New Roman" w:hAnsi="Times New Roman" w:cs="Times New Roman"/>
                <w:color w:val="000000"/>
                <w:sz w:val="16"/>
                <w:szCs w:val="16"/>
                <w:lang w:eastAsia="fr-FR"/>
              </w:rPr>
            </w:pPr>
          </w:p>
        </w:tc>
        <w:tc>
          <w:tcPr>
            <w:tcW w:w="787"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Coefficient</w:t>
            </w:r>
          </w:p>
        </w:tc>
        <w:tc>
          <w:tcPr>
            <w:tcW w:w="637"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StdError</w:t>
            </w:r>
          </w:p>
        </w:tc>
        <w:tc>
          <w:tcPr>
            <w:tcW w:w="564"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p-value</w:t>
            </w:r>
          </w:p>
        </w:tc>
        <w:tc>
          <w:tcPr>
            <w:tcW w:w="203" w:type="dxa"/>
            <w:tcBorders>
              <w:top w:val="nil"/>
              <w:left w:val="nil"/>
              <w:bottom w:val="nil"/>
              <w:right w:val="nil"/>
            </w:tcBorders>
            <w:shd w:val="clear" w:color="auto" w:fill="auto"/>
            <w:noWrap/>
            <w:vAlign w:val="bottom"/>
            <w:hideMark/>
          </w:tcPr>
          <w:p w:rsidR="00021BC3" w:rsidRPr="00021BC3" w:rsidRDefault="00021BC3" w:rsidP="00021BC3">
            <w:pPr>
              <w:jc w:val="left"/>
              <w:rPr>
                <w:rFonts w:ascii="Calibri" w:eastAsia="Times New Roman" w:hAnsi="Calibri" w:cs="Arial"/>
                <w:lang w:eastAsia="fr-FR"/>
              </w:rPr>
            </w:pPr>
          </w:p>
        </w:tc>
        <w:tc>
          <w:tcPr>
            <w:tcW w:w="787"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Coefficient</w:t>
            </w:r>
          </w:p>
        </w:tc>
        <w:tc>
          <w:tcPr>
            <w:tcW w:w="594"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StdError</w:t>
            </w:r>
          </w:p>
        </w:tc>
        <w:tc>
          <w:tcPr>
            <w:tcW w:w="562"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p-value</w:t>
            </w:r>
          </w:p>
        </w:tc>
        <w:tc>
          <w:tcPr>
            <w:tcW w:w="203" w:type="dxa"/>
            <w:tcBorders>
              <w:top w:val="nil"/>
              <w:left w:val="nil"/>
              <w:bottom w:val="nil"/>
              <w:right w:val="nil"/>
            </w:tcBorders>
            <w:shd w:val="clear" w:color="auto" w:fill="auto"/>
            <w:noWrap/>
            <w:vAlign w:val="bottom"/>
            <w:hideMark/>
          </w:tcPr>
          <w:p w:rsidR="00021BC3" w:rsidRPr="00021BC3" w:rsidRDefault="00021BC3" w:rsidP="00021BC3">
            <w:pPr>
              <w:jc w:val="left"/>
              <w:rPr>
                <w:rFonts w:ascii="Calibri" w:eastAsia="Times New Roman" w:hAnsi="Calibri" w:cs="Arial"/>
                <w:lang w:eastAsia="fr-FR"/>
              </w:rPr>
            </w:pPr>
          </w:p>
        </w:tc>
        <w:tc>
          <w:tcPr>
            <w:tcW w:w="729"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Coefficient</w:t>
            </w:r>
          </w:p>
        </w:tc>
        <w:tc>
          <w:tcPr>
            <w:tcW w:w="594"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StdError</w:t>
            </w:r>
          </w:p>
        </w:tc>
        <w:tc>
          <w:tcPr>
            <w:tcW w:w="562"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p-value</w:t>
            </w:r>
          </w:p>
        </w:tc>
        <w:tc>
          <w:tcPr>
            <w:tcW w:w="203" w:type="dxa"/>
            <w:tcBorders>
              <w:top w:val="nil"/>
              <w:left w:val="nil"/>
              <w:bottom w:val="nil"/>
              <w:right w:val="nil"/>
            </w:tcBorders>
            <w:shd w:val="clear" w:color="auto" w:fill="auto"/>
            <w:noWrap/>
            <w:vAlign w:val="bottom"/>
            <w:hideMark/>
          </w:tcPr>
          <w:p w:rsidR="00021BC3" w:rsidRPr="00021BC3" w:rsidRDefault="00021BC3" w:rsidP="00021BC3">
            <w:pPr>
              <w:jc w:val="left"/>
              <w:rPr>
                <w:rFonts w:ascii="Calibri" w:eastAsia="Times New Roman" w:hAnsi="Calibri" w:cs="Arial"/>
                <w:lang w:eastAsia="fr-FR"/>
              </w:rPr>
            </w:pPr>
          </w:p>
        </w:tc>
        <w:tc>
          <w:tcPr>
            <w:tcW w:w="787"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Coefficient</w:t>
            </w:r>
          </w:p>
        </w:tc>
        <w:tc>
          <w:tcPr>
            <w:tcW w:w="594"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StdError</w:t>
            </w:r>
          </w:p>
        </w:tc>
        <w:tc>
          <w:tcPr>
            <w:tcW w:w="562" w:type="dxa"/>
            <w:tcBorders>
              <w:top w:val="nil"/>
              <w:left w:val="nil"/>
              <w:bottom w:val="single" w:sz="8" w:space="0" w:color="auto"/>
              <w:right w:val="nil"/>
            </w:tcBorders>
            <w:shd w:val="clear" w:color="auto" w:fill="auto"/>
            <w:noWrap/>
            <w:vAlign w:val="bottom"/>
            <w:hideMark/>
          </w:tcPr>
          <w:p w:rsidR="00021BC3" w:rsidRPr="00021BC3" w:rsidRDefault="00021BC3" w:rsidP="00021BC3">
            <w:pPr>
              <w:jc w:val="left"/>
              <w:rPr>
                <w:rFonts w:ascii="Times New Roman" w:eastAsia="Times New Roman" w:hAnsi="Times New Roman" w:cs="Times New Roman"/>
                <w:color w:val="000000"/>
                <w:sz w:val="12"/>
                <w:szCs w:val="12"/>
                <w:lang w:eastAsia="fr-FR"/>
              </w:rPr>
            </w:pPr>
            <w:r w:rsidRPr="00021BC3">
              <w:rPr>
                <w:rFonts w:ascii="Times New Roman" w:eastAsia="Times New Roman" w:hAnsi="Times New Roman" w:cs="Times New Roman"/>
                <w:color w:val="000000"/>
                <w:sz w:val="12"/>
                <w:szCs w:val="12"/>
                <w:lang w:eastAsia="fr-FR"/>
              </w:rPr>
              <w:t>p-value</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361C4E" w:rsidRDefault="00194326" w:rsidP="00361C4E">
            <w:pPr>
              <w:jc w:val="both"/>
              <w:rPr>
                <w:rFonts w:asciiTheme="majorBidi" w:eastAsia="Times New Roman" w:hAnsiTheme="majorBidi" w:cstheme="majorBidi"/>
                <w:color w:val="000000"/>
                <w:sz w:val="16"/>
                <w:szCs w:val="16"/>
                <w:lang w:eastAsia="fr-FR"/>
              </w:rPr>
            </w:pPr>
            <m:oMathPara>
              <m:oMathParaPr>
                <m:jc m:val="left"/>
              </m:oMathParaPr>
              <m:oMath>
                <m:sSub>
                  <m:sSubPr>
                    <m:ctrlPr>
                      <w:rPr>
                        <w:rFonts w:ascii="Cambria Math" w:eastAsia="Times New Roman" w:hAnsi="Cambria Math" w:cstheme="majorBidi"/>
                        <w:i/>
                        <w:color w:val="000000"/>
                        <w:sz w:val="16"/>
                        <w:szCs w:val="16"/>
                        <w:lang w:val="en-US"/>
                      </w:rPr>
                    </m:ctrlPr>
                  </m:sSubPr>
                  <m:e>
                    <m:r>
                      <w:rPr>
                        <w:rFonts w:ascii="Cambria Math" w:eastAsia="Times New Roman" w:hAnsi="Cambria Math" w:cstheme="majorBidi"/>
                        <w:color w:val="000000"/>
                        <w:sz w:val="16"/>
                        <w:szCs w:val="16"/>
                        <w:lang w:val="en-US"/>
                      </w:rPr>
                      <m:t>μ</m:t>
                    </m:r>
                  </m:e>
                  <m:sub>
                    <m:r>
                      <w:rPr>
                        <w:rFonts w:ascii="Cambria Math" w:eastAsia="Times New Roman" w:hAnsi="Cambria Math" w:cstheme="majorBidi"/>
                        <w:color w:val="000000"/>
                        <w:sz w:val="16"/>
                        <w:szCs w:val="16"/>
                        <w:lang w:val="en-US"/>
                      </w:rPr>
                      <m:t>0</m:t>
                    </m:r>
                  </m:sub>
                </m:sSub>
              </m:oMath>
            </m:oMathPara>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0.0272</w:t>
            </w:r>
            <w:r w:rsidR="00D440ED">
              <w:rPr>
                <w:rFonts w:ascii="Times New Roman" w:eastAsia="Times New Roman" w:hAnsi="Times New Roman" w:cs="Times New Roman"/>
                <w:color w:val="000000"/>
                <w:sz w:val="14"/>
                <w:szCs w:val="14"/>
                <w:lang w:eastAsia="fr-FR"/>
              </w:rPr>
              <w:t>*</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0.0096</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0.005</w:t>
            </w:r>
            <w:r>
              <w:rPr>
                <w:rFonts w:ascii="Times New Roman" w:eastAsia="Times New Roman" w:hAnsi="Times New Roman" w:cs="Times New Roman"/>
                <w:color w:val="000000"/>
                <w:sz w:val="14"/>
                <w:szCs w:val="14"/>
                <w:lang w:eastAsia="fr-FR"/>
              </w:rPr>
              <w:t>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0.0599</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0.0162</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0.0002</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0.0179</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0.0178</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0.3149</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0.0247</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0.0127</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0.0517</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361C4E" w:rsidRDefault="00815FA1" w:rsidP="00361C4E">
            <w:pPr>
              <w:jc w:val="both"/>
              <w:rPr>
                <w:rFonts w:asciiTheme="majorBidi" w:eastAsia="Times New Roman" w:hAnsiTheme="majorBidi" w:cstheme="majorBidi"/>
                <w:color w:val="000000"/>
                <w:sz w:val="16"/>
                <w:szCs w:val="16"/>
                <w:lang w:eastAsia="fr-FR"/>
              </w:rPr>
            </w:pPr>
            <m:oMathPara>
              <m:oMathParaPr>
                <m:jc m:val="left"/>
              </m:oMathParaPr>
              <m:oMath>
                <m:r>
                  <w:rPr>
                    <w:rFonts w:ascii="Cambria Math" w:eastAsia="Times New Roman" w:hAnsi="Cambria Math" w:cstheme="majorBidi"/>
                    <w:color w:val="000000"/>
                    <w:sz w:val="16"/>
                    <w:szCs w:val="16"/>
                    <w:lang w:eastAsia="fr-FR"/>
                  </w:rPr>
                  <m:t>ω</m:t>
                </m:r>
              </m:oMath>
            </m:oMathPara>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-0.0595</w:t>
            </w:r>
            <w:r w:rsidR="00D440ED">
              <w:rPr>
                <w:rFonts w:ascii="Times New Roman" w:eastAsia="Times New Roman" w:hAnsi="Times New Roman" w:cs="Times New Roman"/>
                <w:color w:val="000000"/>
                <w:sz w:val="14"/>
                <w:szCs w:val="14"/>
                <w:lang w:eastAsia="fr-FR"/>
              </w:rPr>
              <w:t>*</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0.0091</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-0.0836</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0.0107</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-0.0724</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0.0111</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-0.0915</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0.0121</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361C4E" w:rsidRDefault="00815FA1" w:rsidP="00361C4E">
            <w:pPr>
              <w:jc w:val="left"/>
              <w:rPr>
                <w:rFonts w:asciiTheme="majorBidi" w:eastAsia="Times New Roman" w:hAnsiTheme="majorBidi" w:cstheme="majorBidi"/>
                <w:color w:val="000000"/>
                <w:sz w:val="16"/>
                <w:szCs w:val="16"/>
                <w:lang w:val="en-US"/>
              </w:rPr>
            </w:pPr>
            <m:oMathPara>
              <m:oMathParaPr>
                <m:jc m:val="left"/>
              </m:oMathParaPr>
              <m:oMath>
                <m:r>
                  <w:rPr>
                    <w:rFonts w:ascii="Cambria Math" w:eastAsia="Times New Roman" w:hAnsi="Cambria Math" w:cstheme="majorBidi"/>
                    <w:color w:val="000000"/>
                    <w:sz w:val="16"/>
                    <w:szCs w:val="16"/>
                    <w:lang w:val="en-US"/>
                  </w:rPr>
                  <m:t>α</m:t>
                </m:r>
              </m:oMath>
            </m:oMathPara>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0.0717</w:t>
            </w:r>
            <w:r w:rsidR="00D440ED">
              <w:rPr>
                <w:rFonts w:ascii="Times New Roman" w:eastAsia="Times New Roman" w:hAnsi="Times New Roman" w:cs="Times New Roman"/>
                <w:color w:val="000000"/>
                <w:sz w:val="14"/>
                <w:szCs w:val="14"/>
                <w:lang w:eastAsia="fr-FR"/>
              </w:rPr>
              <w:t>*</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0.01107</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0.1117</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0.0143</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0.098</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0.0142</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0.1137</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0.0156</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361C4E" w:rsidRDefault="00815FA1" w:rsidP="00361C4E">
            <w:pPr>
              <w:jc w:val="left"/>
              <w:rPr>
                <w:rFonts w:asciiTheme="majorBidi" w:eastAsia="Times New Roman" w:hAnsiTheme="majorBidi" w:cstheme="majorBidi"/>
                <w:color w:val="000000"/>
                <w:sz w:val="16"/>
                <w:szCs w:val="16"/>
                <w:lang w:val="en-US"/>
              </w:rPr>
            </w:pPr>
            <m:oMathPara>
              <m:oMathParaPr>
                <m:jc m:val="left"/>
              </m:oMathParaPr>
              <m:oMath>
                <m:r>
                  <w:rPr>
                    <w:rFonts w:ascii="Cambria Math" w:eastAsia="Times New Roman" w:hAnsi="Cambria Math" w:cstheme="majorBidi"/>
                    <w:color w:val="000000"/>
                    <w:sz w:val="16"/>
                    <w:szCs w:val="16"/>
                    <w:lang w:val="en-US"/>
                  </w:rPr>
                  <m:t>β</m:t>
                </m:r>
              </m:oMath>
            </m:oMathPara>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0.9949</w:t>
            </w:r>
            <w:r w:rsidR="00D440ED">
              <w:rPr>
                <w:rFonts w:ascii="Times New Roman" w:eastAsia="Times New Roman" w:hAnsi="Times New Roman" w:cs="Times New Roman"/>
                <w:color w:val="000000"/>
                <w:sz w:val="14"/>
                <w:szCs w:val="14"/>
                <w:lang w:eastAsia="fr-FR"/>
              </w:rPr>
              <w:t>*</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0.0023</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0.9854</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0.0028</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0.9817</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0.003</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0.9855</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0.0027</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361C4E" w:rsidRDefault="00815FA1" w:rsidP="00361C4E">
            <w:pPr>
              <w:jc w:val="left"/>
              <w:rPr>
                <w:rFonts w:asciiTheme="majorBidi" w:eastAsia="Times New Roman" w:hAnsiTheme="majorBidi" w:cstheme="majorBidi"/>
                <w:color w:val="000000"/>
                <w:sz w:val="16"/>
                <w:szCs w:val="16"/>
                <w:lang w:val="en-US"/>
              </w:rPr>
            </w:pPr>
            <m:oMathPara>
              <m:oMathParaPr>
                <m:jc m:val="left"/>
              </m:oMathParaPr>
              <m:oMath>
                <m:r>
                  <w:rPr>
                    <w:rFonts w:ascii="Cambria Math" w:eastAsia="Times New Roman" w:hAnsi="Cambria Math" w:cstheme="majorBidi"/>
                    <w:color w:val="000000"/>
                    <w:sz w:val="16"/>
                    <w:szCs w:val="16"/>
                    <w:lang w:val="en-US"/>
                  </w:rPr>
                  <m:t>γ</m:t>
                </m:r>
              </m:oMath>
            </m:oMathPara>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-0.0058</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0.0072</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0.4236</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-0.1322</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0.0134</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-0.161</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0.0143</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-0.129</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0.0118</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D540F7" w:rsidRDefault="00815FA1" w:rsidP="00AC6778">
            <w:pPr>
              <w:jc w:val="left"/>
              <w:rPr>
                <w:rFonts w:asciiTheme="majorBidi" w:eastAsia="Times New Roman" w:hAnsiTheme="majorBidi" w:cstheme="majorBidi"/>
                <w:color w:val="000000"/>
                <w:sz w:val="16"/>
                <w:szCs w:val="16"/>
                <w:lang w:val="en-US"/>
              </w:rPr>
            </w:pPr>
            <w:r w:rsidRPr="00D540F7">
              <w:rPr>
                <w:rFonts w:asciiTheme="majorBidi" w:eastAsia="Times New Roman" w:hAnsiTheme="majorBidi" w:cstheme="majorBidi"/>
                <w:color w:val="000000"/>
                <w:sz w:val="16"/>
                <w:szCs w:val="16"/>
                <w:lang w:val="en-US"/>
              </w:rPr>
              <w:t xml:space="preserve">Student-t parameter </w:t>
            </w:r>
            <m:oMath>
              <m:r>
                <w:rPr>
                  <w:rFonts w:ascii="Cambria Math" w:eastAsia="Times New Roman" w:hAnsi="Cambria Math" w:cstheme="majorBidi"/>
                  <w:color w:val="000000"/>
                  <w:sz w:val="16"/>
                  <w:szCs w:val="16"/>
                  <w:lang w:val="en-US"/>
                </w:rPr>
                <m:t>(υ)</m:t>
              </m:r>
            </m:oMath>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8.4495</w:t>
            </w:r>
            <w:r w:rsidR="00D440ED">
              <w:rPr>
                <w:rFonts w:ascii="Times New Roman" w:eastAsia="Times New Roman" w:hAnsi="Times New Roman" w:cs="Times New Roman"/>
                <w:color w:val="000000"/>
                <w:sz w:val="14"/>
                <w:szCs w:val="14"/>
                <w:lang w:eastAsia="fr-FR"/>
              </w:rPr>
              <w:t>*</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1.3689</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8.8122</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1.4234</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10.9226</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1.9023</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10</w:t>
            </w:r>
            <w:r>
              <w:rPr>
                <w:rFonts w:ascii="Times New Roman" w:eastAsia="Times New Roman" w:hAnsi="Times New Roman" w:cs="Times New Roman"/>
                <w:color w:val="000000"/>
                <w:sz w:val="14"/>
                <w:szCs w:val="14"/>
                <w:lang w:eastAsia="fr-FR"/>
              </w:rPr>
              <w:t>.0000</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1.6317</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D540F7" w:rsidRDefault="00815FA1" w:rsidP="00AC6778">
            <w:pPr>
              <w:jc w:val="left"/>
              <w:rPr>
                <w:rFonts w:asciiTheme="majorBidi" w:eastAsia="Times New Roman" w:hAnsiTheme="majorBidi" w:cstheme="majorBidi"/>
                <w:color w:val="000000"/>
                <w:sz w:val="16"/>
                <w:szCs w:val="16"/>
                <w:lang w:val="en-US"/>
              </w:rPr>
            </w:pPr>
            <w:r w:rsidRPr="00D540F7">
              <w:rPr>
                <w:rFonts w:asciiTheme="majorBidi" w:eastAsia="Times New Roman" w:hAnsiTheme="majorBidi" w:cstheme="majorBidi"/>
                <w:color w:val="000000"/>
                <w:sz w:val="16"/>
                <w:szCs w:val="16"/>
                <w:lang w:val="en-US"/>
              </w:rPr>
              <w:t>Log likelihood</w:t>
            </w: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-2738.0844</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-5028.1955</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-4985.35</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Calibri" w:eastAsia="Times New Roman" w:hAnsi="Calibri" w:cs="Arial"/>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-4278.5048</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r>
      <w:tr w:rsidR="00277301" w:rsidRPr="00021BC3" w:rsidTr="004C4291">
        <w:trPr>
          <w:trHeight w:val="248"/>
          <w:jc w:val="center"/>
        </w:trPr>
        <w:tc>
          <w:tcPr>
            <w:tcW w:w="1066" w:type="dxa"/>
            <w:tcBorders>
              <w:top w:val="nil"/>
              <w:left w:val="nil"/>
              <w:bottom w:val="nil"/>
              <w:right w:val="nil"/>
            </w:tcBorders>
            <w:shd w:val="clear" w:color="auto" w:fill="auto"/>
            <w:noWrap/>
            <w:vAlign w:val="center"/>
            <w:hideMark/>
          </w:tcPr>
          <w:p w:rsidR="00815FA1" w:rsidRPr="00D540F7" w:rsidRDefault="00815FA1" w:rsidP="00AC6778">
            <w:pPr>
              <w:jc w:val="left"/>
              <w:rPr>
                <w:rFonts w:asciiTheme="majorBidi" w:eastAsia="Times New Roman" w:hAnsiTheme="majorBidi" w:cstheme="majorBidi"/>
                <w:color w:val="000000"/>
                <w:sz w:val="16"/>
                <w:szCs w:val="16"/>
                <w:lang w:val="en-US"/>
              </w:rPr>
            </w:pPr>
            <m:oMath>
              <m:r>
                <w:rPr>
                  <w:rFonts w:ascii="Cambria Math" w:eastAsia="Times New Roman" w:hAnsi="Cambria Math" w:cstheme="majorBidi"/>
                  <w:color w:val="000000"/>
                  <w:sz w:val="16"/>
                  <w:szCs w:val="16"/>
                  <w:lang w:val="en-US"/>
                </w:rPr>
                <m:t>LB-Q(20)</m:t>
              </m:r>
            </m:oMath>
            <w:r w:rsidR="00071966">
              <w:rPr>
                <w:rFonts w:asciiTheme="majorBidi" w:eastAsia="Times New Roman" w:hAnsiTheme="majorBidi" w:cstheme="majorBidi"/>
                <w:color w:val="000000"/>
                <w:sz w:val="16"/>
                <w:szCs w:val="16"/>
                <w:lang w:val="en-US"/>
              </w:rPr>
              <w:t xml:space="preserve"> </w:t>
            </w: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16.1262</w:t>
            </w:r>
          </w:p>
        </w:tc>
        <w:tc>
          <w:tcPr>
            <w:tcW w:w="63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0.7087</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15.7351</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0.7329</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p>
        </w:tc>
        <w:tc>
          <w:tcPr>
            <w:tcW w:w="729"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29.725</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0.0744</w:t>
            </w:r>
          </w:p>
        </w:tc>
        <w:tc>
          <w:tcPr>
            <w:tcW w:w="203"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p>
        </w:tc>
        <w:tc>
          <w:tcPr>
            <w:tcW w:w="787"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32.4955</w:t>
            </w:r>
            <w:r w:rsidR="00D440ED">
              <w:rPr>
                <w:rFonts w:ascii="Times New Roman" w:eastAsia="Times New Roman" w:hAnsi="Times New Roman" w:cs="Times New Roman"/>
                <w:color w:val="000000"/>
                <w:sz w:val="14"/>
                <w:szCs w:val="14"/>
                <w:lang w:eastAsia="fr-FR"/>
              </w:rPr>
              <w:t>*</w:t>
            </w:r>
          </w:p>
        </w:tc>
        <w:tc>
          <w:tcPr>
            <w:tcW w:w="594"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nil"/>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0.0382</w:t>
            </w:r>
          </w:p>
        </w:tc>
      </w:tr>
      <w:tr w:rsidR="00277301" w:rsidRPr="00021BC3" w:rsidTr="004C4291">
        <w:trPr>
          <w:trHeight w:val="248"/>
          <w:jc w:val="center"/>
        </w:trPr>
        <w:tc>
          <w:tcPr>
            <w:tcW w:w="1066" w:type="dxa"/>
            <w:tcBorders>
              <w:top w:val="nil"/>
              <w:left w:val="nil"/>
              <w:bottom w:val="single" w:sz="8" w:space="0" w:color="auto"/>
              <w:right w:val="nil"/>
            </w:tcBorders>
            <w:shd w:val="clear" w:color="auto" w:fill="auto"/>
            <w:noWrap/>
            <w:vAlign w:val="center"/>
            <w:hideMark/>
          </w:tcPr>
          <w:p w:rsidR="00815FA1" w:rsidRPr="00D540F7" w:rsidRDefault="00815FA1" w:rsidP="00AC6778">
            <w:pPr>
              <w:jc w:val="left"/>
              <w:rPr>
                <w:rFonts w:asciiTheme="majorBidi" w:eastAsia="Times New Roman" w:hAnsiTheme="majorBidi" w:cstheme="majorBidi"/>
                <w:color w:val="000000"/>
                <w:sz w:val="16"/>
                <w:szCs w:val="16"/>
                <w:lang w:val="en-US"/>
              </w:rPr>
            </w:pPr>
            <m:oMath>
              <m:r>
                <w:rPr>
                  <w:rFonts w:ascii="Cambria Math" w:hAnsi="Cambria Math" w:cstheme="majorBidi"/>
                  <w:sz w:val="16"/>
                  <w:szCs w:val="16"/>
                  <w:lang w:val="en-US"/>
                </w:rPr>
                <m:t>LB-</m:t>
              </m:r>
              <m:sSup>
                <m:sSupPr>
                  <m:ctrlPr>
                    <w:rPr>
                      <w:rFonts w:ascii="Cambria Math" w:hAnsi="Cambria Math" w:cstheme="majorBidi"/>
                      <w:i/>
                      <w:sz w:val="16"/>
                      <w:szCs w:val="16"/>
                      <w:lang w:val="en-US"/>
                    </w:rPr>
                  </m:ctrlPr>
                </m:sSupPr>
                <m:e>
                  <m:r>
                    <w:rPr>
                      <w:rFonts w:ascii="Cambria Math" w:hAnsi="Cambria Math" w:cstheme="majorBidi"/>
                      <w:sz w:val="16"/>
                      <w:szCs w:val="16"/>
                      <w:lang w:val="en-US"/>
                    </w:rPr>
                    <m:t>Q</m:t>
                  </m:r>
                </m:e>
                <m:sup>
                  <m:r>
                    <w:rPr>
                      <w:rFonts w:ascii="Cambria Math" w:hAnsi="Cambria Math" w:cstheme="majorBidi"/>
                      <w:sz w:val="16"/>
                      <w:szCs w:val="16"/>
                      <w:lang w:val="en-US"/>
                    </w:rPr>
                    <m:t>2</m:t>
                  </m:r>
                </m:sup>
              </m:sSup>
              <m:r>
                <w:rPr>
                  <w:rFonts w:ascii="Cambria Math" w:hAnsi="Cambria Math" w:cstheme="majorBidi"/>
                  <w:sz w:val="16"/>
                  <w:szCs w:val="16"/>
                  <w:lang w:val="en-US"/>
                </w:rPr>
                <m:t>(20)</m:t>
              </m:r>
            </m:oMath>
            <w:r w:rsidR="00071966">
              <w:rPr>
                <w:rFonts w:asciiTheme="majorBidi" w:eastAsia="Times New Roman" w:hAnsiTheme="majorBidi" w:cstheme="majorBidi"/>
                <w:sz w:val="16"/>
                <w:szCs w:val="16"/>
                <w:lang w:val="en-US"/>
              </w:rPr>
              <w:t xml:space="preserve"> </w:t>
            </w:r>
          </w:p>
        </w:tc>
        <w:tc>
          <w:tcPr>
            <w:tcW w:w="787"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26.9641</w:t>
            </w:r>
            <w:r w:rsidR="00D440ED">
              <w:rPr>
                <w:rFonts w:ascii="Times New Roman" w:eastAsia="Times New Roman" w:hAnsi="Times New Roman" w:cs="Times New Roman"/>
                <w:color w:val="000000"/>
                <w:sz w:val="14"/>
                <w:szCs w:val="14"/>
                <w:lang w:eastAsia="fr-FR"/>
              </w:rPr>
              <w:t>**</w:t>
            </w:r>
          </w:p>
        </w:tc>
        <w:tc>
          <w:tcPr>
            <w:tcW w:w="637"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4"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0.0796</w:t>
            </w:r>
          </w:p>
        </w:tc>
        <w:tc>
          <w:tcPr>
            <w:tcW w:w="203"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 </w:t>
            </w:r>
          </w:p>
        </w:tc>
        <w:tc>
          <w:tcPr>
            <w:tcW w:w="787"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23.0005</w:t>
            </w:r>
          </w:p>
        </w:tc>
        <w:tc>
          <w:tcPr>
            <w:tcW w:w="594"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0.1905</w:t>
            </w:r>
          </w:p>
        </w:tc>
        <w:tc>
          <w:tcPr>
            <w:tcW w:w="203"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 </w:t>
            </w:r>
          </w:p>
        </w:tc>
        <w:tc>
          <w:tcPr>
            <w:tcW w:w="729"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15.9711</w:t>
            </w:r>
          </w:p>
        </w:tc>
        <w:tc>
          <w:tcPr>
            <w:tcW w:w="594"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0.5945</w:t>
            </w:r>
          </w:p>
        </w:tc>
        <w:tc>
          <w:tcPr>
            <w:tcW w:w="203"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 </w:t>
            </w:r>
          </w:p>
        </w:tc>
        <w:tc>
          <w:tcPr>
            <w:tcW w:w="787"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12.7913</w:t>
            </w:r>
          </w:p>
        </w:tc>
        <w:tc>
          <w:tcPr>
            <w:tcW w:w="594"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_</w:t>
            </w:r>
          </w:p>
        </w:tc>
        <w:tc>
          <w:tcPr>
            <w:tcW w:w="562" w:type="dxa"/>
            <w:tcBorders>
              <w:top w:val="nil"/>
              <w:left w:val="nil"/>
              <w:bottom w:val="single" w:sz="8" w:space="0" w:color="auto"/>
              <w:right w:val="nil"/>
            </w:tcBorders>
            <w:shd w:val="clear" w:color="auto" w:fill="auto"/>
            <w:noWrap/>
            <w:vAlign w:val="bottom"/>
            <w:hideMark/>
          </w:tcPr>
          <w:p w:rsidR="00815FA1" w:rsidRPr="00021BC3" w:rsidRDefault="00815FA1" w:rsidP="00021BC3">
            <w:pPr>
              <w:rPr>
                <w:rFonts w:ascii="Times New Roman" w:eastAsia="Times New Roman" w:hAnsi="Times New Roman" w:cs="Times New Roman"/>
                <w:color w:val="000000"/>
                <w:sz w:val="14"/>
                <w:szCs w:val="14"/>
                <w:lang w:eastAsia="fr-FR"/>
              </w:rPr>
            </w:pPr>
            <w:r w:rsidRPr="00021BC3">
              <w:rPr>
                <w:rFonts w:ascii="Times New Roman" w:eastAsia="Times New Roman" w:hAnsi="Times New Roman" w:cs="Times New Roman"/>
                <w:color w:val="000000"/>
                <w:sz w:val="14"/>
                <w:szCs w:val="14"/>
                <w:lang w:eastAsia="fr-FR"/>
              </w:rPr>
              <w:t>0.8038</w:t>
            </w:r>
          </w:p>
        </w:tc>
      </w:tr>
    </w:tbl>
    <w:p w:rsidR="00021BC3" w:rsidRPr="004C4291" w:rsidRDefault="00021BC3" w:rsidP="004C4291">
      <w:pPr>
        <w:pStyle w:val="Lgende"/>
        <w:spacing w:after="0"/>
        <w:ind w:left="-170" w:right="-170"/>
        <w:jc w:val="both"/>
        <w:rPr>
          <w:rFonts w:asciiTheme="majorBidi" w:hAnsiTheme="majorBidi" w:cstheme="majorBidi"/>
          <w:b w:val="0"/>
          <w:bCs w:val="0"/>
          <w:color w:val="auto"/>
          <w:sz w:val="16"/>
          <w:szCs w:val="16"/>
          <w:lang w:val="en-US"/>
        </w:rPr>
      </w:pPr>
      <w:r w:rsidRPr="004C4291">
        <w:rPr>
          <w:rFonts w:asciiTheme="majorBidi" w:hAnsiTheme="majorBidi" w:cstheme="majorBidi"/>
          <w:bCs w:val="0"/>
          <w:i/>
          <w:color w:val="auto"/>
          <w:sz w:val="16"/>
          <w:szCs w:val="16"/>
          <w:lang w:val="en-US"/>
        </w:rPr>
        <w:t>Notes</w:t>
      </w:r>
      <w:r w:rsidRPr="004C4291">
        <w:rPr>
          <w:rFonts w:asciiTheme="majorBidi" w:hAnsiTheme="majorBidi" w:cstheme="majorBidi"/>
          <w:b w:val="0"/>
          <w:color w:val="auto"/>
          <w:sz w:val="16"/>
          <w:szCs w:val="16"/>
          <w:lang w:val="en-US"/>
        </w:rPr>
        <w:t xml:space="preserve">:  </w:t>
      </w:r>
      <m:oMath>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r</m:t>
            </m:r>
          </m:e>
          <m:sub>
            <m:r>
              <m:rPr>
                <m:sty m:val="bi"/>
              </m:rPr>
              <w:rPr>
                <w:rFonts w:ascii="Cambria Math" w:hAnsi="Cambria Math" w:cstheme="majorBidi"/>
                <w:color w:val="auto"/>
                <w:sz w:val="16"/>
                <w:szCs w:val="16"/>
                <w:lang w:val="en-US"/>
              </w:rPr>
              <m:t>t</m:t>
            </m:r>
          </m:sub>
        </m:sSub>
        <m:r>
          <m:rPr>
            <m:sty m:val="bi"/>
          </m:rPr>
          <w:rPr>
            <w:rFonts w:ascii="Cambria Math" w:hAnsiTheme="majorBidi" w:cstheme="majorBidi"/>
            <w:color w:val="auto"/>
            <w:sz w:val="16"/>
            <w:szCs w:val="16"/>
            <w:lang w:val="en-US"/>
          </w:rPr>
          <m:t>=</m:t>
        </m:r>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μ</m:t>
            </m:r>
          </m:e>
          <m:sub>
            <m:r>
              <m:rPr>
                <m:sty m:val="bi"/>
              </m:rPr>
              <w:rPr>
                <w:rFonts w:ascii="Cambria Math" w:hAnsi="Cambria Math" w:cstheme="majorBidi"/>
                <w:color w:val="auto"/>
                <w:sz w:val="16"/>
                <w:szCs w:val="16"/>
                <w:lang w:val="en-US"/>
              </w:rPr>
              <m:t>0</m:t>
            </m:r>
          </m:sub>
        </m:sSub>
        <m:r>
          <m:rPr>
            <m:sty m:val="bi"/>
          </m:rPr>
          <w:rPr>
            <w:rFonts w:ascii="Cambria Math" w:hAnsiTheme="majorBidi" w:cstheme="majorBidi"/>
            <w:color w:val="auto"/>
            <w:sz w:val="16"/>
            <w:szCs w:val="16"/>
            <w:lang w:val="en-US"/>
          </w:rPr>
          <m:t>+</m:t>
        </m:r>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ε</m:t>
            </m:r>
          </m:e>
          <m:sub>
            <m:r>
              <m:rPr>
                <m:sty m:val="bi"/>
              </m:rPr>
              <w:rPr>
                <w:rFonts w:ascii="Cambria Math" w:hAnsi="Cambria Math" w:cstheme="majorBidi"/>
                <w:color w:val="auto"/>
                <w:sz w:val="16"/>
                <w:szCs w:val="16"/>
                <w:lang w:val="en-US"/>
              </w:rPr>
              <m:t>t</m:t>
            </m:r>
          </m:sub>
        </m:sSub>
      </m:oMath>
      <w:r w:rsidRPr="004C4291">
        <w:rPr>
          <w:rFonts w:asciiTheme="majorBidi" w:hAnsiTheme="majorBidi" w:cstheme="majorBidi"/>
          <w:b w:val="0"/>
          <w:color w:val="auto"/>
          <w:sz w:val="16"/>
          <w:szCs w:val="16"/>
          <w:lang w:val="en-US"/>
        </w:rPr>
        <w:t xml:space="preserve">and </w:t>
      </w:r>
      <m:oMath>
        <m:func>
          <m:funcPr>
            <m:ctrlPr>
              <w:rPr>
                <w:rFonts w:ascii="Cambria Math" w:hAnsiTheme="majorBidi" w:cstheme="majorBidi"/>
                <w:b w:val="0"/>
                <w:i/>
                <w:color w:val="auto"/>
                <w:sz w:val="16"/>
                <w:szCs w:val="16"/>
                <w:lang w:val="en-US"/>
              </w:rPr>
            </m:ctrlPr>
          </m:funcPr>
          <m:fName>
            <m:r>
              <m:rPr>
                <m:sty m:val="bi"/>
              </m:rPr>
              <w:rPr>
                <w:rFonts w:ascii="Cambria Math" w:hAnsi="Cambria Math" w:cstheme="majorBidi"/>
                <w:color w:val="auto"/>
                <w:sz w:val="16"/>
                <w:szCs w:val="16"/>
                <w:lang w:val="en-US"/>
              </w:rPr>
              <m:t>ln</m:t>
            </m:r>
          </m:fName>
          <m:e>
            <m:d>
              <m:dPr>
                <m:ctrlPr>
                  <w:rPr>
                    <w:rFonts w:ascii="Cambria Math" w:hAnsiTheme="majorBidi" w:cstheme="majorBidi"/>
                    <w:b w:val="0"/>
                    <w:i/>
                    <w:color w:val="auto"/>
                    <w:sz w:val="16"/>
                    <w:szCs w:val="16"/>
                    <w:lang w:val="en-US"/>
                  </w:rPr>
                </m:ctrlPr>
              </m:dPr>
              <m:e>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h</m:t>
                    </m:r>
                  </m:e>
                  <m:sub>
                    <m:r>
                      <m:rPr>
                        <m:sty m:val="bi"/>
                      </m:rPr>
                      <w:rPr>
                        <w:rFonts w:ascii="Cambria Math" w:hAnsi="Cambria Math" w:cstheme="majorBidi"/>
                        <w:color w:val="auto"/>
                        <w:sz w:val="16"/>
                        <w:szCs w:val="16"/>
                        <w:lang w:val="en-US"/>
                      </w:rPr>
                      <m:t>t</m:t>
                    </m:r>
                  </m:sub>
                </m:sSub>
              </m:e>
            </m:d>
          </m:e>
        </m:func>
        <m:r>
          <m:rPr>
            <m:sty m:val="bi"/>
          </m:rPr>
          <w:rPr>
            <w:rFonts w:ascii="Cambria Math" w:hAnsiTheme="majorBidi" w:cstheme="majorBidi"/>
            <w:color w:val="auto"/>
            <w:sz w:val="16"/>
            <w:szCs w:val="16"/>
            <w:lang w:val="en-US"/>
          </w:rPr>
          <m:t>=</m:t>
        </m:r>
        <m:r>
          <m:rPr>
            <m:sty m:val="bi"/>
          </m:rPr>
          <w:rPr>
            <w:rFonts w:ascii="Cambria Math" w:hAnsi="Cambria Math" w:cstheme="majorBidi"/>
            <w:color w:val="auto"/>
            <w:sz w:val="16"/>
            <w:szCs w:val="16"/>
            <w:lang w:val="en-US"/>
          </w:rPr>
          <m:t>ω</m:t>
        </m:r>
        <m:r>
          <m:rPr>
            <m:sty m:val="bi"/>
          </m:rPr>
          <w:rPr>
            <w:rFonts w:ascii="Cambria Math" w:hAnsiTheme="majorBidi" w:cstheme="majorBidi"/>
            <w:color w:val="auto"/>
            <w:sz w:val="16"/>
            <w:szCs w:val="16"/>
            <w:lang w:val="en-US"/>
          </w:rPr>
          <m:t>+</m:t>
        </m:r>
        <m:r>
          <m:rPr>
            <m:sty m:val="bi"/>
          </m:rPr>
          <w:rPr>
            <w:rFonts w:ascii="Cambria Math" w:hAnsi="Cambria Math" w:cstheme="majorBidi"/>
            <w:color w:val="auto"/>
            <w:sz w:val="16"/>
            <w:szCs w:val="16"/>
            <w:lang w:val="en-US"/>
          </w:rPr>
          <m:t>α</m:t>
        </m:r>
        <m:d>
          <m:dPr>
            <m:begChr m:val="|"/>
            <m:endChr m:val="|"/>
            <m:ctrlPr>
              <w:rPr>
                <w:rFonts w:ascii="Cambria Math" w:hAnsiTheme="majorBidi" w:cstheme="majorBidi"/>
                <w:b w:val="0"/>
                <w:i/>
                <w:color w:val="auto"/>
                <w:sz w:val="16"/>
                <w:szCs w:val="16"/>
                <w:lang w:val="en-US"/>
              </w:rPr>
            </m:ctrlPr>
          </m:dPr>
          <m:e>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r>
                  <m:rPr>
                    <m:sty m:val="bi"/>
                  </m:rPr>
                  <w:rPr>
                    <w:rFonts w:asciiTheme="majorBidi" w:hAnsiTheme="majorBidi" w:cstheme="majorBidi"/>
                    <w:color w:val="auto"/>
                    <w:sz w:val="16"/>
                    <w:szCs w:val="16"/>
                    <w:lang w:val="en-US"/>
                  </w:rPr>
                  <m:t>-</m:t>
                </m:r>
                <m:r>
                  <m:rPr>
                    <m:sty m:val="bi"/>
                  </m:rPr>
                  <w:rPr>
                    <w:rFonts w:ascii="Cambria Math" w:hAnsi="Cambria Math" w:cstheme="majorBidi"/>
                    <w:color w:val="auto"/>
                    <w:sz w:val="16"/>
                    <w:szCs w:val="16"/>
                    <w:lang w:val="en-US"/>
                  </w:rPr>
                  <m:t>1</m:t>
                </m:r>
              </m:sub>
            </m:sSub>
          </m:e>
        </m:d>
        <m:r>
          <m:rPr>
            <m:sty m:val="bi"/>
          </m:rPr>
          <w:rPr>
            <w:rFonts w:ascii="Cambria Math" w:hAnsiTheme="majorBidi" w:cstheme="majorBidi"/>
            <w:color w:val="auto"/>
            <w:sz w:val="16"/>
            <w:szCs w:val="16"/>
            <w:lang w:val="en-US"/>
          </w:rPr>
          <m:t>+</m:t>
        </m:r>
        <m:r>
          <m:rPr>
            <m:sty m:val="bi"/>
          </m:rPr>
          <w:rPr>
            <w:rFonts w:ascii="Cambria Math" w:hAnsi="Cambria Math" w:cstheme="majorBidi"/>
            <w:color w:val="auto"/>
            <w:sz w:val="16"/>
            <w:szCs w:val="16"/>
            <w:lang w:val="en-US"/>
          </w:rPr>
          <m:t>γ</m:t>
        </m:r>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r>
              <m:rPr>
                <m:sty m:val="bi"/>
              </m:rPr>
              <w:rPr>
                <w:rFonts w:asciiTheme="majorBidi" w:hAnsiTheme="majorBidi" w:cstheme="majorBidi"/>
                <w:color w:val="auto"/>
                <w:sz w:val="16"/>
                <w:szCs w:val="16"/>
                <w:lang w:val="en-US"/>
              </w:rPr>
              <m:t>-</m:t>
            </m:r>
            <m:r>
              <m:rPr>
                <m:sty m:val="bi"/>
              </m:rPr>
              <w:rPr>
                <w:rFonts w:ascii="Cambria Math" w:hAnsi="Cambria Math" w:cstheme="majorBidi"/>
                <w:color w:val="auto"/>
                <w:sz w:val="16"/>
                <w:szCs w:val="16"/>
                <w:lang w:val="en-US"/>
              </w:rPr>
              <m:t>1</m:t>
            </m:r>
          </m:sub>
        </m:sSub>
        <m:r>
          <m:rPr>
            <m:sty m:val="bi"/>
          </m:rPr>
          <w:rPr>
            <w:rFonts w:ascii="Cambria Math" w:hAnsiTheme="majorBidi" w:cstheme="majorBidi"/>
            <w:color w:val="auto"/>
            <w:sz w:val="16"/>
            <w:szCs w:val="16"/>
            <w:lang w:val="en-US"/>
          </w:rPr>
          <m:t>+</m:t>
        </m:r>
        <m:r>
          <m:rPr>
            <m:sty m:val="bi"/>
          </m:rPr>
          <w:rPr>
            <w:rFonts w:ascii="Cambria Math" w:hAnsi="Cambria Math" w:cstheme="majorBidi"/>
            <w:color w:val="auto"/>
            <w:sz w:val="16"/>
            <w:szCs w:val="16"/>
            <w:lang w:val="en-US"/>
          </w:rPr>
          <m:t>βln</m:t>
        </m:r>
        <m:r>
          <m:rPr>
            <m:sty m:val="bi"/>
          </m:rPr>
          <w:rPr>
            <w:rFonts w:asciiTheme="majorBidi" w:hAnsi="Cambria Math" w:cstheme="majorBidi"/>
            <w:color w:val="auto"/>
            <w:sz w:val="16"/>
            <w:szCs w:val="16"/>
            <w:lang w:val="en-US"/>
          </w:rPr>
          <m:t>⁡</m:t>
        </m:r>
        <m:r>
          <m:rPr>
            <m:sty m:val="bi"/>
          </m:rPr>
          <w:rPr>
            <w:rFonts w:ascii="Cambria Math" w:hAnsiTheme="majorBidi" w:cstheme="majorBidi"/>
            <w:color w:val="auto"/>
            <w:sz w:val="16"/>
            <w:szCs w:val="16"/>
            <w:lang w:val="en-US"/>
          </w:rPr>
          <m:t>(</m:t>
        </m:r>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h</m:t>
            </m:r>
          </m:e>
          <m:sub>
            <m:r>
              <m:rPr>
                <m:sty m:val="bi"/>
              </m:rPr>
              <w:rPr>
                <w:rFonts w:ascii="Cambria Math" w:hAnsi="Cambria Math" w:cstheme="majorBidi"/>
                <w:color w:val="auto"/>
                <w:sz w:val="16"/>
                <w:szCs w:val="16"/>
                <w:lang w:val="en-US"/>
              </w:rPr>
              <m:t>t</m:t>
            </m:r>
            <m:r>
              <m:rPr>
                <m:sty m:val="bi"/>
              </m:rPr>
              <w:rPr>
                <w:rFonts w:asciiTheme="majorBidi" w:hAnsiTheme="majorBidi" w:cstheme="majorBidi"/>
                <w:color w:val="auto"/>
                <w:sz w:val="16"/>
                <w:szCs w:val="16"/>
                <w:lang w:val="en-US"/>
              </w:rPr>
              <m:t>-</m:t>
            </m:r>
            <m:r>
              <m:rPr>
                <m:sty m:val="bi"/>
              </m:rPr>
              <w:rPr>
                <w:rFonts w:ascii="Cambria Math" w:hAnsi="Cambria Math" w:cstheme="majorBidi"/>
                <w:color w:val="auto"/>
                <w:sz w:val="16"/>
                <w:szCs w:val="16"/>
                <w:lang w:val="en-US"/>
              </w:rPr>
              <m:t>1</m:t>
            </m:r>
          </m:sub>
        </m:sSub>
      </m:oMath>
      <w:r w:rsidRPr="004C4291">
        <w:rPr>
          <w:rFonts w:asciiTheme="majorBidi" w:hAnsiTheme="majorBidi" w:cstheme="majorBidi"/>
          <w:b w:val="0"/>
          <w:color w:val="auto"/>
          <w:sz w:val="16"/>
          <w:szCs w:val="16"/>
          <w:lang w:val="en-US"/>
        </w:rPr>
        <w:t xml:space="preserve">, where </w:t>
      </w:r>
      <m:oMath>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r</m:t>
            </m:r>
          </m:e>
          <m:sub>
            <m:r>
              <m:rPr>
                <m:sty m:val="bi"/>
              </m:rPr>
              <w:rPr>
                <w:rFonts w:ascii="Cambria Math" w:hAnsi="Cambria Math" w:cstheme="majorBidi"/>
                <w:color w:val="auto"/>
                <w:sz w:val="16"/>
                <w:szCs w:val="16"/>
                <w:lang w:val="en-US"/>
              </w:rPr>
              <m:t>t</m:t>
            </m:r>
          </m:sub>
        </m:sSub>
      </m:oMath>
      <w:r w:rsidRPr="004C4291">
        <w:rPr>
          <w:rFonts w:asciiTheme="majorBidi" w:hAnsiTheme="majorBidi" w:cstheme="majorBidi"/>
          <w:b w:val="0"/>
          <w:color w:val="auto"/>
          <w:sz w:val="16"/>
          <w:szCs w:val="16"/>
          <w:lang w:val="en-US"/>
        </w:rPr>
        <w:t xml:space="preserve"> represents exchange rate returns and stock market returns, </w:t>
      </w:r>
      <m:oMath>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ε</m:t>
            </m:r>
          </m:e>
          <m:sub>
            <m:r>
              <m:rPr>
                <m:sty m:val="bi"/>
              </m:rPr>
              <w:rPr>
                <w:rFonts w:ascii="Cambria Math" w:hAnsi="Cambria Math" w:cstheme="majorBidi"/>
                <w:color w:val="auto"/>
                <w:sz w:val="16"/>
                <w:szCs w:val="16"/>
                <w:lang w:val="en-US"/>
              </w:rPr>
              <m:t>t</m:t>
            </m:r>
          </m:sub>
        </m:sSub>
      </m:oMath>
      <w:r w:rsidRPr="004C4291">
        <w:rPr>
          <w:rFonts w:asciiTheme="majorBidi" w:hAnsiTheme="majorBidi" w:cstheme="majorBidi"/>
          <w:b w:val="0"/>
          <w:color w:val="auto"/>
          <w:sz w:val="16"/>
          <w:szCs w:val="16"/>
          <w:lang w:val="en-US"/>
        </w:rPr>
        <w:t xml:space="preserve"> is the error term, </w:t>
      </w:r>
      <m:oMath>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h</m:t>
            </m:r>
          </m:e>
          <m:sub>
            <m:r>
              <m:rPr>
                <m:sty m:val="bi"/>
              </m:rPr>
              <w:rPr>
                <w:rFonts w:ascii="Cambria Math" w:hAnsi="Cambria Math" w:cstheme="majorBidi"/>
                <w:color w:val="auto"/>
                <w:sz w:val="16"/>
                <w:szCs w:val="16"/>
                <w:lang w:val="en-US"/>
              </w:rPr>
              <m:t>t</m:t>
            </m:r>
          </m:sub>
        </m:sSub>
      </m:oMath>
      <w:r w:rsidRPr="004C4291">
        <w:rPr>
          <w:rFonts w:asciiTheme="majorBidi" w:hAnsiTheme="majorBidi" w:cstheme="majorBidi"/>
          <w:b w:val="0"/>
          <w:color w:val="auto"/>
          <w:sz w:val="16"/>
          <w:szCs w:val="16"/>
          <w:lang w:val="en-US"/>
        </w:rPr>
        <w:t xml:space="preserve"> is the conditional volatility and </w:t>
      </w:r>
      <m:oMath>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i"/>
          </m:rPr>
          <w:rPr>
            <w:rFonts w:ascii="Cambria Math" w:hAnsiTheme="majorBidi" w:cstheme="majorBidi"/>
            <w:color w:val="auto"/>
            <w:sz w:val="16"/>
            <w:szCs w:val="16"/>
            <w:lang w:val="en-US"/>
          </w:rPr>
          <m:t>=</m:t>
        </m:r>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ε</m:t>
            </m:r>
          </m:e>
          <m:sub>
            <m:r>
              <m:rPr>
                <m:sty m:val="bi"/>
              </m:rPr>
              <w:rPr>
                <w:rFonts w:ascii="Cambria Math" w:hAnsi="Cambria Math" w:cstheme="majorBidi"/>
                <w:color w:val="auto"/>
                <w:sz w:val="16"/>
                <w:szCs w:val="16"/>
                <w:lang w:val="en-US"/>
              </w:rPr>
              <m:t>t</m:t>
            </m:r>
          </m:sub>
        </m:sSub>
        <m:r>
          <m:rPr>
            <m:sty m:val="bi"/>
          </m:rPr>
          <w:rPr>
            <w:rFonts w:ascii="Cambria Math" w:hAnsiTheme="majorBidi" w:cstheme="majorBidi"/>
            <w:color w:val="auto"/>
            <w:sz w:val="16"/>
            <w:szCs w:val="16"/>
            <w:lang w:val="en-US"/>
          </w:rPr>
          <m:t>/</m:t>
        </m:r>
        <m:sSub>
          <m:sSubPr>
            <m:ctrlPr>
              <w:rPr>
                <w:rFonts w:ascii="Cambria Math" w:hAnsiTheme="majorBidi" w:cstheme="majorBidi"/>
                <w:b w:val="0"/>
                <w:i/>
                <w:color w:val="auto"/>
                <w:sz w:val="16"/>
                <w:szCs w:val="16"/>
                <w:lang w:val="en-US"/>
              </w:rPr>
            </m:ctrlPr>
          </m:sSubPr>
          <m:e>
            <m:r>
              <m:rPr>
                <m:sty m:val="bi"/>
              </m:rPr>
              <w:rPr>
                <w:rFonts w:ascii="Cambria Math" w:hAnsi="Cambria Math" w:cstheme="majorBidi"/>
                <w:color w:val="auto"/>
                <w:sz w:val="16"/>
                <w:szCs w:val="16"/>
                <w:lang w:val="en-US"/>
              </w:rPr>
              <m:t>σ</m:t>
            </m:r>
          </m:e>
          <m:sub>
            <m:r>
              <m:rPr>
                <m:sty m:val="bi"/>
              </m:rPr>
              <w:rPr>
                <w:rFonts w:ascii="Cambria Math" w:hAnsi="Cambria Math" w:cstheme="majorBidi"/>
                <w:color w:val="auto"/>
                <w:sz w:val="16"/>
                <w:szCs w:val="16"/>
                <w:lang w:val="en-US"/>
              </w:rPr>
              <m:t>t</m:t>
            </m:r>
          </m:sub>
        </m:sSub>
      </m:oMath>
      <w:r w:rsidRPr="004C4291">
        <w:rPr>
          <w:rFonts w:asciiTheme="majorBidi" w:hAnsiTheme="majorBidi" w:cstheme="majorBidi"/>
          <w:b w:val="0"/>
          <w:color w:val="auto"/>
          <w:sz w:val="16"/>
          <w:szCs w:val="16"/>
          <w:lang w:val="en-US"/>
        </w:rPr>
        <w:t xml:space="preserve"> is the standardized residual. </w:t>
      </w:r>
      <m:oMath>
        <m:r>
          <m:rPr>
            <m:sty m:val="bi"/>
          </m:rPr>
          <w:rPr>
            <w:rFonts w:ascii="Cambria Math" w:hAnsi="Cambria Math" w:cstheme="majorBidi"/>
            <w:color w:val="auto"/>
            <w:sz w:val="16"/>
            <w:szCs w:val="16"/>
            <w:lang w:val="en-US"/>
          </w:rPr>
          <m:t>LB</m:t>
        </m:r>
        <m:r>
          <m:rPr>
            <m:sty m:val="bi"/>
          </m:rPr>
          <w:rPr>
            <w:rFonts w:asciiTheme="majorBidi" w:hAnsiTheme="majorBidi" w:cstheme="majorBidi"/>
            <w:color w:val="auto"/>
            <w:sz w:val="16"/>
            <w:szCs w:val="16"/>
            <w:lang w:val="en-US"/>
          </w:rPr>
          <m:t>-</m:t>
        </m:r>
        <m:r>
          <m:rPr>
            <m:sty m:val="bi"/>
          </m:rPr>
          <w:rPr>
            <w:rFonts w:ascii="Cambria Math" w:hAnsi="Cambria Math" w:cstheme="majorBidi"/>
            <w:color w:val="auto"/>
            <w:sz w:val="16"/>
            <w:szCs w:val="16"/>
            <w:lang w:val="en-US"/>
          </w:rPr>
          <m:t>Q</m:t>
        </m:r>
        <m:r>
          <m:rPr>
            <m:sty m:val="bi"/>
          </m:rPr>
          <w:rPr>
            <w:rFonts w:ascii="Cambria Math" w:hAnsiTheme="majorBidi" w:cstheme="majorBidi"/>
            <w:color w:val="auto"/>
            <w:sz w:val="16"/>
            <w:szCs w:val="16"/>
            <w:lang w:val="en-US"/>
          </w:rPr>
          <m:t>(</m:t>
        </m:r>
        <m:r>
          <m:rPr>
            <m:sty m:val="bi"/>
          </m:rPr>
          <w:rPr>
            <w:rFonts w:ascii="Cambria Math" w:hAnsi="Cambria Math" w:cstheme="majorBidi"/>
            <w:color w:val="auto"/>
            <w:sz w:val="16"/>
            <w:szCs w:val="16"/>
            <w:lang w:val="en-US"/>
          </w:rPr>
          <m:t>20</m:t>
        </m:r>
        <m:r>
          <m:rPr>
            <m:sty m:val="bi"/>
          </m:rPr>
          <w:rPr>
            <w:rFonts w:ascii="Cambria Math" w:hAnsiTheme="majorBidi" w:cstheme="majorBidi"/>
            <w:color w:val="auto"/>
            <w:sz w:val="16"/>
            <w:szCs w:val="16"/>
            <w:lang w:val="en-US"/>
          </w:rPr>
          <m:t>)</m:t>
        </m:r>
      </m:oMath>
      <w:r w:rsidRPr="004C4291">
        <w:rPr>
          <w:rFonts w:asciiTheme="majorBidi" w:hAnsiTheme="majorBidi" w:cstheme="majorBidi"/>
          <w:b w:val="0"/>
          <w:color w:val="auto"/>
          <w:sz w:val="16"/>
          <w:szCs w:val="16"/>
          <w:lang w:val="en-US"/>
        </w:rPr>
        <w:t>and</w:t>
      </w:r>
      <m:oMath>
        <m:r>
          <m:rPr>
            <m:sty m:val="bi"/>
          </m:rPr>
          <w:rPr>
            <w:rFonts w:ascii="Cambria Math" w:hAnsi="Cambria Math" w:cstheme="majorBidi"/>
            <w:color w:val="auto"/>
            <w:sz w:val="16"/>
            <w:szCs w:val="16"/>
            <w:lang w:val="en-US"/>
          </w:rPr>
          <m:t>LB</m:t>
        </m:r>
        <m:r>
          <m:rPr>
            <m:sty m:val="bi"/>
          </m:rPr>
          <w:rPr>
            <w:rFonts w:asciiTheme="majorBidi" w:hAnsiTheme="majorBidi" w:cstheme="majorBidi"/>
            <w:color w:val="auto"/>
            <w:sz w:val="16"/>
            <w:szCs w:val="16"/>
            <w:lang w:val="en-US"/>
          </w:rPr>
          <m:t>-</m:t>
        </m:r>
        <m:sSup>
          <m:sSupPr>
            <m:ctrlPr>
              <w:rPr>
                <w:rFonts w:ascii="Cambria Math" w:hAnsiTheme="majorBidi" w:cstheme="majorBidi"/>
                <w:b w:val="0"/>
                <w:i/>
                <w:color w:val="auto"/>
                <w:sz w:val="16"/>
                <w:szCs w:val="16"/>
                <w:lang w:val="en-US"/>
              </w:rPr>
            </m:ctrlPr>
          </m:sSupPr>
          <m:e>
            <m:r>
              <m:rPr>
                <m:sty m:val="bi"/>
              </m:rPr>
              <w:rPr>
                <w:rFonts w:ascii="Cambria Math" w:hAnsi="Cambria Math" w:cstheme="majorBidi"/>
                <w:color w:val="auto"/>
                <w:sz w:val="16"/>
                <w:szCs w:val="16"/>
                <w:lang w:val="en-US"/>
              </w:rPr>
              <m:t>Q</m:t>
            </m:r>
          </m:e>
          <m:sup>
            <m:r>
              <m:rPr>
                <m:sty m:val="bi"/>
              </m:rPr>
              <w:rPr>
                <w:rFonts w:ascii="Cambria Math" w:hAnsi="Cambria Math" w:cstheme="majorBidi"/>
                <w:color w:val="auto"/>
                <w:sz w:val="16"/>
                <w:szCs w:val="16"/>
                <w:lang w:val="en-US"/>
              </w:rPr>
              <m:t>2</m:t>
            </m:r>
          </m:sup>
        </m:sSup>
        <m:r>
          <m:rPr>
            <m:sty m:val="bi"/>
          </m:rPr>
          <w:rPr>
            <w:rFonts w:ascii="Cambria Math" w:hAnsiTheme="majorBidi" w:cstheme="majorBidi"/>
            <w:color w:val="auto"/>
            <w:sz w:val="16"/>
            <w:szCs w:val="16"/>
            <w:lang w:val="en-US"/>
          </w:rPr>
          <m:t>(</m:t>
        </m:r>
        <m:r>
          <m:rPr>
            <m:sty m:val="bi"/>
          </m:rPr>
          <w:rPr>
            <w:rFonts w:ascii="Cambria Math" w:hAnsi="Cambria Math" w:cstheme="majorBidi"/>
            <w:color w:val="auto"/>
            <w:sz w:val="16"/>
            <w:szCs w:val="16"/>
            <w:lang w:val="en-US"/>
          </w:rPr>
          <m:t>20</m:t>
        </m:r>
        <m:r>
          <m:rPr>
            <m:sty m:val="bi"/>
          </m:rPr>
          <w:rPr>
            <w:rFonts w:ascii="Cambria Math" w:hAnsiTheme="majorBidi" w:cstheme="majorBidi"/>
            <w:color w:val="auto"/>
            <w:sz w:val="16"/>
            <w:szCs w:val="16"/>
            <w:lang w:val="en-US"/>
          </w:rPr>
          <m:t>)</m:t>
        </m:r>
      </m:oMath>
      <w:r w:rsidRPr="004C4291">
        <w:rPr>
          <w:rFonts w:asciiTheme="majorBidi" w:hAnsiTheme="majorBidi" w:cstheme="majorBidi"/>
          <w:b w:val="0"/>
          <w:color w:val="auto"/>
          <w:sz w:val="16"/>
          <w:szCs w:val="16"/>
          <w:lang w:val="en-US"/>
        </w:rPr>
        <w:t xml:space="preserve"> are the Ljung-Box statistics with 30 lags for the standardized and squared standardized residuals, respectively. The superscripts *, ** and *** denote the level significance at 1%, 5%, and 10%, respectively.</w:t>
      </w:r>
    </w:p>
    <w:p w:rsidR="00E909A2" w:rsidRPr="004C4291" w:rsidRDefault="00E909A2" w:rsidP="00021BC3">
      <w:pPr>
        <w:jc w:val="both"/>
        <w:rPr>
          <w:rFonts w:asciiTheme="majorBidi" w:eastAsia="Times New Roman" w:hAnsiTheme="majorBidi" w:cstheme="majorBidi"/>
          <w:lang w:val="en-US"/>
        </w:rPr>
      </w:pPr>
    </w:p>
    <w:p w:rsidR="00E909A2" w:rsidRPr="004C4291" w:rsidRDefault="00361F45" w:rsidP="00361F45">
      <w:pPr>
        <w:ind w:firstLine="340"/>
        <w:jc w:val="both"/>
        <w:rPr>
          <w:rFonts w:asciiTheme="majorBidi" w:hAnsiTheme="majorBidi" w:cstheme="majorBidi"/>
          <w:lang w:val="en-US"/>
        </w:rPr>
      </w:pPr>
      <w:r w:rsidRPr="004C4291">
        <w:rPr>
          <w:rFonts w:asciiTheme="majorBidi" w:hAnsiTheme="majorBidi" w:cstheme="majorBidi"/>
          <w:lang w:val="en-US"/>
        </w:rPr>
        <w:t xml:space="preserve">In addition, Table 3 depicts the diagnostics of the empirical findings of the </w:t>
      </w:r>
      <m:oMath>
        <m:r>
          <w:rPr>
            <w:rFonts w:ascii="Cambria Math" w:hAnsi="Cambria Math" w:cstheme="majorBidi"/>
            <w:lang w:val="en-US"/>
          </w:rPr>
          <m:t>AR(0)-EGARCH(1,1)</m:t>
        </m:r>
      </m:oMath>
      <w:r w:rsidRPr="004C4291">
        <w:rPr>
          <w:rFonts w:asciiTheme="majorBidi" w:hAnsiTheme="majorBidi" w:cstheme="majorBidi"/>
          <w:lang w:val="en-US"/>
        </w:rPr>
        <w:t xml:space="preserve"> model. </w:t>
      </w:r>
      <m:oMath>
        <m:r>
          <w:rPr>
            <w:rFonts w:ascii="Cambria Math" w:hAnsi="Cambria Math" w:cstheme="majorBidi"/>
            <w:lang w:val="en-US"/>
          </w:rPr>
          <m:t>LB-Q(20)</m:t>
        </m:r>
      </m:oMath>
      <w:r w:rsidR="00F85D42">
        <w:rPr>
          <w:rFonts w:asciiTheme="majorBidi" w:eastAsiaTheme="minorEastAsia" w:hAnsiTheme="majorBidi" w:cstheme="majorBidi"/>
          <w:lang w:val="en-US"/>
        </w:rPr>
        <w:t xml:space="preserve"> </w:t>
      </w:r>
      <w:r w:rsidRPr="004C4291">
        <w:rPr>
          <w:rFonts w:asciiTheme="majorBidi" w:hAnsiTheme="majorBidi" w:cstheme="majorBidi"/>
          <w:lang w:val="en-US"/>
        </w:rPr>
        <w:t>and</w:t>
      </w:r>
      <w:r w:rsidR="00F85D42">
        <w:rPr>
          <w:rFonts w:asciiTheme="majorBidi" w:hAnsiTheme="majorBidi" w:cstheme="majorBidi"/>
          <w:lang w:val="en-US"/>
        </w:rPr>
        <w:t xml:space="preserve"> </w:t>
      </w:r>
      <m:oMath>
        <m:sSup>
          <m:sSupPr>
            <m:ctrlPr>
              <w:rPr>
                <w:rFonts w:ascii="Cambria Math" w:hAnsi="Cambria Math" w:cstheme="majorBidi"/>
                <w:i/>
                <w:lang w:val="en-US"/>
              </w:rPr>
            </m:ctrlPr>
          </m:sSupPr>
          <m:e>
            <m:r>
              <w:rPr>
                <w:rFonts w:ascii="Cambria Math" w:hAnsi="Cambria Math" w:cstheme="majorBidi"/>
                <w:lang w:val="en-US"/>
              </w:rPr>
              <m:t>LB-Q</m:t>
            </m:r>
          </m:e>
          <m:sup>
            <m:r>
              <w:rPr>
                <w:rFonts w:ascii="Cambria Math" w:hAnsi="Cambria Math" w:cstheme="majorBidi"/>
                <w:lang w:val="en-US"/>
              </w:rPr>
              <m:t>2</m:t>
            </m:r>
          </m:sup>
        </m:sSup>
        <m:r>
          <w:rPr>
            <w:rFonts w:ascii="Cambria Math" w:hAnsi="Cambria Math" w:cstheme="majorBidi"/>
            <w:lang w:val="en-US"/>
          </w:rPr>
          <m:t>(20)</m:t>
        </m:r>
      </m:oMath>
      <w:r w:rsidRPr="004C4291">
        <w:rPr>
          <w:rFonts w:asciiTheme="majorBidi" w:hAnsiTheme="majorBidi" w:cstheme="majorBidi"/>
          <w:lang w:val="en-US"/>
        </w:rPr>
        <w:t xml:space="preserve"> are the Ljung-Box test statistics for the null hypothesis that there is no serial correlation up to order 20 for standardized and squared standardized residuals, respectively. As shown in the table, both statistics are not above 1%, in all cases. The null hypothesis of no autocorrelation up to order 20 for squared standardized residuals is also accepted</w:t>
      </w:r>
      <w:r w:rsidR="00071966">
        <w:rPr>
          <w:rFonts w:asciiTheme="majorBidi" w:hAnsiTheme="majorBidi" w:cstheme="majorBidi"/>
          <w:lang w:val="en-US"/>
        </w:rPr>
        <w:t xml:space="preserve"> </w:t>
      </w:r>
      <w:r w:rsidRPr="004C4291">
        <w:rPr>
          <w:rFonts w:asciiTheme="majorBidi" w:hAnsiTheme="majorBidi" w:cstheme="majorBidi"/>
          <w:lang w:val="en-US"/>
        </w:rPr>
        <w:t>at the 1% level of significance.</w:t>
      </w:r>
    </w:p>
    <w:p w:rsidR="005340C7" w:rsidRPr="004C4291" w:rsidRDefault="005340C7" w:rsidP="00361F45">
      <w:pPr>
        <w:ind w:firstLine="340"/>
        <w:jc w:val="both"/>
        <w:rPr>
          <w:rFonts w:asciiTheme="majorBidi" w:hAnsiTheme="majorBidi" w:cstheme="majorBidi"/>
          <w:color w:val="FF0000"/>
          <w:lang w:val="en-US"/>
        </w:rPr>
      </w:pPr>
    </w:p>
    <w:p w:rsidR="005340C7" w:rsidRPr="004C4291" w:rsidRDefault="005340C7" w:rsidP="004C4291">
      <w:pPr>
        <w:pStyle w:val="Paragraphedeliste"/>
        <w:numPr>
          <w:ilvl w:val="2"/>
          <w:numId w:val="4"/>
        </w:numPr>
        <w:spacing w:after="0" w:line="240" w:lineRule="auto"/>
        <w:ind w:left="453" w:hanging="340"/>
        <w:jc w:val="both"/>
        <w:rPr>
          <w:rFonts w:ascii="Times New Roman" w:hAnsi="Times New Roman" w:cs="Times New Roman"/>
          <w:b/>
          <w:lang w:val="en-US"/>
        </w:rPr>
      </w:pPr>
      <w:r w:rsidRPr="004C4291">
        <w:rPr>
          <w:rFonts w:ascii="Times New Roman" w:hAnsi="Times New Roman" w:cs="Times New Roman"/>
          <w:b/>
          <w:lang w:val="en-US"/>
        </w:rPr>
        <w:t>Asymmetric DCC results</w:t>
      </w:r>
    </w:p>
    <w:p w:rsidR="004C4291" w:rsidRPr="004C4291" w:rsidRDefault="004C4291" w:rsidP="005340C7">
      <w:pPr>
        <w:jc w:val="both"/>
        <w:rPr>
          <w:rFonts w:asciiTheme="majorBidi" w:eastAsia="Times New Roman" w:hAnsiTheme="majorBidi" w:cstheme="majorBidi"/>
          <w:lang w:val="en-US"/>
        </w:rPr>
      </w:pPr>
    </w:p>
    <w:p w:rsidR="005340C7" w:rsidRPr="004C4291" w:rsidRDefault="005340C7" w:rsidP="005340C7">
      <w:pPr>
        <w:jc w:val="both"/>
        <w:rPr>
          <w:rFonts w:asciiTheme="majorBidi" w:eastAsia="Times New Roman" w:hAnsiTheme="majorBidi" w:cstheme="majorBidi"/>
          <w:lang w:val="en-US"/>
        </w:rPr>
      </w:pPr>
      <w:r w:rsidRPr="004C4291">
        <w:rPr>
          <w:rFonts w:asciiTheme="majorBidi" w:eastAsia="Times New Roman" w:hAnsiTheme="majorBidi" w:cstheme="majorBidi"/>
          <w:lang w:val="en-US"/>
        </w:rPr>
        <w:t>The estimation results of the DCC and A-DCC models are reported in Table 4. We use this methodology to test the cor</w:t>
      </w:r>
      <w:r w:rsidR="00DC6F30" w:rsidRPr="004C4291">
        <w:rPr>
          <w:rFonts w:asciiTheme="majorBidi" w:eastAsia="Times New Roman" w:hAnsiTheme="majorBidi" w:cstheme="majorBidi"/>
          <w:lang w:val="en-US"/>
        </w:rPr>
        <w:t>relation among the selected three</w:t>
      </w:r>
      <w:r w:rsidRPr="004C4291">
        <w:rPr>
          <w:rFonts w:asciiTheme="majorBidi" w:eastAsia="Times New Roman" w:hAnsiTheme="majorBidi" w:cstheme="majorBidi"/>
          <w:lang w:val="en-US"/>
        </w:rPr>
        <w:t xml:space="preserve"> stock index and exchange rate returns. Therefore, the outcome views the inte</w:t>
      </w:r>
      <w:r w:rsidR="00D6751E" w:rsidRPr="004C4291">
        <w:rPr>
          <w:rFonts w:asciiTheme="majorBidi" w:eastAsia="Times New Roman" w:hAnsiTheme="majorBidi" w:cstheme="majorBidi"/>
          <w:lang w:val="en-US"/>
        </w:rPr>
        <w:t>rdependence between the European exchange markets and three</w:t>
      </w:r>
      <w:r w:rsidRPr="004C4291">
        <w:rPr>
          <w:rFonts w:asciiTheme="majorBidi" w:eastAsia="Times New Roman" w:hAnsiTheme="majorBidi" w:cstheme="majorBidi"/>
          <w:lang w:val="en-US"/>
        </w:rPr>
        <w:t xml:space="preserve"> stock </w:t>
      </w:r>
      <w:r w:rsidR="00D6751E" w:rsidRPr="004C4291">
        <w:rPr>
          <w:rFonts w:asciiTheme="majorBidi" w:eastAsia="Times New Roman" w:hAnsiTheme="majorBidi" w:cstheme="majorBidi"/>
          <w:lang w:val="en-US"/>
        </w:rPr>
        <w:t>indexes</w:t>
      </w:r>
      <w:r w:rsidRPr="004C4291">
        <w:rPr>
          <w:rFonts w:asciiTheme="majorBidi" w:eastAsia="Times New Roman" w:hAnsiTheme="majorBidi" w:cstheme="majorBidi"/>
          <w:lang w:val="en-US"/>
        </w:rPr>
        <w:t>.</w:t>
      </w:r>
      <w:r w:rsidR="00071966">
        <w:rPr>
          <w:rFonts w:asciiTheme="majorBidi" w:eastAsia="Times New Roman" w:hAnsiTheme="majorBidi" w:cstheme="majorBidi"/>
          <w:lang w:val="en-US"/>
        </w:rPr>
        <w:t xml:space="preserve"> </w:t>
      </w:r>
      <w:r w:rsidRPr="004C4291">
        <w:rPr>
          <w:rFonts w:asciiTheme="majorBidi" w:eastAsia="Times New Roman" w:hAnsiTheme="majorBidi" w:cstheme="majorBidi"/>
          <w:lang w:val="en-US"/>
        </w:rPr>
        <w:t>Generally, we find that the A-DCC model seems to be specified reasonably well.</w:t>
      </w:r>
      <w:r w:rsidR="00071966">
        <w:rPr>
          <w:rFonts w:asciiTheme="majorBidi" w:eastAsia="Times New Roman" w:hAnsiTheme="majorBidi" w:cstheme="majorBidi"/>
          <w:lang w:val="en-US"/>
        </w:rPr>
        <w:t xml:space="preserve"> </w:t>
      </w:r>
      <w:r w:rsidRPr="004C4291">
        <w:rPr>
          <w:rFonts w:asciiTheme="majorBidi" w:eastAsia="Times New Roman" w:hAnsiTheme="majorBidi" w:cstheme="majorBidi"/>
          <w:lang w:val="en-US"/>
        </w:rPr>
        <w:t xml:space="preserve">Indeed, the estimates of the parameter of standardized residuals </w:t>
      </w:r>
      <m:oMath>
        <m:r>
          <m:rPr>
            <m:sty m:val="p"/>
          </m:rPr>
          <w:rPr>
            <w:rFonts w:ascii="Cambria Math" w:eastAsia="Times New Roman" w:hAnsi="Cambria Math" w:cstheme="majorBidi"/>
            <w:lang w:val="en-US"/>
          </w:rPr>
          <m:t>(</m:t>
        </m:r>
        <m:sSub>
          <m:sSubPr>
            <m:ctrlPr>
              <w:rPr>
                <w:rFonts w:ascii="Cambria Math" w:eastAsia="Times New Roman" w:hAnsi="Cambria Math" w:cstheme="majorBidi"/>
                <w:lang w:val="en-US"/>
              </w:rPr>
            </m:ctrlPr>
          </m:sSubPr>
          <m:e>
            <m:r>
              <m:rPr>
                <m:sty m:val="p"/>
              </m:rPr>
              <w:rPr>
                <w:rFonts w:ascii="Cambria Math" w:eastAsia="Times New Roman" w:hAnsi="Cambria Math" w:cstheme="majorBidi"/>
                <w:lang w:val="en-US"/>
              </w:rPr>
              <m:t>a</m:t>
            </m:r>
          </m:e>
          <m:sub>
            <m:r>
              <m:rPr>
                <m:sty m:val="p"/>
              </m:rPr>
              <w:rPr>
                <w:rFonts w:ascii="Cambria Math" w:eastAsia="Times New Roman" w:hAnsi="Cambria Math" w:cstheme="majorBidi"/>
                <w:lang w:val="en-US"/>
              </w:rPr>
              <m:t>1</m:t>
            </m:r>
          </m:sub>
        </m:sSub>
        <m:r>
          <m:rPr>
            <m:sty m:val="p"/>
          </m:rPr>
          <w:rPr>
            <w:rFonts w:ascii="Cambria Math" w:eastAsia="Times New Roman" w:hAnsi="Cambria Math" w:cstheme="majorBidi"/>
            <w:lang w:val="en-US"/>
          </w:rPr>
          <m:t>)</m:t>
        </m:r>
      </m:oMath>
      <w:r w:rsidRPr="004C4291">
        <w:rPr>
          <w:rFonts w:asciiTheme="majorBidi" w:eastAsia="Times New Roman" w:hAnsiTheme="majorBidi" w:cstheme="majorBidi"/>
          <w:lang w:val="en-US"/>
        </w:rPr>
        <w:t xml:space="preserve"> and of innovations in the dynamics of the conditional correlation matrix </w:t>
      </w:r>
      <m:oMath>
        <m:r>
          <m:rPr>
            <m:sty m:val="p"/>
          </m:rPr>
          <w:rPr>
            <w:rFonts w:ascii="Cambria Math" w:eastAsia="Times New Roman" w:hAnsi="Cambria Math" w:cstheme="majorBidi"/>
            <w:lang w:val="en-US"/>
          </w:rPr>
          <m:t>(</m:t>
        </m:r>
        <m:sSub>
          <m:sSubPr>
            <m:ctrlPr>
              <w:rPr>
                <w:rFonts w:ascii="Cambria Math" w:eastAsia="Times New Roman" w:hAnsi="Cambria Math" w:cstheme="majorBidi"/>
                <w:lang w:val="en-US"/>
              </w:rPr>
            </m:ctrlPr>
          </m:sSubPr>
          <m:e>
            <m:r>
              <m:rPr>
                <m:sty m:val="p"/>
              </m:rPr>
              <w:rPr>
                <w:rFonts w:ascii="Cambria Math" w:eastAsia="Times New Roman" w:hAnsi="Cambria Math" w:cstheme="majorBidi"/>
                <w:lang w:val="en-US"/>
              </w:rPr>
              <m:t>b</m:t>
            </m:r>
          </m:e>
          <m:sub>
            <m:r>
              <m:rPr>
                <m:sty m:val="p"/>
              </m:rPr>
              <w:rPr>
                <w:rFonts w:ascii="Cambria Math" w:eastAsia="Times New Roman" w:hAnsi="Cambria Math" w:cstheme="majorBidi"/>
                <w:lang w:val="en-US"/>
              </w:rPr>
              <m:t>1</m:t>
            </m:r>
          </m:sub>
        </m:sSub>
        <m:r>
          <m:rPr>
            <m:sty m:val="p"/>
          </m:rPr>
          <w:rPr>
            <w:rFonts w:ascii="Cambria Math" w:eastAsia="Times New Roman" w:hAnsi="Cambria Math" w:cstheme="majorBidi"/>
            <w:lang w:val="en-US"/>
          </w:rPr>
          <m:t>)</m:t>
        </m:r>
      </m:oMath>
      <w:r w:rsidRPr="004C4291">
        <w:rPr>
          <w:rFonts w:asciiTheme="majorBidi" w:eastAsia="Times New Roman" w:hAnsiTheme="majorBidi" w:cstheme="majorBidi"/>
          <w:lang w:val="en-US"/>
        </w:rPr>
        <w:t xml:space="preserve"> are significant at the 1% level or better.Most remarkably, the estimate of the parameter of the asymmetric term </w:t>
      </w:r>
      <m:oMath>
        <m:r>
          <w:rPr>
            <w:rFonts w:ascii="Cambria Math" w:eastAsia="Times New Roman" w:hAnsi="Cambria Math" w:cstheme="majorBidi"/>
            <w:lang w:val="en-US"/>
          </w:rPr>
          <m:t>(</m:t>
        </m:r>
        <m:sSub>
          <m:sSubPr>
            <m:ctrlPr>
              <w:rPr>
                <w:rFonts w:ascii="Cambria Math" w:eastAsia="Times New Roman" w:hAnsi="Cambria Math" w:cstheme="majorBidi"/>
                <w:i/>
                <w:lang w:val="en-US"/>
              </w:rPr>
            </m:ctrlPr>
          </m:sSubPr>
          <m:e>
            <m:r>
              <w:rPr>
                <w:rFonts w:ascii="Cambria Math" w:eastAsia="Times New Roman" w:hAnsi="Cambria Math" w:cstheme="majorBidi"/>
                <w:lang w:val="en-US"/>
              </w:rPr>
              <m:t>g</m:t>
            </m:r>
          </m:e>
          <m:sub>
            <m:r>
              <w:rPr>
                <w:rFonts w:ascii="Cambria Math" w:eastAsia="Times New Roman" w:hAnsi="Cambria Math" w:cstheme="majorBidi"/>
                <w:lang w:val="en-US"/>
              </w:rPr>
              <m:t>1</m:t>
            </m:r>
          </m:sub>
        </m:sSub>
        <m:r>
          <w:rPr>
            <w:rFonts w:ascii="Cambria Math" w:eastAsia="Times New Roman" w:hAnsi="Cambria Math" w:cstheme="majorBidi"/>
            <w:lang w:val="en-US"/>
          </w:rPr>
          <m:t>)</m:t>
        </m:r>
      </m:oMath>
      <w:r w:rsidRPr="004C4291">
        <w:rPr>
          <w:rFonts w:asciiTheme="majorBidi" w:eastAsia="Times New Roman" w:hAnsiTheme="majorBidi" w:cstheme="majorBidi"/>
          <w:lang w:val="en-US"/>
        </w:rPr>
        <w:t xml:space="preserve"> is significant at the 1% level or better, thus providing evidence of an asymmetric response in correlations. In other words, the condition</w:t>
      </w:r>
      <w:r w:rsidR="00F22066" w:rsidRPr="004C4291">
        <w:rPr>
          <w:rFonts w:asciiTheme="majorBidi" w:eastAsia="Times New Roman" w:hAnsiTheme="majorBidi" w:cstheme="majorBidi"/>
          <w:lang w:val="en-US"/>
        </w:rPr>
        <w:t>al correlation among the USD/EUR</w:t>
      </w:r>
      <w:r w:rsidRPr="004C4291">
        <w:rPr>
          <w:rFonts w:asciiTheme="majorBidi" w:eastAsia="Times New Roman" w:hAnsiTheme="majorBidi" w:cstheme="majorBidi"/>
          <w:lang w:val="en-US"/>
        </w:rPr>
        <w:t xml:space="preserve"> and </w:t>
      </w:r>
      <w:r w:rsidR="00F22066" w:rsidRPr="004C4291">
        <w:rPr>
          <w:rFonts w:asciiTheme="majorBidi" w:eastAsia="Times New Roman" w:hAnsiTheme="majorBidi" w:cstheme="majorBidi"/>
          <w:lang w:val="en-US"/>
        </w:rPr>
        <w:t>European stock prices</w:t>
      </w:r>
      <w:r w:rsidRPr="004C4291">
        <w:rPr>
          <w:rFonts w:asciiTheme="majorBidi" w:eastAsia="Times New Roman" w:hAnsiTheme="majorBidi" w:cstheme="majorBidi"/>
          <w:lang w:val="en-US"/>
        </w:rPr>
        <w:t xml:space="preserve">  exhibits higher dependency when it is driven by negative innovations to changes(joint appreciation) than it is by positive innovations (joint depreciation). This result is rather</w:t>
      </w:r>
      <w:r w:rsidR="00071966">
        <w:rPr>
          <w:rFonts w:asciiTheme="majorBidi" w:eastAsia="Times New Roman" w:hAnsiTheme="majorBidi" w:cstheme="majorBidi"/>
          <w:lang w:val="en-US"/>
        </w:rPr>
        <w:t xml:space="preserve"> </w:t>
      </w:r>
      <w:r w:rsidRPr="004C4291">
        <w:rPr>
          <w:rFonts w:asciiTheme="majorBidi" w:eastAsia="Times New Roman" w:hAnsiTheme="majorBidi" w:cstheme="majorBidi"/>
          <w:lang w:val="en-US"/>
        </w:rPr>
        <w:t>interesting because it suggests that the reasons for the identified asymmetric correlation differ from the theoretical explanation of</w:t>
      </w:r>
      <w:r w:rsidR="00071966">
        <w:rPr>
          <w:rFonts w:asciiTheme="majorBidi" w:eastAsia="Times New Roman" w:hAnsiTheme="majorBidi" w:cstheme="majorBidi"/>
          <w:lang w:val="en-US"/>
        </w:rPr>
        <w:t xml:space="preserve"> </w:t>
      </w:r>
      <w:r w:rsidRPr="004C4291">
        <w:rPr>
          <w:rFonts w:asciiTheme="majorBidi" w:eastAsia="Times New Roman" w:hAnsiTheme="majorBidi" w:cstheme="majorBidi"/>
          <w:lang w:val="en-US"/>
        </w:rPr>
        <w:t xml:space="preserve">the “currency portfolio </w:t>
      </w:r>
      <w:r w:rsidRPr="004C4291">
        <w:rPr>
          <w:rFonts w:asciiTheme="majorBidi" w:eastAsia="Times New Roman" w:hAnsiTheme="majorBidi" w:cstheme="majorBidi"/>
          <w:lang w:val="en-US"/>
        </w:rPr>
        <w:lastRenderedPageBreak/>
        <w:t>rebalancing” hypothesis, which argues that exchange rates tend to display a higher</w:t>
      </w:r>
      <w:r w:rsidR="00071966">
        <w:rPr>
          <w:rFonts w:asciiTheme="majorBidi" w:eastAsia="Times New Roman" w:hAnsiTheme="majorBidi" w:cstheme="majorBidi"/>
          <w:lang w:val="en-US"/>
        </w:rPr>
        <w:t xml:space="preserve"> </w:t>
      </w:r>
      <w:r w:rsidRPr="004C4291">
        <w:rPr>
          <w:rFonts w:asciiTheme="majorBidi" w:eastAsia="Times New Roman" w:hAnsiTheme="majorBidi" w:cstheme="majorBidi"/>
          <w:lang w:val="en-US"/>
        </w:rPr>
        <w:t>degree of co-movement during periods of their depreciation than during periods of their appreciation against the USD.</w:t>
      </w:r>
    </w:p>
    <w:p w:rsidR="005340C7" w:rsidRDefault="005340C7" w:rsidP="00F2735E">
      <w:pPr>
        <w:autoSpaceDE w:val="0"/>
        <w:autoSpaceDN w:val="0"/>
        <w:adjustRightInd w:val="0"/>
        <w:jc w:val="both"/>
        <w:rPr>
          <w:rFonts w:asciiTheme="majorBidi" w:hAnsiTheme="majorBidi" w:cstheme="majorBidi"/>
          <w:sz w:val="24"/>
          <w:szCs w:val="24"/>
          <w:lang w:val="en-US"/>
        </w:rPr>
      </w:pPr>
    </w:p>
    <w:p w:rsidR="00EE111C" w:rsidRPr="00EE111C" w:rsidRDefault="00EE111C" w:rsidP="00EE111C">
      <w:pPr>
        <w:pStyle w:val="Lgende"/>
        <w:keepNext/>
        <w:spacing w:after="0"/>
        <w:ind w:left="1361" w:right="1361"/>
        <w:jc w:val="both"/>
        <w:rPr>
          <w:rFonts w:asciiTheme="majorBidi" w:hAnsiTheme="majorBidi" w:cstheme="majorBidi"/>
          <w:color w:val="auto"/>
          <w:sz w:val="20"/>
          <w:szCs w:val="20"/>
          <w:lang w:val="en-US"/>
        </w:rPr>
      </w:pPr>
      <w:r w:rsidRPr="00EE111C">
        <w:rPr>
          <w:rFonts w:asciiTheme="majorBidi" w:hAnsiTheme="majorBidi" w:cstheme="majorBidi"/>
          <w:color w:val="auto"/>
          <w:sz w:val="20"/>
          <w:szCs w:val="20"/>
          <w:lang w:val="en-US"/>
        </w:rPr>
        <w:t xml:space="preserve">Table </w:t>
      </w:r>
      <w:r w:rsidR="00194326" w:rsidRPr="00EE111C">
        <w:rPr>
          <w:rFonts w:asciiTheme="majorBidi" w:hAnsiTheme="majorBidi" w:cstheme="majorBidi"/>
          <w:color w:val="auto"/>
          <w:sz w:val="20"/>
          <w:szCs w:val="20"/>
        </w:rPr>
        <w:fldChar w:fldCharType="begin"/>
      </w:r>
      <w:r w:rsidRPr="00EE111C">
        <w:rPr>
          <w:rFonts w:asciiTheme="majorBidi" w:hAnsiTheme="majorBidi" w:cstheme="majorBidi"/>
          <w:color w:val="auto"/>
          <w:sz w:val="20"/>
          <w:szCs w:val="20"/>
          <w:lang w:val="en-US"/>
        </w:rPr>
        <w:instrText xml:space="preserve"> SEQ Tableau \* ARABIC </w:instrText>
      </w:r>
      <w:r w:rsidR="00194326" w:rsidRPr="00EE111C">
        <w:rPr>
          <w:rFonts w:asciiTheme="majorBidi" w:hAnsiTheme="majorBidi" w:cstheme="majorBidi"/>
          <w:color w:val="auto"/>
          <w:sz w:val="20"/>
          <w:szCs w:val="20"/>
        </w:rPr>
        <w:fldChar w:fldCharType="separate"/>
      </w:r>
      <w:r w:rsidR="00955A5F">
        <w:rPr>
          <w:rFonts w:asciiTheme="majorBidi" w:hAnsiTheme="majorBidi" w:cstheme="majorBidi"/>
          <w:noProof/>
          <w:color w:val="auto"/>
          <w:sz w:val="20"/>
          <w:szCs w:val="20"/>
          <w:lang w:val="en-US"/>
        </w:rPr>
        <w:t>4</w:t>
      </w:r>
      <w:r w:rsidR="00194326" w:rsidRPr="00EE111C">
        <w:rPr>
          <w:rFonts w:asciiTheme="majorBidi" w:hAnsiTheme="majorBidi" w:cstheme="majorBidi"/>
          <w:color w:val="auto"/>
          <w:sz w:val="20"/>
          <w:szCs w:val="20"/>
        </w:rPr>
        <w:fldChar w:fldCharType="end"/>
      </w:r>
    </w:p>
    <w:p w:rsidR="00EE111C" w:rsidRPr="00EE111C" w:rsidRDefault="00EE111C" w:rsidP="00EE111C">
      <w:pPr>
        <w:ind w:left="1361" w:right="1361"/>
        <w:jc w:val="both"/>
        <w:rPr>
          <w:rFonts w:asciiTheme="majorBidi" w:hAnsiTheme="majorBidi" w:cstheme="majorBidi"/>
          <w:sz w:val="20"/>
          <w:szCs w:val="20"/>
          <w:lang w:val="en-US" w:eastAsia="fr-FR"/>
        </w:rPr>
      </w:pPr>
      <w:r w:rsidRPr="00EE111C">
        <w:rPr>
          <w:rFonts w:asciiTheme="majorBidi" w:hAnsiTheme="majorBidi" w:cstheme="majorBidi"/>
          <w:sz w:val="20"/>
          <w:szCs w:val="20"/>
          <w:lang w:val="en-US"/>
        </w:rPr>
        <w:t>Empirical results of the DCC model</w:t>
      </w:r>
      <w:r>
        <w:rPr>
          <w:rFonts w:asciiTheme="majorBidi" w:hAnsiTheme="majorBidi" w:cstheme="majorBidi"/>
          <w:sz w:val="20"/>
          <w:szCs w:val="20"/>
          <w:lang w:val="en-US"/>
        </w:rPr>
        <w:t xml:space="preserve"> </w:t>
      </w:r>
      <w:r w:rsidRPr="00EE111C">
        <w:rPr>
          <w:rFonts w:asciiTheme="majorBidi" w:hAnsiTheme="majorBidi" w:cstheme="majorBidi"/>
          <w:sz w:val="20"/>
          <w:szCs w:val="20"/>
          <w:lang w:val="en-US"/>
        </w:rPr>
        <w:t>(whole sample analysis).</w:t>
      </w:r>
    </w:p>
    <w:tbl>
      <w:tblPr>
        <w:tblW w:w="6360" w:type="dxa"/>
        <w:jc w:val="center"/>
        <w:tblInd w:w="56" w:type="dxa"/>
        <w:tblCellMar>
          <w:left w:w="70" w:type="dxa"/>
          <w:right w:w="70" w:type="dxa"/>
        </w:tblCellMar>
        <w:tblLook w:val="04A0"/>
      </w:tblPr>
      <w:tblGrid>
        <w:gridCol w:w="1140"/>
        <w:gridCol w:w="980"/>
        <w:gridCol w:w="760"/>
        <w:gridCol w:w="720"/>
        <w:gridCol w:w="180"/>
        <w:gridCol w:w="1000"/>
        <w:gridCol w:w="732"/>
        <w:gridCol w:w="880"/>
      </w:tblGrid>
      <w:tr w:rsidR="002B4BBE" w:rsidRPr="00955A5F" w:rsidTr="002B4BBE">
        <w:trPr>
          <w:trHeight w:val="225"/>
          <w:jc w:val="center"/>
        </w:trPr>
        <w:tc>
          <w:tcPr>
            <w:tcW w:w="1140" w:type="dxa"/>
            <w:vMerge w:val="restart"/>
            <w:tcBorders>
              <w:top w:val="single" w:sz="8" w:space="0" w:color="auto"/>
              <w:left w:val="nil"/>
              <w:bottom w:val="single" w:sz="8" w:space="0" w:color="000000"/>
              <w:right w:val="nil"/>
            </w:tcBorders>
            <w:shd w:val="clear" w:color="auto" w:fill="auto"/>
            <w:noWrap/>
            <w:vAlign w:val="bottom"/>
            <w:hideMark/>
          </w:tcPr>
          <w:p w:rsidR="002B4BBE" w:rsidRPr="00D80F43" w:rsidRDefault="002B4BBE" w:rsidP="002B4BBE">
            <w:pPr>
              <w:rPr>
                <w:rFonts w:ascii="Times New Roman" w:eastAsia="Times New Roman" w:hAnsi="Times New Roman" w:cs="Times New Roman"/>
                <w:color w:val="000000"/>
                <w:sz w:val="16"/>
                <w:szCs w:val="16"/>
                <w:lang w:val="en-US" w:eastAsia="fr-FR"/>
              </w:rPr>
            </w:pPr>
            <w:r w:rsidRPr="00D80F43">
              <w:rPr>
                <w:rFonts w:ascii="Times New Roman" w:eastAsia="Times New Roman" w:hAnsi="Times New Roman" w:cs="Times New Roman"/>
                <w:color w:val="000000"/>
                <w:sz w:val="16"/>
                <w:szCs w:val="16"/>
                <w:lang w:val="en-US" w:eastAsia="fr-FR"/>
              </w:rPr>
              <w:t> </w:t>
            </w:r>
          </w:p>
        </w:tc>
        <w:tc>
          <w:tcPr>
            <w:tcW w:w="5220" w:type="dxa"/>
            <w:gridSpan w:val="7"/>
            <w:tcBorders>
              <w:top w:val="single" w:sz="8" w:space="0" w:color="auto"/>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val="en-US" w:eastAsia="fr-FR"/>
              </w:rPr>
            </w:pPr>
            <w:r w:rsidRPr="002B4BBE">
              <w:rPr>
                <w:rFonts w:ascii="Times New Roman" w:eastAsia="Times New Roman" w:hAnsi="Times New Roman" w:cs="Times New Roman"/>
                <w:color w:val="000000"/>
                <w:sz w:val="16"/>
                <w:szCs w:val="16"/>
                <w:lang w:val="en-US" w:eastAsia="fr-FR"/>
              </w:rPr>
              <w:t>Whole sample period (January 1, 2002-December 10, 2013)</w:t>
            </w:r>
          </w:p>
        </w:tc>
      </w:tr>
      <w:tr w:rsidR="002B4BBE" w:rsidRPr="002B4BBE" w:rsidTr="002B4BBE">
        <w:trPr>
          <w:trHeight w:val="225"/>
          <w:jc w:val="center"/>
        </w:trPr>
        <w:tc>
          <w:tcPr>
            <w:tcW w:w="1140" w:type="dxa"/>
            <w:vMerge/>
            <w:tcBorders>
              <w:top w:val="single" w:sz="8" w:space="0" w:color="auto"/>
              <w:left w:val="nil"/>
              <w:bottom w:val="single" w:sz="8" w:space="0" w:color="000000"/>
              <w:right w:val="nil"/>
            </w:tcBorders>
            <w:vAlign w:val="center"/>
            <w:hideMark/>
          </w:tcPr>
          <w:p w:rsidR="002B4BBE" w:rsidRPr="002B4BBE" w:rsidRDefault="002B4BBE" w:rsidP="002B4BBE">
            <w:pPr>
              <w:jc w:val="left"/>
              <w:rPr>
                <w:rFonts w:ascii="Times New Roman" w:eastAsia="Times New Roman" w:hAnsi="Times New Roman" w:cs="Times New Roman"/>
                <w:color w:val="000000"/>
                <w:sz w:val="16"/>
                <w:szCs w:val="16"/>
                <w:lang w:val="en-US" w:eastAsia="fr-FR"/>
              </w:rPr>
            </w:pPr>
          </w:p>
        </w:tc>
        <w:tc>
          <w:tcPr>
            <w:tcW w:w="2460" w:type="dxa"/>
            <w:gridSpan w:val="3"/>
            <w:tcBorders>
              <w:top w:val="single" w:sz="8" w:space="0" w:color="auto"/>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Symmetric DCC</w:t>
            </w:r>
          </w:p>
        </w:tc>
        <w:tc>
          <w:tcPr>
            <w:tcW w:w="180" w:type="dxa"/>
            <w:tcBorders>
              <w:top w:val="nil"/>
              <w:left w:val="nil"/>
              <w:bottom w:val="nil"/>
              <w:right w:val="nil"/>
            </w:tcBorders>
            <w:shd w:val="clear" w:color="auto" w:fill="auto"/>
            <w:noWrap/>
            <w:vAlign w:val="bottom"/>
            <w:hideMark/>
          </w:tcPr>
          <w:p w:rsidR="002B4BBE" w:rsidRPr="002B4BBE" w:rsidRDefault="002B4BBE" w:rsidP="002B4BBE">
            <w:pPr>
              <w:jc w:val="left"/>
              <w:rPr>
                <w:rFonts w:ascii="Times New Roman" w:eastAsia="Times New Roman" w:hAnsi="Times New Roman" w:cs="Times New Roman"/>
                <w:color w:val="000000"/>
                <w:sz w:val="16"/>
                <w:szCs w:val="16"/>
                <w:lang w:eastAsia="fr-FR"/>
              </w:rPr>
            </w:pPr>
          </w:p>
        </w:tc>
        <w:tc>
          <w:tcPr>
            <w:tcW w:w="2580" w:type="dxa"/>
            <w:gridSpan w:val="3"/>
            <w:tcBorders>
              <w:top w:val="single" w:sz="8" w:space="0" w:color="auto"/>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Asymmetric DCC</w:t>
            </w:r>
          </w:p>
        </w:tc>
      </w:tr>
      <w:tr w:rsidR="002B4BBE" w:rsidRPr="002B4BBE" w:rsidTr="002B4BBE">
        <w:trPr>
          <w:trHeight w:val="225"/>
          <w:jc w:val="center"/>
        </w:trPr>
        <w:tc>
          <w:tcPr>
            <w:tcW w:w="1140" w:type="dxa"/>
            <w:vMerge/>
            <w:tcBorders>
              <w:top w:val="single" w:sz="8" w:space="0" w:color="auto"/>
              <w:left w:val="nil"/>
              <w:bottom w:val="single" w:sz="8" w:space="0" w:color="000000"/>
              <w:right w:val="nil"/>
            </w:tcBorders>
            <w:vAlign w:val="center"/>
            <w:hideMark/>
          </w:tcPr>
          <w:p w:rsidR="002B4BBE" w:rsidRPr="002B4BBE" w:rsidRDefault="002B4BBE" w:rsidP="002B4BBE">
            <w:pPr>
              <w:jc w:val="left"/>
              <w:rPr>
                <w:rFonts w:ascii="Times New Roman" w:eastAsia="Times New Roman" w:hAnsi="Times New Roman" w:cs="Times New Roman"/>
                <w:color w:val="000000"/>
                <w:sz w:val="16"/>
                <w:szCs w:val="16"/>
                <w:lang w:eastAsia="fr-FR"/>
              </w:rPr>
            </w:pPr>
          </w:p>
        </w:tc>
        <w:tc>
          <w:tcPr>
            <w:tcW w:w="980" w:type="dxa"/>
            <w:tcBorders>
              <w:top w:val="nil"/>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Coefficient</w:t>
            </w:r>
          </w:p>
        </w:tc>
        <w:tc>
          <w:tcPr>
            <w:tcW w:w="760" w:type="dxa"/>
            <w:tcBorders>
              <w:top w:val="nil"/>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Std</w:t>
            </w:r>
            <w:r w:rsidR="00F85D42">
              <w:rPr>
                <w:rFonts w:ascii="Times New Roman" w:eastAsia="Times New Roman" w:hAnsi="Times New Roman" w:cs="Times New Roman"/>
                <w:color w:val="000000"/>
                <w:sz w:val="16"/>
                <w:szCs w:val="16"/>
                <w:lang w:eastAsia="fr-FR"/>
              </w:rPr>
              <w:t>.</w:t>
            </w:r>
            <w:r w:rsidRPr="002B4BBE">
              <w:rPr>
                <w:rFonts w:ascii="Times New Roman" w:eastAsia="Times New Roman" w:hAnsi="Times New Roman" w:cs="Times New Roman"/>
                <w:color w:val="000000"/>
                <w:sz w:val="16"/>
                <w:szCs w:val="16"/>
                <w:lang w:eastAsia="fr-FR"/>
              </w:rPr>
              <w:t>Error</w:t>
            </w:r>
          </w:p>
        </w:tc>
        <w:tc>
          <w:tcPr>
            <w:tcW w:w="720" w:type="dxa"/>
            <w:tcBorders>
              <w:top w:val="nil"/>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p-value</w:t>
            </w:r>
          </w:p>
        </w:tc>
        <w:tc>
          <w:tcPr>
            <w:tcW w:w="180" w:type="dxa"/>
            <w:tcBorders>
              <w:top w:val="nil"/>
              <w:left w:val="nil"/>
              <w:bottom w:val="nil"/>
              <w:right w:val="nil"/>
            </w:tcBorders>
            <w:shd w:val="clear" w:color="auto" w:fill="auto"/>
            <w:noWrap/>
            <w:vAlign w:val="bottom"/>
            <w:hideMark/>
          </w:tcPr>
          <w:p w:rsidR="002B4BBE" w:rsidRPr="002B4BBE" w:rsidRDefault="002B4BBE" w:rsidP="002B4BBE">
            <w:pPr>
              <w:jc w:val="left"/>
              <w:rPr>
                <w:rFonts w:ascii="Times New Roman" w:eastAsia="Times New Roman" w:hAnsi="Times New Roman" w:cs="Times New Roman"/>
                <w:sz w:val="16"/>
                <w:szCs w:val="16"/>
                <w:lang w:eastAsia="fr-FR"/>
              </w:rPr>
            </w:pPr>
          </w:p>
        </w:tc>
        <w:tc>
          <w:tcPr>
            <w:tcW w:w="1000" w:type="dxa"/>
            <w:tcBorders>
              <w:top w:val="nil"/>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Coefficient</w:t>
            </w:r>
          </w:p>
        </w:tc>
        <w:tc>
          <w:tcPr>
            <w:tcW w:w="700" w:type="dxa"/>
            <w:tcBorders>
              <w:top w:val="nil"/>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Std</w:t>
            </w:r>
            <w:r w:rsidR="00F85D42">
              <w:rPr>
                <w:rFonts w:ascii="Times New Roman" w:eastAsia="Times New Roman" w:hAnsi="Times New Roman" w:cs="Times New Roman"/>
                <w:color w:val="000000"/>
                <w:sz w:val="16"/>
                <w:szCs w:val="16"/>
                <w:lang w:eastAsia="fr-FR"/>
              </w:rPr>
              <w:t>.</w:t>
            </w:r>
            <w:r w:rsidRPr="002B4BBE">
              <w:rPr>
                <w:rFonts w:ascii="Times New Roman" w:eastAsia="Times New Roman" w:hAnsi="Times New Roman" w:cs="Times New Roman"/>
                <w:color w:val="000000"/>
                <w:sz w:val="16"/>
                <w:szCs w:val="16"/>
                <w:lang w:eastAsia="fr-FR"/>
              </w:rPr>
              <w:t>Error</w:t>
            </w:r>
          </w:p>
        </w:tc>
        <w:tc>
          <w:tcPr>
            <w:tcW w:w="880" w:type="dxa"/>
            <w:tcBorders>
              <w:top w:val="nil"/>
              <w:left w:val="nil"/>
              <w:bottom w:val="single" w:sz="8" w:space="0" w:color="auto"/>
              <w:right w:val="nil"/>
            </w:tcBorders>
            <w:shd w:val="clear" w:color="auto" w:fill="auto"/>
            <w:noWrap/>
            <w:vAlign w:val="bottom"/>
            <w:hideMark/>
          </w:tcPr>
          <w:p w:rsidR="002B4BBE" w:rsidRPr="002B4BBE" w:rsidRDefault="002B4BBE"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p-value</w:t>
            </w:r>
          </w:p>
        </w:tc>
      </w:tr>
      <w:tr w:rsidR="00F22066" w:rsidRPr="002B4BBE" w:rsidTr="008C3A95">
        <w:trPr>
          <w:trHeight w:val="225"/>
          <w:jc w:val="center"/>
        </w:trPr>
        <w:tc>
          <w:tcPr>
            <w:tcW w:w="1140" w:type="dxa"/>
            <w:tcBorders>
              <w:top w:val="nil"/>
              <w:left w:val="nil"/>
              <w:bottom w:val="nil"/>
              <w:right w:val="nil"/>
            </w:tcBorders>
            <w:shd w:val="clear" w:color="auto" w:fill="auto"/>
            <w:noWrap/>
            <w:vAlign w:val="center"/>
            <w:hideMark/>
          </w:tcPr>
          <w:p w:rsidR="00F22066" w:rsidRPr="00D540F7" w:rsidRDefault="00194326" w:rsidP="00F22066">
            <w:pPr>
              <w:jc w:val="left"/>
              <w:rPr>
                <w:rFonts w:asciiTheme="majorBidi" w:eastAsia="Times New Roman" w:hAnsiTheme="majorBidi" w:cstheme="majorBidi"/>
                <w:color w:val="000000"/>
                <w:sz w:val="16"/>
                <w:szCs w:val="16"/>
                <w:lang w:eastAsia="fr-FR"/>
              </w:rPr>
            </w:pPr>
            <m:oMath>
              <m:sSub>
                <m:sSubPr>
                  <m:ctrlPr>
                    <w:rPr>
                      <w:rFonts w:ascii="Cambria Math" w:eastAsia="Times New Roman" w:hAnsi="Cambria Math" w:cstheme="majorBidi"/>
                      <w:i/>
                      <w:color w:val="000000"/>
                      <w:sz w:val="16"/>
                      <w:szCs w:val="16"/>
                      <w:lang w:eastAsia="fr-FR"/>
                    </w:rPr>
                  </m:ctrlPr>
                </m:sSubPr>
                <m:e>
                  <m:r>
                    <w:rPr>
                      <w:rFonts w:ascii="Cambria Math" w:eastAsia="Times New Roman" w:hAnsi="Cambria Math" w:cstheme="majorBidi"/>
                      <w:color w:val="000000"/>
                      <w:sz w:val="16"/>
                      <w:szCs w:val="16"/>
                      <w:lang w:eastAsia="fr-FR"/>
                    </w:rPr>
                    <m:t>a</m:t>
                  </m:r>
                </m:e>
                <m:sub>
                  <m:r>
                    <w:rPr>
                      <w:rFonts w:ascii="Cambria Math" w:eastAsia="Times New Roman" w:hAnsi="Cambria Math" w:cstheme="majorBidi"/>
                      <w:color w:val="000000"/>
                      <w:sz w:val="16"/>
                      <w:szCs w:val="16"/>
                      <w:lang w:eastAsia="fr-FR"/>
                    </w:rPr>
                    <m:t>1</m:t>
                  </m:r>
                </m:sub>
              </m:sSub>
            </m:oMath>
            <w:r w:rsidR="00071966">
              <w:rPr>
                <w:rFonts w:asciiTheme="majorBidi" w:eastAsia="Times New Roman" w:hAnsiTheme="majorBidi" w:cstheme="majorBidi"/>
                <w:color w:val="000000"/>
                <w:sz w:val="16"/>
                <w:szCs w:val="16"/>
                <w:lang w:eastAsia="fr-FR"/>
              </w:rPr>
              <w:t xml:space="preserve"> </w:t>
            </w:r>
          </w:p>
        </w:tc>
        <w:tc>
          <w:tcPr>
            <w:tcW w:w="9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0.2087</w:t>
            </w:r>
            <w:r>
              <w:rPr>
                <w:rFonts w:ascii="Times New Roman" w:eastAsia="Times New Roman" w:hAnsi="Times New Roman" w:cs="Times New Roman"/>
                <w:color w:val="000000"/>
                <w:sz w:val="16"/>
                <w:szCs w:val="16"/>
                <w:lang w:eastAsia="fr-FR"/>
              </w:rPr>
              <w:t>*</w:t>
            </w:r>
          </w:p>
        </w:tc>
        <w:tc>
          <w:tcPr>
            <w:tcW w:w="76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0.0077</w:t>
            </w:r>
          </w:p>
        </w:tc>
        <w:tc>
          <w:tcPr>
            <w:tcW w:w="72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F22066" w:rsidRPr="002B4BBE" w:rsidRDefault="00F22066" w:rsidP="002B4BBE">
            <w:pPr>
              <w:jc w:val="left"/>
              <w:rPr>
                <w:rFonts w:ascii="Times New Roman" w:eastAsia="Times New Roman" w:hAnsi="Times New Roman" w:cs="Times New Roman"/>
                <w:sz w:val="16"/>
                <w:szCs w:val="16"/>
                <w:lang w:eastAsia="fr-FR"/>
              </w:rPr>
            </w:pPr>
          </w:p>
        </w:tc>
        <w:tc>
          <w:tcPr>
            <w:tcW w:w="10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0.1871</w:t>
            </w:r>
            <w:r>
              <w:rPr>
                <w:rFonts w:ascii="Times New Roman" w:eastAsia="Times New Roman" w:hAnsi="Times New Roman" w:cs="Times New Roman"/>
                <w:color w:val="000000"/>
                <w:sz w:val="16"/>
                <w:szCs w:val="16"/>
                <w:lang w:eastAsia="fr-FR"/>
              </w:rPr>
              <w:t>*</w:t>
            </w:r>
          </w:p>
        </w:tc>
        <w:tc>
          <w:tcPr>
            <w:tcW w:w="7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0.0095</w:t>
            </w:r>
          </w:p>
        </w:tc>
        <w:tc>
          <w:tcPr>
            <w:tcW w:w="8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F22066" w:rsidRPr="002B4BBE" w:rsidTr="008C3A95">
        <w:trPr>
          <w:trHeight w:val="225"/>
          <w:jc w:val="center"/>
        </w:trPr>
        <w:tc>
          <w:tcPr>
            <w:tcW w:w="1140" w:type="dxa"/>
            <w:tcBorders>
              <w:top w:val="nil"/>
              <w:left w:val="nil"/>
              <w:bottom w:val="nil"/>
              <w:right w:val="nil"/>
            </w:tcBorders>
            <w:shd w:val="clear" w:color="auto" w:fill="auto"/>
            <w:noWrap/>
            <w:vAlign w:val="center"/>
            <w:hideMark/>
          </w:tcPr>
          <w:p w:rsidR="00F22066" w:rsidRPr="00D540F7" w:rsidRDefault="00194326" w:rsidP="00F22066">
            <w:pPr>
              <w:jc w:val="left"/>
              <w:rPr>
                <w:rFonts w:asciiTheme="majorBidi" w:eastAsia="Times New Roman" w:hAnsiTheme="majorBidi" w:cstheme="majorBidi"/>
                <w:color w:val="000000"/>
                <w:sz w:val="16"/>
                <w:szCs w:val="16"/>
                <w:lang w:eastAsia="fr-FR"/>
              </w:rPr>
            </w:pPr>
            <m:oMath>
              <m:sSub>
                <m:sSubPr>
                  <m:ctrlPr>
                    <w:rPr>
                      <w:rFonts w:ascii="Cambria Math" w:eastAsia="Times New Roman" w:hAnsi="Cambria Math" w:cstheme="majorBidi"/>
                      <w:i/>
                      <w:color w:val="000000"/>
                      <w:sz w:val="16"/>
                      <w:szCs w:val="16"/>
                      <w:lang w:eastAsia="fr-FR"/>
                    </w:rPr>
                  </m:ctrlPr>
                </m:sSubPr>
                <m:e>
                  <m:r>
                    <w:rPr>
                      <w:rFonts w:ascii="Cambria Math" w:eastAsia="Times New Roman" w:hAnsi="Cambria Math" w:cstheme="majorBidi"/>
                      <w:color w:val="000000"/>
                      <w:sz w:val="16"/>
                      <w:szCs w:val="16"/>
                      <w:lang w:eastAsia="fr-FR"/>
                    </w:rPr>
                    <m:t>b</m:t>
                  </m:r>
                </m:e>
                <m:sub>
                  <m:r>
                    <w:rPr>
                      <w:rFonts w:ascii="Cambria Math" w:eastAsia="Times New Roman" w:hAnsi="Cambria Math" w:cstheme="majorBidi"/>
                      <w:color w:val="000000"/>
                      <w:sz w:val="16"/>
                      <w:szCs w:val="16"/>
                      <w:lang w:eastAsia="fr-FR"/>
                    </w:rPr>
                    <m:t>1</m:t>
                  </m:r>
                </m:sub>
              </m:sSub>
            </m:oMath>
            <w:r w:rsidR="00071966">
              <w:rPr>
                <w:rFonts w:asciiTheme="majorBidi" w:eastAsia="Times New Roman" w:hAnsiTheme="majorBidi" w:cstheme="majorBidi"/>
                <w:color w:val="000000"/>
                <w:sz w:val="16"/>
                <w:szCs w:val="16"/>
                <w:lang w:eastAsia="fr-FR"/>
              </w:rPr>
              <w:t xml:space="preserve"> </w:t>
            </w:r>
          </w:p>
        </w:tc>
        <w:tc>
          <w:tcPr>
            <w:tcW w:w="9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0.9678</w:t>
            </w:r>
            <w:r>
              <w:rPr>
                <w:rFonts w:ascii="Times New Roman" w:eastAsia="Times New Roman" w:hAnsi="Times New Roman" w:cs="Times New Roman"/>
                <w:color w:val="000000"/>
                <w:sz w:val="16"/>
                <w:szCs w:val="16"/>
                <w:lang w:eastAsia="fr-FR"/>
              </w:rPr>
              <w:t>*</w:t>
            </w:r>
          </w:p>
        </w:tc>
        <w:tc>
          <w:tcPr>
            <w:tcW w:w="76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0.0028</w:t>
            </w:r>
          </w:p>
        </w:tc>
        <w:tc>
          <w:tcPr>
            <w:tcW w:w="72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F22066" w:rsidRPr="002B4BBE" w:rsidRDefault="00F22066" w:rsidP="002B4BBE">
            <w:pPr>
              <w:jc w:val="left"/>
              <w:rPr>
                <w:rFonts w:ascii="Times New Roman" w:eastAsia="Times New Roman" w:hAnsi="Times New Roman" w:cs="Times New Roman"/>
                <w:sz w:val="16"/>
                <w:szCs w:val="16"/>
                <w:lang w:eastAsia="fr-FR"/>
              </w:rPr>
            </w:pPr>
          </w:p>
        </w:tc>
        <w:tc>
          <w:tcPr>
            <w:tcW w:w="10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0.969</w:t>
            </w:r>
            <w:r>
              <w:rPr>
                <w:rFonts w:ascii="Times New Roman" w:eastAsia="Times New Roman" w:hAnsi="Times New Roman" w:cs="Times New Roman"/>
                <w:color w:val="000000"/>
                <w:sz w:val="16"/>
                <w:szCs w:val="16"/>
                <w:lang w:eastAsia="fr-FR"/>
              </w:rPr>
              <w:t>0*</w:t>
            </w:r>
          </w:p>
        </w:tc>
        <w:tc>
          <w:tcPr>
            <w:tcW w:w="7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0.0027</w:t>
            </w:r>
          </w:p>
        </w:tc>
        <w:tc>
          <w:tcPr>
            <w:tcW w:w="8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F22066" w:rsidRPr="002B4BBE" w:rsidTr="008C3A95">
        <w:trPr>
          <w:trHeight w:val="225"/>
          <w:jc w:val="center"/>
        </w:trPr>
        <w:tc>
          <w:tcPr>
            <w:tcW w:w="1140" w:type="dxa"/>
            <w:tcBorders>
              <w:top w:val="nil"/>
              <w:left w:val="nil"/>
              <w:bottom w:val="nil"/>
              <w:right w:val="nil"/>
            </w:tcBorders>
            <w:shd w:val="clear" w:color="auto" w:fill="auto"/>
            <w:noWrap/>
            <w:vAlign w:val="center"/>
            <w:hideMark/>
          </w:tcPr>
          <w:p w:rsidR="00F22066" w:rsidRPr="00D540F7" w:rsidRDefault="00194326" w:rsidP="00F22066">
            <w:pPr>
              <w:jc w:val="left"/>
              <w:rPr>
                <w:rFonts w:asciiTheme="majorBidi" w:eastAsia="Times New Roman" w:hAnsiTheme="majorBidi" w:cstheme="majorBidi"/>
                <w:color w:val="000000"/>
                <w:sz w:val="16"/>
                <w:szCs w:val="16"/>
                <w:lang w:eastAsia="fr-FR"/>
              </w:rPr>
            </w:pPr>
            <m:oMath>
              <m:sSub>
                <m:sSubPr>
                  <m:ctrlPr>
                    <w:rPr>
                      <w:rFonts w:ascii="Cambria Math" w:eastAsia="Times New Roman" w:hAnsi="Cambria Math" w:cstheme="majorBidi"/>
                      <w:i/>
                      <w:color w:val="000000"/>
                      <w:sz w:val="16"/>
                      <w:szCs w:val="16"/>
                      <w:lang w:eastAsia="fr-FR"/>
                    </w:rPr>
                  </m:ctrlPr>
                </m:sSubPr>
                <m:e>
                  <m:r>
                    <w:rPr>
                      <w:rFonts w:ascii="Cambria Math" w:eastAsia="Times New Roman" w:hAnsi="Cambria Math" w:cstheme="majorBidi"/>
                      <w:color w:val="000000"/>
                      <w:sz w:val="16"/>
                      <w:szCs w:val="16"/>
                      <w:lang w:eastAsia="fr-FR"/>
                    </w:rPr>
                    <m:t>g</m:t>
                  </m:r>
                </m:e>
                <m:sub>
                  <m:r>
                    <w:rPr>
                      <w:rFonts w:ascii="Cambria Math" w:eastAsia="Times New Roman" w:hAnsi="Cambria Math" w:cstheme="majorBidi"/>
                      <w:color w:val="000000"/>
                      <w:sz w:val="16"/>
                      <w:szCs w:val="16"/>
                      <w:lang w:eastAsia="fr-FR"/>
                    </w:rPr>
                    <m:t>1</m:t>
                  </m:r>
                </m:sub>
              </m:sSub>
            </m:oMath>
            <w:r w:rsidR="00071966">
              <w:rPr>
                <w:rFonts w:asciiTheme="majorBidi" w:eastAsia="Times New Roman" w:hAnsiTheme="majorBidi" w:cstheme="majorBidi"/>
                <w:color w:val="000000"/>
                <w:sz w:val="16"/>
                <w:szCs w:val="16"/>
                <w:lang w:eastAsia="fr-FR"/>
              </w:rPr>
              <w:t xml:space="preserve"> </w:t>
            </w:r>
          </w:p>
        </w:tc>
        <w:tc>
          <w:tcPr>
            <w:tcW w:w="9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w:t>
            </w:r>
          </w:p>
        </w:tc>
        <w:tc>
          <w:tcPr>
            <w:tcW w:w="76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w:t>
            </w:r>
          </w:p>
        </w:tc>
        <w:tc>
          <w:tcPr>
            <w:tcW w:w="72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w:t>
            </w:r>
          </w:p>
        </w:tc>
        <w:tc>
          <w:tcPr>
            <w:tcW w:w="180" w:type="dxa"/>
            <w:tcBorders>
              <w:top w:val="nil"/>
              <w:left w:val="nil"/>
              <w:bottom w:val="nil"/>
              <w:right w:val="nil"/>
            </w:tcBorders>
            <w:shd w:val="clear" w:color="auto" w:fill="auto"/>
            <w:noWrap/>
            <w:vAlign w:val="bottom"/>
            <w:hideMark/>
          </w:tcPr>
          <w:p w:rsidR="00F22066" w:rsidRPr="002B4BBE" w:rsidRDefault="00F22066" w:rsidP="002B4BBE">
            <w:pPr>
              <w:jc w:val="left"/>
              <w:rPr>
                <w:rFonts w:ascii="Times New Roman" w:eastAsia="Times New Roman" w:hAnsi="Times New Roman" w:cs="Times New Roman"/>
                <w:sz w:val="16"/>
                <w:szCs w:val="16"/>
                <w:lang w:eastAsia="fr-FR"/>
              </w:rPr>
            </w:pPr>
          </w:p>
        </w:tc>
        <w:tc>
          <w:tcPr>
            <w:tcW w:w="10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0.1326</w:t>
            </w:r>
            <w:r>
              <w:rPr>
                <w:rFonts w:ascii="Times New Roman" w:eastAsia="Times New Roman" w:hAnsi="Times New Roman" w:cs="Times New Roman"/>
                <w:color w:val="000000"/>
                <w:sz w:val="16"/>
                <w:szCs w:val="16"/>
                <w:lang w:eastAsia="fr-FR"/>
              </w:rPr>
              <w:t>*</w:t>
            </w:r>
          </w:p>
        </w:tc>
        <w:tc>
          <w:tcPr>
            <w:tcW w:w="7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0.0175</w:t>
            </w:r>
          </w:p>
        </w:tc>
        <w:tc>
          <w:tcPr>
            <w:tcW w:w="8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F22066" w:rsidRPr="002B4BBE" w:rsidTr="008C3A95">
        <w:trPr>
          <w:trHeight w:val="225"/>
          <w:jc w:val="center"/>
        </w:trPr>
        <w:tc>
          <w:tcPr>
            <w:tcW w:w="1140" w:type="dxa"/>
            <w:tcBorders>
              <w:top w:val="nil"/>
              <w:left w:val="nil"/>
              <w:bottom w:val="nil"/>
              <w:right w:val="nil"/>
            </w:tcBorders>
            <w:shd w:val="clear" w:color="auto" w:fill="auto"/>
            <w:noWrap/>
            <w:vAlign w:val="center"/>
            <w:hideMark/>
          </w:tcPr>
          <w:p w:rsidR="00F22066" w:rsidRPr="00D540F7" w:rsidRDefault="00F22066" w:rsidP="00F22066">
            <w:pPr>
              <w:jc w:val="left"/>
              <w:rPr>
                <w:rFonts w:asciiTheme="majorBidi" w:eastAsia="Times New Roman" w:hAnsiTheme="majorBidi" w:cstheme="majorBidi"/>
                <w:color w:val="000000"/>
                <w:sz w:val="16"/>
                <w:szCs w:val="16"/>
                <w:lang w:eastAsia="fr-FR"/>
              </w:rPr>
            </w:pPr>
            <w:r w:rsidRPr="00D540F7">
              <w:rPr>
                <w:rFonts w:asciiTheme="majorBidi" w:eastAsia="Times New Roman" w:hAnsiTheme="majorBidi" w:cstheme="majorBidi"/>
                <w:color w:val="000000"/>
                <w:sz w:val="16"/>
                <w:szCs w:val="16"/>
                <w:lang w:eastAsia="fr-FR"/>
              </w:rPr>
              <w:t>Log Likelihood</w:t>
            </w:r>
          </w:p>
        </w:tc>
        <w:tc>
          <w:tcPr>
            <w:tcW w:w="9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-11795.04</w:t>
            </w:r>
          </w:p>
        </w:tc>
        <w:tc>
          <w:tcPr>
            <w:tcW w:w="76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w:t>
            </w:r>
          </w:p>
        </w:tc>
        <w:tc>
          <w:tcPr>
            <w:tcW w:w="72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w:t>
            </w:r>
          </w:p>
        </w:tc>
        <w:tc>
          <w:tcPr>
            <w:tcW w:w="180" w:type="dxa"/>
            <w:tcBorders>
              <w:top w:val="nil"/>
              <w:left w:val="nil"/>
              <w:bottom w:val="nil"/>
              <w:right w:val="nil"/>
            </w:tcBorders>
            <w:shd w:val="clear" w:color="auto" w:fill="auto"/>
            <w:noWrap/>
            <w:vAlign w:val="bottom"/>
            <w:hideMark/>
          </w:tcPr>
          <w:p w:rsidR="00F22066" w:rsidRPr="002B4BBE" w:rsidRDefault="00F22066" w:rsidP="002B4BBE">
            <w:pPr>
              <w:jc w:val="left"/>
              <w:rPr>
                <w:rFonts w:ascii="Times New Roman" w:eastAsia="Times New Roman" w:hAnsi="Times New Roman" w:cs="Times New Roman"/>
                <w:sz w:val="16"/>
                <w:szCs w:val="16"/>
                <w:lang w:eastAsia="fr-FR"/>
              </w:rPr>
            </w:pPr>
          </w:p>
        </w:tc>
        <w:tc>
          <w:tcPr>
            <w:tcW w:w="10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-11788.266</w:t>
            </w:r>
          </w:p>
        </w:tc>
        <w:tc>
          <w:tcPr>
            <w:tcW w:w="70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w:t>
            </w:r>
          </w:p>
        </w:tc>
        <w:tc>
          <w:tcPr>
            <w:tcW w:w="880" w:type="dxa"/>
            <w:tcBorders>
              <w:top w:val="nil"/>
              <w:left w:val="nil"/>
              <w:bottom w:val="nil"/>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w:t>
            </w:r>
          </w:p>
        </w:tc>
      </w:tr>
      <w:tr w:rsidR="00F22066" w:rsidRPr="002B4BBE" w:rsidTr="008C3A95">
        <w:trPr>
          <w:trHeight w:val="225"/>
          <w:jc w:val="center"/>
        </w:trPr>
        <w:tc>
          <w:tcPr>
            <w:tcW w:w="1140" w:type="dxa"/>
            <w:tcBorders>
              <w:top w:val="nil"/>
              <w:left w:val="nil"/>
              <w:bottom w:val="single" w:sz="8" w:space="0" w:color="auto"/>
              <w:right w:val="nil"/>
            </w:tcBorders>
            <w:shd w:val="clear" w:color="auto" w:fill="auto"/>
            <w:noWrap/>
            <w:vAlign w:val="center"/>
            <w:hideMark/>
          </w:tcPr>
          <w:p w:rsidR="00F22066" w:rsidRPr="00D540F7" w:rsidRDefault="00F22066" w:rsidP="00F22066">
            <w:pPr>
              <w:jc w:val="left"/>
              <w:rPr>
                <w:rFonts w:asciiTheme="majorBidi" w:eastAsia="Times New Roman" w:hAnsiTheme="majorBidi" w:cstheme="majorBidi"/>
                <w:color w:val="000000"/>
                <w:sz w:val="16"/>
                <w:szCs w:val="16"/>
                <w:lang w:eastAsia="fr-FR"/>
              </w:rPr>
            </w:pPr>
            <w:r w:rsidRPr="00D540F7">
              <w:rPr>
                <w:rFonts w:asciiTheme="majorBidi" w:eastAsia="Times New Roman" w:hAnsiTheme="majorBidi" w:cstheme="majorBidi"/>
                <w:color w:val="000000"/>
                <w:sz w:val="16"/>
                <w:szCs w:val="16"/>
                <w:lang w:eastAsia="fr-FR"/>
              </w:rPr>
              <w:t>BIC</w:t>
            </w:r>
          </w:p>
        </w:tc>
        <w:tc>
          <w:tcPr>
            <w:tcW w:w="980" w:type="dxa"/>
            <w:tcBorders>
              <w:top w:val="nil"/>
              <w:left w:val="nil"/>
              <w:bottom w:val="single" w:sz="8" w:space="0" w:color="auto"/>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23799.2244</w:t>
            </w:r>
          </w:p>
        </w:tc>
        <w:tc>
          <w:tcPr>
            <w:tcW w:w="760" w:type="dxa"/>
            <w:tcBorders>
              <w:top w:val="nil"/>
              <w:left w:val="nil"/>
              <w:bottom w:val="single" w:sz="8" w:space="0" w:color="auto"/>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 -</w:t>
            </w:r>
          </w:p>
        </w:tc>
        <w:tc>
          <w:tcPr>
            <w:tcW w:w="720" w:type="dxa"/>
            <w:tcBorders>
              <w:top w:val="nil"/>
              <w:left w:val="nil"/>
              <w:bottom w:val="single" w:sz="8" w:space="0" w:color="auto"/>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 -</w:t>
            </w:r>
          </w:p>
        </w:tc>
        <w:tc>
          <w:tcPr>
            <w:tcW w:w="180" w:type="dxa"/>
            <w:tcBorders>
              <w:top w:val="nil"/>
              <w:left w:val="nil"/>
              <w:bottom w:val="single" w:sz="8" w:space="0" w:color="auto"/>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 </w:t>
            </w:r>
          </w:p>
        </w:tc>
        <w:tc>
          <w:tcPr>
            <w:tcW w:w="1000" w:type="dxa"/>
            <w:tcBorders>
              <w:top w:val="nil"/>
              <w:left w:val="nil"/>
              <w:bottom w:val="single" w:sz="8" w:space="0" w:color="auto"/>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23793.7187</w:t>
            </w:r>
          </w:p>
        </w:tc>
        <w:tc>
          <w:tcPr>
            <w:tcW w:w="700" w:type="dxa"/>
            <w:tcBorders>
              <w:top w:val="nil"/>
              <w:left w:val="nil"/>
              <w:bottom w:val="single" w:sz="8" w:space="0" w:color="auto"/>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 -</w:t>
            </w:r>
          </w:p>
        </w:tc>
        <w:tc>
          <w:tcPr>
            <w:tcW w:w="880" w:type="dxa"/>
            <w:tcBorders>
              <w:top w:val="nil"/>
              <w:left w:val="nil"/>
              <w:bottom w:val="single" w:sz="8" w:space="0" w:color="auto"/>
              <w:right w:val="nil"/>
            </w:tcBorders>
            <w:shd w:val="clear" w:color="auto" w:fill="auto"/>
            <w:noWrap/>
            <w:vAlign w:val="bottom"/>
            <w:hideMark/>
          </w:tcPr>
          <w:p w:rsidR="00F22066" w:rsidRPr="002B4BBE" w:rsidRDefault="00F22066" w:rsidP="002B4BBE">
            <w:pPr>
              <w:rPr>
                <w:rFonts w:ascii="Times New Roman" w:eastAsia="Times New Roman" w:hAnsi="Times New Roman" w:cs="Times New Roman"/>
                <w:color w:val="000000"/>
                <w:sz w:val="16"/>
                <w:szCs w:val="16"/>
                <w:lang w:eastAsia="fr-FR"/>
              </w:rPr>
            </w:pPr>
            <w:r w:rsidRPr="002B4BBE">
              <w:rPr>
                <w:rFonts w:ascii="Times New Roman" w:eastAsia="Times New Roman" w:hAnsi="Times New Roman" w:cs="Times New Roman"/>
                <w:color w:val="000000"/>
                <w:sz w:val="16"/>
                <w:szCs w:val="16"/>
                <w:lang w:eastAsia="fr-FR"/>
              </w:rPr>
              <w:t> -</w:t>
            </w:r>
          </w:p>
        </w:tc>
      </w:tr>
    </w:tbl>
    <w:p w:rsidR="002B4BBE" w:rsidRPr="00985AC3" w:rsidRDefault="002B4BBE" w:rsidP="00F2735E">
      <w:pPr>
        <w:pStyle w:val="Lgende"/>
        <w:spacing w:after="0"/>
        <w:ind w:left="1361" w:right="1361"/>
        <w:jc w:val="both"/>
        <w:rPr>
          <w:rFonts w:asciiTheme="majorBidi" w:eastAsia="Times New Roman" w:hAnsiTheme="majorBidi" w:cstheme="majorBidi"/>
          <w:color w:val="auto"/>
          <w:sz w:val="16"/>
          <w:szCs w:val="16"/>
          <w:lang w:val="en-US"/>
        </w:rPr>
      </w:pPr>
      <w:r w:rsidRPr="00985AC3">
        <w:rPr>
          <w:rFonts w:asciiTheme="majorBidi" w:hAnsiTheme="majorBidi" w:cstheme="majorBidi"/>
          <w:color w:val="auto"/>
          <w:sz w:val="16"/>
          <w:szCs w:val="16"/>
          <w:lang w:val="en-US"/>
        </w:rPr>
        <w:t>Notes:</w:t>
      </w:r>
      <w:r w:rsidRPr="00985AC3">
        <w:rPr>
          <w:rFonts w:asciiTheme="majorBidi" w:hAnsiTheme="majorBidi" w:cstheme="majorBidi"/>
          <w:b w:val="0"/>
          <w:color w:val="auto"/>
          <w:sz w:val="16"/>
          <w:szCs w:val="16"/>
          <w:lang w:val="en-US"/>
        </w:rPr>
        <w:t xml:space="preserve"> The superscripts *, ** and *** denote the level significance at 1%, 5%, and 10%, respectively.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Q</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m:t>
        </m:r>
        <m:d>
          <m:dPr>
            <m:ctrlPr>
              <w:rPr>
                <w:rFonts w:ascii="Cambria Math" w:hAnsi="Cambria Math" w:cstheme="majorBidi"/>
                <w:b w:val="0"/>
                <w:i/>
                <w:color w:val="auto"/>
                <w:sz w:val="16"/>
                <w:szCs w:val="16"/>
                <w:lang w:val="en-US"/>
              </w:rPr>
            </m:ctrlPr>
          </m:dPr>
          <m:e>
            <m:r>
              <m:rPr>
                <m:sty m:val="bi"/>
              </m:rPr>
              <w:rPr>
                <w:rFonts w:ascii="Cambria Math" w:hAnsi="Cambria Math" w:cstheme="majorBidi"/>
                <w:color w:val="auto"/>
                <w:sz w:val="16"/>
                <w:szCs w:val="16"/>
                <w:lang w:val="en-US"/>
              </w:rPr>
              <m:t>1-</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a</m:t>
                </m:r>
              </m:e>
              <m:sub>
                <m:r>
                  <m:rPr>
                    <m:sty m:val="bi"/>
                  </m:rPr>
                  <w:rPr>
                    <w:rFonts w:ascii="Cambria Math" w:hAnsi="Cambria Math" w:cstheme="majorBidi"/>
                    <w:color w:val="auto"/>
                    <w:sz w:val="16"/>
                    <w:szCs w:val="16"/>
                    <w:lang w:val="en-US"/>
                  </w:rPr>
                  <m:t>1</m:t>
                </m:r>
              </m:sub>
            </m:sSub>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b</m:t>
                </m:r>
              </m:e>
              <m:sub>
                <m:r>
                  <m:rPr>
                    <m:sty m:val="bi"/>
                  </m:rPr>
                  <w:rPr>
                    <w:rFonts w:ascii="Cambria Math" w:hAnsi="Cambria Math" w:cstheme="majorBidi"/>
                    <w:color w:val="auto"/>
                    <w:sz w:val="16"/>
                    <w:szCs w:val="16"/>
                    <w:lang w:val="en-US"/>
                  </w:rPr>
                  <m:t>1</m:t>
                </m:r>
              </m:sub>
            </m:sSub>
          </m:e>
        </m:d>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Q</m:t>
            </m:r>
          </m:e>
        </m:acc>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g</m:t>
            </m:r>
          </m:e>
          <m:sub>
            <m:r>
              <m:rPr>
                <m:sty m:val="bi"/>
              </m:rPr>
              <w:rPr>
                <w:rFonts w:ascii="Cambria Math" w:hAnsi="Cambria Math" w:cstheme="majorBidi"/>
                <w:color w:val="auto"/>
                <w:sz w:val="16"/>
                <w:szCs w:val="16"/>
                <w:lang w:val="en-US"/>
              </w:rPr>
              <m:t>1</m:t>
            </m:r>
          </m:sub>
        </m:sSub>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N</m:t>
            </m:r>
          </m:e>
        </m:acc>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a</m:t>
            </m:r>
          </m:e>
          <m:sub>
            <m:r>
              <m:rPr>
                <m:sty m:val="bi"/>
              </m:rPr>
              <w:rPr>
                <w:rFonts w:ascii="Cambria Math" w:hAnsi="Cambria Math" w:cstheme="majorBidi"/>
                <w:color w:val="auto"/>
                <w:sz w:val="16"/>
                <w:szCs w:val="16"/>
                <w:lang w:val="en-US"/>
              </w:rPr>
              <m:t>1</m:t>
            </m:r>
          </m:sub>
        </m:sSub>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t-1</m:t>
            </m:r>
          </m:sub>
        </m:sSub>
        <m:sSubSup>
          <m:sSubSupPr>
            <m:ctrlPr>
              <w:rPr>
                <w:rFonts w:ascii="Cambria Math" w:hAnsi="Cambria Math" w:cstheme="majorBidi"/>
                <w:b w:val="0"/>
                <w:i/>
                <w:color w:val="auto"/>
                <w:sz w:val="16"/>
                <w:szCs w:val="16"/>
                <w:lang w:val="en-US"/>
              </w:rPr>
            </m:ctrlPr>
          </m:sSubSup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t-1</m:t>
            </m:r>
          </m:sub>
          <m:sup>
            <m:r>
              <m:rPr>
                <m:sty m:val="bi"/>
              </m:rPr>
              <w:rPr>
                <w:rFonts w:ascii="Cambria Math" w:hAnsi="Cambria Math" w:cstheme="majorBidi"/>
                <w:color w:val="auto"/>
                <w:sz w:val="16"/>
                <w:szCs w:val="16"/>
                <w:lang w:val="en-US"/>
              </w:rPr>
              <m:t>'</m:t>
            </m:r>
          </m:sup>
        </m:sSubSup>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b</m:t>
            </m:r>
          </m:e>
          <m:sub>
            <m:r>
              <m:rPr>
                <m:sty m:val="bi"/>
              </m:rPr>
              <w:rPr>
                <w:rFonts w:ascii="Cambria Math" w:hAnsi="Cambria Math" w:cstheme="majorBidi"/>
                <w:color w:val="auto"/>
                <w:sz w:val="16"/>
                <w:szCs w:val="16"/>
                <w:lang w:val="en-US"/>
              </w:rPr>
              <m:t>1</m:t>
            </m:r>
          </m:sub>
        </m:sSub>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Q</m:t>
            </m:r>
          </m:e>
          <m:sub>
            <m:r>
              <m:rPr>
                <m:sty m:val="bi"/>
              </m:rPr>
              <w:rPr>
                <w:rFonts w:ascii="Cambria Math" w:hAnsi="Cambria Math" w:cstheme="majorBidi"/>
                <w:color w:val="auto"/>
                <w:sz w:val="16"/>
                <w:szCs w:val="16"/>
                <w:lang w:val="en-US"/>
              </w:rPr>
              <m:t>t-1</m:t>
            </m:r>
          </m:sub>
        </m:sSub>
        <m:sSubSup>
          <m:sSubSupPr>
            <m:ctrlPr>
              <w:rPr>
                <w:rFonts w:ascii="Cambria Math" w:hAnsi="Cambria Math" w:cstheme="majorBidi"/>
                <w:b w:val="0"/>
                <w:i/>
                <w:color w:val="auto"/>
                <w:sz w:val="16"/>
                <w:szCs w:val="16"/>
                <w:lang w:val="en-US"/>
              </w:rPr>
            </m:ctrlPr>
          </m:sSubSupPr>
          <m:e>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g</m:t>
                </m:r>
              </m:e>
              <m:sub>
                <m:r>
                  <m:rPr>
                    <m:sty m:val="bi"/>
                  </m:rPr>
                  <w:rPr>
                    <w:rFonts w:ascii="Cambria Math" w:hAnsi="Cambria Math" w:cstheme="majorBidi"/>
                    <w:color w:val="auto"/>
                    <w:sz w:val="16"/>
                    <w:szCs w:val="16"/>
                    <w:lang w:val="en-US"/>
                  </w:rPr>
                  <m:t>1</m:t>
                </m:r>
              </m:sub>
            </m:sSub>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η</m:t>
                </m:r>
              </m:e>
              <m:sub>
                <m:r>
                  <m:rPr>
                    <m:sty m:val="bi"/>
                  </m:rPr>
                  <w:rPr>
                    <w:rFonts w:ascii="Cambria Math" w:hAnsi="Cambria Math" w:cstheme="majorBidi"/>
                    <w:color w:val="auto"/>
                    <w:sz w:val="16"/>
                    <w:szCs w:val="16"/>
                    <w:lang w:val="en-US"/>
                  </w:rPr>
                  <m:t>t-1</m:t>
                </m:r>
              </m:sub>
            </m:sSub>
            <m:r>
              <m:rPr>
                <m:sty m:val="bi"/>
              </m:rPr>
              <w:rPr>
                <w:rFonts w:ascii="Cambria Math" w:hAnsi="Cambria Math" w:cstheme="majorBidi"/>
                <w:color w:val="auto"/>
                <w:sz w:val="16"/>
                <w:szCs w:val="16"/>
                <w:lang w:val="en-US"/>
              </w:rPr>
              <m:t>η</m:t>
            </m:r>
          </m:e>
          <m:sub>
            <m:r>
              <m:rPr>
                <m:sty m:val="bi"/>
              </m:rPr>
              <w:rPr>
                <w:rFonts w:ascii="Cambria Math" w:hAnsi="Cambria Math" w:cstheme="majorBidi"/>
                <w:color w:val="auto"/>
                <w:sz w:val="16"/>
                <w:szCs w:val="16"/>
                <w:lang w:val="en-US"/>
              </w:rPr>
              <m:t>t-1</m:t>
            </m:r>
          </m:sub>
          <m:sup>
            <m:r>
              <m:rPr>
                <m:sty m:val="bi"/>
              </m:rPr>
              <w:rPr>
                <w:rFonts w:ascii="Cambria Math" w:hAnsi="Cambria Math" w:cstheme="majorBidi"/>
                <w:color w:val="auto"/>
                <w:sz w:val="16"/>
                <w:szCs w:val="16"/>
                <w:lang w:val="en-US"/>
              </w:rPr>
              <m:t>'</m:t>
            </m:r>
          </m:sup>
        </m:sSubSup>
      </m:oMath>
      <w:r w:rsidRPr="00985AC3">
        <w:rPr>
          <w:rFonts w:asciiTheme="majorBidi" w:hAnsiTheme="majorBidi" w:cstheme="majorBidi"/>
          <w:b w:val="0"/>
          <w:color w:val="auto"/>
          <w:sz w:val="16"/>
          <w:szCs w:val="16"/>
          <w:lang w:val="en-US"/>
        </w:rPr>
        <w:t xml:space="preserve"> where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Q</m:t>
            </m:r>
          </m:e>
          <m:sub>
            <m:r>
              <m:rPr>
                <m:sty m:val="bi"/>
              </m:rPr>
              <w:rPr>
                <w:rFonts w:ascii="Cambria Math" w:hAnsi="Cambria Math" w:cstheme="majorBidi"/>
                <w:color w:val="auto"/>
                <w:sz w:val="16"/>
                <w:szCs w:val="16"/>
                <w:lang w:val="en-US"/>
              </w:rPr>
              <m:t>t</m:t>
            </m:r>
          </m:sub>
        </m:sSub>
      </m:oMath>
      <w:r w:rsidRPr="00985AC3">
        <w:rPr>
          <w:rFonts w:asciiTheme="majorBidi" w:hAnsiTheme="majorBidi" w:cstheme="majorBidi"/>
          <w:b w:val="0"/>
          <w:color w:val="auto"/>
          <w:sz w:val="16"/>
          <w:szCs w:val="16"/>
          <w:lang w:val="en-US"/>
        </w:rPr>
        <w:t xml:space="preserve"> is the conditional covariance matrix between the standardized residuals;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oMath>
      <w:r w:rsidRPr="00985AC3">
        <w:rPr>
          <w:rFonts w:asciiTheme="majorBidi" w:hAnsiTheme="majorBidi" w:cstheme="majorBidi"/>
          <w:b w:val="0"/>
          <w:color w:val="auto"/>
          <w:sz w:val="16"/>
          <w:szCs w:val="16"/>
          <w:lang w:val="en-US"/>
        </w:rPr>
        <w:t xml:space="preserve"> is the matrix of the standardized residuals; </w:t>
      </w:r>
      <m:oMath>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Q</m:t>
            </m:r>
          </m:e>
        </m:acc>
      </m:oMath>
      <w:r w:rsidRPr="00985AC3">
        <w:rPr>
          <w:rFonts w:asciiTheme="majorBidi" w:hAnsiTheme="majorBidi" w:cstheme="majorBidi"/>
          <w:b w:val="0"/>
          <w:color w:val="auto"/>
          <w:sz w:val="16"/>
          <w:szCs w:val="16"/>
          <w:lang w:val="en-US"/>
        </w:rPr>
        <w:t xml:space="preserve"> and </w:t>
      </w:r>
      <m:oMath>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N</m:t>
            </m:r>
          </m:e>
        </m:acc>
      </m:oMath>
      <w:r w:rsidRPr="00985AC3">
        <w:rPr>
          <w:rFonts w:asciiTheme="majorBidi" w:hAnsiTheme="majorBidi" w:cstheme="majorBidi"/>
          <w:b w:val="0"/>
          <w:color w:val="auto"/>
          <w:sz w:val="16"/>
          <w:szCs w:val="16"/>
          <w:lang w:val="en-US"/>
        </w:rPr>
        <w:t xml:space="preserve"> are the unconditional correlation matrices of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oMath>
      <w:r w:rsidRPr="00985AC3">
        <w:rPr>
          <w:rFonts w:asciiTheme="majorBidi" w:hAnsiTheme="majorBidi" w:cstheme="majorBidi"/>
          <w:b w:val="0"/>
          <w:color w:val="auto"/>
          <w:sz w:val="16"/>
          <w:szCs w:val="16"/>
          <w:lang w:val="en-US"/>
        </w:rPr>
        <w:t xml:space="preserve">;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η</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=I[</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
          </m:rPr>
          <w:rPr>
            <w:rFonts w:ascii="Cambria Math" w:hAnsi="Cambria Math" w:cstheme="majorBidi"/>
            <w:color w:val="auto"/>
            <w:sz w:val="16"/>
            <w:szCs w:val="16"/>
            <w:lang w:val="en-US"/>
          </w:rPr>
          <m:t>&lt;</m:t>
        </m:r>
        <m:r>
          <m:rPr>
            <m:sty m:val="bi"/>
          </m:rPr>
          <w:rPr>
            <w:rFonts w:ascii="Cambria Math" w:hAnsi="Cambria Math" w:cstheme="majorBidi"/>
            <w:color w:val="auto"/>
            <w:sz w:val="16"/>
            <w:szCs w:val="16"/>
            <w:lang w:val="en-US"/>
          </w:rPr>
          <m:t>0]∘</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oMath>
      <w:r w:rsidRPr="00985AC3">
        <w:rPr>
          <w:rFonts w:asciiTheme="majorBidi" w:hAnsiTheme="majorBidi" w:cstheme="majorBidi"/>
          <w:b w:val="0"/>
          <w:color w:val="auto"/>
          <w:sz w:val="16"/>
          <w:szCs w:val="16"/>
          <w:lang w:val="en-US"/>
        </w:rPr>
        <w:t xml:space="preserve"> and </w:t>
      </w:r>
      <m:oMath>
        <m:r>
          <m:rPr>
            <m:sty m:val="bi"/>
          </m:rPr>
          <w:rPr>
            <w:rFonts w:ascii="Cambria Math" w:hAnsi="Cambria Math" w:cstheme="majorBidi"/>
            <w:color w:val="auto"/>
            <w:sz w:val="16"/>
            <w:szCs w:val="16"/>
            <w:lang w:val="en-US"/>
          </w:rPr>
          <m:t>I[.</m:t>
        </m:r>
        <m:r>
          <m:rPr>
            <m:sty m:val="b"/>
          </m:rPr>
          <w:rPr>
            <w:rFonts w:ascii="Cambria Math" w:hAnsi="Cambria Math" w:cstheme="majorBidi"/>
            <w:color w:val="auto"/>
            <w:sz w:val="16"/>
            <w:szCs w:val="16"/>
            <w:lang w:val="en-US"/>
          </w:rPr>
          <m:t>]</m:t>
        </m:r>
      </m:oMath>
      <w:r w:rsidRPr="00985AC3">
        <w:rPr>
          <w:rFonts w:asciiTheme="majorBidi" w:hAnsiTheme="majorBidi" w:cstheme="majorBidi"/>
          <w:b w:val="0"/>
          <w:color w:val="auto"/>
          <w:sz w:val="16"/>
          <w:szCs w:val="16"/>
          <w:lang w:val="en-US"/>
        </w:rPr>
        <w:t xml:space="preserve"> is a </w:t>
      </w:r>
      <m:oMath>
        <m:r>
          <m:rPr>
            <m:sty m:val="bi"/>
          </m:rPr>
          <w:rPr>
            <w:rFonts w:ascii="Cambria Math" w:hAnsi="Cambria Math" w:cstheme="majorBidi"/>
            <w:color w:val="auto"/>
            <w:sz w:val="16"/>
            <w:szCs w:val="16"/>
            <w:lang w:val="en-US"/>
          </w:rPr>
          <m:t>k×1</m:t>
        </m:r>
      </m:oMath>
      <w:r w:rsidRPr="00985AC3">
        <w:rPr>
          <w:rFonts w:asciiTheme="majorBidi" w:hAnsiTheme="majorBidi" w:cstheme="majorBidi"/>
          <w:b w:val="0"/>
          <w:color w:val="auto"/>
          <w:sz w:val="16"/>
          <w:szCs w:val="16"/>
          <w:lang w:val="en-US"/>
        </w:rPr>
        <w:t xml:space="preserve"> indicator function such as </w:t>
      </w:r>
      <m:oMath>
        <m:r>
          <m:rPr>
            <m:sty m:val="bi"/>
          </m:rPr>
          <w:rPr>
            <w:rFonts w:ascii="Cambria Math" w:hAnsi="Cambria Math" w:cstheme="majorBidi"/>
            <w:color w:val="auto"/>
            <w:sz w:val="16"/>
            <w:szCs w:val="16"/>
            <w:lang w:val="en-US"/>
          </w:rPr>
          <m:t>I=1</m:t>
        </m:r>
      </m:oMath>
      <w:r w:rsidRPr="00985AC3">
        <w:rPr>
          <w:rFonts w:asciiTheme="majorBidi" w:hAnsiTheme="majorBidi" w:cstheme="majorBidi"/>
          <w:b w:val="0"/>
          <w:color w:val="auto"/>
          <w:sz w:val="16"/>
          <w:szCs w:val="16"/>
          <w:lang w:val="en-US"/>
        </w:rPr>
        <w:t xml:space="preserve"> if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&lt;0</m:t>
        </m:r>
      </m:oMath>
      <w:r w:rsidRPr="00985AC3">
        <w:rPr>
          <w:rFonts w:asciiTheme="majorBidi" w:hAnsiTheme="majorBidi" w:cstheme="majorBidi"/>
          <w:b w:val="0"/>
          <w:color w:val="auto"/>
          <w:sz w:val="16"/>
          <w:szCs w:val="16"/>
          <w:lang w:val="en-US"/>
        </w:rPr>
        <w:t xml:space="preserve"> and </w:t>
      </w:r>
      <m:oMath>
        <m:r>
          <m:rPr>
            <m:sty m:val="bi"/>
          </m:rPr>
          <w:rPr>
            <w:rFonts w:ascii="Cambria Math" w:hAnsi="Cambria Math" w:cstheme="majorBidi"/>
            <w:color w:val="auto"/>
            <w:sz w:val="16"/>
            <w:szCs w:val="16"/>
            <w:lang w:val="en-US"/>
          </w:rPr>
          <m:t>I=0</m:t>
        </m:r>
      </m:oMath>
      <w:r w:rsidRPr="00985AC3">
        <w:rPr>
          <w:rFonts w:asciiTheme="majorBidi" w:hAnsiTheme="majorBidi" w:cstheme="majorBidi"/>
          <w:b w:val="0"/>
          <w:color w:val="auto"/>
          <w:sz w:val="16"/>
          <w:szCs w:val="16"/>
          <w:lang w:val="en-US"/>
        </w:rPr>
        <w:t xml:space="preserve"> if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≥0</m:t>
        </m:r>
      </m:oMath>
      <w:r w:rsidRPr="00985AC3">
        <w:rPr>
          <w:rFonts w:asciiTheme="majorBidi" w:hAnsiTheme="majorBidi" w:cstheme="majorBidi"/>
          <w:b w:val="0"/>
          <w:color w:val="auto"/>
          <w:sz w:val="16"/>
          <w:szCs w:val="16"/>
          <w:lang w:val="en-US"/>
        </w:rPr>
        <w:t xml:space="preserve">, while </w:t>
      </w:r>
      <m:oMath>
        <m:r>
          <m:rPr>
            <m:sty m:val="bi"/>
          </m:rPr>
          <w:rPr>
            <w:rFonts w:ascii="Cambria Math" w:hAnsi="Cambria Math" w:cstheme="majorBidi"/>
            <w:color w:val="auto"/>
            <w:sz w:val="16"/>
            <w:szCs w:val="16"/>
            <w:lang w:val="en-US"/>
          </w:rPr>
          <m:t>"∘"</m:t>
        </m:r>
      </m:oMath>
      <w:r w:rsidRPr="00985AC3">
        <w:rPr>
          <w:rFonts w:asciiTheme="majorBidi" w:hAnsiTheme="majorBidi" w:cstheme="majorBidi"/>
          <w:b w:val="0"/>
          <w:color w:val="auto"/>
          <w:sz w:val="16"/>
          <w:szCs w:val="16"/>
          <w:lang w:val="en-US"/>
        </w:rPr>
        <w:t xml:space="preserve"> is the Hadamard product.</w:t>
      </w:r>
    </w:p>
    <w:p w:rsidR="0034172A" w:rsidRPr="00EE111C" w:rsidRDefault="0034172A" w:rsidP="002B4BBE">
      <w:pPr>
        <w:jc w:val="both"/>
        <w:rPr>
          <w:rFonts w:asciiTheme="majorBidi" w:hAnsiTheme="majorBidi" w:cstheme="majorBidi"/>
          <w:lang w:val="en-US"/>
        </w:rPr>
      </w:pPr>
    </w:p>
    <w:p w:rsidR="00061410" w:rsidRPr="00EE111C" w:rsidRDefault="00607955" w:rsidP="00EE111C">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In Fig. 3</w:t>
      </w:r>
      <w:r w:rsidR="00B25CEE" w:rsidRPr="00EE111C">
        <w:rPr>
          <w:rFonts w:asciiTheme="majorBidi" w:hAnsiTheme="majorBidi" w:cstheme="majorBidi"/>
          <w:lang w:val="en-US"/>
        </w:rPr>
        <w:t>, we plot the rolling correlations bet</w:t>
      </w:r>
      <w:r w:rsidR="00C32392" w:rsidRPr="00EE111C">
        <w:rPr>
          <w:rFonts w:asciiTheme="majorBidi" w:hAnsiTheme="majorBidi" w:cstheme="majorBidi"/>
          <w:lang w:val="en-US"/>
        </w:rPr>
        <w:t>ween each pair o</w:t>
      </w:r>
      <w:r w:rsidR="008B799F" w:rsidRPr="00EE111C">
        <w:rPr>
          <w:rFonts w:asciiTheme="majorBidi" w:hAnsiTheme="majorBidi" w:cstheme="majorBidi"/>
          <w:lang w:val="en-US"/>
        </w:rPr>
        <w:t>f exchange rate and stock price</w:t>
      </w:r>
      <w:r w:rsidR="00C32392" w:rsidRPr="00EE111C">
        <w:rPr>
          <w:rFonts w:asciiTheme="majorBidi" w:hAnsiTheme="majorBidi" w:cstheme="majorBidi"/>
          <w:lang w:val="en-US"/>
        </w:rPr>
        <w:t>s</w:t>
      </w:r>
      <w:r w:rsidR="00B25CEE" w:rsidRPr="00EE111C">
        <w:rPr>
          <w:rFonts w:asciiTheme="majorBidi" w:hAnsiTheme="majorBidi" w:cstheme="majorBidi"/>
          <w:lang w:val="en-US"/>
        </w:rPr>
        <w:t xml:space="preserve"> with time spans of four months, eight months, one year, two years and four years, respectively. Interestingly, we find more</w:t>
      </w:r>
      <w:r w:rsidR="00071966">
        <w:rPr>
          <w:rFonts w:asciiTheme="majorBidi" w:hAnsiTheme="majorBidi" w:cstheme="majorBidi"/>
          <w:lang w:val="en-US"/>
        </w:rPr>
        <w:t xml:space="preserve"> </w:t>
      </w:r>
      <w:r w:rsidR="00B25CEE" w:rsidRPr="00EE111C">
        <w:rPr>
          <w:rFonts w:asciiTheme="majorBidi" w:hAnsiTheme="majorBidi" w:cstheme="majorBidi"/>
          <w:lang w:val="en-US"/>
        </w:rPr>
        <w:t xml:space="preserve">fluctuations of the rolling correlations in downward directions between each pair, particularly after 2007, regardless of the selected time spans. Moreover, we mainly detect sharp decreases in </w:t>
      </w:r>
      <w:r w:rsidR="00C32392" w:rsidRPr="00EE111C">
        <w:rPr>
          <w:rFonts w:asciiTheme="majorBidi" w:hAnsiTheme="majorBidi" w:cstheme="majorBidi"/>
          <w:lang w:val="en-US"/>
        </w:rPr>
        <w:t>the correlations between the USDEUR-DAX30, USDEUR-CAC40 and USDEUR-FTSE100 pairs since 2008 and 2012</w:t>
      </w:r>
      <w:r w:rsidR="00B25CEE" w:rsidRPr="00EE111C">
        <w:rPr>
          <w:rFonts w:asciiTheme="majorBidi" w:hAnsiTheme="majorBidi" w:cstheme="majorBidi"/>
          <w:lang w:val="en-US"/>
        </w:rPr>
        <w:t>.</w:t>
      </w:r>
    </w:p>
    <w:p w:rsidR="00B25CEE" w:rsidRPr="00ED6174" w:rsidRDefault="00B25CEE" w:rsidP="00B25CEE">
      <w:pPr>
        <w:jc w:val="left"/>
        <w:rPr>
          <w:rFonts w:asciiTheme="majorBidi" w:hAnsiTheme="majorBidi" w:cstheme="majorBidi"/>
          <w:b/>
          <w:bCs/>
          <w:sz w:val="24"/>
          <w:szCs w:val="24"/>
          <w:lang w:val="en-US"/>
        </w:rPr>
      </w:pPr>
      <w:bookmarkStart w:id="0" w:name="_GoBack"/>
      <w:bookmarkEnd w:id="0"/>
    </w:p>
    <w:p w:rsidR="00B25CEE" w:rsidRPr="0068758C" w:rsidRDefault="00B25CEE" w:rsidP="00EE111C">
      <w:pPr>
        <w:ind w:left="340" w:hanging="340"/>
        <w:rPr>
          <w:rFonts w:asciiTheme="majorBidi" w:eastAsia="Times New Roman" w:hAnsiTheme="majorBidi" w:cstheme="majorBidi"/>
          <w:sz w:val="20"/>
          <w:szCs w:val="20"/>
          <w:lang w:val="en-US"/>
        </w:rPr>
      </w:pPr>
      <w:r w:rsidRPr="0068758C">
        <w:rPr>
          <w:rFonts w:asciiTheme="majorBidi" w:hAnsiTheme="majorBidi" w:cstheme="majorBidi"/>
          <w:sz w:val="20"/>
          <w:szCs w:val="20"/>
          <w:lang w:val="en-US"/>
        </w:rPr>
        <w:t>(a) Four-month rolling correlation</w:t>
      </w:r>
    </w:p>
    <w:p w:rsidR="00B25CEE" w:rsidRDefault="00B25CEE" w:rsidP="00B25CEE">
      <w:pP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572000" cy="3528060"/>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572000" cy="3528060"/>
                    </a:xfrm>
                    <a:prstGeom prst="rect">
                      <a:avLst/>
                    </a:prstGeom>
                    <a:noFill/>
                    <a:ln w="9525">
                      <a:noFill/>
                      <a:miter lim="800000"/>
                      <a:headEnd/>
                      <a:tailEnd/>
                    </a:ln>
                  </pic:spPr>
                </pic:pic>
              </a:graphicData>
            </a:graphic>
          </wp:inline>
        </w:drawing>
      </w:r>
    </w:p>
    <w:p w:rsidR="00B25CEE" w:rsidRDefault="00B25CEE" w:rsidP="00B25CEE">
      <w:pPr>
        <w:jc w:val="left"/>
        <w:rPr>
          <w:rFonts w:asciiTheme="majorBidi" w:hAnsiTheme="majorBidi" w:cstheme="majorBidi"/>
          <w:b/>
          <w:bCs/>
          <w:sz w:val="24"/>
          <w:szCs w:val="24"/>
        </w:rPr>
      </w:pPr>
    </w:p>
    <w:p w:rsidR="001A6B16" w:rsidRDefault="001A6B16" w:rsidP="00B25CEE">
      <w:pPr>
        <w:jc w:val="left"/>
        <w:rPr>
          <w:rFonts w:asciiTheme="majorBidi" w:hAnsiTheme="majorBidi" w:cstheme="majorBidi"/>
          <w:b/>
          <w:bCs/>
          <w:sz w:val="24"/>
          <w:szCs w:val="24"/>
        </w:rPr>
      </w:pPr>
    </w:p>
    <w:p w:rsidR="00EE111C" w:rsidRDefault="00EE111C" w:rsidP="00B25CEE">
      <w:pPr>
        <w:jc w:val="left"/>
        <w:rPr>
          <w:rFonts w:asciiTheme="majorBidi" w:hAnsiTheme="majorBidi" w:cstheme="majorBidi"/>
          <w:b/>
          <w:bCs/>
          <w:sz w:val="24"/>
          <w:szCs w:val="24"/>
        </w:rPr>
      </w:pPr>
    </w:p>
    <w:p w:rsidR="00EE111C" w:rsidRDefault="00EE111C" w:rsidP="00B25CEE">
      <w:pPr>
        <w:jc w:val="left"/>
        <w:rPr>
          <w:rFonts w:asciiTheme="majorBidi" w:hAnsiTheme="majorBidi" w:cstheme="majorBidi"/>
          <w:b/>
          <w:bCs/>
          <w:sz w:val="24"/>
          <w:szCs w:val="24"/>
        </w:rPr>
      </w:pPr>
    </w:p>
    <w:p w:rsidR="00EE111C" w:rsidRDefault="00EE111C" w:rsidP="00B25CEE">
      <w:pPr>
        <w:jc w:val="left"/>
        <w:rPr>
          <w:rFonts w:asciiTheme="majorBidi" w:hAnsiTheme="majorBidi" w:cstheme="majorBidi"/>
          <w:b/>
          <w:bCs/>
          <w:sz w:val="24"/>
          <w:szCs w:val="24"/>
        </w:rPr>
      </w:pPr>
    </w:p>
    <w:p w:rsidR="0068758C" w:rsidRDefault="0068758C" w:rsidP="00B25CEE">
      <w:pPr>
        <w:jc w:val="left"/>
        <w:rPr>
          <w:rFonts w:asciiTheme="majorBidi" w:hAnsiTheme="majorBidi" w:cstheme="majorBidi"/>
          <w:b/>
          <w:bCs/>
          <w:sz w:val="24"/>
          <w:szCs w:val="24"/>
        </w:rPr>
      </w:pPr>
    </w:p>
    <w:p w:rsidR="00EE111C" w:rsidRDefault="00EE111C" w:rsidP="00B25CEE">
      <w:pPr>
        <w:jc w:val="left"/>
        <w:rPr>
          <w:rFonts w:asciiTheme="majorBidi" w:hAnsiTheme="majorBidi" w:cstheme="majorBidi"/>
          <w:b/>
          <w:bCs/>
          <w:sz w:val="24"/>
          <w:szCs w:val="24"/>
        </w:rPr>
      </w:pPr>
    </w:p>
    <w:p w:rsidR="00B25CEE" w:rsidRPr="0068758C" w:rsidRDefault="0068758C" w:rsidP="00EE111C">
      <w:pPr>
        <w:ind w:left="340" w:hanging="340"/>
        <w:rPr>
          <w:rFonts w:asciiTheme="majorBidi" w:eastAsia="Times New Roman" w:hAnsiTheme="majorBidi" w:cstheme="majorBidi"/>
          <w:sz w:val="20"/>
          <w:szCs w:val="20"/>
          <w:lang w:val="en-US"/>
        </w:rPr>
      </w:pPr>
      <w:r w:rsidRPr="0068758C">
        <w:rPr>
          <w:rFonts w:asciiTheme="majorBidi" w:hAnsiTheme="majorBidi" w:cstheme="majorBidi"/>
          <w:sz w:val="20"/>
          <w:szCs w:val="20"/>
          <w:lang w:val="en-US"/>
        </w:rPr>
        <w:t xml:space="preserve"> </w:t>
      </w:r>
      <w:r w:rsidR="00B25CEE" w:rsidRPr="0068758C">
        <w:rPr>
          <w:rFonts w:asciiTheme="majorBidi" w:hAnsiTheme="majorBidi" w:cstheme="majorBidi"/>
          <w:sz w:val="20"/>
          <w:szCs w:val="20"/>
          <w:lang w:val="en-US"/>
        </w:rPr>
        <w:t>(b) Eight-month rolling correlation</w:t>
      </w:r>
    </w:p>
    <w:p w:rsidR="00B25CEE" w:rsidRDefault="00B25CEE" w:rsidP="00B25CEE">
      <w:pP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572000" cy="3528060"/>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72000" cy="3528060"/>
                    </a:xfrm>
                    <a:prstGeom prst="rect">
                      <a:avLst/>
                    </a:prstGeom>
                    <a:noFill/>
                    <a:ln w="9525">
                      <a:noFill/>
                      <a:miter lim="800000"/>
                      <a:headEnd/>
                      <a:tailEnd/>
                    </a:ln>
                  </pic:spPr>
                </pic:pic>
              </a:graphicData>
            </a:graphic>
          </wp:inline>
        </w:drawing>
      </w:r>
    </w:p>
    <w:p w:rsidR="00061410" w:rsidRDefault="00061410" w:rsidP="00B25CEE">
      <w:pPr>
        <w:jc w:val="left"/>
      </w:pPr>
    </w:p>
    <w:p w:rsidR="00B25CEE" w:rsidRPr="0068758C" w:rsidRDefault="00B25CEE" w:rsidP="00EE111C">
      <w:pPr>
        <w:ind w:left="340" w:hanging="340"/>
        <w:rPr>
          <w:rFonts w:asciiTheme="majorBidi" w:eastAsia="Times New Roman" w:hAnsiTheme="majorBidi" w:cstheme="majorBidi"/>
          <w:sz w:val="20"/>
          <w:szCs w:val="20"/>
          <w:lang w:val="en-US"/>
        </w:rPr>
      </w:pPr>
      <w:r w:rsidRPr="0068758C">
        <w:rPr>
          <w:rFonts w:asciiTheme="majorBidi" w:hAnsiTheme="majorBidi" w:cstheme="majorBidi"/>
          <w:sz w:val="20"/>
          <w:szCs w:val="20"/>
          <w:lang w:val="en-US"/>
        </w:rPr>
        <w:t>(c) One-year rolling correlation</w:t>
      </w:r>
    </w:p>
    <w:p w:rsidR="00B25CEE" w:rsidRDefault="00B25CEE" w:rsidP="00B25CEE">
      <w:r>
        <w:rPr>
          <w:noProof/>
          <w:lang w:eastAsia="fr-FR"/>
        </w:rPr>
        <w:drawing>
          <wp:inline distT="0" distB="0" distL="0" distR="0">
            <wp:extent cx="4572000" cy="3528060"/>
            <wp:effectExtent l="1905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572000" cy="3528060"/>
                    </a:xfrm>
                    <a:prstGeom prst="rect">
                      <a:avLst/>
                    </a:prstGeom>
                    <a:noFill/>
                    <a:ln w="9525">
                      <a:noFill/>
                      <a:miter lim="800000"/>
                      <a:headEnd/>
                      <a:tailEnd/>
                    </a:ln>
                  </pic:spPr>
                </pic:pic>
              </a:graphicData>
            </a:graphic>
          </wp:inline>
        </w:drawing>
      </w:r>
    </w:p>
    <w:p w:rsidR="001A6B16" w:rsidRDefault="001A6B16" w:rsidP="00B25CEE"/>
    <w:p w:rsidR="00EE111C" w:rsidRDefault="00EE111C" w:rsidP="00B25CEE"/>
    <w:p w:rsidR="00EE111C" w:rsidRDefault="00EE111C" w:rsidP="00B25CEE"/>
    <w:p w:rsidR="00EE111C" w:rsidRDefault="00EE111C" w:rsidP="00B25CEE"/>
    <w:p w:rsidR="00EE111C" w:rsidRDefault="00EE111C" w:rsidP="00B25CEE"/>
    <w:p w:rsidR="00EE111C" w:rsidRDefault="00EE111C" w:rsidP="00B25CEE"/>
    <w:p w:rsidR="001A6B16" w:rsidRDefault="001A6B16" w:rsidP="00B25CEE"/>
    <w:p w:rsidR="00B25CEE" w:rsidRPr="0068758C" w:rsidRDefault="00B25CEE" w:rsidP="00EE111C">
      <w:pPr>
        <w:ind w:left="340" w:hanging="340"/>
        <w:rPr>
          <w:rFonts w:asciiTheme="majorBidi" w:eastAsia="Times New Roman" w:hAnsiTheme="majorBidi" w:cstheme="majorBidi"/>
          <w:sz w:val="20"/>
          <w:szCs w:val="20"/>
          <w:lang w:val="en-US"/>
        </w:rPr>
      </w:pPr>
      <w:r w:rsidRPr="0068758C">
        <w:rPr>
          <w:rFonts w:asciiTheme="majorBidi" w:hAnsiTheme="majorBidi" w:cstheme="majorBidi"/>
          <w:sz w:val="20"/>
          <w:szCs w:val="20"/>
          <w:lang w:val="en-US"/>
        </w:rPr>
        <w:t>(d) Two-year rolling correlation</w:t>
      </w:r>
    </w:p>
    <w:p w:rsidR="00B25CEE" w:rsidRDefault="00B25CEE" w:rsidP="00B25CEE">
      <w:r>
        <w:rPr>
          <w:noProof/>
          <w:lang w:eastAsia="fr-FR"/>
        </w:rPr>
        <w:drawing>
          <wp:inline distT="0" distB="0" distL="0" distR="0">
            <wp:extent cx="4572000" cy="3528060"/>
            <wp:effectExtent l="19050" t="0" r="0" b="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572000" cy="3528060"/>
                    </a:xfrm>
                    <a:prstGeom prst="rect">
                      <a:avLst/>
                    </a:prstGeom>
                    <a:noFill/>
                    <a:ln w="9525">
                      <a:noFill/>
                      <a:miter lim="800000"/>
                      <a:headEnd/>
                      <a:tailEnd/>
                    </a:ln>
                  </pic:spPr>
                </pic:pic>
              </a:graphicData>
            </a:graphic>
          </wp:inline>
        </w:drawing>
      </w:r>
    </w:p>
    <w:p w:rsidR="00061410" w:rsidRDefault="00061410" w:rsidP="00B25CEE">
      <w:pPr>
        <w:jc w:val="left"/>
      </w:pPr>
    </w:p>
    <w:p w:rsidR="00B25CEE" w:rsidRPr="0068758C" w:rsidRDefault="00B25CEE" w:rsidP="00EE111C">
      <w:pPr>
        <w:ind w:left="340" w:hanging="340"/>
        <w:rPr>
          <w:rFonts w:asciiTheme="majorBidi" w:eastAsia="Times New Roman" w:hAnsiTheme="majorBidi" w:cstheme="majorBidi"/>
          <w:sz w:val="20"/>
          <w:szCs w:val="20"/>
          <w:lang w:val="en-US"/>
        </w:rPr>
      </w:pPr>
      <w:r w:rsidRPr="0068758C">
        <w:rPr>
          <w:rFonts w:asciiTheme="majorBidi" w:hAnsiTheme="majorBidi" w:cstheme="majorBidi"/>
          <w:sz w:val="20"/>
          <w:szCs w:val="20"/>
          <w:lang w:val="en-US"/>
        </w:rPr>
        <w:t>(e) Four-year rolling correlation</w:t>
      </w:r>
    </w:p>
    <w:p w:rsidR="00B25CEE" w:rsidRDefault="00B25CEE" w:rsidP="00B25CEE">
      <w:r>
        <w:rPr>
          <w:noProof/>
          <w:lang w:eastAsia="fr-FR"/>
        </w:rPr>
        <w:drawing>
          <wp:inline distT="0" distB="0" distL="0" distR="0">
            <wp:extent cx="4572000" cy="3528060"/>
            <wp:effectExtent l="19050" t="0" r="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572000" cy="3528060"/>
                    </a:xfrm>
                    <a:prstGeom prst="rect">
                      <a:avLst/>
                    </a:prstGeom>
                    <a:noFill/>
                    <a:ln w="9525">
                      <a:noFill/>
                      <a:miter lim="800000"/>
                      <a:headEnd/>
                      <a:tailEnd/>
                    </a:ln>
                  </pic:spPr>
                </pic:pic>
              </a:graphicData>
            </a:graphic>
          </wp:inline>
        </w:drawing>
      </w:r>
    </w:p>
    <w:p w:rsidR="00B25CEE" w:rsidRDefault="00B25CEE" w:rsidP="00B25CEE"/>
    <w:p w:rsidR="00EE111C" w:rsidRDefault="00B25CEE" w:rsidP="00EE111C">
      <w:pPr>
        <w:rPr>
          <w:rFonts w:asciiTheme="majorBidi" w:hAnsiTheme="majorBidi" w:cstheme="majorBidi"/>
          <w:sz w:val="24"/>
          <w:szCs w:val="24"/>
          <w:lang w:val="en-US"/>
        </w:rPr>
      </w:pPr>
      <w:r w:rsidRPr="00EE111C">
        <w:rPr>
          <w:rFonts w:asciiTheme="majorBidi" w:eastAsia="Times New Roman" w:hAnsiTheme="majorBidi" w:cstheme="majorBidi"/>
          <w:b/>
          <w:bCs/>
          <w:sz w:val="20"/>
          <w:szCs w:val="20"/>
          <w:lang w:val="en-US"/>
        </w:rPr>
        <w:t>Fig.</w:t>
      </w:r>
      <w:r w:rsidR="00607955" w:rsidRPr="00EE111C">
        <w:rPr>
          <w:rFonts w:asciiTheme="majorBidi" w:eastAsia="Times New Roman" w:hAnsiTheme="majorBidi" w:cstheme="majorBidi"/>
          <w:b/>
          <w:bCs/>
          <w:sz w:val="20"/>
          <w:szCs w:val="20"/>
          <w:lang w:val="en-US"/>
        </w:rPr>
        <w:t>3</w:t>
      </w:r>
      <w:r w:rsidRPr="00EE111C">
        <w:rPr>
          <w:rFonts w:asciiTheme="majorBidi" w:eastAsia="Times New Roman" w:hAnsiTheme="majorBidi" w:cstheme="majorBidi"/>
          <w:b/>
          <w:bCs/>
          <w:sz w:val="20"/>
          <w:szCs w:val="20"/>
          <w:lang w:val="en-US"/>
        </w:rPr>
        <w:t>.</w:t>
      </w:r>
      <w:r w:rsidR="00EE111C">
        <w:rPr>
          <w:rFonts w:asciiTheme="majorBidi" w:eastAsia="Times New Roman" w:hAnsiTheme="majorBidi" w:cstheme="majorBidi"/>
          <w:b/>
          <w:bCs/>
          <w:sz w:val="20"/>
          <w:szCs w:val="20"/>
          <w:lang w:val="en-US"/>
        </w:rPr>
        <w:t xml:space="preserve"> </w:t>
      </w:r>
      <w:r w:rsidRPr="00EE111C">
        <w:rPr>
          <w:rFonts w:asciiTheme="majorBidi" w:eastAsia="Times New Roman" w:hAnsiTheme="majorBidi" w:cstheme="majorBidi"/>
          <w:sz w:val="20"/>
          <w:szCs w:val="20"/>
          <w:lang w:val="en-US"/>
        </w:rPr>
        <w:t>Rolling correlations between exchange rate and stock index pair.</w:t>
      </w:r>
    </w:p>
    <w:p w:rsidR="00EE111C" w:rsidRPr="00EE111C" w:rsidRDefault="00EE111C" w:rsidP="008F29F8">
      <w:pPr>
        <w:jc w:val="both"/>
        <w:rPr>
          <w:rFonts w:asciiTheme="majorBidi" w:hAnsiTheme="majorBidi" w:cstheme="majorBidi"/>
          <w:lang w:val="en-US"/>
        </w:rPr>
      </w:pPr>
    </w:p>
    <w:p w:rsidR="005340C7" w:rsidRPr="00EE111C" w:rsidRDefault="008F29F8" w:rsidP="008F29F8">
      <w:pPr>
        <w:jc w:val="both"/>
        <w:rPr>
          <w:rFonts w:asciiTheme="majorBidi" w:eastAsia="Times New Roman" w:hAnsiTheme="majorBidi" w:cstheme="majorBidi"/>
          <w:lang w:val="en-US"/>
        </w:rPr>
      </w:pPr>
      <w:r w:rsidRPr="00EE111C">
        <w:rPr>
          <w:rFonts w:asciiTheme="majorBidi" w:hAnsiTheme="majorBidi" w:cstheme="majorBidi"/>
          <w:lang w:val="en-US"/>
        </w:rPr>
        <w:t>Fig. 4</w:t>
      </w:r>
      <w:r w:rsidR="0034172A" w:rsidRPr="00EE111C">
        <w:rPr>
          <w:rFonts w:asciiTheme="majorBidi" w:hAnsiTheme="majorBidi" w:cstheme="majorBidi"/>
          <w:lang w:val="en-US"/>
        </w:rPr>
        <w:t xml:space="preserve"> plots the estimated DCCs between each pair of th</w:t>
      </w:r>
      <w:r w:rsidR="00017FF0" w:rsidRPr="00EE111C">
        <w:rPr>
          <w:rFonts w:asciiTheme="majorBidi" w:hAnsiTheme="majorBidi" w:cstheme="majorBidi"/>
          <w:lang w:val="en-US"/>
        </w:rPr>
        <w:t>e exchange rate and stock price</w:t>
      </w:r>
      <w:r w:rsidR="0034172A" w:rsidRPr="00EE111C">
        <w:rPr>
          <w:rFonts w:asciiTheme="majorBidi" w:hAnsiTheme="majorBidi" w:cstheme="majorBidi"/>
          <w:lang w:val="en-US"/>
        </w:rPr>
        <w:t>s.</w:t>
      </w:r>
      <w:r w:rsidR="00071966">
        <w:rPr>
          <w:rFonts w:asciiTheme="majorBidi" w:hAnsiTheme="majorBidi" w:cstheme="majorBidi"/>
          <w:lang w:val="en-US"/>
        </w:rPr>
        <w:t xml:space="preserve"> </w:t>
      </w:r>
      <w:r w:rsidR="0034172A" w:rsidRPr="00EE111C">
        <w:rPr>
          <w:rFonts w:asciiTheme="majorBidi" w:hAnsiTheme="majorBidi" w:cstheme="majorBidi"/>
          <w:lang w:val="en-US"/>
        </w:rPr>
        <w:t xml:space="preserve">First, the time path of the DCC series fluctuates over the sample period for all pairs, thereby suggesting that the assumption of constant correlations may not be appropriate. This result is generally in line with </w:t>
      </w:r>
      <w:r w:rsidR="0034172A" w:rsidRPr="00EE111C">
        <w:rPr>
          <w:rFonts w:asciiTheme="majorBidi" w:hAnsiTheme="majorBidi" w:cstheme="majorBidi"/>
          <w:lang w:val="en-US"/>
        </w:rPr>
        <w:lastRenderedPageBreak/>
        <w:t xml:space="preserve">empirical studies such as </w:t>
      </w:r>
      <w:r w:rsidR="0034172A" w:rsidRPr="00EE111C">
        <w:rPr>
          <w:rFonts w:asciiTheme="majorBidi" w:hAnsiTheme="majorBidi" w:cstheme="majorBidi"/>
          <w:color w:val="0070C0"/>
          <w:lang w:val="en-US"/>
        </w:rPr>
        <w:t>Perez-Rodriguez (2006)</w:t>
      </w:r>
      <w:r w:rsidR="0034172A" w:rsidRPr="00EE111C">
        <w:rPr>
          <w:rFonts w:asciiTheme="majorBidi" w:hAnsiTheme="majorBidi" w:cstheme="majorBidi"/>
          <w:lang w:val="en-US"/>
        </w:rPr>
        <w:t xml:space="preserve"> and </w:t>
      </w:r>
      <w:r w:rsidR="0034172A" w:rsidRPr="00EE111C">
        <w:rPr>
          <w:rFonts w:asciiTheme="majorBidi" w:hAnsiTheme="majorBidi" w:cstheme="majorBidi"/>
          <w:color w:val="0070C0"/>
          <w:lang w:val="en-US"/>
        </w:rPr>
        <w:t>Tamakoshi and Hamori (2014)</w:t>
      </w:r>
      <w:r w:rsidR="0034172A" w:rsidRPr="00EE111C">
        <w:rPr>
          <w:rFonts w:asciiTheme="majorBidi" w:hAnsiTheme="majorBidi" w:cstheme="majorBidi"/>
          <w:lang w:val="en-US"/>
        </w:rPr>
        <w:t>.Second, the estimated DCCs between all pairs remain at a relatively high level (i.e., above 0.2) before 2007.</w:t>
      </w:r>
    </w:p>
    <w:p w:rsidR="00936BD1" w:rsidRPr="00EE111C" w:rsidRDefault="00EE111C" w:rsidP="00EE111C">
      <w:pPr>
        <w:ind w:firstLine="340"/>
        <w:rPr>
          <w:rFonts w:asciiTheme="majorBidi" w:eastAsia="Times New Roman" w:hAnsiTheme="majorBidi" w:cstheme="majorBidi"/>
          <w:sz w:val="20"/>
          <w:szCs w:val="20"/>
          <w:lang w:val="en-US"/>
        </w:rPr>
      </w:pPr>
      <w:r w:rsidRPr="00EE111C">
        <w:rPr>
          <w:rFonts w:asciiTheme="majorBidi" w:eastAsia="Times New Roman" w:hAnsiTheme="majorBidi" w:cstheme="majorBidi"/>
          <w:sz w:val="20"/>
          <w:szCs w:val="20"/>
          <w:lang w:val="en-US"/>
        </w:rPr>
        <w:t xml:space="preserve"> </w:t>
      </w:r>
      <w:r w:rsidR="00A3084B" w:rsidRPr="00EE111C">
        <w:rPr>
          <w:rFonts w:asciiTheme="majorBidi" w:eastAsia="Times New Roman" w:hAnsiTheme="majorBidi" w:cstheme="majorBidi"/>
          <w:sz w:val="20"/>
          <w:szCs w:val="20"/>
          <w:lang w:val="en-US"/>
        </w:rPr>
        <w:t>(a) The DCC between the USD</w:t>
      </w:r>
      <w:r w:rsidR="00953085" w:rsidRPr="00EE111C">
        <w:rPr>
          <w:rFonts w:asciiTheme="majorBidi" w:eastAsia="Times New Roman" w:hAnsiTheme="majorBidi" w:cstheme="majorBidi"/>
          <w:sz w:val="20"/>
          <w:szCs w:val="20"/>
          <w:lang w:val="en-US"/>
        </w:rPr>
        <w:t>/</w:t>
      </w:r>
      <w:r w:rsidR="00A3084B" w:rsidRPr="00EE111C">
        <w:rPr>
          <w:rFonts w:asciiTheme="majorBidi" w:eastAsia="Times New Roman" w:hAnsiTheme="majorBidi" w:cstheme="majorBidi"/>
          <w:sz w:val="20"/>
          <w:szCs w:val="20"/>
          <w:lang w:val="en-US"/>
        </w:rPr>
        <w:t>EUR and DAX30</w:t>
      </w:r>
    </w:p>
    <w:p w:rsidR="0023779A" w:rsidRDefault="0023779A" w:rsidP="008F29F8">
      <w:r>
        <w:rPr>
          <w:noProof/>
          <w:lang w:eastAsia="fr-FR"/>
        </w:rPr>
        <w:drawing>
          <wp:inline distT="0" distB="0" distL="0" distR="0">
            <wp:extent cx="5562240" cy="1729847"/>
            <wp:effectExtent l="19050" t="0" r="36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562569" cy="1729949"/>
                    </a:xfrm>
                    <a:prstGeom prst="rect">
                      <a:avLst/>
                    </a:prstGeom>
                    <a:noFill/>
                    <a:ln w="9525">
                      <a:noFill/>
                      <a:miter lim="800000"/>
                      <a:headEnd/>
                      <a:tailEnd/>
                    </a:ln>
                  </pic:spPr>
                </pic:pic>
              </a:graphicData>
            </a:graphic>
          </wp:inline>
        </w:drawing>
      </w:r>
    </w:p>
    <w:p w:rsidR="00061410" w:rsidRDefault="00061410" w:rsidP="0023779A">
      <w:pPr>
        <w:jc w:val="left"/>
      </w:pPr>
    </w:p>
    <w:p w:rsidR="0023779A" w:rsidRPr="00EE111C" w:rsidRDefault="00A3084B" w:rsidP="00EE111C">
      <w:pPr>
        <w:ind w:firstLine="340"/>
        <w:rPr>
          <w:rFonts w:asciiTheme="majorBidi" w:eastAsia="Times New Roman" w:hAnsiTheme="majorBidi" w:cstheme="majorBidi"/>
          <w:sz w:val="20"/>
          <w:szCs w:val="20"/>
          <w:lang w:val="en-US"/>
        </w:rPr>
      </w:pPr>
      <w:r w:rsidRPr="00EE111C">
        <w:rPr>
          <w:rFonts w:asciiTheme="majorBidi" w:eastAsia="Times New Roman" w:hAnsiTheme="majorBidi" w:cstheme="majorBidi"/>
          <w:sz w:val="20"/>
          <w:szCs w:val="20"/>
          <w:lang w:val="en-US"/>
        </w:rPr>
        <w:t>(b) The DCC between the USD</w:t>
      </w:r>
      <w:r w:rsidR="00953085" w:rsidRPr="00EE111C">
        <w:rPr>
          <w:rFonts w:asciiTheme="majorBidi" w:eastAsia="Times New Roman" w:hAnsiTheme="majorBidi" w:cstheme="majorBidi"/>
          <w:sz w:val="20"/>
          <w:szCs w:val="20"/>
          <w:lang w:val="en-US"/>
        </w:rPr>
        <w:t>/</w:t>
      </w:r>
      <w:r w:rsidRPr="00EE111C">
        <w:rPr>
          <w:rFonts w:asciiTheme="majorBidi" w:eastAsia="Times New Roman" w:hAnsiTheme="majorBidi" w:cstheme="majorBidi"/>
          <w:sz w:val="20"/>
          <w:szCs w:val="20"/>
          <w:lang w:val="en-US"/>
        </w:rPr>
        <w:t>EUR and CAC40</w:t>
      </w:r>
    </w:p>
    <w:p w:rsidR="00A3084B" w:rsidRPr="00071966" w:rsidRDefault="0023779A" w:rsidP="00071966">
      <w:r>
        <w:rPr>
          <w:noProof/>
          <w:lang w:eastAsia="fr-FR"/>
        </w:rPr>
        <w:drawing>
          <wp:inline distT="0" distB="0" distL="0" distR="0">
            <wp:extent cx="5555412" cy="17339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565703" cy="1737122"/>
                    </a:xfrm>
                    <a:prstGeom prst="rect">
                      <a:avLst/>
                    </a:prstGeom>
                    <a:noFill/>
                    <a:ln w="9525">
                      <a:noFill/>
                      <a:miter lim="800000"/>
                      <a:headEnd/>
                      <a:tailEnd/>
                    </a:ln>
                  </pic:spPr>
                </pic:pic>
              </a:graphicData>
            </a:graphic>
          </wp:inline>
        </w:drawing>
      </w:r>
    </w:p>
    <w:p w:rsidR="0023779A" w:rsidRPr="00EE111C" w:rsidRDefault="00A3084B" w:rsidP="00EE111C">
      <w:pPr>
        <w:ind w:firstLine="340"/>
        <w:rPr>
          <w:rFonts w:asciiTheme="majorBidi" w:eastAsia="Times New Roman" w:hAnsiTheme="majorBidi" w:cstheme="majorBidi"/>
          <w:sz w:val="20"/>
          <w:szCs w:val="20"/>
          <w:lang w:val="en-US"/>
        </w:rPr>
      </w:pPr>
      <w:r w:rsidRPr="00EE111C">
        <w:rPr>
          <w:rFonts w:asciiTheme="majorBidi" w:eastAsia="Times New Roman" w:hAnsiTheme="majorBidi" w:cstheme="majorBidi"/>
          <w:sz w:val="20"/>
          <w:szCs w:val="20"/>
          <w:lang w:val="en-US"/>
        </w:rPr>
        <w:t>(c) The DCC between the USD</w:t>
      </w:r>
      <w:r w:rsidR="00953085" w:rsidRPr="00EE111C">
        <w:rPr>
          <w:rFonts w:asciiTheme="majorBidi" w:eastAsia="Times New Roman" w:hAnsiTheme="majorBidi" w:cstheme="majorBidi"/>
          <w:sz w:val="20"/>
          <w:szCs w:val="20"/>
          <w:lang w:val="en-US"/>
        </w:rPr>
        <w:t>/</w:t>
      </w:r>
      <w:r w:rsidRPr="00EE111C">
        <w:rPr>
          <w:rFonts w:asciiTheme="majorBidi" w:eastAsia="Times New Roman" w:hAnsiTheme="majorBidi" w:cstheme="majorBidi"/>
          <w:sz w:val="20"/>
          <w:szCs w:val="20"/>
          <w:lang w:val="en-US"/>
        </w:rPr>
        <w:t>EUR and FTSE100</w:t>
      </w:r>
    </w:p>
    <w:p w:rsidR="001B6BC9" w:rsidRDefault="0023779A" w:rsidP="00740F3B">
      <w:pPr>
        <w:jc w:val="left"/>
      </w:pPr>
      <w:r>
        <w:rPr>
          <w:noProof/>
          <w:lang w:eastAsia="fr-FR"/>
        </w:rPr>
        <w:drawing>
          <wp:inline distT="0" distB="0" distL="0" distR="0">
            <wp:extent cx="5676181" cy="17339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5686696" cy="1737122"/>
                    </a:xfrm>
                    <a:prstGeom prst="rect">
                      <a:avLst/>
                    </a:prstGeom>
                    <a:noFill/>
                    <a:ln w="9525">
                      <a:noFill/>
                      <a:miter lim="800000"/>
                      <a:headEnd/>
                      <a:tailEnd/>
                    </a:ln>
                  </pic:spPr>
                </pic:pic>
              </a:graphicData>
            </a:graphic>
          </wp:inline>
        </w:drawing>
      </w:r>
    </w:p>
    <w:p w:rsidR="001B6BC9" w:rsidRPr="00EE111C" w:rsidRDefault="00740F3B" w:rsidP="00EE111C">
      <w:pPr>
        <w:rPr>
          <w:sz w:val="20"/>
          <w:szCs w:val="20"/>
          <w:lang w:val="en-US"/>
        </w:rPr>
      </w:pPr>
      <w:r w:rsidRPr="00EE111C">
        <w:rPr>
          <w:rFonts w:asciiTheme="majorBidi" w:eastAsia="Times New Roman" w:hAnsiTheme="majorBidi" w:cstheme="majorBidi"/>
          <w:b/>
          <w:bCs/>
          <w:sz w:val="20"/>
          <w:szCs w:val="20"/>
          <w:lang w:val="en-US"/>
        </w:rPr>
        <w:t>Fig.</w:t>
      </w:r>
      <w:r w:rsidR="008F29F8" w:rsidRPr="00EE111C">
        <w:rPr>
          <w:rFonts w:asciiTheme="majorBidi" w:eastAsia="Times New Roman" w:hAnsiTheme="majorBidi" w:cstheme="majorBidi"/>
          <w:b/>
          <w:bCs/>
          <w:sz w:val="20"/>
          <w:szCs w:val="20"/>
          <w:lang w:val="en-US"/>
        </w:rPr>
        <w:t>4</w:t>
      </w:r>
      <w:r w:rsidRPr="00EE111C">
        <w:rPr>
          <w:rFonts w:asciiTheme="majorBidi" w:eastAsia="Times New Roman" w:hAnsiTheme="majorBidi" w:cstheme="majorBidi"/>
          <w:b/>
          <w:bCs/>
          <w:sz w:val="20"/>
          <w:szCs w:val="20"/>
          <w:lang w:val="en-US"/>
        </w:rPr>
        <w:t>.</w:t>
      </w:r>
      <w:r w:rsidR="00EE111C" w:rsidRPr="00EE111C">
        <w:rPr>
          <w:rFonts w:asciiTheme="majorBidi" w:eastAsia="Times New Roman" w:hAnsiTheme="majorBidi" w:cstheme="majorBidi"/>
          <w:b/>
          <w:bCs/>
          <w:sz w:val="20"/>
          <w:szCs w:val="20"/>
          <w:lang w:val="en-US"/>
        </w:rPr>
        <w:t xml:space="preserve"> </w:t>
      </w:r>
      <w:r w:rsidRPr="00EE111C">
        <w:rPr>
          <w:rFonts w:asciiTheme="majorBidi" w:eastAsia="Times New Roman" w:hAnsiTheme="majorBidi" w:cstheme="majorBidi"/>
          <w:sz w:val="20"/>
          <w:szCs w:val="20"/>
          <w:lang w:val="en-US"/>
        </w:rPr>
        <w:t>Dynamic conditional correlations between each foreign exchange market and stock market pair.</w:t>
      </w:r>
    </w:p>
    <w:p w:rsidR="00E17A21" w:rsidRPr="00740F3B" w:rsidRDefault="00E17A21" w:rsidP="008F29F8">
      <w:pPr>
        <w:rPr>
          <w:lang w:val="en-US"/>
        </w:rPr>
      </w:pPr>
    </w:p>
    <w:p w:rsidR="00F43BCB" w:rsidRPr="00B522C6" w:rsidRDefault="00F43BCB" w:rsidP="00EE111C">
      <w:pPr>
        <w:pStyle w:val="Paragraphedeliste"/>
        <w:numPr>
          <w:ilvl w:val="0"/>
          <w:numId w:val="4"/>
        </w:numPr>
        <w:spacing w:after="0" w:line="240" w:lineRule="auto"/>
        <w:ind w:left="340" w:hanging="340"/>
        <w:jc w:val="both"/>
        <w:rPr>
          <w:rFonts w:asciiTheme="majorBidi" w:hAnsiTheme="majorBidi" w:cstheme="majorBidi"/>
          <w:b/>
          <w:bCs/>
          <w:sz w:val="24"/>
          <w:szCs w:val="24"/>
          <w:lang w:val="en-US"/>
        </w:rPr>
      </w:pPr>
      <w:r w:rsidRPr="00B522C6">
        <w:rPr>
          <w:rFonts w:asciiTheme="majorBidi" w:hAnsiTheme="majorBidi" w:cstheme="majorBidi"/>
          <w:b/>
          <w:bCs/>
          <w:sz w:val="24"/>
          <w:szCs w:val="24"/>
          <w:lang w:val="en-US"/>
        </w:rPr>
        <w:t>The DCC behavior during different phases of the global financial and European sovereign debt crises</w:t>
      </w:r>
    </w:p>
    <w:p w:rsidR="00F43BCB" w:rsidRPr="00EE111C" w:rsidRDefault="00F43BCB" w:rsidP="00F43BCB">
      <w:pPr>
        <w:jc w:val="both"/>
        <w:rPr>
          <w:rFonts w:asciiTheme="majorBidi" w:hAnsiTheme="majorBidi" w:cstheme="majorBidi"/>
          <w:bCs/>
          <w:lang w:val="en-US"/>
        </w:rPr>
      </w:pPr>
    </w:p>
    <w:p w:rsidR="00F43BCB" w:rsidRPr="00EE111C" w:rsidRDefault="00F43BCB" w:rsidP="00F43BCB">
      <w:pPr>
        <w:autoSpaceDE w:val="0"/>
        <w:autoSpaceDN w:val="0"/>
        <w:adjustRightInd w:val="0"/>
        <w:ind w:firstLine="357"/>
        <w:jc w:val="both"/>
        <w:rPr>
          <w:rFonts w:asciiTheme="majorBidi" w:hAnsiTheme="majorBidi" w:cstheme="majorBidi"/>
          <w:lang w:val="en-US"/>
        </w:rPr>
      </w:pPr>
      <w:r w:rsidRPr="00EE111C">
        <w:rPr>
          <w:rFonts w:asciiTheme="majorBidi" w:hAnsiTheme="majorBidi" w:cstheme="majorBidi"/>
          <w:lang w:val="en-US"/>
        </w:rPr>
        <w:t xml:space="preserve">In what follows, we examine the DCCs shifts behavior during different phases of the global financial and European sovereign debt crises. In order to identify which of the sub-periods exhibit significant linkages among the selected currencies, we create numerous dummy variables, which are equal to unity for the corresponding phase of the crisis and zero otherwise. In order to describe the behavior of the DCCs over time (see </w:t>
      </w:r>
      <w:r w:rsidRPr="00EE111C">
        <w:rPr>
          <w:rFonts w:asciiTheme="majorBidi" w:hAnsiTheme="majorBidi" w:cstheme="majorBidi"/>
          <w:color w:val="4F81BD" w:themeColor="accent1"/>
          <w:lang w:val="en-US"/>
        </w:rPr>
        <w:t>Engle, 2002; Chiang et al., 2007, among others</w:t>
      </w:r>
      <w:r w:rsidRPr="00EE111C">
        <w:rPr>
          <w:rFonts w:asciiTheme="majorBidi" w:hAnsiTheme="majorBidi" w:cstheme="majorBidi"/>
          <w:lang w:val="en-US"/>
        </w:rPr>
        <w:t>), the dummies are created to the following mean equation:</w:t>
      </w:r>
    </w:p>
    <w:p w:rsidR="00F43BCB" w:rsidRPr="00EE111C" w:rsidRDefault="00F43BCB" w:rsidP="00F43BCB">
      <w:pPr>
        <w:autoSpaceDE w:val="0"/>
        <w:autoSpaceDN w:val="0"/>
        <w:adjustRightInd w:val="0"/>
        <w:ind w:firstLine="357"/>
        <w:jc w:val="both"/>
        <w:rPr>
          <w:rFonts w:asciiTheme="majorBidi" w:hAnsiTheme="majorBidi" w:cstheme="majorBidi"/>
          <w:color w:val="FF0000"/>
          <w:highlight w:val="yellow"/>
          <w:lang w:val="en-US"/>
        </w:rPr>
      </w:pPr>
    </w:p>
    <w:p w:rsidR="00F43BCB" w:rsidRPr="00EE111C" w:rsidRDefault="00194326" w:rsidP="00F43BCB">
      <w:pPr>
        <w:autoSpaceDE w:val="0"/>
        <w:autoSpaceDN w:val="0"/>
        <w:adjustRightInd w:val="0"/>
        <w:ind w:firstLine="357"/>
        <w:jc w:val="both"/>
        <w:rPr>
          <w:rFonts w:asciiTheme="majorBidi" w:eastAsiaTheme="minorEastAsia"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ω</m:t>
            </m:r>
          </m:e>
          <m:sub>
            <m:r>
              <w:rPr>
                <w:rFonts w:ascii="Cambria Math" w:hAnsi="Cambria Math" w:cstheme="majorBidi"/>
                <w:lang w:val="en-US"/>
              </w:rPr>
              <m:t>ij</m:t>
            </m:r>
          </m:sub>
        </m:sSub>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p=1</m:t>
            </m:r>
          </m:sub>
          <m:sup>
            <m:r>
              <w:rPr>
                <w:rFonts w:ascii="Cambria Math" w:hAnsi="Cambria Math" w:cstheme="majorBidi"/>
                <w:lang w:val="en-US"/>
              </w:rPr>
              <m:t>P</m:t>
            </m:r>
          </m:sup>
          <m:e>
            <m:sSub>
              <m:sSubPr>
                <m:ctrlPr>
                  <w:rPr>
                    <w:rFonts w:ascii="Cambria Math" w:hAnsi="Cambria Math" w:cstheme="majorBidi"/>
                    <w:i/>
                    <w:lang w:val="en-US"/>
                  </w:rPr>
                </m:ctrlPr>
              </m:sSubPr>
              <m:e>
                <m:r>
                  <w:rPr>
                    <w:rFonts w:ascii="Cambria Math" w:hAnsi="Cambria Math" w:cstheme="majorBidi"/>
                    <w:lang w:val="en-US"/>
                  </w:rPr>
                  <m:t>φ</m:t>
                </m:r>
              </m:e>
              <m:sub>
                <m:r>
                  <w:rPr>
                    <w:rFonts w:ascii="Cambria Math" w:hAnsi="Cambria Math" w:cstheme="majorBidi"/>
                    <w:lang w:val="en-US"/>
                  </w:rPr>
                  <m:t>p</m:t>
                </m:r>
              </m:sub>
            </m:sSub>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ij,t-p</m:t>
                </m:r>
              </m:sub>
            </m:sSub>
          </m:e>
        </m:nary>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k=1</m:t>
            </m:r>
          </m:sub>
          <m:sup>
            <m:r>
              <w:rPr>
                <w:rFonts w:ascii="Cambria Math" w:hAnsi="Cambria Math" w:cstheme="majorBidi"/>
                <w:lang w:val="en-US"/>
              </w:rPr>
              <m:t>λ</m:t>
            </m:r>
          </m:sup>
          <m:e>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k</m:t>
                </m:r>
              </m:sub>
            </m:sSub>
            <m:sSub>
              <m:sSubPr>
                <m:ctrlPr>
                  <w:rPr>
                    <w:rFonts w:ascii="Cambria Math" w:hAnsi="Cambria Math" w:cstheme="majorBidi"/>
                    <w:i/>
                    <w:lang w:val="en-US"/>
                  </w:rPr>
                </m:ctrlPr>
              </m:sSubPr>
              <m:e>
                <m:r>
                  <w:rPr>
                    <w:rFonts w:ascii="Cambria Math" w:hAnsi="Cambria Math" w:cstheme="majorBidi"/>
                    <w:lang w:val="en-US"/>
                  </w:rPr>
                  <m:t>dummy</m:t>
                </m:r>
              </m:e>
              <m:sub>
                <m:r>
                  <w:rPr>
                    <w:rFonts w:ascii="Cambria Math" w:hAnsi="Cambria Math" w:cstheme="majorBidi"/>
                    <w:lang w:val="en-US"/>
                  </w:rPr>
                  <m:t>k,t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e</m:t>
                </m:r>
              </m:e>
              <m:sub>
                <m:r>
                  <w:rPr>
                    <w:rFonts w:ascii="Cambria Math" w:hAnsi="Cambria Math" w:cstheme="majorBidi"/>
                    <w:lang w:val="en-US"/>
                  </w:rPr>
                  <m:t>ij,t</m:t>
                </m:r>
              </m:sub>
            </m:sSub>
          </m:e>
        </m:nary>
      </m:oMath>
      <w:r w:rsidR="00E17A21" w:rsidRPr="00EE111C">
        <w:rPr>
          <w:rFonts w:asciiTheme="majorBidi" w:eastAsiaTheme="minorEastAsia" w:hAnsiTheme="majorBidi" w:cstheme="majorBidi"/>
          <w:lang w:val="en-US"/>
        </w:rPr>
        <w:t xml:space="preserve">                           </w:t>
      </w:r>
      <w:r w:rsidR="0068758C">
        <w:rPr>
          <w:rFonts w:asciiTheme="majorBidi" w:eastAsiaTheme="minorEastAsia" w:hAnsiTheme="majorBidi" w:cstheme="majorBidi"/>
          <w:lang w:val="en-US"/>
        </w:rPr>
        <w:t xml:space="preserve">                             </w:t>
      </w:r>
      <w:r w:rsidR="00E17A21" w:rsidRPr="00EE111C">
        <w:rPr>
          <w:rFonts w:asciiTheme="majorBidi" w:eastAsiaTheme="minorEastAsia" w:hAnsiTheme="majorBidi" w:cstheme="majorBidi"/>
          <w:lang w:val="en-US"/>
        </w:rPr>
        <w:t xml:space="preserve">  (11</w:t>
      </w:r>
      <w:r w:rsidR="00F43BCB" w:rsidRPr="00EE111C">
        <w:rPr>
          <w:rFonts w:asciiTheme="majorBidi" w:eastAsiaTheme="minorEastAsia" w:hAnsiTheme="majorBidi" w:cstheme="majorBidi"/>
          <w:lang w:val="en-US"/>
        </w:rPr>
        <w:t>)</w:t>
      </w:r>
    </w:p>
    <w:p w:rsidR="00F43BCB" w:rsidRPr="00EE111C" w:rsidRDefault="00F43BCB" w:rsidP="00F43BCB">
      <w:pPr>
        <w:autoSpaceDE w:val="0"/>
        <w:autoSpaceDN w:val="0"/>
        <w:adjustRightInd w:val="0"/>
        <w:ind w:firstLine="357"/>
        <w:jc w:val="both"/>
        <w:rPr>
          <w:rFonts w:asciiTheme="majorBidi" w:eastAsiaTheme="minorEastAsia" w:hAnsiTheme="majorBidi" w:cstheme="majorBidi"/>
          <w:color w:val="FF0000"/>
          <w:highlight w:val="yellow"/>
          <w:lang w:val="en-US"/>
        </w:rPr>
      </w:pPr>
    </w:p>
    <w:p w:rsidR="00F43BCB" w:rsidRPr="00EE111C" w:rsidRDefault="00F43BCB" w:rsidP="00F43BCB">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 xml:space="preserve">where </w:t>
      </w:r>
      <m:oMath>
        <m:sSub>
          <m:sSubPr>
            <m:ctrlPr>
              <w:rPr>
                <w:rFonts w:ascii="Cambria Math" w:hAnsi="Cambria Math" w:cstheme="majorBidi"/>
                <w:lang w:val="en-US"/>
              </w:rPr>
            </m:ctrlPr>
          </m:sSubPr>
          <m:e>
            <m:r>
              <m:rPr>
                <m:sty m:val="p"/>
              </m:rPr>
              <w:rPr>
                <w:rFonts w:ascii="Cambria Math" w:hAnsi="Cambria Math" w:cstheme="majorBidi"/>
                <w:lang w:val="en-US"/>
              </w:rPr>
              <m:t>ω</m:t>
            </m:r>
          </m:e>
          <m:sub>
            <m:r>
              <m:rPr>
                <m:sty m:val="p"/>
              </m:rPr>
              <w:rPr>
                <w:rFonts w:ascii="Cambria Math" w:hAnsi="Cambria Math" w:cstheme="majorBidi"/>
                <w:lang w:val="en-US"/>
              </w:rPr>
              <m:t>ij</m:t>
            </m:r>
          </m:sub>
        </m:sSub>
      </m:oMath>
      <w:r w:rsidRPr="00EE111C">
        <w:rPr>
          <w:rFonts w:asciiTheme="majorBidi" w:hAnsiTheme="majorBidi" w:cstheme="majorBidi"/>
          <w:lang w:val="en-US"/>
        </w:rPr>
        <w:t xml:space="preserve"> is a constant term, </w:t>
      </w:r>
      <m:oMath>
        <m:sSub>
          <m:sSubPr>
            <m:ctrlPr>
              <w:rPr>
                <w:rFonts w:ascii="Cambria Math" w:hAnsi="Cambria Math" w:cstheme="majorBid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ij,t</m:t>
            </m:r>
          </m:sub>
        </m:sSub>
      </m:oMath>
      <w:r w:rsidRPr="00EE111C">
        <w:rPr>
          <w:rFonts w:asciiTheme="majorBidi" w:hAnsiTheme="majorBidi" w:cstheme="majorBidi"/>
          <w:lang w:val="en-US"/>
        </w:rPr>
        <w:t xml:space="preserve"> is the pair-wise con</w:t>
      </w:r>
      <w:r w:rsidR="00575EE4" w:rsidRPr="00EE111C">
        <w:rPr>
          <w:rFonts w:asciiTheme="majorBidi" w:hAnsiTheme="majorBidi" w:cstheme="majorBidi"/>
          <w:lang w:val="en-US"/>
        </w:rPr>
        <w:t>ditional correlation</w:t>
      </w:r>
      <w:r w:rsidR="00FF0980" w:rsidRPr="00EE111C">
        <w:rPr>
          <w:rFonts w:asciiTheme="majorBidi" w:hAnsiTheme="majorBidi" w:cstheme="majorBidi"/>
          <w:lang w:val="en-US"/>
        </w:rPr>
        <w:t xml:space="preserve"> of the exchange rate and three European stock prices</w:t>
      </w:r>
      <w:r w:rsidRPr="00EE111C">
        <w:rPr>
          <w:rFonts w:asciiTheme="majorBidi" w:hAnsiTheme="majorBidi" w:cstheme="majorBidi"/>
          <w:lang w:val="en-US"/>
        </w:rPr>
        <w:t xml:space="preserve">, such that </w:t>
      </w:r>
      <m:oMath>
        <m:r>
          <m:rPr>
            <m:sty m:val="p"/>
          </m:rPr>
          <w:rPr>
            <w:rFonts w:ascii="Cambria Math" w:hAnsi="Cambria Math" w:cstheme="majorBidi"/>
            <w:lang w:val="en-US"/>
          </w:rPr>
          <m:t>i,j=</m:t>
        </m:r>
      </m:oMath>
      <w:r w:rsidR="00575EE4" w:rsidRPr="00EE111C">
        <w:rPr>
          <w:rFonts w:asciiTheme="majorBidi" w:hAnsiTheme="majorBidi" w:cstheme="majorBidi"/>
          <w:lang w:val="en-US"/>
        </w:rPr>
        <w:t>USD/EUR, DAX30, CAC40 and FTSE100</w:t>
      </w:r>
      <m:oMath>
        <m:r>
          <m:rPr>
            <m:sty m:val="p"/>
          </m:rPr>
          <w:rPr>
            <w:rFonts w:ascii="Cambria Math" w:hAnsi="Cambria Math" w:cstheme="majorBidi"/>
            <w:lang w:val="en-US"/>
          </w:rPr>
          <m:t>(i≠j)</m:t>
        </m:r>
      </m:oMath>
      <w:r w:rsidRPr="00EE111C">
        <w:rPr>
          <w:rFonts w:asciiTheme="majorBidi" w:hAnsiTheme="majorBidi" w:cstheme="majorBidi"/>
          <w:lang w:val="en-US"/>
        </w:rPr>
        <w:t xml:space="preserve">, and </w:t>
      </w:r>
      <m:oMath>
        <m:r>
          <m:rPr>
            <m:sty m:val="p"/>
          </m:rPr>
          <w:rPr>
            <w:rFonts w:ascii="Cambria Math" w:hAnsi="Cambria Math" w:cstheme="majorBidi"/>
            <w:lang w:val="en-US"/>
          </w:rPr>
          <m:t>k=</m:t>
        </m:r>
        <m:r>
          <m:rPr>
            <m:sty m:val="p"/>
          </m:rPr>
          <w:rPr>
            <w:rFonts w:ascii="Cambria Math" w:hAnsi="Cambria Math" w:cstheme="majorBidi"/>
            <w:lang w:val="en-US"/>
          </w:rPr>
          <w:lastRenderedPageBreak/>
          <m:t>1,…,λ</m:t>
        </m:r>
      </m:oMath>
      <w:r w:rsidRPr="00EE111C">
        <w:rPr>
          <w:rFonts w:asciiTheme="majorBidi" w:hAnsiTheme="majorBidi" w:cstheme="majorBidi"/>
          <w:lang w:val="en-US"/>
        </w:rPr>
        <w:t xml:space="preserve"> are the number of dummy variables corresponding to the different phases of the two crises, which are identified based on the economic approach. Optimal lag length </w:t>
      </w:r>
      <m:oMath>
        <m:r>
          <m:rPr>
            <m:sty m:val="p"/>
          </m:rPr>
          <w:rPr>
            <w:rFonts w:ascii="Cambria Math" w:hAnsi="Cambria Math" w:cstheme="majorBidi"/>
            <w:lang w:val="en-US"/>
          </w:rPr>
          <m:t>(p)</m:t>
        </m:r>
      </m:oMath>
      <w:r w:rsidRPr="00EE111C">
        <w:rPr>
          <w:rFonts w:asciiTheme="majorBidi" w:hAnsiTheme="majorBidi" w:cstheme="majorBidi"/>
          <w:lang w:val="en-US"/>
        </w:rPr>
        <w:t xml:space="preserve"> is selected by Akaike (AIC) and Schwarz (SIC) information criteria.</w:t>
      </w:r>
    </w:p>
    <w:p w:rsidR="00F43BCB" w:rsidRPr="00EE111C" w:rsidRDefault="00F43BCB" w:rsidP="00F43BCB">
      <w:pPr>
        <w:autoSpaceDE w:val="0"/>
        <w:autoSpaceDN w:val="0"/>
        <w:adjustRightInd w:val="0"/>
        <w:jc w:val="both"/>
        <w:rPr>
          <w:rFonts w:asciiTheme="majorBidi" w:eastAsiaTheme="minorEastAsia" w:hAnsiTheme="majorBidi" w:cstheme="majorBidi"/>
          <w:lang w:val="en-US"/>
        </w:rPr>
      </w:pPr>
    </w:p>
    <w:p w:rsidR="00F43BCB" w:rsidRPr="00EE111C" w:rsidRDefault="00F43BCB" w:rsidP="00A07B0E">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 xml:space="preserve">Based on the economic approach, </w:t>
      </w:r>
      <m:oMath>
        <m:sSub>
          <m:sSubPr>
            <m:ctrlPr>
              <w:rPr>
                <w:rFonts w:ascii="Cambria Math" w:hAnsi="Cambria Math" w:cstheme="majorBidi"/>
                <w:lang w:val="en-US"/>
              </w:rPr>
            </m:ctrlPr>
          </m:sSubPr>
          <m:e>
            <m:r>
              <m:rPr>
                <m:sty m:val="p"/>
              </m:rPr>
              <w:rPr>
                <w:rFonts w:ascii="Cambria Math" w:hAnsi="Cambria Math" w:cstheme="majorBidi"/>
                <w:lang w:val="en-US"/>
              </w:rPr>
              <m:t>dummy</m:t>
            </m:r>
          </m:e>
          <m:sub>
            <m:r>
              <m:rPr>
                <m:sty m:val="p"/>
              </m:rPr>
              <w:rPr>
                <w:rFonts w:ascii="Cambria Math" w:hAnsi="Cambria Math" w:cstheme="majorBidi"/>
                <w:lang w:val="en-US"/>
              </w:rPr>
              <m:t>k,t</m:t>
            </m:r>
          </m:sub>
        </m:sSub>
        <m:r>
          <m:rPr>
            <m:sty m:val="p"/>
          </m:rPr>
          <w:rPr>
            <w:rFonts w:ascii="Cambria Math" w:hAnsi="Cambria Math" w:cstheme="majorBidi"/>
            <w:lang w:val="en-US"/>
          </w:rPr>
          <m:t xml:space="preserve"> (k=1,2,…,6)</m:t>
        </m:r>
      </m:oMath>
      <w:r w:rsidRPr="00EE111C">
        <w:rPr>
          <w:rFonts w:asciiTheme="majorBidi" w:hAnsiTheme="majorBidi" w:cstheme="majorBidi"/>
          <w:lang w:val="en-US"/>
        </w:rPr>
        <w:t xml:space="preserve"> corresponds to the four phases of the global financial crisis and the two phases of the European sovereign debt crisis. Next, we examine whether the conditional variance equation of the DCCs series exhibit symmetries or asymmetries behavior following </w:t>
      </w:r>
      <w:r w:rsidRPr="00EE111C">
        <w:rPr>
          <w:rFonts w:asciiTheme="majorBidi" w:hAnsiTheme="majorBidi" w:cstheme="majorBidi"/>
          <w:color w:val="4F81BD" w:themeColor="accent1"/>
          <w:lang w:val="en-US"/>
        </w:rPr>
        <w:t>Engle and Ng (1993)</w:t>
      </w:r>
      <w:r w:rsidRPr="00EE111C">
        <w:rPr>
          <w:rFonts w:asciiTheme="majorBidi" w:hAnsiTheme="majorBidi" w:cstheme="majorBidi"/>
          <w:lang w:val="en-US"/>
        </w:rPr>
        <w:t>. These authors propose a set of tests for asymmetry in volatility, known as sign and size bias tests. The Engle and Ng tests should thus be used to determine whether an asymmetric model is required for a given series, or whether the symmetric GARCH model can be deemed adequate. In practice, the Engle-Ng tests are usually applied to the residuals of a GARCH fit to the returns data.</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F43BCB" w:rsidP="00A07B0E">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 xml:space="preserve">Define </w:t>
      </w:r>
      <m:oMath>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oMath>
      <w:r w:rsidRPr="00EE111C">
        <w:rPr>
          <w:rFonts w:asciiTheme="majorBidi" w:hAnsiTheme="majorBidi" w:cstheme="majorBidi"/>
          <w:lang w:val="en-US"/>
        </w:rPr>
        <w:t xml:space="preserve"> as an indicator dummy variable such as:</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68758C" w:rsidP="00A07B0E">
      <w:pPr>
        <w:autoSpaceDE w:val="0"/>
        <w:autoSpaceDN w:val="0"/>
        <w:adjustRightInd w:val="0"/>
        <w:jc w:val="both"/>
        <w:rPr>
          <w:rFonts w:asciiTheme="majorBidi" w:hAnsiTheme="majorBidi" w:cstheme="majorBidi"/>
          <w:lang w:val="en-US"/>
        </w:rPr>
      </w:pPr>
      <w:r>
        <w:rPr>
          <w:rFonts w:asciiTheme="majorBidi" w:eastAsiaTheme="minorEastAsia" w:hAnsiTheme="majorBidi" w:cstheme="majorBidi"/>
          <w:lang w:val="en-US"/>
        </w:rPr>
        <w:tab/>
      </w:r>
      <m:oMath>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r>
          <m:rPr>
            <m:sty m:val="p"/>
          </m:rPr>
          <w:rPr>
            <w:rFonts w:ascii="Cambria Math" w:hAnsi="Cambria Math" w:cstheme="majorBidi"/>
            <w:lang w:val="en-US"/>
          </w:rPr>
          <m:t>=</m:t>
        </m:r>
        <m:d>
          <m:dPr>
            <m:begChr m:val="{"/>
            <m:endChr m:val=""/>
            <m:ctrlPr>
              <w:rPr>
                <w:rFonts w:ascii="Cambria Math" w:hAnsi="Cambria Math" w:cstheme="majorBidi"/>
                <w:lang w:val="en-US"/>
              </w:rPr>
            </m:ctrlPr>
          </m:dPr>
          <m:e>
            <m:eqArr>
              <m:eqArrPr>
                <m:ctrlPr>
                  <w:rPr>
                    <w:rFonts w:ascii="Cambria Math" w:hAnsi="Cambria Math" w:cstheme="majorBidi"/>
                    <w:lang w:val="en-US"/>
                  </w:rPr>
                </m:ctrlPr>
              </m:eqArrPr>
              <m:e>
                <m:r>
                  <m:rPr>
                    <m:sty m:val="p"/>
                  </m:rPr>
                  <w:rPr>
                    <w:rFonts w:ascii="Cambria Math" w:hAnsi="Cambria Math" w:cstheme="majorBidi"/>
                    <w:lang w:val="en-US"/>
                  </w:rPr>
                  <m:t xml:space="preserve">1  if  </m:t>
                </m:r>
                <m:sSub>
                  <m:sSubPr>
                    <m:ctrlPr>
                      <w:rPr>
                        <w:rFonts w:ascii="Cambria Math" w:hAnsi="Cambria Math" w:cstheme="majorBidi"/>
                        <w:lang w:val="en-US"/>
                      </w:rPr>
                    </m:ctrlPr>
                  </m:sSubPr>
                  <m:e>
                    <m:acc>
                      <m:accPr>
                        <m:ctrlPr>
                          <w:rPr>
                            <w:rFonts w:ascii="Cambria Math" w:hAnsi="Cambria Math" w:cstheme="majorBidi"/>
                            <w:lang w:val="en-US"/>
                          </w:rPr>
                        </m:ctrlPr>
                      </m:accPr>
                      <m:e>
                        <m:r>
                          <m:rPr>
                            <m:sty m:val="p"/>
                          </m:rPr>
                          <w:rPr>
                            <w:rFonts w:ascii="Cambria Math" w:hAnsi="Cambria Math" w:cstheme="majorBidi"/>
                            <w:lang w:val="en-US"/>
                          </w:rPr>
                          <m:t>z</m:t>
                        </m:r>
                      </m:e>
                    </m:acc>
                  </m:e>
                  <m:sub>
                    <m:r>
                      <m:rPr>
                        <m:sty m:val="p"/>
                      </m:rPr>
                      <w:rPr>
                        <w:rFonts w:ascii="Cambria Math" w:hAnsi="Cambria Math" w:cstheme="majorBidi"/>
                        <w:lang w:val="en-US"/>
                      </w:rPr>
                      <m:t>t-1</m:t>
                    </m:r>
                  </m:sub>
                </m:sSub>
                <m:r>
                  <m:rPr>
                    <m:sty m:val="p"/>
                  </m:rPr>
                  <w:rPr>
                    <w:rFonts w:ascii="Cambria Math" w:hAnsi="Cambria Math" w:cstheme="majorBidi"/>
                    <w:lang w:val="en-US"/>
                  </w:rPr>
                  <m:t>&lt;</m:t>
                </m:r>
                <m:r>
                  <w:rPr>
                    <w:rFonts w:ascii="Cambria Math" w:hAnsi="Cambria Math" w:cstheme="majorBidi"/>
                    <w:lang w:val="en-US"/>
                  </w:rPr>
                  <m:t>0</m:t>
                </m:r>
              </m:e>
              <m:e>
                <m:r>
                  <m:rPr>
                    <m:sty m:val="p"/>
                  </m:rPr>
                  <w:rPr>
                    <w:rFonts w:ascii="Cambria Math" w:hAnsi="Cambria Math" w:cstheme="majorBidi"/>
                    <w:lang w:val="en-US"/>
                  </w:rPr>
                  <m:t>0     otherwise</m:t>
                </m:r>
              </m:e>
            </m:eqArr>
          </m:e>
        </m:d>
      </m:oMath>
      <w:r w:rsidR="00E17A21" w:rsidRPr="00EE111C">
        <w:rPr>
          <w:rFonts w:asciiTheme="majorBidi" w:hAnsiTheme="majorBidi" w:cstheme="majorBidi"/>
          <w:lang w:val="en-US"/>
        </w:rPr>
        <w:t xml:space="preserve">                            </w:t>
      </w:r>
      <w:r>
        <w:rPr>
          <w:rFonts w:asciiTheme="majorBidi" w:hAnsiTheme="majorBidi" w:cstheme="majorBidi"/>
          <w:lang w:val="en-US"/>
        </w:rPr>
        <w:t xml:space="preserve">                                                                              </w:t>
      </w:r>
      <w:r w:rsidR="00E17A21" w:rsidRPr="00EE111C">
        <w:rPr>
          <w:rFonts w:asciiTheme="majorBidi" w:hAnsiTheme="majorBidi" w:cstheme="majorBidi"/>
          <w:lang w:val="en-US"/>
        </w:rPr>
        <w:t xml:space="preserve"> (12</w:t>
      </w:r>
      <w:r w:rsidR="00F43BCB" w:rsidRPr="00EE111C">
        <w:rPr>
          <w:rFonts w:asciiTheme="majorBidi" w:hAnsiTheme="majorBidi" w:cstheme="majorBidi"/>
          <w:lang w:val="en-US"/>
        </w:rPr>
        <w:t>)</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F43BCB" w:rsidP="00A07B0E">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 xml:space="preserve">The test for sign bias based on the significance or otherwise of </w:t>
      </w:r>
      <m:oMath>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1</m:t>
            </m:r>
          </m:sub>
        </m:sSub>
      </m:oMath>
      <w:r w:rsidRPr="00EE111C">
        <w:rPr>
          <w:rFonts w:asciiTheme="majorBidi" w:hAnsiTheme="majorBidi" w:cstheme="majorBidi"/>
          <w:lang w:val="en-US"/>
        </w:rPr>
        <w:t xml:space="preserve"> in the following regression:</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68758C" w:rsidP="00A07B0E">
      <w:pPr>
        <w:autoSpaceDE w:val="0"/>
        <w:autoSpaceDN w:val="0"/>
        <w:adjustRightInd w:val="0"/>
        <w:jc w:val="both"/>
        <w:rPr>
          <w:rFonts w:asciiTheme="majorBidi" w:hAnsiTheme="majorBidi" w:cstheme="majorBidi"/>
          <w:lang w:val="en-US"/>
        </w:rPr>
      </w:pPr>
      <w:r>
        <w:rPr>
          <w:rFonts w:asciiTheme="majorBidi" w:eastAsiaTheme="minorEastAsia" w:hAnsiTheme="majorBidi" w:cstheme="majorBidi"/>
          <w:lang w:val="en-US"/>
        </w:rPr>
        <w:tab/>
      </w:r>
      <m:oMath>
        <m:sSubSup>
          <m:sSubSupPr>
            <m:ctrlPr>
              <w:rPr>
                <w:rFonts w:ascii="Cambria Math" w:hAnsi="Cambria Math" w:cstheme="majorBidi"/>
                <w:lang w:val="en-US"/>
              </w:rPr>
            </m:ctrlPr>
          </m:sSubSupPr>
          <m:e>
            <m:acc>
              <m:accPr>
                <m:ctrlPr>
                  <w:rPr>
                    <w:rFonts w:ascii="Cambria Math" w:hAnsi="Cambria Math" w:cstheme="majorBidi"/>
                    <w:lang w:val="en-US"/>
                  </w:rPr>
                </m:ctrlPr>
              </m:accPr>
              <m:e>
                <m:r>
                  <m:rPr>
                    <m:sty m:val="p"/>
                  </m:rPr>
                  <w:rPr>
                    <w:rFonts w:ascii="Cambria Math" w:hAnsi="Cambria Math" w:cstheme="majorBidi"/>
                    <w:lang w:val="en-US"/>
                  </w:rPr>
                  <m:t>z</m:t>
                </m:r>
              </m:e>
            </m:acc>
          </m:e>
          <m:sub>
            <m:r>
              <m:rPr>
                <m:sty m:val="p"/>
              </m:rPr>
              <w:rPr>
                <w:rFonts w:ascii="Cambria Math" w:hAnsi="Cambria Math" w:cstheme="majorBidi"/>
                <w:lang w:val="en-US"/>
              </w:rPr>
              <m:t>t</m:t>
            </m:r>
          </m:sub>
          <m:sup>
            <m:r>
              <m:rPr>
                <m:sty m:val="p"/>
              </m:rPr>
              <w:rPr>
                <w:rFonts w:ascii="Cambria Math" w:hAnsi="Cambria Math" w:cstheme="majorBidi"/>
                <w:lang w:val="en-US"/>
              </w:rPr>
              <m:t>2</m:t>
            </m:r>
          </m:sup>
        </m:sSubSup>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0</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1</m:t>
            </m:r>
          </m:sub>
        </m:sSub>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ν</m:t>
            </m:r>
          </m:e>
          <m:sub>
            <m:r>
              <m:rPr>
                <m:sty m:val="p"/>
              </m:rPr>
              <w:rPr>
                <w:rFonts w:ascii="Cambria Math" w:hAnsi="Cambria Math" w:cstheme="majorBidi"/>
                <w:lang w:val="en-US"/>
              </w:rPr>
              <m:t>t</m:t>
            </m:r>
          </m:sub>
        </m:sSub>
      </m:oMath>
      <w:r w:rsidR="00F43BCB" w:rsidRPr="00EE111C">
        <w:rPr>
          <w:rFonts w:asciiTheme="majorBidi" w:hAnsiTheme="majorBidi" w:cstheme="majorBidi"/>
          <w:lang w:val="en-US"/>
        </w:rPr>
        <w:t xml:space="preserve">                           </w:t>
      </w:r>
      <w:r>
        <w:rPr>
          <w:rFonts w:asciiTheme="majorBidi" w:hAnsiTheme="majorBidi" w:cstheme="majorBidi"/>
          <w:lang w:val="en-US"/>
        </w:rPr>
        <w:t xml:space="preserve">                   </w:t>
      </w:r>
      <w:r w:rsidR="00F43BCB" w:rsidRPr="00EE111C">
        <w:rPr>
          <w:rFonts w:asciiTheme="majorBidi" w:hAnsiTheme="majorBidi" w:cstheme="majorBidi"/>
          <w:lang w:val="en-US"/>
        </w:rPr>
        <w:t xml:space="preserve">                                             </w:t>
      </w:r>
      <w:r>
        <w:rPr>
          <w:rFonts w:asciiTheme="majorBidi" w:hAnsiTheme="majorBidi" w:cstheme="majorBidi"/>
          <w:lang w:val="en-US"/>
        </w:rPr>
        <w:t xml:space="preserve">              </w:t>
      </w:r>
      <w:r w:rsidR="00F43BCB" w:rsidRPr="00EE111C">
        <w:rPr>
          <w:rFonts w:asciiTheme="majorBidi" w:hAnsiTheme="majorBidi" w:cstheme="majorBidi"/>
          <w:lang w:val="en-US"/>
        </w:rPr>
        <w:t xml:space="preserve">  (1</w:t>
      </w:r>
      <w:r w:rsidR="00E17A21" w:rsidRPr="00EE111C">
        <w:rPr>
          <w:rFonts w:asciiTheme="majorBidi" w:hAnsiTheme="majorBidi" w:cstheme="majorBidi"/>
          <w:lang w:val="en-US"/>
        </w:rPr>
        <w:t>3</w:t>
      </w:r>
      <w:r w:rsidR="00F43BCB" w:rsidRPr="00EE111C">
        <w:rPr>
          <w:rFonts w:asciiTheme="majorBidi" w:hAnsiTheme="majorBidi" w:cstheme="majorBidi"/>
          <w:lang w:val="en-US"/>
        </w:rPr>
        <w:t>)</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F43BCB" w:rsidP="00A07B0E">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where</w:t>
      </w:r>
      <m:oMath>
        <m:sSub>
          <m:sSubPr>
            <m:ctrlPr>
              <w:rPr>
                <w:rFonts w:ascii="Cambria Math" w:hAnsi="Cambria Math" w:cstheme="majorBidi"/>
                <w:lang w:val="en-US"/>
              </w:rPr>
            </m:ctrlPr>
          </m:sSubPr>
          <m:e>
            <m:r>
              <m:rPr>
                <m:sty m:val="p"/>
              </m:rPr>
              <w:rPr>
                <w:rFonts w:ascii="Cambria Math" w:hAnsi="Cambria Math" w:cstheme="majorBidi"/>
                <w:lang w:val="en-US"/>
              </w:rPr>
              <m:t>ν</m:t>
            </m:r>
          </m:e>
          <m:sub>
            <m:r>
              <m:rPr>
                <m:sty m:val="p"/>
              </m:rPr>
              <w:rPr>
                <w:rFonts w:ascii="Cambria Math" w:hAnsi="Cambria Math" w:cstheme="majorBidi"/>
                <w:lang w:val="en-US"/>
              </w:rPr>
              <m:t>t</m:t>
            </m:r>
          </m:sub>
        </m:sSub>
      </m:oMath>
      <w:r w:rsidRPr="00EE111C">
        <w:rPr>
          <w:rFonts w:asciiTheme="majorBidi" w:hAnsiTheme="majorBidi" w:cstheme="majorBidi"/>
          <w:lang w:val="en-US"/>
        </w:rPr>
        <w:t xml:space="preserve"> is an independent and identically distributed error term. If positive and negative shocks to </w:t>
      </w:r>
      <m:oMath>
        <m:sSub>
          <m:sSubPr>
            <m:ctrlPr>
              <w:rPr>
                <w:rFonts w:ascii="Cambria Math" w:hAnsi="Cambria Math" w:cstheme="majorBidi"/>
                <w:lang w:val="en-US"/>
              </w:rPr>
            </m:ctrlPr>
          </m:sSubPr>
          <m:e>
            <m:acc>
              <m:accPr>
                <m:ctrlPr>
                  <w:rPr>
                    <w:rFonts w:ascii="Cambria Math" w:hAnsi="Cambria Math" w:cstheme="majorBidi"/>
                    <w:lang w:val="en-US"/>
                  </w:rPr>
                </m:ctrlPr>
              </m:accPr>
              <m:e>
                <m:r>
                  <m:rPr>
                    <m:sty m:val="p"/>
                  </m:rPr>
                  <w:rPr>
                    <w:rFonts w:ascii="Cambria Math" w:hAnsi="Cambria Math" w:cstheme="majorBidi"/>
                    <w:lang w:val="en-US"/>
                  </w:rPr>
                  <m:t>z</m:t>
                </m:r>
              </m:e>
            </m:acc>
          </m:e>
          <m:sub>
            <m:r>
              <m:rPr>
                <m:sty m:val="p"/>
              </m:rPr>
              <w:rPr>
                <w:rFonts w:ascii="Cambria Math" w:hAnsi="Cambria Math" w:cstheme="majorBidi"/>
                <w:lang w:val="en-US"/>
              </w:rPr>
              <m:t>t-1</m:t>
            </m:r>
          </m:sub>
        </m:sSub>
      </m:oMath>
      <w:r w:rsidRPr="00EE111C">
        <w:rPr>
          <w:rFonts w:asciiTheme="majorBidi" w:hAnsiTheme="majorBidi" w:cstheme="majorBidi"/>
          <w:lang w:val="en-US"/>
        </w:rPr>
        <w:t xml:space="preserve"> impactdifferently upon the conditional variance, then </w:t>
      </w:r>
      <m:oMath>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1</m:t>
            </m:r>
          </m:sub>
        </m:sSub>
      </m:oMath>
      <w:r w:rsidRPr="00EE111C">
        <w:rPr>
          <w:rFonts w:asciiTheme="majorBidi" w:hAnsiTheme="majorBidi" w:cstheme="majorBidi"/>
          <w:lang w:val="en-US"/>
        </w:rPr>
        <w:t xml:space="preserve"> will be statisticallysignificant.</w:t>
      </w:r>
    </w:p>
    <w:p w:rsidR="00F43BCB" w:rsidRPr="00EE111C" w:rsidRDefault="00F43BCB" w:rsidP="00F43BCB">
      <w:pPr>
        <w:jc w:val="both"/>
        <w:rPr>
          <w:rFonts w:asciiTheme="majorBidi" w:hAnsiTheme="majorBidi" w:cstheme="majorBidi"/>
          <w:bCs/>
          <w:color w:val="FF0000"/>
          <w:lang w:val="en-US"/>
        </w:rPr>
      </w:pPr>
    </w:p>
    <w:p w:rsidR="00F43BCB" w:rsidRPr="00EE111C" w:rsidRDefault="00F43BCB" w:rsidP="00A07B0E">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 xml:space="preserve">It could also be the case that the magnitude or size of the shock will affect whether the response of volatility to shocks is symmetric or not. In this case, a negative size bias test would be conducted, based on a regression where </w:t>
      </w:r>
      <m:oMath>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oMath>
      <w:r w:rsidRPr="00EE111C">
        <w:rPr>
          <w:rFonts w:asciiTheme="majorBidi" w:hAnsiTheme="majorBidi" w:cstheme="majorBidi"/>
          <w:lang w:val="en-US"/>
        </w:rPr>
        <w:t xml:space="preserve"> is used as a slope dummy variable. Negative</w:t>
      </w:r>
      <w:r w:rsidR="00071966">
        <w:rPr>
          <w:rFonts w:asciiTheme="majorBidi" w:hAnsiTheme="majorBidi" w:cstheme="majorBidi"/>
          <w:lang w:val="en-US"/>
        </w:rPr>
        <w:t xml:space="preserve"> </w:t>
      </w:r>
      <w:r w:rsidRPr="00EE111C">
        <w:rPr>
          <w:rFonts w:asciiTheme="majorBidi" w:hAnsiTheme="majorBidi" w:cstheme="majorBidi"/>
          <w:lang w:val="en-US"/>
        </w:rPr>
        <w:t xml:space="preserve">size bias is argued to be present if </w:t>
      </w:r>
      <m:oMath>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1</m:t>
            </m:r>
          </m:sub>
        </m:sSub>
      </m:oMath>
      <w:r w:rsidRPr="00EE111C">
        <w:rPr>
          <w:rFonts w:asciiTheme="majorBidi" w:hAnsiTheme="majorBidi" w:cstheme="majorBidi"/>
          <w:lang w:val="en-US"/>
        </w:rPr>
        <w:t xml:space="preserve"> is statistically significant in the following regression:</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68758C" w:rsidP="00A07B0E">
      <w:pPr>
        <w:autoSpaceDE w:val="0"/>
        <w:autoSpaceDN w:val="0"/>
        <w:adjustRightInd w:val="0"/>
        <w:jc w:val="both"/>
        <w:rPr>
          <w:rFonts w:asciiTheme="majorBidi" w:hAnsiTheme="majorBidi" w:cstheme="majorBidi"/>
          <w:lang w:val="en-US"/>
        </w:rPr>
      </w:pPr>
      <w:r>
        <w:rPr>
          <w:rFonts w:asciiTheme="majorBidi" w:eastAsiaTheme="minorEastAsia" w:hAnsiTheme="majorBidi" w:cstheme="majorBidi"/>
          <w:lang w:val="en-US"/>
        </w:rPr>
        <w:tab/>
      </w:r>
      <m:oMath>
        <m:sSubSup>
          <m:sSubSupPr>
            <m:ctrlPr>
              <w:rPr>
                <w:rFonts w:ascii="Cambria Math" w:hAnsi="Cambria Math" w:cstheme="majorBidi"/>
                <w:lang w:val="en-US"/>
              </w:rPr>
            </m:ctrlPr>
          </m:sSubSupPr>
          <m:e>
            <m:acc>
              <m:accPr>
                <m:ctrlPr>
                  <w:rPr>
                    <w:rFonts w:ascii="Cambria Math" w:hAnsi="Cambria Math" w:cstheme="majorBidi"/>
                    <w:lang w:val="en-US"/>
                  </w:rPr>
                </m:ctrlPr>
              </m:accPr>
              <m:e>
                <m:r>
                  <m:rPr>
                    <m:sty m:val="p"/>
                  </m:rPr>
                  <w:rPr>
                    <w:rFonts w:ascii="Cambria Math" w:hAnsi="Cambria Math" w:cstheme="majorBidi"/>
                    <w:lang w:val="en-US"/>
                  </w:rPr>
                  <m:t>z</m:t>
                </m:r>
              </m:e>
            </m:acc>
          </m:e>
          <m:sub>
            <m:r>
              <m:rPr>
                <m:sty m:val="p"/>
              </m:rPr>
              <w:rPr>
                <w:rFonts w:ascii="Cambria Math" w:hAnsi="Cambria Math" w:cstheme="majorBidi"/>
                <w:lang w:val="en-US"/>
              </w:rPr>
              <m:t>t</m:t>
            </m:r>
          </m:sub>
          <m:sup>
            <m:r>
              <m:rPr>
                <m:sty m:val="p"/>
              </m:rPr>
              <w:rPr>
                <w:rFonts w:ascii="Cambria Math" w:hAnsi="Cambria Math" w:cstheme="majorBidi"/>
                <w:lang w:val="en-US"/>
              </w:rPr>
              <m:t>2</m:t>
            </m:r>
          </m:sup>
        </m:sSubSup>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0</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1</m:t>
            </m:r>
          </m:sub>
        </m:sSub>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sSub>
          <m:sSubPr>
            <m:ctrlPr>
              <w:rPr>
                <w:rFonts w:ascii="Cambria Math" w:hAnsi="Cambria Math" w:cstheme="majorBidi"/>
                <w:lang w:val="en-US"/>
              </w:rPr>
            </m:ctrlPr>
          </m:sSubPr>
          <m:e>
            <m:r>
              <m:rPr>
                <m:sty m:val="p"/>
              </m:rPr>
              <w:rPr>
                <w:rFonts w:ascii="Cambria Math" w:hAnsi="Cambria Math" w:cstheme="majorBidi"/>
                <w:lang w:val="en-US"/>
              </w:rPr>
              <m:t>z</m:t>
            </m:r>
          </m:e>
          <m:sub>
            <m:r>
              <m:rPr>
                <m:sty m:val="p"/>
              </m:rPr>
              <w:rPr>
                <w:rFonts w:ascii="Cambria Math" w:hAnsi="Cambria Math" w:cstheme="majorBidi"/>
                <w:lang w:val="en-US"/>
              </w:rPr>
              <m:t>t-1</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ν</m:t>
            </m:r>
          </m:e>
          <m:sub>
            <m:r>
              <m:rPr>
                <m:sty m:val="p"/>
              </m:rPr>
              <w:rPr>
                <w:rFonts w:ascii="Cambria Math" w:hAnsi="Cambria Math" w:cstheme="majorBidi"/>
                <w:lang w:val="en-US"/>
              </w:rPr>
              <m:t>t</m:t>
            </m:r>
          </m:sub>
        </m:sSub>
      </m:oMath>
      <w:r w:rsidR="008C3A95" w:rsidRPr="00EE111C">
        <w:rPr>
          <w:rFonts w:asciiTheme="majorBidi" w:hAnsiTheme="majorBidi" w:cstheme="majorBidi"/>
          <w:lang w:val="en-US"/>
        </w:rPr>
        <w:t xml:space="preserve">                            </w:t>
      </w:r>
      <w:r>
        <w:rPr>
          <w:rFonts w:asciiTheme="majorBidi" w:hAnsiTheme="majorBidi" w:cstheme="majorBidi"/>
          <w:lang w:val="en-US"/>
        </w:rPr>
        <w:t xml:space="preserve">                                                                       </w:t>
      </w:r>
      <w:r w:rsidR="008C3A95" w:rsidRPr="00EE111C">
        <w:rPr>
          <w:rFonts w:asciiTheme="majorBidi" w:hAnsiTheme="majorBidi" w:cstheme="majorBidi"/>
          <w:lang w:val="en-US"/>
        </w:rPr>
        <w:t xml:space="preserve"> (14</w:t>
      </w:r>
      <w:r w:rsidR="00F43BCB" w:rsidRPr="00EE111C">
        <w:rPr>
          <w:rFonts w:asciiTheme="majorBidi" w:hAnsiTheme="majorBidi" w:cstheme="majorBidi"/>
          <w:lang w:val="en-US"/>
        </w:rPr>
        <w:t>)</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F43BCB" w:rsidP="00A07B0E">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Finally, we define</w:t>
      </w:r>
      <m:oMath>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r>
          <m:rPr>
            <m:sty m:val="p"/>
          </m:rPr>
          <w:rPr>
            <w:rFonts w:ascii="Cambria Math" w:hAnsi="Cambria Math" w:cstheme="majorBidi"/>
            <w:lang w:val="en-US"/>
          </w:rPr>
          <m:t>=1-</m:t>
        </m:r>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oMath>
      <w:r w:rsidRPr="00EE111C">
        <w:rPr>
          <w:rFonts w:asciiTheme="majorBidi" w:hAnsiTheme="majorBidi" w:cstheme="majorBidi"/>
          <w:lang w:val="en-US"/>
        </w:rPr>
        <w:t xml:space="preserve">, so that </w:t>
      </w:r>
      <m:oMath>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oMath>
      <w:r w:rsidRPr="00EE111C">
        <w:rPr>
          <w:rFonts w:asciiTheme="majorBidi" w:hAnsiTheme="majorBidi" w:cstheme="majorBidi"/>
          <w:lang w:val="en-US"/>
        </w:rPr>
        <w:t>picks out the observations with positive innovations. Engle and Ng (1993) propose a joint test for sign and size bias based on the following regression:</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68758C" w:rsidP="00A07B0E">
      <w:pPr>
        <w:autoSpaceDE w:val="0"/>
        <w:autoSpaceDN w:val="0"/>
        <w:adjustRightInd w:val="0"/>
        <w:jc w:val="both"/>
        <w:rPr>
          <w:rFonts w:asciiTheme="majorBidi" w:hAnsiTheme="majorBidi" w:cstheme="majorBidi"/>
          <w:lang w:val="en-US"/>
        </w:rPr>
      </w:pPr>
      <w:r>
        <w:rPr>
          <w:rFonts w:asciiTheme="majorBidi" w:eastAsiaTheme="minorEastAsia" w:hAnsiTheme="majorBidi" w:cstheme="majorBidi"/>
          <w:lang w:val="en-US"/>
        </w:rPr>
        <w:tab/>
      </w:r>
      <m:oMath>
        <m:sSubSup>
          <m:sSubSupPr>
            <m:ctrlPr>
              <w:rPr>
                <w:rFonts w:ascii="Cambria Math" w:hAnsi="Cambria Math" w:cstheme="majorBidi"/>
                <w:lang w:val="en-US"/>
              </w:rPr>
            </m:ctrlPr>
          </m:sSubSupPr>
          <m:e>
            <m:acc>
              <m:accPr>
                <m:ctrlPr>
                  <w:rPr>
                    <w:rFonts w:ascii="Cambria Math" w:hAnsi="Cambria Math" w:cstheme="majorBidi"/>
                    <w:lang w:val="en-US"/>
                  </w:rPr>
                </m:ctrlPr>
              </m:accPr>
              <m:e>
                <m:r>
                  <m:rPr>
                    <m:sty m:val="p"/>
                  </m:rPr>
                  <w:rPr>
                    <w:rFonts w:ascii="Cambria Math" w:hAnsi="Cambria Math" w:cstheme="majorBidi"/>
                    <w:lang w:val="en-US"/>
                  </w:rPr>
                  <m:t>z</m:t>
                </m:r>
              </m:e>
            </m:acc>
          </m:e>
          <m:sub>
            <m:r>
              <m:rPr>
                <m:sty m:val="p"/>
              </m:rPr>
              <w:rPr>
                <w:rFonts w:ascii="Cambria Math" w:hAnsi="Cambria Math" w:cstheme="majorBidi"/>
                <w:lang w:val="en-US"/>
              </w:rPr>
              <m:t>t</m:t>
            </m:r>
          </m:sub>
          <m:sup>
            <m:r>
              <m:rPr>
                <m:sty m:val="p"/>
              </m:rPr>
              <w:rPr>
                <w:rFonts w:ascii="Cambria Math" w:hAnsi="Cambria Math" w:cstheme="majorBidi"/>
                <w:lang w:val="en-US"/>
              </w:rPr>
              <m:t>2</m:t>
            </m:r>
          </m:sup>
        </m:sSubSup>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0</m:t>
            </m:r>
          </m:sub>
        </m:sSub>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1</m:t>
            </m:r>
          </m:sub>
        </m:sSub>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2</m:t>
            </m:r>
          </m:sub>
        </m:sSub>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sSub>
          <m:sSubPr>
            <m:ctrlPr>
              <w:rPr>
                <w:rFonts w:ascii="Cambria Math" w:hAnsi="Cambria Math" w:cstheme="majorBidi"/>
                <w:lang w:val="en-US"/>
              </w:rPr>
            </m:ctrlPr>
          </m:sSubPr>
          <m:e>
            <m:r>
              <m:rPr>
                <m:sty m:val="p"/>
              </m:rPr>
              <w:rPr>
                <w:rFonts w:ascii="Cambria Math" w:hAnsi="Cambria Math" w:cstheme="majorBidi"/>
                <w:lang w:val="en-US"/>
              </w:rPr>
              <m:t>z</m:t>
            </m:r>
          </m:e>
          <m:sub>
            <m:r>
              <m:rPr>
                <m:sty m:val="p"/>
              </m:rPr>
              <w:rPr>
                <w:rFonts w:ascii="Cambria Math" w:hAnsi="Cambria Math" w:cstheme="majorBidi"/>
                <w:lang w:val="en-US"/>
              </w:rPr>
              <m:t>t-1</m:t>
            </m:r>
          </m:sub>
        </m:sSub>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3</m:t>
            </m:r>
          </m:sub>
        </m:sSub>
        <m:sSubSup>
          <m:sSubSupPr>
            <m:ctrlPr>
              <w:rPr>
                <w:rFonts w:ascii="Cambria Math" w:hAnsi="Cambria Math" w:cstheme="majorBidi"/>
                <w:lang w:val="en-US"/>
              </w:rPr>
            </m:ctrlPr>
          </m:sSubSupPr>
          <m:e>
            <m:r>
              <m:rPr>
                <m:sty m:val="p"/>
              </m:rPr>
              <w:rPr>
                <w:rFonts w:ascii="Cambria Math" w:hAnsi="Cambria Math" w:cstheme="majorBidi"/>
                <w:lang w:val="en-US"/>
              </w:rPr>
              <m:t>S</m:t>
            </m:r>
          </m:e>
          <m:sub>
            <m:r>
              <m:rPr>
                <m:sty m:val="p"/>
              </m:rPr>
              <w:rPr>
                <w:rFonts w:ascii="Cambria Math" w:hAnsi="Cambria Math" w:cstheme="majorBidi"/>
                <w:lang w:val="en-US"/>
              </w:rPr>
              <m:t>t-1</m:t>
            </m:r>
          </m:sub>
          <m:sup>
            <m:r>
              <m:rPr>
                <m:sty m:val="p"/>
              </m:rPr>
              <w:rPr>
                <w:rFonts w:ascii="Cambria Math" w:hAnsi="Cambria Math" w:cstheme="majorBidi"/>
                <w:lang w:val="en-US"/>
              </w:rPr>
              <m:t>+</m:t>
            </m:r>
          </m:sup>
        </m:sSubSup>
        <m:sSub>
          <m:sSubPr>
            <m:ctrlPr>
              <w:rPr>
                <w:rFonts w:ascii="Cambria Math" w:hAnsi="Cambria Math" w:cstheme="majorBidi"/>
                <w:lang w:val="en-US"/>
              </w:rPr>
            </m:ctrlPr>
          </m:sSubPr>
          <m:e>
            <m:r>
              <m:rPr>
                <m:sty m:val="p"/>
              </m:rPr>
              <w:rPr>
                <w:rFonts w:ascii="Cambria Math" w:hAnsi="Cambria Math" w:cstheme="majorBidi"/>
                <w:lang w:val="en-US"/>
              </w:rPr>
              <m:t>z</m:t>
            </m:r>
          </m:e>
          <m:sub>
            <m:r>
              <m:rPr>
                <m:sty m:val="p"/>
              </m:rPr>
              <w:rPr>
                <w:rFonts w:ascii="Cambria Math" w:hAnsi="Cambria Math" w:cstheme="majorBidi"/>
                <w:lang w:val="en-US"/>
              </w:rPr>
              <m:t>t-1</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ν</m:t>
            </m:r>
          </m:e>
          <m:sub>
            <m:r>
              <m:rPr>
                <m:sty m:val="p"/>
              </m:rPr>
              <w:rPr>
                <w:rFonts w:ascii="Cambria Math" w:hAnsi="Cambria Math" w:cstheme="majorBidi"/>
                <w:lang w:val="en-US"/>
              </w:rPr>
              <m:t>t</m:t>
            </m:r>
          </m:sub>
        </m:sSub>
      </m:oMath>
      <w:r w:rsidR="008C3A95" w:rsidRPr="00EE111C">
        <w:rPr>
          <w:rFonts w:asciiTheme="majorBidi" w:hAnsiTheme="majorBidi" w:cstheme="majorBidi"/>
          <w:lang w:val="en-US"/>
        </w:rPr>
        <w:t xml:space="preserve">                         </w:t>
      </w:r>
      <w:r>
        <w:rPr>
          <w:rFonts w:asciiTheme="majorBidi" w:hAnsiTheme="majorBidi" w:cstheme="majorBidi"/>
          <w:lang w:val="en-US"/>
        </w:rPr>
        <w:t xml:space="preserve">                                    </w:t>
      </w:r>
      <w:r w:rsidR="008C3A95" w:rsidRPr="00EE111C">
        <w:rPr>
          <w:rFonts w:asciiTheme="majorBidi" w:hAnsiTheme="majorBidi" w:cstheme="majorBidi"/>
          <w:lang w:val="en-US"/>
        </w:rPr>
        <w:t xml:space="preserve">    (15</w:t>
      </w:r>
      <w:r w:rsidR="00F43BCB" w:rsidRPr="00EE111C">
        <w:rPr>
          <w:rFonts w:asciiTheme="majorBidi" w:hAnsiTheme="majorBidi" w:cstheme="majorBidi"/>
          <w:lang w:val="en-US"/>
        </w:rPr>
        <w:t>)</w:t>
      </w:r>
    </w:p>
    <w:p w:rsidR="00F43BCB" w:rsidRPr="00EE111C" w:rsidRDefault="00F43BCB" w:rsidP="00A07B0E">
      <w:pPr>
        <w:autoSpaceDE w:val="0"/>
        <w:autoSpaceDN w:val="0"/>
        <w:adjustRightInd w:val="0"/>
        <w:jc w:val="both"/>
        <w:rPr>
          <w:rFonts w:asciiTheme="majorBidi" w:hAnsiTheme="majorBidi" w:cstheme="majorBidi"/>
          <w:lang w:val="en-US"/>
        </w:rPr>
      </w:pPr>
    </w:p>
    <w:p w:rsidR="00F43BCB" w:rsidRPr="00EE111C" w:rsidRDefault="00F43BCB" w:rsidP="00A07B0E">
      <w:pPr>
        <w:autoSpaceDE w:val="0"/>
        <w:autoSpaceDN w:val="0"/>
        <w:adjustRightInd w:val="0"/>
        <w:jc w:val="both"/>
        <w:rPr>
          <w:rFonts w:asciiTheme="majorBidi" w:hAnsiTheme="majorBidi" w:cstheme="majorBidi"/>
          <w:lang w:val="en-US"/>
        </w:rPr>
      </w:pPr>
      <w:r w:rsidRPr="00EE111C">
        <w:rPr>
          <w:rFonts w:asciiTheme="majorBidi" w:hAnsiTheme="majorBidi" w:cstheme="majorBidi"/>
          <w:lang w:val="en-US"/>
        </w:rPr>
        <w:t xml:space="preserve">Statistical significance of </w:t>
      </w:r>
      <m:oMath>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1</m:t>
            </m:r>
          </m:sub>
        </m:sSub>
      </m:oMath>
      <w:r w:rsidRPr="00EE111C">
        <w:rPr>
          <w:rFonts w:asciiTheme="majorBidi" w:hAnsiTheme="majorBidi" w:cstheme="majorBidi"/>
          <w:lang w:val="en-US"/>
        </w:rPr>
        <w:t xml:space="preserve"> indicates the presence of sign bias, where positive and negative shocks have differing impacts upon future volatility, compared with the symmetric response required by the standard GARCH formulation. However, the significance of </w:t>
      </w:r>
      <m:oMath>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2</m:t>
            </m:r>
          </m:sub>
        </m:sSub>
      </m:oMath>
      <w:r w:rsidRPr="00EE111C">
        <w:rPr>
          <w:rFonts w:asciiTheme="majorBidi" w:hAnsiTheme="majorBidi" w:cstheme="majorBidi"/>
          <w:lang w:val="en-US"/>
        </w:rPr>
        <w:t xml:space="preserve"> or </w:t>
      </w:r>
      <m:oMath>
        <m:sSub>
          <m:sSubPr>
            <m:ctrlPr>
              <w:rPr>
                <w:rFonts w:ascii="Cambria Math" w:hAnsi="Cambria Math" w:cstheme="majorBidi"/>
                <w:lang w:val="en-US"/>
              </w:rPr>
            </m:ctrlPr>
          </m:sSubPr>
          <m:e>
            <m:r>
              <m:rPr>
                <m:sty m:val="p"/>
              </m:rPr>
              <w:rPr>
                <w:rFonts w:ascii="Cambria Math" w:hAnsi="Cambria Math" w:cstheme="majorBidi"/>
                <w:lang w:val="en-US"/>
              </w:rPr>
              <m:t>ϕ</m:t>
            </m:r>
          </m:e>
          <m:sub>
            <m:r>
              <m:rPr>
                <m:sty m:val="p"/>
              </m:rPr>
              <w:rPr>
                <w:rFonts w:ascii="Cambria Math" w:hAnsi="Cambria Math" w:cstheme="majorBidi"/>
                <w:lang w:val="en-US"/>
              </w:rPr>
              <m:t>3</m:t>
            </m:r>
          </m:sub>
        </m:sSub>
      </m:oMath>
      <w:r w:rsidRPr="00EE111C">
        <w:rPr>
          <w:rFonts w:asciiTheme="majorBidi" w:hAnsiTheme="majorBidi" w:cstheme="majorBidi"/>
          <w:lang w:val="en-US"/>
        </w:rPr>
        <w:t xml:space="preserve"> would suggest the presenceof size bias, where not only the sign but the magnitude of the shock isimportant. A joint test statistic is formulated in the standard fashion by calculating </w:t>
      </w:r>
      <m:oMath>
        <m:r>
          <m:rPr>
            <m:sty m:val="p"/>
          </m:rPr>
          <w:rPr>
            <w:rFonts w:ascii="Cambria Math" w:hAnsi="Cambria Math" w:cstheme="majorBidi"/>
            <w:lang w:val="en-US"/>
          </w:rPr>
          <m:t>T</m:t>
        </m:r>
        <m:sSup>
          <m:sSupPr>
            <m:ctrlPr>
              <w:rPr>
                <w:rFonts w:ascii="Cambria Math" w:hAnsi="Cambria Math" w:cstheme="majorBidi"/>
                <w:lang w:val="en-US"/>
              </w:rPr>
            </m:ctrlPr>
          </m:sSupPr>
          <m:e>
            <m:r>
              <m:rPr>
                <m:sty m:val="p"/>
              </m:rPr>
              <w:rPr>
                <w:rFonts w:ascii="Cambria Math" w:hAnsi="Cambria Math" w:cstheme="majorBidi"/>
                <w:lang w:val="en-US"/>
              </w:rPr>
              <m:t>R</m:t>
            </m:r>
          </m:e>
          <m:sup>
            <m:r>
              <m:rPr>
                <m:sty m:val="p"/>
              </m:rPr>
              <w:rPr>
                <w:rFonts w:ascii="Cambria Math" w:hAnsi="Cambria Math" w:cstheme="majorBidi"/>
                <w:lang w:val="en-US"/>
              </w:rPr>
              <m:t>2</m:t>
            </m:r>
          </m:sup>
        </m:sSup>
      </m:oMath>
      <w:r w:rsidR="008C3A95" w:rsidRPr="00EE111C">
        <w:rPr>
          <w:rFonts w:asciiTheme="majorBidi" w:hAnsiTheme="majorBidi" w:cstheme="majorBidi"/>
          <w:lang w:val="en-US"/>
        </w:rPr>
        <w:t xml:space="preserve"> from regression (15</w:t>
      </w:r>
      <w:r w:rsidRPr="00EE111C">
        <w:rPr>
          <w:rFonts w:asciiTheme="majorBidi" w:hAnsiTheme="majorBidi" w:cstheme="majorBidi"/>
          <w:lang w:val="en-US"/>
        </w:rPr>
        <w:t xml:space="preserve">), which will asymptotically follow a </w:t>
      </w:r>
      <m:oMath>
        <m:sSup>
          <m:sSupPr>
            <m:ctrlPr>
              <w:rPr>
                <w:rFonts w:ascii="Cambria Math" w:hAnsi="Cambria Math" w:cstheme="majorBidi"/>
                <w:lang w:val="en-US"/>
              </w:rPr>
            </m:ctrlPr>
          </m:sSupPr>
          <m:e>
            <m:r>
              <m:rPr>
                <m:sty m:val="p"/>
              </m:rPr>
              <w:rPr>
                <w:rFonts w:ascii="Cambria Math" w:hAnsi="Cambria Math" w:cstheme="majorBidi"/>
                <w:lang w:val="en-US"/>
              </w:rPr>
              <m:t>χ</m:t>
            </m:r>
          </m:e>
          <m:sup>
            <m:r>
              <m:rPr>
                <m:sty m:val="p"/>
              </m:rPr>
              <w:rPr>
                <w:rFonts w:ascii="Cambria Math" w:hAnsi="Cambria Math" w:cstheme="majorBidi"/>
                <w:lang w:val="en-US"/>
              </w:rPr>
              <m:t>2</m:t>
            </m:r>
          </m:sup>
        </m:sSup>
      </m:oMath>
      <w:r w:rsidRPr="00EE111C">
        <w:rPr>
          <w:rFonts w:asciiTheme="majorBidi" w:hAnsiTheme="majorBidi" w:cstheme="majorBidi"/>
          <w:lang w:val="en-US"/>
        </w:rPr>
        <w:t xml:space="preserve"> distribution with 3 degrees of freedom under the null hypothesis of no asymmetric effects.</w:t>
      </w:r>
    </w:p>
    <w:p w:rsidR="00F43BCB" w:rsidRPr="00EE111C" w:rsidRDefault="00F43BCB" w:rsidP="00F43BCB">
      <w:pPr>
        <w:ind w:firstLine="340"/>
        <w:jc w:val="both"/>
        <w:rPr>
          <w:rFonts w:asciiTheme="majorBidi" w:hAnsiTheme="majorBidi" w:cstheme="majorBidi"/>
          <w:bCs/>
          <w:lang w:val="en-US"/>
        </w:rPr>
      </w:pPr>
    </w:p>
    <w:p w:rsidR="00F43BCB" w:rsidRPr="00EE111C" w:rsidRDefault="00F43BCB" w:rsidP="00EE111C">
      <w:pPr>
        <w:pStyle w:val="Lgende"/>
        <w:keepNext/>
        <w:spacing w:after="0"/>
        <w:ind w:left="794" w:right="794"/>
        <w:jc w:val="both"/>
        <w:rPr>
          <w:rFonts w:asciiTheme="majorBidi" w:hAnsiTheme="majorBidi" w:cstheme="majorBidi"/>
          <w:color w:val="auto"/>
          <w:sz w:val="20"/>
          <w:szCs w:val="20"/>
          <w:lang w:val="en-US"/>
        </w:rPr>
      </w:pPr>
      <w:r w:rsidRPr="00EE111C">
        <w:rPr>
          <w:rFonts w:asciiTheme="majorBidi" w:hAnsiTheme="majorBidi" w:cstheme="majorBidi"/>
          <w:color w:val="auto"/>
          <w:sz w:val="20"/>
          <w:szCs w:val="20"/>
          <w:lang w:val="en-US"/>
        </w:rPr>
        <w:t xml:space="preserve">Table </w:t>
      </w:r>
      <w:r w:rsidR="00125123" w:rsidRPr="00EE111C">
        <w:rPr>
          <w:rFonts w:asciiTheme="majorBidi" w:hAnsiTheme="majorBidi" w:cstheme="majorBidi"/>
          <w:color w:val="auto"/>
          <w:sz w:val="20"/>
          <w:szCs w:val="20"/>
          <w:lang w:val="en-US"/>
        </w:rPr>
        <w:t>5</w:t>
      </w:r>
    </w:p>
    <w:p w:rsidR="00F43BCB" w:rsidRPr="00EE111C" w:rsidRDefault="00F43BCB" w:rsidP="00EE111C">
      <w:pPr>
        <w:ind w:left="794" w:right="794"/>
        <w:jc w:val="both"/>
        <w:rPr>
          <w:rFonts w:asciiTheme="majorBidi" w:hAnsiTheme="majorBidi" w:cstheme="majorBidi"/>
          <w:sz w:val="20"/>
          <w:szCs w:val="20"/>
          <w:lang w:val="en-US" w:eastAsia="fr-FR"/>
        </w:rPr>
      </w:pPr>
      <w:r w:rsidRPr="00EE111C">
        <w:rPr>
          <w:rFonts w:asciiTheme="majorBidi" w:hAnsiTheme="majorBidi" w:cstheme="majorBidi"/>
          <w:sz w:val="20"/>
          <w:szCs w:val="20"/>
          <w:lang w:val="en-US"/>
        </w:rPr>
        <w:t>Tests for sign and size bias for dynamic conditional correlation series.</w:t>
      </w:r>
    </w:p>
    <w:tbl>
      <w:tblPr>
        <w:tblW w:w="7424" w:type="dxa"/>
        <w:jc w:val="center"/>
        <w:tblInd w:w="56" w:type="dxa"/>
        <w:tblCellMar>
          <w:left w:w="70" w:type="dxa"/>
          <w:right w:w="70" w:type="dxa"/>
        </w:tblCellMar>
        <w:tblLook w:val="04A0"/>
      </w:tblPr>
      <w:tblGrid>
        <w:gridCol w:w="680"/>
        <w:gridCol w:w="760"/>
        <w:gridCol w:w="760"/>
        <w:gridCol w:w="700"/>
        <w:gridCol w:w="180"/>
        <w:gridCol w:w="740"/>
        <w:gridCol w:w="732"/>
        <w:gridCol w:w="620"/>
        <w:gridCol w:w="180"/>
        <w:gridCol w:w="700"/>
        <w:gridCol w:w="732"/>
        <w:gridCol w:w="640"/>
      </w:tblGrid>
      <w:tr w:rsidR="00E54BC6" w:rsidRPr="00E54BC6" w:rsidTr="00E54BC6">
        <w:trPr>
          <w:trHeight w:val="225"/>
          <w:jc w:val="center"/>
        </w:trPr>
        <w:tc>
          <w:tcPr>
            <w:tcW w:w="680" w:type="dxa"/>
            <w:vMerge w:val="restart"/>
            <w:tcBorders>
              <w:top w:val="single" w:sz="8" w:space="0" w:color="auto"/>
              <w:left w:val="nil"/>
              <w:bottom w:val="single" w:sz="8" w:space="0" w:color="000000"/>
              <w:right w:val="nil"/>
            </w:tcBorders>
            <w:shd w:val="clear" w:color="auto" w:fill="auto"/>
            <w:noWrap/>
            <w:vAlign w:val="bottom"/>
            <w:hideMark/>
          </w:tcPr>
          <w:p w:rsidR="00E54BC6" w:rsidRPr="00E54BC6" w:rsidRDefault="00E54BC6" w:rsidP="00E54BC6">
            <w:pPr>
              <w:jc w:val="left"/>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variable</w:t>
            </w:r>
          </w:p>
        </w:tc>
        <w:tc>
          <w:tcPr>
            <w:tcW w:w="2220" w:type="dxa"/>
            <w:gridSpan w:val="3"/>
            <w:tcBorders>
              <w:top w:val="single" w:sz="8" w:space="0" w:color="auto"/>
              <w:left w:val="nil"/>
              <w:bottom w:val="single" w:sz="8" w:space="0" w:color="auto"/>
              <w:right w:val="nil"/>
            </w:tcBorders>
            <w:shd w:val="clear" w:color="auto" w:fill="auto"/>
            <w:noWrap/>
            <w:vAlign w:val="bottom"/>
            <w:hideMark/>
          </w:tcPr>
          <w:p w:rsidR="00E54BC6" w:rsidRPr="00E54BC6" w:rsidRDefault="00194326" w:rsidP="00E54BC6">
            <w:pPr>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USDEUR,DAX30</m:t>
                    </m:r>
                  </m:sub>
                </m:sSub>
              </m:oMath>
            </m:oMathPara>
          </w:p>
        </w:tc>
        <w:tc>
          <w:tcPr>
            <w:tcW w:w="180" w:type="dxa"/>
            <w:tcBorders>
              <w:top w:val="single" w:sz="8" w:space="0" w:color="auto"/>
              <w:left w:val="nil"/>
              <w:bottom w:val="nil"/>
              <w:right w:val="nil"/>
            </w:tcBorders>
            <w:shd w:val="clear" w:color="auto" w:fill="auto"/>
            <w:noWrap/>
            <w:vAlign w:val="bottom"/>
            <w:hideMark/>
          </w:tcPr>
          <w:p w:rsidR="00E54BC6" w:rsidRPr="00E54BC6" w:rsidRDefault="00E54BC6" w:rsidP="00E54BC6">
            <w:pPr>
              <w:jc w:val="left"/>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 </w:t>
            </w:r>
          </w:p>
        </w:tc>
        <w:tc>
          <w:tcPr>
            <w:tcW w:w="2092" w:type="dxa"/>
            <w:gridSpan w:val="3"/>
            <w:tcBorders>
              <w:top w:val="single" w:sz="8" w:space="0" w:color="auto"/>
              <w:left w:val="nil"/>
              <w:bottom w:val="single" w:sz="8" w:space="0" w:color="auto"/>
              <w:right w:val="nil"/>
            </w:tcBorders>
            <w:shd w:val="clear" w:color="auto" w:fill="auto"/>
            <w:noWrap/>
            <w:vAlign w:val="bottom"/>
            <w:hideMark/>
          </w:tcPr>
          <w:p w:rsidR="00E54BC6" w:rsidRPr="00E54BC6" w:rsidRDefault="00194326" w:rsidP="00E54BC6">
            <w:pPr>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USDEUR,CAC40</m:t>
                    </m:r>
                  </m:sub>
                </m:sSub>
              </m:oMath>
            </m:oMathPara>
          </w:p>
        </w:tc>
        <w:tc>
          <w:tcPr>
            <w:tcW w:w="180" w:type="dxa"/>
            <w:tcBorders>
              <w:top w:val="single" w:sz="8" w:space="0" w:color="auto"/>
              <w:left w:val="nil"/>
              <w:bottom w:val="nil"/>
              <w:right w:val="nil"/>
            </w:tcBorders>
            <w:shd w:val="clear" w:color="auto" w:fill="auto"/>
            <w:noWrap/>
            <w:vAlign w:val="bottom"/>
            <w:hideMark/>
          </w:tcPr>
          <w:p w:rsidR="00E54BC6" w:rsidRPr="00E54BC6" w:rsidRDefault="00E54BC6" w:rsidP="00E54BC6">
            <w:pPr>
              <w:jc w:val="left"/>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 </w:t>
            </w:r>
          </w:p>
        </w:tc>
        <w:tc>
          <w:tcPr>
            <w:tcW w:w="2072" w:type="dxa"/>
            <w:gridSpan w:val="3"/>
            <w:tcBorders>
              <w:top w:val="single" w:sz="8" w:space="0" w:color="auto"/>
              <w:left w:val="nil"/>
              <w:bottom w:val="single" w:sz="8" w:space="0" w:color="auto"/>
              <w:right w:val="nil"/>
            </w:tcBorders>
            <w:shd w:val="clear" w:color="auto" w:fill="auto"/>
            <w:noWrap/>
            <w:vAlign w:val="bottom"/>
            <w:hideMark/>
          </w:tcPr>
          <w:p w:rsidR="00E54BC6" w:rsidRPr="00E54BC6" w:rsidRDefault="00194326" w:rsidP="00E54BC6">
            <w:pPr>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USDEUR,FTSE100</m:t>
                    </m:r>
                  </m:sub>
                </m:sSub>
              </m:oMath>
            </m:oMathPara>
          </w:p>
        </w:tc>
      </w:tr>
      <w:tr w:rsidR="00E54BC6" w:rsidRPr="00E54BC6" w:rsidTr="00E54BC6">
        <w:trPr>
          <w:trHeight w:val="225"/>
          <w:jc w:val="center"/>
        </w:trPr>
        <w:tc>
          <w:tcPr>
            <w:tcW w:w="680" w:type="dxa"/>
            <w:vMerge/>
            <w:tcBorders>
              <w:top w:val="single" w:sz="8" w:space="0" w:color="auto"/>
              <w:left w:val="nil"/>
              <w:bottom w:val="single" w:sz="8" w:space="0" w:color="000000"/>
              <w:right w:val="nil"/>
            </w:tcBorders>
            <w:vAlign w:val="center"/>
            <w:hideMark/>
          </w:tcPr>
          <w:p w:rsidR="00E54BC6" w:rsidRPr="00E54BC6" w:rsidRDefault="00E54BC6" w:rsidP="00E54BC6">
            <w:pPr>
              <w:jc w:val="left"/>
              <w:rPr>
                <w:rFonts w:ascii="Times New Roman" w:eastAsia="Times New Roman" w:hAnsi="Times New Roman" w:cs="Times New Roman"/>
                <w:color w:val="000000"/>
                <w:sz w:val="16"/>
                <w:szCs w:val="16"/>
                <w:lang w:eastAsia="fr-FR"/>
              </w:rPr>
            </w:pPr>
          </w:p>
        </w:tc>
        <w:tc>
          <w:tcPr>
            <w:tcW w:w="760"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Coeff</w:t>
            </w:r>
          </w:p>
        </w:tc>
        <w:tc>
          <w:tcPr>
            <w:tcW w:w="760"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Std.Error</w:t>
            </w:r>
          </w:p>
        </w:tc>
        <w:tc>
          <w:tcPr>
            <w:tcW w:w="700"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Signif</w:t>
            </w:r>
          </w:p>
        </w:tc>
        <w:tc>
          <w:tcPr>
            <w:tcW w:w="180" w:type="dxa"/>
            <w:tcBorders>
              <w:top w:val="nil"/>
              <w:left w:val="nil"/>
              <w:bottom w:val="nil"/>
              <w:right w:val="nil"/>
            </w:tcBorders>
            <w:shd w:val="clear" w:color="auto" w:fill="auto"/>
            <w:noWrap/>
            <w:vAlign w:val="bottom"/>
            <w:hideMark/>
          </w:tcPr>
          <w:p w:rsidR="00E54BC6" w:rsidRPr="00E54BC6" w:rsidRDefault="00E54BC6" w:rsidP="00E54BC6">
            <w:pPr>
              <w:jc w:val="left"/>
              <w:rPr>
                <w:rFonts w:ascii="Calibri" w:eastAsia="Times New Roman" w:hAnsi="Calibri" w:cs="Arial"/>
                <w:lang w:eastAsia="fr-FR"/>
              </w:rPr>
            </w:pPr>
          </w:p>
        </w:tc>
        <w:tc>
          <w:tcPr>
            <w:tcW w:w="740"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Coeff</w:t>
            </w:r>
          </w:p>
        </w:tc>
        <w:tc>
          <w:tcPr>
            <w:tcW w:w="732"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Std.Error</w:t>
            </w:r>
          </w:p>
        </w:tc>
        <w:tc>
          <w:tcPr>
            <w:tcW w:w="620"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Signif</w:t>
            </w:r>
          </w:p>
        </w:tc>
        <w:tc>
          <w:tcPr>
            <w:tcW w:w="180" w:type="dxa"/>
            <w:tcBorders>
              <w:top w:val="nil"/>
              <w:left w:val="nil"/>
              <w:bottom w:val="nil"/>
              <w:right w:val="nil"/>
            </w:tcBorders>
            <w:shd w:val="clear" w:color="auto" w:fill="auto"/>
            <w:noWrap/>
            <w:vAlign w:val="bottom"/>
            <w:hideMark/>
          </w:tcPr>
          <w:p w:rsidR="00E54BC6" w:rsidRPr="00E54BC6" w:rsidRDefault="00E54BC6" w:rsidP="00E54BC6">
            <w:pPr>
              <w:jc w:val="left"/>
              <w:rPr>
                <w:rFonts w:ascii="Calibri" w:eastAsia="Times New Roman" w:hAnsi="Calibri" w:cs="Arial"/>
                <w:lang w:eastAsia="fr-FR"/>
              </w:rPr>
            </w:pPr>
          </w:p>
        </w:tc>
        <w:tc>
          <w:tcPr>
            <w:tcW w:w="700"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Coeff</w:t>
            </w:r>
          </w:p>
        </w:tc>
        <w:tc>
          <w:tcPr>
            <w:tcW w:w="732"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Std.Error</w:t>
            </w:r>
          </w:p>
        </w:tc>
        <w:tc>
          <w:tcPr>
            <w:tcW w:w="640" w:type="dxa"/>
            <w:tcBorders>
              <w:top w:val="nil"/>
              <w:left w:val="nil"/>
              <w:bottom w:val="single" w:sz="8" w:space="0" w:color="auto"/>
              <w:right w:val="nil"/>
            </w:tcBorders>
            <w:shd w:val="clear" w:color="auto" w:fill="auto"/>
            <w:noWrap/>
            <w:vAlign w:val="bottom"/>
            <w:hideMark/>
          </w:tcPr>
          <w:p w:rsidR="00E54BC6" w:rsidRPr="00E54BC6" w:rsidRDefault="00E54BC6"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Signif</w:t>
            </w:r>
          </w:p>
        </w:tc>
      </w:tr>
      <w:tr w:rsidR="00E40415" w:rsidRPr="00E54BC6" w:rsidTr="001579B5">
        <w:trPr>
          <w:trHeight w:val="225"/>
          <w:jc w:val="center"/>
        </w:trPr>
        <w:tc>
          <w:tcPr>
            <w:tcW w:w="680" w:type="dxa"/>
            <w:tcBorders>
              <w:top w:val="nil"/>
              <w:left w:val="nil"/>
              <w:bottom w:val="nil"/>
              <w:right w:val="nil"/>
            </w:tcBorders>
            <w:shd w:val="clear" w:color="auto" w:fill="auto"/>
            <w:noWrap/>
            <w:vAlign w:val="center"/>
            <w:hideMark/>
          </w:tcPr>
          <w:p w:rsidR="00E40415" w:rsidRPr="00BB0D8E" w:rsidRDefault="00194326" w:rsidP="001579B5">
            <w:pPr>
              <w:rPr>
                <w:rFonts w:ascii="Times New Roman" w:eastAsia="Times New Roman" w:hAnsi="Times New Roman" w:cs="Times New Roman"/>
                <w:color w:val="000000"/>
                <w:sz w:val="16"/>
                <w:szCs w:val="16"/>
                <w:lang w:eastAsia="fr-FR"/>
              </w:rPr>
            </w:pPr>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0</m:t>
                  </m:r>
                </m:sub>
              </m:sSub>
            </m:oMath>
            <w:r w:rsidR="00EE111C">
              <w:rPr>
                <w:rFonts w:ascii="Times New Roman" w:eastAsia="Times New Roman" w:hAnsi="Times New Roman" w:cs="Times New Roman"/>
                <w:bCs/>
                <w:color w:val="000000"/>
                <w:sz w:val="16"/>
                <w:szCs w:val="16"/>
                <w:lang w:val="en-US" w:eastAsia="fr-FR"/>
              </w:rPr>
              <w:t xml:space="preserve"> </w:t>
            </w:r>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0.9711</w:t>
            </w:r>
            <w:r w:rsidR="00B311A9">
              <w:rPr>
                <w:rFonts w:ascii="Times New Roman" w:eastAsia="Times New Roman" w:hAnsi="Times New Roman" w:cs="Times New Roman"/>
                <w:color w:val="000000"/>
                <w:sz w:val="16"/>
                <w:szCs w:val="16"/>
                <w:lang w:eastAsia="fr-FR"/>
              </w:rPr>
              <w:t>*</w:t>
            </w:r>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0.0706</w:t>
            </w: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w:t>
            </w:r>
            <w:r w:rsidR="00B311A9">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0.7103</w:t>
            </w:r>
            <w:r w:rsidR="00B311A9">
              <w:rPr>
                <w:rFonts w:ascii="Times New Roman" w:eastAsia="Times New Roman" w:hAnsi="Times New Roman" w:cs="Times New Roman"/>
                <w:color w:val="000000"/>
                <w:sz w:val="16"/>
                <w:szCs w:val="16"/>
                <w:lang w:eastAsia="fr-FR"/>
              </w:rPr>
              <w:t>*</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0.0738</w:t>
            </w:r>
          </w:p>
        </w:tc>
        <w:tc>
          <w:tcPr>
            <w:tcW w:w="62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w:t>
            </w:r>
            <w:r w:rsidR="00B311A9">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0.9487</w:t>
            </w:r>
            <w:r w:rsidR="00B311A9">
              <w:rPr>
                <w:rFonts w:ascii="Times New Roman" w:eastAsia="Times New Roman" w:hAnsi="Times New Roman" w:cs="Times New Roman"/>
                <w:color w:val="000000"/>
                <w:sz w:val="16"/>
                <w:szCs w:val="16"/>
                <w:lang w:eastAsia="fr-FR"/>
              </w:rPr>
              <w:t>*</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0.1034</w:t>
            </w:r>
          </w:p>
        </w:tc>
        <w:tc>
          <w:tcPr>
            <w:tcW w:w="6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w:t>
            </w:r>
            <w:r w:rsidR="00B311A9">
              <w:rPr>
                <w:rFonts w:ascii="Times New Roman" w:eastAsia="Times New Roman" w:hAnsi="Times New Roman" w:cs="Times New Roman"/>
                <w:color w:val="000000"/>
                <w:sz w:val="16"/>
                <w:szCs w:val="16"/>
                <w:lang w:eastAsia="fr-FR"/>
              </w:rPr>
              <w:t>.0000</w:t>
            </w:r>
          </w:p>
        </w:tc>
      </w:tr>
      <w:tr w:rsidR="00E40415" w:rsidRPr="00E54BC6" w:rsidTr="001579B5">
        <w:trPr>
          <w:trHeight w:val="225"/>
          <w:jc w:val="center"/>
        </w:trPr>
        <w:tc>
          <w:tcPr>
            <w:tcW w:w="680" w:type="dxa"/>
            <w:tcBorders>
              <w:top w:val="nil"/>
              <w:left w:val="nil"/>
              <w:bottom w:val="nil"/>
              <w:right w:val="nil"/>
            </w:tcBorders>
            <w:shd w:val="clear" w:color="auto" w:fill="auto"/>
            <w:noWrap/>
            <w:vAlign w:val="center"/>
            <w:hideMark/>
          </w:tcPr>
          <w:p w:rsidR="00E40415" w:rsidRPr="00BB0D8E"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1</m:t>
                    </m:r>
                  </m:sub>
                </m:sSub>
              </m:oMath>
            </m:oMathPara>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0.095</w:t>
            </w:r>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0.1028</w:t>
            </w: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0.3552</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0.3626</w:t>
            </w:r>
            <w:r w:rsidR="00B311A9">
              <w:rPr>
                <w:rFonts w:ascii="Times New Roman" w:eastAsia="Times New Roman" w:hAnsi="Times New Roman" w:cs="Times New Roman"/>
                <w:color w:val="000000"/>
                <w:sz w:val="16"/>
                <w:szCs w:val="16"/>
                <w:lang w:eastAsia="fr-FR"/>
              </w:rPr>
              <w:t>*</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0.1072</w:t>
            </w:r>
          </w:p>
        </w:tc>
        <w:tc>
          <w:tcPr>
            <w:tcW w:w="62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0.0007</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0.0042</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0.1325</w:t>
            </w:r>
          </w:p>
        </w:tc>
        <w:tc>
          <w:tcPr>
            <w:tcW w:w="6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0.9745</w:t>
            </w:r>
          </w:p>
        </w:tc>
      </w:tr>
      <w:tr w:rsidR="00E40415" w:rsidRPr="00E54BC6" w:rsidTr="001579B5">
        <w:trPr>
          <w:trHeight w:val="225"/>
          <w:jc w:val="center"/>
        </w:trPr>
        <w:tc>
          <w:tcPr>
            <w:tcW w:w="680" w:type="dxa"/>
            <w:tcBorders>
              <w:top w:val="nil"/>
              <w:left w:val="nil"/>
              <w:bottom w:val="nil"/>
              <w:right w:val="nil"/>
            </w:tcBorders>
            <w:shd w:val="clear" w:color="auto" w:fill="auto"/>
            <w:noWrap/>
            <w:vAlign w:val="center"/>
            <w:hideMark/>
          </w:tcPr>
          <w:p w:rsidR="00E40415" w:rsidRPr="00BB0D8E"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2</m:t>
                    </m:r>
                  </m:sub>
                </m:sSub>
              </m:oMath>
            </m:oMathPara>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0.0792</w:t>
            </w:r>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0.0754</w:t>
            </w: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0.2933</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0.0576</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0.0781</w:t>
            </w:r>
          </w:p>
        </w:tc>
        <w:tc>
          <w:tcPr>
            <w:tcW w:w="62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0.4606</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-0.0587</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0.0823</w:t>
            </w:r>
          </w:p>
        </w:tc>
        <w:tc>
          <w:tcPr>
            <w:tcW w:w="6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0.4757</w:t>
            </w:r>
          </w:p>
        </w:tc>
      </w:tr>
      <w:tr w:rsidR="00E40415" w:rsidRPr="00E54BC6" w:rsidTr="001579B5">
        <w:trPr>
          <w:trHeight w:val="225"/>
          <w:jc w:val="center"/>
        </w:trPr>
        <w:tc>
          <w:tcPr>
            <w:tcW w:w="680" w:type="dxa"/>
            <w:tcBorders>
              <w:top w:val="nil"/>
              <w:left w:val="nil"/>
              <w:bottom w:val="nil"/>
              <w:right w:val="nil"/>
            </w:tcBorders>
            <w:shd w:val="clear" w:color="auto" w:fill="auto"/>
            <w:noWrap/>
            <w:vAlign w:val="center"/>
            <w:hideMark/>
          </w:tcPr>
          <w:p w:rsidR="00E40415" w:rsidRPr="00BB0D8E"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3</m:t>
                    </m:r>
                  </m:sub>
                </m:sSub>
              </m:oMath>
            </m:oMathPara>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0.0156</w:t>
            </w:r>
          </w:p>
        </w:tc>
        <w:tc>
          <w:tcPr>
            <w:tcW w:w="76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0.0709</w:t>
            </w: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0.8256</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0.2832</w:t>
            </w:r>
            <w:r w:rsidR="00B311A9">
              <w:rPr>
                <w:rFonts w:ascii="Times New Roman" w:eastAsia="Times New Roman" w:hAnsi="Times New Roman" w:cs="Times New Roman"/>
                <w:color w:val="000000"/>
                <w:sz w:val="16"/>
                <w:szCs w:val="16"/>
                <w:lang w:eastAsia="fr-FR"/>
              </w:rPr>
              <w:t>*</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0.0735</w:t>
            </w:r>
          </w:p>
        </w:tc>
        <w:tc>
          <w:tcPr>
            <w:tcW w:w="62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0.0001</w:t>
            </w:r>
          </w:p>
        </w:tc>
        <w:tc>
          <w:tcPr>
            <w:tcW w:w="180" w:type="dxa"/>
            <w:tcBorders>
              <w:top w:val="nil"/>
              <w:left w:val="nil"/>
              <w:bottom w:val="nil"/>
              <w:right w:val="nil"/>
            </w:tcBorders>
            <w:shd w:val="clear" w:color="auto" w:fill="auto"/>
            <w:noWrap/>
            <w:vAlign w:val="bottom"/>
            <w:hideMark/>
          </w:tcPr>
          <w:p w:rsidR="00E40415" w:rsidRPr="00E54BC6" w:rsidRDefault="00E40415" w:rsidP="00E54BC6">
            <w:pPr>
              <w:jc w:val="left"/>
              <w:rPr>
                <w:rFonts w:ascii="Calibri" w:eastAsia="Times New Roman" w:hAnsi="Calibri" w:cs="Arial"/>
                <w:lang w:eastAsia="fr-FR"/>
              </w:rPr>
            </w:pPr>
          </w:p>
        </w:tc>
        <w:tc>
          <w:tcPr>
            <w:tcW w:w="70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0.0383</w:t>
            </w:r>
          </w:p>
        </w:tc>
        <w:tc>
          <w:tcPr>
            <w:tcW w:w="732"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0.1041</w:t>
            </w:r>
          </w:p>
        </w:tc>
        <w:tc>
          <w:tcPr>
            <w:tcW w:w="640" w:type="dxa"/>
            <w:tcBorders>
              <w:top w:val="nil"/>
              <w:left w:val="nil"/>
              <w:bottom w:val="nil"/>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0.713</w:t>
            </w:r>
            <w:r w:rsidR="008C3A95">
              <w:rPr>
                <w:rFonts w:ascii="Times New Roman" w:eastAsia="Times New Roman" w:hAnsi="Times New Roman" w:cs="Times New Roman"/>
                <w:color w:val="000000"/>
                <w:sz w:val="16"/>
                <w:szCs w:val="16"/>
                <w:lang w:eastAsia="fr-FR"/>
              </w:rPr>
              <w:t>0</w:t>
            </w:r>
          </w:p>
        </w:tc>
      </w:tr>
      <w:tr w:rsidR="00E40415" w:rsidRPr="00E54BC6" w:rsidTr="001579B5">
        <w:trPr>
          <w:trHeight w:val="225"/>
          <w:jc w:val="center"/>
        </w:trPr>
        <w:tc>
          <w:tcPr>
            <w:tcW w:w="680" w:type="dxa"/>
            <w:tcBorders>
              <w:top w:val="nil"/>
              <w:left w:val="nil"/>
              <w:bottom w:val="single" w:sz="8" w:space="0" w:color="auto"/>
              <w:right w:val="nil"/>
            </w:tcBorders>
            <w:shd w:val="clear" w:color="auto" w:fill="auto"/>
            <w:noWrap/>
            <w:vAlign w:val="center"/>
            <w:hideMark/>
          </w:tcPr>
          <w:p w:rsidR="00E40415" w:rsidRPr="00BB0D8E" w:rsidRDefault="00194326" w:rsidP="001579B5">
            <w:pPr>
              <w:rPr>
                <w:rFonts w:ascii="Times New Roman" w:eastAsia="Times New Roman" w:hAnsi="Times New Roman" w:cs="Times New Roman"/>
                <w:color w:val="000000"/>
                <w:sz w:val="16"/>
                <w:szCs w:val="16"/>
                <w:lang w:eastAsia="fr-FR"/>
              </w:rPr>
            </w:pPr>
            <m:oMathPara>
              <m:oMath>
                <m:sSup>
                  <m:sSupPr>
                    <m:ctrlPr>
                      <w:rPr>
                        <w:rFonts w:ascii="Cambria Math" w:eastAsia="Times New Roman" w:hAnsi="Cambria Math" w:cs="Times New Roman"/>
                        <w:i/>
                        <w:color w:val="000000"/>
                        <w:sz w:val="16"/>
                        <w:szCs w:val="16"/>
                        <w:lang w:eastAsia="fr-FR"/>
                      </w:rPr>
                    </m:ctrlPr>
                  </m:sSupPr>
                  <m:e>
                    <m:r>
                      <w:rPr>
                        <w:rFonts w:ascii="Cambria Math" w:eastAsia="Times New Roman" w:hAnsi="Cambria Math" w:cs="Times New Roman"/>
                        <w:color w:val="000000"/>
                        <w:sz w:val="16"/>
                        <w:szCs w:val="16"/>
                        <w:lang w:eastAsia="fr-FR"/>
                      </w:rPr>
                      <m:t>χ</m:t>
                    </m:r>
                  </m:e>
                  <m:sup>
                    <m:r>
                      <w:rPr>
                        <w:rFonts w:ascii="Cambria Math" w:eastAsia="Times New Roman" w:hAnsi="Cambria Math" w:cs="Times New Roman"/>
                        <w:color w:val="000000"/>
                        <w:sz w:val="16"/>
                        <w:szCs w:val="16"/>
                        <w:lang w:eastAsia="fr-FR"/>
                      </w:rPr>
                      <m:t>2</m:t>
                    </m:r>
                  </m:sup>
                </m:sSup>
                <m:r>
                  <w:rPr>
                    <w:rFonts w:ascii="Cambria Math" w:eastAsia="Times New Roman" w:hAnsi="Cambria Math" w:cs="Times New Roman"/>
                    <w:color w:val="000000"/>
                    <w:sz w:val="16"/>
                    <w:szCs w:val="16"/>
                    <w:lang w:eastAsia="fr-FR"/>
                  </w:rPr>
                  <m:t>(3)</m:t>
                </m:r>
              </m:oMath>
            </m:oMathPara>
          </w:p>
        </w:tc>
        <w:tc>
          <w:tcPr>
            <w:tcW w:w="76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1.1743</w:t>
            </w:r>
          </w:p>
        </w:tc>
        <w:tc>
          <w:tcPr>
            <w:tcW w:w="76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_</w:t>
            </w:r>
          </w:p>
        </w:tc>
        <w:tc>
          <w:tcPr>
            <w:tcW w:w="70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0.7591</w:t>
            </w:r>
          </w:p>
        </w:tc>
        <w:tc>
          <w:tcPr>
            <w:tcW w:w="18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 </w:t>
            </w:r>
          </w:p>
        </w:tc>
        <w:tc>
          <w:tcPr>
            <w:tcW w:w="74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16.5913</w:t>
            </w:r>
            <w:r w:rsidR="00B311A9">
              <w:rPr>
                <w:rFonts w:ascii="Times New Roman" w:eastAsia="Times New Roman" w:hAnsi="Times New Roman" w:cs="Times New Roman"/>
                <w:color w:val="000000"/>
                <w:sz w:val="16"/>
                <w:szCs w:val="16"/>
                <w:lang w:eastAsia="fr-FR"/>
              </w:rPr>
              <w:t>*</w:t>
            </w:r>
          </w:p>
        </w:tc>
        <w:tc>
          <w:tcPr>
            <w:tcW w:w="732"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_</w:t>
            </w:r>
          </w:p>
        </w:tc>
        <w:tc>
          <w:tcPr>
            <w:tcW w:w="62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0.0008</w:t>
            </w:r>
          </w:p>
        </w:tc>
        <w:tc>
          <w:tcPr>
            <w:tcW w:w="18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 </w:t>
            </w:r>
          </w:p>
        </w:tc>
        <w:tc>
          <w:tcPr>
            <w:tcW w:w="70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1.3849</w:t>
            </w:r>
          </w:p>
        </w:tc>
        <w:tc>
          <w:tcPr>
            <w:tcW w:w="732"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_</w:t>
            </w:r>
          </w:p>
        </w:tc>
        <w:tc>
          <w:tcPr>
            <w:tcW w:w="640" w:type="dxa"/>
            <w:tcBorders>
              <w:top w:val="nil"/>
              <w:left w:val="nil"/>
              <w:bottom w:val="single" w:sz="8" w:space="0" w:color="auto"/>
              <w:right w:val="nil"/>
            </w:tcBorders>
            <w:shd w:val="clear" w:color="auto" w:fill="auto"/>
            <w:noWrap/>
            <w:vAlign w:val="bottom"/>
            <w:hideMark/>
          </w:tcPr>
          <w:p w:rsidR="00E40415" w:rsidRPr="00E54BC6" w:rsidRDefault="00E40415" w:rsidP="00E54BC6">
            <w:pPr>
              <w:rPr>
                <w:rFonts w:ascii="Times New Roman" w:eastAsia="Times New Roman" w:hAnsi="Times New Roman" w:cs="Times New Roman"/>
                <w:color w:val="000000"/>
                <w:sz w:val="16"/>
                <w:szCs w:val="16"/>
                <w:lang w:eastAsia="fr-FR"/>
              </w:rPr>
            </w:pPr>
            <w:r w:rsidRPr="00E54BC6">
              <w:rPr>
                <w:rFonts w:ascii="Times New Roman" w:eastAsia="Times New Roman" w:hAnsi="Times New Roman" w:cs="Times New Roman"/>
                <w:color w:val="000000"/>
                <w:sz w:val="16"/>
                <w:szCs w:val="16"/>
                <w:lang w:eastAsia="fr-FR"/>
              </w:rPr>
              <w:t>0.709</w:t>
            </w:r>
            <w:r w:rsidR="008C3A95">
              <w:rPr>
                <w:rFonts w:ascii="Times New Roman" w:eastAsia="Times New Roman" w:hAnsi="Times New Roman" w:cs="Times New Roman"/>
                <w:color w:val="000000"/>
                <w:sz w:val="16"/>
                <w:szCs w:val="16"/>
                <w:lang w:eastAsia="fr-FR"/>
              </w:rPr>
              <w:t>0</w:t>
            </w:r>
          </w:p>
        </w:tc>
      </w:tr>
    </w:tbl>
    <w:p w:rsidR="00E54BC6" w:rsidRPr="000F3631" w:rsidRDefault="00E54BC6" w:rsidP="00EE111C">
      <w:pPr>
        <w:pStyle w:val="Lgende"/>
        <w:spacing w:after="0"/>
        <w:ind w:left="454" w:right="454"/>
        <w:jc w:val="both"/>
        <w:rPr>
          <w:rFonts w:asciiTheme="majorBidi" w:hAnsiTheme="majorBidi" w:cstheme="majorBidi"/>
          <w:bCs w:val="0"/>
          <w:color w:val="auto"/>
          <w:sz w:val="16"/>
          <w:szCs w:val="16"/>
          <w:lang w:val="en-US"/>
        </w:rPr>
      </w:pPr>
      <w:r>
        <w:rPr>
          <w:rFonts w:asciiTheme="majorBidi" w:hAnsiTheme="majorBidi" w:cstheme="majorBidi"/>
          <w:color w:val="auto"/>
          <w:sz w:val="16"/>
          <w:szCs w:val="16"/>
          <w:lang w:val="en-US"/>
        </w:rPr>
        <w:t xml:space="preserve">          Note</w:t>
      </w:r>
      <w:r w:rsidRPr="000F3631">
        <w:rPr>
          <w:rFonts w:asciiTheme="majorBidi" w:hAnsiTheme="majorBidi" w:cstheme="majorBidi"/>
          <w:color w:val="auto"/>
          <w:sz w:val="16"/>
          <w:szCs w:val="16"/>
          <w:lang w:val="en-US"/>
        </w:rPr>
        <w:t>:</w:t>
      </w:r>
      <w:r w:rsidRPr="000F3631">
        <w:rPr>
          <w:rFonts w:asciiTheme="majorBidi" w:hAnsiTheme="majorBidi" w:cstheme="majorBidi"/>
          <w:b w:val="0"/>
          <w:bCs w:val="0"/>
          <w:color w:val="auto"/>
          <w:sz w:val="16"/>
          <w:szCs w:val="16"/>
          <w:lang w:val="en-US"/>
        </w:rPr>
        <w:t xml:space="preserve"> The superscripts *, ** and *** denote the level significance at 1%, 5% and 10%, respectively.</w:t>
      </w:r>
    </w:p>
    <w:p w:rsidR="001B6BC9" w:rsidRDefault="001B6BC9" w:rsidP="0023779A">
      <w:pPr>
        <w:jc w:val="left"/>
        <w:rPr>
          <w:lang w:val="en-US"/>
        </w:rPr>
      </w:pPr>
    </w:p>
    <w:p w:rsidR="00B25C56" w:rsidRPr="00EE111C" w:rsidRDefault="00B80962" w:rsidP="0068758C">
      <w:pPr>
        <w:autoSpaceDE w:val="0"/>
        <w:autoSpaceDN w:val="0"/>
        <w:adjustRightInd w:val="0"/>
        <w:ind w:firstLine="340"/>
        <w:jc w:val="both"/>
        <w:rPr>
          <w:rFonts w:asciiTheme="majorBidi" w:hAnsiTheme="majorBidi" w:cstheme="majorBidi"/>
          <w:lang w:val="en-US"/>
        </w:rPr>
      </w:pPr>
      <w:r w:rsidRPr="00EE111C">
        <w:rPr>
          <w:rFonts w:asciiTheme="majorBidi" w:hAnsiTheme="majorBidi" w:cstheme="majorBidi"/>
          <w:lang w:val="en-US"/>
        </w:rPr>
        <w:lastRenderedPageBreak/>
        <w:t>Table 5</w:t>
      </w:r>
      <w:r w:rsidR="00B25C56" w:rsidRPr="00EE111C">
        <w:rPr>
          <w:rFonts w:asciiTheme="majorBidi" w:hAnsiTheme="majorBidi" w:cstheme="majorBidi"/>
          <w:lang w:val="en-US"/>
        </w:rPr>
        <w:t xml:space="preserve"> reports the results of Engle-Ng tests. As shown in the table, the </w:t>
      </w:r>
      <m:oMath>
        <m:sSup>
          <m:sSupPr>
            <m:ctrlPr>
              <w:rPr>
                <w:rFonts w:ascii="Cambria Math" w:hAnsi="Cambria Math" w:cstheme="majorBidi"/>
                <w:lang w:val="en-US"/>
              </w:rPr>
            </m:ctrlPr>
          </m:sSupPr>
          <m:e>
            <m:r>
              <m:rPr>
                <m:sty m:val="p"/>
              </m:rPr>
              <w:rPr>
                <w:rFonts w:ascii="Cambria Math" w:hAnsi="Cambria Math" w:cstheme="majorBidi"/>
                <w:lang w:val="en-US"/>
              </w:rPr>
              <m:t>χ</m:t>
            </m:r>
          </m:e>
          <m:sup>
            <m:r>
              <m:rPr>
                <m:sty m:val="p"/>
              </m:rPr>
              <w:rPr>
                <w:rFonts w:ascii="Cambria Math" w:hAnsi="Cambria Math" w:cstheme="majorBidi"/>
                <w:lang w:val="en-US"/>
              </w:rPr>
              <m:t>2</m:t>
            </m:r>
          </m:sup>
        </m:sSup>
        <m:r>
          <m:rPr>
            <m:sty m:val="p"/>
          </m:rPr>
          <w:rPr>
            <w:rFonts w:ascii="Cambria Math" w:hAnsi="Cambria Math" w:cstheme="majorBidi"/>
            <w:lang w:val="en-US"/>
          </w:rPr>
          <m:t>(3)</m:t>
        </m:r>
      </m:oMath>
      <w:r w:rsidR="00B25C56" w:rsidRPr="00EE111C">
        <w:rPr>
          <w:rFonts w:asciiTheme="majorBidi" w:hAnsiTheme="majorBidi" w:cstheme="majorBidi"/>
          <w:lang w:val="en-US"/>
        </w:rPr>
        <w:t xml:space="preserve"> joint test statistics demonstrates a very rejection of the null </w:t>
      </w:r>
      <w:r w:rsidR="00575EE4" w:rsidRPr="00EE111C">
        <w:rPr>
          <w:rFonts w:asciiTheme="majorBidi" w:hAnsiTheme="majorBidi" w:cstheme="majorBidi"/>
          <w:lang w:val="en-US"/>
        </w:rPr>
        <w:t xml:space="preserve">of no asymmetries for </w:t>
      </w:r>
      <m:oMath>
        <m:sSub>
          <m:sSubPr>
            <m:ctrlPr>
              <w:rPr>
                <w:rFonts w:ascii="Cambria Math" w:hAnsi="Cambria Math" w:cstheme="majorBid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USDEUR,CAC40</m:t>
            </m:r>
          </m:sub>
        </m:sSub>
      </m:oMath>
      <w:r w:rsidR="00575EE4" w:rsidRPr="00EE111C">
        <w:rPr>
          <w:rFonts w:asciiTheme="majorBidi" w:hAnsiTheme="majorBidi" w:cstheme="majorBidi"/>
          <w:lang w:val="en-US"/>
        </w:rPr>
        <w:t xml:space="preserve"> series</w:t>
      </w:r>
      <w:r w:rsidR="00C657AE" w:rsidRPr="00EE111C">
        <w:rPr>
          <w:rFonts w:asciiTheme="majorBidi" w:hAnsiTheme="majorBidi" w:cstheme="majorBidi"/>
          <w:lang w:val="en-US"/>
        </w:rPr>
        <w:t xml:space="preserve"> and the acceptance of the null hypothesis of no asymmetries for </w:t>
      </w:r>
      <m:oMath>
        <m:sSub>
          <m:sSubPr>
            <m:ctrlPr>
              <w:rPr>
                <w:rFonts w:ascii="Cambria Math" w:hAnsi="Cambria Math" w:cstheme="majorBid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USDEUR,DAX30</m:t>
            </m:r>
          </m:sub>
        </m:sSub>
      </m:oMath>
      <w:r w:rsidR="00C657AE" w:rsidRPr="00EE111C">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USDEUR,FTSE100</m:t>
            </m:r>
          </m:sub>
        </m:sSub>
      </m:oMath>
      <w:r w:rsidR="00B25C56" w:rsidRPr="00EE111C">
        <w:rPr>
          <w:rFonts w:asciiTheme="majorBidi" w:hAnsiTheme="majorBidi" w:cstheme="majorBidi"/>
          <w:lang w:val="en-US"/>
        </w:rPr>
        <w:t>. The results overall would thus suggest motivation for estimating</w:t>
      </w:r>
      <w:r w:rsidR="003B32DD" w:rsidRPr="00EE111C">
        <w:rPr>
          <w:rFonts w:asciiTheme="majorBidi" w:hAnsiTheme="majorBidi" w:cstheme="majorBidi"/>
          <w:lang w:val="en-US"/>
        </w:rPr>
        <w:t xml:space="preserve"> symmetric and</w:t>
      </w:r>
      <w:r w:rsidR="00B25C56" w:rsidRPr="00EE111C">
        <w:rPr>
          <w:rFonts w:asciiTheme="majorBidi" w:hAnsiTheme="majorBidi" w:cstheme="majorBidi"/>
          <w:lang w:val="en-US"/>
        </w:rPr>
        <w:t xml:space="preserve"> asymmetric GARCH volatility models, respectively, for these particular series. Furthermore, th</w:t>
      </w:r>
      <w:r w:rsidR="003B32DD" w:rsidRPr="00EE111C">
        <w:rPr>
          <w:rFonts w:asciiTheme="majorBidi" w:hAnsiTheme="majorBidi" w:cstheme="majorBidi"/>
          <w:lang w:val="en-US"/>
        </w:rPr>
        <w:t>e conditional variance equation</w:t>
      </w:r>
      <w:r w:rsidR="00B25C56" w:rsidRPr="00EE111C">
        <w:rPr>
          <w:rFonts w:asciiTheme="majorBidi" w:hAnsiTheme="majorBidi" w:cstheme="majorBidi"/>
          <w:lang w:val="en-US"/>
        </w:rPr>
        <w:t xml:space="preserve"> of th</w:t>
      </w:r>
      <w:r w:rsidR="003B32DD" w:rsidRPr="00EE111C">
        <w:rPr>
          <w:rFonts w:asciiTheme="majorBidi" w:hAnsiTheme="majorBidi" w:cstheme="majorBidi"/>
          <w:lang w:val="en-US"/>
        </w:rPr>
        <w:t>e</w:t>
      </w:r>
      <m:oMath>
        <m:sSub>
          <m:sSubPr>
            <m:ctrlPr>
              <w:rPr>
                <w:rFonts w:ascii="Cambria Math" w:hAnsi="Cambria Math" w:cstheme="majorBid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USDEUR,CAC40</m:t>
            </m:r>
          </m:sub>
        </m:sSub>
      </m:oMath>
      <w:r w:rsidR="003B32DD" w:rsidRPr="00EE111C">
        <w:rPr>
          <w:rFonts w:asciiTheme="majorBidi" w:hAnsiTheme="majorBidi" w:cstheme="majorBidi"/>
          <w:lang w:val="en-US"/>
        </w:rPr>
        <w:t xml:space="preserve"> series is</w:t>
      </w:r>
      <w:r w:rsidR="00B25C56" w:rsidRPr="00EE111C">
        <w:rPr>
          <w:rFonts w:asciiTheme="majorBidi" w:hAnsiTheme="majorBidi" w:cstheme="majorBidi"/>
          <w:lang w:val="en-US"/>
        </w:rPr>
        <w:t xml:space="preserve"> assumed to follow an asymmetric GARCH specification under a student distributed innovations. In our analysis, we choose the student-t-EGARCH(1,1) model (</w:t>
      </w:r>
      <w:r w:rsidR="00B25C56" w:rsidRPr="00EE111C">
        <w:rPr>
          <w:rFonts w:asciiTheme="majorBidi" w:hAnsiTheme="majorBidi" w:cstheme="majorBidi"/>
          <w:color w:val="4F81BD" w:themeColor="accent1"/>
          <w:lang w:val="en-US"/>
        </w:rPr>
        <w:t>Nelson.,1991</w:t>
      </w:r>
      <w:r w:rsidR="00B25C56" w:rsidRPr="00EE111C">
        <w:rPr>
          <w:rFonts w:asciiTheme="majorBidi" w:hAnsiTheme="majorBidi" w:cstheme="majorBidi"/>
          <w:lang w:val="en-US"/>
        </w:rPr>
        <w:t>) including the dummy variables identified by the economic approach:</w:t>
      </w:r>
    </w:p>
    <w:p w:rsidR="00B25C56" w:rsidRPr="00EE111C" w:rsidRDefault="00B25C56" w:rsidP="00A07B0E">
      <w:pPr>
        <w:autoSpaceDE w:val="0"/>
        <w:autoSpaceDN w:val="0"/>
        <w:adjustRightInd w:val="0"/>
        <w:jc w:val="both"/>
        <w:rPr>
          <w:rFonts w:asciiTheme="majorBidi" w:hAnsiTheme="majorBidi" w:cstheme="majorBidi"/>
          <w:lang w:val="en-US"/>
        </w:rPr>
      </w:pPr>
    </w:p>
    <w:p w:rsidR="00B25C56" w:rsidRPr="00EE111C" w:rsidRDefault="0068758C" w:rsidP="00A07B0E">
      <w:pPr>
        <w:autoSpaceDE w:val="0"/>
        <w:autoSpaceDN w:val="0"/>
        <w:adjustRightInd w:val="0"/>
        <w:jc w:val="both"/>
        <w:rPr>
          <w:rFonts w:asciiTheme="majorBidi" w:hAnsiTheme="majorBidi" w:cstheme="majorBidi"/>
          <w:lang w:val="en-US"/>
        </w:rPr>
      </w:pPr>
      <w:r>
        <w:rPr>
          <w:rFonts w:asciiTheme="majorBidi" w:eastAsiaTheme="minorEastAsia" w:hAnsiTheme="majorBidi" w:cstheme="majorBidi"/>
          <w:lang w:val="en-US"/>
        </w:rPr>
        <w:tab/>
      </w:r>
      <m:oMath>
        <m:sSub>
          <m:sSubPr>
            <m:ctrlPr>
              <w:rPr>
                <w:rFonts w:ascii="Cambria Math" w:hAnsi="Cambria Math" w:cstheme="majorBidi"/>
                <w:lang w:val="en-US"/>
              </w:rPr>
            </m:ctrlPr>
          </m:sSubPr>
          <m:e>
            <m:r>
              <m:rPr>
                <m:sty m:val="p"/>
              </m:rPr>
              <w:rPr>
                <w:rFonts w:ascii="Cambria Math" w:hAnsi="Cambria Math" w:cstheme="majorBidi"/>
                <w:lang w:val="en-US"/>
              </w:rPr>
              <m:t>ln⁡(h</m:t>
            </m:r>
          </m:e>
          <m:sub>
            <m:r>
              <m:rPr>
                <m:sty m:val="p"/>
              </m:rPr>
              <w:rPr>
                <w:rFonts w:ascii="Cambria Math" w:hAnsi="Cambria Math" w:cstheme="majorBidi"/>
                <w:lang w:val="en-US"/>
              </w:rPr>
              <m:t>ij,t</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A</m:t>
            </m:r>
          </m:e>
          <m:sub>
            <m:r>
              <m:rPr>
                <m:sty m:val="p"/>
              </m:rPr>
              <w:rPr>
                <w:rFonts w:ascii="Cambria Math" w:hAnsi="Cambria Math" w:cstheme="majorBidi"/>
                <w:lang w:val="en-US"/>
              </w:rPr>
              <m:t>0</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A</m:t>
            </m:r>
          </m:e>
          <m:sub>
            <m:r>
              <m:rPr>
                <m:sty m:val="p"/>
              </m:rPr>
              <w:rPr>
                <w:rFonts w:ascii="Cambria Math" w:hAnsi="Cambria Math" w:cstheme="majorBidi"/>
                <w:lang w:val="en-US"/>
              </w:rPr>
              <m:t xml:space="preserve">1 </m:t>
            </m:r>
          </m:sub>
        </m:sSub>
        <m:d>
          <m:dPr>
            <m:begChr m:val="["/>
            <m:endChr m:val="]"/>
            <m:ctrlPr>
              <w:rPr>
                <w:rFonts w:ascii="Cambria Math" w:hAnsi="Cambria Math" w:cstheme="majorBidi"/>
                <w:lang w:val="en-US"/>
              </w:rPr>
            </m:ctrlPr>
          </m:dPr>
          <m:e>
            <m:f>
              <m:fPr>
                <m:ctrlPr>
                  <w:rPr>
                    <w:rFonts w:ascii="Cambria Math" w:hAnsi="Cambria Math" w:cstheme="majorBidi"/>
                    <w:lang w:val="en-US"/>
                  </w:rPr>
                </m:ctrlPr>
              </m:fPr>
              <m:num>
                <m:d>
                  <m:dPr>
                    <m:begChr m:val="|"/>
                    <m:endChr m:val="|"/>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ε</m:t>
                        </m:r>
                      </m:e>
                      <m:sub>
                        <m:r>
                          <m:rPr>
                            <m:sty m:val="p"/>
                          </m:rPr>
                          <w:rPr>
                            <w:rFonts w:ascii="Cambria Math" w:hAnsi="Cambria Math" w:cstheme="majorBidi"/>
                            <w:lang w:val="en-US"/>
                          </w:rPr>
                          <m:t>t-1</m:t>
                        </m:r>
                      </m:sub>
                    </m:sSub>
                  </m:e>
                </m:d>
              </m:num>
              <m:den>
                <m:rad>
                  <m:radPr>
                    <m:degHide m:val="on"/>
                    <m:ctrlPr>
                      <w:rPr>
                        <w:rFonts w:ascii="Cambria Math" w:hAnsi="Cambria Math" w:cstheme="majorBidi"/>
                        <w:lang w:val="en-US"/>
                      </w:rPr>
                    </m:ctrlPr>
                  </m:radPr>
                  <m:deg/>
                  <m:e>
                    <m:sSub>
                      <m:sSubPr>
                        <m:ctrlPr>
                          <w:rPr>
                            <w:rFonts w:ascii="Cambria Math" w:hAnsi="Cambria Math" w:cstheme="majorBidi"/>
                            <w:lang w:val="en-US"/>
                          </w:rPr>
                        </m:ctrlPr>
                      </m:sSubPr>
                      <m:e>
                        <m:r>
                          <m:rPr>
                            <m:sty m:val="p"/>
                          </m:rPr>
                          <w:rPr>
                            <w:rFonts w:ascii="Cambria Math" w:hAnsi="Cambria Math" w:cstheme="majorBidi"/>
                            <w:lang w:val="en-US"/>
                          </w:rPr>
                          <m:t>h</m:t>
                        </m:r>
                      </m:e>
                      <m:sub>
                        <m:r>
                          <m:rPr>
                            <m:sty m:val="p"/>
                          </m:rPr>
                          <w:rPr>
                            <w:rFonts w:ascii="Cambria Math" w:hAnsi="Cambria Math" w:cstheme="majorBidi"/>
                            <w:lang w:val="en-US"/>
                          </w:rPr>
                          <m:t>t-1</m:t>
                        </m:r>
                      </m:sub>
                    </m:sSub>
                  </m:e>
                </m:rad>
              </m:den>
            </m:f>
            <m:r>
              <m:rPr>
                <m:sty m:val="p"/>
              </m:rPr>
              <w:rPr>
                <w:rFonts w:ascii="Cambria Math" w:hAnsi="Cambria Math" w:cstheme="majorBidi"/>
                <w:lang w:val="en-US"/>
              </w:rPr>
              <m:t>-</m:t>
            </m:r>
            <m:rad>
              <m:radPr>
                <m:degHide m:val="on"/>
                <m:ctrlPr>
                  <w:rPr>
                    <w:rFonts w:ascii="Cambria Math" w:hAnsi="Cambria Math" w:cstheme="majorBidi"/>
                    <w:lang w:val="en-US"/>
                  </w:rPr>
                </m:ctrlPr>
              </m:radPr>
              <m:deg/>
              <m:e>
                <m:f>
                  <m:fPr>
                    <m:ctrlPr>
                      <w:rPr>
                        <w:rFonts w:ascii="Cambria Math" w:hAnsi="Cambria Math" w:cstheme="majorBidi"/>
                        <w:lang w:val="en-US"/>
                      </w:rPr>
                    </m:ctrlPr>
                  </m:fPr>
                  <m:num>
                    <m:r>
                      <m:rPr>
                        <m:sty m:val="p"/>
                      </m:rPr>
                      <w:rPr>
                        <w:rFonts w:ascii="Cambria Math" w:hAnsi="Cambria Math" w:cstheme="majorBidi"/>
                        <w:lang w:val="en-US"/>
                      </w:rPr>
                      <m:t>2</m:t>
                    </m:r>
                  </m:num>
                  <m:den>
                    <m:r>
                      <m:rPr>
                        <m:sty m:val="p"/>
                      </m:rPr>
                      <w:rPr>
                        <w:rFonts w:ascii="Cambria Math" w:hAnsi="Cambria Math" w:cstheme="majorBidi"/>
                        <w:lang w:val="en-US"/>
                      </w:rPr>
                      <m:t>π</m:t>
                    </m:r>
                  </m:den>
                </m:f>
              </m:e>
            </m:rad>
          </m:e>
        </m:d>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B</m:t>
            </m:r>
          </m:e>
          <m:sub>
            <m:r>
              <m:rPr>
                <m:sty m:val="p"/>
              </m:rPr>
              <w:rPr>
                <w:rFonts w:ascii="Cambria Math" w:hAnsi="Cambria Math" w:cstheme="majorBidi"/>
                <w:lang w:val="en-US"/>
              </w:rPr>
              <m:t>1</m:t>
            </m:r>
          </m:sub>
        </m:sSub>
        <m:sSub>
          <m:sSubPr>
            <m:ctrlPr>
              <w:rPr>
                <w:rFonts w:ascii="Cambria Math" w:hAnsi="Cambria Math" w:cstheme="majorBidi"/>
                <w:lang w:val="en-US"/>
              </w:rPr>
            </m:ctrlPr>
          </m:sSubPr>
          <m:e>
            <m:r>
              <m:rPr>
                <m:sty m:val="p"/>
              </m:rPr>
              <w:rPr>
                <w:rFonts w:ascii="Cambria Math" w:hAnsi="Cambria Math" w:cstheme="majorBidi"/>
                <w:lang w:val="en-US"/>
              </w:rPr>
              <m:t>ln⁡(h</m:t>
            </m:r>
          </m:e>
          <m:sub>
            <m:r>
              <m:rPr>
                <m:sty m:val="p"/>
              </m:rPr>
              <w:rPr>
                <w:rFonts w:ascii="Cambria Math" w:hAnsi="Cambria Math" w:cstheme="majorBidi"/>
                <w:lang w:val="en-US"/>
              </w:rPr>
              <m:t>ij,t-1</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1</m:t>
            </m:r>
          </m:sub>
        </m:sSub>
        <m:f>
          <m:fPr>
            <m:ctrlPr>
              <w:rPr>
                <w:rFonts w:ascii="Cambria Math" w:hAnsi="Cambria Math" w:cstheme="majorBidi"/>
                <w:lang w:val="en-US"/>
              </w:rPr>
            </m:ctrlPr>
          </m:fPr>
          <m:num>
            <m:sSub>
              <m:sSubPr>
                <m:ctrlPr>
                  <w:rPr>
                    <w:rFonts w:ascii="Cambria Math" w:hAnsi="Cambria Math" w:cstheme="majorBidi"/>
                    <w:lang w:val="en-US"/>
                  </w:rPr>
                </m:ctrlPr>
              </m:sSubPr>
              <m:e>
                <m:r>
                  <m:rPr>
                    <m:sty m:val="p"/>
                  </m:rPr>
                  <w:rPr>
                    <w:rFonts w:ascii="Cambria Math" w:hAnsi="Cambria Math" w:cstheme="majorBidi"/>
                    <w:lang w:val="en-US"/>
                  </w:rPr>
                  <m:t>ε</m:t>
                </m:r>
              </m:e>
              <m:sub>
                <m:r>
                  <m:rPr>
                    <m:sty m:val="p"/>
                  </m:rPr>
                  <w:rPr>
                    <w:rFonts w:ascii="Cambria Math" w:hAnsi="Cambria Math" w:cstheme="majorBidi"/>
                    <w:lang w:val="en-US"/>
                  </w:rPr>
                  <m:t>t-1</m:t>
                </m:r>
              </m:sub>
            </m:sSub>
          </m:num>
          <m:den>
            <m:rad>
              <m:radPr>
                <m:degHide m:val="on"/>
                <m:ctrlPr>
                  <w:rPr>
                    <w:rFonts w:ascii="Cambria Math" w:hAnsi="Cambria Math" w:cstheme="majorBidi"/>
                    <w:lang w:val="en-US"/>
                  </w:rPr>
                </m:ctrlPr>
              </m:radPr>
              <m:deg/>
              <m:e>
                <m:sSub>
                  <m:sSubPr>
                    <m:ctrlPr>
                      <w:rPr>
                        <w:rFonts w:ascii="Cambria Math" w:hAnsi="Cambria Math" w:cstheme="majorBidi"/>
                        <w:lang w:val="en-US"/>
                      </w:rPr>
                    </m:ctrlPr>
                  </m:sSubPr>
                  <m:e>
                    <m:r>
                      <m:rPr>
                        <m:sty m:val="p"/>
                      </m:rPr>
                      <w:rPr>
                        <w:rFonts w:ascii="Cambria Math" w:hAnsi="Cambria Math" w:cstheme="majorBidi"/>
                        <w:lang w:val="en-US"/>
                      </w:rPr>
                      <m:t>h</m:t>
                    </m:r>
                  </m:e>
                  <m:sub>
                    <m:r>
                      <m:rPr>
                        <m:sty m:val="p"/>
                      </m:rPr>
                      <w:rPr>
                        <w:rFonts w:ascii="Cambria Math" w:hAnsi="Cambria Math" w:cstheme="majorBidi"/>
                        <w:lang w:val="en-US"/>
                      </w:rPr>
                      <m:t>t-1</m:t>
                    </m:r>
                  </m:sub>
                </m:sSub>
              </m:e>
            </m:rad>
          </m:den>
        </m:f>
        <m:r>
          <m:rPr>
            <m:sty m:val="p"/>
          </m:rPr>
          <w:rPr>
            <w:rFonts w:ascii="Cambria Math" w:hAnsi="Cambria Math" w:cstheme="majorBidi"/>
            <w:lang w:val="en-US"/>
          </w:rPr>
          <m:t>+</m:t>
        </m:r>
        <m:nary>
          <m:naryPr>
            <m:chr m:val="∑"/>
            <m:limLoc m:val="undOvr"/>
            <m:ctrlPr>
              <w:rPr>
                <w:rFonts w:ascii="Cambria Math" w:hAnsi="Cambria Math" w:cstheme="majorBidi"/>
                <w:lang w:val="en-US"/>
              </w:rPr>
            </m:ctrlPr>
          </m:naryPr>
          <m:sub>
            <m:r>
              <m:rPr>
                <m:sty m:val="p"/>
              </m:rPr>
              <w:rPr>
                <w:rFonts w:ascii="Cambria Math" w:hAnsi="Cambria Math" w:cstheme="majorBidi"/>
                <w:lang w:val="en-US"/>
              </w:rPr>
              <m:t>k=1</m:t>
            </m:r>
          </m:sub>
          <m:sup>
            <m:r>
              <m:rPr>
                <m:sty m:val="p"/>
              </m:rPr>
              <w:rPr>
                <w:rFonts w:ascii="Cambria Math" w:hAnsi="Cambria Math" w:cstheme="majorBidi"/>
                <w:lang w:val="en-US"/>
              </w:rPr>
              <m:t>λ</m:t>
            </m:r>
          </m:sup>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k</m:t>
                </m:r>
              </m:sub>
            </m:sSub>
            <m:sSub>
              <m:sSubPr>
                <m:ctrlPr>
                  <w:rPr>
                    <w:rFonts w:ascii="Cambria Math" w:hAnsi="Cambria Math" w:cstheme="majorBidi"/>
                    <w:lang w:val="en-US"/>
                  </w:rPr>
                </m:ctrlPr>
              </m:sSubPr>
              <m:e>
                <m:r>
                  <m:rPr>
                    <m:sty m:val="p"/>
                  </m:rPr>
                  <w:rPr>
                    <w:rFonts w:ascii="Cambria Math" w:hAnsi="Cambria Math" w:cstheme="majorBidi"/>
                    <w:lang w:val="en-US"/>
                  </w:rPr>
                  <m:t>dummy</m:t>
                </m:r>
              </m:e>
              <m:sub>
                <m:r>
                  <m:rPr>
                    <m:sty m:val="p"/>
                  </m:rPr>
                  <w:rPr>
                    <w:rFonts w:ascii="Cambria Math" w:hAnsi="Cambria Math" w:cstheme="majorBidi"/>
                    <w:lang w:val="en-US"/>
                  </w:rPr>
                  <m:t>k,t</m:t>
                </m:r>
              </m:sub>
            </m:sSub>
          </m:e>
        </m:nary>
      </m:oMath>
      <w:r>
        <w:rPr>
          <w:rFonts w:asciiTheme="majorBidi" w:eastAsiaTheme="minorEastAsia" w:hAnsiTheme="majorBidi" w:cstheme="majorBidi"/>
          <w:lang w:val="en-US"/>
        </w:rPr>
        <w:t xml:space="preserve">           </w:t>
      </w:r>
      <w:r w:rsidR="008C3A95" w:rsidRPr="00EE111C">
        <w:rPr>
          <w:rFonts w:asciiTheme="majorBidi" w:hAnsiTheme="majorBidi" w:cstheme="majorBidi"/>
          <w:lang w:val="en-US"/>
        </w:rPr>
        <w:t>(16</w:t>
      </w:r>
      <w:r w:rsidR="00B25C56" w:rsidRPr="00EE111C">
        <w:rPr>
          <w:rFonts w:asciiTheme="majorBidi" w:hAnsiTheme="majorBidi" w:cstheme="majorBidi"/>
          <w:lang w:val="en-US"/>
        </w:rPr>
        <w:t>)</w:t>
      </w:r>
    </w:p>
    <w:p w:rsidR="0068758C" w:rsidRDefault="0068758C" w:rsidP="00414E1C">
      <w:pPr>
        <w:autoSpaceDE w:val="0"/>
        <w:autoSpaceDN w:val="0"/>
        <w:adjustRightInd w:val="0"/>
        <w:jc w:val="both"/>
        <w:rPr>
          <w:rFonts w:asciiTheme="majorBidi" w:hAnsiTheme="majorBidi" w:cstheme="majorBidi"/>
          <w:lang w:val="en-US"/>
        </w:rPr>
      </w:pPr>
    </w:p>
    <w:p w:rsidR="0068758C" w:rsidRDefault="008C3A95" w:rsidP="0068758C">
      <w:pPr>
        <w:autoSpaceDE w:val="0"/>
        <w:autoSpaceDN w:val="0"/>
        <w:adjustRightInd w:val="0"/>
        <w:ind w:firstLine="340"/>
        <w:jc w:val="both"/>
        <w:rPr>
          <w:rFonts w:asciiTheme="majorBidi" w:hAnsiTheme="majorBidi" w:cstheme="majorBidi"/>
          <w:lang w:val="en-US"/>
        </w:rPr>
      </w:pPr>
      <w:r w:rsidRPr="00EE111C">
        <w:rPr>
          <w:rFonts w:asciiTheme="majorBidi" w:hAnsiTheme="majorBidi" w:cstheme="majorBidi"/>
          <w:lang w:val="en-US"/>
        </w:rPr>
        <w:t>According to Eqs. (11) and (16</w:t>
      </w:r>
      <w:r w:rsidR="00CD6D1A" w:rsidRPr="00EE111C">
        <w:rPr>
          <w:rFonts w:asciiTheme="majorBidi" w:hAnsiTheme="majorBidi" w:cstheme="majorBidi"/>
          <w:lang w:val="en-US"/>
        </w:rPr>
        <w:t xml:space="preserve">), we could analyze whether each phase of the global financial and European sovereign debt crises significantly alter the dynamics of the estimated DCCs and their conditional volatilities. In other words, the statistical significance of the estimated dummy coefficients indicates structural changes in mean and/or variance shifts of the correlation coefficients due to external shocks during the different periods of the two crises. According to </w:t>
      </w:r>
      <w:r w:rsidR="00CD6D1A" w:rsidRPr="00EE111C">
        <w:rPr>
          <w:rFonts w:asciiTheme="majorBidi" w:hAnsiTheme="majorBidi" w:cstheme="majorBidi"/>
          <w:color w:val="4F81BD" w:themeColor="accent1"/>
          <w:lang w:val="en-US"/>
        </w:rPr>
        <w:t>Dimitriou and Kenourgios (2013)</w:t>
      </w:r>
      <w:r w:rsidR="00CD6D1A" w:rsidRPr="00EE111C">
        <w:rPr>
          <w:rFonts w:asciiTheme="majorBidi" w:hAnsiTheme="majorBidi" w:cstheme="majorBidi"/>
          <w:lang w:val="en-US"/>
        </w:rPr>
        <w:t>, a positive and statistically significant dummy coefficient in the mean equation indicates that the correlation during a specific phase of the crisis is significantly different from that of the previous phase, supporting the presence of spillover effects among currencies. This implies that the benefits from portfolio diversification strategies diminish. Furthermore, a positive and statistically significant dummy coefficient in the variance equation indicates a higher volatility of the correlation coefficients. This suggests that the stability of the correlation is less reliable, causing some doubts on using the estimated correlation coefficient as a guide for portfolio decisions.</w:t>
      </w:r>
    </w:p>
    <w:p w:rsidR="0068758C" w:rsidRDefault="00061410" w:rsidP="0068758C">
      <w:pPr>
        <w:autoSpaceDE w:val="0"/>
        <w:autoSpaceDN w:val="0"/>
        <w:adjustRightInd w:val="0"/>
        <w:ind w:firstLine="340"/>
        <w:jc w:val="both"/>
        <w:rPr>
          <w:rFonts w:asciiTheme="majorBidi" w:hAnsiTheme="majorBidi" w:cstheme="majorBidi"/>
          <w:lang w:val="en-US"/>
        </w:rPr>
      </w:pPr>
      <w:r w:rsidRPr="00EE111C">
        <w:rPr>
          <w:rFonts w:asciiTheme="majorBidi" w:hAnsiTheme="majorBidi" w:cstheme="majorBidi"/>
          <w:lang w:val="en-US"/>
        </w:rPr>
        <w:t xml:space="preserve">The estimation results of both student-t-AR(1)-GARCH(1,1) and student-t-AR(1)-EGARCH(1,1) models are displayed in Table 6. The constant terms </w:t>
      </w:r>
      <m:oMath>
        <m:sSub>
          <m:sSubPr>
            <m:ctrlPr>
              <w:rPr>
                <w:rFonts w:ascii="Cambria Math" w:hAnsi="Cambria Math" w:cstheme="majorBidi"/>
                <w:lang w:val="en-US"/>
              </w:rPr>
            </m:ctrlPr>
          </m:sSubPr>
          <m:e>
            <m:r>
              <m:rPr>
                <m:sty m:val="p"/>
              </m:rPr>
              <w:rPr>
                <w:rFonts w:ascii="Cambria Math" w:hAnsi="Cambria Math" w:cstheme="majorBidi"/>
                <w:lang w:val="en-US"/>
              </w:rPr>
              <m:t>ω</m:t>
            </m:r>
          </m:e>
          <m:sub>
            <m:r>
              <m:rPr>
                <m:sty m:val="p"/>
              </m:rPr>
              <w:rPr>
                <w:rFonts w:ascii="Cambria Math" w:hAnsi="Cambria Math" w:cstheme="majorBidi"/>
                <w:lang w:val="en-US"/>
              </w:rPr>
              <m:t>ij</m:t>
            </m:r>
          </m:sub>
        </m:sSub>
      </m:oMath>
      <w:r w:rsidRPr="00EE111C">
        <w:rPr>
          <w:rFonts w:asciiTheme="majorBidi" w:hAnsiTheme="majorBidi" w:cstheme="majorBidi"/>
          <w:lang w:val="en-US"/>
        </w:rPr>
        <w:t xml:space="preserve"> and the autoregressive term (</w:t>
      </w:r>
      <m:oMath>
        <m:sSub>
          <m:sSubPr>
            <m:ctrlPr>
              <w:rPr>
                <w:rFonts w:ascii="Cambria Math" w:hAnsi="Cambria Math" w:cstheme="majorBidi"/>
                <w:lang w:val="en-US"/>
              </w:rPr>
            </m:ctrlPr>
          </m:sSubPr>
          <m:e>
            <m:r>
              <m:rPr>
                <m:sty m:val="p"/>
              </m:rPr>
              <w:rPr>
                <w:rFonts w:ascii="Cambria Math" w:hAnsi="Cambria Math" w:cstheme="majorBidi"/>
                <w:lang w:val="en-US"/>
              </w:rPr>
              <m:t>φ</m:t>
            </m:r>
          </m:e>
          <m:sub>
            <m:r>
              <m:rPr>
                <m:sty m:val="p"/>
              </m:rPr>
              <w:rPr>
                <w:rFonts w:ascii="Cambria Math" w:hAnsi="Cambria Math" w:cstheme="majorBidi"/>
                <w:lang w:val="en-US"/>
              </w:rPr>
              <m:t>1</m:t>
            </m:r>
          </m:sub>
        </m:sSub>
      </m:oMath>
      <w:r w:rsidRPr="00EE111C">
        <w:rPr>
          <w:rFonts w:asciiTheme="majorBidi" w:hAnsiTheme="majorBidi" w:cstheme="majorBidi"/>
          <w:lang w:val="en-US"/>
        </w:rPr>
        <w:t>) are both statistically significant for all DCCs, with the latter taking values close to unity, indicating a strong persistence in the conditional correlations among the examined currencies.</w:t>
      </w:r>
    </w:p>
    <w:p w:rsidR="00061410" w:rsidRDefault="00061410" w:rsidP="0068758C">
      <w:pPr>
        <w:autoSpaceDE w:val="0"/>
        <w:autoSpaceDN w:val="0"/>
        <w:adjustRightInd w:val="0"/>
        <w:ind w:firstLine="340"/>
        <w:jc w:val="both"/>
        <w:rPr>
          <w:rFonts w:asciiTheme="majorBidi" w:hAnsiTheme="majorBidi" w:cstheme="majorBidi"/>
          <w:lang w:val="en-US"/>
        </w:rPr>
      </w:pPr>
      <w:r w:rsidRPr="00EE111C">
        <w:rPr>
          <w:rFonts w:asciiTheme="majorBidi" w:hAnsiTheme="majorBidi" w:cstheme="majorBidi"/>
          <w:lang w:val="en-US"/>
        </w:rPr>
        <w:t xml:space="preserve">During the phases of global financial and European sovereign debt crises, the results of the mean equation identify a pattern of significant decline in linkages between USDEUR, DAX30 and USDEUR, FTSE100 currencies. Specifically, the dummy coefficient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1</m:t>
            </m:r>
          </m:sub>
        </m:sSub>
        <m:r>
          <m:rPr>
            <m:sty m:val="p"/>
          </m:rPr>
          <w:rPr>
            <w:rFonts w:ascii="Cambria Math" w:hAnsi="Cambria Math" w:cstheme="majorBidi"/>
            <w:lang w:val="en-US"/>
          </w:rPr>
          <m:t>)</m:t>
        </m:r>
      </m:oMath>
      <w:r w:rsidRPr="00EE111C">
        <w:rPr>
          <w:rFonts w:asciiTheme="majorBidi" w:hAnsiTheme="majorBidi" w:cstheme="majorBidi"/>
          <w:lang w:val="en-US"/>
        </w:rPr>
        <w:t xml:space="preserve"> for the phase 1 of the global financial crisis is positive and significantly different from that of the pre-crisis period for only the pair</w:t>
      </w:r>
      <w:r w:rsidR="00F85D42">
        <w:rPr>
          <w:rFonts w:asciiTheme="majorBidi" w:hAnsiTheme="majorBidi" w:cstheme="majorBidi"/>
          <w:lang w:val="en-US"/>
        </w:rPr>
        <w:t xml:space="preserve"> </w:t>
      </w:r>
      <w:r w:rsidRPr="00EE111C">
        <w:rPr>
          <w:rFonts w:asciiTheme="majorBidi" w:hAnsiTheme="majorBidi" w:cstheme="majorBidi"/>
          <w:lang w:val="en-US"/>
        </w:rPr>
        <w:t xml:space="preserve">of USDEUR-DAX30 and USDEUR-FTSE100. This evidence suggests that the DCCs between USDEUR and DAX30 and FTSE100 stock prices are increased during phase 1, supporting the existence of a difference in the vulnerability of the currencies. One possible explanation is that the European exchange rate, the Germany and United Kingdom indexes were hit harder at the beginning of the global financial crisis due to the strong financial and economic among European countries and USA (the origin of the crisis). At the phase 2 of the GFC, the dummy coefficient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2</m:t>
            </m:r>
          </m:sub>
        </m:sSub>
        <m:r>
          <m:rPr>
            <m:sty m:val="p"/>
          </m:rPr>
          <w:rPr>
            <w:rFonts w:ascii="Cambria Math" w:hAnsi="Cambria Math" w:cstheme="majorBidi"/>
            <w:lang w:val="en-US"/>
          </w:rPr>
          <m:t>)</m:t>
        </m:r>
      </m:oMath>
      <w:r w:rsidRPr="00EE111C">
        <w:rPr>
          <w:rFonts w:asciiTheme="majorBidi" w:hAnsiTheme="majorBidi" w:cstheme="majorBidi"/>
          <w:lang w:val="en-US"/>
        </w:rPr>
        <w:t xml:space="preserve"> is positive and no statistically significant for only the pair of currencies and stock prices, supporting a decrease in DCCs. This suggests that the relationship among exchange rate and stock prices is actually decreased during this phase. This finding can be regarded as a “currency contagion effect”. Both currencies seem to be substantially influenced by USD due to US sharp financial market deterioration. During the phase 3 of macroeconomic deterioration, positive and statistically significant dummy coefficient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3</m:t>
            </m:r>
          </m:sub>
        </m:sSub>
        <m:r>
          <m:rPr>
            <m:sty m:val="p"/>
          </m:rPr>
          <w:rPr>
            <w:rFonts w:ascii="Cambria Math" w:hAnsi="Cambria Math" w:cstheme="majorBidi"/>
            <w:lang w:val="en-US"/>
          </w:rPr>
          <m:t>)</m:t>
        </m:r>
      </m:oMath>
      <w:r w:rsidRPr="00EE111C">
        <w:rPr>
          <w:rFonts w:asciiTheme="majorBidi" w:hAnsiTheme="majorBidi" w:cstheme="majorBidi"/>
          <w:lang w:val="en-US"/>
        </w:rPr>
        <w:t xml:space="preserve"> exist for only the pair of currencies, implying a increase of DCCs.</w:t>
      </w: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EE111C" w:rsidRDefault="00EE111C" w:rsidP="00061410">
      <w:pPr>
        <w:autoSpaceDE w:val="0"/>
        <w:autoSpaceDN w:val="0"/>
        <w:adjustRightInd w:val="0"/>
        <w:jc w:val="both"/>
        <w:rPr>
          <w:rFonts w:asciiTheme="majorBidi" w:hAnsiTheme="majorBidi" w:cstheme="majorBidi"/>
          <w:lang w:val="en-US"/>
        </w:rPr>
      </w:pPr>
    </w:p>
    <w:p w:rsidR="00B25C56" w:rsidRPr="0068758C" w:rsidRDefault="00B25C56" w:rsidP="00EE111C">
      <w:pPr>
        <w:pStyle w:val="Lgende"/>
        <w:keepNext/>
        <w:spacing w:after="0"/>
        <w:ind w:left="113" w:right="113"/>
        <w:jc w:val="both"/>
        <w:rPr>
          <w:rFonts w:asciiTheme="majorBidi" w:hAnsiTheme="majorBidi" w:cstheme="majorBidi"/>
          <w:color w:val="auto"/>
          <w:sz w:val="20"/>
          <w:szCs w:val="20"/>
          <w:lang w:val="en-US"/>
        </w:rPr>
      </w:pPr>
      <w:r w:rsidRPr="0068758C">
        <w:rPr>
          <w:rFonts w:asciiTheme="majorBidi" w:hAnsiTheme="majorBidi" w:cstheme="majorBidi"/>
          <w:color w:val="auto"/>
          <w:sz w:val="20"/>
          <w:szCs w:val="20"/>
          <w:lang w:val="en-US"/>
        </w:rPr>
        <w:lastRenderedPageBreak/>
        <w:t xml:space="preserve">Table </w:t>
      </w:r>
      <w:r w:rsidR="00A90D67" w:rsidRPr="0068758C">
        <w:rPr>
          <w:rFonts w:asciiTheme="majorBidi" w:hAnsiTheme="majorBidi" w:cstheme="majorBidi"/>
          <w:color w:val="auto"/>
          <w:sz w:val="20"/>
          <w:szCs w:val="20"/>
          <w:lang w:val="en-US"/>
        </w:rPr>
        <w:t>6</w:t>
      </w:r>
    </w:p>
    <w:p w:rsidR="00B25C56" w:rsidRPr="0068758C" w:rsidRDefault="00B25C56" w:rsidP="00EE111C">
      <w:pPr>
        <w:ind w:left="113" w:right="113"/>
        <w:jc w:val="both"/>
        <w:rPr>
          <w:rFonts w:asciiTheme="majorBidi" w:hAnsiTheme="majorBidi" w:cstheme="majorBidi"/>
          <w:sz w:val="20"/>
          <w:szCs w:val="20"/>
          <w:lang w:val="en-US" w:eastAsia="fr-FR"/>
        </w:rPr>
      </w:pPr>
      <w:r w:rsidRPr="0068758C">
        <w:rPr>
          <w:rFonts w:asciiTheme="majorBidi" w:hAnsiTheme="majorBidi" w:cstheme="majorBidi"/>
          <w:sz w:val="20"/>
          <w:szCs w:val="20"/>
          <w:lang w:val="en-US"/>
        </w:rPr>
        <w:t>Tests of changes in dynamic conditional c</w:t>
      </w:r>
      <w:r w:rsidR="00953479" w:rsidRPr="0068758C">
        <w:rPr>
          <w:rFonts w:asciiTheme="majorBidi" w:hAnsiTheme="majorBidi" w:cstheme="majorBidi"/>
          <w:sz w:val="20"/>
          <w:szCs w:val="20"/>
          <w:lang w:val="en-US"/>
        </w:rPr>
        <w:t>orrelations among exchange rate and stock market</w:t>
      </w:r>
      <w:r w:rsidRPr="0068758C">
        <w:rPr>
          <w:rFonts w:asciiTheme="majorBidi" w:hAnsiTheme="majorBidi" w:cstheme="majorBidi"/>
          <w:sz w:val="20"/>
          <w:szCs w:val="20"/>
          <w:lang w:val="en-US"/>
        </w:rPr>
        <w:t xml:space="preserve"> returns during the phases of global financial and European sovereign debt crises.</w:t>
      </w:r>
    </w:p>
    <w:tbl>
      <w:tblPr>
        <w:tblW w:w="8816" w:type="dxa"/>
        <w:jc w:val="center"/>
        <w:tblInd w:w="56" w:type="dxa"/>
        <w:tblCellMar>
          <w:left w:w="70" w:type="dxa"/>
          <w:right w:w="70" w:type="dxa"/>
        </w:tblCellMar>
        <w:tblLook w:val="04A0"/>
      </w:tblPr>
      <w:tblGrid>
        <w:gridCol w:w="1360"/>
        <w:gridCol w:w="1680"/>
        <w:gridCol w:w="640"/>
        <w:gridCol w:w="196"/>
        <w:gridCol w:w="1660"/>
        <w:gridCol w:w="680"/>
        <w:gridCol w:w="180"/>
        <w:gridCol w:w="1780"/>
        <w:gridCol w:w="640"/>
      </w:tblGrid>
      <w:tr w:rsidR="00B25C56" w:rsidRPr="00955A5F" w:rsidTr="001728AD">
        <w:trPr>
          <w:trHeight w:val="255"/>
          <w:jc w:val="center"/>
        </w:trPr>
        <w:tc>
          <w:tcPr>
            <w:tcW w:w="1360" w:type="dxa"/>
            <w:tcBorders>
              <w:top w:val="nil"/>
              <w:left w:val="nil"/>
              <w:bottom w:val="single" w:sz="4" w:space="0" w:color="auto"/>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1680" w:type="dxa"/>
            <w:tcBorders>
              <w:top w:val="nil"/>
              <w:left w:val="nil"/>
              <w:bottom w:val="single" w:sz="4" w:space="0" w:color="auto"/>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640" w:type="dxa"/>
            <w:tcBorders>
              <w:top w:val="nil"/>
              <w:left w:val="nil"/>
              <w:bottom w:val="single" w:sz="4" w:space="0" w:color="auto"/>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196" w:type="dxa"/>
            <w:tcBorders>
              <w:top w:val="nil"/>
              <w:left w:val="nil"/>
              <w:bottom w:val="single" w:sz="4" w:space="0" w:color="auto"/>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1660" w:type="dxa"/>
            <w:tcBorders>
              <w:top w:val="nil"/>
              <w:left w:val="nil"/>
              <w:bottom w:val="single" w:sz="4" w:space="0" w:color="auto"/>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680" w:type="dxa"/>
            <w:tcBorders>
              <w:top w:val="nil"/>
              <w:left w:val="nil"/>
              <w:bottom w:val="single" w:sz="4" w:space="0" w:color="auto"/>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180" w:type="dxa"/>
            <w:tcBorders>
              <w:top w:val="nil"/>
              <w:left w:val="nil"/>
              <w:bottom w:val="nil"/>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1780" w:type="dxa"/>
            <w:tcBorders>
              <w:top w:val="nil"/>
              <w:left w:val="nil"/>
              <w:bottom w:val="nil"/>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c>
          <w:tcPr>
            <w:tcW w:w="640" w:type="dxa"/>
            <w:tcBorders>
              <w:top w:val="nil"/>
              <w:left w:val="nil"/>
              <w:bottom w:val="nil"/>
              <w:right w:val="nil"/>
            </w:tcBorders>
            <w:shd w:val="clear" w:color="auto" w:fill="auto"/>
            <w:noWrap/>
            <w:vAlign w:val="bottom"/>
            <w:hideMark/>
          </w:tcPr>
          <w:p w:rsidR="00B25C56" w:rsidRPr="00D80F43" w:rsidRDefault="00B25C56" w:rsidP="00B25C56">
            <w:pPr>
              <w:jc w:val="left"/>
              <w:rPr>
                <w:rFonts w:ascii="Arial" w:eastAsia="Times New Roman" w:hAnsi="Arial" w:cs="Arial"/>
                <w:sz w:val="20"/>
                <w:szCs w:val="20"/>
                <w:lang w:val="en-US" w:eastAsia="fr-FR"/>
              </w:rPr>
            </w:pPr>
          </w:p>
        </w:tc>
      </w:tr>
      <w:tr w:rsidR="00B25C56" w:rsidRPr="00B25C56" w:rsidTr="001728AD">
        <w:trPr>
          <w:trHeight w:val="210"/>
          <w:jc w:val="center"/>
        </w:trPr>
        <w:tc>
          <w:tcPr>
            <w:tcW w:w="1360"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Variable</w:t>
            </w:r>
          </w:p>
        </w:tc>
        <w:tc>
          <w:tcPr>
            <w:tcW w:w="1680" w:type="dxa"/>
            <w:tcBorders>
              <w:top w:val="nil"/>
              <w:left w:val="nil"/>
              <w:bottom w:val="single" w:sz="4" w:space="0" w:color="auto"/>
              <w:right w:val="nil"/>
            </w:tcBorders>
            <w:shd w:val="clear" w:color="auto" w:fill="auto"/>
            <w:noWrap/>
            <w:vAlign w:val="bottom"/>
            <w:hideMark/>
          </w:tcPr>
          <w:p w:rsidR="00B25C56" w:rsidRPr="00B25C56" w:rsidRDefault="00194326" w:rsidP="00B25C56">
            <w:pPr>
              <w:rPr>
                <w:rFonts w:ascii="Times New Roman" w:eastAsia="Times New Roman" w:hAnsi="Times New Roman" w:cs="Times New Roman"/>
                <w:sz w:val="16"/>
                <w:szCs w:val="16"/>
                <w:lang w:eastAsia="fr-FR"/>
              </w:rPr>
            </w:pPr>
            <m:oMathPara>
              <m:oMathParaPr>
                <m:jc m:val="center"/>
              </m:oMathParaP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USDEUR,DAX30</m:t>
                    </m:r>
                  </m:sub>
                </m:sSub>
              </m:oMath>
            </m:oMathPara>
          </w:p>
        </w:tc>
        <w:tc>
          <w:tcPr>
            <w:tcW w:w="64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96"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660" w:type="dxa"/>
            <w:tcBorders>
              <w:top w:val="nil"/>
              <w:left w:val="nil"/>
              <w:bottom w:val="single" w:sz="4" w:space="0" w:color="auto"/>
              <w:right w:val="nil"/>
            </w:tcBorders>
            <w:shd w:val="clear" w:color="auto" w:fill="auto"/>
            <w:noWrap/>
            <w:vAlign w:val="bottom"/>
            <w:hideMark/>
          </w:tcPr>
          <w:p w:rsidR="00B25C56" w:rsidRPr="00B25C56" w:rsidRDefault="00194326" w:rsidP="008C0AC7">
            <w:pPr>
              <w:rPr>
                <w:rFonts w:ascii="Times New Roman" w:eastAsia="Times New Roman" w:hAnsi="Times New Roman" w:cs="Times New Roman"/>
                <w:sz w:val="16"/>
                <w:szCs w:val="16"/>
                <w:lang w:eastAsia="fr-FR"/>
              </w:rPr>
            </w:pPr>
            <m:oMathPara>
              <m:oMathParaPr>
                <m:jc m:val="center"/>
              </m:oMathParaP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USDEUR,CAC40</m:t>
                    </m:r>
                  </m:sub>
                </m:sSub>
              </m:oMath>
            </m:oMathPara>
          </w:p>
        </w:tc>
        <w:tc>
          <w:tcPr>
            <w:tcW w:w="68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80" w:type="dxa"/>
            <w:tcBorders>
              <w:top w:val="single" w:sz="4" w:space="0" w:color="auto"/>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780" w:type="dxa"/>
            <w:tcBorders>
              <w:top w:val="single" w:sz="4" w:space="0" w:color="auto"/>
              <w:left w:val="nil"/>
              <w:bottom w:val="single" w:sz="4" w:space="0" w:color="auto"/>
              <w:right w:val="nil"/>
            </w:tcBorders>
            <w:shd w:val="clear" w:color="auto" w:fill="auto"/>
            <w:noWrap/>
            <w:vAlign w:val="bottom"/>
            <w:hideMark/>
          </w:tcPr>
          <w:p w:rsidR="00B25C56" w:rsidRPr="00B25C56" w:rsidRDefault="00194326" w:rsidP="00B25C56">
            <w:pPr>
              <w:rPr>
                <w:rFonts w:ascii="Times New Roman" w:eastAsia="Times New Roman" w:hAnsi="Times New Roman" w:cs="Times New Roman"/>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USDEUR,FTSE100</m:t>
                    </m:r>
                  </m:sub>
                </m:sSub>
              </m:oMath>
            </m:oMathPara>
          </w:p>
        </w:tc>
        <w:tc>
          <w:tcPr>
            <w:tcW w:w="640" w:type="dxa"/>
            <w:tcBorders>
              <w:top w:val="single" w:sz="4" w:space="0" w:color="auto"/>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 </w:t>
            </w:r>
          </w:p>
        </w:tc>
      </w:tr>
      <w:tr w:rsidR="00B25C56" w:rsidRPr="00B25C56" w:rsidTr="001728AD">
        <w:trPr>
          <w:trHeight w:val="210"/>
          <w:jc w:val="center"/>
        </w:trPr>
        <w:tc>
          <w:tcPr>
            <w:tcW w:w="136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 </w:t>
            </w:r>
          </w:p>
        </w:tc>
        <w:tc>
          <w:tcPr>
            <w:tcW w:w="168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Coeff</w:t>
            </w:r>
          </w:p>
        </w:tc>
        <w:tc>
          <w:tcPr>
            <w:tcW w:w="64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signif</w:t>
            </w:r>
          </w:p>
        </w:tc>
        <w:tc>
          <w:tcPr>
            <w:tcW w:w="196"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 </w:t>
            </w:r>
          </w:p>
        </w:tc>
        <w:tc>
          <w:tcPr>
            <w:tcW w:w="166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Coeff</w:t>
            </w:r>
          </w:p>
        </w:tc>
        <w:tc>
          <w:tcPr>
            <w:tcW w:w="68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signif</w:t>
            </w:r>
          </w:p>
        </w:tc>
        <w:tc>
          <w:tcPr>
            <w:tcW w:w="18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 </w:t>
            </w:r>
          </w:p>
        </w:tc>
        <w:tc>
          <w:tcPr>
            <w:tcW w:w="178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Coeff</w:t>
            </w:r>
          </w:p>
        </w:tc>
        <w:tc>
          <w:tcPr>
            <w:tcW w:w="64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signif</w:t>
            </w:r>
          </w:p>
        </w:tc>
      </w:tr>
      <w:tr w:rsidR="00B25C56" w:rsidRPr="00B25C56" w:rsidTr="001728AD">
        <w:trPr>
          <w:trHeight w:val="210"/>
          <w:jc w:val="center"/>
        </w:trPr>
        <w:tc>
          <w:tcPr>
            <w:tcW w:w="1360" w:type="dxa"/>
            <w:tcBorders>
              <w:top w:val="nil"/>
              <w:left w:val="nil"/>
              <w:bottom w:val="single" w:sz="4" w:space="0" w:color="auto"/>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Mean Equation</w:t>
            </w:r>
          </w:p>
        </w:tc>
        <w:tc>
          <w:tcPr>
            <w:tcW w:w="1680"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640"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96"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680"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80" w:type="dxa"/>
            <w:tcBorders>
              <w:top w:val="nil"/>
              <w:left w:val="nil"/>
              <w:bottom w:val="nil"/>
              <w:right w:val="nil"/>
            </w:tcBorders>
            <w:shd w:val="clear" w:color="auto" w:fill="auto"/>
            <w:noWrap/>
            <w:vAlign w:val="bottom"/>
            <w:hideMark/>
          </w:tcPr>
          <w:p w:rsidR="00B25C56" w:rsidRPr="00B25C56" w:rsidRDefault="00B25C56"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B25C56" w:rsidRPr="00B25C56" w:rsidRDefault="00B25C56" w:rsidP="00B25C56">
            <w:pPr>
              <w:jc w:val="left"/>
              <w:rPr>
                <w:rFonts w:ascii="Arial" w:eastAsia="Times New Roman" w:hAnsi="Arial" w:cs="Arial"/>
                <w:sz w:val="20"/>
                <w:szCs w:val="20"/>
                <w:lang w:eastAsia="fr-FR"/>
              </w:rPr>
            </w:pPr>
          </w:p>
        </w:tc>
        <w:tc>
          <w:tcPr>
            <w:tcW w:w="640" w:type="dxa"/>
            <w:tcBorders>
              <w:top w:val="nil"/>
              <w:left w:val="nil"/>
              <w:bottom w:val="nil"/>
              <w:right w:val="nil"/>
            </w:tcBorders>
            <w:shd w:val="clear" w:color="auto" w:fill="auto"/>
            <w:noWrap/>
            <w:vAlign w:val="bottom"/>
            <w:hideMark/>
          </w:tcPr>
          <w:p w:rsidR="00B25C56" w:rsidRPr="00B25C56" w:rsidRDefault="00B25C56" w:rsidP="00B25C56">
            <w:pPr>
              <w:jc w:val="left"/>
              <w:rPr>
                <w:rFonts w:ascii="Arial" w:eastAsia="Times New Roman" w:hAnsi="Arial" w:cs="Arial"/>
                <w:sz w:val="20"/>
                <w:szCs w:val="20"/>
                <w:lang w:eastAsia="fr-FR"/>
              </w:rPr>
            </w:pP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ω</m:t>
                  </m:r>
                </m:e>
                <m:sub>
                  <m:r>
                    <w:rPr>
                      <w:rFonts w:ascii="Cambria Math" w:eastAsia="Times New Roman" w:hAnsi="Cambria Math" w:cs="Times New Roman"/>
                      <w:color w:val="000000"/>
                      <w:sz w:val="16"/>
                      <w:szCs w:val="16"/>
                      <w:lang w:val="en-US" w:eastAsia="fr-FR"/>
                    </w:rPr>
                    <m:t>ij</m:t>
                  </m:r>
                </m:sub>
              </m:sSub>
            </m:oMath>
            <w:r w:rsidR="008860E0">
              <w:rPr>
                <w:rFonts w:ascii="Times New Roman" w:eastAsia="Times New Roman" w:hAnsi="Times New Roman" w:cs="Times New Roman"/>
                <w:color w:val="000000"/>
                <w:sz w:val="16"/>
                <w:szCs w:val="16"/>
                <w:lang w:val="en-US" w:eastAsia="fr-FR"/>
              </w:rPr>
              <w:t xml:space="preserve">  </w:t>
            </w:r>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-0.0037</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-0.0021</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-0.0019</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φ</m:t>
                    </m:r>
                  </m:e>
                  <m:sub>
                    <m:r>
                      <w:rPr>
                        <w:rFonts w:ascii="Cambria Math" w:eastAsia="Times New Roman" w:hAnsi="Cambria Math" w:cs="Times New Roman"/>
                        <w:color w:val="000000"/>
                        <w:sz w:val="16"/>
                        <w:szCs w:val="16"/>
                        <w:lang w:val="en-US" w:eastAsia="fr-FR"/>
                      </w:rPr>
                      <m:t>1</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0.9735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0.9818</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0.9784</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1</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0.0026</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0.0214</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0.0009</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0.3605</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0.0018</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2</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0.0018</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0.3356</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0.0013</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0.5933</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0.0025</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0.1048</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3</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0.0065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0.022</w:t>
            </w:r>
            <w:r w:rsidR="00BD4C91">
              <w:rPr>
                <w:rFonts w:ascii="Times New Roman" w:eastAsia="Times New Roman" w:hAnsi="Times New Roman" w:cs="Times New Roman"/>
                <w:sz w:val="16"/>
                <w:szCs w:val="16"/>
                <w:lang w:eastAsia="fr-FR"/>
              </w:rPr>
              <w:t>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0.0041</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0.0738</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0.0056</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0.0075</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4</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0.0042</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0.0352</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0.003</w:t>
            </w:r>
            <w:r w:rsidR="00BD4C91">
              <w:rPr>
                <w:rFonts w:ascii="Times New Roman" w:eastAsia="Times New Roman" w:hAnsi="Times New Roman" w:cs="Times New Roman"/>
                <w:sz w:val="16"/>
                <w:szCs w:val="16"/>
                <w:lang w:eastAsia="fr-FR"/>
              </w:rPr>
              <w:t>0</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0.0508</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0.0036</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0.0017</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5</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0.0018</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0.5322</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0.002</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0.1614</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0.0031</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0.0086</w:t>
            </w:r>
          </w:p>
        </w:tc>
      </w:tr>
      <w:tr w:rsidR="0091596A" w:rsidRPr="00B25C56" w:rsidTr="001728AD">
        <w:trPr>
          <w:trHeight w:val="210"/>
          <w:jc w:val="center"/>
        </w:trPr>
        <w:tc>
          <w:tcPr>
            <w:tcW w:w="1360" w:type="dxa"/>
            <w:tcBorders>
              <w:top w:val="nil"/>
              <w:left w:val="nil"/>
              <w:bottom w:val="single" w:sz="4" w:space="0" w:color="auto"/>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6</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0.0145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0.0018</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0.0008</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0.0026</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Variance Equation</w:t>
            </w:r>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jc w:val="left"/>
              <w:rPr>
                <w:rFonts w:ascii="Arial" w:eastAsia="Times New Roman" w:hAnsi="Arial" w:cs="Arial"/>
                <w:sz w:val="20"/>
                <w:szCs w:val="20"/>
                <w:lang w:eastAsia="fr-FR"/>
              </w:rPr>
            </w:pP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A</m:t>
                    </m:r>
                  </m:e>
                  <m:sub>
                    <m:r>
                      <w:rPr>
                        <w:rFonts w:ascii="Cambria Math" w:eastAsia="Times New Roman" w:hAnsi="Cambria Math" w:cs="Times New Roman"/>
                        <w:color w:val="000000"/>
                        <w:sz w:val="16"/>
                        <w:szCs w:val="16"/>
                        <w:lang w:val="en-US" w:eastAsia="fr-FR"/>
                      </w:rPr>
                      <m:t>0</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0.0003</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0.0102</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0.1389</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A</m:t>
                    </m:r>
                  </m:e>
                  <m:sub>
                    <m:r>
                      <w:rPr>
                        <w:rFonts w:ascii="Cambria Math" w:eastAsia="Times New Roman" w:hAnsi="Cambria Math" w:cs="Times New Roman"/>
                        <w:color w:val="000000"/>
                        <w:sz w:val="16"/>
                        <w:szCs w:val="16"/>
                        <w:lang w:val="en-US" w:eastAsia="fr-FR"/>
                      </w:rPr>
                      <m:t xml:space="preserve">1 </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-0.3095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0.1016</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-3.0044</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B</m:t>
                    </m:r>
                  </m:e>
                  <m:sub>
                    <m:r>
                      <w:rPr>
                        <w:rFonts w:ascii="Cambria Math" w:eastAsia="Times New Roman" w:hAnsi="Cambria Math" w:cs="Times New Roman"/>
                        <w:color w:val="000000"/>
                        <w:sz w:val="16"/>
                        <w:szCs w:val="16"/>
                        <w:lang w:val="en-US" w:eastAsia="fr-FR"/>
                      </w:rPr>
                      <m:t>1</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1.002</w:t>
            </w:r>
            <w:r>
              <w:rPr>
                <w:rFonts w:ascii="Times New Roman" w:eastAsia="Times New Roman" w:hAnsi="Times New Roman" w:cs="Times New Roman"/>
                <w:sz w:val="16"/>
                <w:szCs w:val="16"/>
                <w:lang w:eastAsia="fr-FR"/>
              </w:rPr>
              <w:t>0</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0.4864</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0.5409</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bottom"/>
            <w:hideMark/>
          </w:tcPr>
          <w:p w:rsidR="0091596A" w:rsidRPr="00B25C56" w:rsidRDefault="00194326" w:rsidP="00B25C56">
            <w:pPr>
              <w:rPr>
                <w:rFonts w:ascii="Times New Roman" w:eastAsia="Times New Roman" w:hAnsi="Times New Roman" w:cs="Times New Roman"/>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D</m:t>
                    </m:r>
                  </m:e>
                  <m:sub>
                    <m:r>
                      <w:rPr>
                        <w:rFonts w:ascii="Cambria Math" w:eastAsia="Times New Roman" w:hAnsi="Cambria Math" w:cs="Times New Roman"/>
                        <w:color w:val="000000"/>
                        <w:sz w:val="16"/>
                        <w:szCs w:val="16"/>
                        <w:lang w:val="en-US" w:eastAsia="fr-FR"/>
                      </w:rPr>
                      <m:t>1</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_</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_</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0.0056</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_</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_</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d</m:t>
                    </m:r>
                  </m:e>
                  <m:sub>
                    <m:r>
                      <w:rPr>
                        <w:rFonts w:ascii="Cambria Math" w:eastAsia="Times New Roman" w:hAnsi="Cambria Math" w:cs="Times New Roman"/>
                        <w:color w:val="000000"/>
                        <w:sz w:val="16"/>
                        <w:szCs w:val="16"/>
                        <w:lang w:val="en-US" w:eastAsia="fr-FR"/>
                      </w:rPr>
                      <m:t>1</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-0.0002</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0.0729</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0.0835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d</m:t>
                    </m:r>
                  </m:e>
                  <m:sub>
                    <m:r>
                      <w:rPr>
                        <w:rFonts w:ascii="Cambria Math" w:eastAsia="Times New Roman" w:hAnsi="Cambria Math" w:cs="Times New Roman"/>
                        <w:color w:val="000000"/>
                        <w:sz w:val="16"/>
                        <w:szCs w:val="16"/>
                        <w:lang w:val="en-US" w:eastAsia="fr-FR"/>
                      </w:rPr>
                      <m:t>2</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0.0028</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0.0686</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0.1959</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-0.0434</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d</m:t>
                    </m:r>
                  </m:e>
                  <m:sub>
                    <m:r>
                      <w:rPr>
                        <w:rFonts w:ascii="Cambria Math" w:eastAsia="Times New Roman" w:hAnsi="Cambria Math" w:cs="Times New Roman"/>
                        <w:color w:val="000000"/>
                        <w:sz w:val="16"/>
                        <w:szCs w:val="16"/>
                        <w:lang w:val="en-US" w:eastAsia="fr-FR"/>
                      </w:rPr>
                      <m:t>3</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-0.0035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0.0364</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0.659</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0.1989</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d</m:t>
                    </m:r>
                  </m:e>
                  <m:sub>
                    <m:r>
                      <w:rPr>
                        <w:rFonts w:ascii="Cambria Math" w:eastAsia="Times New Roman" w:hAnsi="Cambria Math" w:cs="Times New Roman"/>
                        <w:color w:val="000000"/>
                        <w:sz w:val="16"/>
                        <w:szCs w:val="16"/>
                        <w:lang w:val="en-US" w:eastAsia="fr-FR"/>
                      </w:rPr>
                      <m:t>4</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-0.0002</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0.0565</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0.2845</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0.0536</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d</m:t>
                    </m:r>
                  </m:e>
                  <m:sub>
                    <m:r>
                      <w:rPr>
                        <w:rFonts w:ascii="Cambria Math" w:eastAsia="Times New Roman" w:hAnsi="Cambria Math" w:cs="Times New Roman"/>
                        <w:color w:val="000000"/>
                        <w:sz w:val="16"/>
                        <w:szCs w:val="16"/>
                        <w:lang w:val="en-US" w:eastAsia="fr-FR"/>
                      </w:rPr>
                      <m:t>5</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0.0109</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0.025</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0.744</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0.0467</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nil"/>
              <w:right w:val="nil"/>
            </w:tcBorders>
            <w:shd w:val="clear" w:color="auto" w:fill="auto"/>
            <w:noWrap/>
            <w:vAlign w:val="center"/>
            <w:hideMark/>
          </w:tcPr>
          <w:p w:rsidR="0091596A" w:rsidRPr="001F1A96" w:rsidRDefault="00194326" w:rsidP="001579B5">
            <w:pPr>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d</m:t>
                    </m:r>
                  </m:e>
                  <m:sub>
                    <m:r>
                      <w:rPr>
                        <w:rFonts w:ascii="Cambria Math" w:eastAsia="Times New Roman" w:hAnsi="Cambria Math" w:cs="Times New Roman"/>
                        <w:color w:val="000000"/>
                        <w:sz w:val="16"/>
                        <w:szCs w:val="16"/>
                        <w:lang w:val="en-US" w:eastAsia="fr-FR"/>
                      </w:rPr>
                      <m:t>6</m:t>
                    </m:r>
                  </m:sub>
                </m:sSub>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-0.0042</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-0.0614</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0.0048</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0.0525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m:oMathPara>
              <m:oMath>
                <m:r>
                  <w:rPr>
                    <w:rFonts w:ascii="Cambria Math" w:eastAsia="Times New Roman" w:hAnsi="Cambria Math" w:cs="Times New Roman"/>
                    <w:color w:val="000000"/>
                    <w:sz w:val="16"/>
                    <w:szCs w:val="16"/>
                    <w:lang w:eastAsia="fr-FR"/>
                  </w:rPr>
                  <m:t>v</m:t>
                </m:r>
              </m:oMath>
            </m:oMathPara>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2.0015</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2.0004</w:t>
            </w:r>
            <w:r w:rsidR="00BD4C91">
              <w:rPr>
                <w:rFonts w:ascii="Times New Roman" w:eastAsia="Times New Roman" w:hAnsi="Times New Roman" w:cs="Times New Roman"/>
                <w:sz w:val="16"/>
                <w:szCs w:val="16"/>
                <w:lang w:eastAsia="fr-FR"/>
              </w:rPr>
              <w:t>*</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2.0013</w:t>
            </w:r>
            <w:r w:rsidR="00BD4C91">
              <w:rPr>
                <w:rFonts w:ascii="Times New Roman" w:eastAsia="Times New Roman" w:hAnsi="Times New Roman" w:cs="Times New Roman"/>
                <w:sz w:val="16"/>
                <w:szCs w:val="16"/>
                <w:lang w:eastAsia="fr-FR"/>
              </w:rPr>
              <w:t>*</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.0000</w:t>
            </w:r>
          </w:p>
        </w:tc>
      </w:tr>
      <w:tr w:rsidR="0091596A" w:rsidRPr="00B25C56" w:rsidTr="001728AD">
        <w:trPr>
          <w:trHeight w:val="210"/>
          <w:jc w:val="center"/>
        </w:trPr>
        <w:tc>
          <w:tcPr>
            <w:tcW w:w="136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Diagnostics</w:t>
            </w:r>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640" w:type="dxa"/>
            <w:tcBorders>
              <w:top w:val="nil"/>
              <w:left w:val="nil"/>
              <w:bottom w:val="nil"/>
              <w:right w:val="nil"/>
            </w:tcBorders>
            <w:shd w:val="clear" w:color="auto" w:fill="auto"/>
            <w:noWrap/>
            <w:vAlign w:val="bottom"/>
            <w:hideMark/>
          </w:tcPr>
          <w:p w:rsidR="0091596A" w:rsidRPr="00B25C56" w:rsidRDefault="0091596A" w:rsidP="00BD4C91">
            <w:pPr>
              <w:jc w:val="both"/>
              <w:rPr>
                <w:rFonts w:ascii="Times New Roman" w:eastAsia="Times New Roman" w:hAnsi="Times New Roman" w:cs="Times New Roman"/>
                <w:sz w:val="16"/>
                <w:szCs w:val="16"/>
                <w:lang w:eastAsia="fr-FR"/>
              </w:rPr>
            </w:pPr>
          </w:p>
        </w:tc>
      </w:tr>
      <w:tr w:rsidR="0091596A" w:rsidRPr="00B25C56" w:rsidTr="001728AD">
        <w:trPr>
          <w:trHeight w:val="210"/>
          <w:jc w:val="center"/>
        </w:trPr>
        <w:tc>
          <w:tcPr>
            <w:tcW w:w="13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8A367A">
              <w:rPr>
                <w:rFonts w:ascii="Cambria Math" w:eastAsia="Times New Roman" w:hAnsi="Cambria Math" w:cs="Times New Roman"/>
                <w:i/>
                <w:sz w:val="16"/>
                <w:szCs w:val="16"/>
                <w:lang w:eastAsia="fr-FR"/>
              </w:rPr>
              <w:t>LB(20)</w:t>
            </w:r>
          </w:p>
        </w:tc>
        <w:tc>
          <w:tcPr>
            <w:tcW w:w="1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23.4856</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0.2166</w:t>
            </w:r>
          </w:p>
        </w:tc>
        <w:tc>
          <w:tcPr>
            <w:tcW w:w="196"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66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22.4579</w:t>
            </w:r>
          </w:p>
        </w:tc>
        <w:tc>
          <w:tcPr>
            <w:tcW w:w="6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0.2621</w:t>
            </w:r>
          </w:p>
        </w:tc>
        <w:tc>
          <w:tcPr>
            <w:tcW w:w="1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p>
        </w:tc>
        <w:tc>
          <w:tcPr>
            <w:tcW w:w="178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18.5743</w:t>
            </w:r>
          </w:p>
        </w:tc>
        <w:tc>
          <w:tcPr>
            <w:tcW w:w="640" w:type="dxa"/>
            <w:tcBorders>
              <w:top w:val="nil"/>
              <w:left w:val="nil"/>
              <w:bottom w:val="nil"/>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0.4844</w:t>
            </w:r>
          </w:p>
        </w:tc>
      </w:tr>
      <w:tr w:rsidR="0091596A" w:rsidRPr="00B25C56" w:rsidTr="001728AD">
        <w:trPr>
          <w:trHeight w:val="210"/>
          <w:jc w:val="center"/>
        </w:trPr>
        <w:tc>
          <w:tcPr>
            <w:tcW w:w="1360" w:type="dxa"/>
            <w:tcBorders>
              <w:top w:val="nil"/>
              <w:left w:val="nil"/>
              <w:bottom w:val="single" w:sz="4" w:space="0" w:color="auto"/>
              <w:right w:val="nil"/>
            </w:tcBorders>
            <w:shd w:val="clear" w:color="auto" w:fill="auto"/>
            <w:noWrap/>
            <w:vAlign w:val="bottom"/>
            <w:hideMark/>
          </w:tcPr>
          <w:p w:rsidR="0091596A" w:rsidRPr="00B25C56" w:rsidRDefault="00194326" w:rsidP="00B25C56">
            <w:pPr>
              <w:rPr>
                <w:rFonts w:ascii="Times New Roman" w:eastAsia="Times New Roman" w:hAnsi="Times New Roman" w:cs="Times New Roman"/>
                <w:sz w:val="16"/>
                <w:szCs w:val="16"/>
                <w:lang w:eastAsia="fr-FR"/>
              </w:rPr>
            </w:pPr>
            <m:oMathPara>
              <m:oMath>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LB</m:t>
                    </m:r>
                  </m:e>
                  <m:sup>
                    <m:r>
                      <w:rPr>
                        <w:rFonts w:ascii="Cambria Math" w:eastAsia="Times New Roman" w:hAnsi="Cambria Math" w:cs="Times New Roman"/>
                        <w:sz w:val="16"/>
                        <w:szCs w:val="16"/>
                        <w:lang w:eastAsia="fr-FR"/>
                      </w:rPr>
                      <m:t>2</m:t>
                    </m:r>
                  </m:sup>
                </m:sSup>
                <m:r>
                  <w:rPr>
                    <w:rFonts w:ascii="Cambria Math" w:eastAsia="Times New Roman" w:hAnsi="Cambria Math" w:cs="Times New Roman"/>
                    <w:sz w:val="16"/>
                    <w:szCs w:val="16"/>
                    <w:lang w:eastAsia="fr-FR"/>
                  </w:rPr>
                  <m:t>(20)</m:t>
                </m:r>
              </m:oMath>
            </m:oMathPara>
          </w:p>
        </w:tc>
        <w:tc>
          <w:tcPr>
            <w:tcW w:w="168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12.7237</w:t>
            </w:r>
          </w:p>
        </w:tc>
        <w:tc>
          <w:tcPr>
            <w:tcW w:w="64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0.8077</w:t>
            </w:r>
          </w:p>
        </w:tc>
        <w:tc>
          <w:tcPr>
            <w:tcW w:w="196"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 </w:t>
            </w:r>
          </w:p>
        </w:tc>
        <w:tc>
          <w:tcPr>
            <w:tcW w:w="166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11.6071</w:t>
            </w:r>
          </w:p>
        </w:tc>
        <w:tc>
          <w:tcPr>
            <w:tcW w:w="68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0.8668</w:t>
            </w:r>
          </w:p>
        </w:tc>
        <w:tc>
          <w:tcPr>
            <w:tcW w:w="18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 </w:t>
            </w:r>
          </w:p>
        </w:tc>
        <w:tc>
          <w:tcPr>
            <w:tcW w:w="178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10.0822</w:t>
            </w:r>
          </w:p>
        </w:tc>
        <w:tc>
          <w:tcPr>
            <w:tcW w:w="640" w:type="dxa"/>
            <w:tcBorders>
              <w:top w:val="nil"/>
              <w:left w:val="nil"/>
              <w:bottom w:val="single" w:sz="4" w:space="0" w:color="auto"/>
              <w:right w:val="nil"/>
            </w:tcBorders>
            <w:shd w:val="clear" w:color="auto" w:fill="auto"/>
            <w:noWrap/>
            <w:vAlign w:val="bottom"/>
            <w:hideMark/>
          </w:tcPr>
          <w:p w:rsidR="0091596A" w:rsidRPr="00B25C56" w:rsidRDefault="0091596A" w:rsidP="00B25C56">
            <w:pPr>
              <w:rPr>
                <w:rFonts w:ascii="Times New Roman" w:eastAsia="Times New Roman" w:hAnsi="Times New Roman" w:cs="Times New Roman"/>
                <w:sz w:val="16"/>
                <w:szCs w:val="16"/>
                <w:lang w:eastAsia="fr-FR"/>
              </w:rPr>
            </w:pPr>
            <w:r w:rsidRPr="00B25C56">
              <w:rPr>
                <w:rFonts w:ascii="Times New Roman" w:eastAsia="Times New Roman" w:hAnsi="Times New Roman" w:cs="Times New Roman"/>
                <w:sz w:val="16"/>
                <w:szCs w:val="16"/>
                <w:lang w:eastAsia="fr-FR"/>
              </w:rPr>
              <w:t>0.9291</w:t>
            </w:r>
          </w:p>
        </w:tc>
      </w:tr>
    </w:tbl>
    <w:p w:rsidR="00B25C56" w:rsidRPr="00EE111C" w:rsidRDefault="00B25C56" w:rsidP="001728AD">
      <w:pPr>
        <w:pStyle w:val="Lgende"/>
        <w:spacing w:after="0"/>
        <w:ind w:left="113" w:right="113"/>
        <w:jc w:val="both"/>
        <w:rPr>
          <w:rFonts w:asciiTheme="majorBidi" w:hAnsiTheme="majorBidi" w:cstheme="majorBidi"/>
          <w:b w:val="0"/>
          <w:bCs w:val="0"/>
          <w:color w:val="auto"/>
          <w:sz w:val="16"/>
          <w:szCs w:val="16"/>
          <w:lang w:val="en-US"/>
        </w:rPr>
      </w:pPr>
      <w:r w:rsidRPr="00EE111C">
        <w:rPr>
          <w:rFonts w:asciiTheme="majorBidi" w:hAnsiTheme="majorBidi" w:cstheme="majorBidi"/>
          <w:color w:val="auto"/>
          <w:sz w:val="16"/>
          <w:szCs w:val="16"/>
          <w:lang w:val="en-US"/>
        </w:rPr>
        <w:t>Notes:</w:t>
      </w:r>
      <w:r w:rsidRPr="00EE111C">
        <w:rPr>
          <w:rFonts w:asciiTheme="majorBidi" w:eastAsiaTheme="minorHAnsi" w:hAnsiTheme="majorBidi" w:cstheme="majorBidi"/>
          <w:b w:val="0"/>
          <w:bCs w:val="0"/>
          <w:color w:val="auto"/>
          <w:sz w:val="16"/>
          <w:szCs w:val="16"/>
          <w:lang w:val="en-US"/>
        </w:rPr>
        <w:t xml:space="preserve"> Estimates are based on mean Eq. (13) and variance Eq. (18) and Eq. (19) in the text. </w:t>
      </w:r>
      <m:oMath>
        <m:sSub>
          <m:sSubPr>
            <m:ctrlPr>
              <w:rPr>
                <w:rFonts w:ascii="Cambria Math" w:eastAsiaTheme="minorHAnsi" w:hAnsiTheme="majorBidi" w:cstheme="majorBidi"/>
                <w:b w:val="0"/>
                <w:bCs w:val="0"/>
                <w:i/>
                <w:color w:val="auto"/>
                <w:sz w:val="16"/>
                <w:szCs w:val="16"/>
                <w:lang w:val="en-US"/>
              </w:rPr>
            </m:ctrlPr>
          </m:sSubPr>
          <m:e>
            <m:r>
              <m:rPr>
                <m:sty m:val="bi"/>
              </m:rPr>
              <w:rPr>
                <w:rFonts w:ascii="Cambria Math" w:eastAsiaTheme="minorHAnsi" w:hAnsi="Cambria Math" w:cstheme="majorBidi"/>
                <w:color w:val="auto"/>
                <w:sz w:val="16"/>
                <w:szCs w:val="16"/>
                <w:lang w:val="en-US"/>
              </w:rPr>
              <m:t>φ</m:t>
            </m:r>
          </m:e>
          <m:sub>
            <m:r>
              <m:rPr>
                <m:sty m:val="bi"/>
              </m:rPr>
              <w:rPr>
                <w:rFonts w:ascii="Cambria Math" w:eastAsiaTheme="minorHAnsi" w:hAnsi="Cambria Math" w:cstheme="majorBidi"/>
                <w:color w:val="auto"/>
                <w:sz w:val="16"/>
                <w:szCs w:val="16"/>
                <w:lang w:val="en-US"/>
              </w:rPr>
              <m:t>p</m:t>
            </m:r>
          </m:sub>
        </m:sSub>
      </m:oMath>
      <w:r w:rsidRPr="00EE111C">
        <w:rPr>
          <w:rFonts w:asciiTheme="majorBidi" w:eastAsiaTheme="minorHAnsi" w:hAnsiTheme="majorBidi" w:cstheme="majorBidi"/>
          <w:b w:val="0"/>
          <w:bCs w:val="0"/>
          <w:color w:val="auto"/>
          <w:sz w:val="16"/>
          <w:szCs w:val="16"/>
          <w:lang w:val="en-US"/>
        </w:rPr>
        <w:t xml:space="preserve">is the coefficient of the pairwise conditional correlation </w:t>
      </w:r>
      <m:oMath>
        <m:r>
          <m:rPr>
            <m:sty m:val="bi"/>
          </m:rPr>
          <w:rPr>
            <w:rFonts w:ascii="Cambria Math" w:eastAsiaTheme="minorHAnsi" w:hAnsiTheme="majorBidi" w:cstheme="majorBidi"/>
            <w:color w:val="auto"/>
            <w:sz w:val="16"/>
            <w:szCs w:val="16"/>
            <w:lang w:val="en-US"/>
          </w:rPr>
          <m:t>(</m:t>
        </m:r>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ρ</m:t>
            </m:r>
          </m:e>
          <m:sub>
            <m:r>
              <m:rPr>
                <m:sty m:val="bi"/>
              </m:rPr>
              <w:rPr>
                <w:rFonts w:ascii="Cambria Math" w:eastAsiaTheme="minorHAnsi" w:hAnsi="Cambria Math" w:cstheme="majorBidi"/>
                <w:color w:val="auto"/>
                <w:sz w:val="16"/>
                <w:szCs w:val="16"/>
              </w:rPr>
              <m:t>t</m:t>
            </m:r>
            <m:r>
              <m:rPr>
                <m:sty m:val="bi"/>
              </m:rPr>
              <w:rPr>
                <w:rFonts w:ascii="Cambria Math" w:eastAsiaTheme="minorHAnsi" w:hAnsi="Cambria Math" w:cstheme="majorBidi"/>
                <w:color w:val="auto"/>
                <w:sz w:val="16"/>
                <w:szCs w:val="16"/>
                <w:lang w:val="en-US"/>
              </w:rPr>
              <m:t>-</m:t>
            </m:r>
            <m:r>
              <m:rPr>
                <m:sty m:val="bi"/>
              </m:rPr>
              <w:rPr>
                <w:rFonts w:ascii="Cambria Math" w:eastAsiaTheme="minorHAnsi" w:hAnsiTheme="majorBidi" w:cstheme="majorBidi"/>
                <w:color w:val="auto"/>
                <w:sz w:val="16"/>
                <w:szCs w:val="16"/>
                <w:lang w:val="en-US"/>
              </w:rPr>
              <m:t>1</m:t>
            </m:r>
          </m:sub>
        </m:sSub>
        <m:r>
          <m:rPr>
            <m:sty m:val="bi"/>
          </m:rPr>
          <w:rPr>
            <w:rFonts w:ascii="Cambria Math" w:eastAsiaTheme="minorHAnsi" w:hAnsiTheme="majorBidi" w:cstheme="majorBidi"/>
            <w:color w:val="auto"/>
            <w:sz w:val="16"/>
            <w:szCs w:val="16"/>
            <w:lang w:val="en-US"/>
          </w:rPr>
          <m:t>)</m:t>
        </m:r>
      </m:oMath>
      <w:r w:rsidRPr="00EE111C">
        <w:rPr>
          <w:rFonts w:asciiTheme="majorBidi" w:eastAsiaTheme="minorHAnsi" w:hAnsiTheme="majorBidi" w:cstheme="majorBidi"/>
          <w:b w:val="0"/>
          <w:bCs w:val="0"/>
          <w:color w:val="auto"/>
          <w:sz w:val="16"/>
          <w:szCs w:val="16"/>
          <w:lang w:val="en-US"/>
        </w:rPr>
        <w:t xml:space="preserve"> with 1 lag among currencies. The lag length is determined by the SIC criteria (Box-Jenkins procedure). </w:t>
      </w:r>
      <m:oMath>
        <m:sSub>
          <m:sSubPr>
            <m:ctrlPr>
              <w:rPr>
                <w:rFonts w:ascii="Cambria Math" w:hAnsiTheme="majorBidi" w:cstheme="majorBidi"/>
                <w:b w:val="0"/>
                <w:bCs w:val="0"/>
                <w:i/>
                <w:color w:val="auto"/>
                <w:sz w:val="16"/>
                <w:szCs w:val="16"/>
              </w:rPr>
            </m:ctrlPr>
          </m:sSubPr>
          <m:e>
            <m:r>
              <m:rPr>
                <m:sty m:val="bi"/>
              </m:rPr>
              <w:rPr>
                <w:rFonts w:ascii="Cambria Math" w:hAnsi="Cambria Math" w:cstheme="majorBidi"/>
                <w:color w:val="auto"/>
                <w:sz w:val="16"/>
                <w:szCs w:val="16"/>
              </w:rPr>
              <m:t>β</m:t>
            </m:r>
          </m:e>
          <m:sub>
            <m:r>
              <m:rPr>
                <m:sty m:val="bi"/>
              </m:rPr>
              <w:rPr>
                <w:rFonts w:ascii="Cambria Math" w:hAnsi="Cambria Math" w:cstheme="majorBidi"/>
                <w:color w:val="auto"/>
                <w:sz w:val="16"/>
                <w:szCs w:val="16"/>
              </w:rPr>
              <m:t>k</m:t>
            </m:r>
            <m:r>
              <m:rPr>
                <m:sty m:val="bi"/>
              </m:rPr>
              <w:rPr>
                <w:rFonts w:ascii="Cambria Math" w:hAnsiTheme="majorBidi" w:cstheme="majorBidi"/>
                <w:color w:val="auto"/>
                <w:sz w:val="16"/>
                <w:szCs w:val="16"/>
                <w:lang w:val="en-US"/>
              </w:rPr>
              <m:t>,</m:t>
            </m:r>
            <m:r>
              <m:rPr>
                <m:sty m:val="bi"/>
              </m:rPr>
              <w:rPr>
                <w:rFonts w:ascii="Cambria Math" w:hAnsi="Cambria Math" w:cstheme="majorBidi"/>
                <w:color w:val="auto"/>
                <w:sz w:val="16"/>
                <w:szCs w:val="16"/>
              </w:rPr>
              <m:t>t</m:t>
            </m:r>
          </m:sub>
        </m:sSub>
      </m:oMath>
      <w:r w:rsidRPr="00EE111C">
        <w:rPr>
          <w:rFonts w:asciiTheme="majorBidi" w:eastAsiaTheme="minorHAnsi" w:hAnsiTheme="majorBidi" w:cstheme="majorBidi"/>
          <w:b w:val="0"/>
          <w:bCs w:val="0"/>
          <w:color w:val="auto"/>
          <w:sz w:val="16"/>
          <w:szCs w:val="16"/>
          <w:lang w:val="en-US"/>
        </w:rPr>
        <w:t xml:space="preserve">and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ξ</m:t>
            </m:r>
          </m:e>
          <m:sub>
            <m:r>
              <m:rPr>
                <m:sty m:val="bi"/>
              </m:rPr>
              <w:rPr>
                <w:rFonts w:ascii="Cambria Math" w:eastAsiaTheme="minorHAnsi" w:hAnsi="Cambria Math" w:cstheme="majorBidi"/>
                <w:color w:val="auto"/>
                <w:sz w:val="16"/>
                <w:szCs w:val="16"/>
              </w:rPr>
              <m:t>k</m:t>
            </m:r>
            <m:r>
              <m:rPr>
                <m:sty m:val="bi"/>
              </m:rPr>
              <w:rPr>
                <w:rFonts w:ascii="Cambria Math" w:eastAsiaTheme="minorHAnsi" w:hAnsiTheme="majorBidi" w:cstheme="majorBidi"/>
                <w:color w:val="auto"/>
                <w:sz w:val="16"/>
                <w:szCs w:val="16"/>
                <w:lang w:val="en-US"/>
              </w:rPr>
              <m:t>,</m:t>
            </m:r>
            <m:r>
              <m:rPr>
                <m:sty m:val="bi"/>
              </m:rPr>
              <w:rPr>
                <w:rFonts w:ascii="Cambria Math" w:eastAsiaTheme="minorHAnsi" w:hAnsi="Cambria Math" w:cstheme="majorBidi"/>
                <w:color w:val="auto"/>
                <w:sz w:val="16"/>
                <w:szCs w:val="16"/>
                <w:lang w:val="en-US"/>
              </w:rPr>
              <m:t>t</m:t>
            </m:r>
          </m:sub>
        </m:sSub>
      </m:oMath>
      <w:r w:rsidRPr="00EE111C">
        <w:rPr>
          <w:rFonts w:asciiTheme="majorBidi" w:eastAsiaTheme="minorHAnsi" w:hAnsiTheme="majorBidi" w:cstheme="majorBidi"/>
          <w:b w:val="0"/>
          <w:bCs w:val="0"/>
          <w:color w:val="auto"/>
          <w:sz w:val="16"/>
          <w:szCs w:val="16"/>
          <w:lang w:val="en-US"/>
        </w:rPr>
        <w:t xml:space="preserve">, where </w:t>
      </w:r>
      <m:oMath>
        <m:r>
          <m:rPr>
            <m:sty m:val="bi"/>
          </m:rPr>
          <w:rPr>
            <w:rFonts w:ascii="Cambria Math" w:eastAsiaTheme="minorHAnsi" w:hAnsi="Cambria Math" w:cstheme="majorBidi"/>
            <w:color w:val="auto"/>
            <w:sz w:val="16"/>
            <w:szCs w:val="16"/>
            <w:lang w:val="en-US"/>
          </w:rPr>
          <m:t>k</m:t>
        </m:r>
        <m:r>
          <m:rPr>
            <m:sty m:val="bi"/>
          </m:rPr>
          <w:rPr>
            <w:rFonts w:ascii="Cambria Math" w:eastAsiaTheme="minorHAnsi" w:hAnsiTheme="majorBidi" w:cstheme="majorBidi"/>
            <w:color w:val="auto"/>
            <w:sz w:val="16"/>
            <w:szCs w:val="16"/>
            <w:lang w:val="en-US"/>
          </w:rPr>
          <m:t>=1, 2, 3, 4,5,6</m:t>
        </m:r>
      </m:oMath>
      <w:r w:rsidRPr="00EE111C">
        <w:rPr>
          <w:rFonts w:asciiTheme="majorBidi" w:eastAsiaTheme="minorHAnsi" w:hAnsiTheme="majorBidi" w:cstheme="majorBidi"/>
          <w:b w:val="0"/>
          <w:bCs w:val="0"/>
          <w:color w:val="auto"/>
          <w:sz w:val="16"/>
          <w:szCs w:val="16"/>
          <w:lang w:val="en-US"/>
        </w:rPr>
        <w:t xml:space="preserve">, are the dummy variable coefficients corresponding to the four phases of the global financial crisis and the two phases of the European sovereign debt crisis.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α</m:t>
            </m:r>
          </m:e>
          <m:sub>
            <m:r>
              <m:rPr>
                <m:sty m:val="bi"/>
              </m:rPr>
              <w:rPr>
                <w:rFonts w:ascii="Cambria Math" w:eastAsiaTheme="minorHAnsi" w:hAnsiTheme="majorBidi" w:cstheme="majorBidi"/>
                <w:color w:val="auto"/>
                <w:sz w:val="16"/>
                <w:szCs w:val="16"/>
                <w:lang w:val="en-US"/>
              </w:rPr>
              <m:t>1</m:t>
            </m:r>
          </m:sub>
        </m:sSub>
      </m:oMath>
      <w:r w:rsidRPr="00EE111C">
        <w:rPr>
          <w:rFonts w:asciiTheme="majorBidi" w:eastAsiaTheme="minorHAnsi" w:hAnsiTheme="majorBidi" w:cstheme="majorBidi"/>
          <w:b w:val="0"/>
          <w:bCs w:val="0"/>
          <w:color w:val="auto"/>
          <w:sz w:val="16"/>
          <w:szCs w:val="16"/>
          <w:lang w:val="en-US"/>
        </w:rPr>
        <w:t xml:space="preserve">is the coefficient of </w:t>
      </w:r>
      <m:oMath>
        <m:sSub>
          <m:sSubPr>
            <m:ctrlPr>
              <w:rPr>
                <w:rFonts w:ascii="Cambria Math" w:eastAsiaTheme="minorHAnsi" w:hAnsiTheme="majorBidi" w:cstheme="majorBidi"/>
                <w:b w:val="0"/>
                <w:bCs w:val="0"/>
                <w:i/>
                <w:color w:val="auto"/>
                <w:sz w:val="16"/>
                <w:szCs w:val="16"/>
                <w:lang w:val="en-US"/>
              </w:rPr>
            </m:ctrlPr>
          </m:sSubPr>
          <m:e>
            <m:r>
              <m:rPr>
                <m:sty m:val="bi"/>
              </m:rPr>
              <w:rPr>
                <w:rFonts w:ascii="Cambria Math" w:eastAsiaTheme="minorHAnsi" w:hAnsi="Cambria Math" w:cstheme="majorBidi"/>
                <w:color w:val="auto"/>
                <w:sz w:val="16"/>
                <w:szCs w:val="16"/>
                <w:lang w:val="en-US"/>
              </w:rPr>
              <m:t>h</m:t>
            </m:r>
          </m:e>
          <m:sub>
            <m:r>
              <m:rPr>
                <m:sty m:val="bi"/>
              </m:rPr>
              <w:rPr>
                <w:rFonts w:ascii="Cambria Math" w:eastAsiaTheme="minorHAnsi" w:hAnsi="Cambria Math" w:cstheme="majorBidi"/>
                <w:color w:val="auto"/>
                <w:sz w:val="16"/>
                <w:szCs w:val="16"/>
                <w:lang w:val="en-US"/>
              </w:rPr>
              <m:t>t-</m:t>
            </m:r>
            <m:r>
              <m:rPr>
                <m:sty m:val="bi"/>
              </m:rPr>
              <w:rPr>
                <w:rFonts w:ascii="Cambria Math" w:eastAsiaTheme="minorHAnsi" w:hAnsiTheme="majorBidi" w:cstheme="majorBidi"/>
                <w:color w:val="auto"/>
                <w:sz w:val="16"/>
                <w:szCs w:val="16"/>
                <w:lang w:val="en-US"/>
              </w:rPr>
              <m:t>1</m:t>
            </m:r>
          </m:sub>
        </m:sSub>
      </m:oMath>
      <w:r w:rsidRPr="00EE111C">
        <w:rPr>
          <w:rFonts w:asciiTheme="majorBidi" w:eastAsiaTheme="minorHAnsi" w:hAnsiTheme="majorBidi" w:cstheme="majorBidi"/>
          <w:b w:val="0"/>
          <w:bCs w:val="0"/>
          <w:color w:val="auto"/>
          <w:sz w:val="16"/>
          <w:szCs w:val="16"/>
          <w:lang w:val="en-US"/>
        </w:rPr>
        <w:t xml:space="preserve"> and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α</m:t>
            </m:r>
          </m:e>
          <m:sub>
            <m:r>
              <m:rPr>
                <m:sty m:val="bi"/>
              </m:rPr>
              <w:rPr>
                <w:rFonts w:ascii="Cambria Math" w:eastAsiaTheme="minorHAnsi" w:hAnsiTheme="majorBidi" w:cstheme="majorBidi"/>
                <w:color w:val="auto"/>
                <w:sz w:val="16"/>
                <w:szCs w:val="16"/>
                <w:lang w:val="en-US"/>
              </w:rPr>
              <m:t>2</m:t>
            </m:r>
          </m:sub>
        </m:sSub>
      </m:oMath>
      <w:r w:rsidRPr="00EE111C">
        <w:rPr>
          <w:rFonts w:asciiTheme="majorBidi" w:eastAsiaTheme="minorHAnsi" w:hAnsiTheme="majorBidi" w:cstheme="majorBidi"/>
          <w:b w:val="0"/>
          <w:bCs w:val="0"/>
          <w:color w:val="auto"/>
          <w:sz w:val="16"/>
          <w:szCs w:val="16"/>
          <w:lang w:val="en-US"/>
        </w:rPr>
        <w:t xml:space="preserve"> is the asymmetric (GJR) term.</w:t>
      </w:r>
      <m:oMath>
        <m:r>
          <m:rPr>
            <m:sty m:val="bi"/>
          </m:rPr>
          <w:rPr>
            <w:rFonts w:ascii="Cambria Math" w:eastAsiaTheme="minorHAnsi" w:hAnsi="Cambria Math" w:cstheme="majorBidi"/>
            <w:color w:val="auto"/>
            <w:sz w:val="16"/>
            <w:szCs w:val="16"/>
            <w:lang w:val="en-US"/>
          </w:rPr>
          <m:t>LB</m:t>
        </m:r>
        <m:r>
          <m:rPr>
            <m:sty m:val="bi"/>
          </m:rPr>
          <w:rPr>
            <w:rFonts w:ascii="Cambria Math" w:eastAsiaTheme="minorHAnsi" w:hAnsiTheme="majorBidi" w:cstheme="majorBidi"/>
            <w:color w:val="auto"/>
            <w:sz w:val="16"/>
            <w:szCs w:val="16"/>
            <w:lang w:val="en-US"/>
          </w:rPr>
          <m:t>(20)</m:t>
        </m:r>
      </m:oMath>
      <w:r w:rsidRPr="00EE111C">
        <w:rPr>
          <w:rFonts w:asciiTheme="majorBidi" w:eastAsiaTheme="minorHAnsi" w:hAnsiTheme="majorBidi" w:cstheme="majorBidi"/>
          <w:b w:val="0"/>
          <w:bCs w:val="0"/>
          <w:color w:val="auto"/>
          <w:sz w:val="16"/>
          <w:szCs w:val="16"/>
          <w:lang w:val="en-US"/>
        </w:rPr>
        <w:t>and</w:t>
      </w:r>
      <m:oMath>
        <m:sSup>
          <m:sSupPr>
            <m:ctrlPr>
              <w:rPr>
                <w:rFonts w:ascii="Cambria Math" w:eastAsiaTheme="minorHAnsi" w:hAnsiTheme="majorBidi" w:cstheme="majorBidi"/>
                <w:b w:val="0"/>
                <w:bCs w:val="0"/>
                <w:i/>
                <w:color w:val="auto"/>
                <w:sz w:val="16"/>
                <w:szCs w:val="16"/>
              </w:rPr>
            </m:ctrlPr>
          </m:sSupPr>
          <m:e>
            <m:r>
              <m:rPr>
                <m:sty m:val="bi"/>
              </m:rPr>
              <w:rPr>
                <w:rFonts w:ascii="Cambria Math" w:eastAsiaTheme="minorHAnsi" w:hAnsi="Cambria Math" w:cstheme="majorBidi"/>
                <w:color w:val="auto"/>
                <w:sz w:val="16"/>
                <w:szCs w:val="16"/>
              </w:rPr>
              <m:t>LB</m:t>
            </m:r>
          </m:e>
          <m:sup>
            <m:r>
              <m:rPr>
                <m:sty m:val="bi"/>
              </m:rPr>
              <w:rPr>
                <w:rFonts w:ascii="Cambria Math" w:eastAsiaTheme="minorHAnsi" w:hAnsiTheme="majorBidi" w:cstheme="majorBidi"/>
                <w:color w:val="auto"/>
                <w:sz w:val="16"/>
                <w:szCs w:val="16"/>
                <w:lang w:val="en-US"/>
              </w:rPr>
              <m:t>2</m:t>
            </m:r>
          </m:sup>
        </m:sSup>
        <m:r>
          <m:rPr>
            <m:sty m:val="bi"/>
          </m:rPr>
          <w:rPr>
            <w:rFonts w:ascii="Cambria Math" w:eastAsiaTheme="minorHAnsi" w:hAnsiTheme="majorBidi" w:cstheme="majorBidi"/>
            <w:color w:val="auto"/>
            <w:sz w:val="16"/>
            <w:szCs w:val="16"/>
            <w:lang w:val="en-US"/>
          </w:rPr>
          <m:t>(20)</m:t>
        </m:r>
      </m:oMath>
      <w:r w:rsidRPr="00EE111C">
        <w:rPr>
          <w:rFonts w:asciiTheme="majorBidi" w:eastAsiaTheme="minorHAnsi" w:hAnsiTheme="majorBidi" w:cstheme="majorBidi"/>
          <w:b w:val="0"/>
          <w:bCs w:val="0"/>
          <w:color w:val="auto"/>
          <w:sz w:val="16"/>
          <w:szCs w:val="16"/>
          <w:lang w:val="en-US"/>
        </w:rPr>
        <w:t xml:space="preserve"> denote the Ljung-Box tests of serial correlation on both standardized and squared standardized residuals.***, **, and * represent statistical significance at 1%, 5%, and 10% levels, respectively.</w:t>
      </w:r>
    </w:p>
    <w:p w:rsidR="00B25C56" w:rsidRPr="00EE111C" w:rsidRDefault="00B25C56" w:rsidP="0023779A">
      <w:pPr>
        <w:jc w:val="left"/>
        <w:rPr>
          <w:lang w:val="en-US"/>
        </w:rPr>
      </w:pPr>
    </w:p>
    <w:p w:rsidR="0068758C" w:rsidRDefault="00C949A1" w:rsidP="0068758C">
      <w:pPr>
        <w:autoSpaceDE w:val="0"/>
        <w:autoSpaceDN w:val="0"/>
        <w:adjustRightInd w:val="0"/>
        <w:ind w:firstLine="340"/>
        <w:jc w:val="both"/>
        <w:rPr>
          <w:rFonts w:asciiTheme="majorBidi" w:hAnsiTheme="majorBidi" w:cstheme="majorBidi"/>
          <w:lang w:val="en-US"/>
        </w:rPr>
      </w:pPr>
      <w:r w:rsidRPr="00EE111C">
        <w:rPr>
          <w:rFonts w:asciiTheme="majorBidi" w:hAnsiTheme="majorBidi" w:cstheme="majorBidi"/>
          <w:lang w:val="en-US"/>
        </w:rPr>
        <w:t xml:space="preserve">At the phase 4 of stabilization and tentative signs of recovery, only the pair of currencies exhibit positive and statistically significant dummy coefficients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4</m:t>
            </m:r>
          </m:sub>
        </m:sSub>
        <m:r>
          <m:rPr>
            <m:sty m:val="p"/>
          </m:rPr>
          <w:rPr>
            <w:rFonts w:ascii="Cambria Math" w:hAnsi="Cambria Math" w:cstheme="majorBidi"/>
            <w:lang w:val="en-US"/>
          </w:rPr>
          <m:t>)</m:t>
        </m:r>
      </m:oMath>
      <w:r w:rsidRPr="00EE111C">
        <w:rPr>
          <w:rFonts w:asciiTheme="majorBidi" w:hAnsiTheme="majorBidi" w:cstheme="majorBidi"/>
          <w:lang w:val="en-US"/>
        </w:rPr>
        <w:t>, indicating existence of a “currency contagion effect” during this phase and</w:t>
      </w:r>
      <w:r w:rsidR="00C655B7" w:rsidRPr="00EE111C">
        <w:rPr>
          <w:rFonts w:asciiTheme="majorBidi" w:hAnsiTheme="majorBidi" w:cstheme="majorBidi"/>
          <w:lang w:val="en-US"/>
        </w:rPr>
        <w:t xml:space="preserve"> suggesting that both exchange rate and stock prices</w:t>
      </w:r>
      <w:r w:rsidRPr="00EE111C">
        <w:rPr>
          <w:rFonts w:asciiTheme="majorBidi" w:hAnsiTheme="majorBidi" w:cstheme="majorBidi"/>
          <w:lang w:val="en-US"/>
        </w:rPr>
        <w:t xml:space="preserve"> seem to be substantially influenced by USD due to US macroeconomic deterioration.</w:t>
      </w:r>
    </w:p>
    <w:p w:rsidR="004225C3" w:rsidRPr="00EE111C" w:rsidRDefault="00C949A1" w:rsidP="0068758C">
      <w:pPr>
        <w:autoSpaceDE w:val="0"/>
        <w:autoSpaceDN w:val="0"/>
        <w:adjustRightInd w:val="0"/>
        <w:ind w:firstLine="340"/>
        <w:jc w:val="both"/>
        <w:rPr>
          <w:rFonts w:asciiTheme="majorBidi" w:hAnsiTheme="majorBidi" w:cstheme="majorBidi"/>
          <w:lang w:val="en-US"/>
        </w:rPr>
      </w:pPr>
      <w:r w:rsidRPr="00EE111C">
        <w:rPr>
          <w:rFonts w:asciiTheme="majorBidi" w:hAnsiTheme="majorBidi" w:cstheme="majorBidi"/>
          <w:lang w:val="en-US"/>
        </w:rPr>
        <w:t xml:space="preserve">The first phase of European sovereign debt crisis exhibits </w:t>
      </w:r>
      <w:r w:rsidR="00565165" w:rsidRPr="00EE111C">
        <w:rPr>
          <w:rFonts w:asciiTheme="majorBidi" w:hAnsiTheme="majorBidi" w:cstheme="majorBidi"/>
          <w:lang w:val="en-US"/>
        </w:rPr>
        <w:t xml:space="preserve">no </w:t>
      </w:r>
      <w:r w:rsidRPr="00EE111C">
        <w:rPr>
          <w:rFonts w:asciiTheme="majorBidi" w:hAnsiTheme="majorBidi" w:cstheme="majorBidi"/>
          <w:lang w:val="en-US"/>
        </w:rPr>
        <w:t xml:space="preserve">significantly positive dummy coefficients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5</m:t>
            </m:r>
          </m:sub>
        </m:sSub>
        <m:r>
          <m:rPr>
            <m:sty m:val="p"/>
          </m:rPr>
          <w:rPr>
            <w:rFonts w:ascii="Cambria Math" w:hAnsi="Cambria Math" w:cstheme="majorBidi"/>
            <w:lang w:val="en-US"/>
          </w:rPr>
          <m:t>)</m:t>
        </m:r>
      </m:oMath>
      <w:r w:rsidR="004317D8" w:rsidRPr="00EE111C">
        <w:rPr>
          <w:rFonts w:asciiTheme="majorBidi" w:hAnsiTheme="majorBidi" w:cstheme="majorBidi"/>
          <w:lang w:val="en-US"/>
        </w:rPr>
        <w:t xml:space="preserve"> for only the pair of USDEUR-FTSE100</w:t>
      </w:r>
      <w:r w:rsidRPr="00EE111C">
        <w:rPr>
          <w:rFonts w:asciiTheme="majorBidi" w:hAnsiTheme="majorBidi" w:cstheme="majorBidi"/>
          <w:lang w:val="en-US"/>
        </w:rPr>
        <w:t>. This period is characterized by a sharp depreciation of EUR due to the “Greek problem” and the uncertainty about the future of euro as a single Eurozone currency</w:t>
      </w:r>
      <w:r w:rsidR="004317D8" w:rsidRPr="00EE111C">
        <w:rPr>
          <w:rFonts w:asciiTheme="majorBidi" w:hAnsiTheme="majorBidi" w:cstheme="majorBidi"/>
          <w:lang w:val="en-US"/>
        </w:rPr>
        <w:t xml:space="preserve">. </w:t>
      </w:r>
      <w:r w:rsidRPr="00EE111C">
        <w:rPr>
          <w:rFonts w:asciiTheme="majorBidi" w:hAnsiTheme="majorBidi" w:cstheme="majorBidi"/>
          <w:lang w:val="en-US"/>
        </w:rPr>
        <w:t>During the last phase of European sovereign debt crisis</w:t>
      </w:r>
      <w:r w:rsidR="004317D8" w:rsidRPr="00EE111C">
        <w:rPr>
          <w:rFonts w:asciiTheme="majorBidi" w:hAnsiTheme="majorBidi" w:cstheme="majorBidi"/>
          <w:lang w:val="en-US"/>
        </w:rPr>
        <w:t>, significantly positive</w:t>
      </w:r>
      <w:r w:rsidRPr="00EE111C">
        <w:rPr>
          <w:rFonts w:asciiTheme="majorBidi" w:hAnsiTheme="majorBidi" w:cstheme="majorBidi"/>
          <w:lang w:val="en-US"/>
        </w:rPr>
        <w:t xml:space="preserve"> dummy coefficients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6</m:t>
            </m:r>
          </m:sub>
        </m:sSub>
        <m:r>
          <m:rPr>
            <m:sty m:val="p"/>
          </m:rPr>
          <w:rPr>
            <w:rFonts w:ascii="Cambria Math" w:hAnsi="Cambria Math" w:cstheme="majorBidi"/>
            <w:lang w:val="en-US"/>
          </w:rPr>
          <m:t>)</m:t>
        </m:r>
      </m:oMath>
      <w:r w:rsidRPr="00EE111C">
        <w:rPr>
          <w:rFonts w:asciiTheme="majorBidi" w:hAnsiTheme="majorBidi" w:cstheme="majorBidi"/>
          <w:lang w:val="en-US"/>
        </w:rPr>
        <w:t xml:space="preserve"> correspond to the pairs of </w:t>
      </w:r>
      <w:r w:rsidR="004317D8" w:rsidRPr="00EE111C">
        <w:rPr>
          <w:rFonts w:asciiTheme="majorBidi" w:hAnsiTheme="majorBidi" w:cstheme="majorBidi"/>
          <w:lang w:val="en-US"/>
        </w:rPr>
        <w:t>currencies</w:t>
      </w:r>
      <w:r w:rsidRPr="00EE111C">
        <w:rPr>
          <w:rFonts w:asciiTheme="majorBidi" w:hAnsiTheme="majorBidi" w:cstheme="majorBidi"/>
          <w:lang w:val="en-US"/>
        </w:rPr>
        <w:t xml:space="preserve">. Finally, the estimates of the variance Eq. (18) are reported in Table </w:t>
      </w:r>
      <w:r w:rsidR="00E32126" w:rsidRPr="00EE111C">
        <w:rPr>
          <w:rFonts w:asciiTheme="majorBidi" w:hAnsiTheme="majorBidi" w:cstheme="majorBidi"/>
          <w:lang w:val="en-US"/>
        </w:rPr>
        <w:t>6</w:t>
      </w:r>
      <w:r w:rsidRPr="00EE111C">
        <w:rPr>
          <w:rFonts w:asciiTheme="majorBidi" w:hAnsiTheme="majorBidi" w:cstheme="majorBidi"/>
          <w:lang w:val="en-US"/>
        </w:rPr>
        <w:t xml:space="preserve">. The dummy coefficients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2</m:t>
            </m:r>
          </m:sub>
        </m:sSub>
      </m:oMath>
      <w:r w:rsidRPr="00EE111C">
        <w:rPr>
          <w:rFonts w:asciiTheme="majorBidi" w:hAnsiTheme="majorBidi" w:cstheme="majorBidi"/>
          <w:lang w:val="en-US"/>
        </w:rPr>
        <w:t xml:space="preserve"> and</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5</m:t>
            </m:r>
          </m:sub>
        </m:sSub>
      </m:oMath>
      <w:r w:rsidR="00010C4E" w:rsidRPr="00EE111C">
        <w:rPr>
          <w:rFonts w:asciiTheme="majorBidi" w:hAnsiTheme="majorBidi" w:cstheme="majorBidi"/>
          <w:lang w:val="en-US"/>
        </w:rPr>
        <w:t>f</w:t>
      </w:r>
      <w:r w:rsidR="00D027DA" w:rsidRPr="00EE111C">
        <w:rPr>
          <w:rFonts w:asciiTheme="majorBidi" w:hAnsiTheme="majorBidi" w:cstheme="majorBidi"/>
          <w:lang w:val="en-US"/>
        </w:rPr>
        <w:t>or USDEUR-DAX30</w:t>
      </w:r>
      <w:r w:rsidRPr="00EE111C">
        <w:rPr>
          <w:rFonts w:asciiTheme="majorBidi" w:hAnsiTheme="majorBidi" w:cstheme="majorBidi"/>
          <w:lang w:val="en-US"/>
        </w:rPr>
        <w:t xml:space="preserve"> are positive and statistically significant across several phases of the two crises. This finding means that the volatility of correlation coefficients is increased, implying that the stability of the correlations is less reliable for the implementation of investment strategies. Nevertheless, the dummy coefficients</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1</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3</m:t>
            </m:r>
          </m:sub>
        </m:sSub>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4</m:t>
            </m:r>
          </m:sub>
        </m:sSub>
        <m:r>
          <m:rPr>
            <m:sty m:val="p"/>
          </m:rPr>
          <w:rPr>
            <w:rFonts w:ascii="Cambria Math" w:hAnsi="Cambria Math" w:cstheme="majorBidi"/>
            <w:lang w:val="en-US"/>
          </w:rPr>
          <m:t xml:space="preserve"> and </m:t>
        </m:r>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6</m:t>
            </m:r>
          </m:sub>
        </m:sSub>
      </m:oMath>
      <w:r w:rsidRPr="00EE111C">
        <w:rPr>
          <w:rFonts w:asciiTheme="majorBidi" w:hAnsiTheme="majorBidi" w:cstheme="majorBidi"/>
          <w:lang w:val="en-US"/>
        </w:rPr>
        <w:t xml:space="preserve"> for </w:t>
      </w:r>
      <w:r w:rsidR="00010C4E" w:rsidRPr="00EE111C">
        <w:rPr>
          <w:rFonts w:asciiTheme="majorBidi" w:hAnsiTheme="majorBidi" w:cstheme="majorBidi"/>
          <w:lang w:val="en-US"/>
        </w:rPr>
        <w:t>USDEUR-DAX30</w:t>
      </w:r>
      <w:r w:rsidR="00565165" w:rsidRPr="00EE111C">
        <w:rPr>
          <w:rFonts w:asciiTheme="majorBidi" w:hAnsiTheme="majorBidi" w:cstheme="majorBidi"/>
          <w:lang w:val="en-US"/>
        </w:rPr>
        <w:t xml:space="preserve"> are positive and statistically significant</w:t>
      </w:r>
      <w:r w:rsidRPr="00EE111C">
        <w:rPr>
          <w:rFonts w:asciiTheme="majorBidi" w:hAnsiTheme="majorBidi" w:cstheme="majorBidi"/>
          <w:lang w:val="en-US"/>
        </w:rPr>
        <w:t>. This indicates a more stable structure of correlation, suggesting the use of the correlation coefficients as a guide for portfolio decisions during specific phases of the crises.</w:t>
      </w:r>
    </w:p>
    <w:p w:rsidR="00061410" w:rsidRPr="00453DC7" w:rsidRDefault="00061410" w:rsidP="00EE111C">
      <w:pPr>
        <w:autoSpaceDE w:val="0"/>
        <w:autoSpaceDN w:val="0"/>
        <w:adjustRightInd w:val="0"/>
        <w:jc w:val="both"/>
        <w:rPr>
          <w:rFonts w:asciiTheme="majorBidi" w:hAnsiTheme="majorBidi" w:cstheme="majorBidi"/>
          <w:lang w:val="en-US"/>
        </w:rPr>
      </w:pPr>
    </w:p>
    <w:p w:rsidR="005D1505" w:rsidRPr="00EE111C" w:rsidRDefault="005D1505" w:rsidP="00EE111C">
      <w:pPr>
        <w:pStyle w:val="Paragraphedeliste"/>
        <w:numPr>
          <w:ilvl w:val="0"/>
          <w:numId w:val="4"/>
        </w:numPr>
        <w:spacing w:after="0"/>
        <w:ind w:left="340" w:hanging="340"/>
        <w:jc w:val="both"/>
        <w:rPr>
          <w:rFonts w:asciiTheme="majorBidi" w:hAnsiTheme="majorBidi" w:cstheme="majorBidi"/>
          <w:b/>
          <w:bCs/>
          <w:sz w:val="24"/>
          <w:szCs w:val="24"/>
          <w:lang w:val="en-US"/>
        </w:rPr>
      </w:pPr>
      <w:r w:rsidRPr="00EE111C">
        <w:rPr>
          <w:rFonts w:asciiTheme="majorBidi" w:hAnsiTheme="majorBidi" w:cstheme="majorBidi"/>
          <w:b/>
          <w:bCs/>
          <w:sz w:val="24"/>
          <w:szCs w:val="24"/>
          <w:lang w:val="en-US"/>
        </w:rPr>
        <w:t>Conclusion</w:t>
      </w:r>
    </w:p>
    <w:p w:rsidR="005D1505" w:rsidRPr="00EE111C" w:rsidRDefault="005D1505" w:rsidP="005D1505">
      <w:pPr>
        <w:ind w:firstLine="340"/>
        <w:jc w:val="both"/>
        <w:rPr>
          <w:rFonts w:asciiTheme="majorBidi" w:hAnsiTheme="majorBidi" w:cstheme="majorBidi"/>
          <w:lang w:val="en-US"/>
        </w:rPr>
      </w:pPr>
    </w:p>
    <w:p w:rsidR="005D1505" w:rsidRPr="00EE111C" w:rsidRDefault="005D1505" w:rsidP="005D1505">
      <w:pPr>
        <w:ind w:firstLine="340"/>
        <w:jc w:val="both"/>
        <w:rPr>
          <w:rFonts w:asciiTheme="majorBidi" w:hAnsiTheme="majorBidi" w:cstheme="majorBidi"/>
          <w:lang w:val="en-US"/>
        </w:rPr>
      </w:pPr>
      <w:r w:rsidRPr="00EE111C">
        <w:rPr>
          <w:rFonts w:asciiTheme="majorBidi" w:hAnsiTheme="majorBidi" w:cstheme="majorBidi"/>
          <w:lang w:val="en-US"/>
        </w:rPr>
        <w:t xml:space="preserve">In this paper, we analyze the dynamic conditional correlation between the US dollar (USD) exchange rates expressed in </w:t>
      </w:r>
      <w:r w:rsidR="008E31D9" w:rsidRPr="00EE111C">
        <w:rPr>
          <w:rFonts w:asciiTheme="majorBidi" w:hAnsiTheme="majorBidi" w:cstheme="majorBidi"/>
          <w:lang w:val="en-US"/>
        </w:rPr>
        <w:t>Euro(EUR</w:t>
      </w:r>
      <w:r w:rsidRPr="00EE111C">
        <w:rPr>
          <w:rFonts w:asciiTheme="majorBidi" w:hAnsiTheme="majorBidi" w:cstheme="majorBidi"/>
          <w:lang w:val="en-US"/>
        </w:rPr>
        <w:t>)</w:t>
      </w:r>
      <w:r w:rsidR="008E31D9" w:rsidRPr="00EE111C">
        <w:rPr>
          <w:rFonts w:asciiTheme="majorBidi" w:hAnsiTheme="majorBidi" w:cstheme="majorBidi"/>
          <w:lang w:val="en-US"/>
        </w:rPr>
        <w:t xml:space="preserve"> and European</w:t>
      </w:r>
      <w:r w:rsidRPr="00EE111C">
        <w:rPr>
          <w:rFonts w:asciiTheme="majorBidi" w:hAnsiTheme="majorBidi" w:cstheme="majorBidi"/>
          <w:lang w:val="en-US"/>
        </w:rPr>
        <w:t xml:space="preserve"> stock markets using the Asymmetric Dynamic Conditional Correlation (A-DCC) model developed by </w:t>
      </w:r>
      <w:r w:rsidRPr="00EE111C">
        <w:rPr>
          <w:rFonts w:asciiTheme="majorBidi" w:hAnsiTheme="majorBidi" w:cstheme="majorBidi"/>
          <w:color w:val="0070C0"/>
          <w:lang w:val="en-US"/>
        </w:rPr>
        <w:t>Cappiello et al. (2006)</w:t>
      </w:r>
      <w:r w:rsidRPr="00EE111C">
        <w:rPr>
          <w:rFonts w:asciiTheme="majorBidi" w:hAnsiTheme="majorBidi" w:cstheme="majorBidi"/>
          <w:lang w:val="en-US"/>
        </w:rPr>
        <w:t>. We also use an AR-</w:t>
      </w:r>
      <w:r w:rsidRPr="00EE111C">
        <w:rPr>
          <w:rFonts w:asciiTheme="majorBidi" w:hAnsiTheme="majorBidi" w:cstheme="majorBidi"/>
          <w:lang w:val="en-US"/>
        </w:rPr>
        <w:lastRenderedPageBreak/>
        <w:t>GARCH model for statistical analysis of the time-varying correlations by considering the major financial and economic events relative to the subprime crisis and global financial crisis.</w:t>
      </w:r>
    </w:p>
    <w:p w:rsidR="005D1505" w:rsidRPr="00EE111C" w:rsidRDefault="005D1505" w:rsidP="00906F4E">
      <w:pPr>
        <w:ind w:firstLine="340"/>
        <w:jc w:val="both"/>
        <w:rPr>
          <w:rFonts w:asciiTheme="majorBidi" w:hAnsiTheme="majorBidi" w:cstheme="majorBidi"/>
          <w:color w:val="FF0000"/>
          <w:lang w:val="en-US"/>
        </w:rPr>
      </w:pPr>
      <w:r w:rsidRPr="00EE111C">
        <w:rPr>
          <w:rFonts w:asciiTheme="majorBidi" w:hAnsiTheme="majorBidi" w:cstheme="majorBidi"/>
          <w:lang w:val="en-US"/>
        </w:rPr>
        <w:t>Our empirical results indicate that foreign exchange market and</w:t>
      </w:r>
      <w:r w:rsidR="00906F4E">
        <w:rPr>
          <w:rFonts w:asciiTheme="majorBidi" w:hAnsiTheme="majorBidi" w:cstheme="majorBidi"/>
          <w:lang w:val="en-US"/>
        </w:rPr>
        <w:t xml:space="preserve"> E</w:t>
      </w:r>
      <w:r w:rsidR="008E31D9" w:rsidRPr="00EE111C">
        <w:rPr>
          <w:rFonts w:asciiTheme="majorBidi" w:hAnsiTheme="majorBidi" w:cstheme="majorBidi"/>
          <w:lang w:val="en-US"/>
        </w:rPr>
        <w:t>uropean</w:t>
      </w:r>
      <w:r w:rsidRPr="00EE111C">
        <w:rPr>
          <w:rFonts w:asciiTheme="majorBidi" w:hAnsiTheme="majorBidi" w:cstheme="majorBidi"/>
          <w:lang w:val="en-US"/>
        </w:rPr>
        <w:t xml:space="preserve"> stock markets exhibit asymmetry</w:t>
      </w:r>
      <w:r w:rsidR="00D071E5" w:rsidRPr="00EE111C">
        <w:rPr>
          <w:rFonts w:asciiTheme="majorBidi" w:hAnsiTheme="majorBidi" w:cstheme="majorBidi"/>
          <w:lang w:val="en-US"/>
        </w:rPr>
        <w:t xml:space="preserve"> and no asymmetry</w:t>
      </w:r>
      <w:r w:rsidRPr="00EE111C">
        <w:rPr>
          <w:rFonts w:asciiTheme="majorBidi" w:hAnsiTheme="majorBidi" w:cstheme="majorBidi"/>
          <w:lang w:val="en-US"/>
        </w:rPr>
        <w:t xml:space="preserve"> in the conditional variances. Therefore, the results point to the importance of applying an appropriately ﬂexible modeling framework to accurately evaluate the interaction between exchange market and stock market co-movements. </w:t>
      </w:r>
      <w:r w:rsidRPr="00EE111C">
        <w:rPr>
          <w:rFonts w:asciiTheme="majorBidi" w:eastAsia="Times New Roman" w:hAnsiTheme="majorBidi" w:cstheme="majorBidi"/>
          <w:lang w:val="en-US"/>
        </w:rPr>
        <w:t>the condition</w:t>
      </w:r>
      <w:r w:rsidR="00D071E5" w:rsidRPr="00EE111C">
        <w:rPr>
          <w:rFonts w:asciiTheme="majorBidi" w:eastAsia="Times New Roman" w:hAnsiTheme="majorBidi" w:cstheme="majorBidi"/>
          <w:lang w:val="en-US"/>
        </w:rPr>
        <w:t>al correlation among the USD/EUR</w:t>
      </w:r>
      <w:r w:rsidRPr="00EE111C">
        <w:rPr>
          <w:rFonts w:asciiTheme="majorBidi" w:eastAsia="Times New Roman" w:hAnsiTheme="majorBidi" w:cstheme="majorBidi"/>
          <w:lang w:val="en-US"/>
        </w:rPr>
        <w:t xml:space="preserve"> and </w:t>
      </w:r>
      <w:r w:rsidR="00D071E5" w:rsidRPr="00EE111C">
        <w:rPr>
          <w:rFonts w:asciiTheme="majorBidi" w:eastAsia="Times New Roman" w:hAnsiTheme="majorBidi" w:cstheme="majorBidi"/>
          <w:lang w:val="en-US"/>
        </w:rPr>
        <w:t>European</w:t>
      </w:r>
      <w:r w:rsidRPr="00EE111C">
        <w:rPr>
          <w:rFonts w:asciiTheme="majorBidi" w:eastAsia="Times New Roman" w:hAnsiTheme="majorBidi" w:cstheme="majorBidi"/>
          <w:lang w:val="en-US"/>
        </w:rPr>
        <w:t xml:space="preserve"> stock index  exhibits higher dependency when it is driven by negative innovations to changes than it is by positive </w:t>
      </w:r>
      <w:r w:rsidR="00D071E5" w:rsidRPr="00EE111C">
        <w:rPr>
          <w:rFonts w:asciiTheme="majorBidi" w:eastAsia="Times New Roman" w:hAnsiTheme="majorBidi" w:cstheme="majorBidi"/>
          <w:lang w:val="en-US"/>
        </w:rPr>
        <w:t>innovations</w:t>
      </w:r>
      <w:r w:rsidRPr="00EE111C">
        <w:rPr>
          <w:rFonts w:asciiTheme="majorBidi" w:eastAsia="Times New Roman" w:hAnsiTheme="majorBidi" w:cstheme="majorBidi"/>
          <w:lang w:val="en-US"/>
        </w:rPr>
        <w:t>.</w:t>
      </w:r>
      <w:r w:rsidRPr="00EE111C">
        <w:rPr>
          <w:rFonts w:asciiTheme="majorBidi" w:hAnsiTheme="majorBidi" w:cstheme="majorBidi"/>
          <w:lang w:val="en-US"/>
        </w:rPr>
        <w:t xml:space="preserve"> Moreover, the stock market correlations become more volatile during the global ﬁnancial crisis.</w:t>
      </w:r>
    </w:p>
    <w:p w:rsidR="005D1505" w:rsidRPr="00EE111C" w:rsidRDefault="005D1505" w:rsidP="005D1505">
      <w:pPr>
        <w:ind w:firstLine="340"/>
        <w:jc w:val="both"/>
        <w:rPr>
          <w:rFonts w:asciiTheme="majorBidi" w:hAnsiTheme="majorBidi" w:cstheme="majorBidi"/>
          <w:lang w:val="en-US"/>
        </w:rPr>
      </w:pPr>
      <w:r w:rsidRPr="00EE111C">
        <w:rPr>
          <w:rFonts w:asciiTheme="majorBidi" w:hAnsiTheme="majorBidi" w:cstheme="majorBidi"/>
          <w:lang w:val="en-US"/>
        </w:rPr>
        <w:t>The empirical analysis of the pattern of the time-varying correlation coefficients, during the major crisis periods, provides evidence in favor of contagion effects due</w:t>
      </w:r>
      <w:r w:rsidR="00D071E5" w:rsidRPr="00EE111C">
        <w:rPr>
          <w:rFonts w:asciiTheme="majorBidi" w:hAnsiTheme="majorBidi" w:cstheme="majorBidi"/>
          <w:lang w:val="en-US"/>
        </w:rPr>
        <w:t xml:space="preserve"> to herding behavior in </w:t>
      </w:r>
      <w:r w:rsidR="00906F4E" w:rsidRPr="00EE111C">
        <w:rPr>
          <w:rFonts w:asciiTheme="majorBidi" w:hAnsiTheme="majorBidi" w:cstheme="majorBidi"/>
          <w:lang w:val="en-US"/>
        </w:rPr>
        <w:t>European</w:t>
      </w:r>
      <w:r w:rsidRPr="00EE111C">
        <w:rPr>
          <w:rFonts w:asciiTheme="majorBidi" w:hAnsiTheme="majorBidi" w:cstheme="majorBidi"/>
          <w:lang w:val="en-US"/>
        </w:rPr>
        <w:t xml:space="preserve"> stock markets</w:t>
      </w:r>
      <w:r w:rsidR="00D071E5" w:rsidRPr="00EE111C">
        <w:rPr>
          <w:rFonts w:asciiTheme="majorBidi" w:hAnsiTheme="majorBidi" w:cstheme="majorBidi"/>
          <w:lang w:val="en-US"/>
        </w:rPr>
        <w:t xml:space="preserve"> and exchange rate</w:t>
      </w:r>
      <w:r w:rsidRPr="00EE111C">
        <w:rPr>
          <w:rFonts w:asciiTheme="majorBidi" w:hAnsiTheme="majorBidi" w:cstheme="majorBidi"/>
          <w:lang w:val="en-US"/>
        </w:rPr>
        <w:t>. Our empirical findings seem to be important to researchers and practitioners and especially to active investors and portfolio managers who include in their portf</w:t>
      </w:r>
      <w:r w:rsidR="00D071E5" w:rsidRPr="00EE111C">
        <w:rPr>
          <w:rFonts w:asciiTheme="majorBidi" w:hAnsiTheme="majorBidi" w:cstheme="majorBidi"/>
          <w:lang w:val="en-US"/>
        </w:rPr>
        <w:t xml:space="preserve">olios equities from the </w:t>
      </w:r>
      <w:r w:rsidR="00906F4E" w:rsidRPr="00EE111C">
        <w:rPr>
          <w:rFonts w:asciiTheme="majorBidi" w:hAnsiTheme="majorBidi" w:cstheme="majorBidi"/>
          <w:lang w:val="en-US"/>
        </w:rPr>
        <w:t>European</w:t>
      </w:r>
      <w:r w:rsidRPr="00EE111C">
        <w:rPr>
          <w:rFonts w:asciiTheme="majorBidi" w:hAnsiTheme="majorBidi" w:cstheme="majorBidi"/>
          <w:lang w:val="en-US"/>
        </w:rPr>
        <w:t xml:space="preserve"> stock markets. Indeed, the high correlation coefficients, during crises periods, imply that the benefit from international diversification, by holding a portfolio consisting of diverse stocks from the contagious stock markets, decline. </w:t>
      </w:r>
    </w:p>
    <w:p w:rsidR="00D071E5" w:rsidRPr="00EE111C" w:rsidRDefault="00D071E5" w:rsidP="00D071E5">
      <w:pPr>
        <w:ind w:firstLine="340"/>
        <w:jc w:val="both"/>
        <w:rPr>
          <w:rFonts w:asciiTheme="majorBidi" w:hAnsiTheme="majorBidi" w:cstheme="majorBidi"/>
          <w:lang w:val="en-US"/>
        </w:rPr>
      </w:pPr>
      <w:r w:rsidRPr="00EE111C">
        <w:rPr>
          <w:rFonts w:asciiTheme="majorBidi" w:hAnsiTheme="majorBidi" w:cstheme="majorBidi"/>
          <w:lang w:val="en-US"/>
        </w:rPr>
        <w:t>The findings lead to important implications from investors’ and policy makers’ perspective. They are of great relevance for financial decisions of international investors on managing their risk exposures to exchange rate and stock prices fluctuations and on taking advantages of potential diversification opportunities that may arise due to lowered dependence among the exchange rates and stock prices. The increase of exchange rates</w:t>
      </w:r>
      <w:r w:rsidR="00581F64" w:rsidRPr="00EE111C">
        <w:rPr>
          <w:rFonts w:asciiTheme="majorBidi" w:hAnsiTheme="majorBidi" w:cstheme="majorBidi"/>
          <w:lang w:val="en-US"/>
        </w:rPr>
        <w:t xml:space="preserve"> and stock prices</w:t>
      </w:r>
      <w:r w:rsidRPr="00EE111C">
        <w:rPr>
          <w:rFonts w:asciiTheme="majorBidi" w:hAnsiTheme="majorBidi" w:cstheme="majorBidi"/>
          <w:lang w:val="en-US"/>
        </w:rPr>
        <w:t xml:space="preserve"> linkages during crisis periods shows the different vulnerability of the </w:t>
      </w:r>
      <w:r w:rsidR="00581F64" w:rsidRPr="00EE111C">
        <w:rPr>
          <w:rFonts w:asciiTheme="majorBidi" w:hAnsiTheme="majorBidi" w:cstheme="majorBidi"/>
          <w:lang w:val="en-US"/>
        </w:rPr>
        <w:t>currencies and implies an de</w:t>
      </w:r>
      <w:r w:rsidRPr="00EE111C">
        <w:rPr>
          <w:rFonts w:asciiTheme="majorBidi" w:hAnsiTheme="majorBidi" w:cstheme="majorBidi"/>
          <w:lang w:val="en-US"/>
        </w:rPr>
        <w:t xml:space="preserve">crease of portfolio diversification benefits, since holding a portfolio with diverse currencies is less subject to systematic risk. Moreover, this correlations’ behavior may be considered as evidence of non-cooperative monetary policies around the world and highlight the need for some form of policy coordination among central banks. Finally, the different patterns of dynamic linkages among </w:t>
      </w:r>
      <w:r w:rsidR="00581F64" w:rsidRPr="00EE111C">
        <w:rPr>
          <w:rFonts w:asciiTheme="majorBidi" w:hAnsiTheme="majorBidi" w:cstheme="majorBidi"/>
          <w:lang w:val="en-US"/>
        </w:rPr>
        <w:t>European stock prices and exchange rate</w:t>
      </w:r>
      <w:r w:rsidRPr="00EE111C">
        <w:rPr>
          <w:rFonts w:asciiTheme="majorBidi" w:hAnsiTheme="majorBidi" w:cstheme="majorBidi"/>
          <w:lang w:val="en-US"/>
        </w:rPr>
        <w:t xml:space="preserve"> may influence transnational trade flows and the activities of multinational corporations, as they create uncertainty with regard to exports and imports.</w:t>
      </w:r>
    </w:p>
    <w:p w:rsidR="005D1505" w:rsidRPr="00EE111C" w:rsidRDefault="005D1505" w:rsidP="005D1505">
      <w:pPr>
        <w:jc w:val="both"/>
        <w:rPr>
          <w:rFonts w:asciiTheme="majorBidi" w:hAnsiTheme="majorBidi" w:cstheme="majorBidi"/>
          <w:b/>
          <w:bCs/>
          <w:i/>
          <w:iCs/>
          <w:lang w:val="en-US"/>
        </w:rPr>
      </w:pPr>
    </w:p>
    <w:p w:rsidR="005D1505" w:rsidRPr="00EE111C" w:rsidRDefault="005D1505" w:rsidP="00EE111C">
      <w:pPr>
        <w:jc w:val="both"/>
        <w:rPr>
          <w:rFonts w:asciiTheme="majorBidi" w:hAnsiTheme="majorBidi" w:cstheme="majorBidi"/>
          <w:b/>
          <w:bCs/>
          <w:sz w:val="24"/>
          <w:szCs w:val="24"/>
          <w:lang w:val="en-US"/>
        </w:rPr>
      </w:pPr>
      <w:r w:rsidRPr="00EE111C">
        <w:rPr>
          <w:rFonts w:asciiTheme="majorBidi" w:hAnsiTheme="majorBidi" w:cstheme="majorBidi"/>
          <w:b/>
          <w:bCs/>
          <w:sz w:val="24"/>
          <w:szCs w:val="24"/>
          <w:lang w:val="en-US"/>
        </w:rPr>
        <w:t>References</w:t>
      </w:r>
    </w:p>
    <w:p w:rsidR="005D1505" w:rsidRPr="00105ACA" w:rsidRDefault="005D1505" w:rsidP="005D1505">
      <w:pPr>
        <w:jc w:val="both"/>
        <w:rPr>
          <w:rFonts w:asciiTheme="majorBidi" w:hAnsiTheme="majorBidi" w:cstheme="majorBidi"/>
          <w:b/>
          <w:bCs/>
          <w:i/>
          <w:iCs/>
          <w:sz w:val="28"/>
          <w:szCs w:val="28"/>
          <w:lang w:val="en-US"/>
        </w:rPr>
      </w:pPr>
    </w:p>
    <w:p w:rsidR="00EE111C" w:rsidRDefault="0086441E" w:rsidP="00EE111C">
      <w:pPr>
        <w:ind w:left="340" w:hanging="340"/>
        <w:jc w:val="both"/>
        <w:rPr>
          <w:rFonts w:asciiTheme="majorBidi" w:hAnsiTheme="majorBidi" w:cstheme="majorBidi"/>
          <w:lang w:val="en-US"/>
        </w:rPr>
      </w:pPr>
      <w:r w:rsidRPr="00EE111C">
        <w:rPr>
          <w:rFonts w:ascii="Times New Roman" w:hAnsi="Times New Roman" w:cs="Times New Roman"/>
          <w:lang w:val="en-US"/>
        </w:rPr>
        <w:t xml:space="preserve">Aggarwal, R. (1981). Exchange rates and stock prices: A study of the US capital markets under floating exchange rates. </w:t>
      </w:r>
      <w:r w:rsidRPr="00EE111C">
        <w:rPr>
          <w:rFonts w:ascii="Times New Roman" w:hAnsi="Times New Roman" w:cs="Times New Roman"/>
          <w:i/>
          <w:lang w:val="en-US"/>
        </w:rPr>
        <w:t>Akron Business and Economic Review</w:t>
      </w:r>
      <w:r w:rsidRPr="00EE111C">
        <w:rPr>
          <w:rFonts w:ascii="Times New Roman" w:hAnsi="Times New Roman" w:cs="Times New Roman"/>
          <w:lang w:val="en-US"/>
        </w:rPr>
        <w:t>, 12,  7-12.</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 xml:space="preserve">Arghyrou, M.G., and Kontonikas, A. (2012). The EMU sovereign-debt crisis: fundamentals, expectations and contagion. </w:t>
      </w:r>
      <w:r w:rsidRPr="00EE111C">
        <w:rPr>
          <w:rFonts w:asciiTheme="majorBidi" w:hAnsiTheme="majorBidi" w:cstheme="majorBidi"/>
          <w:i/>
          <w:iCs/>
          <w:lang w:val="en-US"/>
        </w:rPr>
        <w:t>Journal of International Financial Markets, Institutions and Money</w:t>
      </w:r>
      <w:r w:rsidRPr="00EE111C">
        <w:rPr>
          <w:rFonts w:asciiTheme="majorBidi" w:hAnsiTheme="majorBidi" w:cstheme="majorBidi"/>
          <w:lang w:val="en-US"/>
        </w:rPr>
        <w:t xml:space="preserve"> 22, 658-677.</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Baur, D.G. (2012).Financial contagion and the real economy.</w:t>
      </w:r>
      <w:r w:rsidRPr="00EE111C">
        <w:rPr>
          <w:rFonts w:asciiTheme="majorBidi" w:hAnsiTheme="majorBidi" w:cstheme="majorBidi"/>
          <w:i/>
          <w:iCs/>
          <w:lang w:val="en-US"/>
        </w:rPr>
        <w:t>Journal of Banking and Finance</w:t>
      </w:r>
      <w:r w:rsidRPr="00EE111C">
        <w:rPr>
          <w:rFonts w:asciiTheme="majorBidi" w:hAnsiTheme="majorBidi" w:cstheme="majorBidi"/>
          <w:lang w:val="en-US"/>
        </w:rPr>
        <w:t xml:space="preserve"> 36(10), 2680-2698.</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BIS (2009). The international financial crisis: Timeline, impact and policy responses in Asia and the Pacific. Bank for International Settlements.</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Boero, G., Silvapulle, P., and Tursunalieva, A. (2011).Modelling the bivariate dependence structure of exchange rates before and after the introduction of the euro: a semi-parametric approach.</w:t>
      </w:r>
      <w:r w:rsidRPr="00EE111C">
        <w:rPr>
          <w:rFonts w:asciiTheme="majorBidi" w:hAnsiTheme="majorBidi" w:cstheme="majorBidi"/>
          <w:i/>
          <w:iCs/>
          <w:lang w:val="en-US"/>
        </w:rPr>
        <w:t>International Journal of Finance and Economics</w:t>
      </w:r>
      <w:r w:rsidRPr="00EE111C">
        <w:rPr>
          <w:rFonts w:asciiTheme="majorBidi" w:hAnsiTheme="majorBidi" w:cstheme="majorBidi"/>
          <w:lang w:val="en-US"/>
        </w:rPr>
        <w:t xml:space="preserve"> 16, 357–374.</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Bollerslev, T. (1987). A Conditionally Heteroskedastic Time Series Model for Speculative Prices and Rates of Return. Review of Economics and Statistics 69, 542-547.</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Boyer, B., Kumagai, T., and Yuan, K. (2006). How do crises spread? Evidence from accessible and inaccessible stock indices.</w:t>
      </w:r>
      <w:r w:rsidRPr="00EE111C">
        <w:rPr>
          <w:rFonts w:asciiTheme="majorBidi" w:hAnsiTheme="majorBidi" w:cstheme="majorBidi"/>
          <w:i/>
          <w:iCs/>
          <w:lang w:val="en-US"/>
        </w:rPr>
        <w:t>Journal of Finance</w:t>
      </w:r>
      <w:r w:rsidRPr="00EE111C">
        <w:rPr>
          <w:rFonts w:asciiTheme="majorBidi" w:hAnsiTheme="majorBidi" w:cstheme="majorBidi"/>
          <w:lang w:val="en-US"/>
        </w:rPr>
        <w:t xml:space="preserve"> 61, 957-1003.</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Branson, W.H. (1983).</w:t>
      </w:r>
      <w:r w:rsidRPr="00EE111C">
        <w:rPr>
          <w:rFonts w:ascii="Times New Roman" w:hAnsi="Times New Roman" w:cs="Times New Roman"/>
          <w:lang w:val="en-US"/>
        </w:rPr>
        <w:t xml:space="preserve"> Macroeconomic determinants of real exchange risk. In: Herring, R.J. (Ed.), Managing Foreign Exchange Risk. Cambridge University.</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 xml:space="preserve">Cappiello, L., Engle, R., and Sheppard, K. (2006). Asymmetric dynamics in the correlations of global equity and bond returns. </w:t>
      </w:r>
      <w:r w:rsidRPr="00EE111C">
        <w:rPr>
          <w:rFonts w:asciiTheme="majorBidi" w:hAnsiTheme="majorBidi" w:cstheme="majorBidi"/>
          <w:i/>
          <w:lang w:val="en-US"/>
        </w:rPr>
        <w:t>Journal of Financial Economics</w:t>
      </w:r>
      <w:r w:rsidRPr="00EE111C">
        <w:rPr>
          <w:rFonts w:asciiTheme="majorBidi" w:hAnsiTheme="majorBidi" w:cstheme="majorBidi"/>
          <w:lang w:val="en-US"/>
        </w:rPr>
        <w:t>, 4(4), 537-572.</w:t>
      </w:r>
    </w:p>
    <w:p w:rsid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 xml:space="preserve">Chiang, T.C., Jeon, B.N., and Li, H. (2007). Dynamic Correlation Analysis of Financial Contagion: Evidence from Asian Markets. </w:t>
      </w:r>
      <w:r w:rsidRPr="00EE111C">
        <w:rPr>
          <w:rFonts w:asciiTheme="majorBidi" w:hAnsiTheme="majorBidi" w:cstheme="majorBidi"/>
          <w:i/>
          <w:iCs/>
          <w:lang w:val="en-US"/>
        </w:rPr>
        <w:t>Journal of International Money and Finance</w:t>
      </w:r>
      <w:r w:rsidRPr="00EE111C">
        <w:rPr>
          <w:rFonts w:asciiTheme="majorBidi" w:hAnsiTheme="majorBidi" w:cstheme="majorBidi"/>
          <w:lang w:val="en-US"/>
        </w:rPr>
        <w:t xml:space="preserve"> 26, 1206-1228.</w:t>
      </w:r>
    </w:p>
    <w:p w:rsidR="00EE111C" w:rsidRDefault="0086441E" w:rsidP="00EE111C">
      <w:pPr>
        <w:ind w:left="340" w:hanging="340"/>
        <w:jc w:val="both"/>
        <w:rPr>
          <w:rFonts w:asciiTheme="majorBidi" w:hAnsiTheme="majorBidi" w:cstheme="majorBidi"/>
          <w:lang w:val="en-US"/>
        </w:rPr>
      </w:pPr>
      <w:r w:rsidRPr="00EE111C">
        <w:rPr>
          <w:rFonts w:ascii="Times New Roman" w:hAnsi="Times New Roman" w:cs="Times New Roman"/>
          <w:lang w:val="en-US"/>
        </w:rPr>
        <w:lastRenderedPageBreak/>
        <w:t>Chkili, W., Aloui, C., Masood, O., Fry, J., 2011.Stock market volatility and exchange ratesin emerging countries: A Markov-state switching approach. Emerging Markets Review 12, 272-292.</w:t>
      </w:r>
    </w:p>
    <w:p w:rsidR="0086441E" w:rsidRPr="00EE111C" w:rsidRDefault="0086441E" w:rsidP="00EE111C">
      <w:pPr>
        <w:ind w:left="340" w:hanging="340"/>
        <w:jc w:val="both"/>
        <w:rPr>
          <w:rFonts w:asciiTheme="majorBidi" w:hAnsiTheme="majorBidi" w:cstheme="majorBidi"/>
          <w:lang w:val="en-US"/>
        </w:rPr>
      </w:pPr>
      <w:r w:rsidRPr="00EE111C">
        <w:rPr>
          <w:rFonts w:asciiTheme="majorBidi" w:hAnsiTheme="majorBidi" w:cstheme="majorBidi"/>
          <w:lang w:val="en-US"/>
        </w:rPr>
        <w:t>Constancio, V. (2012).Contagion and the European debt crisis.</w:t>
      </w:r>
      <w:r w:rsidRPr="00EE111C">
        <w:rPr>
          <w:rFonts w:asciiTheme="majorBidi" w:hAnsiTheme="majorBidi" w:cstheme="majorBidi"/>
          <w:i/>
          <w:iCs/>
          <w:lang w:val="en-US"/>
        </w:rPr>
        <w:t>Financial Stability Review</w:t>
      </w:r>
      <w:r w:rsidRPr="00EE111C">
        <w:rPr>
          <w:rFonts w:asciiTheme="majorBidi" w:hAnsiTheme="majorBidi" w:cstheme="majorBidi"/>
          <w:lang w:val="en-US"/>
        </w:rPr>
        <w:t xml:space="preserve"> 16, 109-121.</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Dimitriou, D., and Kenourgios, D. (2013).Financial crises and dynamic linkages among international currencies.</w:t>
      </w:r>
      <w:r w:rsidRPr="00EE111C">
        <w:rPr>
          <w:rFonts w:asciiTheme="majorBidi" w:hAnsiTheme="majorBidi" w:cstheme="majorBidi"/>
          <w:i/>
          <w:iCs/>
          <w:lang w:val="en-US"/>
        </w:rPr>
        <w:t>Journal of International Financial Markets, Institutions and Money</w:t>
      </w:r>
      <w:r w:rsidRPr="00EE111C">
        <w:rPr>
          <w:rFonts w:asciiTheme="majorBidi" w:hAnsiTheme="majorBidi" w:cstheme="majorBidi"/>
          <w:lang w:val="en-US"/>
        </w:rPr>
        <w:t xml:space="preserve"> 26, 319-332.</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Dornbusch, R. et Fisher, S. (1980).Exchange rate and the current account. American Economic Review, 70, 960-971.</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Engle, R.F. (2002). Dynamic conditional correlation: a simple class of multivariate generalized autoregressive conditional heteroskedasticity models. Journal of Business and Economic Statistics 20 (3), 339-350.</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 xml:space="preserve">Engle, R.F. (2002). Dynamic conditional correlation: a simple class of multivariate generalized autoregressive conditional heteroskedasticity models. </w:t>
      </w:r>
      <w:r w:rsidRPr="00EE111C">
        <w:rPr>
          <w:rFonts w:asciiTheme="majorBidi" w:hAnsiTheme="majorBidi" w:cstheme="majorBidi"/>
          <w:i/>
          <w:iCs/>
          <w:lang w:val="en-US"/>
        </w:rPr>
        <w:t>Journal of Business and Economic Statistics</w:t>
      </w:r>
      <w:r w:rsidRPr="00EE111C">
        <w:rPr>
          <w:rFonts w:asciiTheme="majorBidi" w:hAnsiTheme="majorBidi" w:cstheme="majorBidi"/>
          <w:lang w:val="en-US"/>
        </w:rPr>
        <w:t xml:space="preserve"> 20 (3), 339-350.</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Engle, R.F., and Ng, V.K. (1993). Measuring and testing the impact of news on volatility. Journal of Finance 48 (5), 1749-1778.</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Federal Reserve Board of St. Louis (2009). The financial crisis: A timeline of events and policy actions.</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 xml:space="preserve">Forbes, K., and Rigobon, R. (2002). No Contagion, Only Interdependence: Measuring Stock Market Co-Movements. </w:t>
      </w:r>
      <w:r w:rsidRPr="00EE111C">
        <w:rPr>
          <w:rFonts w:asciiTheme="majorBidi" w:hAnsiTheme="majorBidi" w:cstheme="majorBidi"/>
          <w:i/>
          <w:iCs/>
          <w:lang w:val="en-US"/>
        </w:rPr>
        <w:t>Journal of Finance</w:t>
      </w:r>
      <w:r w:rsidRPr="00EE111C">
        <w:rPr>
          <w:rFonts w:asciiTheme="majorBidi" w:hAnsiTheme="majorBidi" w:cstheme="majorBidi"/>
          <w:lang w:val="en-US"/>
        </w:rPr>
        <w:t xml:space="preserve"> 57(5), 2223-2261</w:t>
      </w:r>
      <w:r w:rsidR="00EE111C">
        <w:rPr>
          <w:rFonts w:asciiTheme="majorBidi" w:hAnsiTheme="majorBidi" w:cstheme="majorBidi"/>
          <w:lang w:val="en-US"/>
        </w:rPr>
        <w:t>.</w:t>
      </w:r>
    </w:p>
    <w:p w:rsidR="00EE111C" w:rsidRDefault="0086441E" w:rsidP="00EE111C">
      <w:pPr>
        <w:ind w:left="709" w:hanging="709"/>
        <w:jc w:val="both"/>
        <w:rPr>
          <w:rFonts w:asciiTheme="majorBidi" w:hAnsiTheme="majorBidi" w:cstheme="majorBidi"/>
          <w:lang w:val="en-US"/>
        </w:rPr>
      </w:pPr>
      <w:r w:rsidRPr="00EE111C">
        <w:rPr>
          <w:rFonts w:ascii="Times New Roman" w:hAnsi="Times New Roman" w:cs="Times New Roman"/>
          <w:lang w:val="en-US"/>
        </w:rPr>
        <w:t>Frankel, J.A. (1983). Monetary and portfolio balance models of exchange rate determination. In: Bhandari, J.S., Putnam, B.H. (Eds.), Economic Interdependence and Flexible Exchange Rates. MIT Press, Cambridge, MA.</w:t>
      </w:r>
    </w:p>
    <w:p w:rsidR="00EE111C" w:rsidRDefault="0086441E" w:rsidP="00EE111C">
      <w:pPr>
        <w:ind w:left="709" w:hanging="709"/>
        <w:jc w:val="both"/>
        <w:rPr>
          <w:rFonts w:asciiTheme="majorBidi" w:hAnsiTheme="majorBidi" w:cstheme="majorBidi"/>
          <w:lang w:val="en-US"/>
        </w:rPr>
      </w:pPr>
      <w:r w:rsidRPr="00EE111C">
        <w:rPr>
          <w:rFonts w:ascii="Times New Roman" w:hAnsi="Times New Roman" w:cs="Times New Roman"/>
          <w:lang w:val="en-US"/>
        </w:rPr>
        <w:t>Ibrahim, M., (2000), Cointegration and Granger Causality Tests of Stock Price and Exchange Rates Interaction in Malaysia.</w:t>
      </w:r>
      <w:r w:rsidRPr="00EE111C">
        <w:rPr>
          <w:rFonts w:ascii="Times New Roman" w:hAnsi="Times New Roman" w:cs="Times New Roman"/>
          <w:i/>
          <w:iCs/>
          <w:lang w:val="en-US"/>
        </w:rPr>
        <w:t>ASEAN Economics Bulletin</w:t>
      </w:r>
      <w:r w:rsidRPr="00EE111C">
        <w:rPr>
          <w:rFonts w:ascii="Times New Roman" w:hAnsi="Times New Roman" w:cs="Times New Roman"/>
          <w:lang w:val="en-US"/>
        </w:rPr>
        <w:t>.Vol 17, no.1.</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Inagaki, K. (2007).Testing for volatility spillover between the British pound and the euro.</w:t>
      </w:r>
      <w:r w:rsidRPr="00EE111C">
        <w:rPr>
          <w:rFonts w:asciiTheme="majorBidi" w:hAnsiTheme="majorBidi" w:cstheme="majorBidi"/>
          <w:i/>
          <w:iCs/>
          <w:lang w:val="en-US"/>
        </w:rPr>
        <w:t>Research in International Business and Finance</w:t>
      </w:r>
      <w:r w:rsidRPr="00EE111C">
        <w:rPr>
          <w:rFonts w:asciiTheme="majorBidi" w:hAnsiTheme="majorBidi" w:cstheme="majorBidi"/>
          <w:lang w:val="en-US"/>
        </w:rPr>
        <w:t xml:space="preserve"> 21, 161-174.</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 xml:space="preserve">Kalbaska, A., and Gatkowski, M. (2012). Eurozone sovereign contagion: evidence from the CDS market (2005–2010). </w:t>
      </w:r>
      <w:r w:rsidRPr="00EE111C">
        <w:rPr>
          <w:rFonts w:asciiTheme="majorBidi" w:hAnsiTheme="majorBidi" w:cstheme="majorBidi"/>
          <w:i/>
          <w:iCs/>
          <w:lang w:val="en-US"/>
        </w:rPr>
        <w:t>Journal of Economic Behavior and Organization</w:t>
      </w:r>
      <w:r w:rsidRPr="00EE111C">
        <w:rPr>
          <w:rFonts w:asciiTheme="majorBidi" w:hAnsiTheme="majorBidi" w:cstheme="majorBidi"/>
          <w:lang w:val="en-US"/>
        </w:rPr>
        <w:t xml:space="preserve"> 83, 657-673.</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Kenourgios, D., Samitas, A., and Paltalidis, N. (2011). Financial crises and stock market contagion ina multivariate time-varying asymmetric framework. International Financial Markets, Institutions and Money 21, 92-106.</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Kitamura, Y. (2010). Testing for intraday interdependence and volatility spillover among the euro, the pound and Swiss franc markets.</w:t>
      </w:r>
      <w:r w:rsidRPr="00EE111C">
        <w:rPr>
          <w:rFonts w:asciiTheme="majorBidi" w:hAnsiTheme="majorBidi" w:cstheme="majorBidi"/>
          <w:i/>
          <w:iCs/>
          <w:lang w:val="en-US"/>
        </w:rPr>
        <w:t>Research in International Business and Finance</w:t>
      </w:r>
      <w:r w:rsidRPr="00EE111C">
        <w:rPr>
          <w:rFonts w:asciiTheme="majorBidi" w:hAnsiTheme="majorBidi" w:cstheme="majorBidi"/>
          <w:lang w:val="en-US"/>
        </w:rPr>
        <w:t xml:space="preserve"> 24, 158-270.</w:t>
      </w:r>
    </w:p>
    <w:p w:rsidR="00EE111C" w:rsidRDefault="0086441E" w:rsidP="00EE111C">
      <w:pPr>
        <w:ind w:left="709" w:hanging="709"/>
        <w:jc w:val="both"/>
        <w:rPr>
          <w:rFonts w:asciiTheme="majorBidi" w:hAnsiTheme="majorBidi" w:cstheme="majorBidi"/>
          <w:lang w:val="en-US"/>
        </w:rPr>
      </w:pPr>
      <w:r w:rsidRPr="00EE111C">
        <w:rPr>
          <w:rFonts w:ascii="Times New Roman" w:hAnsi="Times New Roman" w:cs="Times New Roman"/>
          <w:lang w:val="en-US"/>
        </w:rPr>
        <w:t xml:space="preserve">Malliaropulos, D. (1998). International stocks return differentials and real exchange rate changes.  </w:t>
      </w:r>
      <w:r w:rsidRPr="00EE111C">
        <w:rPr>
          <w:rFonts w:ascii="Times New Roman" w:hAnsi="Times New Roman" w:cs="Times New Roman"/>
          <w:i/>
          <w:iCs/>
          <w:lang w:val="en-US"/>
        </w:rPr>
        <w:t>Journal of International Money and Finance</w:t>
      </w:r>
      <w:r w:rsidRPr="00EE111C">
        <w:rPr>
          <w:rFonts w:ascii="Times New Roman" w:hAnsi="Times New Roman" w:cs="Times New Roman"/>
          <w:lang w:val="en-US"/>
        </w:rPr>
        <w:t>, 17, 493</w:t>
      </w:r>
      <w:r w:rsidRPr="00EE111C">
        <w:rPr>
          <w:rFonts w:ascii="Times New Roman" w:hAnsi="Times New Roman" w:cs="Times New Roman" w:hint="eastAsia"/>
          <w:lang w:val="en-US"/>
        </w:rPr>
        <w:t>−</w:t>
      </w:r>
      <w:r w:rsidRPr="00EE111C">
        <w:rPr>
          <w:rFonts w:ascii="Times New Roman" w:hAnsi="Times New Roman" w:cs="Times New Roman"/>
          <w:lang w:val="en-US"/>
        </w:rPr>
        <w:t>511.</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 xml:space="preserve">Nelson, D.B. (1991). Conditional heteroskedasticity in asset returns: a new approach. </w:t>
      </w:r>
      <w:r w:rsidRPr="00EE111C">
        <w:rPr>
          <w:rFonts w:asciiTheme="majorBidi" w:hAnsiTheme="majorBidi" w:cstheme="majorBidi"/>
          <w:i/>
          <w:iCs/>
          <w:lang w:val="en-US"/>
        </w:rPr>
        <w:t>Econometrica</w:t>
      </w:r>
      <w:r w:rsidRPr="00EE111C">
        <w:rPr>
          <w:rFonts w:asciiTheme="majorBidi" w:hAnsiTheme="majorBidi" w:cstheme="majorBidi"/>
          <w:lang w:val="en-US"/>
        </w:rPr>
        <w:t>59, 347-370.</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 xml:space="preserve">Pan, M.S., Fok, R.C.-W., Liu, Y.A., 2007.Dynamic linkages between exchange rates and stock prices: evidence from East Asian markets. </w:t>
      </w:r>
      <w:r w:rsidRPr="00EE111C">
        <w:rPr>
          <w:rFonts w:asciiTheme="majorBidi" w:hAnsiTheme="majorBidi" w:cstheme="majorBidi"/>
          <w:i/>
          <w:iCs/>
          <w:lang w:val="en-US"/>
        </w:rPr>
        <w:t>International Review of Economics and Finance</w:t>
      </w:r>
      <w:r w:rsidRPr="00EE111C">
        <w:rPr>
          <w:rFonts w:asciiTheme="majorBidi" w:hAnsiTheme="majorBidi" w:cstheme="majorBidi"/>
          <w:lang w:val="en-US"/>
        </w:rPr>
        <w:t xml:space="preserve"> 16, 503–520.</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Patton, A.J. (2006).Modelling asymmetric exchange rate dependence.</w:t>
      </w:r>
      <w:r w:rsidRPr="00EE111C">
        <w:rPr>
          <w:rFonts w:asciiTheme="majorBidi" w:hAnsiTheme="majorBidi" w:cstheme="majorBidi"/>
          <w:i/>
          <w:iCs/>
          <w:lang w:val="en-US"/>
        </w:rPr>
        <w:t>International Economic Review</w:t>
      </w:r>
      <w:r w:rsidRPr="00EE111C">
        <w:rPr>
          <w:rFonts w:asciiTheme="majorBidi" w:hAnsiTheme="majorBidi" w:cstheme="majorBidi"/>
          <w:lang w:val="en-US"/>
        </w:rPr>
        <w:t xml:space="preserve"> 47, 527-556.</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Perez-Rodriguez, J.V. (2006).The euro and other major currencies floating against the US dollar.Atlantic Economic Journal 34,367-384.</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Rodriquez, J.C. (2007).Measuring financial contagion: a copula approach.</w:t>
      </w:r>
      <w:r w:rsidRPr="00EE111C">
        <w:rPr>
          <w:rFonts w:asciiTheme="majorBidi" w:hAnsiTheme="majorBidi" w:cstheme="majorBidi"/>
          <w:i/>
          <w:iCs/>
          <w:lang w:val="en-US"/>
        </w:rPr>
        <w:t>Journal of Empirical Finance</w:t>
      </w:r>
      <w:r w:rsidRPr="00EE111C">
        <w:rPr>
          <w:rFonts w:asciiTheme="majorBidi" w:hAnsiTheme="majorBidi" w:cstheme="majorBidi"/>
          <w:lang w:val="en-US"/>
        </w:rPr>
        <w:t xml:space="preserve"> 14, 401-423.</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Samitas, A., and Tsakalos, I. (2013). How can a small country affect the European economy? The Greek contagion phenomenon. Journal of International Financial Markets, Institutions and Money, 25, 18-32.</w:t>
      </w:r>
    </w:p>
    <w:p w:rsidR="00EE111C" w:rsidRDefault="0086441E" w:rsidP="00EE111C">
      <w:pPr>
        <w:ind w:left="709" w:hanging="709"/>
        <w:jc w:val="both"/>
        <w:rPr>
          <w:rFonts w:asciiTheme="majorBidi" w:hAnsiTheme="majorBidi" w:cstheme="majorBidi"/>
          <w:lang w:val="en-US"/>
        </w:rPr>
      </w:pPr>
      <w:r w:rsidRPr="00EE111C">
        <w:rPr>
          <w:rFonts w:ascii="Times New Roman" w:hAnsi="Times New Roman" w:cs="Times New Roman"/>
          <w:lang w:val="en-US"/>
        </w:rPr>
        <w:t>Soenen, L. A., &amp;Hennigar, E. S. (1988).An analysis of exchange rates and stock prices: The US experience between 1980 and 1986.</w:t>
      </w:r>
      <w:r w:rsidRPr="00EE111C">
        <w:rPr>
          <w:rFonts w:ascii="Times New Roman" w:hAnsi="Times New Roman" w:cs="Times New Roman"/>
          <w:i/>
          <w:iCs/>
          <w:lang w:val="en-US"/>
        </w:rPr>
        <w:t>Akron Business and Economic Review, Winter,</w:t>
      </w:r>
      <w:r w:rsidRPr="00EE111C">
        <w:rPr>
          <w:rFonts w:ascii="Times New Roman" w:hAnsi="Times New Roman" w:cs="Times New Roman"/>
          <w:lang w:val="en-US"/>
        </w:rPr>
        <w:t>7-16.</w:t>
      </w:r>
    </w:p>
    <w:p w:rsidR="00EE111C" w:rsidRDefault="0086441E" w:rsidP="00EE111C">
      <w:pPr>
        <w:ind w:left="709" w:hanging="709"/>
        <w:jc w:val="both"/>
        <w:rPr>
          <w:rFonts w:asciiTheme="majorBidi" w:hAnsiTheme="majorBidi" w:cstheme="majorBidi"/>
          <w:lang w:val="en-US"/>
        </w:rPr>
      </w:pPr>
      <w:r w:rsidRPr="00EE111C">
        <w:rPr>
          <w:rFonts w:ascii="Times New Roman" w:hAnsi="Times New Roman" w:cs="Times New Roman"/>
          <w:lang w:val="en-US"/>
        </w:rPr>
        <w:t>Solnik, B. H. (1984)</w:t>
      </w:r>
      <w:r w:rsidRPr="00EE111C">
        <w:rPr>
          <w:lang w:val="en-US"/>
        </w:rPr>
        <w:t xml:space="preserve">. </w:t>
      </w:r>
      <w:r w:rsidRPr="00EE111C">
        <w:rPr>
          <w:rFonts w:ascii="Times New Roman" w:hAnsi="Times New Roman" w:cs="Times New Roman"/>
          <w:lang w:val="en-US"/>
        </w:rPr>
        <w:t>Stock and Money variables: The international evidence.</w:t>
      </w:r>
      <w:r w:rsidRPr="00EE111C">
        <w:rPr>
          <w:rFonts w:ascii="Times New Roman" w:hAnsi="Times New Roman" w:cs="Times New Roman"/>
          <w:i/>
          <w:iCs/>
          <w:lang w:val="en-US"/>
        </w:rPr>
        <w:t xml:space="preserve">Financial Analyst Journal, </w:t>
      </w:r>
      <w:r w:rsidRPr="00EE111C">
        <w:rPr>
          <w:rFonts w:ascii="Times New Roman" w:hAnsi="Times New Roman" w:cs="Times New Roman"/>
          <w:lang w:val="en-US"/>
        </w:rPr>
        <w:t>69-73.</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lastRenderedPageBreak/>
        <w:t>Tamakoshi, G., and Hamori, S. (2014). Co-movements among major European exchange rates: A multivariate time-varying asymmetric approach. International Review of Economics and Finance 31, 105-113.</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 xml:space="preserve">Toyoshima, Y., and Hamori, S. (2013). Asymmetric dynamics in stock market correlations: Evidence from Japan and Singapore. </w:t>
      </w:r>
      <w:r w:rsidRPr="00EE111C">
        <w:rPr>
          <w:rFonts w:asciiTheme="majorBidi" w:hAnsiTheme="majorBidi" w:cstheme="majorBidi"/>
          <w:i/>
          <w:lang w:val="en-US"/>
        </w:rPr>
        <w:t>Journal of Asian Economics</w:t>
      </w:r>
      <w:r w:rsidRPr="00EE111C">
        <w:rPr>
          <w:rFonts w:asciiTheme="majorBidi" w:hAnsiTheme="majorBidi" w:cstheme="majorBidi"/>
          <w:lang w:val="en-US"/>
        </w:rPr>
        <w:t xml:space="preserve"> 24, 117-123.</w:t>
      </w:r>
    </w:p>
    <w:p w:rsidR="00EE111C" w:rsidRDefault="0086441E" w:rsidP="00EE111C">
      <w:pPr>
        <w:ind w:left="709" w:hanging="709"/>
        <w:jc w:val="both"/>
        <w:rPr>
          <w:rFonts w:asciiTheme="majorBidi" w:hAnsiTheme="majorBidi" w:cstheme="majorBidi"/>
          <w:lang w:val="en-US"/>
        </w:rPr>
      </w:pPr>
      <w:r w:rsidRPr="00EE111C">
        <w:rPr>
          <w:rFonts w:asciiTheme="majorBidi" w:hAnsiTheme="majorBidi" w:cstheme="majorBidi"/>
          <w:lang w:val="en-US"/>
        </w:rPr>
        <w:t>Toyoshima, Y., Tamakoshi, G., and Hamori, S. (2012). Asymmetric dynamics in correlations of treasury and swap markets: Evidence from the US market. Journal of International Financial Markets, Institutions and Money, 22, 381-394.</w:t>
      </w:r>
    </w:p>
    <w:p w:rsidR="00EE111C" w:rsidRDefault="0086441E" w:rsidP="00EE111C">
      <w:pPr>
        <w:ind w:left="709" w:hanging="709"/>
        <w:jc w:val="both"/>
        <w:rPr>
          <w:rFonts w:asciiTheme="majorBidi" w:hAnsiTheme="majorBidi" w:cstheme="majorBidi"/>
          <w:lang w:val="en-US"/>
        </w:rPr>
      </w:pPr>
      <w:r w:rsidRPr="00EE111C">
        <w:rPr>
          <w:rFonts w:ascii="Times New Roman" w:hAnsi="Times New Roman" w:cs="Times New Roman"/>
          <w:lang w:val="en-US"/>
        </w:rPr>
        <w:t xml:space="preserve">Wu, Y. (2001). Exchange rates, stock prices, and money markets: evidence from Singapore. </w:t>
      </w:r>
      <w:r w:rsidRPr="00EE111C">
        <w:rPr>
          <w:rFonts w:ascii="Times New Roman" w:hAnsi="Times New Roman" w:cs="Times New Roman"/>
          <w:i/>
          <w:iCs/>
          <w:lang w:val="en-US"/>
        </w:rPr>
        <w:t>Journal of Asian Economics</w:t>
      </w:r>
      <w:r w:rsidRPr="00EE111C">
        <w:rPr>
          <w:rFonts w:ascii="Times New Roman" w:hAnsi="Times New Roman" w:cs="Times New Roman"/>
          <w:lang w:val="en-US"/>
        </w:rPr>
        <w:t>, 12 (3), 445-458.</w:t>
      </w:r>
    </w:p>
    <w:p w:rsidR="0086441E" w:rsidRPr="00EE111C" w:rsidRDefault="0086441E" w:rsidP="00EE111C">
      <w:pPr>
        <w:ind w:left="709" w:hanging="709"/>
        <w:jc w:val="both"/>
        <w:rPr>
          <w:rFonts w:asciiTheme="majorBidi" w:hAnsiTheme="majorBidi" w:cstheme="majorBidi"/>
          <w:lang w:val="en-US"/>
        </w:rPr>
      </w:pPr>
      <w:r w:rsidRPr="00EE111C">
        <w:rPr>
          <w:rFonts w:ascii="Times New Roman" w:hAnsi="Times New Roman" w:cs="Times New Roman"/>
          <w:lang w:val="en-US"/>
        </w:rPr>
        <w:t>Yang, S.Y., Doong, S.C., 2004</w:t>
      </w:r>
      <w:r w:rsidRPr="00EE111C">
        <w:rPr>
          <w:lang w:val="en-US"/>
        </w:rPr>
        <w:t>.</w:t>
      </w:r>
      <w:r w:rsidRPr="00EE111C">
        <w:rPr>
          <w:rFonts w:ascii="Times New Roman" w:hAnsi="Times New Roman" w:cs="Times New Roman"/>
          <w:lang w:val="en-US"/>
        </w:rPr>
        <w:t>Price and volatility spillovers between stock prices and exchange rates: empirical evidence from the G-7 countries.</w:t>
      </w:r>
      <w:r w:rsidRPr="00EE111C">
        <w:rPr>
          <w:rFonts w:ascii="Times New Roman" w:hAnsi="Times New Roman" w:cs="Times New Roman"/>
          <w:i/>
          <w:iCs/>
          <w:lang w:val="en-US"/>
        </w:rPr>
        <w:t xml:space="preserve">International Journal of Business and Economics </w:t>
      </w:r>
      <w:r w:rsidRPr="00EE111C">
        <w:rPr>
          <w:rFonts w:ascii="Times New Roman" w:hAnsi="Times New Roman" w:cs="Times New Roman"/>
          <w:lang w:val="en-US"/>
        </w:rPr>
        <w:t>3, 139-153.</w:t>
      </w:r>
      <w:r w:rsidRPr="00EE111C">
        <w:rPr>
          <w:rFonts w:ascii="Times New Roman" w:hAnsi="Times New Roman" w:cs="Times New Roman"/>
          <w:lang w:val="en-US"/>
        </w:rPr>
        <w:cr/>
      </w:r>
    </w:p>
    <w:p w:rsidR="005D1505" w:rsidRDefault="005D1505" w:rsidP="005D1505">
      <w:pPr>
        <w:autoSpaceDE w:val="0"/>
        <w:autoSpaceDN w:val="0"/>
        <w:adjustRightInd w:val="0"/>
        <w:spacing w:before="120" w:after="120"/>
        <w:ind w:left="709" w:hanging="709"/>
        <w:jc w:val="both"/>
        <w:rPr>
          <w:rFonts w:ascii="Times New Roman" w:hAnsi="Times New Roman" w:cs="Times New Roman"/>
          <w:sz w:val="24"/>
          <w:szCs w:val="24"/>
          <w:lang w:val="en-US"/>
        </w:rPr>
      </w:pPr>
    </w:p>
    <w:p w:rsidR="00E909A2" w:rsidRPr="001E6C9C" w:rsidRDefault="00E909A2" w:rsidP="001E6C9C">
      <w:pPr>
        <w:jc w:val="both"/>
        <w:rPr>
          <w:rFonts w:asciiTheme="majorBidi" w:hAnsiTheme="majorBidi" w:cstheme="majorBidi"/>
          <w:sz w:val="24"/>
          <w:szCs w:val="24"/>
          <w:lang w:val="en-US"/>
        </w:rPr>
      </w:pPr>
    </w:p>
    <w:sectPr w:rsidR="00E909A2" w:rsidRPr="001E6C9C" w:rsidSect="00936BD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375" w:rsidRDefault="00814375" w:rsidP="009C701E">
      <w:r>
        <w:separator/>
      </w:r>
    </w:p>
  </w:endnote>
  <w:endnote w:type="continuationSeparator" w:id="1">
    <w:p w:rsidR="00814375" w:rsidRDefault="00814375" w:rsidP="009C7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860"/>
      <w:docPartObj>
        <w:docPartGallery w:val="Page Numbers (Bottom of Page)"/>
        <w:docPartUnique/>
      </w:docPartObj>
    </w:sdtPr>
    <w:sdtContent>
      <w:p w:rsidR="00485F89" w:rsidRDefault="00194326">
        <w:pPr>
          <w:pStyle w:val="Pieddepage"/>
        </w:pPr>
        <w:fldSimple w:instr=" PAGE   \* MERGEFORMAT ">
          <w:r w:rsidR="00955A5F">
            <w:rPr>
              <w:noProof/>
            </w:rPr>
            <w:t>20</w:t>
          </w:r>
        </w:fldSimple>
      </w:p>
    </w:sdtContent>
  </w:sdt>
  <w:p w:rsidR="00485F89" w:rsidRDefault="00485F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375" w:rsidRDefault="00814375" w:rsidP="009C701E">
      <w:r>
        <w:separator/>
      </w:r>
    </w:p>
  </w:footnote>
  <w:footnote w:type="continuationSeparator" w:id="1">
    <w:p w:rsidR="00814375" w:rsidRDefault="00814375" w:rsidP="009C701E">
      <w:r>
        <w:continuationSeparator/>
      </w:r>
    </w:p>
  </w:footnote>
  <w:footnote w:id="2">
    <w:p w:rsidR="00485F89" w:rsidRPr="00AE431E" w:rsidRDefault="00485F89" w:rsidP="00CF17FE">
      <w:pPr>
        <w:pStyle w:val="Notedebasdepage"/>
        <w:jc w:val="both"/>
        <w:rPr>
          <w:rFonts w:ascii="Times New Roman" w:hAnsi="Times New Roman" w:cs="Times New Roman"/>
          <w:sz w:val="16"/>
          <w:szCs w:val="16"/>
          <w:lang w:val="en-US"/>
        </w:rPr>
      </w:pPr>
      <w:r w:rsidRPr="00655D17">
        <w:rPr>
          <w:rStyle w:val="Appelnotedebasdep"/>
          <w:rFonts w:ascii="Times New Roman" w:hAnsi="Times New Roman" w:cs="Times New Roman"/>
        </w:rPr>
        <w:footnoteRef/>
      </w:r>
      <w:r w:rsidRPr="00655D17">
        <w:rPr>
          <w:rFonts w:ascii="Times New Roman" w:hAnsi="Times New Roman" w:cs="Times New Roman"/>
          <w:sz w:val="16"/>
          <w:szCs w:val="16"/>
          <w:lang w:val="en-US"/>
        </w:rPr>
        <w:t xml:space="preserve"> See Nelson (1991).</w:t>
      </w:r>
    </w:p>
  </w:footnote>
  <w:footnote w:id="3">
    <w:p w:rsidR="00485F89" w:rsidRPr="0068758C" w:rsidRDefault="00485F89" w:rsidP="00CF17FE">
      <w:pPr>
        <w:pStyle w:val="Notedebasdepage"/>
        <w:jc w:val="both"/>
        <w:rPr>
          <w:rFonts w:asciiTheme="majorBidi" w:hAnsiTheme="majorBidi" w:cstheme="majorBidi"/>
          <w:sz w:val="16"/>
          <w:szCs w:val="16"/>
          <w:lang w:val="en-US"/>
        </w:rPr>
      </w:pPr>
      <w:r w:rsidRPr="0068758C">
        <w:rPr>
          <w:rStyle w:val="Appelnotedebasdep"/>
          <w:rFonts w:asciiTheme="majorBidi" w:hAnsiTheme="majorBidi" w:cstheme="majorBidi"/>
          <w:sz w:val="16"/>
          <w:szCs w:val="16"/>
        </w:rPr>
        <w:footnoteRef/>
      </w:r>
      <w:hyperlink r:id="rId1" w:history="1">
        <w:r w:rsidRPr="0068758C">
          <w:rPr>
            <w:rStyle w:val="Lienhypertexte"/>
            <w:rFonts w:asciiTheme="majorBidi" w:hAnsiTheme="majorBidi" w:cstheme="majorBidi"/>
            <w:sz w:val="16"/>
            <w:szCs w:val="16"/>
            <w:lang w:val="en-US"/>
          </w:rPr>
          <w:t>http://www.ecb.int/ecb/html/crisis.en.html</w:t>
        </w:r>
      </w:hyperlink>
      <w:r w:rsidRPr="0068758C">
        <w:rPr>
          <w:rFonts w:asciiTheme="majorBidi" w:hAnsiTheme="majorBidi" w:cstheme="majorBidi"/>
          <w:sz w:val="16"/>
          <w:szCs w:val="16"/>
          <w:lang w:val="en-US"/>
        </w:rPr>
        <w:t>.</w:t>
      </w:r>
    </w:p>
  </w:footnote>
  <w:footnote w:id="4">
    <w:p w:rsidR="00485F89" w:rsidRPr="0068758C" w:rsidRDefault="00485F89" w:rsidP="00CF17FE">
      <w:pPr>
        <w:pStyle w:val="Notedebasdepage"/>
        <w:rPr>
          <w:rFonts w:asciiTheme="majorBidi" w:hAnsiTheme="majorBidi" w:cstheme="majorBidi"/>
          <w:sz w:val="16"/>
          <w:szCs w:val="16"/>
          <w:lang w:val="en-US"/>
        </w:rPr>
      </w:pPr>
      <w:r w:rsidRPr="0068758C">
        <w:rPr>
          <w:rStyle w:val="Appelnotedebasdep"/>
          <w:rFonts w:asciiTheme="majorBidi" w:hAnsiTheme="majorBidi" w:cstheme="majorBidi"/>
          <w:sz w:val="16"/>
          <w:szCs w:val="16"/>
        </w:rPr>
        <w:footnoteRef/>
      </w:r>
      <w:hyperlink r:id="rId2" w:history="1">
        <w:r w:rsidRPr="0068758C">
          <w:rPr>
            <w:rStyle w:val="Lienhypertexte"/>
            <w:rFonts w:asciiTheme="majorBidi" w:hAnsiTheme="majorBidi" w:cstheme="majorBidi"/>
            <w:sz w:val="16"/>
            <w:szCs w:val="16"/>
            <w:lang w:val="en-US"/>
          </w:rPr>
          <w:t>http://www.reuters.com/article/2010/08/25/eurozone-crisis-events-idUSLDE67O0YD20100825</w:t>
        </w:r>
      </w:hyperlink>
      <w:r w:rsidRPr="0068758C">
        <w:rPr>
          <w:rFonts w:asciiTheme="majorBidi" w:hAnsiTheme="majorBidi" w:cstheme="majorBidi"/>
          <w:sz w:val="16"/>
          <w:szCs w:val="16"/>
          <w:lang w:val="en-US"/>
        </w:rPr>
        <w:t>.</w:t>
      </w:r>
    </w:p>
  </w:footnote>
  <w:footnote w:id="5">
    <w:p w:rsidR="00485F89" w:rsidRPr="0068758C" w:rsidRDefault="00485F89" w:rsidP="00CF17FE">
      <w:pPr>
        <w:pStyle w:val="Notedebasdepage"/>
        <w:jc w:val="both"/>
        <w:rPr>
          <w:rFonts w:asciiTheme="majorBidi" w:hAnsiTheme="majorBidi" w:cstheme="majorBidi"/>
          <w:sz w:val="16"/>
          <w:szCs w:val="16"/>
          <w:lang w:val="en-US"/>
        </w:rPr>
      </w:pPr>
      <w:r w:rsidRPr="0068758C">
        <w:rPr>
          <w:rStyle w:val="Appelnotedebasdep"/>
          <w:rFonts w:asciiTheme="majorBidi" w:hAnsiTheme="majorBidi" w:cstheme="majorBidi"/>
          <w:sz w:val="16"/>
          <w:szCs w:val="16"/>
        </w:rPr>
        <w:footnoteRef/>
      </w:r>
      <w:r w:rsidRPr="0068758C">
        <w:rPr>
          <w:rFonts w:asciiTheme="majorBidi" w:hAnsiTheme="majorBidi" w:cstheme="majorBidi"/>
          <w:sz w:val="16"/>
          <w:szCs w:val="16"/>
          <w:lang w:val="en-US"/>
        </w:rPr>
        <w:t xml:space="preserve">Constancio (2012), Kalbaska and Gatkowski (2012), and Arghyrou and Kontonikas (2012), among others, use a similar timeline for the European sovereign debt crisis. </w:t>
      </w:r>
    </w:p>
  </w:footnote>
  <w:footnote w:id="6">
    <w:p w:rsidR="00485F89" w:rsidRPr="004C4291" w:rsidRDefault="00485F89" w:rsidP="00CF17FE">
      <w:pPr>
        <w:pStyle w:val="Notedebasdepage"/>
        <w:jc w:val="both"/>
        <w:rPr>
          <w:rFonts w:asciiTheme="majorBidi" w:hAnsiTheme="majorBidi" w:cstheme="majorBidi"/>
          <w:sz w:val="16"/>
          <w:szCs w:val="16"/>
          <w:lang w:val="en-US"/>
        </w:rPr>
      </w:pPr>
      <w:r w:rsidRPr="004C4291">
        <w:rPr>
          <w:rStyle w:val="Appelnotedebasdep"/>
          <w:rFonts w:asciiTheme="majorBidi" w:hAnsiTheme="majorBidi" w:cstheme="majorBidi"/>
          <w:sz w:val="16"/>
          <w:szCs w:val="16"/>
        </w:rPr>
        <w:footnoteRef/>
      </w:r>
      <w:r w:rsidRPr="004C4291">
        <w:rPr>
          <w:rFonts w:asciiTheme="majorBidi" w:hAnsiTheme="majorBidi" w:cstheme="majorBidi"/>
          <w:sz w:val="16"/>
          <w:szCs w:val="16"/>
          <w:lang w:val="en-US"/>
        </w:rPr>
        <w:t xml:space="preserve"> In MS-DR model, the lags of the dependent variable are added in the same way as other regressors. An example is:</w:t>
      </w:r>
    </w:p>
    <w:p w:rsidR="00485F89" w:rsidRPr="004C4291" w:rsidRDefault="00485F89" w:rsidP="00CF17FE">
      <w:pPr>
        <w:pStyle w:val="Notedebasdepage"/>
        <w:jc w:val="both"/>
        <w:rPr>
          <w:rFonts w:asciiTheme="majorBidi" w:hAnsiTheme="majorBidi" w:cstheme="majorBidi"/>
          <w:sz w:val="16"/>
          <w:szCs w:val="16"/>
          <w:lang w:val="en-US"/>
        </w:rPr>
      </w:pPr>
    </w:p>
    <w:p w:rsidR="00485F89" w:rsidRPr="004C4291" w:rsidRDefault="00485F89" w:rsidP="00CF17FE">
      <w:pPr>
        <w:pStyle w:val="Notedebasdepage"/>
        <w:jc w:val="both"/>
        <w:rPr>
          <w:rFonts w:asciiTheme="majorBidi" w:hAnsiTheme="majorBidi" w:cstheme="majorBidi"/>
          <w:sz w:val="16"/>
          <w:szCs w:val="16"/>
          <w:lang w:val="en-US"/>
        </w:rPr>
      </w:pPr>
      <w:r w:rsidRPr="004C4291">
        <w:rPr>
          <w:rFonts w:asciiTheme="majorBidi" w:hAnsiTheme="majorBidi" w:cstheme="majorBidi"/>
          <w:sz w:val="16"/>
          <w:szCs w:val="16"/>
          <w:lang w:val="en-US"/>
        </w:rPr>
        <w:tab/>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y</m:t>
            </m:r>
          </m:e>
          <m:sub>
            <m:r>
              <w:rPr>
                <w:rFonts w:ascii="Cambria Math" w:hAnsi="Cambria Math" w:cstheme="majorBidi"/>
                <w:sz w:val="16"/>
                <w:szCs w:val="16"/>
                <w:lang w:val="en-US"/>
              </w:rPr>
              <m:t>t</m:t>
            </m:r>
          </m:sub>
        </m:sSub>
        <m:r>
          <w:rPr>
            <w:rFonts w:ascii="Cambria Math" w:hAnsi="Cambria Math" w:cstheme="majorBidi"/>
            <w:sz w:val="16"/>
            <w:szCs w:val="16"/>
            <w:lang w:val="en-US"/>
          </w:rPr>
          <m:t>=v</m:t>
        </m:r>
        <m:d>
          <m:dPr>
            <m:ctrlPr>
              <w:rPr>
                <w:rFonts w:ascii="Cambria Math" w:hAnsi="Cambria Math" w:cstheme="majorBidi"/>
                <w:i/>
                <w:sz w:val="16"/>
                <w:szCs w:val="16"/>
                <w:lang w:val="en-US"/>
              </w:rPr>
            </m:ctrlPr>
          </m:dPr>
          <m:e>
            <m:sSub>
              <m:sSubPr>
                <m:ctrlPr>
                  <w:rPr>
                    <w:rFonts w:ascii="Cambria Math" w:hAnsi="Cambria Math" w:cstheme="majorBidi"/>
                    <w:i/>
                    <w:sz w:val="16"/>
                    <w:szCs w:val="16"/>
                    <w:lang w:val="en-US"/>
                  </w:rPr>
                </m:ctrlPr>
              </m:sSubPr>
              <m:e>
                <m:r>
                  <w:rPr>
                    <w:rFonts w:ascii="Cambria Math" w:hAnsi="Cambria Math" w:cstheme="majorBidi"/>
                    <w:sz w:val="16"/>
                    <w:szCs w:val="16"/>
                    <w:lang w:val="en-US"/>
                  </w:rPr>
                  <m:t>s</m:t>
                </m:r>
              </m:e>
              <m:sub>
                <m:r>
                  <w:rPr>
                    <w:rFonts w:ascii="Cambria Math" w:hAnsi="Cambria Math" w:cstheme="majorBidi"/>
                    <w:sz w:val="16"/>
                    <w:szCs w:val="16"/>
                    <w:lang w:val="en-US"/>
                  </w:rPr>
                  <m:t>t</m:t>
                </m:r>
              </m:sub>
            </m:sSub>
          </m:e>
        </m:d>
        <m:r>
          <w:rPr>
            <w:rFonts w:ascii="Cambria Math" w:hAnsi="Cambria Math" w:cstheme="majorBidi"/>
            <w:sz w:val="16"/>
            <w:szCs w:val="16"/>
            <w:lang w:val="en-US"/>
          </w:rPr>
          <m:t>+α</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y</m:t>
            </m:r>
          </m:e>
          <m:sub>
            <m:r>
              <w:rPr>
                <w:rFonts w:ascii="Cambria Math" w:hAnsi="Cambria Math" w:cstheme="majorBidi"/>
                <w:sz w:val="16"/>
                <w:szCs w:val="16"/>
                <w:lang w:val="en-US"/>
              </w:rPr>
              <m:t>t-1</m:t>
            </m:r>
          </m:sub>
        </m:sSub>
        <m:r>
          <w:rPr>
            <w:rFonts w:ascii="Cambria Math" w:hAnsi="Cambria Math" w:cstheme="majorBidi"/>
            <w:sz w:val="16"/>
            <w:szCs w:val="16"/>
            <w:lang w:val="en-US"/>
          </w:rPr>
          <m:t>+</m:t>
        </m:r>
        <m:sSubSup>
          <m:sSubSupPr>
            <m:ctrlPr>
              <w:rPr>
                <w:rFonts w:ascii="Cambria Math" w:hAnsi="Cambria Math" w:cstheme="majorBidi"/>
                <w:i/>
                <w:sz w:val="16"/>
                <w:szCs w:val="16"/>
                <w:lang w:val="en-US"/>
              </w:rPr>
            </m:ctrlPr>
          </m:sSubSupPr>
          <m:e>
            <m:r>
              <w:rPr>
                <w:rFonts w:ascii="Cambria Math" w:hAnsi="Cambria Math" w:cstheme="majorBidi"/>
                <w:sz w:val="16"/>
                <w:szCs w:val="16"/>
                <w:lang w:val="en-US"/>
              </w:rPr>
              <m:t>X</m:t>
            </m:r>
          </m:e>
          <m:sub>
            <m:r>
              <w:rPr>
                <w:rFonts w:ascii="Cambria Math" w:hAnsi="Cambria Math" w:cstheme="majorBidi"/>
                <w:sz w:val="16"/>
                <w:szCs w:val="16"/>
                <w:lang w:val="en-US"/>
              </w:rPr>
              <m:t>t</m:t>
            </m:r>
          </m:sub>
          <m:sup>
            <m:r>
              <w:rPr>
                <w:rFonts w:ascii="Cambria Math" w:hAnsi="Cambria Math" w:cstheme="majorBidi"/>
                <w:sz w:val="16"/>
                <w:szCs w:val="16"/>
                <w:lang w:val="en-US"/>
              </w:rPr>
              <m:t>'</m:t>
            </m:r>
          </m:sup>
        </m:sSubSup>
        <m:r>
          <w:rPr>
            <w:rFonts w:ascii="Cambria Math" w:hAnsi="Cambria Math" w:cstheme="majorBidi"/>
            <w:sz w:val="16"/>
            <w:szCs w:val="16"/>
            <w:lang w:val="en-US"/>
          </w:rPr>
          <m:t>β+</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ε</m:t>
            </m:r>
          </m:e>
          <m:sub>
            <m:r>
              <w:rPr>
                <w:rFonts w:ascii="Cambria Math" w:hAnsi="Cambria Math" w:cstheme="majorBidi"/>
                <w:sz w:val="16"/>
                <w:szCs w:val="16"/>
                <w:lang w:val="en-US"/>
              </w:rPr>
              <m:t>t</m:t>
            </m:r>
          </m:sub>
        </m:sSub>
      </m:oMath>
      <w:r w:rsidRPr="004C4291">
        <w:rPr>
          <w:rFonts w:asciiTheme="majorBidi" w:hAnsiTheme="majorBidi" w:cstheme="majorBidi"/>
          <w:sz w:val="16"/>
          <w:szCs w:val="16"/>
          <w:lang w:val="en-US"/>
        </w:rPr>
        <w:t xml:space="preserve"> where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ε</m:t>
            </m:r>
          </m:e>
          <m:sub>
            <m:r>
              <w:rPr>
                <w:rFonts w:ascii="Cambria Math" w:hAnsi="Cambria Math" w:cstheme="majorBidi"/>
                <w:sz w:val="16"/>
                <w:szCs w:val="16"/>
                <w:lang w:val="en-US"/>
              </w:rPr>
              <m:t>t</m:t>
            </m:r>
          </m:sub>
        </m:sSub>
        <m:r>
          <w:rPr>
            <w:rFonts w:ascii="Cambria Math" w:hAnsi="Cambria Math" w:cstheme="majorBidi"/>
            <w:sz w:val="16"/>
            <w:szCs w:val="16"/>
            <w:lang w:val="en-US"/>
          </w:rPr>
          <m:t>→N(0,</m:t>
        </m:r>
        <m:sSup>
          <m:sSupPr>
            <m:ctrlPr>
              <w:rPr>
                <w:rFonts w:ascii="Cambria Math" w:hAnsi="Cambria Math" w:cstheme="majorBidi"/>
                <w:i/>
                <w:sz w:val="16"/>
                <w:szCs w:val="16"/>
                <w:lang w:val="en-US"/>
              </w:rPr>
            </m:ctrlPr>
          </m:sSupPr>
          <m:e>
            <m:r>
              <w:rPr>
                <w:rFonts w:ascii="Cambria Math" w:hAnsi="Cambria Math" w:cstheme="majorBidi"/>
                <w:sz w:val="16"/>
                <w:szCs w:val="16"/>
                <w:lang w:val="en-US"/>
              </w:rPr>
              <m:t>σ</m:t>
            </m:r>
          </m:e>
          <m:sup>
            <m:r>
              <w:rPr>
                <w:rFonts w:ascii="Cambria Math" w:hAnsi="Cambria Math" w:cstheme="majorBidi"/>
                <w:sz w:val="16"/>
                <w:szCs w:val="16"/>
                <w:lang w:val="en-US"/>
              </w:rPr>
              <m:t>2</m:t>
            </m:r>
          </m:sup>
        </m:sSup>
        <m:r>
          <w:rPr>
            <w:rFonts w:ascii="Cambria Math" w:hAnsi="Cambria Math" w:cstheme="majorBidi"/>
            <w:sz w:val="16"/>
            <w:szCs w:val="16"/>
            <w:lang w:val="en-US"/>
          </w:rPr>
          <m:t>)</m:t>
        </m:r>
      </m:oMath>
    </w:p>
    <w:p w:rsidR="00485F89" w:rsidRPr="004C4291" w:rsidRDefault="00485F89" w:rsidP="00CF17FE">
      <w:pPr>
        <w:pStyle w:val="Notedebasdepage"/>
        <w:jc w:val="both"/>
        <w:rPr>
          <w:rFonts w:asciiTheme="majorBidi" w:hAnsiTheme="majorBidi" w:cstheme="majorBidi"/>
          <w:sz w:val="16"/>
          <w:szCs w:val="16"/>
          <w:lang w:val="en-US"/>
        </w:rPr>
      </w:pPr>
    </w:p>
    <w:p w:rsidR="00485F89" w:rsidRPr="004C4291" w:rsidRDefault="00194326" w:rsidP="00CF17FE">
      <w:pPr>
        <w:pStyle w:val="Notedebasdepage"/>
        <w:jc w:val="both"/>
        <w:rPr>
          <w:rFonts w:asciiTheme="majorBidi" w:hAnsiTheme="majorBidi" w:cstheme="majorBidi"/>
          <w:sz w:val="16"/>
          <w:szCs w:val="16"/>
          <w:lang w:val="en-US"/>
        </w:rPr>
      </w:pP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s</m:t>
            </m:r>
          </m:e>
          <m:sub>
            <m:r>
              <w:rPr>
                <w:rFonts w:ascii="Cambria Math" w:hAnsi="Cambria Math" w:cstheme="majorBidi"/>
                <w:sz w:val="16"/>
                <w:szCs w:val="16"/>
                <w:lang w:val="en-US"/>
              </w:rPr>
              <m:t>t</m:t>
            </m:r>
          </m:sub>
        </m:sSub>
      </m:oMath>
      <w:r w:rsidR="00485F89" w:rsidRPr="004C4291">
        <w:rPr>
          <w:rFonts w:asciiTheme="majorBidi" w:hAnsiTheme="majorBidi" w:cstheme="majorBidi"/>
          <w:sz w:val="16"/>
          <w:szCs w:val="16"/>
          <w:lang w:val="en-US"/>
        </w:rPr>
        <w:t>is the random variable denoting the regime. If there are two regimes, we could also write:</w:t>
      </w:r>
    </w:p>
    <w:p w:rsidR="00485F89" w:rsidRPr="004C4291" w:rsidRDefault="00485F89" w:rsidP="00CF17FE">
      <w:pPr>
        <w:pStyle w:val="Notedebasdepage"/>
        <w:jc w:val="both"/>
        <w:rPr>
          <w:rFonts w:asciiTheme="majorBidi" w:hAnsiTheme="majorBidi" w:cstheme="majorBidi"/>
          <w:color w:val="FF0000"/>
          <w:sz w:val="16"/>
          <w:szCs w:val="16"/>
          <w:lang w:val="en-US"/>
        </w:rPr>
      </w:pPr>
    </w:p>
    <w:p w:rsidR="00485F89" w:rsidRPr="004C4291" w:rsidRDefault="00485F89" w:rsidP="00CF17FE">
      <w:pPr>
        <w:pStyle w:val="Notedebasdepage"/>
        <w:numPr>
          <w:ilvl w:val="0"/>
          <w:numId w:val="2"/>
        </w:numPr>
        <w:jc w:val="both"/>
        <w:rPr>
          <w:rFonts w:asciiTheme="majorBidi" w:hAnsiTheme="majorBidi" w:cstheme="majorBidi"/>
          <w:sz w:val="16"/>
          <w:szCs w:val="16"/>
          <w:lang w:val="en-US"/>
        </w:rPr>
      </w:pPr>
      <w:r w:rsidRPr="004C4291">
        <w:rPr>
          <w:rFonts w:asciiTheme="majorBidi" w:hAnsiTheme="majorBidi" w:cstheme="majorBidi"/>
          <w:sz w:val="16"/>
          <w:szCs w:val="16"/>
          <w:lang w:val="en-US"/>
        </w:rPr>
        <w:t xml:space="preserve">Regime 0: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y</m:t>
            </m:r>
          </m:e>
          <m:sub>
            <m:r>
              <w:rPr>
                <w:rFonts w:ascii="Cambria Math" w:hAnsi="Cambria Math" w:cstheme="majorBidi"/>
                <w:sz w:val="16"/>
                <w:szCs w:val="16"/>
                <w:lang w:val="en-US"/>
              </w:rPr>
              <m:t>t</m:t>
            </m:r>
          </m:sub>
        </m:sSub>
        <m:r>
          <w:rPr>
            <w:rFonts w:ascii="Cambria Math" w:hAnsi="Cambria Math" w:cstheme="majorBidi"/>
            <w:sz w:val="16"/>
            <w:szCs w:val="16"/>
            <w:lang w:val="en-US"/>
          </w:rPr>
          <m:t>=v</m:t>
        </m:r>
        <m:d>
          <m:dPr>
            <m:ctrlPr>
              <w:rPr>
                <w:rFonts w:ascii="Cambria Math" w:hAnsi="Cambria Math" w:cstheme="majorBidi"/>
                <w:i/>
                <w:sz w:val="16"/>
                <w:szCs w:val="16"/>
                <w:lang w:val="en-US"/>
              </w:rPr>
            </m:ctrlPr>
          </m:dPr>
          <m:e>
            <m:r>
              <w:rPr>
                <w:rFonts w:ascii="Cambria Math" w:hAnsi="Cambria Math" w:cstheme="majorBidi"/>
                <w:sz w:val="16"/>
                <w:szCs w:val="16"/>
                <w:lang w:val="en-US"/>
              </w:rPr>
              <m:t>0</m:t>
            </m:r>
          </m:e>
        </m:d>
        <m:r>
          <w:rPr>
            <w:rFonts w:ascii="Cambria Math" w:hAnsi="Cambria Math" w:cstheme="majorBidi"/>
            <w:sz w:val="16"/>
            <w:szCs w:val="16"/>
            <w:lang w:val="en-US"/>
          </w:rPr>
          <m:t>+α</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y</m:t>
            </m:r>
          </m:e>
          <m:sub>
            <m:r>
              <w:rPr>
                <w:rFonts w:ascii="Cambria Math" w:hAnsi="Cambria Math" w:cstheme="majorBidi"/>
                <w:sz w:val="16"/>
                <w:szCs w:val="16"/>
                <w:lang w:val="en-US"/>
              </w:rPr>
              <m:t>t-1</m:t>
            </m:r>
          </m:sub>
        </m:sSub>
        <m:r>
          <w:rPr>
            <w:rFonts w:ascii="Cambria Math" w:hAnsi="Cambria Math" w:cstheme="majorBidi"/>
            <w:sz w:val="16"/>
            <w:szCs w:val="16"/>
            <w:lang w:val="en-US"/>
          </w:rPr>
          <m:t>+</m:t>
        </m:r>
        <m:sSubSup>
          <m:sSubSupPr>
            <m:ctrlPr>
              <w:rPr>
                <w:rFonts w:ascii="Cambria Math" w:hAnsi="Cambria Math" w:cstheme="majorBidi"/>
                <w:i/>
                <w:sz w:val="16"/>
                <w:szCs w:val="16"/>
                <w:lang w:val="en-US"/>
              </w:rPr>
            </m:ctrlPr>
          </m:sSubSupPr>
          <m:e>
            <m:r>
              <w:rPr>
                <w:rFonts w:ascii="Cambria Math" w:hAnsi="Cambria Math" w:cstheme="majorBidi"/>
                <w:sz w:val="16"/>
                <w:szCs w:val="16"/>
                <w:lang w:val="en-US"/>
              </w:rPr>
              <m:t>X</m:t>
            </m:r>
          </m:e>
          <m:sub>
            <m:r>
              <w:rPr>
                <w:rFonts w:ascii="Cambria Math" w:hAnsi="Cambria Math" w:cstheme="majorBidi"/>
                <w:sz w:val="16"/>
                <w:szCs w:val="16"/>
                <w:lang w:val="en-US"/>
              </w:rPr>
              <m:t>t</m:t>
            </m:r>
          </m:sub>
          <m:sup>
            <m:r>
              <w:rPr>
                <w:rFonts w:ascii="Cambria Math" w:hAnsi="Cambria Math" w:cstheme="majorBidi"/>
                <w:sz w:val="16"/>
                <w:szCs w:val="16"/>
                <w:lang w:val="en-US"/>
              </w:rPr>
              <m:t>'</m:t>
            </m:r>
          </m:sup>
        </m:sSubSup>
        <m:r>
          <w:rPr>
            <w:rFonts w:ascii="Cambria Math" w:hAnsi="Cambria Math" w:cstheme="majorBidi"/>
            <w:sz w:val="16"/>
            <w:szCs w:val="16"/>
            <w:lang w:val="en-US"/>
          </w:rPr>
          <m:t>β+</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ε</m:t>
            </m:r>
          </m:e>
          <m:sub>
            <m:r>
              <w:rPr>
                <w:rFonts w:ascii="Cambria Math" w:hAnsi="Cambria Math" w:cstheme="majorBidi"/>
                <w:sz w:val="16"/>
                <w:szCs w:val="16"/>
                <w:lang w:val="en-US"/>
              </w:rPr>
              <m:t>t</m:t>
            </m:r>
          </m:sub>
        </m:sSub>
      </m:oMath>
    </w:p>
    <w:p w:rsidR="00485F89" w:rsidRPr="004C4291" w:rsidRDefault="00485F89" w:rsidP="00CF17FE">
      <w:pPr>
        <w:pStyle w:val="Notedebasdepage"/>
        <w:numPr>
          <w:ilvl w:val="0"/>
          <w:numId w:val="2"/>
        </w:numPr>
        <w:jc w:val="both"/>
        <w:rPr>
          <w:rFonts w:asciiTheme="majorBidi" w:hAnsiTheme="majorBidi" w:cstheme="majorBidi"/>
          <w:sz w:val="16"/>
          <w:szCs w:val="16"/>
          <w:lang w:val="en-US"/>
        </w:rPr>
      </w:pPr>
      <w:r w:rsidRPr="004C4291">
        <w:rPr>
          <w:rFonts w:asciiTheme="majorBidi" w:hAnsiTheme="majorBidi" w:cstheme="majorBidi"/>
          <w:sz w:val="16"/>
          <w:szCs w:val="16"/>
          <w:lang w:val="en-US"/>
        </w:rPr>
        <w:t xml:space="preserve">Regime 1: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y</m:t>
            </m:r>
          </m:e>
          <m:sub>
            <m:r>
              <w:rPr>
                <w:rFonts w:ascii="Cambria Math" w:hAnsi="Cambria Math" w:cstheme="majorBidi"/>
                <w:sz w:val="16"/>
                <w:szCs w:val="16"/>
                <w:lang w:val="en-US"/>
              </w:rPr>
              <m:t>t</m:t>
            </m:r>
          </m:sub>
        </m:sSub>
        <m:r>
          <w:rPr>
            <w:rFonts w:ascii="Cambria Math" w:hAnsi="Cambria Math" w:cstheme="majorBidi"/>
            <w:sz w:val="16"/>
            <w:szCs w:val="16"/>
            <w:lang w:val="en-US"/>
          </w:rPr>
          <m:t>=v</m:t>
        </m:r>
        <m:d>
          <m:dPr>
            <m:ctrlPr>
              <w:rPr>
                <w:rFonts w:ascii="Cambria Math" w:hAnsi="Cambria Math" w:cstheme="majorBidi"/>
                <w:i/>
                <w:sz w:val="16"/>
                <w:szCs w:val="16"/>
                <w:lang w:val="en-US"/>
              </w:rPr>
            </m:ctrlPr>
          </m:dPr>
          <m:e>
            <m:r>
              <w:rPr>
                <w:rFonts w:ascii="Cambria Math" w:hAnsi="Cambria Math" w:cstheme="majorBidi"/>
                <w:sz w:val="16"/>
                <w:szCs w:val="16"/>
                <w:lang w:val="en-US"/>
              </w:rPr>
              <m:t>1</m:t>
            </m:r>
          </m:e>
        </m:d>
        <m:r>
          <w:rPr>
            <w:rFonts w:ascii="Cambria Math" w:hAnsi="Cambria Math" w:cstheme="majorBidi"/>
            <w:sz w:val="16"/>
            <w:szCs w:val="16"/>
            <w:lang w:val="en-US"/>
          </w:rPr>
          <m:t>+α</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y</m:t>
            </m:r>
          </m:e>
          <m:sub>
            <m:r>
              <w:rPr>
                <w:rFonts w:ascii="Cambria Math" w:hAnsi="Cambria Math" w:cstheme="majorBidi"/>
                <w:sz w:val="16"/>
                <w:szCs w:val="16"/>
                <w:lang w:val="en-US"/>
              </w:rPr>
              <m:t>t-1</m:t>
            </m:r>
          </m:sub>
        </m:sSub>
        <m:r>
          <w:rPr>
            <w:rFonts w:ascii="Cambria Math" w:hAnsi="Cambria Math" w:cstheme="majorBidi"/>
            <w:sz w:val="16"/>
            <w:szCs w:val="16"/>
            <w:lang w:val="en-US"/>
          </w:rPr>
          <m:t>+</m:t>
        </m:r>
        <m:sSubSup>
          <m:sSubSupPr>
            <m:ctrlPr>
              <w:rPr>
                <w:rFonts w:ascii="Cambria Math" w:hAnsi="Cambria Math" w:cstheme="majorBidi"/>
                <w:i/>
                <w:sz w:val="16"/>
                <w:szCs w:val="16"/>
                <w:lang w:val="en-US"/>
              </w:rPr>
            </m:ctrlPr>
          </m:sSubSupPr>
          <m:e>
            <m:r>
              <w:rPr>
                <w:rFonts w:ascii="Cambria Math" w:hAnsi="Cambria Math" w:cstheme="majorBidi"/>
                <w:sz w:val="16"/>
                <w:szCs w:val="16"/>
                <w:lang w:val="en-US"/>
              </w:rPr>
              <m:t>X</m:t>
            </m:r>
          </m:e>
          <m:sub>
            <m:r>
              <w:rPr>
                <w:rFonts w:ascii="Cambria Math" w:hAnsi="Cambria Math" w:cstheme="majorBidi"/>
                <w:sz w:val="16"/>
                <w:szCs w:val="16"/>
                <w:lang w:val="en-US"/>
              </w:rPr>
              <m:t>t</m:t>
            </m:r>
          </m:sub>
          <m:sup>
            <m:r>
              <w:rPr>
                <w:rFonts w:ascii="Cambria Math" w:hAnsi="Cambria Math" w:cstheme="majorBidi"/>
                <w:sz w:val="16"/>
                <w:szCs w:val="16"/>
                <w:lang w:val="en-US"/>
              </w:rPr>
              <m:t>'</m:t>
            </m:r>
          </m:sup>
        </m:sSubSup>
        <m:r>
          <w:rPr>
            <w:rFonts w:ascii="Cambria Math" w:hAnsi="Cambria Math" w:cstheme="majorBidi"/>
            <w:sz w:val="16"/>
            <w:szCs w:val="16"/>
            <w:lang w:val="en-US"/>
          </w:rPr>
          <m:t>β+</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ε</m:t>
            </m:r>
          </m:e>
          <m:sub>
            <m:r>
              <w:rPr>
                <w:rFonts w:ascii="Cambria Math" w:hAnsi="Cambria Math" w:cstheme="majorBidi"/>
                <w:sz w:val="16"/>
                <w:szCs w:val="16"/>
                <w:lang w:val="en-US"/>
              </w:rPr>
              <m:t>t</m:t>
            </m:r>
          </m:sub>
        </m:sSub>
      </m:oMath>
    </w:p>
    <w:p w:rsidR="00485F89" w:rsidRPr="004C4291" w:rsidRDefault="00485F89" w:rsidP="00CF17FE">
      <w:pPr>
        <w:pStyle w:val="Notedebasdepage"/>
        <w:jc w:val="both"/>
        <w:rPr>
          <w:rFonts w:asciiTheme="majorBidi" w:hAnsiTheme="majorBidi" w:cstheme="majorBidi"/>
          <w:sz w:val="16"/>
          <w:szCs w:val="16"/>
          <w:lang w:val="en-US"/>
        </w:rPr>
      </w:pPr>
    </w:p>
    <w:p w:rsidR="00485F89" w:rsidRPr="004C4291" w:rsidRDefault="00485F89" w:rsidP="00CF17FE">
      <w:pPr>
        <w:pStyle w:val="Notedebasdepage"/>
        <w:jc w:val="both"/>
        <w:rPr>
          <w:rFonts w:asciiTheme="majorBidi" w:hAnsiTheme="majorBidi" w:cstheme="majorBidi"/>
          <w:sz w:val="16"/>
          <w:szCs w:val="16"/>
          <w:lang w:val="en-US"/>
        </w:rPr>
      </w:pPr>
      <w:r w:rsidRPr="004C4291">
        <w:rPr>
          <w:rFonts w:asciiTheme="majorBidi" w:hAnsiTheme="majorBidi" w:cstheme="majorBidi"/>
          <w:sz w:val="16"/>
          <w:szCs w:val="16"/>
          <w:lang w:val="en-US"/>
        </w:rPr>
        <w:t>which shows the regime dependent intercept more clearly.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CAF"/>
    <w:multiLevelType w:val="multilevel"/>
    <w:tmpl w:val="231C2BB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0044282"/>
    <w:multiLevelType w:val="hybridMultilevel"/>
    <w:tmpl w:val="98C89C38"/>
    <w:lvl w:ilvl="0" w:tplc="AD0EA72A">
      <w:start w:val="2"/>
      <w:numFmt w:val="bullet"/>
      <w:lvlText w:val=""/>
      <w:lvlJc w:val="left"/>
      <w:pPr>
        <w:ind w:left="720" w:hanging="360"/>
      </w:pPr>
      <w:rPr>
        <w:rFonts w:ascii="Symbol" w:eastAsia="Calibr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633A79"/>
    <w:multiLevelType w:val="hybridMultilevel"/>
    <w:tmpl w:val="4FA4D46A"/>
    <w:lvl w:ilvl="0" w:tplc="8B269158">
      <w:start w:val="4"/>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nsid w:val="3D4D732E"/>
    <w:multiLevelType w:val="multilevel"/>
    <w:tmpl w:val="12C211BA"/>
    <w:lvl w:ilvl="0">
      <w:start w:val="3"/>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nsid w:val="5AE663BB"/>
    <w:multiLevelType w:val="multilevel"/>
    <w:tmpl w:val="231C2BB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85A0941"/>
    <w:multiLevelType w:val="multilevel"/>
    <w:tmpl w:val="231C2BB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3779A"/>
    <w:rsid w:val="000002A8"/>
    <w:rsid w:val="00000636"/>
    <w:rsid w:val="000006BB"/>
    <w:rsid w:val="00000EED"/>
    <w:rsid w:val="0000275F"/>
    <w:rsid w:val="000049DE"/>
    <w:rsid w:val="0000513B"/>
    <w:rsid w:val="000058F4"/>
    <w:rsid w:val="00006DBB"/>
    <w:rsid w:val="00010859"/>
    <w:rsid w:val="00010C4E"/>
    <w:rsid w:val="00012D91"/>
    <w:rsid w:val="00013CD7"/>
    <w:rsid w:val="00016074"/>
    <w:rsid w:val="00017FF0"/>
    <w:rsid w:val="000201E0"/>
    <w:rsid w:val="000211F8"/>
    <w:rsid w:val="00021BC3"/>
    <w:rsid w:val="000222E8"/>
    <w:rsid w:val="0002281E"/>
    <w:rsid w:val="00022BE2"/>
    <w:rsid w:val="000236BC"/>
    <w:rsid w:val="0002394E"/>
    <w:rsid w:val="00025A91"/>
    <w:rsid w:val="00025B34"/>
    <w:rsid w:val="00026741"/>
    <w:rsid w:val="00026D85"/>
    <w:rsid w:val="00031D3E"/>
    <w:rsid w:val="00032AB3"/>
    <w:rsid w:val="00033545"/>
    <w:rsid w:val="00033602"/>
    <w:rsid w:val="00033653"/>
    <w:rsid w:val="000338A3"/>
    <w:rsid w:val="00034449"/>
    <w:rsid w:val="000361D7"/>
    <w:rsid w:val="00037EB8"/>
    <w:rsid w:val="000419B5"/>
    <w:rsid w:val="00044BEE"/>
    <w:rsid w:val="0004506C"/>
    <w:rsid w:val="000472EA"/>
    <w:rsid w:val="00050825"/>
    <w:rsid w:val="00050B45"/>
    <w:rsid w:val="000524A3"/>
    <w:rsid w:val="00053B38"/>
    <w:rsid w:val="00053B75"/>
    <w:rsid w:val="00053FB3"/>
    <w:rsid w:val="0005442C"/>
    <w:rsid w:val="00054C86"/>
    <w:rsid w:val="00055F38"/>
    <w:rsid w:val="00056AB5"/>
    <w:rsid w:val="000571E9"/>
    <w:rsid w:val="00057E72"/>
    <w:rsid w:val="00061410"/>
    <w:rsid w:val="000618CF"/>
    <w:rsid w:val="00062D46"/>
    <w:rsid w:val="00063C14"/>
    <w:rsid w:val="00065347"/>
    <w:rsid w:val="00066D5A"/>
    <w:rsid w:val="000708A7"/>
    <w:rsid w:val="00071476"/>
    <w:rsid w:val="000715BB"/>
    <w:rsid w:val="000715F2"/>
    <w:rsid w:val="0007188F"/>
    <w:rsid w:val="00071966"/>
    <w:rsid w:val="00072140"/>
    <w:rsid w:val="0007377B"/>
    <w:rsid w:val="00081358"/>
    <w:rsid w:val="000847B0"/>
    <w:rsid w:val="00085395"/>
    <w:rsid w:val="00085C6A"/>
    <w:rsid w:val="000860E6"/>
    <w:rsid w:val="000866C1"/>
    <w:rsid w:val="00086A55"/>
    <w:rsid w:val="00086F6E"/>
    <w:rsid w:val="000875B4"/>
    <w:rsid w:val="00087ED9"/>
    <w:rsid w:val="00092155"/>
    <w:rsid w:val="00092B86"/>
    <w:rsid w:val="0009347D"/>
    <w:rsid w:val="00094012"/>
    <w:rsid w:val="00094FC2"/>
    <w:rsid w:val="000956D5"/>
    <w:rsid w:val="00097B5E"/>
    <w:rsid w:val="00097C9F"/>
    <w:rsid w:val="000A2090"/>
    <w:rsid w:val="000A2168"/>
    <w:rsid w:val="000A32BA"/>
    <w:rsid w:val="000A4006"/>
    <w:rsid w:val="000A5CC0"/>
    <w:rsid w:val="000A7CCB"/>
    <w:rsid w:val="000B029C"/>
    <w:rsid w:val="000B1090"/>
    <w:rsid w:val="000B2A52"/>
    <w:rsid w:val="000B45AC"/>
    <w:rsid w:val="000B606F"/>
    <w:rsid w:val="000B6C76"/>
    <w:rsid w:val="000B6E1A"/>
    <w:rsid w:val="000C0B9E"/>
    <w:rsid w:val="000C1BE5"/>
    <w:rsid w:val="000C21C2"/>
    <w:rsid w:val="000C3E59"/>
    <w:rsid w:val="000C54D0"/>
    <w:rsid w:val="000C637D"/>
    <w:rsid w:val="000C7002"/>
    <w:rsid w:val="000D020C"/>
    <w:rsid w:val="000D0E46"/>
    <w:rsid w:val="000D19BE"/>
    <w:rsid w:val="000D3720"/>
    <w:rsid w:val="000D4025"/>
    <w:rsid w:val="000D40FC"/>
    <w:rsid w:val="000D44B3"/>
    <w:rsid w:val="000D4646"/>
    <w:rsid w:val="000D4883"/>
    <w:rsid w:val="000D4990"/>
    <w:rsid w:val="000D4F68"/>
    <w:rsid w:val="000D527C"/>
    <w:rsid w:val="000D67B7"/>
    <w:rsid w:val="000D76F6"/>
    <w:rsid w:val="000E03F5"/>
    <w:rsid w:val="000E138F"/>
    <w:rsid w:val="000E1465"/>
    <w:rsid w:val="000E3435"/>
    <w:rsid w:val="000E49A3"/>
    <w:rsid w:val="000E5112"/>
    <w:rsid w:val="000E6255"/>
    <w:rsid w:val="000E62A8"/>
    <w:rsid w:val="000E6AF6"/>
    <w:rsid w:val="000E7101"/>
    <w:rsid w:val="000E7AD3"/>
    <w:rsid w:val="000F07B9"/>
    <w:rsid w:val="000F0F61"/>
    <w:rsid w:val="000F1222"/>
    <w:rsid w:val="000F18BE"/>
    <w:rsid w:val="000F1B8B"/>
    <w:rsid w:val="000F1EA5"/>
    <w:rsid w:val="000F2E30"/>
    <w:rsid w:val="000F3704"/>
    <w:rsid w:val="000F3782"/>
    <w:rsid w:val="000F588D"/>
    <w:rsid w:val="000F5966"/>
    <w:rsid w:val="000F5E42"/>
    <w:rsid w:val="000F63DD"/>
    <w:rsid w:val="000F7750"/>
    <w:rsid w:val="000F7A19"/>
    <w:rsid w:val="000F7BB1"/>
    <w:rsid w:val="000F7FFD"/>
    <w:rsid w:val="001010DE"/>
    <w:rsid w:val="00102B46"/>
    <w:rsid w:val="00102FC5"/>
    <w:rsid w:val="0010343E"/>
    <w:rsid w:val="00104CEE"/>
    <w:rsid w:val="00105124"/>
    <w:rsid w:val="00105798"/>
    <w:rsid w:val="00105D6B"/>
    <w:rsid w:val="0010665E"/>
    <w:rsid w:val="00107546"/>
    <w:rsid w:val="001103B8"/>
    <w:rsid w:val="00111209"/>
    <w:rsid w:val="00111284"/>
    <w:rsid w:val="00112629"/>
    <w:rsid w:val="00113FFE"/>
    <w:rsid w:val="001144E0"/>
    <w:rsid w:val="001150DB"/>
    <w:rsid w:val="001157E4"/>
    <w:rsid w:val="0012102A"/>
    <w:rsid w:val="001213DD"/>
    <w:rsid w:val="00121A8B"/>
    <w:rsid w:val="00124440"/>
    <w:rsid w:val="00124660"/>
    <w:rsid w:val="001246AB"/>
    <w:rsid w:val="001249A9"/>
    <w:rsid w:val="00125123"/>
    <w:rsid w:val="0012603A"/>
    <w:rsid w:val="00126AD1"/>
    <w:rsid w:val="00127D2C"/>
    <w:rsid w:val="00130147"/>
    <w:rsid w:val="00131CE7"/>
    <w:rsid w:val="0013248D"/>
    <w:rsid w:val="00133143"/>
    <w:rsid w:val="001336B0"/>
    <w:rsid w:val="00133B18"/>
    <w:rsid w:val="00134AC3"/>
    <w:rsid w:val="00134ADC"/>
    <w:rsid w:val="00134F37"/>
    <w:rsid w:val="001350D7"/>
    <w:rsid w:val="0014000F"/>
    <w:rsid w:val="001402F2"/>
    <w:rsid w:val="00141B63"/>
    <w:rsid w:val="00144922"/>
    <w:rsid w:val="001451BF"/>
    <w:rsid w:val="00145546"/>
    <w:rsid w:val="00145800"/>
    <w:rsid w:val="0014719F"/>
    <w:rsid w:val="00147B80"/>
    <w:rsid w:val="00150EA1"/>
    <w:rsid w:val="00153DCB"/>
    <w:rsid w:val="001579B5"/>
    <w:rsid w:val="00161433"/>
    <w:rsid w:val="00161635"/>
    <w:rsid w:val="00161802"/>
    <w:rsid w:val="001633CB"/>
    <w:rsid w:val="00164612"/>
    <w:rsid w:val="00166007"/>
    <w:rsid w:val="001664FB"/>
    <w:rsid w:val="001670E8"/>
    <w:rsid w:val="00167637"/>
    <w:rsid w:val="00171CDB"/>
    <w:rsid w:val="001728AD"/>
    <w:rsid w:val="00173734"/>
    <w:rsid w:val="001739A4"/>
    <w:rsid w:val="00176727"/>
    <w:rsid w:val="00180652"/>
    <w:rsid w:val="001807FA"/>
    <w:rsid w:val="00181693"/>
    <w:rsid w:val="00181A7A"/>
    <w:rsid w:val="0018483A"/>
    <w:rsid w:val="00186886"/>
    <w:rsid w:val="00186974"/>
    <w:rsid w:val="00186BBF"/>
    <w:rsid w:val="0018709A"/>
    <w:rsid w:val="001875A4"/>
    <w:rsid w:val="001878BE"/>
    <w:rsid w:val="00194326"/>
    <w:rsid w:val="00196012"/>
    <w:rsid w:val="001972A2"/>
    <w:rsid w:val="00197574"/>
    <w:rsid w:val="00197BC9"/>
    <w:rsid w:val="001A0C6E"/>
    <w:rsid w:val="001A1E1D"/>
    <w:rsid w:val="001A1EB7"/>
    <w:rsid w:val="001A30A4"/>
    <w:rsid w:val="001A630B"/>
    <w:rsid w:val="001A6501"/>
    <w:rsid w:val="001A6B16"/>
    <w:rsid w:val="001A7626"/>
    <w:rsid w:val="001B03AD"/>
    <w:rsid w:val="001B0831"/>
    <w:rsid w:val="001B0BC6"/>
    <w:rsid w:val="001B0CED"/>
    <w:rsid w:val="001B288F"/>
    <w:rsid w:val="001B2B8C"/>
    <w:rsid w:val="001B2EA6"/>
    <w:rsid w:val="001B30AC"/>
    <w:rsid w:val="001B60B1"/>
    <w:rsid w:val="001B6BC9"/>
    <w:rsid w:val="001B7C56"/>
    <w:rsid w:val="001C04B3"/>
    <w:rsid w:val="001C1630"/>
    <w:rsid w:val="001C2A9D"/>
    <w:rsid w:val="001C31B4"/>
    <w:rsid w:val="001D0D95"/>
    <w:rsid w:val="001D13D1"/>
    <w:rsid w:val="001D190E"/>
    <w:rsid w:val="001D2F0A"/>
    <w:rsid w:val="001D37DF"/>
    <w:rsid w:val="001D39A5"/>
    <w:rsid w:val="001D4323"/>
    <w:rsid w:val="001D6E8B"/>
    <w:rsid w:val="001D6EB3"/>
    <w:rsid w:val="001E197F"/>
    <w:rsid w:val="001E1BFE"/>
    <w:rsid w:val="001E3479"/>
    <w:rsid w:val="001E3B77"/>
    <w:rsid w:val="001E621E"/>
    <w:rsid w:val="001E6C9C"/>
    <w:rsid w:val="001F060D"/>
    <w:rsid w:val="001F0C50"/>
    <w:rsid w:val="001F0C62"/>
    <w:rsid w:val="001F499A"/>
    <w:rsid w:val="001F7CFA"/>
    <w:rsid w:val="0020064D"/>
    <w:rsid w:val="00200935"/>
    <w:rsid w:val="00200DD2"/>
    <w:rsid w:val="002019F9"/>
    <w:rsid w:val="00203BA3"/>
    <w:rsid w:val="002050C8"/>
    <w:rsid w:val="002054CF"/>
    <w:rsid w:val="00205AE1"/>
    <w:rsid w:val="00207A0B"/>
    <w:rsid w:val="00207B5E"/>
    <w:rsid w:val="00210BB6"/>
    <w:rsid w:val="00211817"/>
    <w:rsid w:val="002126E0"/>
    <w:rsid w:val="002145C7"/>
    <w:rsid w:val="00214B4C"/>
    <w:rsid w:val="0021616E"/>
    <w:rsid w:val="00216D16"/>
    <w:rsid w:val="0021752D"/>
    <w:rsid w:val="00217674"/>
    <w:rsid w:val="002179AF"/>
    <w:rsid w:val="00217D81"/>
    <w:rsid w:val="00222227"/>
    <w:rsid w:val="002225EB"/>
    <w:rsid w:val="00224784"/>
    <w:rsid w:val="00226A7B"/>
    <w:rsid w:val="002276D3"/>
    <w:rsid w:val="00227C4A"/>
    <w:rsid w:val="002305FE"/>
    <w:rsid w:val="00231CCD"/>
    <w:rsid w:val="00231E55"/>
    <w:rsid w:val="00231F1E"/>
    <w:rsid w:val="002327E8"/>
    <w:rsid w:val="00233F9F"/>
    <w:rsid w:val="00234257"/>
    <w:rsid w:val="0023442F"/>
    <w:rsid w:val="00234A40"/>
    <w:rsid w:val="00234E76"/>
    <w:rsid w:val="002356FE"/>
    <w:rsid w:val="00237390"/>
    <w:rsid w:val="0023779A"/>
    <w:rsid w:val="002379EA"/>
    <w:rsid w:val="00237F46"/>
    <w:rsid w:val="00240131"/>
    <w:rsid w:val="002407DE"/>
    <w:rsid w:val="00240FCB"/>
    <w:rsid w:val="00241137"/>
    <w:rsid w:val="002453C4"/>
    <w:rsid w:val="00252237"/>
    <w:rsid w:val="00253040"/>
    <w:rsid w:val="00253094"/>
    <w:rsid w:val="002562CD"/>
    <w:rsid w:val="00256745"/>
    <w:rsid w:val="002576FB"/>
    <w:rsid w:val="00261F47"/>
    <w:rsid w:val="002621DD"/>
    <w:rsid w:val="00264523"/>
    <w:rsid w:val="00264E45"/>
    <w:rsid w:val="00265C71"/>
    <w:rsid w:val="00266096"/>
    <w:rsid w:val="002669EC"/>
    <w:rsid w:val="002702E9"/>
    <w:rsid w:val="0027171D"/>
    <w:rsid w:val="002719C1"/>
    <w:rsid w:val="00272019"/>
    <w:rsid w:val="00272E9F"/>
    <w:rsid w:val="002734B3"/>
    <w:rsid w:val="0027401A"/>
    <w:rsid w:val="002740F7"/>
    <w:rsid w:val="00274C14"/>
    <w:rsid w:val="00276D7D"/>
    <w:rsid w:val="00277301"/>
    <w:rsid w:val="002779B0"/>
    <w:rsid w:val="00277D48"/>
    <w:rsid w:val="00277F31"/>
    <w:rsid w:val="0028114E"/>
    <w:rsid w:val="002815A9"/>
    <w:rsid w:val="00281A9D"/>
    <w:rsid w:val="002821ED"/>
    <w:rsid w:val="0028224C"/>
    <w:rsid w:val="00283E31"/>
    <w:rsid w:val="002845D6"/>
    <w:rsid w:val="00284792"/>
    <w:rsid w:val="002855CF"/>
    <w:rsid w:val="00286E23"/>
    <w:rsid w:val="00287BE0"/>
    <w:rsid w:val="00287ED5"/>
    <w:rsid w:val="0029199F"/>
    <w:rsid w:val="002939D5"/>
    <w:rsid w:val="00295631"/>
    <w:rsid w:val="002965C3"/>
    <w:rsid w:val="002A0A85"/>
    <w:rsid w:val="002A0CF8"/>
    <w:rsid w:val="002A1786"/>
    <w:rsid w:val="002A43D2"/>
    <w:rsid w:val="002A4CF9"/>
    <w:rsid w:val="002A5138"/>
    <w:rsid w:val="002A5B6C"/>
    <w:rsid w:val="002A7A2F"/>
    <w:rsid w:val="002B0256"/>
    <w:rsid w:val="002B0E4D"/>
    <w:rsid w:val="002B0F7D"/>
    <w:rsid w:val="002B1800"/>
    <w:rsid w:val="002B2212"/>
    <w:rsid w:val="002B30E7"/>
    <w:rsid w:val="002B356F"/>
    <w:rsid w:val="002B4BBE"/>
    <w:rsid w:val="002B7241"/>
    <w:rsid w:val="002C008D"/>
    <w:rsid w:val="002C057F"/>
    <w:rsid w:val="002C1051"/>
    <w:rsid w:val="002C13DF"/>
    <w:rsid w:val="002C1B25"/>
    <w:rsid w:val="002C3416"/>
    <w:rsid w:val="002C4895"/>
    <w:rsid w:val="002C57CE"/>
    <w:rsid w:val="002C5B9D"/>
    <w:rsid w:val="002C6CF1"/>
    <w:rsid w:val="002D1A9F"/>
    <w:rsid w:val="002D2B4D"/>
    <w:rsid w:val="002D4D84"/>
    <w:rsid w:val="002D5194"/>
    <w:rsid w:val="002D68CA"/>
    <w:rsid w:val="002D7290"/>
    <w:rsid w:val="002E09F2"/>
    <w:rsid w:val="002E1194"/>
    <w:rsid w:val="002E40B7"/>
    <w:rsid w:val="002E4479"/>
    <w:rsid w:val="002E4D0A"/>
    <w:rsid w:val="002E53FD"/>
    <w:rsid w:val="002E60F2"/>
    <w:rsid w:val="002E673E"/>
    <w:rsid w:val="002E6F8F"/>
    <w:rsid w:val="002E6FBC"/>
    <w:rsid w:val="002E7A8F"/>
    <w:rsid w:val="002E7F03"/>
    <w:rsid w:val="002F002B"/>
    <w:rsid w:val="002F04AC"/>
    <w:rsid w:val="002F156D"/>
    <w:rsid w:val="002F17D3"/>
    <w:rsid w:val="002F1A4C"/>
    <w:rsid w:val="002F29BE"/>
    <w:rsid w:val="002F39B5"/>
    <w:rsid w:val="002F6FE0"/>
    <w:rsid w:val="00300EB0"/>
    <w:rsid w:val="003015C6"/>
    <w:rsid w:val="00301BA6"/>
    <w:rsid w:val="00301DE2"/>
    <w:rsid w:val="00301EB8"/>
    <w:rsid w:val="0030263D"/>
    <w:rsid w:val="00302F42"/>
    <w:rsid w:val="00304EF3"/>
    <w:rsid w:val="00307C4F"/>
    <w:rsid w:val="00307CE3"/>
    <w:rsid w:val="0031027F"/>
    <w:rsid w:val="00310E76"/>
    <w:rsid w:val="00311DD3"/>
    <w:rsid w:val="00312239"/>
    <w:rsid w:val="00312516"/>
    <w:rsid w:val="003128D4"/>
    <w:rsid w:val="00316AFA"/>
    <w:rsid w:val="00317ABD"/>
    <w:rsid w:val="00320CCC"/>
    <w:rsid w:val="003213E9"/>
    <w:rsid w:val="003217AF"/>
    <w:rsid w:val="003244B3"/>
    <w:rsid w:val="00324E5D"/>
    <w:rsid w:val="003257FD"/>
    <w:rsid w:val="003277AF"/>
    <w:rsid w:val="00330AA0"/>
    <w:rsid w:val="00330D68"/>
    <w:rsid w:val="00331507"/>
    <w:rsid w:val="00331EA0"/>
    <w:rsid w:val="003337C1"/>
    <w:rsid w:val="00334210"/>
    <w:rsid w:val="00335035"/>
    <w:rsid w:val="00335585"/>
    <w:rsid w:val="00336F57"/>
    <w:rsid w:val="00336FC2"/>
    <w:rsid w:val="00340643"/>
    <w:rsid w:val="003415DE"/>
    <w:rsid w:val="0034172A"/>
    <w:rsid w:val="0034230E"/>
    <w:rsid w:val="00343D81"/>
    <w:rsid w:val="00344AEF"/>
    <w:rsid w:val="00345810"/>
    <w:rsid w:val="00346B66"/>
    <w:rsid w:val="00351675"/>
    <w:rsid w:val="00351772"/>
    <w:rsid w:val="00351A81"/>
    <w:rsid w:val="003535FE"/>
    <w:rsid w:val="0035395A"/>
    <w:rsid w:val="00353C9A"/>
    <w:rsid w:val="003551DA"/>
    <w:rsid w:val="00357964"/>
    <w:rsid w:val="00360BA0"/>
    <w:rsid w:val="00360FBE"/>
    <w:rsid w:val="003619F5"/>
    <w:rsid w:val="00361C4E"/>
    <w:rsid w:val="00361F1F"/>
    <w:rsid w:val="00361F45"/>
    <w:rsid w:val="0036294B"/>
    <w:rsid w:val="003637E8"/>
    <w:rsid w:val="00363A33"/>
    <w:rsid w:val="00364A0E"/>
    <w:rsid w:val="00364DE2"/>
    <w:rsid w:val="0037015C"/>
    <w:rsid w:val="003722F6"/>
    <w:rsid w:val="00372471"/>
    <w:rsid w:val="00372DD3"/>
    <w:rsid w:val="00375103"/>
    <w:rsid w:val="00375FAA"/>
    <w:rsid w:val="00376C0E"/>
    <w:rsid w:val="003803F0"/>
    <w:rsid w:val="00380A28"/>
    <w:rsid w:val="00381530"/>
    <w:rsid w:val="00381A81"/>
    <w:rsid w:val="00382974"/>
    <w:rsid w:val="00382FBA"/>
    <w:rsid w:val="00383497"/>
    <w:rsid w:val="00383607"/>
    <w:rsid w:val="00383B25"/>
    <w:rsid w:val="0038522B"/>
    <w:rsid w:val="00385309"/>
    <w:rsid w:val="00385D84"/>
    <w:rsid w:val="00387D33"/>
    <w:rsid w:val="0039146F"/>
    <w:rsid w:val="003914B7"/>
    <w:rsid w:val="00393287"/>
    <w:rsid w:val="003933AB"/>
    <w:rsid w:val="003939A0"/>
    <w:rsid w:val="003939EE"/>
    <w:rsid w:val="00393DBB"/>
    <w:rsid w:val="00393FA2"/>
    <w:rsid w:val="003943FB"/>
    <w:rsid w:val="0039669B"/>
    <w:rsid w:val="00396B98"/>
    <w:rsid w:val="0039733A"/>
    <w:rsid w:val="003976AD"/>
    <w:rsid w:val="00397850"/>
    <w:rsid w:val="00397E72"/>
    <w:rsid w:val="003A2B01"/>
    <w:rsid w:val="003A2B89"/>
    <w:rsid w:val="003A51B9"/>
    <w:rsid w:val="003B0A60"/>
    <w:rsid w:val="003B0C09"/>
    <w:rsid w:val="003B1433"/>
    <w:rsid w:val="003B2172"/>
    <w:rsid w:val="003B24FA"/>
    <w:rsid w:val="003B279C"/>
    <w:rsid w:val="003B32DD"/>
    <w:rsid w:val="003B3E3B"/>
    <w:rsid w:val="003B3F9E"/>
    <w:rsid w:val="003B4840"/>
    <w:rsid w:val="003B5068"/>
    <w:rsid w:val="003B50EB"/>
    <w:rsid w:val="003B67DD"/>
    <w:rsid w:val="003B6944"/>
    <w:rsid w:val="003B6D58"/>
    <w:rsid w:val="003B7311"/>
    <w:rsid w:val="003C0C63"/>
    <w:rsid w:val="003C13EC"/>
    <w:rsid w:val="003C3436"/>
    <w:rsid w:val="003C3E71"/>
    <w:rsid w:val="003C3FFF"/>
    <w:rsid w:val="003C69E1"/>
    <w:rsid w:val="003D0608"/>
    <w:rsid w:val="003D1981"/>
    <w:rsid w:val="003D34E8"/>
    <w:rsid w:val="003D41D8"/>
    <w:rsid w:val="003D45F3"/>
    <w:rsid w:val="003D4CCA"/>
    <w:rsid w:val="003D4F8E"/>
    <w:rsid w:val="003D75FD"/>
    <w:rsid w:val="003E1820"/>
    <w:rsid w:val="003E1BB7"/>
    <w:rsid w:val="003E2511"/>
    <w:rsid w:val="003E2610"/>
    <w:rsid w:val="003E2A69"/>
    <w:rsid w:val="003E30C6"/>
    <w:rsid w:val="003E3A3C"/>
    <w:rsid w:val="003E4E83"/>
    <w:rsid w:val="003F0923"/>
    <w:rsid w:val="003F0A3E"/>
    <w:rsid w:val="003F2114"/>
    <w:rsid w:val="003F2766"/>
    <w:rsid w:val="003F3AA2"/>
    <w:rsid w:val="003F4456"/>
    <w:rsid w:val="003F4785"/>
    <w:rsid w:val="003F4E4F"/>
    <w:rsid w:val="003F5659"/>
    <w:rsid w:val="003F5BB9"/>
    <w:rsid w:val="003F61E3"/>
    <w:rsid w:val="003F797E"/>
    <w:rsid w:val="003F7A6E"/>
    <w:rsid w:val="004009CB"/>
    <w:rsid w:val="0040179F"/>
    <w:rsid w:val="00402057"/>
    <w:rsid w:val="00402905"/>
    <w:rsid w:val="0040491C"/>
    <w:rsid w:val="00404DF9"/>
    <w:rsid w:val="0040507B"/>
    <w:rsid w:val="004051D4"/>
    <w:rsid w:val="004054A1"/>
    <w:rsid w:val="004057E8"/>
    <w:rsid w:val="004069D7"/>
    <w:rsid w:val="00406CCA"/>
    <w:rsid w:val="004070E2"/>
    <w:rsid w:val="00407D9D"/>
    <w:rsid w:val="00410768"/>
    <w:rsid w:val="00411701"/>
    <w:rsid w:val="00411938"/>
    <w:rsid w:val="0041330D"/>
    <w:rsid w:val="00413477"/>
    <w:rsid w:val="00414E1C"/>
    <w:rsid w:val="00415BFE"/>
    <w:rsid w:val="004165C1"/>
    <w:rsid w:val="00417B4B"/>
    <w:rsid w:val="00417B9A"/>
    <w:rsid w:val="004225C3"/>
    <w:rsid w:val="00424997"/>
    <w:rsid w:val="00425175"/>
    <w:rsid w:val="004259B0"/>
    <w:rsid w:val="00426AB2"/>
    <w:rsid w:val="00427475"/>
    <w:rsid w:val="00427A43"/>
    <w:rsid w:val="004317D8"/>
    <w:rsid w:val="0043181D"/>
    <w:rsid w:val="00432CA1"/>
    <w:rsid w:val="004337AA"/>
    <w:rsid w:val="00433AE4"/>
    <w:rsid w:val="00434558"/>
    <w:rsid w:val="00434EA1"/>
    <w:rsid w:val="00436365"/>
    <w:rsid w:val="00440A13"/>
    <w:rsid w:val="00442FE6"/>
    <w:rsid w:val="004433F3"/>
    <w:rsid w:val="004434C1"/>
    <w:rsid w:val="00444A69"/>
    <w:rsid w:val="004468E3"/>
    <w:rsid w:val="00450F01"/>
    <w:rsid w:val="00453DC7"/>
    <w:rsid w:val="00453E34"/>
    <w:rsid w:val="0045495A"/>
    <w:rsid w:val="00456EFE"/>
    <w:rsid w:val="004576FB"/>
    <w:rsid w:val="00457946"/>
    <w:rsid w:val="00457D2F"/>
    <w:rsid w:val="00460DF8"/>
    <w:rsid w:val="00462DBC"/>
    <w:rsid w:val="00464515"/>
    <w:rsid w:val="0046551E"/>
    <w:rsid w:val="00465C56"/>
    <w:rsid w:val="0046679F"/>
    <w:rsid w:val="00467003"/>
    <w:rsid w:val="004700EB"/>
    <w:rsid w:val="00470883"/>
    <w:rsid w:val="004712F3"/>
    <w:rsid w:val="00471620"/>
    <w:rsid w:val="004725CD"/>
    <w:rsid w:val="00474AC1"/>
    <w:rsid w:val="00474FFF"/>
    <w:rsid w:val="0048164C"/>
    <w:rsid w:val="004821C8"/>
    <w:rsid w:val="00483A89"/>
    <w:rsid w:val="00483B7A"/>
    <w:rsid w:val="00484027"/>
    <w:rsid w:val="00484139"/>
    <w:rsid w:val="00485F89"/>
    <w:rsid w:val="00487AB8"/>
    <w:rsid w:val="0049050B"/>
    <w:rsid w:val="0049249A"/>
    <w:rsid w:val="0049383F"/>
    <w:rsid w:val="004945F0"/>
    <w:rsid w:val="00494A89"/>
    <w:rsid w:val="004962EF"/>
    <w:rsid w:val="004A095F"/>
    <w:rsid w:val="004A0C53"/>
    <w:rsid w:val="004A0C93"/>
    <w:rsid w:val="004A1DBB"/>
    <w:rsid w:val="004A33C1"/>
    <w:rsid w:val="004A50E1"/>
    <w:rsid w:val="004A626D"/>
    <w:rsid w:val="004A6D33"/>
    <w:rsid w:val="004A7197"/>
    <w:rsid w:val="004A7E95"/>
    <w:rsid w:val="004B4CAA"/>
    <w:rsid w:val="004B4ED5"/>
    <w:rsid w:val="004C0EC6"/>
    <w:rsid w:val="004C3D6A"/>
    <w:rsid w:val="004C3F15"/>
    <w:rsid w:val="004C4291"/>
    <w:rsid w:val="004C52AD"/>
    <w:rsid w:val="004C5B7D"/>
    <w:rsid w:val="004C6175"/>
    <w:rsid w:val="004C63D5"/>
    <w:rsid w:val="004C66EB"/>
    <w:rsid w:val="004C74D0"/>
    <w:rsid w:val="004D197F"/>
    <w:rsid w:val="004D2846"/>
    <w:rsid w:val="004D2B8F"/>
    <w:rsid w:val="004D3010"/>
    <w:rsid w:val="004D30F9"/>
    <w:rsid w:val="004D475C"/>
    <w:rsid w:val="004D542B"/>
    <w:rsid w:val="004D5838"/>
    <w:rsid w:val="004D6658"/>
    <w:rsid w:val="004D6C56"/>
    <w:rsid w:val="004D7A53"/>
    <w:rsid w:val="004D7D7F"/>
    <w:rsid w:val="004D7F00"/>
    <w:rsid w:val="004E0CC6"/>
    <w:rsid w:val="004E1E55"/>
    <w:rsid w:val="004E48FA"/>
    <w:rsid w:val="004E4982"/>
    <w:rsid w:val="004F1395"/>
    <w:rsid w:val="004F153D"/>
    <w:rsid w:val="004F1543"/>
    <w:rsid w:val="004F17B4"/>
    <w:rsid w:val="004F31DD"/>
    <w:rsid w:val="004F40D4"/>
    <w:rsid w:val="004F5F1A"/>
    <w:rsid w:val="004F6180"/>
    <w:rsid w:val="004F7180"/>
    <w:rsid w:val="004F7B93"/>
    <w:rsid w:val="00500A44"/>
    <w:rsid w:val="005020FE"/>
    <w:rsid w:val="005022C3"/>
    <w:rsid w:val="005024D9"/>
    <w:rsid w:val="005028AB"/>
    <w:rsid w:val="005034B5"/>
    <w:rsid w:val="00504240"/>
    <w:rsid w:val="005053D2"/>
    <w:rsid w:val="00505D38"/>
    <w:rsid w:val="00510303"/>
    <w:rsid w:val="00510D62"/>
    <w:rsid w:val="00512430"/>
    <w:rsid w:val="00513FCF"/>
    <w:rsid w:val="0052029E"/>
    <w:rsid w:val="00520B0F"/>
    <w:rsid w:val="005217D9"/>
    <w:rsid w:val="00521AFC"/>
    <w:rsid w:val="00523B06"/>
    <w:rsid w:val="00524521"/>
    <w:rsid w:val="00524D1F"/>
    <w:rsid w:val="005259BC"/>
    <w:rsid w:val="00527553"/>
    <w:rsid w:val="005313DF"/>
    <w:rsid w:val="0053265E"/>
    <w:rsid w:val="0053267C"/>
    <w:rsid w:val="00532D9F"/>
    <w:rsid w:val="00533843"/>
    <w:rsid w:val="005340C7"/>
    <w:rsid w:val="00534FBC"/>
    <w:rsid w:val="00535F27"/>
    <w:rsid w:val="00536853"/>
    <w:rsid w:val="00537EE7"/>
    <w:rsid w:val="0054419B"/>
    <w:rsid w:val="00544F45"/>
    <w:rsid w:val="00547437"/>
    <w:rsid w:val="00547538"/>
    <w:rsid w:val="0054787C"/>
    <w:rsid w:val="0055144F"/>
    <w:rsid w:val="00551D54"/>
    <w:rsid w:val="0055310F"/>
    <w:rsid w:val="00553A84"/>
    <w:rsid w:val="005548A1"/>
    <w:rsid w:val="005554E9"/>
    <w:rsid w:val="005569EE"/>
    <w:rsid w:val="005571ED"/>
    <w:rsid w:val="00560CE8"/>
    <w:rsid w:val="00560E7E"/>
    <w:rsid w:val="00560FE9"/>
    <w:rsid w:val="005627DA"/>
    <w:rsid w:val="00565165"/>
    <w:rsid w:val="005658D6"/>
    <w:rsid w:val="00565CD7"/>
    <w:rsid w:val="00566033"/>
    <w:rsid w:val="0057564A"/>
    <w:rsid w:val="00575663"/>
    <w:rsid w:val="00575D13"/>
    <w:rsid w:val="00575D98"/>
    <w:rsid w:val="00575EE4"/>
    <w:rsid w:val="00577F86"/>
    <w:rsid w:val="0058060B"/>
    <w:rsid w:val="00581F64"/>
    <w:rsid w:val="00582E7A"/>
    <w:rsid w:val="0058321C"/>
    <w:rsid w:val="0058484C"/>
    <w:rsid w:val="00586404"/>
    <w:rsid w:val="0058663E"/>
    <w:rsid w:val="00590258"/>
    <w:rsid w:val="00592ECD"/>
    <w:rsid w:val="00595F07"/>
    <w:rsid w:val="005A3BC0"/>
    <w:rsid w:val="005A4BBC"/>
    <w:rsid w:val="005A4D16"/>
    <w:rsid w:val="005A4DBD"/>
    <w:rsid w:val="005A4E67"/>
    <w:rsid w:val="005A5E3C"/>
    <w:rsid w:val="005A5E8C"/>
    <w:rsid w:val="005A5EF3"/>
    <w:rsid w:val="005A6EB3"/>
    <w:rsid w:val="005A7072"/>
    <w:rsid w:val="005A74B6"/>
    <w:rsid w:val="005B0BA2"/>
    <w:rsid w:val="005B1AE4"/>
    <w:rsid w:val="005B2B0C"/>
    <w:rsid w:val="005B3083"/>
    <w:rsid w:val="005B3368"/>
    <w:rsid w:val="005B338A"/>
    <w:rsid w:val="005B33B7"/>
    <w:rsid w:val="005B4124"/>
    <w:rsid w:val="005B595B"/>
    <w:rsid w:val="005B662A"/>
    <w:rsid w:val="005B6C09"/>
    <w:rsid w:val="005C096D"/>
    <w:rsid w:val="005C3EAF"/>
    <w:rsid w:val="005C422D"/>
    <w:rsid w:val="005C61E5"/>
    <w:rsid w:val="005C7129"/>
    <w:rsid w:val="005C724C"/>
    <w:rsid w:val="005D0F40"/>
    <w:rsid w:val="005D11A0"/>
    <w:rsid w:val="005D1505"/>
    <w:rsid w:val="005D15AD"/>
    <w:rsid w:val="005D27EE"/>
    <w:rsid w:val="005D34C2"/>
    <w:rsid w:val="005D357A"/>
    <w:rsid w:val="005D452A"/>
    <w:rsid w:val="005D49E3"/>
    <w:rsid w:val="005D6E9C"/>
    <w:rsid w:val="005E08F1"/>
    <w:rsid w:val="005E0E27"/>
    <w:rsid w:val="005E0E58"/>
    <w:rsid w:val="005E100D"/>
    <w:rsid w:val="005E1100"/>
    <w:rsid w:val="005E772D"/>
    <w:rsid w:val="005E7852"/>
    <w:rsid w:val="005F1112"/>
    <w:rsid w:val="005F1FF2"/>
    <w:rsid w:val="005F4A4D"/>
    <w:rsid w:val="005F67DC"/>
    <w:rsid w:val="005F7163"/>
    <w:rsid w:val="005F739A"/>
    <w:rsid w:val="00600485"/>
    <w:rsid w:val="006039CA"/>
    <w:rsid w:val="00605FB2"/>
    <w:rsid w:val="00607232"/>
    <w:rsid w:val="00607955"/>
    <w:rsid w:val="006079B0"/>
    <w:rsid w:val="00607C0E"/>
    <w:rsid w:val="006125C8"/>
    <w:rsid w:val="00614C56"/>
    <w:rsid w:val="006202DA"/>
    <w:rsid w:val="00620C88"/>
    <w:rsid w:val="006210AD"/>
    <w:rsid w:val="00621473"/>
    <w:rsid w:val="00623750"/>
    <w:rsid w:val="00624DD2"/>
    <w:rsid w:val="006259A6"/>
    <w:rsid w:val="006269C8"/>
    <w:rsid w:val="00627006"/>
    <w:rsid w:val="006275FA"/>
    <w:rsid w:val="00630774"/>
    <w:rsid w:val="00631AE2"/>
    <w:rsid w:val="00632E10"/>
    <w:rsid w:val="00634039"/>
    <w:rsid w:val="006351B6"/>
    <w:rsid w:val="006353EE"/>
    <w:rsid w:val="00635DDC"/>
    <w:rsid w:val="00636353"/>
    <w:rsid w:val="0063797C"/>
    <w:rsid w:val="00640A68"/>
    <w:rsid w:val="00641F17"/>
    <w:rsid w:val="0064383A"/>
    <w:rsid w:val="00644114"/>
    <w:rsid w:val="00644B19"/>
    <w:rsid w:val="00646BF5"/>
    <w:rsid w:val="0064772D"/>
    <w:rsid w:val="006477D8"/>
    <w:rsid w:val="00647F10"/>
    <w:rsid w:val="006501D0"/>
    <w:rsid w:val="00651BB7"/>
    <w:rsid w:val="0065261D"/>
    <w:rsid w:val="0065358A"/>
    <w:rsid w:val="006574AB"/>
    <w:rsid w:val="00660C33"/>
    <w:rsid w:val="00662F36"/>
    <w:rsid w:val="00662F44"/>
    <w:rsid w:val="00663ECF"/>
    <w:rsid w:val="00665234"/>
    <w:rsid w:val="00666299"/>
    <w:rsid w:val="00667D52"/>
    <w:rsid w:val="0067046F"/>
    <w:rsid w:val="00670F04"/>
    <w:rsid w:val="00671C28"/>
    <w:rsid w:val="00673956"/>
    <w:rsid w:val="0067410E"/>
    <w:rsid w:val="00677690"/>
    <w:rsid w:val="00677C50"/>
    <w:rsid w:val="006809DF"/>
    <w:rsid w:val="0068111D"/>
    <w:rsid w:val="006844FA"/>
    <w:rsid w:val="00684F43"/>
    <w:rsid w:val="006851D9"/>
    <w:rsid w:val="00685BB2"/>
    <w:rsid w:val="00686FF6"/>
    <w:rsid w:val="0068758C"/>
    <w:rsid w:val="006875B4"/>
    <w:rsid w:val="00687B01"/>
    <w:rsid w:val="00687FCF"/>
    <w:rsid w:val="006904F4"/>
    <w:rsid w:val="00691DF9"/>
    <w:rsid w:val="00693B6A"/>
    <w:rsid w:val="00695A9E"/>
    <w:rsid w:val="00695BBD"/>
    <w:rsid w:val="0069725A"/>
    <w:rsid w:val="00697D49"/>
    <w:rsid w:val="00697FB2"/>
    <w:rsid w:val="006A16EF"/>
    <w:rsid w:val="006A24A4"/>
    <w:rsid w:val="006A2EA1"/>
    <w:rsid w:val="006A4B5C"/>
    <w:rsid w:val="006A5585"/>
    <w:rsid w:val="006A5647"/>
    <w:rsid w:val="006A5A6D"/>
    <w:rsid w:val="006A71F4"/>
    <w:rsid w:val="006A7BBB"/>
    <w:rsid w:val="006B0232"/>
    <w:rsid w:val="006B24C7"/>
    <w:rsid w:val="006B6052"/>
    <w:rsid w:val="006B6691"/>
    <w:rsid w:val="006C0E8A"/>
    <w:rsid w:val="006C3BAB"/>
    <w:rsid w:val="006C54FB"/>
    <w:rsid w:val="006C5B4E"/>
    <w:rsid w:val="006C7BE3"/>
    <w:rsid w:val="006D0152"/>
    <w:rsid w:val="006D2E97"/>
    <w:rsid w:val="006D53AD"/>
    <w:rsid w:val="006D7110"/>
    <w:rsid w:val="006D75CA"/>
    <w:rsid w:val="006E135F"/>
    <w:rsid w:val="006E1CF4"/>
    <w:rsid w:val="006E1EFF"/>
    <w:rsid w:val="006E21B1"/>
    <w:rsid w:val="006E25C0"/>
    <w:rsid w:val="006E2AB2"/>
    <w:rsid w:val="006E387B"/>
    <w:rsid w:val="006E4879"/>
    <w:rsid w:val="006E4C13"/>
    <w:rsid w:val="006E4C82"/>
    <w:rsid w:val="006E686B"/>
    <w:rsid w:val="006E75D5"/>
    <w:rsid w:val="006F11AE"/>
    <w:rsid w:val="006F20A7"/>
    <w:rsid w:val="006F241E"/>
    <w:rsid w:val="006F31A2"/>
    <w:rsid w:val="006F439C"/>
    <w:rsid w:val="006F5DAA"/>
    <w:rsid w:val="00702378"/>
    <w:rsid w:val="00704506"/>
    <w:rsid w:val="00704BEB"/>
    <w:rsid w:val="00704CC4"/>
    <w:rsid w:val="00707604"/>
    <w:rsid w:val="007111C6"/>
    <w:rsid w:val="007116DD"/>
    <w:rsid w:val="00711809"/>
    <w:rsid w:val="00711845"/>
    <w:rsid w:val="00711C21"/>
    <w:rsid w:val="0071359C"/>
    <w:rsid w:val="007143AC"/>
    <w:rsid w:val="0071584D"/>
    <w:rsid w:val="007176D6"/>
    <w:rsid w:val="00717B5E"/>
    <w:rsid w:val="00721801"/>
    <w:rsid w:val="007238C5"/>
    <w:rsid w:val="00725574"/>
    <w:rsid w:val="00725B8F"/>
    <w:rsid w:val="00727B7C"/>
    <w:rsid w:val="00731372"/>
    <w:rsid w:val="00732179"/>
    <w:rsid w:val="00732D86"/>
    <w:rsid w:val="0073479E"/>
    <w:rsid w:val="007358B6"/>
    <w:rsid w:val="00735EBB"/>
    <w:rsid w:val="007366CD"/>
    <w:rsid w:val="00736E41"/>
    <w:rsid w:val="00740930"/>
    <w:rsid w:val="00740F3B"/>
    <w:rsid w:val="0074122A"/>
    <w:rsid w:val="00743676"/>
    <w:rsid w:val="00747475"/>
    <w:rsid w:val="0074776E"/>
    <w:rsid w:val="00747E44"/>
    <w:rsid w:val="00750028"/>
    <w:rsid w:val="0075146E"/>
    <w:rsid w:val="007525A8"/>
    <w:rsid w:val="0075524D"/>
    <w:rsid w:val="0075609E"/>
    <w:rsid w:val="00760A11"/>
    <w:rsid w:val="00760A60"/>
    <w:rsid w:val="0076214F"/>
    <w:rsid w:val="0076310D"/>
    <w:rsid w:val="00763543"/>
    <w:rsid w:val="007647DB"/>
    <w:rsid w:val="00764C2B"/>
    <w:rsid w:val="007658DB"/>
    <w:rsid w:val="00765BC8"/>
    <w:rsid w:val="00765CDE"/>
    <w:rsid w:val="00767A87"/>
    <w:rsid w:val="00767AFB"/>
    <w:rsid w:val="00770BF8"/>
    <w:rsid w:val="00771748"/>
    <w:rsid w:val="0077286B"/>
    <w:rsid w:val="00773141"/>
    <w:rsid w:val="00773EFA"/>
    <w:rsid w:val="00774454"/>
    <w:rsid w:val="007749D2"/>
    <w:rsid w:val="00774E03"/>
    <w:rsid w:val="007753B6"/>
    <w:rsid w:val="007758DB"/>
    <w:rsid w:val="00776E43"/>
    <w:rsid w:val="00780177"/>
    <w:rsid w:val="00780B95"/>
    <w:rsid w:val="007840FD"/>
    <w:rsid w:val="007843F7"/>
    <w:rsid w:val="00785C1F"/>
    <w:rsid w:val="00786050"/>
    <w:rsid w:val="007863D2"/>
    <w:rsid w:val="00786DED"/>
    <w:rsid w:val="00787B40"/>
    <w:rsid w:val="007908BB"/>
    <w:rsid w:val="00791617"/>
    <w:rsid w:val="0079182F"/>
    <w:rsid w:val="00791D04"/>
    <w:rsid w:val="00793157"/>
    <w:rsid w:val="007951A1"/>
    <w:rsid w:val="0079625E"/>
    <w:rsid w:val="00796E93"/>
    <w:rsid w:val="00797B16"/>
    <w:rsid w:val="00797FD3"/>
    <w:rsid w:val="007A2256"/>
    <w:rsid w:val="007A3E0C"/>
    <w:rsid w:val="007A4133"/>
    <w:rsid w:val="007A426A"/>
    <w:rsid w:val="007A45A9"/>
    <w:rsid w:val="007A4726"/>
    <w:rsid w:val="007A474B"/>
    <w:rsid w:val="007A551F"/>
    <w:rsid w:val="007A67E9"/>
    <w:rsid w:val="007A694C"/>
    <w:rsid w:val="007A6BE1"/>
    <w:rsid w:val="007A7A22"/>
    <w:rsid w:val="007B2335"/>
    <w:rsid w:val="007B79A9"/>
    <w:rsid w:val="007B7FB9"/>
    <w:rsid w:val="007C228B"/>
    <w:rsid w:val="007C421C"/>
    <w:rsid w:val="007C4CEA"/>
    <w:rsid w:val="007D046E"/>
    <w:rsid w:val="007D1F7F"/>
    <w:rsid w:val="007D2529"/>
    <w:rsid w:val="007D2F47"/>
    <w:rsid w:val="007D3312"/>
    <w:rsid w:val="007D3BE7"/>
    <w:rsid w:val="007D41A8"/>
    <w:rsid w:val="007D43A9"/>
    <w:rsid w:val="007D5E4E"/>
    <w:rsid w:val="007E0437"/>
    <w:rsid w:val="007E09EB"/>
    <w:rsid w:val="007E229B"/>
    <w:rsid w:val="007E262E"/>
    <w:rsid w:val="007E28B2"/>
    <w:rsid w:val="007E379C"/>
    <w:rsid w:val="007E3B98"/>
    <w:rsid w:val="007E4188"/>
    <w:rsid w:val="007E54E0"/>
    <w:rsid w:val="007E5782"/>
    <w:rsid w:val="007E64FE"/>
    <w:rsid w:val="007E6DCF"/>
    <w:rsid w:val="007E6E7B"/>
    <w:rsid w:val="007E74B9"/>
    <w:rsid w:val="007E7BFF"/>
    <w:rsid w:val="007F1269"/>
    <w:rsid w:val="007F15D7"/>
    <w:rsid w:val="007F27B3"/>
    <w:rsid w:val="007F2870"/>
    <w:rsid w:val="007F2B5E"/>
    <w:rsid w:val="007F3DC2"/>
    <w:rsid w:val="007F70A9"/>
    <w:rsid w:val="007F7479"/>
    <w:rsid w:val="008003B0"/>
    <w:rsid w:val="008005BE"/>
    <w:rsid w:val="0080068B"/>
    <w:rsid w:val="00802788"/>
    <w:rsid w:val="00805E11"/>
    <w:rsid w:val="0080726B"/>
    <w:rsid w:val="00807B46"/>
    <w:rsid w:val="00811194"/>
    <w:rsid w:val="00811A07"/>
    <w:rsid w:val="00814375"/>
    <w:rsid w:val="00814AFA"/>
    <w:rsid w:val="00815FA1"/>
    <w:rsid w:val="00816332"/>
    <w:rsid w:val="008175C7"/>
    <w:rsid w:val="008177C9"/>
    <w:rsid w:val="00817969"/>
    <w:rsid w:val="00821BBD"/>
    <w:rsid w:val="008221AE"/>
    <w:rsid w:val="00822F96"/>
    <w:rsid w:val="008239BC"/>
    <w:rsid w:val="008244D8"/>
    <w:rsid w:val="00825446"/>
    <w:rsid w:val="008275C5"/>
    <w:rsid w:val="008300E8"/>
    <w:rsid w:val="008302C0"/>
    <w:rsid w:val="00830F4A"/>
    <w:rsid w:val="008323A2"/>
    <w:rsid w:val="00832F67"/>
    <w:rsid w:val="00833593"/>
    <w:rsid w:val="00834058"/>
    <w:rsid w:val="00835695"/>
    <w:rsid w:val="0083613F"/>
    <w:rsid w:val="008362D8"/>
    <w:rsid w:val="00836529"/>
    <w:rsid w:val="008367EE"/>
    <w:rsid w:val="00836921"/>
    <w:rsid w:val="00837EC0"/>
    <w:rsid w:val="0084064B"/>
    <w:rsid w:val="00840C6C"/>
    <w:rsid w:val="00840D91"/>
    <w:rsid w:val="0084192C"/>
    <w:rsid w:val="00843A5B"/>
    <w:rsid w:val="00845201"/>
    <w:rsid w:val="0084624D"/>
    <w:rsid w:val="008464C0"/>
    <w:rsid w:val="00850DB8"/>
    <w:rsid w:val="00851E7B"/>
    <w:rsid w:val="008525EF"/>
    <w:rsid w:val="00852F67"/>
    <w:rsid w:val="008534CA"/>
    <w:rsid w:val="00853B6D"/>
    <w:rsid w:val="00853C9D"/>
    <w:rsid w:val="00853FF5"/>
    <w:rsid w:val="00854154"/>
    <w:rsid w:val="00854473"/>
    <w:rsid w:val="00854BE0"/>
    <w:rsid w:val="00855F92"/>
    <w:rsid w:val="0085682F"/>
    <w:rsid w:val="008578F1"/>
    <w:rsid w:val="0086016E"/>
    <w:rsid w:val="00861018"/>
    <w:rsid w:val="0086152A"/>
    <w:rsid w:val="00861AA2"/>
    <w:rsid w:val="0086429D"/>
    <w:rsid w:val="0086441E"/>
    <w:rsid w:val="00864512"/>
    <w:rsid w:val="00864AFD"/>
    <w:rsid w:val="0086643E"/>
    <w:rsid w:val="00871355"/>
    <w:rsid w:val="00872B2E"/>
    <w:rsid w:val="00873579"/>
    <w:rsid w:val="008740DF"/>
    <w:rsid w:val="0087553E"/>
    <w:rsid w:val="008773DF"/>
    <w:rsid w:val="0088205E"/>
    <w:rsid w:val="008836F8"/>
    <w:rsid w:val="0088465A"/>
    <w:rsid w:val="00884822"/>
    <w:rsid w:val="00885F5D"/>
    <w:rsid w:val="008860E0"/>
    <w:rsid w:val="00887DF2"/>
    <w:rsid w:val="00887F21"/>
    <w:rsid w:val="0089014C"/>
    <w:rsid w:val="00890E1D"/>
    <w:rsid w:val="008953E5"/>
    <w:rsid w:val="00896A8C"/>
    <w:rsid w:val="0089706B"/>
    <w:rsid w:val="00897763"/>
    <w:rsid w:val="008A0510"/>
    <w:rsid w:val="008A0600"/>
    <w:rsid w:val="008A367A"/>
    <w:rsid w:val="008A499D"/>
    <w:rsid w:val="008A51E6"/>
    <w:rsid w:val="008A6294"/>
    <w:rsid w:val="008A6A8E"/>
    <w:rsid w:val="008B0999"/>
    <w:rsid w:val="008B1845"/>
    <w:rsid w:val="008B1E82"/>
    <w:rsid w:val="008B4774"/>
    <w:rsid w:val="008B5F44"/>
    <w:rsid w:val="008B799F"/>
    <w:rsid w:val="008C0AC7"/>
    <w:rsid w:val="008C13DB"/>
    <w:rsid w:val="008C1B57"/>
    <w:rsid w:val="008C1C2F"/>
    <w:rsid w:val="008C2B5E"/>
    <w:rsid w:val="008C36BD"/>
    <w:rsid w:val="008C3A95"/>
    <w:rsid w:val="008C50AE"/>
    <w:rsid w:val="008C7406"/>
    <w:rsid w:val="008C78CD"/>
    <w:rsid w:val="008C7C46"/>
    <w:rsid w:val="008D2E7A"/>
    <w:rsid w:val="008D4DCB"/>
    <w:rsid w:val="008D6413"/>
    <w:rsid w:val="008D7049"/>
    <w:rsid w:val="008D7353"/>
    <w:rsid w:val="008E0501"/>
    <w:rsid w:val="008E1268"/>
    <w:rsid w:val="008E2079"/>
    <w:rsid w:val="008E2D38"/>
    <w:rsid w:val="008E31D9"/>
    <w:rsid w:val="008E3717"/>
    <w:rsid w:val="008E420B"/>
    <w:rsid w:val="008E4844"/>
    <w:rsid w:val="008E5667"/>
    <w:rsid w:val="008E5B52"/>
    <w:rsid w:val="008E6050"/>
    <w:rsid w:val="008E6F8B"/>
    <w:rsid w:val="008E7DF2"/>
    <w:rsid w:val="008F0CBD"/>
    <w:rsid w:val="008F29F8"/>
    <w:rsid w:val="008F451E"/>
    <w:rsid w:val="008F58C2"/>
    <w:rsid w:val="008F5BD3"/>
    <w:rsid w:val="008F7B18"/>
    <w:rsid w:val="00900211"/>
    <w:rsid w:val="00900B57"/>
    <w:rsid w:val="009021B9"/>
    <w:rsid w:val="00902378"/>
    <w:rsid w:val="00902CDF"/>
    <w:rsid w:val="009040A8"/>
    <w:rsid w:val="00906760"/>
    <w:rsid w:val="00906F4E"/>
    <w:rsid w:val="00907809"/>
    <w:rsid w:val="0090781B"/>
    <w:rsid w:val="00910424"/>
    <w:rsid w:val="00914914"/>
    <w:rsid w:val="0091596A"/>
    <w:rsid w:val="00916EC9"/>
    <w:rsid w:val="00916F03"/>
    <w:rsid w:val="00917C9C"/>
    <w:rsid w:val="00921EF2"/>
    <w:rsid w:val="00922C5C"/>
    <w:rsid w:val="00923F84"/>
    <w:rsid w:val="0092495C"/>
    <w:rsid w:val="00924E80"/>
    <w:rsid w:val="009264B9"/>
    <w:rsid w:val="00927C27"/>
    <w:rsid w:val="009322A0"/>
    <w:rsid w:val="00932BAA"/>
    <w:rsid w:val="00932F05"/>
    <w:rsid w:val="00933AD6"/>
    <w:rsid w:val="00933B46"/>
    <w:rsid w:val="009342DA"/>
    <w:rsid w:val="00934584"/>
    <w:rsid w:val="009345AC"/>
    <w:rsid w:val="00934E84"/>
    <w:rsid w:val="0093659B"/>
    <w:rsid w:val="009369F7"/>
    <w:rsid w:val="00936BD1"/>
    <w:rsid w:val="009423B6"/>
    <w:rsid w:val="009431EC"/>
    <w:rsid w:val="009437F5"/>
    <w:rsid w:val="00943C00"/>
    <w:rsid w:val="009453F1"/>
    <w:rsid w:val="00946016"/>
    <w:rsid w:val="009463D3"/>
    <w:rsid w:val="009468D9"/>
    <w:rsid w:val="009475F8"/>
    <w:rsid w:val="00947846"/>
    <w:rsid w:val="00947F44"/>
    <w:rsid w:val="00950415"/>
    <w:rsid w:val="00950942"/>
    <w:rsid w:val="0095094C"/>
    <w:rsid w:val="00952329"/>
    <w:rsid w:val="00953085"/>
    <w:rsid w:val="0095308D"/>
    <w:rsid w:val="00953294"/>
    <w:rsid w:val="00953479"/>
    <w:rsid w:val="00953C40"/>
    <w:rsid w:val="00955A5F"/>
    <w:rsid w:val="00956E6D"/>
    <w:rsid w:val="009579B1"/>
    <w:rsid w:val="00957A62"/>
    <w:rsid w:val="009603CA"/>
    <w:rsid w:val="00960FFF"/>
    <w:rsid w:val="00961888"/>
    <w:rsid w:val="0096208A"/>
    <w:rsid w:val="009628AB"/>
    <w:rsid w:val="00964267"/>
    <w:rsid w:val="00964D1E"/>
    <w:rsid w:val="00965014"/>
    <w:rsid w:val="00965B3C"/>
    <w:rsid w:val="00966A00"/>
    <w:rsid w:val="00970249"/>
    <w:rsid w:val="00970342"/>
    <w:rsid w:val="00970461"/>
    <w:rsid w:val="00970E71"/>
    <w:rsid w:val="00971AEA"/>
    <w:rsid w:val="00971F92"/>
    <w:rsid w:val="0097215F"/>
    <w:rsid w:val="00972D5A"/>
    <w:rsid w:val="00974B04"/>
    <w:rsid w:val="00976343"/>
    <w:rsid w:val="00976863"/>
    <w:rsid w:val="009815A3"/>
    <w:rsid w:val="009820EE"/>
    <w:rsid w:val="009825B6"/>
    <w:rsid w:val="009834FF"/>
    <w:rsid w:val="00983788"/>
    <w:rsid w:val="00985338"/>
    <w:rsid w:val="00985F44"/>
    <w:rsid w:val="00986533"/>
    <w:rsid w:val="00986ED5"/>
    <w:rsid w:val="00986F48"/>
    <w:rsid w:val="00987C50"/>
    <w:rsid w:val="00992125"/>
    <w:rsid w:val="009922DA"/>
    <w:rsid w:val="0099393F"/>
    <w:rsid w:val="009946D3"/>
    <w:rsid w:val="00996047"/>
    <w:rsid w:val="00997BE6"/>
    <w:rsid w:val="00997CBE"/>
    <w:rsid w:val="00997DBA"/>
    <w:rsid w:val="009A02BB"/>
    <w:rsid w:val="009A0D43"/>
    <w:rsid w:val="009A11F4"/>
    <w:rsid w:val="009A16B6"/>
    <w:rsid w:val="009A18BD"/>
    <w:rsid w:val="009A2B24"/>
    <w:rsid w:val="009A2BE8"/>
    <w:rsid w:val="009A4188"/>
    <w:rsid w:val="009A41EC"/>
    <w:rsid w:val="009A4A49"/>
    <w:rsid w:val="009A5B0B"/>
    <w:rsid w:val="009A65E3"/>
    <w:rsid w:val="009A6C39"/>
    <w:rsid w:val="009A720E"/>
    <w:rsid w:val="009A7B75"/>
    <w:rsid w:val="009A7D04"/>
    <w:rsid w:val="009B012A"/>
    <w:rsid w:val="009B0F7A"/>
    <w:rsid w:val="009B3D30"/>
    <w:rsid w:val="009B41F4"/>
    <w:rsid w:val="009B5748"/>
    <w:rsid w:val="009B5A1B"/>
    <w:rsid w:val="009B5E9A"/>
    <w:rsid w:val="009C0FD5"/>
    <w:rsid w:val="009C198B"/>
    <w:rsid w:val="009C3441"/>
    <w:rsid w:val="009C4141"/>
    <w:rsid w:val="009C6828"/>
    <w:rsid w:val="009C701E"/>
    <w:rsid w:val="009C7CEA"/>
    <w:rsid w:val="009D0963"/>
    <w:rsid w:val="009D2A24"/>
    <w:rsid w:val="009D34B3"/>
    <w:rsid w:val="009D35A0"/>
    <w:rsid w:val="009D46F5"/>
    <w:rsid w:val="009D60E9"/>
    <w:rsid w:val="009D6F17"/>
    <w:rsid w:val="009D73B8"/>
    <w:rsid w:val="009D7557"/>
    <w:rsid w:val="009D7A10"/>
    <w:rsid w:val="009E0071"/>
    <w:rsid w:val="009E3192"/>
    <w:rsid w:val="009E7564"/>
    <w:rsid w:val="009F1357"/>
    <w:rsid w:val="009F16C8"/>
    <w:rsid w:val="009F2626"/>
    <w:rsid w:val="009F29EB"/>
    <w:rsid w:val="009F43F9"/>
    <w:rsid w:val="009F4E5C"/>
    <w:rsid w:val="009F6320"/>
    <w:rsid w:val="00A008C1"/>
    <w:rsid w:val="00A00B6B"/>
    <w:rsid w:val="00A02951"/>
    <w:rsid w:val="00A03548"/>
    <w:rsid w:val="00A06627"/>
    <w:rsid w:val="00A07674"/>
    <w:rsid w:val="00A07B0E"/>
    <w:rsid w:val="00A11B6A"/>
    <w:rsid w:val="00A12CB6"/>
    <w:rsid w:val="00A13479"/>
    <w:rsid w:val="00A14247"/>
    <w:rsid w:val="00A152AE"/>
    <w:rsid w:val="00A1564A"/>
    <w:rsid w:val="00A15F5D"/>
    <w:rsid w:val="00A20BB3"/>
    <w:rsid w:val="00A21162"/>
    <w:rsid w:val="00A2135E"/>
    <w:rsid w:val="00A21E03"/>
    <w:rsid w:val="00A21EDA"/>
    <w:rsid w:val="00A2262F"/>
    <w:rsid w:val="00A235E0"/>
    <w:rsid w:val="00A23DCC"/>
    <w:rsid w:val="00A23E8F"/>
    <w:rsid w:val="00A23F92"/>
    <w:rsid w:val="00A24F1C"/>
    <w:rsid w:val="00A25A78"/>
    <w:rsid w:val="00A266D3"/>
    <w:rsid w:val="00A26FD5"/>
    <w:rsid w:val="00A27D0C"/>
    <w:rsid w:val="00A30543"/>
    <w:rsid w:val="00A306D4"/>
    <w:rsid w:val="00A3084B"/>
    <w:rsid w:val="00A3138D"/>
    <w:rsid w:val="00A33B99"/>
    <w:rsid w:val="00A42184"/>
    <w:rsid w:val="00A426B2"/>
    <w:rsid w:val="00A45CE8"/>
    <w:rsid w:val="00A45DA1"/>
    <w:rsid w:val="00A45DD5"/>
    <w:rsid w:val="00A46AA6"/>
    <w:rsid w:val="00A46DB1"/>
    <w:rsid w:val="00A471C5"/>
    <w:rsid w:val="00A479EB"/>
    <w:rsid w:val="00A47F72"/>
    <w:rsid w:val="00A51226"/>
    <w:rsid w:val="00A51541"/>
    <w:rsid w:val="00A523EB"/>
    <w:rsid w:val="00A542C6"/>
    <w:rsid w:val="00A55D46"/>
    <w:rsid w:val="00A56B71"/>
    <w:rsid w:val="00A57590"/>
    <w:rsid w:val="00A637FD"/>
    <w:rsid w:val="00A65803"/>
    <w:rsid w:val="00A66A0B"/>
    <w:rsid w:val="00A674EC"/>
    <w:rsid w:val="00A67CEE"/>
    <w:rsid w:val="00A67FE4"/>
    <w:rsid w:val="00A711AF"/>
    <w:rsid w:val="00A71DEC"/>
    <w:rsid w:val="00A7332F"/>
    <w:rsid w:val="00A73C5B"/>
    <w:rsid w:val="00A77A7D"/>
    <w:rsid w:val="00A80DCB"/>
    <w:rsid w:val="00A81255"/>
    <w:rsid w:val="00A815ED"/>
    <w:rsid w:val="00A81CD6"/>
    <w:rsid w:val="00A83706"/>
    <w:rsid w:val="00A840C3"/>
    <w:rsid w:val="00A843B4"/>
    <w:rsid w:val="00A8490C"/>
    <w:rsid w:val="00A8537A"/>
    <w:rsid w:val="00A86EC1"/>
    <w:rsid w:val="00A87AA6"/>
    <w:rsid w:val="00A90910"/>
    <w:rsid w:val="00A90A7D"/>
    <w:rsid w:val="00A90D67"/>
    <w:rsid w:val="00A90E01"/>
    <w:rsid w:val="00A913DC"/>
    <w:rsid w:val="00A93684"/>
    <w:rsid w:val="00A93EF8"/>
    <w:rsid w:val="00A94F90"/>
    <w:rsid w:val="00A9736A"/>
    <w:rsid w:val="00A976F5"/>
    <w:rsid w:val="00AA0285"/>
    <w:rsid w:val="00AA193D"/>
    <w:rsid w:val="00AA7A69"/>
    <w:rsid w:val="00AB083F"/>
    <w:rsid w:val="00AB146A"/>
    <w:rsid w:val="00AB187A"/>
    <w:rsid w:val="00AB195B"/>
    <w:rsid w:val="00AB2734"/>
    <w:rsid w:val="00AB4471"/>
    <w:rsid w:val="00AB4F6D"/>
    <w:rsid w:val="00AB5DE2"/>
    <w:rsid w:val="00AB6095"/>
    <w:rsid w:val="00AC12E5"/>
    <w:rsid w:val="00AC1571"/>
    <w:rsid w:val="00AC2707"/>
    <w:rsid w:val="00AC2EA0"/>
    <w:rsid w:val="00AC3033"/>
    <w:rsid w:val="00AC4F23"/>
    <w:rsid w:val="00AC53D0"/>
    <w:rsid w:val="00AC591D"/>
    <w:rsid w:val="00AC6778"/>
    <w:rsid w:val="00AC7314"/>
    <w:rsid w:val="00AC7E3E"/>
    <w:rsid w:val="00AD1442"/>
    <w:rsid w:val="00AD1777"/>
    <w:rsid w:val="00AD235A"/>
    <w:rsid w:val="00AD4532"/>
    <w:rsid w:val="00AD45FE"/>
    <w:rsid w:val="00AD460D"/>
    <w:rsid w:val="00AD4FBE"/>
    <w:rsid w:val="00AD4FED"/>
    <w:rsid w:val="00AD5E5D"/>
    <w:rsid w:val="00AD7D04"/>
    <w:rsid w:val="00AE23D2"/>
    <w:rsid w:val="00AE28E7"/>
    <w:rsid w:val="00AE430F"/>
    <w:rsid w:val="00AE446E"/>
    <w:rsid w:val="00AE489F"/>
    <w:rsid w:val="00AE49C2"/>
    <w:rsid w:val="00AE5195"/>
    <w:rsid w:val="00AE540B"/>
    <w:rsid w:val="00AE61C9"/>
    <w:rsid w:val="00AE6F2F"/>
    <w:rsid w:val="00AF4FF3"/>
    <w:rsid w:val="00AF6BD9"/>
    <w:rsid w:val="00AF7F88"/>
    <w:rsid w:val="00AF7FC2"/>
    <w:rsid w:val="00B01D06"/>
    <w:rsid w:val="00B01ED5"/>
    <w:rsid w:val="00B0385D"/>
    <w:rsid w:val="00B04D3D"/>
    <w:rsid w:val="00B05342"/>
    <w:rsid w:val="00B11F20"/>
    <w:rsid w:val="00B1274F"/>
    <w:rsid w:val="00B12E04"/>
    <w:rsid w:val="00B14716"/>
    <w:rsid w:val="00B24A01"/>
    <w:rsid w:val="00B24F8A"/>
    <w:rsid w:val="00B25C56"/>
    <w:rsid w:val="00B25CEE"/>
    <w:rsid w:val="00B27313"/>
    <w:rsid w:val="00B309BA"/>
    <w:rsid w:val="00B311A9"/>
    <w:rsid w:val="00B3126E"/>
    <w:rsid w:val="00B31528"/>
    <w:rsid w:val="00B31EA7"/>
    <w:rsid w:val="00B323B2"/>
    <w:rsid w:val="00B3332B"/>
    <w:rsid w:val="00B34B84"/>
    <w:rsid w:val="00B34FA2"/>
    <w:rsid w:val="00B35395"/>
    <w:rsid w:val="00B363A9"/>
    <w:rsid w:val="00B4263A"/>
    <w:rsid w:val="00B42BDB"/>
    <w:rsid w:val="00B42C4E"/>
    <w:rsid w:val="00B43E0A"/>
    <w:rsid w:val="00B45E4F"/>
    <w:rsid w:val="00B46ECB"/>
    <w:rsid w:val="00B47489"/>
    <w:rsid w:val="00B476E9"/>
    <w:rsid w:val="00B50355"/>
    <w:rsid w:val="00B515C6"/>
    <w:rsid w:val="00B518C1"/>
    <w:rsid w:val="00B5301A"/>
    <w:rsid w:val="00B54137"/>
    <w:rsid w:val="00B54466"/>
    <w:rsid w:val="00B54C55"/>
    <w:rsid w:val="00B5620D"/>
    <w:rsid w:val="00B56E1D"/>
    <w:rsid w:val="00B579D2"/>
    <w:rsid w:val="00B57C2B"/>
    <w:rsid w:val="00B608A6"/>
    <w:rsid w:val="00B61D2B"/>
    <w:rsid w:val="00B61EF5"/>
    <w:rsid w:val="00B63815"/>
    <w:rsid w:val="00B63BA0"/>
    <w:rsid w:val="00B64258"/>
    <w:rsid w:val="00B64BDE"/>
    <w:rsid w:val="00B64E3D"/>
    <w:rsid w:val="00B653DA"/>
    <w:rsid w:val="00B71A0A"/>
    <w:rsid w:val="00B71A29"/>
    <w:rsid w:val="00B71A36"/>
    <w:rsid w:val="00B73F3A"/>
    <w:rsid w:val="00B74CC3"/>
    <w:rsid w:val="00B75743"/>
    <w:rsid w:val="00B75CD3"/>
    <w:rsid w:val="00B76004"/>
    <w:rsid w:val="00B8062E"/>
    <w:rsid w:val="00B80962"/>
    <w:rsid w:val="00B80C9A"/>
    <w:rsid w:val="00B80E31"/>
    <w:rsid w:val="00B82275"/>
    <w:rsid w:val="00B831DD"/>
    <w:rsid w:val="00B84E99"/>
    <w:rsid w:val="00B84F9B"/>
    <w:rsid w:val="00B86AC6"/>
    <w:rsid w:val="00B8718F"/>
    <w:rsid w:val="00B90EB2"/>
    <w:rsid w:val="00B924B8"/>
    <w:rsid w:val="00B92E5C"/>
    <w:rsid w:val="00B93917"/>
    <w:rsid w:val="00B94A8B"/>
    <w:rsid w:val="00BA015C"/>
    <w:rsid w:val="00BA1002"/>
    <w:rsid w:val="00BA11FD"/>
    <w:rsid w:val="00BA346E"/>
    <w:rsid w:val="00BA5949"/>
    <w:rsid w:val="00BA59B4"/>
    <w:rsid w:val="00BA5D27"/>
    <w:rsid w:val="00BA65FF"/>
    <w:rsid w:val="00BA6642"/>
    <w:rsid w:val="00BA6B4B"/>
    <w:rsid w:val="00BA707C"/>
    <w:rsid w:val="00BB2A36"/>
    <w:rsid w:val="00BB335E"/>
    <w:rsid w:val="00BB4142"/>
    <w:rsid w:val="00BB481D"/>
    <w:rsid w:val="00BC0250"/>
    <w:rsid w:val="00BC0B89"/>
    <w:rsid w:val="00BC2649"/>
    <w:rsid w:val="00BC563D"/>
    <w:rsid w:val="00BC5AAF"/>
    <w:rsid w:val="00BC6F9C"/>
    <w:rsid w:val="00BC73AC"/>
    <w:rsid w:val="00BD1851"/>
    <w:rsid w:val="00BD1DBA"/>
    <w:rsid w:val="00BD32C8"/>
    <w:rsid w:val="00BD3AE5"/>
    <w:rsid w:val="00BD4896"/>
    <w:rsid w:val="00BD4C91"/>
    <w:rsid w:val="00BE216C"/>
    <w:rsid w:val="00BE56C2"/>
    <w:rsid w:val="00BE59D6"/>
    <w:rsid w:val="00BE75A5"/>
    <w:rsid w:val="00BE7835"/>
    <w:rsid w:val="00BF0BBA"/>
    <w:rsid w:val="00BF20F4"/>
    <w:rsid w:val="00BF21E3"/>
    <w:rsid w:val="00BF2567"/>
    <w:rsid w:val="00BF27E8"/>
    <w:rsid w:val="00BF3351"/>
    <w:rsid w:val="00BF38B9"/>
    <w:rsid w:val="00BF4A0E"/>
    <w:rsid w:val="00BF51B7"/>
    <w:rsid w:val="00BF5865"/>
    <w:rsid w:val="00BF5FAE"/>
    <w:rsid w:val="00C0019C"/>
    <w:rsid w:val="00C00B57"/>
    <w:rsid w:val="00C00C23"/>
    <w:rsid w:val="00C01B73"/>
    <w:rsid w:val="00C023F6"/>
    <w:rsid w:val="00C02962"/>
    <w:rsid w:val="00C029A0"/>
    <w:rsid w:val="00C02B15"/>
    <w:rsid w:val="00C03340"/>
    <w:rsid w:val="00C050FE"/>
    <w:rsid w:val="00C05D29"/>
    <w:rsid w:val="00C065A4"/>
    <w:rsid w:val="00C06A84"/>
    <w:rsid w:val="00C07708"/>
    <w:rsid w:val="00C0775D"/>
    <w:rsid w:val="00C07A10"/>
    <w:rsid w:val="00C109D1"/>
    <w:rsid w:val="00C12825"/>
    <w:rsid w:val="00C129F6"/>
    <w:rsid w:val="00C141C6"/>
    <w:rsid w:val="00C14D0A"/>
    <w:rsid w:val="00C1521E"/>
    <w:rsid w:val="00C153FF"/>
    <w:rsid w:val="00C2172E"/>
    <w:rsid w:val="00C220DD"/>
    <w:rsid w:val="00C252BD"/>
    <w:rsid w:val="00C27193"/>
    <w:rsid w:val="00C30413"/>
    <w:rsid w:val="00C30A5D"/>
    <w:rsid w:val="00C31666"/>
    <w:rsid w:val="00C32392"/>
    <w:rsid w:val="00C32877"/>
    <w:rsid w:val="00C33141"/>
    <w:rsid w:val="00C34D06"/>
    <w:rsid w:val="00C35536"/>
    <w:rsid w:val="00C36E50"/>
    <w:rsid w:val="00C37550"/>
    <w:rsid w:val="00C37BAA"/>
    <w:rsid w:val="00C4002F"/>
    <w:rsid w:val="00C40170"/>
    <w:rsid w:val="00C40F95"/>
    <w:rsid w:val="00C42336"/>
    <w:rsid w:val="00C43B8A"/>
    <w:rsid w:val="00C45049"/>
    <w:rsid w:val="00C4741F"/>
    <w:rsid w:val="00C479E2"/>
    <w:rsid w:val="00C50011"/>
    <w:rsid w:val="00C519F9"/>
    <w:rsid w:val="00C5220E"/>
    <w:rsid w:val="00C527E0"/>
    <w:rsid w:val="00C52F2F"/>
    <w:rsid w:val="00C538DB"/>
    <w:rsid w:val="00C54385"/>
    <w:rsid w:val="00C54D83"/>
    <w:rsid w:val="00C5650B"/>
    <w:rsid w:val="00C57278"/>
    <w:rsid w:val="00C5786F"/>
    <w:rsid w:val="00C61AFB"/>
    <w:rsid w:val="00C64226"/>
    <w:rsid w:val="00C645A0"/>
    <w:rsid w:val="00C655B7"/>
    <w:rsid w:val="00C657AE"/>
    <w:rsid w:val="00C661BA"/>
    <w:rsid w:val="00C66FB9"/>
    <w:rsid w:val="00C6732F"/>
    <w:rsid w:val="00C70B5D"/>
    <w:rsid w:val="00C722BD"/>
    <w:rsid w:val="00C72DD2"/>
    <w:rsid w:val="00C74227"/>
    <w:rsid w:val="00C75C24"/>
    <w:rsid w:val="00C77BDC"/>
    <w:rsid w:val="00C80931"/>
    <w:rsid w:val="00C80BAC"/>
    <w:rsid w:val="00C80F3E"/>
    <w:rsid w:val="00C82ABD"/>
    <w:rsid w:val="00C85376"/>
    <w:rsid w:val="00C86511"/>
    <w:rsid w:val="00C86A2A"/>
    <w:rsid w:val="00C87B69"/>
    <w:rsid w:val="00C87D1D"/>
    <w:rsid w:val="00C91F8E"/>
    <w:rsid w:val="00C92459"/>
    <w:rsid w:val="00C9496C"/>
    <w:rsid w:val="00C949A1"/>
    <w:rsid w:val="00C955AC"/>
    <w:rsid w:val="00C96A64"/>
    <w:rsid w:val="00CA1FB3"/>
    <w:rsid w:val="00CA27F2"/>
    <w:rsid w:val="00CA32F0"/>
    <w:rsid w:val="00CA34C2"/>
    <w:rsid w:val="00CA42D4"/>
    <w:rsid w:val="00CA67E4"/>
    <w:rsid w:val="00CA74C3"/>
    <w:rsid w:val="00CB0385"/>
    <w:rsid w:val="00CB114C"/>
    <w:rsid w:val="00CB2156"/>
    <w:rsid w:val="00CB4AF6"/>
    <w:rsid w:val="00CB555E"/>
    <w:rsid w:val="00CB5D06"/>
    <w:rsid w:val="00CB6D94"/>
    <w:rsid w:val="00CB6DE0"/>
    <w:rsid w:val="00CB7786"/>
    <w:rsid w:val="00CC175C"/>
    <w:rsid w:val="00CC20F9"/>
    <w:rsid w:val="00CC2FA1"/>
    <w:rsid w:val="00CC36F5"/>
    <w:rsid w:val="00CC3991"/>
    <w:rsid w:val="00CD0BC8"/>
    <w:rsid w:val="00CD116E"/>
    <w:rsid w:val="00CD2C01"/>
    <w:rsid w:val="00CD6D1A"/>
    <w:rsid w:val="00CE11E7"/>
    <w:rsid w:val="00CE2568"/>
    <w:rsid w:val="00CE35A6"/>
    <w:rsid w:val="00CE50A9"/>
    <w:rsid w:val="00CF13A0"/>
    <w:rsid w:val="00CF17FE"/>
    <w:rsid w:val="00CF2543"/>
    <w:rsid w:val="00CF368D"/>
    <w:rsid w:val="00CF3878"/>
    <w:rsid w:val="00CF61C9"/>
    <w:rsid w:val="00CF62E9"/>
    <w:rsid w:val="00D010F8"/>
    <w:rsid w:val="00D01A3A"/>
    <w:rsid w:val="00D027DA"/>
    <w:rsid w:val="00D02D1E"/>
    <w:rsid w:val="00D0640F"/>
    <w:rsid w:val="00D071E5"/>
    <w:rsid w:val="00D07C40"/>
    <w:rsid w:val="00D1384D"/>
    <w:rsid w:val="00D14AD3"/>
    <w:rsid w:val="00D14E59"/>
    <w:rsid w:val="00D16026"/>
    <w:rsid w:val="00D17181"/>
    <w:rsid w:val="00D20F54"/>
    <w:rsid w:val="00D22449"/>
    <w:rsid w:val="00D225F7"/>
    <w:rsid w:val="00D24ED4"/>
    <w:rsid w:val="00D26AA3"/>
    <w:rsid w:val="00D271B1"/>
    <w:rsid w:val="00D27CEC"/>
    <w:rsid w:val="00D27F10"/>
    <w:rsid w:val="00D3027A"/>
    <w:rsid w:val="00D30A09"/>
    <w:rsid w:val="00D327BF"/>
    <w:rsid w:val="00D32D89"/>
    <w:rsid w:val="00D32E66"/>
    <w:rsid w:val="00D33E85"/>
    <w:rsid w:val="00D3632E"/>
    <w:rsid w:val="00D3684E"/>
    <w:rsid w:val="00D40150"/>
    <w:rsid w:val="00D4121A"/>
    <w:rsid w:val="00D41836"/>
    <w:rsid w:val="00D41C5D"/>
    <w:rsid w:val="00D43C18"/>
    <w:rsid w:val="00D440ED"/>
    <w:rsid w:val="00D45FE4"/>
    <w:rsid w:val="00D46DAF"/>
    <w:rsid w:val="00D506CC"/>
    <w:rsid w:val="00D512CC"/>
    <w:rsid w:val="00D51A27"/>
    <w:rsid w:val="00D51F11"/>
    <w:rsid w:val="00D52187"/>
    <w:rsid w:val="00D52E15"/>
    <w:rsid w:val="00D53538"/>
    <w:rsid w:val="00D53827"/>
    <w:rsid w:val="00D54CC3"/>
    <w:rsid w:val="00D57E57"/>
    <w:rsid w:val="00D6011C"/>
    <w:rsid w:val="00D60707"/>
    <w:rsid w:val="00D61084"/>
    <w:rsid w:val="00D629FB"/>
    <w:rsid w:val="00D62CF5"/>
    <w:rsid w:val="00D62E22"/>
    <w:rsid w:val="00D6330D"/>
    <w:rsid w:val="00D6370D"/>
    <w:rsid w:val="00D6590F"/>
    <w:rsid w:val="00D65F09"/>
    <w:rsid w:val="00D6622D"/>
    <w:rsid w:val="00D6663A"/>
    <w:rsid w:val="00D6751E"/>
    <w:rsid w:val="00D709A6"/>
    <w:rsid w:val="00D715A9"/>
    <w:rsid w:val="00D732AA"/>
    <w:rsid w:val="00D756A1"/>
    <w:rsid w:val="00D80ABC"/>
    <w:rsid w:val="00D80F43"/>
    <w:rsid w:val="00D82E86"/>
    <w:rsid w:val="00D82F5C"/>
    <w:rsid w:val="00D83A55"/>
    <w:rsid w:val="00D872AF"/>
    <w:rsid w:val="00D876EB"/>
    <w:rsid w:val="00D9058C"/>
    <w:rsid w:val="00D90C90"/>
    <w:rsid w:val="00D90E4E"/>
    <w:rsid w:val="00D922AC"/>
    <w:rsid w:val="00D92C36"/>
    <w:rsid w:val="00D93FD8"/>
    <w:rsid w:val="00D95AAE"/>
    <w:rsid w:val="00D95B82"/>
    <w:rsid w:val="00D96309"/>
    <w:rsid w:val="00D966D5"/>
    <w:rsid w:val="00D96D3E"/>
    <w:rsid w:val="00D97C15"/>
    <w:rsid w:val="00DA05FB"/>
    <w:rsid w:val="00DA0FE2"/>
    <w:rsid w:val="00DA237F"/>
    <w:rsid w:val="00DA4726"/>
    <w:rsid w:val="00DA502D"/>
    <w:rsid w:val="00DA55CC"/>
    <w:rsid w:val="00DA7277"/>
    <w:rsid w:val="00DA75F7"/>
    <w:rsid w:val="00DA7D71"/>
    <w:rsid w:val="00DB0943"/>
    <w:rsid w:val="00DB18CC"/>
    <w:rsid w:val="00DB30ED"/>
    <w:rsid w:val="00DB34C1"/>
    <w:rsid w:val="00DB44DA"/>
    <w:rsid w:val="00DB4887"/>
    <w:rsid w:val="00DB534B"/>
    <w:rsid w:val="00DB6820"/>
    <w:rsid w:val="00DC0101"/>
    <w:rsid w:val="00DC10A6"/>
    <w:rsid w:val="00DC426E"/>
    <w:rsid w:val="00DC4DE1"/>
    <w:rsid w:val="00DC5046"/>
    <w:rsid w:val="00DC6F30"/>
    <w:rsid w:val="00DD039E"/>
    <w:rsid w:val="00DD108A"/>
    <w:rsid w:val="00DD25EB"/>
    <w:rsid w:val="00DD3685"/>
    <w:rsid w:val="00DD4745"/>
    <w:rsid w:val="00DD50A0"/>
    <w:rsid w:val="00DD54EA"/>
    <w:rsid w:val="00DD61AD"/>
    <w:rsid w:val="00DD61CB"/>
    <w:rsid w:val="00DD6FC2"/>
    <w:rsid w:val="00DD71D7"/>
    <w:rsid w:val="00DD750A"/>
    <w:rsid w:val="00DE2CEB"/>
    <w:rsid w:val="00DE34B7"/>
    <w:rsid w:val="00DE4F17"/>
    <w:rsid w:val="00DE58BA"/>
    <w:rsid w:val="00DE59A7"/>
    <w:rsid w:val="00DF208A"/>
    <w:rsid w:val="00DF2F23"/>
    <w:rsid w:val="00DF37FC"/>
    <w:rsid w:val="00DF6E4C"/>
    <w:rsid w:val="00E00AAB"/>
    <w:rsid w:val="00E0119F"/>
    <w:rsid w:val="00E020CE"/>
    <w:rsid w:val="00E02725"/>
    <w:rsid w:val="00E02957"/>
    <w:rsid w:val="00E03548"/>
    <w:rsid w:val="00E03B01"/>
    <w:rsid w:val="00E04466"/>
    <w:rsid w:val="00E0584B"/>
    <w:rsid w:val="00E05F7A"/>
    <w:rsid w:val="00E062FB"/>
    <w:rsid w:val="00E0649E"/>
    <w:rsid w:val="00E06AD1"/>
    <w:rsid w:val="00E06E6C"/>
    <w:rsid w:val="00E06EEE"/>
    <w:rsid w:val="00E102D3"/>
    <w:rsid w:val="00E10A7D"/>
    <w:rsid w:val="00E10D22"/>
    <w:rsid w:val="00E115FA"/>
    <w:rsid w:val="00E12151"/>
    <w:rsid w:val="00E1289B"/>
    <w:rsid w:val="00E1355C"/>
    <w:rsid w:val="00E137C7"/>
    <w:rsid w:val="00E142BB"/>
    <w:rsid w:val="00E15424"/>
    <w:rsid w:val="00E16C66"/>
    <w:rsid w:val="00E17562"/>
    <w:rsid w:val="00E17A21"/>
    <w:rsid w:val="00E2381F"/>
    <w:rsid w:val="00E2658A"/>
    <w:rsid w:val="00E27105"/>
    <w:rsid w:val="00E27CCB"/>
    <w:rsid w:val="00E3035C"/>
    <w:rsid w:val="00E3055A"/>
    <w:rsid w:val="00E30E6A"/>
    <w:rsid w:val="00E31840"/>
    <w:rsid w:val="00E31C07"/>
    <w:rsid w:val="00E32126"/>
    <w:rsid w:val="00E3467C"/>
    <w:rsid w:val="00E34DD9"/>
    <w:rsid w:val="00E36E16"/>
    <w:rsid w:val="00E40415"/>
    <w:rsid w:val="00E410E7"/>
    <w:rsid w:val="00E442DF"/>
    <w:rsid w:val="00E464F5"/>
    <w:rsid w:val="00E509E4"/>
    <w:rsid w:val="00E50F57"/>
    <w:rsid w:val="00E518A1"/>
    <w:rsid w:val="00E52F02"/>
    <w:rsid w:val="00E54318"/>
    <w:rsid w:val="00E54B27"/>
    <w:rsid w:val="00E54BC6"/>
    <w:rsid w:val="00E552CE"/>
    <w:rsid w:val="00E55498"/>
    <w:rsid w:val="00E5558C"/>
    <w:rsid w:val="00E56210"/>
    <w:rsid w:val="00E5795E"/>
    <w:rsid w:val="00E6090E"/>
    <w:rsid w:val="00E61544"/>
    <w:rsid w:val="00E61675"/>
    <w:rsid w:val="00E62024"/>
    <w:rsid w:val="00E63848"/>
    <w:rsid w:val="00E63C98"/>
    <w:rsid w:val="00E64D8F"/>
    <w:rsid w:val="00E64FAF"/>
    <w:rsid w:val="00E67B7D"/>
    <w:rsid w:val="00E70CD0"/>
    <w:rsid w:val="00E720FC"/>
    <w:rsid w:val="00E73ED1"/>
    <w:rsid w:val="00E7545F"/>
    <w:rsid w:val="00E7617B"/>
    <w:rsid w:val="00E778C0"/>
    <w:rsid w:val="00E77F74"/>
    <w:rsid w:val="00E804F5"/>
    <w:rsid w:val="00E80F93"/>
    <w:rsid w:val="00E82394"/>
    <w:rsid w:val="00E83F3D"/>
    <w:rsid w:val="00E84079"/>
    <w:rsid w:val="00E8446E"/>
    <w:rsid w:val="00E86C6F"/>
    <w:rsid w:val="00E8722B"/>
    <w:rsid w:val="00E905BC"/>
    <w:rsid w:val="00E909A2"/>
    <w:rsid w:val="00E91511"/>
    <w:rsid w:val="00E91EB1"/>
    <w:rsid w:val="00E95802"/>
    <w:rsid w:val="00EA0C5D"/>
    <w:rsid w:val="00EA2881"/>
    <w:rsid w:val="00EA2EFA"/>
    <w:rsid w:val="00EA363F"/>
    <w:rsid w:val="00EA5D1E"/>
    <w:rsid w:val="00EA5F59"/>
    <w:rsid w:val="00EA652A"/>
    <w:rsid w:val="00EA6EB0"/>
    <w:rsid w:val="00EA6F7D"/>
    <w:rsid w:val="00EB0789"/>
    <w:rsid w:val="00EB0A79"/>
    <w:rsid w:val="00EB0D75"/>
    <w:rsid w:val="00EB0D85"/>
    <w:rsid w:val="00EB2181"/>
    <w:rsid w:val="00EB22A2"/>
    <w:rsid w:val="00EB6720"/>
    <w:rsid w:val="00EB6E98"/>
    <w:rsid w:val="00EB74ED"/>
    <w:rsid w:val="00EB7597"/>
    <w:rsid w:val="00EC1439"/>
    <w:rsid w:val="00EC356B"/>
    <w:rsid w:val="00EC4CA1"/>
    <w:rsid w:val="00EC52EB"/>
    <w:rsid w:val="00EC6DDD"/>
    <w:rsid w:val="00ED3BEC"/>
    <w:rsid w:val="00ED5663"/>
    <w:rsid w:val="00ED59D1"/>
    <w:rsid w:val="00ED6132"/>
    <w:rsid w:val="00ED6174"/>
    <w:rsid w:val="00ED6D9B"/>
    <w:rsid w:val="00EE111C"/>
    <w:rsid w:val="00EE1C20"/>
    <w:rsid w:val="00EE1EF3"/>
    <w:rsid w:val="00EE26C3"/>
    <w:rsid w:val="00EE3349"/>
    <w:rsid w:val="00EE47B2"/>
    <w:rsid w:val="00EE5D2A"/>
    <w:rsid w:val="00EE716B"/>
    <w:rsid w:val="00EF06E7"/>
    <w:rsid w:val="00EF07AB"/>
    <w:rsid w:val="00EF13B5"/>
    <w:rsid w:val="00EF1459"/>
    <w:rsid w:val="00EF2087"/>
    <w:rsid w:val="00EF2130"/>
    <w:rsid w:val="00EF2147"/>
    <w:rsid w:val="00EF576C"/>
    <w:rsid w:val="00EF6F9A"/>
    <w:rsid w:val="00F00120"/>
    <w:rsid w:val="00F00F85"/>
    <w:rsid w:val="00F0137F"/>
    <w:rsid w:val="00F014D3"/>
    <w:rsid w:val="00F02A87"/>
    <w:rsid w:val="00F03041"/>
    <w:rsid w:val="00F031C1"/>
    <w:rsid w:val="00F03705"/>
    <w:rsid w:val="00F0592A"/>
    <w:rsid w:val="00F06B37"/>
    <w:rsid w:val="00F10312"/>
    <w:rsid w:val="00F10B95"/>
    <w:rsid w:val="00F118BB"/>
    <w:rsid w:val="00F13329"/>
    <w:rsid w:val="00F134E4"/>
    <w:rsid w:val="00F13A47"/>
    <w:rsid w:val="00F14B9B"/>
    <w:rsid w:val="00F15382"/>
    <w:rsid w:val="00F15BAB"/>
    <w:rsid w:val="00F20975"/>
    <w:rsid w:val="00F216A3"/>
    <w:rsid w:val="00F2186C"/>
    <w:rsid w:val="00F2193A"/>
    <w:rsid w:val="00F22066"/>
    <w:rsid w:val="00F22B73"/>
    <w:rsid w:val="00F2317E"/>
    <w:rsid w:val="00F244B9"/>
    <w:rsid w:val="00F27093"/>
    <w:rsid w:val="00F2735E"/>
    <w:rsid w:val="00F2755A"/>
    <w:rsid w:val="00F305EA"/>
    <w:rsid w:val="00F32689"/>
    <w:rsid w:val="00F32BEE"/>
    <w:rsid w:val="00F3503B"/>
    <w:rsid w:val="00F35303"/>
    <w:rsid w:val="00F356D4"/>
    <w:rsid w:val="00F4131B"/>
    <w:rsid w:val="00F43339"/>
    <w:rsid w:val="00F43BCB"/>
    <w:rsid w:val="00F45833"/>
    <w:rsid w:val="00F45846"/>
    <w:rsid w:val="00F45A63"/>
    <w:rsid w:val="00F46B5D"/>
    <w:rsid w:val="00F47516"/>
    <w:rsid w:val="00F51EBD"/>
    <w:rsid w:val="00F52FC4"/>
    <w:rsid w:val="00F54987"/>
    <w:rsid w:val="00F54E7A"/>
    <w:rsid w:val="00F55272"/>
    <w:rsid w:val="00F55B03"/>
    <w:rsid w:val="00F563A0"/>
    <w:rsid w:val="00F56C81"/>
    <w:rsid w:val="00F60121"/>
    <w:rsid w:val="00F651B1"/>
    <w:rsid w:val="00F65B6C"/>
    <w:rsid w:val="00F66114"/>
    <w:rsid w:val="00F67027"/>
    <w:rsid w:val="00F67DA0"/>
    <w:rsid w:val="00F72605"/>
    <w:rsid w:val="00F72C2A"/>
    <w:rsid w:val="00F7447F"/>
    <w:rsid w:val="00F745CB"/>
    <w:rsid w:val="00F76067"/>
    <w:rsid w:val="00F76A78"/>
    <w:rsid w:val="00F77A57"/>
    <w:rsid w:val="00F80E2F"/>
    <w:rsid w:val="00F815B0"/>
    <w:rsid w:val="00F818AE"/>
    <w:rsid w:val="00F8369A"/>
    <w:rsid w:val="00F84504"/>
    <w:rsid w:val="00F85D42"/>
    <w:rsid w:val="00F87692"/>
    <w:rsid w:val="00F87A69"/>
    <w:rsid w:val="00F909E8"/>
    <w:rsid w:val="00F93396"/>
    <w:rsid w:val="00F955B9"/>
    <w:rsid w:val="00FA1B8A"/>
    <w:rsid w:val="00FA3646"/>
    <w:rsid w:val="00FA3BE8"/>
    <w:rsid w:val="00FA5DDF"/>
    <w:rsid w:val="00FA6070"/>
    <w:rsid w:val="00FA6803"/>
    <w:rsid w:val="00FA6CE6"/>
    <w:rsid w:val="00FA7AAA"/>
    <w:rsid w:val="00FA7C59"/>
    <w:rsid w:val="00FA7D5D"/>
    <w:rsid w:val="00FB0294"/>
    <w:rsid w:val="00FB03C6"/>
    <w:rsid w:val="00FB05EE"/>
    <w:rsid w:val="00FB10BB"/>
    <w:rsid w:val="00FB20D9"/>
    <w:rsid w:val="00FB235D"/>
    <w:rsid w:val="00FB2C74"/>
    <w:rsid w:val="00FB33B4"/>
    <w:rsid w:val="00FB3A4A"/>
    <w:rsid w:val="00FB3E31"/>
    <w:rsid w:val="00FB447E"/>
    <w:rsid w:val="00FB49BC"/>
    <w:rsid w:val="00FB567E"/>
    <w:rsid w:val="00FB5F4E"/>
    <w:rsid w:val="00FB6176"/>
    <w:rsid w:val="00FB6801"/>
    <w:rsid w:val="00FB79BA"/>
    <w:rsid w:val="00FC05AB"/>
    <w:rsid w:val="00FC0CA4"/>
    <w:rsid w:val="00FC100B"/>
    <w:rsid w:val="00FC710A"/>
    <w:rsid w:val="00FC75DA"/>
    <w:rsid w:val="00FC7B67"/>
    <w:rsid w:val="00FD1C6D"/>
    <w:rsid w:val="00FD2FCB"/>
    <w:rsid w:val="00FD346D"/>
    <w:rsid w:val="00FD3518"/>
    <w:rsid w:val="00FD3933"/>
    <w:rsid w:val="00FD3DC2"/>
    <w:rsid w:val="00FD56D4"/>
    <w:rsid w:val="00FD6541"/>
    <w:rsid w:val="00FE0625"/>
    <w:rsid w:val="00FE2A3F"/>
    <w:rsid w:val="00FE3122"/>
    <w:rsid w:val="00FE31A3"/>
    <w:rsid w:val="00FE5CD0"/>
    <w:rsid w:val="00FE5DFA"/>
    <w:rsid w:val="00FE6815"/>
    <w:rsid w:val="00FF0980"/>
    <w:rsid w:val="00FF0BF1"/>
    <w:rsid w:val="00FF0D0D"/>
    <w:rsid w:val="00FF1FF0"/>
    <w:rsid w:val="00FF248A"/>
    <w:rsid w:val="00FF27EE"/>
    <w:rsid w:val="00FF3623"/>
    <w:rsid w:val="00FF37B1"/>
    <w:rsid w:val="00FF4D99"/>
    <w:rsid w:val="00FF62B5"/>
    <w:rsid w:val="00FF6AE9"/>
    <w:rsid w:val="00FF6C16"/>
    <w:rsid w:val="00FF74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779A"/>
    <w:rPr>
      <w:rFonts w:ascii="Tahoma" w:hAnsi="Tahoma" w:cs="Tahoma"/>
      <w:sz w:val="16"/>
      <w:szCs w:val="16"/>
    </w:rPr>
  </w:style>
  <w:style w:type="character" w:customStyle="1" w:styleId="TextedebullesCar">
    <w:name w:val="Texte de bulles Car"/>
    <w:basedOn w:val="Policepardfaut"/>
    <w:link w:val="Textedebulles"/>
    <w:uiPriority w:val="99"/>
    <w:semiHidden/>
    <w:rsid w:val="0023779A"/>
    <w:rPr>
      <w:rFonts w:ascii="Tahoma" w:hAnsi="Tahoma" w:cs="Tahoma"/>
      <w:sz w:val="16"/>
      <w:szCs w:val="16"/>
    </w:rPr>
  </w:style>
  <w:style w:type="paragraph" w:styleId="En-tte">
    <w:name w:val="header"/>
    <w:basedOn w:val="Normal"/>
    <w:link w:val="En-tteCar"/>
    <w:uiPriority w:val="99"/>
    <w:semiHidden/>
    <w:unhideWhenUsed/>
    <w:rsid w:val="009C701E"/>
    <w:pPr>
      <w:tabs>
        <w:tab w:val="center" w:pos="4536"/>
        <w:tab w:val="right" w:pos="9072"/>
      </w:tabs>
    </w:pPr>
  </w:style>
  <w:style w:type="character" w:customStyle="1" w:styleId="En-tteCar">
    <w:name w:val="En-tête Car"/>
    <w:basedOn w:val="Policepardfaut"/>
    <w:link w:val="En-tte"/>
    <w:uiPriority w:val="99"/>
    <w:semiHidden/>
    <w:rsid w:val="009C701E"/>
  </w:style>
  <w:style w:type="paragraph" w:styleId="Pieddepage">
    <w:name w:val="footer"/>
    <w:basedOn w:val="Normal"/>
    <w:link w:val="PieddepageCar"/>
    <w:uiPriority w:val="99"/>
    <w:unhideWhenUsed/>
    <w:rsid w:val="009C701E"/>
    <w:pPr>
      <w:tabs>
        <w:tab w:val="center" w:pos="4536"/>
        <w:tab w:val="right" w:pos="9072"/>
      </w:tabs>
    </w:pPr>
  </w:style>
  <w:style w:type="character" w:customStyle="1" w:styleId="PieddepageCar">
    <w:name w:val="Pied de page Car"/>
    <w:basedOn w:val="Policepardfaut"/>
    <w:link w:val="Pieddepage"/>
    <w:uiPriority w:val="99"/>
    <w:rsid w:val="009C701E"/>
  </w:style>
  <w:style w:type="character" w:styleId="Lienhypertexte">
    <w:name w:val="Hyperlink"/>
    <w:basedOn w:val="Policepardfaut"/>
    <w:uiPriority w:val="99"/>
    <w:rsid w:val="00DF2F23"/>
    <w:rPr>
      <w:color w:val="0000FF"/>
      <w:u w:val="single"/>
    </w:rPr>
  </w:style>
  <w:style w:type="paragraph" w:styleId="Notedebasdepage">
    <w:name w:val="footnote text"/>
    <w:basedOn w:val="Normal"/>
    <w:link w:val="NotedebasdepageCar"/>
    <w:uiPriority w:val="99"/>
    <w:unhideWhenUsed/>
    <w:rsid w:val="00DF2F23"/>
    <w:pPr>
      <w:jc w:val="left"/>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DF2F23"/>
    <w:rPr>
      <w:rFonts w:eastAsiaTheme="minorEastAsia"/>
      <w:sz w:val="20"/>
      <w:szCs w:val="20"/>
      <w:lang w:eastAsia="fr-FR"/>
    </w:rPr>
  </w:style>
  <w:style w:type="paragraph" w:styleId="Paragraphedeliste">
    <w:name w:val="List Paragraph"/>
    <w:basedOn w:val="Normal"/>
    <w:uiPriority w:val="34"/>
    <w:qFormat/>
    <w:rsid w:val="004433F3"/>
    <w:pPr>
      <w:spacing w:after="200" w:line="276" w:lineRule="auto"/>
      <w:ind w:left="720"/>
      <w:contextualSpacing/>
      <w:jc w:val="left"/>
    </w:pPr>
  </w:style>
  <w:style w:type="character" w:styleId="Appelnotedebasdep">
    <w:name w:val="footnote reference"/>
    <w:basedOn w:val="Policepardfaut"/>
    <w:uiPriority w:val="99"/>
    <w:semiHidden/>
    <w:unhideWhenUsed/>
    <w:rsid w:val="00CF17FE"/>
    <w:rPr>
      <w:vertAlign w:val="superscript"/>
    </w:rPr>
  </w:style>
  <w:style w:type="paragraph" w:styleId="Lgende">
    <w:name w:val="caption"/>
    <w:basedOn w:val="Normal"/>
    <w:next w:val="Normal"/>
    <w:uiPriority w:val="35"/>
    <w:unhideWhenUsed/>
    <w:qFormat/>
    <w:rsid w:val="00CF17FE"/>
    <w:pPr>
      <w:spacing w:after="200"/>
      <w:jc w:val="left"/>
    </w:pPr>
    <w:rPr>
      <w:rFonts w:eastAsiaTheme="minorEastAsia"/>
      <w:b/>
      <w:bCs/>
      <w:color w:val="4F81BD" w:themeColor="accent1"/>
      <w:sz w:val="18"/>
      <w:szCs w:val="18"/>
      <w:lang w:eastAsia="fr-FR"/>
    </w:rPr>
  </w:style>
  <w:style w:type="character" w:styleId="Textedelespacerserv">
    <w:name w:val="Placeholder Text"/>
    <w:basedOn w:val="Policepardfaut"/>
    <w:uiPriority w:val="99"/>
    <w:semiHidden/>
    <w:rsid w:val="00575E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742271">
      <w:bodyDiv w:val="1"/>
      <w:marLeft w:val="0"/>
      <w:marRight w:val="0"/>
      <w:marTop w:val="0"/>
      <w:marBottom w:val="0"/>
      <w:divBdr>
        <w:top w:val="none" w:sz="0" w:space="0" w:color="auto"/>
        <w:left w:val="none" w:sz="0" w:space="0" w:color="auto"/>
        <w:bottom w:val="none" w:sz="0" w:space="0" w:color="auto"/>
        <w:right w:val="none" w:sz="0" w:space="0" w:color="auto"/>
      </w:divBdr>
    </w:div>
    <w:div w:id="322512241">
      <w:bodyDiv w:val="1"/>
      <w:marLeft w:val="0"/>
      <w:marRight w:val="0"/>
      <w:marTop w:val="0"/>
      <w:marBottom w:val="0"/>
      <w:divBdr>
        <w:top w:val="none" w:sz="0" w:space="0" w:color="auto"/>
        <w:left w:val="none" w:sz="0" w:space="0" w:color="auto"/>
        <w:bottom w:val="none" w:sz="0" w:space="0" w:color="auto"/>
        <w:right w:val="none" w:sz="0" w:space="0" w:color="auto"/>
      </w:divBdr>
    </w:div>
    <w:div w:id="482543795">
      <w:bodyDiv w:val="1"/>
      <w:marLeft w:val="0"/>
      <w:marRight w:val="0"/>
      <w:marTop w:val="0"/>
      <w:marBottom w:val="0"/>
      <w:divBdr>
        <w:top w:val="none" w:sz="0" w:space="0" w:color="auto"/>
        <w:left w:val="none" w:sz="0" w:space="0" w:color="auto"/>
        <w:bottom w:val="none" w:sz="0" w:space="0" w:color="auto"/>
        <w:right w:val="none" w:sz="0" w:space="0" w:color="auto"/>
      </w:divBdr>
    </w:div>
    <w:div w:id="607084113">
      <w:bodyDiv w:val="1"/>
      <w:marLeft w:val="0"/>
      <w:marRight w:val="0"/>
      <w:marTop w:val="0"/>
      <w:marBottom w:val="0"/>
      <w:divBdr>
        <w:top w:val="none" w:sz="0" w:space="0" w:color="auto"/>
        <w:left w:val="none" w:sz="0" w:space="0" w:color="auto"/>
        <w:bottom w:val="none" w:sz="0" w:space="0" w:color="auto"/>
        <w:right w:val="none" w:sz="0" w:space="0" w:color="auto"/>
      </w:divBdr>
    </w:div>
    <w:div w:id="855315827">
      <w:bodyDiv w:val="1"/>
      <w:marLeft w:val="0"/>
      <w:marRight w:val="0"/>
      <w:marTop w:val="0"/>
      <w:marBottom w:val="0"/>
      <w:divBdr>
        <w:top w:val="none" w:sz="0" w:space="0" w:color="auto"/>
        <w:left w:val="none" w:sz="0" w:space="0" w:color="auto"/>
        <w:bottom w:val="none" w:sz="0" w:space="0" w:color="auto"/>
        <w:right w:val="none" w:sz="0" w:space="0" w:color="auto"/>
      </w:divBdr>
    </w:div>
    <w:div w:id="1337807897">
      <w:bodyDiv w:val="1"/>
      <w:marLeft w:val="0"/>
      <w:marRight w:val="0"/>
      <w:marTop w:val="0"/>
      <w:marBottom w:val="0"/>
      <w:divBdr>
        <w:top w:val="none" w:sz="0" w:space="0" w:color="auto"/>
        <w:left w:val="none" w:sz="0" w:space="0" w:color="auto"/>
        <w:bottom w:val="none" w:sz="0" w:space="0" w:color="auto"/>
        <w:right w:val="none" w:sz="0" w:space="0" w:color="auto"/>
      </w:divBdr>
    </w:div>
    <w:div w:id="1559508319">
      <w:bodyDiv w:val="1"/>
      <w:marLeft w:val="0"/>
      <w:marRight w:val="0"/>
      <w:marTop w:val="0"/>
      <w:marBottom w:val="0"/>
      <w:divBdr>
        <w:top w:val="none" w:sz="0" w:space="0" w:color="auto"/>
        <w:left w:val="none" w:sz="0" w:space="0" w:color="auto"/>
        <w:bottom w:val="none" w:sz="0" w:space="0" w:color="auto"/>
        <w:right w:val="none" w:sz="0" w:space="0" w:color="auto"/>
      </w:divBdr>
    </w:div>
    <w:div w:id="1706372992">
      <w:bodyDiv w:val="1"/>
      <w:marLeft w:val="0"/>
      <w:marRight w:val="0"/>
      <w:marTop w:val="0"/>
      <w:marBottom w:val="0"/>
      <w:divBdr>
        <w:top w:val="none" w:sz="0" w:space="0" w:color="auto"/>
        <w:left w:val="none" w:sz="0" w:space="0" w:color="auto"/>
        <w:bottom w:val="none" w:sz="0" w:space="0" w:color="auto"/>
        <w:right w:val="none" w:sz="0" w:space="0" w:color="auto"/>
      </w:divBdr>
    </w:div>
    <w:div w:id="20038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mailto:riadh.abed@gmail.com" TargetMode="External"/><Relationship Id="rId12" Type="http://schemas.openxmlformats.org/officeDocument/2006/relationships/hyperlink" Target="http://www.econstats.com" TargetMode="External"/><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uters.com/article/2010/08/25/eurozone-crisis-events-idUSLDE67O0YD20100825" TargetMode="External"/><Relationship Id="rId1" Type="http://schemas.openxmlformats.org/officeDocument/2006/relationships/hyperlink" Target="http://www.ecb.int/ecb/html/crisis.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8383</Words>
  <Characters>46108</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54383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MASTER</cp:lastModifiedBy>
  <cp:revision>10</cp:revision>
  <dcterms:created xsi:type="dcterms:W3CDTF">2015-04-07T12:41:00Z</dcterms:created>
  <dcterms:modified xsi:type="dcterms:W3CDTF">2015-10-06T11:27:00Z</dcterms:modified>
</cp:coreProperties>
</file>