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2B" w:rsidRPr="00D540F7" w:rsidRDefault="00445FEF" w:rsidP="002B6C2B">
      <w:pPr>
        <w:spacing w:after="0" w:line="240" w:lineRule="auto"/>
        <w:jc w:val="center"/>
        <w:rPr>
          <w:rFonts w:asciiTheme="majorBidi" w:hAnsiTheme="majorBidi" w:cstheme="majorBidi"/>
          <w:b/>
          <w:bCs/>
          <w:sz w:val="32"/>
          <w:szCs w:val="32"/>
          <w:lang w:val="en-US"/>
        </w:rPr>
      </w:pPr>
      <w:r>
        <w:rPr>
          <w:rFonts w:asciiTheme="majorBidi" w:hAnsiTheme="majorBidi" w:cstheme="majorBidi"/>
          <w:b/>
          <w:bCs/>
          <w:sz w:val="32"/>
          <w:szCs w:val="32"/>
          <w:lang w:val="en-US"/>
        </w:rPr>
        <w:t>Long</w:t>
      </w:r>
      <w:r w:rsidR="001E43D0">
        <w:rPr>
          <w:rFonts w:asciiTheme="majorBidi" w:hAnsiTheme="majorBidi" w:cstheme="majorBidi"/>
          <w:b/>
          <w:bCs/>
          <w:sz w:val="32"/>
          <w:szCs w:val="32"/>
          <w:lang w:val="en-US"/>
        </w:rPr>
        <w:t xml:space="preserve"> memory and asymmetric effects</w:t>
      </w:r>
      <w:r>
        <w:rPr>
          <w:rFonts w:asciiTheme="majorBidi" w:hAnsiTheme="majorBidi" w:cstheme="majorBidi"/>
          <w:b/>
          <w:bCs/>
          <w:sz w:val="32"/>
          <w:szCs w:val="32"/>
          <w:lang w:val="en-US"/>
        </w:rPr>
        <w:t xml:space="preserve"> between exchange rates and stock returns</w:t>
      </w:r>
    </w:p>
    <w:p w:rsidR="001E43D0" w:rsidRDefault="001E43D0" w:rsidP="002B6C2B">
      <w:pPr>
        <w:rPr>
          <w:lang w:val="en-US"/>
        </w:rPr>
      </w:pPr>
    </w:p>
    <w:p w:rsidR="002B6C2B" w:rsidRPr="00D73B72" w:rsidRDefault="002B6C2B" w:rsidP="002B6C2B">
      <w:pPr>
        <w:spacing w:after="0" w:line="240" w:lineRule="auto"/>
        <w:jc w:val="center"/>
        <w:rPr>
          <w:rFonts w:asciiTheme="majorBidi" w:hAnsiTheme="majorBidi" w:cstheme="majorBidi"/>
          <w:b/>
          <w:sz w:val="26"/>
          <w:szCs w:val="26"/>
          <w:lang w:val="en-US"/>
        </w:rPr>
      </w:pPr>
      <w:r w:rsidRPr="00D73B72">
        <w:rPr>
          <w:rFonts w:asciiTheme="majorBidi" w:hAnsiTheme="majorBidi" w:cstheme="majorBidi"/>
          <w:b/>
          <w:sz w:val="26"/>
          <w:szCs w:val="26"/>
          <w:lang w:val="en-US"/>
        </w:rPr>
        <w:t>Riadh El Abed</w:t>
      </w:r>
    </w:p>
    <w:p w:rsidR="002B6C2B" w:rsidRPr="00D540F7" w:rsidRDefault="002B6C2B" w:rsidP="002B6C2B">
      <w:pPr>
        <w:spacing w:after="0" w:line="240" w:lineRule="auto"/>
        <w:jc w:val="center"/>
        <w:rPr>
          <w:rFonts w:asciiTheme="majorBidi" w:hAnsiTheme="majorBidi" w:cstheme="majorBidi"/>
          <w:i/>
          <w:lang w:val="en-US"/>
        </w:rPr>
      </w:pPr>
    </w:p>
    <w:p w:rsidR="002B6C2B" w:rsidRPr="00BC6492" w:rsidRDefault="002B6C2B" w:rsidP="002B6C2B">
      <w:pPr>
        <w:spacing w:after="0" w:line="240" w:lineRule="auto"/>
        <w:jc w:val="center"/>
        <w:rPr>
          <w:rFonts w:asciiTheme="majorBidi" w:hAnsiTheme="majorBidi" w:cstheme="majorBidi"/>
          <w:i/>
          <w:lang w:val="en-US"/>
        </w:rPr>
      </w:pPr>
      <w:r w:rsidRPr="00BC6492">
        <w:rPr>
          <w:rFonts w:asciiTheme="majorBidi" w:hAnsiTheme="majorBidi" w:cstheme="majorBidi"/>
          <w:i/>
          <w:lang w:val="en-US"/>
        </w:rPr>
        <w:t>University of Tunis El Manar</w:t>
      </w:r>
    </w:p>
    <w:p w:rsidR="002B6C2B" w:rsidRPr="00BC6492" w:rsidRDefault="002B6C2B" w:rsidP="002B6C2B">
      <w:pPr>
        <w:spacing w:after="0" w:line="240" w:lineRule="auto"/>
        <w:jc w:val="center"/>
        <w:rPr>
          <w:rFonts w:asciiTheme="majorBidi" w:hAnsiTheme="majorBidi" w:cstheme="majorBidi"/>
          <w:i/>
        </w:rPr>
      </w:pPr>
      <w:bookmarkStart w:id="0" w:name="_GoBack"/>
      <w:bookmarkEnd w:id="0"/>
      <w:r w:rsidRPr="00BC6492">
        <w:rPr>
          <w:rFonts w:asciiTheme="majorBidi" w:hAnsiTheme="majorBidi" w:cstheme="majorBidi"/>
          <w:i/>
        </w:rPr>
        <w:t>Faculté des Sciences Economiques et de Gestion de Tunis</w:t>
      </w:r>
    </w:p>
    <w:p w:rsidR="002B6C2B" w:rsidRDefault="002B6C2B" w:rsidP="002B6C2B">
      <w:pPr>
        <w:spacing w:after="0" w:line="240" w:lineRule="auto"/>
        <w:jc w:val="center"/>
        <w:rPr>
          <w:rFonts w:asciiTheme="majorBidi" w:hAnsiTheme="majorBidi" w:cstheme="majorBidi"/>
          <w:i/>
        </w:rPr>
      </w:pPr>
      <w:r w:rsidRPr="00BC6492">
        <w:rPr>
          <w:rFonts w:asciiTheme="majorBidi" w:hAnsiTheme="majorBidi" w:cstheme="majorBidi"/>
          <w:b/>
          <w:i/>
        </w:rPr>
        <w:t>L</w:t>
      </w:r>
      <w:r w:rsidRPr="00BC6492">
        <w:rPr>
          <w:rFonts w:asciiTheme="majorBidi" w:hAnsiTheme="majorBidi" w:cstheme="majorBidi"/>
          <w:i/>
        </w:rPr>
        <w:t>aboratoire d’Ingénierie Financière et Economique (LIFE)</w:t>
      </w:r>
    </w:p>
    <w:p w:rsidR="002B6C2B" w:rsidRDefault="002B6C2B" w:rsidP="002B6C2B">
      <w:pPr>
        <w:spacing w:after="0" w:line="240" w:lineRule="auto"/>
        <w:jc w:val="center"/>
        <w:rPr>
          <w:rFonts w:asciiTheme="majorBidi" w:hAnsiTheme="majorBidi" w:cstheme="majorBidi"/>
          <w:i/>
        </w:rPr>
      </w:pPr>
      <w:r w:rsidRPr="00BC6492">
        <w:rPr>
          <w:rFonts w:ascii="Times New Roman" w:eastAsia="Times New Roman" w:hAnsi="Times New Roman" w:cs="Times New Roman"/>
          <w:lang w:eastAsia="fr-FR"/>
        </w:rPr>
        <w:t xml:space="preserve">E-mail : </w:t>
      </w:r>
      <w:hyperlink r:id="rId7" w:history="1">
        <w:r w:rsidRPr="00BC6492">
          <w:rPr>
            <w:rStyle w:val="Lienhypertexte"/>
            <w:rFonts w:asciiTheme="majorBidi" w:hAnsiTheme="majorBidi" w:cstheme="majorBidi"/>
            <w:bCs/>
            <w:i/>
          </w:rPr>
          <w:t>riadh.abed@gmail.com</w:t>
        </w:r>
      </w:hyperlink>
    </w:p>
    <w:p w:rsidR="002B6C2B" w:rsidRDefault="002B6C2B" w:rsidP="002B6C2B">
      <w:pPr>
        <w:spacing w:after="0" w:line="240" w:lineRule="auto"/>
        <w:jc w:val="center"/>
        <w:rPr>
          <w:rFonts w:asciiTheme="majorBidi" w:hAnsiTheme="majorBidi" w:cstheme="majorBidi"/>
          <w:i/>
        </w:rPr>
      </w:pPr>
    </w:p>
    <w:p w:rsidR="002B6C2B" w:rsidRPr="008A1486" w:rsidRDefault="002B6C2B" w:rsidP="0062679E">
      <w:pPr>
        <w:spacing w:after="0" w:line="240" w:lineRule="auto"/>
        <w:rPr>
          <w:rFonts w:asciiTheme="majorBidi" w:hAnsiTheme="majorBidi" w:cstheme="majorBidi"/>
          <w:i/>
          <w:lang w:val="en-US"/>
        </w:rPr>
      </w:pPr>
    </w:p>
    <w:p w:rsidR="002B6C2B" w:rsidRPr="00341063" w:rsidRDefault="002B6C2B" w:rsidP="002B6C2B">
      <w:pPr>
        <w:spacing w:after="0" w:line="240" w:lineRule="auto"/>
        <w:jc w:val="center"/>
        <w:rPr>
          <w:rFonts w:asciiTheme="majorBidi" w:hAnsiTheme="majorBidi" w:cstheme="majorBidi"/>
          <w:b/>
          <w:sz w:val="26"/>
          <w:szCs w:val="26"/>
          <w:lang w:val="en-US"/>
        </w:rPr>
      </w:pPr>
      <w:r w:rsidRPr="00341063">
        <w:rPr>
          <w:rFonts w:asciiTheme="majorBidi" w:hAnsiTheme="majorBidi" w:cstheme="majorBidi"/>
          <w:b/>
          <w:sz w:val="26"/>
          <w:szCs w:val="26"/>
          <w:lang w:val="en-US"/>
        </w:rPr>
        <w:t>Samir Maktouf</w:t>
      </w:r>
    </w:p>
    <w:p w:rsidR="002B6C2B" w:rsidRPr="00341063" w:rsidRDefault="002B6C2B" w:rsidP="002B6C2B">
      <w:pPr>
        <w:spacing w:after="0" w:line="240" w:lineRule="auto"/>
        <w:jc w:val="center"/>
        <w:rPr>
          <w:rFonts w:asciiTheme="majorBidi" w:hAnsiTheme="majorBidi" w:cstheme="majorBidi"/>
          <w:i/>
          <w:lang w:val="en-US"/>
        </w:rPr>
      </w:pPr>
      <w:r w:rsidRPr="00341063">
        <w:rPr>
          <w:rFonts w:asciiTheme="majorBidi" w:hAnsiTheme="majorBidi" w:cstheme="majorBidi"/>
          <w:i/>
          <w:lang w:val="en-US"/>
        </w:rPr>
        <w:t>University of Tunis El Manar</w:t>
      </w:r>
    </w:p>
    <w:p w:rsidR="002B6C2B" w:rsidRPr="00341063" w:rsidRDefault="002B6C2B" w:rsidP="002B6C2B">
      <w:pPr>
        <w:spacing w:after="0" w:line="240" w:lineRule="auto"/>
        <w:jc w:val="center"/>
        <w:rPr>
          <w:rFonts w:asciiTheme="majorBidi" w:hAnsiTheme="majorBidi" w:cstheme="majorBidi"/>
          <w:i/>
        </w:rPr>
      </w:pPr>
      <w:r w:rsidRPr="00341063">
        <w:rPr>
          <w:rFonts w:asciiTheme="majorBidi" w:hAnsiTheme="majorBidi" w:cstheme="majorBidi"/>
          <w:i/>
        </w:rPr>
        <w:t>Faculté des Sciences Economiques et de Gestion de Tunis</w:t>
      </w:r>
    </w:p>
    <w:p w:rsidR="002B6C2B" w:rsidRPr="00341063" w:rsidRDefault="002B6C2B" w:rsidP="002B6C2B">
      <w:pPr>
        <w:spacing w:after="0" w:line="240" w:lineRule="auto"/>
        <w:jc w:val="center"/>
        <w:rPr>
          <w:rFonts w:asciiTheme="majorBidi" w:hAnsiTheme="majorBidi" w:cstheme="majorBidi"/>
          <w:i/>
        </w:rPr>
      </w:pPr>
      <w:r w:rsidRPr="00341063">
        <w:rPr>
          <w:rFonts w:asciiTheme="majorBidi" w:hAnsiTheme="majorBidi" w:cstheme="majorBidi"/>
          <w:b/>
          <w:i/>
        </w:rPr>
        <w:t>L</w:t>
      </w:r>
      <w:r w:rsidRPr="00341063">
        <w:rPr>
          <w:rFonts w:asciiTheme="majorBidi" w:hAnsiTheme="majorBidi" w:cstheme="majorBidi"/>
          <w:i/>
        </w:rPr>
        <w:t>aboratoire d’Ingénierie Financière et Economique (LIFE)</w:t>
      </w:r>
    </w:p>
    <w:p w:rsidR="002B6C2B" w:rsidRPr="00341063" w:rsidRDefault="002B6C2B" w:rsidP="002B6C2B">
      <w:pPr>
        <w:spacing w:after="0" w:line="240" w:lineRule="auto"/>
        <w:jc w:val="center"/>
        <w:rPr>
          <w:rStyle w:val="Lienhypertexte"/>
          <w:rFonts w:asciiTheme="majorBidi" w:hAnsiTheme="majorBidi" w:cstheme="majorBidi"/>
          <w:bCs/>
        </w:rPr>
      </w:pPr>
      <w:r w:rsidRPr="00341063">
        <w:rPr>
          <w:rFonts w:asciiTheme="majorBidi" w:eastAsia="Times New Roman" w:hAnsiTheme="majorBidi" w:cstheme="majorBidi"/>
          <w:lang w:eastAsia="fr-FR"/>
        </w:rPr>
        <w:t xml:space="preserve">E-mail : </w:t>
      </w:r>
      <w:r w:rsidRPr="00341063">
        <w:rPr>
          <w:rStyle w:val="Lienhypertexte"/>
          <w:rFonts w:asciiTheme="majorBidi" w:hAnsiTheme="majorBidi" w:cstheme="majorBidi"/>
          <w:i/>
          <w:iCs/>
        </w:rPr>
        <w:t>Samir.maktouf@yahoo.fr</w:t>
      </w:r>
    </w:p>
    <w:p w:rsidR="008341B0" w:rsidRDefault="008341B0" w:rsidP="008341B0">
      <w:pPr>
        <w:spacing w:after="0" w:line="240" w:lineRule="auto"/>
        <w:jc w:val="both"/>
        <w:rPr>
          <w:rFonts w:asciiTheme="majorBidi" w:hAnsiTheme="majorBidi" w:cstheme="majorBidi"/>
          <w:b/>
          <w:sz w:val="24"/>
          <w:szCs w:val="24"/>
        </w:rPr>
      </w:pPr>
    </w:p>
    <w:p w:rsidR="008341B0" w:rsidRPr="0062679E" w:rsidRDefault="008341B0" w:rsidP="008341B0">
      <w:pPr>
        <w:spacing w:after="0" w:line="240" w:lineRule="auto"/>
        <w:jc w:val="both"/>
        <w:rPr>
          <w:rFonts w:asciiTheme="majorBidi" w:hAnsiTheme="majorBidi" w:cstheme="majorBidi"/>
          <w:sz w:val="28"/>
          <w:szCs w:val="28"/>
          <w:lang w:val="en-US"/>
        </w:rPr>
      </w:pPr>
      <w:r w:rsidRPr="0062679E">
        <w:rPr>
          <w:rFonts w:asciiTheme="majorBidi" w:hAnsiTheme="majorBidi" w:cstheme="majorBidi"/>
          <w:b/>
          <w:sz w:val="28"/>
          <w:szCs w:val="28"/>
          <w:lang w:val="en-US"/>
        </w:rPr>
        <w:t>Abstract</w:t>
      </w:r>
      <w:r w:rsidRPr="0062679E">
        <w:rPr>
          <w:rFonts w:asciiTheme="majorBidi" w:hAnsiTheme="majorBidi" w:cstheme="majorBidi"/>
          <w:sz w:val="28"/>
          <w:szCs w:val="28"/>
          <w:lang w:val="en-US"/>
        </w:rPr>
        <w:t>:</w:t>
      </w:r>
    </w:p>
    <w:p w:rsidR="00643E8E" w:rsidRPr="0062679E" w:rsidRDefault="00643E8E" w:rsidP="008341B0">
      <w:pPr>
        <w:spacing w:after="0" w:line="240" w:lineRule="auto"/>
        <w:jc w:val="both"/>
        <w:rPr>
          <w:rFonts w:asciiTheme="majorBidi" w:hAnsiTheme="majorBidi" w:cstheme="majorBidi"/>
          <w:sz w:val="24"/>
          <w:szCs w:val="24"/>
          <w:lang w:val="en-US"/>
        </w:rPr>
      </w:pPr>
    </w:p>
    <w:p w:rsidR="00A561D5" w:rsidRPr="00A561D5" w:rsidRDefault="009D3CB0" w:rsidP="006E20B8">
      <w:pPr>
        <w:spacing w:after="0" w:line="240" w:lineRule="auto"/>
        <w:ind w:firstLine="340"/>
        <w:jc w:val="both"/>
        <w:rPr>
          <w:rFonts w:asciiTheme="majorBidi" w:hAnsiTheme="majorBidi" w:cstheme="majorBidi"/>
          <w:lang w:val="en-US"/>
        </w:rPr>
      </w:pPr>
      <w:r w:rsidRPr="00A561D5">
        <w:rPr>
          <w:rFonts w:asciiTheme="majorBidi" w:hAnsiTheme="majorBidi" w:cstheme="majorBidi"/>
          <w:lang w:val="en-US"/>
        </w:rPr>
        <w:t xml:space="preserve">The analysis of time varying correlation between </w:t>
      </w:r>
      <w:r w:rsidR="006E20B8">
        <w:rPr>
          <w:rFonts w:asciiTheme="majorBidi" w:hAnsiTheme="majorBidi" w:cstheme="majorBidi"/>
          <w:lang w:val="en-US"/>
        </w:rPr>
        <w:t>stock prices and exchange rates</w:t>
      </w:r>
      <w:r w:rsidRPr="00A561D5">
        <w:rPr>
          <w:rFonts w:asciiTheme="majorBidi" w:hAnsiTheme="majorBidi" w:cstheme="majorBidi"/>
          <w:lang w:val="en-US"/>
        </w:rPr>
        <w:t xml:space="preserve"> has been well researched in the literature in last few years.In this paper we study the interdependence of US dollar exchange rates expressed in euro (EUR) and three major stock prices (Nikkei225, SSE and MSCI). Focusing on different phases of the Global financial crisis (GFC) and the Eurozone Sovereign Debt Crisis (ESDC), we adopt a multivariate asymmetric dynamic conditional correlation EGARCH framework and</w:t>
      </w:r>
      <w:r w:rsidR="00A561D5" w:rsidRPr="00A561D5">
        <w:rPr>
          <w:rFonts w:asciiTheme="majorBidi" w:hAnsiTheme="majorBidi" w:cstheme="majorBidi"/>
          <w:lang w:val="en-US"/>
        </w:rPr>
        <w:t xml:space="preserve"> the DCC model into a multivariate fractionally integrated APARCH framework (FIAPARCH-DCC)</w:t>
      </w:r>
      <w:r w:rsidRPr="00A561D5">
        <w:rPr>
          <w:rFonts w:asciiTheme="majorBidi" w:hAnsiTheme="majorBidi" w:cstheme="majorBidi"/>
          <w:lang w:val="en-US"/>
        </w:rPr>
        <w:t xml:space="preserve">, during the period spanning </w:t>
      </w:r>
      <w:r w:rsidR="00A561D5" w:rsidRPr="00A561D5">
        <w:rPr>
          <w:rFonts w:asciiTheme="majorBidi" w:hAnsiTheme="majorBidi" w:cstheme="majorBidi"/>
          <w:lang w:val="en-US"/>
        </w:rPr>
        <w:t>from January 1, 2000</w:t>
      </w:r>
      <w:r w:rsidRPr="00A561D5">
        <w:rPr>
          <w:rFonts w:asciiTheme="majorBidi" w:hAnsiTheme="majorBidi" w:cstheme="majorBidi"/>
          <w:lang w:val="en-US"/>
        </w:rPr>
        <w:t xml:space="preserve"> until December 10, 2013. The empirical results suggest asymmetric responses in correlation</w:t>
      </w:r>
      <w:r w:rsidR="00A561D5" w:rsidRPr="00A561D5">
        <w:rPr>
          <w:rFonts w:asciiTheme="majorBidi" w:hAnsiTheme="majorBidi" w:cstheme="majorBidi"/>
          <w:lang w:val="en-US"/>
        </w:rPr>
        <w:t>s among the three</w:t>
      </w:r>
      <w:r w:rsidRPr="00A561D5">
        <w:rPr>
          <w:rFonts w:asciiTheme="majorBidi" w:hAnsiTheme="majorBidi" w:cstheme="majorBidi"/>
          <w:lang w:val="en-US"/>
        </w:rPr>
        <w:t xml:space="preserve"> stock prices and exchange rate</w:t>
      </w:r>
      <w:r w:rsidR="00A561D5" w:rsidRPr="00A561D5">
        <w:rPr>
          <w:rFonts w:asciiTheme="majorBidi" w:hAnsiTheme="majorBidi" w:cstheme="majorBidi"/>
          <w:lang w:val="en-US"/>
        </w:rPr>
        <w:t>, a high persistence of the conditional correlation (the volatility displays a highly persistent fashion) and the dynamic correlations revolve around a constant level and the dynamic process appears to be mean reverting.</w:t>
      </w:r>
    </w:p>
    <w:p w:rsidR="008341B0" w:rsidRPr="00A561D5" w:rsidRDefault="009D3CB0" w:rsidP="00A561D5">
      <w:pPr>
        <w:spacing w:after="0" w:line="240" w:lineRule="auto"/>
        <w:ind w:firstLine="340"/>
        <w:jc w:val="both"/>
        <w:rPr>
          <w:rFonts w:asciiTheme="majorBidi" w:hAnsiTheme="majorBidi" w:cstheme="majorBidi"/>
          <w:lang w:val="en-US"/>
        </w:rPr>
      </w:pPr>
      <w:r w:rsidRPr="00A561D5">
        <w:rPr>
          <w:rFonts w:asciiTheme="majorBidi" w:hAnsiTheme="majorBidi" w:cstheme="majorBidi"/>
          <w:lang w:val="en-US"/>
        </w:rPr>
        <w:t>Moreover, the results indicate an increase</w:t>
      </w:r>
      <w:r w:rsidR="00A561D5" w:rsidRPr="00A561D5">
        <w:rPr>
          <w:rFonts w:asciiTheme="majorBidi" w:hAnsiTheme="majorBidi" w:cstheme="majorBidi"/>
          <w:lang w:val="en-US"/>
        </w:rPr>
        <w:t xml:space="preserve"> and a decrease</w:t>
      </w:r>
      <w:r w:rsidRPr="00A561D5">
        <w:rPr>
          <w:rFonts w:asciiTheme="majorBidi" w:hAnsiTheme="majorBidi" w:cstheme="majorBidi"/>
          <w:lang w:val="en-US"/>
        </w:rPr>
        <w:t xml:space="preserve"> of exchange rates and stock prices correlations during the crisis periods, suggesting the different vulnerability of the currencies. Finally, we find some significant decreases</w:t>
      </w:r>
      <w:r w:rsidR="00A561D5" w:rsidRPr="00A561D5">
        <w:rPr>
          <w:rFonts w:asciiTheme="majorBidi" w:hAnsiTheme="majorBidi" w:cstheme="majorBidi"/>
          <w:lang w:val="en-US"/>
        </w:rPr>
        <w:t xml:space="preserve"> and increase</w:t>
      </w:r>
      <w:r w:rsidRPr="00A561D5">
        <w:rPr>
          <w:rFonts w:asciiTheme="majorBidi" w:hAnsiTheme="majorBidi" w:cstheme="majorBidi"/>
          <w:lang w:val="en-US"/>
        </w:rPr>
        <w:t xml:space="preserve"> in the estimated dynamic correlations, indicating existence of a “currency contagion effect” during turmoil periods.</w:t>
      </w:r>
    </w:p>
    <w:p w:rsidR="00A561D5" w:rsidRPr="009D3CB0" w:rsidRDefault="00A561D5" w:rsidP="00A561D5">
      <w:pPr>
        <w:spacing w:after="0" w:line="240" w:lineRule="auto"/>
        <w:ind w:firstLine="340"/>
        <w:jc w:val="both"/>
        <w:rPr>
          <w:rFonts w:asciiTheme="majorBidi" w:hAnsiTheme="majorBidi" w:cstheme="majorBidi"/>
          <w:lang w:val="en-US"/>
        </w:rPr>
      </w:pPr>
    </w:p>
    <w:p w:rsidR="008341B0" w:rsidRPr="00341063" w:rsidRDefault="008341B0" w:rsidP="008341B0">
      <w:pPr>
        <w:spacing w:after="0" w:line="240" w:lineRule="auto"/>
        <w:jc w:val="both"/>
        <w:rPr>
          <w:rFonts w:asciiTheme="majorBidi" w:hAnsiTheme="majorBidi" w:cstheme="majorBidi"/>
          <w:bCs/>
          <w:lang w:val="en-US"/>
        </w:rPr>
      </w:pPr>
      <w:r w:rsidRPr="00341063">
        <w:rPr>
          <w:rFonts w:asciiTheme="majorBidi" w:hAnsiTheme="majorBidi" w:cstheme="majorBidi"/>
          <w:bCs/>
          <w:i/>
          <w:lang w:val="en-US"/>
        </w:rPr>
        <w:t>JEL classification</w:t>
      </w:r>
      <w:r w:rsidRPr="00341063">
        <w:rPr>
          <w:rFonts w:asciiTheme="majorBidi" w:hAnsiTheme="majorBidi" w:cstheme="majorBidi"/>
          <w:bCs/>
          <w:lang w:val="en-US"/>
        </w:rPr>
        <w:t>: C22, G15.</w:t>
      </w:r>
    </w:p>
    <w:p w:rsidR="008341B0" w:rsidRPr="00341063" w:rsidRDefault="008341B0" w:rsidP="008341B0">
      <w:pPr>
        <w:pBdr>
          <w:bottom w:val="single" w:sz="6" w:space="1" w:color="auto"/>
        </w:pBdr>
        <w:spacing w:after="0" w:line="240" w:lineRule="auto"/>
        <w:jc w:val="both"/>
        <w:rPr>
          <w:rFonts w:asciiTheme="majorBidi" w:hAnsiTheme="majorBidi" w:cstheme="majorBidi"/>
          <w:bCs/>
          <w:lang w:val="en-US"/>
        </w:rPr>
      </w:pPr>
      <w:r w:rsidRPr="00341063">
        <w:rPr>
          <w:rFonts w:asciiTheme="majorBidi" w:hAnsiTheme="majorBidi" w:cstheme="majorBidi"/>
          <w:bCs/>
          <w:i/>
          <w:lang w:val="en-US"/>
        </w:rPr>
        <w:t>Keywords</w:t>
      </w:r>
      <w:r w:rsidR="00341063">
        <w:rPr>
          <w:rFonts w:asciiTheme="majorBidi" w:hAnsiTheme="majorBidi" w:cstheme="majorBidi"/>
          <w:bCs/>
          <w:lang w:val="en-US"/>
        </w:rPr>
        <w:t xml:space="preserve">: </w:t>
      </w:r>
      <w:r w:rsidR="00A561D5" w:rsidRPr="00341063">
        <w:rPr>
          <w:rFonts w:asciiTheme="majorBidi" w:hAnsiTheme="majorBidi" w:cstheme="majorBidi"/>
          <w:bCs/>
          <w:lang w:val="en-US"/>
        </w:rPr>
        <w:t>FIAPARCH-DCC, Contagion effec</w:t>
      </w:r>
      <w:r w:rsidR="00341063">
        <w:rPr>
          <w:rFonts w:asciiTheme="majorBidi" w:hAnsiTheme="majorBidi" w:cstheme="majorBidi"/>
          <w:bCs/>
          <w:lang w:val="en-US"/>
        </w:rPr>
        <w:t xml:space="preserve">t, asymmetries, long memory, </w:t>
      </w:r>
      <w:r w:rsidR="00A561D5" w:rsidRPr="00341063">
        <w:rPr>
          <w:rFonts w:asciiTheme="majorBidi" w:hAnsiTheme="majorBidi" w:cstheme="majorBidi"/>
          <w:bCs/>
          <w:lang w:val="en-US"/>
        </w:rPr>
        <w:t>A-DCC model.</w:t>
      </w:r>
    </w:p>
    <w:p w:rsidR="008341B0" w:rsidRPr="00D540F7" w:rsidRDefault="008341B0" w:rsidP="008341B0">
      <w:pPr>
        <w:spacing w:after="0" w:line="240" w:lineRule="auto"/>
        <w:jc w:val="both"/>
        <w:rPr>
          <w:rFonts w:asciiTheme="majorBidi" w:hAnsiTheme="majorBidi" w:cstheme="majorBidi"/>
          <w:sz w:val="24"/>
          <w:szCs w:val="24"/>
          <w:lang w:val="en-US"/>
        </w:rPr>
      </w:pPr>
    </w:p>
    <w:p w:rsidR="008341B0" w:rsidRPr="006951B0" w:rsidRDefault="008341B0" w:rsidP="008341B0">
      <w:pPr>
        <w:pStyle w:val="Paragraphedeliste"/>
        <w:numPr>
          <w:ilvl w:val="0"/>
          <w:numId w:val="1"/>
        </w:numPr>
        <w:spacing w:after="0" w:line="240" w:lineRule="auto"/>
        <w:ind w:left="340" w:hanging="340"/>
        <w:jc w:val="both"/>
        <w:rPr>
          <w:rFonts w:asciiTheme="majorBidi" w:hAnsiTheme="majorBidi" w:cstheme="majorBidi"/>
          <w:b/>
          <w:sz w:val="28"/>
          <w:szCs w:val="28"/>
          <w:lang w:val="en-US"/>
        </w:rPr>
      </w:pPr>
      <w:r w:rsidRPr="006951B0">
        <w:rPr>
          <w:rFonts w:asciiTheme="majorBidi" w:hAnsiTheme="majorBidi" w:cstheme="majorBidi"/>
          <w:b/>
          <w:sz w:val="28"/>
          <w:szCs w:val="28"/>
          <w:lang w:val="en-US"/>
        </w:rPr>
        <w:t>Introduction</w:t>
      </w:r>
    </w:p>
    <w:p w:rsidR="008341B0" w:rsidRPr="00D540F7" w:rsidRDefault="008341B0" w:rsidP="008341B0">
      <w:pPr>
        <w:pStyle w:val="Paragraphedeliste"/>
        <w:spacing w:after="0" w:line="240" w:lineRule="auto"/>
        <w:ind w:left="680"/>
        <w:jc w:val="both"/>
        <w:rPr>
          <w:rFonts w:asciiTheme="majorBidi" w:hAnsiTheme="majorBidi" w:cstheme="majorBidi"/>
          <w:sz w:val="24"/>
          <w:szCs w:val="24"/>
          <w:lang w:val="en-US"/>
        </w:rPr>
      </w:pPr>
    </w:p>
    <w:p w:rsidR="008341B0" w:rsidRPr="002E77C1" w:rsidRDefault="008341B0" w:rsidP="008341B0">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Unlike past crises, such as the 1997 Asian financial crisis, the 1998 Russian crisis and the 1999  Brazilian crisis, the recent 2007-2009 global financial crisis originated from the largest and most  influential economy, the US market, and was spreading over the other countries’ financial markets  worldwide. Global financial crisis resulted in sharp declines in asset prices, stock and foreign  exchange markets, and skyrocketing of risk premiums on interbank loans. It also disrupted country's  financial system and threatened real economy with huge contractions.</w:t>
      </w:r>
    </w:p>
    <w:p w:rsidR="00CF0E00" w:rsidRPr="002E77C1" w:rsidRDefault="00CF0E00" w:rsidP="00CF0E00">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In the economic theory, interaction between foreign exchange market and stock market is analysed through two theoretical approaches: the “stock oriented” approach (</w:t>
      </w:r>
      <w:r w:rsidRPr="002E77C1">
        <w:rPr>
          <w:rFonts w:asciiTheme="majorBidi" w:hAnsiTheme="majorBidi" w:cstheme="majorBidi"/>
          <w:color w:val="00B0F0"/>
          <w:lang w:val="en-US"/>
        </w:rPr>
        <w:t>e.g. Branson, 1983; Frankel, 1983</w:t>
      </w:r>
      <w:r w:rsidRPr="002E77C1">
        <w:rPr>
          <w:rFonts w:asciiTheme="majorBidi" w:hAnsiTheme="majorBidi" w:cstheme="majorBidi"/>
          <w:lang w:val="en-US"/>
        </w:rPr>
        <w:t>) and the “flow oriented” approach (</w:t>
      </w:r>
      <w:r w:rsidRPr="002E77C1">
        <w:rPr>
          <w:rFonts w:asciiTheme="majorBidi" w:hAnsiTheme="majorBidi" w:cstheme="majorBidi"/>
          <w:color w:val="00B0F0"/>
          <w:lang w:val="en-US"/>
        </w:rPr>
        <w:t>e.g. Dornbush and Fisher, 1980</w:t>
      </w:r>
      <w:r w:rsidRPr="002E77C1">
        <w:rPr>
          <w:rFonts w:asciiTheme="majorBidi" w:hAnsiTheme="majorBidi" w:cstheme="majorBidi"/>
          <w:lang w:val="en-US"/>
        </w:rPr>
        <w:t xml:space="preserve">). In the first approach, the foreign exchange rate is determined by the demand and supply of financial assets such as equities and bonds. In the second approach, the exchange rate is determined by a country’s current account balance or </w:t>
      </w:r>
      <w:r w:rsidRPr="002E77C1">
        <w:rPr>
          <w:rFonts w:asciiTheme="majorBidi" w:hAnsiTheme="majorBidi" w:cstheme="majorBidi"/>
          <w:lang w:val="en-US"/>
        </w:rPr>
        <w:lastRenderedPageBreak/>
        <w:t>trade balance. Flow oriented models provides a positive interaction between stock price and foreign exchange rate.</w:t>
      </w:r>
    </w:p>
    <w:p w:rsidR="009E31D8" w:rsidRPr="002E77C1" w:rsidRDefault="009E31D8" w:rsidP="009E31D8">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In the literature, a positive relationship between the stock prices and exchange rate may result from a real interest rate disturbance as the real interest rises, the exchange rate falls and the capital inflow increases (</w:t>
      </w:r>
      <w:r w:rsidRPr="002E77C1">
        <w:rPr>
          <w:rFonts w:asciiTheme="majorBidi" w:hAnsiTheme="majorBidi" w:cstheme="majorBidi"/>
          <w:color w:val="00B0F0"/>
          <w:lang w:val="en-US"/>
        </w:rPr>
        <w:t>Wu, 2001</w:t>
      </w:r>
      <w:r w:rsidRPr="002E77C1">
        <w:rPr>
          <w:rFonts w:asciiTheme="majorBidi" w:hAnsiTheme="majorBidi" w:cstheme="majorBidi"/>
          <w:lang w:val="en-US"/>
        </w:rPr>
        <w:t>).</w:t>
      </w:r>
    </w:p>
    <w:p w:rsidR="009E31D8" w:rsidRPr="002E77C1" w:rsidRDefault="009E31D8" w:rsidP="009E31D8">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On the other hand the theory of arbitrage suggests that a higher real interest ratecauses the stock prices to fall and decrease the present value of the firms’ future cash-flows .Changes in the exchange rate affects the international competitiveness of countries where exports are strong and fluctuations in foreign exchange rates can lead to substantial changes in the relative performance of equity portfolios, when expressed in a common currency (</w:t>
      </w:r>
      <w:r w:rsidRPr="002E77C1">
        <w:rPr>
          <w:rFonts w:asciiTheme="majorBidi" w:hAnsiTheme="majorBidi" w:cstheme="majorBidi"/>
          <w:color w:val="00B0F0"/>
          <w:lang w:val="en-US"/>
        </w:rPr>
        <w:t>Malliaropulos, 1998</w:t>
      </w:r>
      <w:r w:rsidRPr="002E77C1">
        <w:rPr>
          <w:rFonts w:asciiTheme="majorBidi" w:hAnsiTheme="majorBidi" w:cstheme="majorBidi"/>
          <w:lang w:val="en-US"/>
        </w:rPr>
        <w:t>).</w:t>
      </w:r>
    </w:p>
    <w:p w:rsidR="009E31D8" w:rsidRPr="002E77C1" w:rsidRDefault="009E31D8" w:rsidP="009E31D8">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Number of studies that attempt to examine the effect on stock prices of exchange rates, however, the findings are not uniform (</w:t>
      </w:r>
      <w:r w:rsidRPr="002E77C1">
        <w:rPr>
          <w:rFonts w:asciiTheme="majorBidi" w:hAnsiTheme="majorBidi" w:cstheme="majorBidi"/>
          <w:color w:val="00B0F0"/>
          <w:lang w:val="en-US"/>
        </w:rPr>
        <w:t>Ibrahim, 2000</w:t>
      </w:r>
      <w:r w:rsidRPr="002E77C1">
        <w:rPr>
          <w:rFonts w:asciiTheme="majorBidi" w:hAnsiTheme="majorBidi" w:cstheme="majorBidi"/>
          <w:lang w:val="en-US"/>
        </w:rPr>
        <w:t>). Some studies give evidence of negative effects on exchange rates on stock markets (</w:t>
      </w:r>
      <w:r w:rsidRPr="002E77C1">
        <w:rPr>
          <w:rFonts w:asciiTheme="majorBidi" w:hAnsiTheme="majorBidi" w:cstheme="majorBidi"/>
          <w:color w:val="00B0F0"/>
          <w:lang w:val="en-US"/>
        </w:rPr>
        <w:t>Soenen and Henningar, 1988</w:t>
      </w:r>
      <w:r w:rsidRPr="002E77C1">
        <w:rPr>
          <w:rFonts w:asciiTheme="majorBidi" w:hAnsiTheme="majorBidi" w:cstheme="majorBidi"/>
          <w:lang w:val="en-US"/>
        </w:rPr>
        <w:t>), while others found positive effects (</w:t>
      </w:r>
      <w:r w:rsidRPr="002E77C1">
        <w:rPr>
          <w:rFonts w:asciiTheme="majorBidi" w:hAnsiTheme="majorBidi" w:cstheme="majorBidi"/>
          <w:color w:val="00B0F0"/>
          <w:lang w:val="en-US"/>
        </w:rPr>
        <w:t>Aggarwal, 1981</w:t>
      </w:r>
      <w:r w:rsidRPr="002E77C1">
        <w:rPr>
          <w:rFonts w:asciiTheme="majorBidi" w:hAnsiTheme="majorBidi" w:cstheme="majorBidi"/>
          <w:lang w:val="en-US"/>
        </w:rPr>
        <w:t>). Other studies contribute this results and find that the exchange rate changes have no significant impact on the stock market (</w:t>
      </w:r>
      <w:r w:rsidRPr="002E77C1">
        <w:rPr>
          <w:rFonts w:asciiTheme="majorBidi" w:hAnsiTheme="majorBidi" w:cstheme="majorBidi"/>
          <w:color w:val="00B0F0"/>
          <w:lang w:val="en-US"/>
        </w:rPr>
        <w:t>Solnik, 1984</w:t>
      </w:r>
      <w:r w:rsidRPr="002E77C1">
        <w:rPr>
          <w:rFonts w:asciiTheme="majorBidi" w:hAnsiTheme="majorBidi" w:cstheme="majorBidi"/>
          <w:lang w:val="en-US"/>
        </w:rPr>
        <w:t>). Thus, the existing literature provides mixed results when analysing the relationship between stock prices and exchange rate.</w:t>
      </w:r>
    </w:p>
    <w:p w:rsidR="00936BD1" w:rsidRPr="002E77C1" w:rsidRDefault="0055015E" w:rsidP="0055015E">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 xml:space="preserve">In the financial econometrics literature, it has been well documented that stock market volatility and exchange rate increases more after a negative shock than after a positive shock of the same size. This asymmetry in stock market and exchange rate volatility has been extensively examined within univariate GARCH models (see </w:t>
      </w:r>
      <w:r w:rsidRPr="00CA22C0">
        <w:rPr>
          <w:rFonts w:asciiTheme="majorBidi" w:hAnsiTheme="majorBidi" w:cstheme="majorBidi"/>
          <w:color w:val="00B0F0"/>
          <w:lang w:val="en-US"/>
        </w:rPr>
        <w:t>Engle and Ng (1993)</w:t>
      </w:r>
      <w:r w:rsidRPr="002E77C1">
        <w:rPr>
          <w:rFonts w:asciiTheme="majorBidi" w:hAnsiTheme="majorBidi" w:cstheme="majorBidi"/>
          <w:lang w:val="en-US"/>
        </w:rPr>
        <w:t>).</w:t>
      </w:r>
    </w:p>
    <w:p w:rsidR="00985756" w:rsidRPr="002E77C1" w:rsidRDefault="00985756" w:rsidP="00985756">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 xml:space="preserve">The empirical evidence on the stock price – exchange rate relationships has been document by numerous studies. For example, </w:t>
      </w:r>
      <w:r w:rsidRPr="00CA22C0">
        <w:rPr>
          <w:rFonts w:asciiTheme="majorBidi" w:hAnsiTheme="majorBidi" w:cstheme="majorBidi"/>
          <w:color w:val="00B0F0"/>
          <w:lang w:val="en-US"/>
        </w:rPr>
        <w:t>Yang and Doong (2004)</w:t>
      </w:r>
      <w:r w:rsidRPr="002E77C1">
        <w:rPr>
          <w:rFonts w:asciiTheme="majorBidi" w:hAnsiTheme="majorBidi" w:cstheme="majorBidi"/>
          <w:lang w:val="en-US"/>
        </w:rPr>
        <w:t xml:space="preserve"> find that stock market movements have a significant effect on future exchange rate changes for the G7 countries over the period 1979-1999. </w:t>
      </w:r>
      <w:r w:rsidRPr="00CA22C0">
        <w:rPr>
          <w:rFonts w:asciiTheme="majorBidi" w:hAnsiTheme="majorBidi" w:cstheme="majorBidi"/>
          <w:color w:val="00B0F0"/>
          <w:lang w:val="en-US"/>
        </w:rPr>
        <w:t>Pan et al. (2007)</w:t>
      </w:r>
      <w:r w:rsidRPr="002E77C1">
        <w:rPr>
          <w:rFonts w:asciiTheme="majorBidi" w:hAnsiTheme="majorBidi" w:cstheme="majorBidi"/>
          <w:lang w:val="en-US"/>
        </w:rPr>
        <w:t xml:space="preserve"> use a VAR approach to analyze the interaction between stock markets and exchange markets for seven East Asian countries, and provide evidence of a significant bidirectional relationship between these markets before the Asian financial crisis. More recently, </w:t>
      </w:r>
      <w:r w:rsidRPr="00CA22C0">
        <w:rPr>
          <w:rFonts w:asciiTheme="majorBidi" w:hAnsiTheme="majorBidi" w:cstheme="majorBidi"/>
          <w:color w:val="00B0F0"/>
          <w:lang w:val="en-US"/>
        </w:rPr>
        <w:t>Chkili et al. (2011)</w:t>
      </w:r>
      <w:r w:rsidRPr="002E77C1">
        <w:rPr>
          <w:rFonts w:asciiTheme="majorBidi" w:hAnsiTheme="majorBidi" w:cstheme="majorBidi"/>
          <w:lang w:val="en-US"/>
        </w:rPr>
        <w:t xml:space="preserve"> use a Markov-Switching EGARCH model to </w:t>
      </w:r>
      <w:r w:rsidR="00341063" w:rsidRPr="002E77C1">
        <w:rPr>
          <w:rFonts w:asciiTheme="majorBidi" w:hAnsiTheme="majorBidi" w:cstheme="majorBidi"/>
          <w:lang w:val="en-US"/>
        </w:rPr>
        <w:t>analyze</w:t>
      </w:r>
      <w:r w:rsidRPr="002E77C1">
        <w:rPr>
          <w:rFonts w:asciiTheme="majorBidi" w:hAnsiTheme="majorBidi" w:cstheme="majorBidi"/>
          <w:lang w:val="en-US"/>
        </w:rPr>
        <w:t xml:space="preserve"> the dynamic relationships between exchange rates and stock returns in four emerging countries (Singapore, Hong Kong, Mexico and Malaysia) during both normal and turbulent periods. They provide evidence of regime dependent links and asymmetric responses of stock market volatility to shocks affecting foreign exchange market.</w:t>
      </w:r>
    </w:p>
    <w:p w:rsidR="00EA6A61" w:rsidRPr="002E77C1" w:rsidRDefault="001E2D94" w:rsidP="00985756">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Our research employ a Markov-Switching EGARCH model to investigate the dynamic linkage between stock price volatility and exchange rate changes for four emerging countries over the period 1994–2009 (</w:t>
      </w:r>
      <w:r w:rsidRPr="00CA22C0">
        <w:rPr>
          <w:rFonts w:asciiTheme="majorBidi" w:hAnsiTheme="majorBidi" w:cstheme="majorBidi"/>
          <w:color w:val="00B0F0"/>
          <w:lang w:val="en-US"/>
        </w:rPr>
        <w:t>Chkili et al. (2011</w:t>
      </w:r>
      <w:r w:rsidRPr="002E77C1">
        <w:rPr>
          <w:rFonts w:asciiTheme="majorBidi" w:hAnsiTheme="majorBidi" w:cstheme="majorBidi"/>
          <w:lang w:val="en-US"/>
        </w:rPr>
        <w:t>). Results distinguish between two different regimes in both the conditional variance and conditional mean of stock returns. Our results provide that foreign exchange rate changes have a significant impact on the probability of transition across regimes.</w:t>
      </w:r>
    </w:p>
    <w:p w:rsidR="00062D82" w:rsidRPr="002E77C1" w:rsidRDefault="00EA6A61" w:rsidP="00EA6A61">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 xml:space="preserve">To examine the impact on stock prices of exchange rates, we employed cross-correlation function approach (see </w:t>
      </w:r>
      <w:r w:rsidRPr="008158B6">
        <w:rPr>
          <w:rFonts w:asciiTheme="majorBidi" w:hAnsiTheme="majorBidi" w:cstheme="majorBidi"/>
          <w:color w:val="00B0F0"/>
          <w:lang w:val="en-US"/>
        </w:rPr>
        <w:t>Inagaki, 2007</w:t>
      </w:r>
      <w:r w:rsidRPr="002E77C1">
        <w:rPr>
          <w:rFonts w:asciiTheme="majorBidi" w:hAnsiTheme="majorBidi" w:cstheme="majorBidi"/>
          <w:lang w:val="en-US"/>
        </w:rPr>
        <w:t xml:space="preserve">), vector autoregressive model and Granger causality tests (see </w:t>
      </w:r>
      <w:r w:rsidRPr="00341063">
        <w:rPr>
          <w:rFonts w:asciiTheme="majorBidi" w:hAnsiTheme="majorBidi" w:cstheme="majorBidi"/>
          <w:color w:val="0070C0"/>
          <w:lang w:val="en-US"/>
        </w:rPr>
        <w:t>Nikkinen et al., 2006</w:t>
      </w:r>
      <w:r w:rsidRPr="002E77C1">
        <w:rPr>
          <w:rFonts w:asciiTheme="majorBidi" w:hAnsiTheme="majorBidi" w:cstheme="majorBidi"/>
          <w:lang w:val="en-US"/>
        </w:rPr>
        <w:t xml:space="preserve">), copulas with and without regime-switching (see </w:t>
      </w:r>
      <w:r w:rsidRPr="008158B6">
        <w:rPr>
          <w:rFonts w:asciiTheme="majorBidi" w:hAnsiTheme="majorBidi" w:cstheme="majorBidi"/>
          <w:color w:val="00B0F0"/>
          <w:lang w:val="en-US"/>
        </w:rPr>
        <w:t>Patton, 2006; Boero et al., 2011</w:t>
      </w:r>
      <w:r w:rsidRPr="002E77C1">
        <w:rPr>
          <w:rFonts w:asciiTheme="majorBidi" w:hAnsiTheme="majorBidi" w:cstheme="majorBidi"/>
          <w:lang w:val="en-US"/>
        </w:rPr>
        <w:t xml:space="preserve">), nonparametric approaches (see </w:t>
      </w:r>
      <w:r w:rsidRPr="008158B6">
        <w:rPr>
          <w:rFonts w:asciiTheme="majorBidi" w:hAnsiTheme="majorBidi" w:cstheme="majorBidi"/>
          <w:color w:val="00B0F0"/>
          <w:lang w:val="en-US"/>
        </w:rPr>
        <w:t>Rodriquez, 2007; Kenourgios et al., 2011</w:t>
      </w:r>
      <w:r w:rsidRPr="002E77C1">
        <w:rPr>
          <w:rFonts w:asciiTheme="majorBidi" w:hAnsiTheme="majorBidi" w:cstheme="majorBidi"/>
          <w:lang w:val="en-US"/>
        </w:rPr>
        <w:t xml:space="preserve">) and multivariate GARCH processes (see </w:t>
      </w:r>
      <w:r w:rsidRPr="008158B6">
        <w:rPr>
          <w:rFonts w:asciiTheme="majorBidi" w:hAnsiTheme="majorBidi" w:cstheme="majorBidi"/>
          <w:color w:val="00B0F0"/>
          <w:lang w:val="en-US"/>
        </w:rPr>
        <w:t>Perez-Rodriguez, 2006; Kitamura, 2010; Dimitriou and Kenourgios, 2013; Tamakoshi and Hamori, 2014</w:t>
      </w:r>
      <w:r w:rsidRPr="002E77C1">
        <w:rPr>
          <w:rFonts w:asciiTheme="majorBidi" w:hAnsiTheme="majorBidi" w:cstheme="majorBidi"/>
          <w:lang w:val="en-US"/>
        </w:rPr>
        <w:t>). However, most of these previous studies do not address how the interdependence between stock prices and exchange rates was affected by the recent global financial and European sovereign debt crises. The main objective of this work is to explore the asymmetric dynamics in the correlations among exchange rates and stock prices, as this remains under explored in empirical research.</w:t>
      </w:r>
    </w:p>
    <w:p w:rsidR="00F216F9" w:rsidRPr="002E77C1" w:rsidRDefault="00062D82" w:rsidP="00EA1F17">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This paper focuses on the impact of t</w:t>
      </w:r>
      <w:r w:rsidR="00BA33B0" w:rsidRPr="002E77C1">
        <w:rPr>
          <w:rFonts w:asciiTheme="majorBidi" w:hAnsiTheme="majorBidi" w:cstheme="majorBidi"/>
          <w:lang w:val="en-US"/>
        </w:rPr>
        <w:t>he US dollar exchange rates</w:t>
      </w:r>
      <w:r w:rsidR="00EA1F17" w:rsidRPr="002E77C1">
        <w:rPr>
          <w:rFonts w:asciiTheme="majorBidi" w:hAnsiTheme="majorBidi" w:cstheme="majorBidi"/>
          <w:lang w:val="en-US"/>
        </w:rPr>
        <w:t xml:space="preserve"> expressed in (EUR) to three</w:t>
      </w:r>
      <w:r w:rsidR="00BA33B0" w:rsidRPr="002E77C1">
        <w:rPr>
          <w:rFonts w:asciiTheme="majorBidi" w:hAnsiTheme="majorBidi" w:cstheme="majorBidi"/>
          <w:lang w:val="en-US"/>
        </w:rPr>
        <w:t xml:space="preserve"> stock</w:t>
      </w:r>
      <w:r w:rsidRPr="002E77C1">
        <w:rPr>
          <w:rFonts w:asciiTheme="majorBidi" w:hAnsiTheme="majorBidi" w:cstheme="majorBidi"/>
          <w:lang w:val="en-US"/>
        </w:rPr>
        <w:t xml:space="preserve"> markets</w:t>
      </w:r>
      <w:r w:rsidR="00EA1F17" w:rsidRPr="002E77C1">
        <w:rPr>
          <w:rFonts w:asciiTheme="majorBidi" w:hAnsiTheme="majorBidi" w:cstheme="majorBidi"/>
          <w:lang w:val="en-US"/>
        </w:rPr>
        <w:t xml:space="preserve"> namely NIKKEI225, SSE and MSCI</w:t>
      </w:r>
      <w:r w:rsidRPr="002E77C1">
        <w:rPr>
          <w:rFonts w:asciiTheme="majorBidi" w:hAnsiTheme="majorBidi" w:cstheme="majorBidi"/>
          <w:lang w:val="en-US"/>
        </w:rPr>
        <w:t xml:space="preserve">. Specifically, we empirically investigate the </w:t>
      </w:r>
      <w:r w:rsidR="00BA33B0" w:rsidRPr="002E77C1">
        <w:rPr>
          <w:rFonts w:asciiTheme="majorBidi" w:hAnsiTheme="majorBidi" w:cstheme="majorBidi"/>
          <w:lang w:val="en-US"/>
        </w:rPr>
        <w:t>asymmetric effect of</w:t>
      </w:r>
      <w:r w:rsidRPr="002E77C1">
        <w:rPr>
          <w:rFonts w:asciiTheme="majorBidi" w:hAnsiTheme="majorBidi" w:cstheme="majorBidi"/>
          <w:lang w:val="en-US"/>
        </w:rPr>
        <w:t xml:space="preserve"> daily US dollar exchange rate</w:t>
      </w:r>
      <w:r w:rsidR="00BA33B0" w:rsidRPr="002E77C1">
        <w:rPr>
          <w:rFonts w:asciiTheme="majorBidi" w:hAnsiTheme="majorBidi" w:cstheme="majorBidi"/>
          <w:lang w:val="en-US"/>
        </w:rPr>
        <w:t xml:space="preserve">, namely (EUR) about the </w:t>
      </w:r>
      <w:r w:rsidR="00EA1F17" w:rsidRPr="002E77C1">
        <w:rPr>
          <w:rFonts w:asciiTheme="majorBidi" w:hAnsiTheme="majorBidi" w:cstheme="majorBidi"/>
          <w:lang w:val="en-US"/>
        </w:rPr>
        <w:t>major</w:t>
      </w:r>
      <w:r w:rsidR="00BA33B0" w:rsidRPr="002E77C1">
        <w:rPr>
          <w:rFonts w:asciiTheme="majorBidi" w:hAnsiTheme="majorBidi" w:cstheme="majorBidi"/>
          <w:lang w:val="en-US"/>
        </w:rPr>
        <w:t xml:space="preserve"> stock market returnsfrom January 01</w:t>
      </w:r>
      <w:r w:rsidR="00A90098" w:rsidRPr="002E77C1">
        <w:rPr>
          <w:rFonts w:asciiTheme="majorBidi" w:hAnsiTheme="majorBidi" w:cstheme="majorBidi"/>
          <w:lang w:val="en-US"/>
        </w:rPr>
        <w:t>, 2000 until December 10, 2013</w:t>
      </w:r>
      <w:r w:rsidRPr="002E77C1">
        <w:rPr>
          <w:rFonts w:asciiTheme="majorBidi" w:hAnsiTheme="majorBidi" w:cstheme="majorBidi"/>
          <w:lang w:val="en-US"/>
        </w:rPr>
        <w:t>.</w:t>
      </w:r>
      <w:r w:rsidR="002B6C14" w:rsidRPr="002E77C1">
        <w:rPr>
          <w:rFonts w:asciiTheme="majorBidi" w:hAnsiTheme="majorBidi" w:cstheme="majorBidi"/>
          <w:lang w:val="en-US"/>
        </w:rPr>
        <w:t xml:space="preserve"> We use a FIAPARCH model into an univariate fractionally integrated APARCH framewor</w:t>
      </w:r>
      <w:r w:rsidR="00EA1F17" w:rsidRPr="002E77C1">
        <w:rPr>
          <w:rFonts w:asciiTheme="majorBidi" w:hAnsiTheme="majorBidi" w:cstheme="majorBidi"/>
          <w:lang w:val="en-US"/>
        </w:rPr>
        <w:t xml:space="preserve">k and the multivariate asymmetric DCC (A-DCC) model put forward by </w:t>
      </w:r>
      <w:r w:rsidR="00EA1F17" w:rsidRPr="008158B6">
        <w:rPr>
          <w:rFonts w:asciiTheme="majorBidi" w:hAnsiTheme="majorBidi" w:cstheme="majorBidi"/>
          <w:color w:val="00B0F0"/>
          <w:lang w:val="en-US"/>
        </w:rPr>
        <w:t>Cappiello et al. (2006)</w:t>
      </w:r>
      <w:r w:rsidR="00EA1F17" w:rsidRPr="002E77C1">
        <w:rPr>
          <w:rFonts w:asciiTheme="majorBidi" w:hAnsiTheme="majorBidi" w:cstheme="majorBidi"/>
          <w:lang w:val="en-US"/>
        </w:rPr>
        <w:t xml:space="preserve"> to investigate the asymmetric behavior of dynamic correlations among exchange rate and stock prices.</w:t>
      </w:r>
    </w:p>
    <w:p w:rsidR="00377400" w:rsidRPr="002E77C1" w:rsidRDefault="002B6C14" w:rsidP="00D96CC9">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 xml:space="preserve">The flexibility feature represents the key advantage of the FIAPARCH model of </w:t>
      </w:r>
      <w:r w:rsidRPr="00532682">
        <w:rPr>
          <w:rFonts w:asciiTheme="majorBidi" w:hAnsiTheme="majorBidi" w:cstheme="majorBidi"/>
          <w:color w:val="00B0F0"/>
          <w:lang w:val="en-US"/>
        </w:rPr>
        <w:t>Tse (1998)</w:t>
      </w:r>
      <w:r w:rsidRPr="002E77C1">
        <w:rPr>
          <w:rFonts w:asciiTheme="majorBidi" w:hAnsiTheme="majorBidi" w:cstheme="majorBidi"/>
          <w:lang w:val="en-US"/>
        </w:rPr>
        <w:t xml:space="preserve"> since it includes a large number of alternative GARCH specifications. Specifically, it increases the flexibility of the conditional variance specification by allowing an asymmetric response of volatility to </w:t>
      </w:r>
      <w:r w:rsidRPr="002E77C1">
        <w:rPr>
          <w:rFonts w:asciiTheme="majorBidi" w:hAnsiTheme="majorBidi" w:cstheme="majorBidi"/>
          <w:lang w:val="en-US"/>
        </w:rPr>
        <w:lastRenderedPageBreak/>
        <w:t xml:space="preserve">positive and negative shocks and long-range volatility dependence. In addition, it allows the data to determine the power of returns for which the predictable structure in the volatility pattern is the </w:t>
      </w:r>
      <w:r w:rsidR="00D22AB2" w:rsidRPr="002E77C1">
        <w:rPr>
          <w:rFonts w:asciiTheme="majorBidi" w:hAnsiTheme="majorBidi" w:cstheme="majorBidi"/>
          <w:lang w:val="en-US"/>
        </w:rPr>
        <w:t xml:space="preserve">strongest (see </w:t>
      </w:r>
      <w:r w:rsidR="00D22AB2" w:rsidRPr="000B0B77">
        <w:rPr>
          <w:rFonts w:asciiTheme="majorBidi" w:hAnsiTheme="majorBidi" w:cstheme="majorBidi"/>
          <w:color w:val="00B0F0"/>
          <w:lang w:val="en-US"/>
        </w:rPr>
        <w:t>Conrad et al., 2011</w:t>
      </w:r>
      <w:r w:rsidR="00D22AB2" w:rsidRPr="002E77C1">
        <w:rPr>
          <w:rFonts w:asciiTheme="majorBidi" w:hAnsiTheme="majorBidi" w:cstheme="majorBidi"/>
          <w:lang w:val="en-US"/>
        </w:rPr>
        <w:t>).</w:t>
      </w:r>
      <w:r w:rsidR="00F43CD6" w:rsidRPr="002E77C1">
        <w:rPr>
          <w:rFonts w:asciiTheme="majorBidi" w:hAnsiTheme="majorBidi" w:cstheme="majorBidi"/>
          <w:lang w:val="en-US"/>
        </w:rPr>
        <w:t xml:space="preserve"> Although many studies use various multivariate GARCH models in order to estimate DCCs among markets during financial crises (see </w:t>
      </w:r>
      <w:r w:rsidR="00F43CD6" w:rsidRPr="000B0B77">
        <w:rPr>
          <w:rFonts w:asciiTheme="majorBidi" w:hAnsiTheme="majorBidi" w:cstheme="majorBidi"/>
          <w:color w:val="00B0F0"/>
          <w:lang w:val="en-US"/>
        </w:rPr>
        <w:t>Chiang et al., 2007; Celic, 2012; Kenourgios et al., 2011</w:t>
      </w:r>
      <w:r w:rsidR="00F43CD6" w:rsidRPr="002E77C1">
        <w:rPr>
          <w:rFonts w:asciiTheme="majorBidi" w:hAnsiTheme="majorBidi" w:cstheme="majorBidi"/>
          <w:lang w:val="en-US"/>
        </w:rPr>
        <w:t xml:space="preserve">), the forecasting superiority of FIAPARCH on other GARCH models is supported by </w:t>
      </w:r>
      <w:r w:rsidR="00F43CD6" w:rsidRPr="000B0B77">
        <w:rPr>
          <w:rFonts w:asciiTheme="majorBidi" w:hAnsiTheme="majorBidi" w:cstheme="majorBidi"/>
          <w:color w:val="00B0F0"/>
          <w:lang w:val="en-US"/>
        </w:rPr>
        <w:t>Conrad et al. (2011)</w:t>
      </w:r>
      <w:r w:rsidR="00F43CD6" w:rsidRPr="002E77C1">
        <w:rPr>
          <w:rFonts w:asciiTheme="majorBidi" w:hAnsiTheme="majorBidi" w:cstheme="majorBidi"/>
          <w:lang w:val="en-US"/>
        </w:rPr>
        <w:t xml:space="preserve">, </w:t>
      </w:r>
      <w:r w:rsidR="00F43CD6" w:rsidRPr="000B0B77">
        <w:rPr>
          <w:rFonts w:asciiTheme="majorBidi" w:hAnsiTheme="majorBidi" w:cstheme="majorBidi"/>
          <w:color w:val="00B0F0"/>
          <w:lang w:val="en-US"/>
        </w:rPr>
        <w:t>Chkili et al. (2012)</w:t>
      </w:r>
      <w:r w:rsidR="00F43CD6" w:rsidRPr="002E77C1">
        <w:rPr>
          <w:rFonts w:asciiTheme="majorBidi" w:hAnsiTheme="majorBidi" w:cstheme="majorBidi"/>
          <w:lang w:val="en-US"/>
        </w:rPr>
        <w:t xml:space="preserve"> and </w:t>
      </w:r>
      <w:r w:rsidR="00F43CD6" w:rsidRPr="000B0B77">
        <w:rPr>
          <w:rFonts w:asciiTheme="majorBidi" w:hAnsiTheme="majorBidi" w:cstheme="majorBidi"/>
          <w:color w:val="00B0F0"/>
          <w:lang w:val="en-US"/>
        </w:rPr>
        <w:t>Dimitriou and Kenourgios (2013)</w:t>
      </w:r>
      <w:r w:rsidR="00F43CD6" w:rsidRPr="002E77C1">
        <w:rPr>
          <w:rFonts w:asciiTheme="majorBidi" w:hAnsiTheme="majorBidi" w:cstheme="majorBidi"/>
          <w:lang w:val="en-US"/>
        </w:rPr>
        <w:t>.</w:t>
      </w:r>
      <w:r w:rsidR="007C2582" w:rsidRPr="002E77C1">
        <w:rPr>
          <w:rFonts w:asciiTheme="majorBidi" w:hAnsiTheme="majorBidi" w:cstheme="majorBidi"/>
          <w:lang w:val="en-US"/>
        </w:rPr>
        <w:t xml:space="preserve"> The A-DCC model allows for conditional asymmetries in covariance and correlation dynamics, thereby enabling to examine the presence of asymmetric responses in correlations during periods of negative shocks.</w:t>
      </w:r>
      <w:r w:rsidR="00377400" w:rsidRPr="002E77C1">
        <w:rPr>
          <w:rFonts w:asciiTheme="majorBidi" w:hAnsiTheme="majorBidi" w:cstheme="majorBidi"/>
          <w:lang w:val="en-US"/>
        </w:rPr>
        <w:t xml:space="preserve"> Finally, we evaluate how the global financial and European sovereign debt crises influenced the estimated DCCs among the foreign exchange rate and stock markets.</w:t>
      </w:r>
    </w:p>
    <w:p w:rsidR="00553C0E" w:rsidRPr="002E77C1" w:rsidRDefault="00152F09" w:rsidP="00D96CC9">
      <w:pPr>
        <w:spacing w:after="0" w:line="240" w:lineRule="auto"/>
        <w:ind w:firstLine="340"/>
        <w:jc w:val="both"/>
        <w:rPr>
          <w:rFonts w:asciiTheme="majorBidi" w:hAnsiTheme="majorBidi" w:cstheme="majorBidi"/>
          <w:lang w:val="en-US"/>
        </w:rPr>
      </w:pPr>
      <w:r w:rsidRPr="002E77C1">
        <w:rPr>
          <w:rFonts w:asciiTheme="majorBidi" w:hAnsiTheme="majorBidi" w:cstheme="majorBidi"/>
          <w:lang w:val="en-US"/>
        </w:rPr>
        <w:t xml:space="preserve">The layout of the present study is as follows. Section 2 presents the empirical methodology. Section 3 provides the data and a preliminary analysis. The empirical results are displayed, analyzed and discussed in section 4. In section 5, we </w:t>
      </w:r>
      <w:r w:rsidR="00D96CC9" w:rsidRPr="002E77C1">
        <w:rPr>
          <w:rFonts w:asciiTheme="majorBidi" w:hAnsiTheme="majorBidi" w:cstheme="majorBidi"/>
          <w:lang w:val="en-US"/>
        </w:rPr>
        <w:t>analyzethe DCC behavior during different phases of the global financial and European sovereign debt crises, while section 6 reports the concluding remarks.</w:t>
      </w:r>
    </w:p>
    <w:p w:rsidR="00D96CC9" w:rsidRPr="00D96CC9" w:rsidRDefault="00D96CC9" w:rsidP="00D96CC9">
      <w:pPr>
        <w:spacing w:after="0" w:line="240" w:lineRule="auto"/>
        <w:ind w:firstLine="340"/>
        <w:jc w:val="both"/>
        <w:rPr>
          <w:rFonts w:asciiTheme="majorBidi" w:hAnsiTheme="majorBidi" w:cstheme="majorBidi"/>
          <w:sz w:val="24"/>
          <w:szCs w:val="24"/>
          <w:lang w:val="en-US"/>
        </w:rPr>
      </w:pPr>
    </w:p>
    <w:p w:rsidR="00553C0E" w:rsidRPr="0062679E" w:rsidRDefault="00553C0E" w:rsidP="0062679E">
      <w:pPr>
        <w:pStyle w:val="Paragraphedeliste"/>
        <w:numPr>
          <w:ilvl w:val="0"/>
          <w:numId w:val="1"/>
        </w:numPr>
        <w:spacing w:after="0" w:line="240" w:lineRule="auto"/>
        <w:ind w:left="340" w:hanging="340"/>
        <w:jc w:val="both"/>
        <w:rPr>
          <w:rFonts w:asciiTheme="majorBidi" w:hAnsiTheme="majorBidi" w:cstheme="majorBidi"/>
          <w:b/>
          <w:sz w:val="28"/>
          <w:szCs w:val="28"/>
          <w:lang w:val="en-US"/>
        </w:rPr>
      </w:pPr>
      <w:r w:rsidRPr="0062679E">
        <w:rPr>
          <w:rFonts w:asciiTheme="majorBidi" w:hAnsiTheme="majorBidi" w:cstheme="majorBidi"/>
          <w:b/>
          <w:sz w:val="28"/>
          <w:szCs w:val="28"/>
          <w:lang w:val="en-US"/>
        </w:rPr>
        <w:t>Econometric methodology</w:t>
      </w:r>
    </w:p>
    <w:p w:rsidR="00341063" w:rsidRPr="00553C0E" w:rsidRDefault="00341063" w:rsidP="00553C0E">
      <w:pPr>
        <w:spacing w:after="0" w:line="240" w:lineRule="auto"/>
        <w:jc w:val="both"/>
        <w:rPr>
          <w:rFonts w:asciiTheme="majorBidi" w:hAnsiTheme="majorBidi" w:cstheme="majorBidi"/>
          <w:b/>
          <w:sz w:val="24"/>
          <w:szCs w:val="24"/>
          <w:lang w:val="en-US"/>
        </w:rPr>
      </w:pPr>
    </w:p>
    <w:p w:rsidR="00553C0E" w:rsidRPr="0062679E" w:rsidRDefault="00553C0E" w:rsidP="0062679E">
      <w:pPr>
        <w:pStyle w:val="Paragraphedeliste"/>
        <w:numPr>
          <w:ilvl w:val="1"/>
          <w:numId w:val="1"/>
        </w:numPr>
        <w:spacing w:after="0" w:line="240" w:lineRule="auto"/>
        <w:ind w:left="397" w:hanging="340"/>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Univariate FIAPARCH model</w:t>
      </w:r>
    </w:p>
    <w:p w:rsidR="00970132" w:rsidRDefault="00970132" w:rsidP="00F936A3">
      <w:pPr>
        <w:spacing w:after="0" w:line="240" w:lineRule="auto"/>
        <w:jc w:val="both"/>
        <w:rPr>
          <w:rFonts w:asciiTheme="majorBidi" w:hAnsiTheme="majorBidi" w:cstheme="majorBidi"/>
          <w:b/>
          <w:sz w:val="24"/>
          <w:szCs w:val="24"/>
          <w:lang w:val="en-US"/>
        </w:rPr>
      </w:pPr>
    </w:p>
    <w:p w:rsidR="00A13D9C" w:rsidRPr="00972E34" w:rsidRDefault="00A13D9C" w:rsidP="00A13D9C">
      <w:pPr>
        <w:spacing w:after="0" w:line="240" w:lineRule="auto"/>
        <w:jc w:val="both"/>
        <w:rPr>
          <w:rFonts w:ascii="Times New Roman" w:hAnsi="Times New Roman" w:cs="Times New Roman"/>
          <w:lang w:val="en-US"/>
        </w:rPr>
      </w:pPr>
      <w:r w:rsidRPr="00FD5372">
        <w:rPr>
          <w:rFonts w:ascii="Times New Roman" w:hAnsi="Times New Roman" w:cs="Times New Roman"/>
          <w:lang w:val="en-US"/>
        </w:rPr>
        <w:t xml:space="preserve">The AR(1) process represents one of the most common models to describe a time series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oMath>
      <w:r w:rsidRPr="00FD5372">
        <w:rPr>
          <w:rFonts w:ascii="Times New Roman" w:hAnsi="Times New Roman" w:cs="Times New Roman"/>
          <w:lang w:val="en-US"/>
        </w:rPr>
        <w:t xml:space="preserve"> of stock</w:t>
      </w:r>
      <w:r w:rsidRPr="00972E34">
        <w:rPr>
          <w:rFonts w:ascii="Times New Roman" w:hAnsi="Times New Roman" w:cs="Times New Roman"/>
          <w:lang w:val="en-US"/>
        </w:rPr>
        <w:t xml:space="preserve"> returns</w:t>
      </w:r>
      <w:r w:rsidR="009824AA">
        <w:rPr>
          <w:rFonts w:ascii="Times New Roman" w:hAnsi="Times New Roman" w:cs="Times New Roman"/>
          <w:lang w:val="en-US"/>
        </w:rPr>
        <w:t xml:space="preserve"> and foreign exchange rate</w:t>
      </w:r>
      <w:r w:rsidRPr="00972E34">
        <w:rPr>
          <w:rFonts w:ascii="Times New Roman" w:hAnsi="Times New Roman" w:cs="Times New Roman"/>
          <w:lang w:val="en-US"/>
        </w:rPr>
        <w:t>. Its formulation is given as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d>
          <m:dPr>
            <m:ctrlPr>
              <w:rPr>
                <w:rFonts w:ascii="Cambria Math" w:hAnsi="Cambria Math" w:cs="Times New Roman"/>
                <w:i/>
                <w:lang w:val="en-US"/>
              </w:rPr>
            </m:ctrlPr>
          </m:dPr>
          <m:e>
            <m:r>
              <w:rPr>
                <w:rFonts w:ascii="Cambria Math" w:hAnsi="Cambria Math" w:cs="Times New Roman"/>
                <w:lang w:val="en-US"/>
              </w:rPr>
              <m:t>1-ξL</m:t>
            </m:r>
          </m:e>
        </m:d>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r>
          <w:rPr>
            <w:rFonts w:ascii="Cambria Math" w:hAnsi="Cambria Math" w:cs="Times New Roman"/>
            <w:lang w:val="en-US"/>
          </w:rPr>
          <m:t>=c+</m:t>
        </m:r>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t</m:t>
            </m:r>
          </m:sub>
        </m:sSub>
        <m:r>
          <w:rPr>
            <w:rFonts w:ascii="Cambria Math" w:hAnsi="Cambria Math" w:cs="Times New Roman"/>
            <w:lang w:val="en-US"/>
          </w:rPr>
          <m:t>,   t</m:t>
        </m:r>
        <m:r>
          <m:rPr>
            <m:scr m:val="double-struck"/>
          </m:rPr>
          <w:rPr>
            <w:rFonts w:ascii="Cambria Math" w:hAnsi="Cambria Math" w:cs="Times New Roman"/>
            <w:lang w:val="en-US"/>
          </w:rPr>
          <m:t>∈N</m:t>
        </m:r>
      </m:oMath>
      <w:r w:rsidRPr="00972E34">
        <w:rPr>
          <w:rFonts w:ascii="Times New Roman" w:hAnsi="Times New Roman" w:cs="Times New Roman"/>
          <w:lang w:val="en-US"/>
        </w:rPr>
        <w:t>(1)</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with</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m:t>
            </m:r>
          </m:sub>
        </m:sSub>
        <m:rad>
          <m:radPr>
            <m:degHide m:val="on"/>
            <m:ctrlPr>
              <w:rPr>
                <w:rFonts w:ascii="Cambria Math" w:hAnsi="Cambria Math" w:cs="Times New Roman"/>
                <w:i/>
                <w:lang w:val="en-US"/>
              </w:rPr>
            </m:ctrlPr>
          </m:radPr>
          <m:deg/>
          <m:e>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t</m:t>
                </m:r>
              </m:sub>
            </m:sSub>
          </m:e>
        </m:rad>
      </m:oMath>
      <w:r w:rsidRPr="00972E34">
        <w:rPr>
          <w:rFonts w:ascii="Times New Roman" w:hAnsi="Times New Roman" w:cs="Times New Roman"/>
          <w:lang w:val="en-US"/>
        </w:rPr>
        <w:t xml:space="preserve">  (2)</w:t>
      </w:r>
    </w:p>
    <w:p w:rsidR="00A13D9C" w:rsidRPr="00972E34" w:rsidRDefault="00A13D9C" w:rsidP="00A13D9C">
      <w:pPr>
        <w:pStyle w:val="Paragraphedeliste"/>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 xml:space="preserve">where </w:t>
      </w:r>
      <m:oMath>
        <m:d>
          <m:dPr>
            <m:begChr m:val="|"/>
            <m:endChr m:val="|"/>
            <m:ctrlPr>
              <w:rPr>
                <w:rFonts w:ascii="Cambria Math" w:hAnsi="Cambria Math" w:cs="Times New Roman"/>
                <w:i/>
                <w:lang w:val="en-US"/>
              </w:rPr>
            </m:ctrlPr>
          </m:dPr>
          <m:e>
            <m:r>
              <w:rPr>
                <w:rFonts w:ascii="Cambria Math" w:hAnsi="Cambria Math" w:cs="Times New Roman"/>
                <w:lang w:val="en-US"/>
              </w:rPr>
              <m:t>c</m:t>
            </m:r>
          </m:e>
        </m:d>
        <m:r>
          <w:rPr>
            <w:rFonts w:ascii="Cambria Math" w:hAnsi="Cambria Math" w:cs="Times New Roman"/>
            <w:lang w:val="en-US"/>
          </w:rPr>
          <m:t>∈[0,+∞[</m:t>
        </m:r>
      </m:oMath>
      <w:r w:rsidRPr="00972E34">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r>
              <w:rPr>
                <w:rFonts w:ascii="Cambria Math" w:hAnsi="Cambria Math" w:cs="Times New Roman"/>
                <w:lang w:val="en-US"/>
              </w:rPr>
              <m:t>ξ</m:t>
            </m:r>
          </m:e>
        </m:d>
        <m:r>
          <w:rPr>
            <w:rFonts w:ascii="Cambria Math" w:hAnsi="Cambria Math" w:cs="Times New Roman"/>
            <w:lang w:val="en-US"/>
          </w:rPr>
          <m:t>&lt;1</m:t>
        </m:r>
      </m:oMath>
      <w:r w:rsidRPr="00972E34">
        <w:rPr>
          <w:rFonts w:ascii="Times New Roman" w:hAnsi="Times New Roman" w:cs="Times New Roman"/>
          <w:lang w:val="en-US"/>
        </w:rPr>
        <w:t xml:space="preserve"> and </w:t>
      </w:r>
      <m:oMath>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m:t>
                </m:r>
              </m:sub>
            </m:sSub>
          </m:e>
        </m:d>
      </m:oMath>
      <w:r w:rsidRPr="00972E34">
        <w:rPr>
          <w:rFonts w:ascii="Times New Roman" w:hAnsi="Times New Roman" w:cs="Times New Roman"/>
          <w:lang w:val="en-US"/>
        </w:rPr>
        <w:t xml:space="preserve"> are independently and identically distributed </w:t>
      </w:r>
      <m:oMath>
        <m:r>
          <w:rPr>
            <w:rFonts w:ascii="Cambria Math" w:hAnsi="Cambria Math" w:cs="Times New Roman"/>
            <w:lang w:val="en-US"/>
          </w:rPr>
          <m:t>(i.i.d.)</m:t>
        </m:r>
      </m:oMath>
      <w:r w:rsidRPr="00972E34">
        <w:rPr>
          <w:rFonts w:ascii="Times New Roman" w:hAnsi="Times New Roman" w:cs="Times New Roman"/>
          <w:lang w:val="en-US"/>
        </w:rPr>
        <w:t xml:space="preserve"> random variables with </w:t>
      </w:r>
      <m:oMath>
        <m:r>
          <w:rPr>
            <w:rFonts w:ascii="Cambria Math" w:hAnsi="Cambria Math" w:cs="Times New Roman"/>
            <w:lang w:val="en-US"/>
          </w:rPr>
          <m:t>E</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t</m:t>
                </m:r>
              </m:sub>
            </m:sSub>
          </m:e>
        </m:d>
        <m:r>
          <w:rPr>
            <w:rFonts w:ascii="Cambria Math" w:hAnsi="Cambria Math" w:cs="Times New Roman"/>
            <w:lang w:val="en-US"/>
          </w:rPr>
          <m:t>=0</m:t>
        </m:r>
      </m:oMath>
      <w:r w:rsidRPr="00972E34">
        <w:rPr>
          <w:rFonts w:ascii="Times New Roman" w:hAnsi="Times New Roman" w:cs="Times New Roman"/>
          <w:lang w:val="en-US"/>
        </w:rPr>
        <w:t xml:space="preserve">. The variance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t</m:t>
            </m:r>
          </m:sub>
        </m:sSub>
      </m:oMath>
      <w:r w:rsidRPr="00972E34">
        <w:rPr>
          <w:rFonts w:ascii="Times New Roman" w:hAnsi="Times New Roman" w:cs="Times New Roman"/>
          <w:lang w:val="en-US"/>
        </w:rPr>
        <w:t xml:space="preserve"> is positive with probability equal to unity and is a measurable function of </w:t>
      </w:r>
      <m:oMath>
        <m:sSub>
          <m:sSubPr>
            <m:ctrlPr>
              <w:rPr>
                <w:rFonts w:ascii="Cambria Math" w:hAnsi="Cambria Math" w:cs="Times New Roman"/>
                <w:i/>
                <w:lang w:val="en-US"/>
              </w:rPr>
            </m:ctrlPr>
          </m:sSubPr>
          <m:e>
            <m:r>
              <m:rPr>
                <m:sty m:val="p"/>
              </m:rPr>
              <w:rPr>
                <w:rFonts w:ascii="Cambria Math" w:hAnsi="Cambria Math" w:cs="Times New Roman"/>
                <w:lang w:val="en-US"/>
              </w:rPr>
              <m:t>Σ</m:t>
            </m:r>
          </m:e>
          <m:sub>
            <m:r>
              <w:rPr>
                <w:rFonts w:ascii="Cambria Math" w:hAnsi="Cambria Math" w:cs="Times New Roman"/>
                <w:lang w:val="en-US"/>
              </w:rPr>
              <m:t>t-1</m:t>
            </m:r>
          </m:sub>
        </m:sSub>
      </m:oMath>
      <w:r w:rsidRPr="00972E34">
        <w:rPr>
          <w:rFonts w:ascii="Times New Roman" w:hAnsi="Times New Roman" w:cs="Times New Roman"/>
          <w:lang w:val="en-US"/>
        </w:rPr>
        <w:t xml:space="preserve">, which is the </w:t>
      </w:r>
      <m:oMath>
        <m:r>
          <w:rPr>
            <w:rFonts w:ascii="Cambria Math" w:hAnsi="Cambria Math" w:cs="Times New Roman"/>
            <w:lang w:val="en-US"/>
          </w:rPr>
          <m:t>σ-</m:t>
        </m:r>
      </m:oMath>
      <w:r w:rsidRPr="00972E34">
        <w:rPr>
          <w:rFonts w:ascii="Times New Roman" w:hAnsi="Times New Roman" w:cs="Times New Roman"/>
          <w:lang w:val="en-US"/>
        </w:rPr>
        <w:t xml:space="preserve">algebra generated by </w:t>
      </w:r>
      <m:oMath>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t-2</m:t>
                </m:r>
              </m:sub>
            </m:sSub>
            <m:r>
              <w:rPr>
                <w:rFonts w:ascii="Cambria Math" w:hAnsi="Cambria Math" w:cs="Times New Roman"/>
                <w:lang w:val="en-US"/>
              </w:rPr>
              <m:t>,…</m:t>
            </m:r>
          </m:e>
        </m:d>
      </m:oMath>
      <w:r w:rsidRPr="00972E34">
        <w:rPr>
          <w:rFonts w:ascii="Times New Roman" w:hAnsi="Times New Roman" w:cs="Times New Roman"/>
          <w:lang w:val="en-US"/>
        </w:rPr>
        <w:t xml:space="preserve">. Therefore,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t</m:t>
            </m:r>
          </m:sub>
        </m:sSub>
      </m:oMath>
      <w:r w:rsidRPr="00972E34">
        <w:rPr>
          <w:rFonts w:ascii="Times New Roman" w:hAnsi="Times New Roman" w:cs="Times New Roman"/>
          <w:lang w:val="en-US"/>
        </w:rPr>
        <w:t xml:space="preserve"> denotes the conditional variance of the returns </w:t>
      </w:r>
      <m:oMath>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e>
        </m:d>
      </m:oMath>
      <w:r w:rsidRPr="00972E34">
        <w:rPr>
          <w:rFonts w:ascii="Times New Roman" w:hAnsi="Times New Roman" w:cs="Times New Roman"/>
          <w:lang w:val="en-US"/>
        </w:rPr>
        <w:t>, that is: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r>
          <w:rPr>
            <w:rFonts w:ascii="Cambria Math" w:hAnsi="Cambria Math" w:cs="Times New Roman"/>
            <w:lang w:val="en-US"/>
          </w:rPr>
          <m:t>E</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m:rPr>
                    <m:sty m:val="p"/>
                  </m:rPr>
                  <w:rPr>
                    <w:rFonts w:ascii="Cambria Math" w:hAnsi="Cambria Math" w:cs="Times New Roman"/>
                    <w:lang w:val="en-US"/>
                  </w:rPr>
                  <m:t>Σ</m:t>
                </m:r>
              </m:e>
              <m:sub>
                <m:r>
                  <w:rPr>
                    <w:rFonts w:ascii="Cambria Math" w:hAnsi="Cambria Math" w:cs="Times New Roman"/>
                    <w:lang w:val="en-US"/>
                  </w:rPr>
                  <m:t>t-1</m:t>
                </m:r>
              </m:sub>
            </m:sSub>
          </m:e>
        </m:d>
        <m:r>
          <w:rPr>
            <w:rFonts w:ascii="Cambria Math" w:hAnsi="Cambria Math" w:cs="Times New Roman"/>
            <w:lang w:val="en-US"/>
          </w:rPr>
          <m:t>=c+ξ</m:t>
        </m:r>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t-1</m:t>
            </m:r>
          </m:sub>
        </m:sSub>
      </m:oMath>
      <w:r w:rsidRPr="00972E34">
        <w:rPr>
          <w:rFonts w:ascii="Times New Roman" w:hAnsi="Times New Roman" w:cs="Times New Roman"/>
          <w:lang w:val="en-US"/>
        </w:rPr>
        <w:t xml:space="preserve"> (3)</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r>
          <w:rPr>
            <w:rFonts w:ascii="Cambria Math" w:hAnsi="Cambria Math" w:cs="Times New Roman"/>
            <w:lang w:val="en-US"/>
          </w:rPr>
          <m:t>Var</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m:rPr>
                    <m:sty m:val="p"/>
                  </m:rPr>
                  <w:rPr>
                    <w:rFonts w:ascii="Cambria Math" w:hAnsi="Cambria Math" w:cs="Times New Roman"/>
                    <w:lang w:val="en-US"/>
                  </w:rPr>
                  <m:t>Σ</m:t>
                </m:r>
              </m:e>
              <m:sub>
                <m:r>
                  <w:rPr>
                    <w:rFonts w:ascii="Cambria Math" w:hAnsi="Cambria Math" w:cs="Times New Roman"/>
                    <w:lang w:val="en-US"/>
                  </w:rPr>
                  <m:t>t-1</m:t>
                </m:r>
              </m:sub>
            </m:sSub>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t</m:t>
            </m:r>
          </m:sub>
        </m:sSub>
      </m:oMath>
      <w:r w:rsidRPr="00972E34">
        <w:rPr>
          <w:rFonts w:ascii="Times New Roman" w:hAnsi="Times New Roman" w:cs="Times New Roman"/>
          <w:lang w:val="en-US"/>
        </w:rPr>
        <w:t xml:space="preserve"> (4)</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B81B5C">
        <w:rPr>
          <w:rFonts w:ascii="Times New Roman" w:hAnsi="Times New Roman" w:cs="Times New Roman"/>
          <w:color w:val="00B0F0"/>
          <w:lang w:val="en-US"/>
        </w:rPr>
        <w:t>Tse (1998)</w:t>
      </w:r>
      <w:r w:rsidRPr="00972E34">
        <w:rPr>
          <w:rFonts w:ascii="Times New Roman" w:hAnsi="Times New Roman" w:cs="Times New Roman"/>
          <w:lang w:val="en-US"/>
        </w:rPr>
        <w:t xml:space="preserve"> uses a FIAPARCH(1,d,1) model in order to examine the conditional heteroskedasticity of the yen-dollar exchange rate. Its specification is given as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d>
          <m:dPr>
            <m:ctrlPr>
              <w:rPr>
                <w:rFonts w:ascii="Cambria Math" w:hAnsi="Cambria Math" w:cs="Times New Roman"/>
                <w:i/>
                <w:lang w:val="en-US"/>
              </w:rPr>
            </m:ctrlPr>
          </m:dPr>
          <m:e>
            <m:r>
              <w:rPr>
                <w:rFonts w:ascii="Cambria Math" w:hAnsi="Cambria Math" w:cs="Times New Roman"/>
                <w:lang w:val="en-US"/>
              </w:rPr>
              <m:t>1-βL</m:t>
            </m:r>
          </m:e>
        </m:d>
        <m:d>
          <m:dPr>
            <m:ctrlPr>
              <w:rPr>
                <w:rFonts w:ascii="Cambria Math" w:hAnsi="Cambria Math" w:cs="Times New Roman"/>
                <w:i/>
                <w:lang w:val="en-US"/>
              </w:rPr>
            </m:ctrlPr>
          </m:dPr>
          <m:e>
            <m:sSubSup>
              <m:sSubSupPr>
                <m:ctrlPr>
                  <w:rPr>
                    <w:rFonts w:ascii="Cambria Math" w:hAnsi="Cambria Math" w:cs="Times New Roman"/>
                    <w:i/>
                    <w:lang w:val="en-US"/>
                  </w:rPr>
                </m:ctrlPr>
              </m:sSubSupPr>
              <m:e>
                <m:r>
                  <w:rPr>
                    <w:rFonts w:ascii="Cambria Math" w:hAnsi="Cambria Math" w:cs="Times New Roman"/>
                    <w:lang w:val="en-US"/>
                  </w:rPr>
                  <m:t>h</m:t>
                </m:r>
              </m:e>
              <m:sub>
                <m:r>
                  <w:rPr>
                    <w:rFonts w:ascii="Cambria Math" w:hAnsi="Cambria Math" w:cs="Times New Roman"/>
                    <w:lang w:val="en-US"/>
                  </w:rPr>
                  <m:t>t</m:t>
                </m:r>
              </m:sub>
              <m:sup>
                <m:r>
                  <w:rPr>
                    <w:rFonts w:ascii="Cambria Math" w:hAnsi="Cambria Math" w:cs="Times New Roman"/>
                    <w:lang w:val="en-US"/>
                  </w:rPr>
                  <m:t>δ/2</m:t>
                </m:r>
              </m:sup>
            </m:sSubSup>
            <m:r>
              <w:rPr>
                <w:rFonts w:ascii="Cambria Math" w:hAnsi="Cambria Math" w:cs="Times New Roman"/>
                <w:lang w:val="en-US"/>
              </w:rPr>
              <m:t>-ω</m:t>
            </m:r>
          </m:e>
        </m:d>
        <m:r>
          <w:rPr>
            <w:rFonts w:ascii="Cambria Math" w:hAnsi="Cambria Math" w:cs="Times New Roman"/>
            <w:lang w:val="en-US"/>
          </w:rPr>
          <m:t>=</m:t>
        </m:r>
        <m:d>
          <m:dPr>
            <m:begChr m:val="["/>
            <m:endChr m:val="]"/>
            <m:ctrlPr>
              <w:rPr>
                <w:rFonts w:ascii="Cambria Math" w:hAnsi="Cambria Math" w:cs="Times New Roman"/>
                <w:i/>
                <w:lang w:val="en-US"/>
              </w:rPr>
            </m:ctrlPr>
          </m:dPr>
          <m:e>
            <m:d>
              <m:dPr>
                <m:ctrlPr>
                  <w:rPr>
                    <w:rFonts w:ascii="Cambria Math" w:hAnsi="Cambria Math" w:cs="Times New Roman"/>
                    <w:i/>
                    <w:lang w:val="en-US"/>
                  </w:rPr>
                </m:ctrlPr>
              </m:dPr>
              <m:e>
                <m:r>
                  <w:rPr>
                    <w:rFonts w:ascii="Cambria Math" w:hAnsi="Cambria Math" w:cs="Times New Roman"/>
                    <w:lang w:val="en-US"/>
                  </w:rPr>
                  <m:t>1-βL</m:t>
                </m:r>
              </m:e>
            </m:d>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1-ϕL</m:t>
                </m:r>
              </m:e>
            </m:d>
            <m:sSup>
              <m:sSupPr>
                <m:ctrlPr>
                  <w:rPr>
                    <w:rFonts w:ascii="Cambria Math" w:hAnsi="Cambria Math" w:cs="Times New Roman"/>
                    <w:i/>
                    <w:lang w:val="en-US"/>
                  </w:rPr>
                </m:ctrlPr>
              </m:sSupPr>
              <m:e>
                <m:r>
                  <w:rPr>
                    <w:rFonts w:ascii="Cambria Math" w:hAnsi="Cambria Math" w:cs="Times New Roman"/>
                    <w:lang w:val="en-US"/>
                  </w:rPr>
                  <m:t>(1-L)</m:t>
                </m:r>
              </m:e>
              <m:sup>
                <m:r>
                  <w:rPr>
                    <w:rFonts w:ascii="Cambria Math" w:hAnsi="Cambria Math" w:cs="Times New Roman"/>
                    <w:lang w:val="en-US"/>
                  </w:rPr>
                  <m:t>d</m:t>
                </m:r>
              </m:sup>
            </m:sSup>
          </m:e>
        </m:d>
        <m:d>
          <m:dPr>
            <m:ctrlPr>
              <w:rPr>
                <w:rFonts w:ascii="Cambria Math" w:hAnsi="Cambria Math" w:cs="Times New Roman"/>
                <w:i/>
                <w:lang w:val="en-US"/>
              </w:rPr>
            </m:ctrlPr>
          </m:dPr>
          <m:e>
            <m:r>
              <w:rPr>
                <w:rFonts w:ascii="Cambria Math" w:hAnsi="Cambria Math" w:cs="Times New Roman"/>
                <w:lang w:val="en-US"/>
              </w:rPr>
              <m:t>1+γ</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t</m:t>
                </m:r>
              </m:sub>
            </m:sSub>
          </m:e>
        </m:d>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t</m:t>
                    </m:r>
                  </m:sub>
                </m:sSub>
              </m:e>
            </m:d>
          </m:e>
          <m:sup>
            <m:r>
              <w:rPr>
                <w:rFonts w:ascii="Cambria Math" w:hAnsi="Cambria Math" w:cs="Times New Roman"/>
                <w:lang w:val="en-US"/>
              </w:rPr>
              <m:t>δ</m:t>
            </m:r>
          </m:sup>
        </m:sSup>
      </m:oMath>
      <w:r w:rsidRPr="00972E34">
        <w:rPr>
          <w:rFonts w:ascii="Times New Roman" w:hAnsi="Times New Roman" w:cs="Times New Roman"/>
          <w:lang w:val="en-US"/>
        </w:rPr>
        <w:t>(5)</w:t>
      </w:r>
    </w:p>
    <w:p w:rsidR="00A13D9C" w:rsidRPr="00972E34" w:rsidRDefault="00A13D9C" w:rsidP="00A13D9C">
      <w:pPr>
        <w:pStyle w:val="Paragraphedeliste"/>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 xml:space="preserve">where </w:t>
      </w:r>
      <m:oMath>
        <m:r>
          <w:rPr>
            <w:rFonts w:ascii="Cambria Math" w:hAnsi="Cambria Math" w:cs="Times New Roman" w:hint="eastAsia"/>
          </w:rPr>
          <m:t>ω</m:t>
        </m:r>
        <m:r>
          <w:rPr>
            <w:rFonts w:ascii="Cambria Math" w:hAnsi="Cambria Math" w:cs="Cambria Math"/>
            <w:lang w:val="en-US"/>
          </w:rPr>
          <m:t>∈</m:t>
        </m:r>
        <m:r>
          <w:rPr>
            <w:rFonts w:ascii="Cambria Math" w:hAnsi="Cambria Math" w:cs="Times New Roman"/>
            <w:lang w:val="en-US"/>
          </w:rPr>
          <m:t>[0, ∞[</m:t>
        </m:r>
      </m:oMath>
      <w:r w:rsidRPr="00972E34">
        <w:rPr>
          <w:rFonts w:ascii="Times New Roman" w:hAnsi="Times New Roman" w:cs="Times New Roman"/>
          <w:lang w:val="en-US"/>
        </w:rPr>
        <w:t xml:space="preserve">, </w:t>
      </w:r>
      <m:oMath>
        <m:r>
          <w:rPr>
            <w:rFonts w:ascii="Cambria Math" w:hAnsi="Cambria Math" w:cs="Times New Roman"/>
            <w:lang w:val="en-US"/>
          </w:rPr>
          <m:t>|</m:t>
        </m:r>
        <m:r>
          <w:rPr>
            <w:rFonts w:ascii="Cambria Math" w:hAnsi="Cambria Math" w:cs="Times New Roman" w:hint="eastAsia"/>
          </w:rPr>
          <m:t>β</m:t>
        </m:r>
        <m:r>
          <w:rPr>
            <w:rFonts w:ascii="Cambria Math" w:hAnsi="Cambria Math" w:cs="Times New Roman"/>
            <w:lang w:val="en-US"/>
          </w:rPr>
          <m:t>|&lt;1</m:t>
        </m:r>
      </m:oMath>
      <w:r w:rsidRPr="00972E34">
        <w:rPr>
          <w:rFonts w:ascii="Times New Roman" w:hAnsi="Times New Roman" w:cs="Times New Roman"/>
          <w:lang w:val="en-US"/>
        </w:rPr>
        <w:t xml:space="preserve">, </w:t>
      </w:r>
      <m:oMath>
        <m:r>
          <w:rPr>
            <w:rFonts w:ascii="Cambria Math" w:hAnsi="Cambria Math" w:cs="Times New Roman"/>
            <w:lang w:val="en-US"/>
          </w:rPr>
          <m:t>|</m:t>
        </m:r>
        <m:r>
          <w:rPr>
            <w:rFonts w:ascii="Cambria Math" w:hAnsi="Cambria Math" w:cs="Cambria Math"/>
          </w:rPr>
          <m:t>ϕ</m:t>
        </m:r>
        <m:r>
          <w:rPr>
            <w:rFonts w:ascii="Cambria Math" w:hAnsi="Cambria Math" w:cs="Times New Roman"/>
            <w:lang w:val="en-US"/>
          </w:rPr>
          <m:t>|&lt;1</m:t>
        </m:r>
      </m:oMath>
      <w:r w:rsidRPr="00972E34">
        <w:rPr>
          <w:rFonts w:ascii="Times New Roman" w:hAnsi="Times New Roman" w:cs="Times New Roman"/>
          <w:lang w:val="en-US"/>
        </w:rPr>
        <w:t xml:space="preserve">, </w:t>
      </w:r>
      <m:oMath>
        <m:r>
          <w:rPr>
            <w:rFonts w:ascii="Cambria Math" w:hAnsi="Cambria Math" w:cs="Times New Roman"/>
            <w:lang w:val="en-US"/>
          </w:rPr>
          <m:t>0</m:t>
        </m:r>
        <m:r>
          <w:rPr>
            <w:rFonts w:ascii="Cambria Math" w:hAnsi="Cambria Math" w:cs="Times New Roman" w:hint="eastAsia"/>
            <w:lang w:val="en-US"/>
          </w:rPr>
          <m:t>≤</m:t>
        </m:r>
        <m:r>
          <w:rPr>
            <w:rFonts w:ascii="Cambria Math" w:hAnsi="Cambria Math" w:cs="Times New Roman"/>
            <w:lang w:val="en-US"/>
          </w:rPr>
          <m:t>d</m:t>
        </m:r>
        <m:r>
          <w:rPr>
            <w:rFonts w:ascii="Cambria Math" w:hAnsi="Cambria Math" w:cs="Times New Roman" w:hint="eastAsia"/>
            <w:lang w:val="en-US"/>
          </w:rPr>
          <m:t>≤</m:t>
        </m:r>
        <m:r>
          <w:rPr>
            <w:rFonts w:ascii="Cambria Math" w:hAnsi="Cambria Math" w:cs="Times New Roman"/>
            <w:lang w:val="en-US"/>
          </w:rPr>
          <m:t>1</m:t>
        </m:r>
      </m:oMath>
      <w:r w:rsidRPr="00972E34">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t</m:t>
            </m:r>
          </m:sub>
        </m:sSub>
        <m:r>
          <w:rPr>
            <w:rFonts w:ascii="Cambria Math" w:hAnsi="Cambria Math" w:cs="Times New Roman"/>
            <w:lang w:val="en-US"/>
          </w:rPr>
          <m:t>=1</m:t>
        </m:r>
      </m:oMath>
      <w:r w:rsidRPr="00972E34">
        <w:rPr>
          <w:rFonts w:ascii="Times New Roman" w:hAnsi="Times New Roman" w:cs="Times New Roman"/>
          <w:lang w:val="en-US"/>
        </w:rPr>
        <w:t xml:space="preserve"> if </w:t>
      </w:r>
      <m:oMath>
        <m:sSub>
          <m:sSubPr>
            <m:ctrlPr>
              <w:rPr>
                <w:rFonts w:ascii="Cambria Math" w:eastAsia="MS Mincho" w:hAnsi="Cambria Math" w:cs="MS Mincho"/>
                <w:i/>
                <w:lang w:val="en-US"/>
              </w:rPr>
            </m:ctrlPr>
          </m:sSubPr>
          <m:e>
            <m:r>
              <w:rPr>
                <w:rFonts w:ascii="Cambria Math" w:eastAsia="MS Mincho" w:hAnsi="Cambria Math" w:cs="MS Mincho"/>
                <w:lang w:val="en-US"/>
              </w:rPr>
              <m:t>ε</m:t>
            </m:r>
          </m:e>
          <m:sub>
            <m:r>
              <w:rPr>
                <w:rFonts w:ascii="Cambria Math" w:eastAsia="MS Mincho" w:hAnsi="Cambria Math" w:cs="MS Mincho"/>
                <w:lang w:val="en-US"/>
              </w:rPr>
              <m:t>t</m:t>
            </m:r>
          </m:sub>
        </m:sSub>
        <m:r>
          <w:rPr>
            <w:rFonts w:ascii="Cambria Math" w:eastAsia="MS Mincho" w:hAnsi="Cambria Math" w:cs="MS Mincho"/>
            <w:lang w:val="en-US"/>
          </w:rPr>
          <m:t>&lt;0</m:t>
        </m:r>
      </m:oMath>
      <w:r w:rsidRPr="00972E34">
        <w:rPr>
          <w:rFonts w:ascii="Times New Roman" w:hAnsi="Times New Roman" w:cs="Times New Roman"/>
          <w:lang w:val="en-US"/>
        </w:rPr>
        <w:t xml:space="preserve"> and </w:t>
      </w:r>
      <m:oMath>
        <m:r>
          <w:rPr>
            <w:rFonts w:ascii="Cambria Math" w:hAnsi="Cambria Math" w:cs="Times New Roman"/>
            <w:lang w:val="en-US"/>
          </w:rPr>
          <m:t>0</m:t>
        </m:r>
      </m:oMath>
      <w:r w:rsidRPr="00972E34">
        <w:rPr>
          <w:rFonts w:ascii="Times New Roman" w:hAnsi="Times New Roman" w:cs="Times New Roman"/>
          <w:lang w:val="en-US"/>
        </w:rPr>
        <w:t xml:space="preserve"> otherwise, </w:t>
      </w:r>
      <m:oMath>
        <m:sSup>
          <m:sSupPr>
            <m:ctrlPr>
              <w:rPr>
                <w:rFonts w:ascii="Cambria Math" w:hAnsi="Cambria Math" w:cs="Times New Roman"/>
                <w:i/>
                <w:lang w:val="en-US"/>
              </w:rPr>
            </m:ctrlPr>
          </m:sSupPr>
          <m:e>
            <m:r>
              <w:rPr>
                <w:rFonts w:ascii="Cambria Math" w:hAnsi="Cambria Math" w:cs="Times New Roman"/>
                <w:lang w:val="en-US"/>
              </w:rPr>
              <m:t>(1-L)</m:t>
            </m:r>
          </m:e>
          <m:sup>
            <m:r>
              <w:rPr>
                <w:rFonts w:ascii="Cambria Math" w:hAnsi="Cambria Math" w:cs="Times New Roman"/>
                <w:lang w:val="en-US"/>
              </w:rPr>
              <m:t>d</m:t>
            </m:r>
          </m:sup>
        </m:sSup>
      </m:oMath>
      <w:r w:rsidRPr="00972E34">
        <w:rPr>
          <w:rFonts w:ascii="Times New Roman" w:hAnsi="Times New Roman" w:cs="Times New Roman"/>
          <w:lang w:val="en-US"/>
        </w:rPr>
        <w:t xml:space="preserve"> is the </w:t>
      </w:r>
      <w:r w:rsidRPr="00965570">
        <w:rPr>
          <w:rFonts w:ascii="Times New Roman" w:hAnsi="Times New Roman" w:cs="Times New Roman"/>
          <w:lang w:val="en-US"/>
        </w:rPr>
        <w:t xml:space="preserve">financial differencing operator in terms of a hypergeometric function (see </w:t>
      </w:r>
      <w:r w:rsidRPr="001E56F3">
        <w:rPr>
          <w:rFonts w:ascii="Times New Roman" w:hAnsi="Times New Roman" w:cs="Times New Roman"/>
          <w:color w:val="00B0F0"/>
          <w:lang w:val="en-US"/>
        </w:rPr>
        <w:t>Conrad et al., 2011</w:t>
      </w:r>
      <w:r w:rsidRPr="00965570">
        <w:rPr>
          <w:rFonts w:ascii="Times New Roman" w:hAnsi="Times New Roman" w:cs="Times New Roman"/>
          <w:lang w:val="en-US"/>
        </w:rPr>
        <w:t xml:space="preserve">), </w:t>
      </w:r>
      <m:oMath>
        <m:r>
          <w:rPr>
            <w:rFonts w:ascii="Cambria Math" w:hAnsi="Cambria Math" w:cs="Times New Roman" w:hint="eastAsia"/>
          </w:rPr>
          <m:t>γ</m:t>
        </m:r>
      </m:oMath>
      <w:r w:rsidRPr="00965570">
        <w:rPr>
          <w:rFonts w:ascii="Times New Roman" w:hAnsi="Times New Roman" w:cs="Times New Roman"/>
          <w:lang w:val="en-US"/>
        </w:rPr>
        <w:t xml:space="preserve"> is the</w:t>
      </w:r>
      <w:r w:rsidRPr="00972E34">
        <w:rPr>
          <w:rFonts w:ascii="Times New Roman" w:hAnsi="Times New Roman" w:cs="Times New Roman"/>
          <w:lang w:val="en-US"/>
        </w:rPr>
        <w:t xml:space="preserve"> leverage coefficient, and </w:t>
      </w:r>
      <m:oMath>
        <m:r>
          <w:rPr>
            <w:rFonts w:ascii="Cambria Math" w:hAnsi="Cambria Math" w:cs="Times New Roman" w:hint="eastAsia"/>
          </w:rPr>
          <m:t>δ</m:t>
        </m:r>
      </m:oMath>
      <w:r w:rsidRPr="00972E34">
        <w:rPr>
          <w:rFonts w:ascii="Times New Roman" w:hAnsi="Times New Roman" w:cs="Times New Roman"/>
          <w:lang w:val="en-US"/>
        </w:rPr>
        <w:t xml:space="preserve"> is the power term parameter (a Box-Cox transformation) that takes (finite) positive values. A sufficient condition for the conditional variance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t</m:t>
            </m:r>
          </m:sub>
        </m:sSub>
      </m:oMath>
      <w:r w:rsidRPr="00972E34">
        <w:rPr>
          <w:rFonts w:ascii="Times New Roman" w:hAnsi="Times New Roman" w:cs="Times New Roman"/>
          <w:lang w:val="en-US"/>
        </w:rPr>
        <w:t xml:space="preserve"> to be positive almost surely for all </w:t>
      </w:r>
      <m:oMath>
        <m:r>
          <w:rPr>
            <w:rFonts w:ascii="Cambria Math" w:hAnsi="Cambria Math" w:cs="Times New Roman"/>
            <w:lang w:val="en-US"/>
          </w:rPr>
          <m:t>t</m:t>
        </m:r>
      </m:oMath>
      <w:r w:rsidRPr="00972E34">
        <w:rPr>
          <w:rFonts w:ascii="Times New Roman" w:hAnsi="Times New Roman" w:cs="Times New Roman"/>
          <w:lang w:val="en-US"/>
        </w:rPr>
        <w:t xml:space="preserve"> is that </w:t>
      </w:r>
      <m:oMath>
        <m:r>
          <w:rPr>
            <w:rFonts w:ascii="Cambria Math" w:hAnsi="Cambria Math" w:cs="Times New Roman" w:hint="eastAsia"/>
          </w:rPr>
          <m:t>γ</m:t>
        </m:r>
        <m:r>
          <w:rPr>
            <w:rFonts w:ascii="Cambria Math" w:hAnsi="Cambria Math" w:cs="Times New Roman"/>
            <w:lang w:val="en-US"/>
          </w:rPr>
          <m:t>&gt;</m:t>
        </m:r>
        <m:r>
          <w:rPr>
            <w:rFonts w:ascii="Cambria Math" w:hAnsi="Cambria Math" w:cs="Times New Roman" w:hint="eastAsia"/>
            <w:lang w:val="en-US"/>
          </w:rPr>
          <m:t>-</m:t>
        </m:r>
        <m:r>
          <w:rPr>
            <w:rFonts w:ascii="Cambria Math" w:hAnsi="Cambria Math" w:cs="Times New Roman"/>
            <w:lang w:val="en-US"/>
          </w:rPr>
          <m:t>1</m:t>
        </m:r>
      </m:oMath>
      <w:r w:rsidRPr="00972E34">
        <w:rPr>
          <w:rFonts w:ascii="Times New Roman" w:hAnsi="Times New Roman" w:cs="Times New Roman"/>
          <w:lang w:val="en-US"/>
        </w:rPr>
        <w:t xml:space="preserve"> and the parameter combination </w:t>
      </w:r>
      <m:oMath>
        <m:r>
          <w:rPr>
            <w:rFonts w:ascii="Cambria Math" w:hAnsi="Cambria Math" w:cs="Times New Roman"/>
            <w:lang w:val="en-US"/>
          </w:rPr>
          <m:t>(</m:t>
        </m:r>
        <m:r>
          <w:rPr>
            <w:rFonts w:ascii="Cambria Math" w:hAnsi="Cambria Math" w:cs="Cambria Math"/>
          </w:rPr>
          <m:t>ϕ</m:t>
        </m:r>
        <m:r>
          <w:rPr>
            <w:rFonts w:ascii="Cambria Math" w:hAnsi="Cambria Math" w:cs="Times New Roman"/>
            <w:lang w:val="en-US"/>
          </w:rPr>
          <m:t xml:space="preserve">, d, </m:t>
        </m:r>
        <m:r>
          <w:rPr>
            <w:rFonts w:ascii="Cambria Math" w:hAnsi="Cambria Math" w:cs="Times New Roman" w:hint="eastAsia"/>
          </w:rPr>
          <m:t>β</m:t>
        </m:r>
        <m:r>
          <w:rPr>
            <w:rFonts w:ascii="Cambria Math" w:hAnsi="Cambria Math" w:cs="Times New Roman"/>
            <w:lang w:val="en-US"/>
          </w:rPr>
          <m:t>)</m:t>
        </m:r>
      </m:oMath>
      <w:r w:rsidRPr="00972E34">
        <w:rPr>
          <w:rFonts w:ascii="Times New Roman" w:hAnsi="Times New Roman" w:cs="Times New Roman"/>
          <w:lang w:val="en-US"/>
        </w:rPr>
        <w:t xml:space="preserve"> satisfies the inequality constraints provided in </w:t>
      </w:r>
      <w:r w:rsidRPr="001E56F3">
        <w:rPr>
          <w:rFonts w:ascii="Times New Roman" w:hAnsi="Times New Roman" w:cs="Times New Roman"/>
          <w:color w:val="00B0F0"/>
          <w:lang w:val="en-US"/>
        </w:rPr>
        <w:t>Conrad and Haag (2006)</w:t>
      </w:r>
      <w:r w:rsidRPr="00972E34">
        <w:rPr>
          <w:rFonts w:ascii="Times New Roman" w:hAnsi="Times New Roman" w:cs="Times New Roman"/>
          <w:lang w:val="en-US"/>
        </w:rPr>
        <w:t xml:space="preserve"> and </w:t>
      </w:r>
      <w:r w:rsidRPr="001E56F3">
        <w:rPr>
          <w:rFonts w:ascii="Times New Roman" w:hAnsi="Times New Roman" w:cs="Times New Roman"/>
          <w:color w:val="00B0F0"/>
          <w:lang w:val="en-US"/>
        </w:rPr>
        <w:t>Conrad (2010)</w:t>
      </w:r>
      <w:r w:rsidRPr="00972E34">
        <w:rPr>
          <w:rFonts w:ascii="Times New Roman" w:hAnsi="Times New Roman" w:cs="Times New Roman"/>
          <w:lang w:val="en-US"/>
        </w:rPr>
        <w:t xml:space="preserve">.When </w:t>
      </w:r>
      <m:oMath>
        <m:r>
          <w:rPr>
            <w:rFonts w:ascii="Cambria Math" w:hAnsi="Cambria Math" w:cs="Times New Roman" w:hint="eastAsia"/>
          </w:rPr>
          <m:t>γ</m:t>
        </m:r>
        <m:r>
          <w:rPr>
            <w:rFonts w:ascii="Cambria Math" w:hAnsi="Cambria Math" w:cs="Times New Roman"/>
            <w:lang w:val="en-US"/>
          </w:rPr>
          <m:t>&gt;0</m:t>
        </m:r>
      </m:oMath>
      <w:r w:rsidRPr="00972E34">
        <w:rPr>
          <w:rFonts w:ascii="Times New Roman" w:hAnsi="Times New Roman" w:cs="Times New Roman"/>
          <w:lang w:val="en-US"/>
        </w:rPr>
        <w:t>, negative shocks have more impact on volatility than positive shocks.</w:t>
      </w:r>
    </w:p>
    <w:p w:rsidR="00A13D9C" w:rsidRDefault="00A13D9C" w:rsidP="00A13D9C">
      <w:pPr>
        <w:spacing w:after="0" w:line="240" w:lineRule="auto"/>
        <w:ind w:firstLine="340"/>
        <w:jc w:val="both"/>
        <w:rPr>
          <w:rFonts w:ascii="Times New Roman" w:hAnsi="Times New Roman" w:cs="Times New Roman"/>
          <w:lang w:val="en-US"/>
        </w:rPr>
      </w:pPr>
      <w:r w:rsidRPr="00972E34">
        <w:rPr>
          <w:rFonts w:ascii="Times New Roman" w:hAnsi="Times New Roman" w:cs="Times New Roman"/>
          <w:lang w:val="en-US"/>
        </w:rPr>
        <w:t xml:space="preserve">The advantage of this class of models is its flexibility since it includes a large number of alternative GARCH specifications. When </w:t>
      </w:r>
      <m:oMath>
        <m:r>
          <w:rPr>
            <w:rFonts w:ascii="Cambria Math" w:hAnsi="Cambria Math" w:cs="Times New Roman"/>
            <w:lang w:val="en-US"/>
          </w:rPr>
          <m:t>d=0</m:t>
        </m:r>
      </m:oMath>
      <w:r w:rsidRPr="00972E34">
        <w:rPr>
          <w:rFonts w:ascii="Times New Roman" w:hAnsi="Times New Roman" w:cs="Times New Roman"/>
          <w:lang w:val="en-US"/>
        </w:rPr>
        <w:t xml:space="preserve">, the process in Eq. (5) reduces to the APARCH(1,1) oneof </w:t>
      </w:r>
      <w:r w:rsidRPr="001E56F3">
        <w:rPr>
          <w:rFonts w:ascii="Times New Roman" w:hAnsi="Times New Roman" w:cs="Times New Roman"/>
          <w:color w:val="00B0F0"/>
          <w:lang w:val="en-US"/>
        </w:rPr>
        <w:t>Ding et al. (1993)</w:t>
      </w:r>
      <w:r w:rsidRPr="00972E34">
        <w:rPr>
          <w:rFonts w:ascii="Times New Roman" w:hAnsi="Times New Roman" w:cs="Times New Roman"/>
          <w:lang w:val="en-US"/>
        </w:rPr>
        <w:t xml:space="preserve">, which nests two major classes of ARCH models. In particular, a </w:t>
      </w:r>
      <w:r w:rsidRPr="00972E34">
        <w:rPr>
          <w:rFonts w:asciiTheme="majorBidi" w:hAnsiTheme="majorBidi" w:cstheme="majorBidi"/>
          <w:lang w:val="en-US"/>
        </w:rPr>
        <w:t>Taylor/Schwert type of formulation (</w:t>
      </w:r>
      <w:r w:rsidRPr="001E56F3">
        <w:rPr>
          <w:rFonts w:ascii="Times New Roman" w:hAnsi="Times New Roman" w:cs="Times New Roman"/>
          <w:color w:val="00B0F0"/>
          <w:lang w:val="en-US"/>
        </w:rPr>
        <w:t>Taylor, 1986; Schwert, 1990</w:t>
      </w:r>
      <w:r w:rsidRPr="00972E34">
        <w:rPr>
          <w:rFonts w:asciiTheme="majorBidi" w:hAnsiTheme="majorBidi" w:cstheme="majorBidi"/>
          <w:lang w:val="en-US"/>
        </w:rPr>
        <w:t xml:space="preserve">)is specified when </w:t>
      </w:r>
      <m:oMath>
        <m:r>
          <w:rPr>
            <w:rFonts w:ascii="Cambria Math" w:hAnsi="Cambria Math" w:cstheme="majorBidi"/>
          </w:rPr>
          <m:t>δ</m:t>
        </m:r>
        <m:r>
          <w:rPr>
            <w:rFonts w:ascii="Cambria Math" w:hAnsiTheme="majorBidi" w:cstheme="majorBidi"/>
            <w:lang w:val="en-US"/>
          </w:rPr>
          <m:t>=1</m:t>
        </m:r>
      </m:oMath>
      <w:r w:rsidRPr="00972E34">
        <w:rPr>
          <w:rFonts w:asciiTheme="majorBidi" w:hAnsiTheme="majorBidi" w:cstheme="majorBidi"/>
          <w:lang w:val="en-US"/>
        </w:rPr>
        <w:t xml:space="preserve">, and a </w:t>
      </w:r>
      <w:r w:rsidRPr="00972E34">
        <w:rPr>
          <w:rFonts w:asciiTheme="majorBidi" w:hAnsiTheme="majorBidi" w:cstheme="majorBidi"/>
          <w:lang w:val="en-US"/>
        </w:rPr>
        <w:lastRenderedPageBreak/>
        <w:t>Bollerslev</w:t>
      </w:r>
      <w:r w:rsidRPr="00972E34">
        <w:rPr>
          <w:rFonts w:ascii="Times New Roman" w:hAnsi="Times New Roman" w:cs="Times New Roman"/>
          <w:lang w:val="en-US"/>
        </w:rPr>
        <w:t xml:space="preserve">(1986) type is specified when </w:t>
      </w:r>
      <m:oMath>
        <m:r>
          <w:rPr>
            <w:rFonts w:ascii="Cambria Math" w:hAnsi="Cambria Math" w:cs="Times New Roman" w:hint="eastAsia"/>
          </w:rPr>
          <m:t>δ</m:t>
        </m:r>
        <m:r>
          <w:rPr>
            <w:rFonts w:ascii="Cambria Math" w:hAnsi="Cambria Math" w:cs="Times New Roman"/>
            <w:lang w:val="en-US"/>
          </w:rPr>
          <m:t>=2</m:t>
        </m:r>
      </m:oMath>
      <w:r w:rsidRPr="00972E34">
        <w:rPr>
          <w:rFonts w:ascii="Times New Roman" w:hAnsi="Times New Roman" w:cs="Times New Roman"/>
          <w:lang w:val="en-US"/>
        </w:rPr>
        <w:t xml:space="preserve">.When </w:t>
      </w:r>
      <m:oMath>
        <m:r>
          <w:rPr>
            <w:rFonts w:ascii="Cambria Math" w:hAnsi="Cambria Math" w:cs="Times New Roman" w:hint="eastAsia"/>
          </w:rPr>
          <m:t>γ</m:t>
        </m:r>
        <m:r>
          <w:rPr>
            <w:rFonts w:ascii="Cambria Math" w:hAnsi="Cambria Math" w:cs="Times New Roman"/>
            <w:lang w:val="en-US"/>
          </w:rPr>
          <m:t>=0</m:t>
        </m:r>
      </m:oMath>
      <w:r w:rsidRPr="00972E34">
        <w:rPr>
          <w:rFonts w:ascii="Times New Roman" w:hAnsi="Times New Roman" w:cs="Times New Roman"/>
          <w:lang w:val="en-US"/>
        </w:rPr>
        <w:t xml:space="preserve">and </w:t>
      </w:r>
      <m:oMath>
        <m:r>
          <w:rPr>
            <w:rFonts w:ascii="Cambria Math" w:hAnsi="Cambria Math" w:cs="Times New Roman" w:hint="eastAsia"/>
          </w:rPr>
          <m:t>δ</m:t>
        </m:r>
        <m:r>
          <w:rPr>
            <w:rFonts w:ascii="Cambria Math" w:hAnsi="Cambria Math" w:cs="Times New Roman"/>
            <w:lang w:val="en-US"/>
          </w:rPr>
          <m:t>=2</m:t>
        </m:r>
      </m:oMath>
      <w:r w:rsidRPr="00972E34">
        <w:rPr>
          <w:rFonts w:ascii="Times New Roman" w:hAnsi="Times New Roman" w:cs="Times New Roman"/>
          <w:lang w:val="en-US"/>
        </w:rPr>
        <w:t xml:space="preserve">, the process in Eq. (5) reduces to the </w:t>
      </w:r>
      <m:oMath>
        <m:r>
          <w:rPr>
            <w:rFonts w:ascii="Cambria Math" w:hAnsi="Cambria Math" w:cs="Times New Roman"/>
            <w:lang w:val="en-US"/>
          </w:rPr>
          <m:t>FIGARCH(1,d,1)</m:t>
        </m:r>
      </m:oMath>
      <w:r w:rsidRPr="00972E34">
        <w:rPr>
          <w:rFonts w:ascii="Times New Roman" w:hAnsi="Times New Roman" w:cs="Times New Roman"/>
          <w:lang w:val="en-US"/>
        </w:rPr>
        <w:t xml:space="preserve"> specification (see </w:t>
      </w:r>
      <w:r w:rsidRPr="001E56F3">
        <w:rPr>
          <w:rFonts w:ascii="Times New Roman" w:hAnsi="Times New Roman" w:cs="Times New Roman"/>
          <w:color w:val="00B0F0"/>
          <w:lang w:val="en-US"/>
        </w:rPr>
        <w:t>Baillie et al., 1996; Bollerslev and Mikkelsen, 1996</w:t>
      </w:r>
      <w:r w:rsidRPr="00972E34">
        <w:rPr>
          <w:rFonts w:ascii="Times New Roman" w:hAnsi="Times New Roman" w:cs="Times New Roman"/>
          <w:lang w:val="en-US"/>
        </w:rPr>
        <w:t xml:space="preserve">) which includes </w:t>
      </w:r>
      <w:r w:rsidRPr="001E56F3">
        <w:rPr>
          <w:rFonts w:ascii="Times New Roman" w:hAnsi="Times New Roman" w:cs="Times New Roman"/>
          <w:color w:val="00B0F0"/>
          <w:lang w:val="en-US"/>
        </w:rPr>
        <w:t>Bollerslev's (1986)</w:t>
      </w:r>
      <w:r w:rsidRPr="00972E34">
        <w:rPr>
          <w:rFonts w:ascii="Times New Roman" w:hAnsi="Times New Roman" w:cs="Times New Roman"/>
          <w:lang w:val="en-US"/>
        </w:rPr>
        <w:t xml:space="preserve"> GARCH model (when </w:t>
      </w:r>
      <m:oMath>
        <m:r>
          <w:rPr>
            <w:rFonts w:ascii="Cambria Math" w:hAnsi="Cambria Math" w:cs="Times New Roman"/>
            <w:lang w:val="en-US"/>
          </w:rPr>
          <m:t>d=0</m:t>
        </m:r>
      </m:oMath>
      <w:r w:rsidRPr="00972E34">
        <w:rPr>
          <w:rFonts w:ascii="Times New Roman" w:hAnsi="Times New Roman" w:cs="Times New Roman"/>
          <w:lang w:val="en-US"/>
        </w:rPr>
        <w:t xml:space="preserve">) and the IGARCH specification (when </w:t>
      </w:r>
      <m:oMath>
        <m:r>
          <w:rPr>
            <w:rFonts w:ascii="Cambria Math" w:hAnsi="Cambria Math" w:cs="Times New Roman"/>
            <w:lang w:val="en-US"/>
          </w:rPr>
          <m:t>d=1</m:t>
        </m:r>
      </m:oMath>
      <w:r w:rsidRPr="00972E34">
        <w:rPr>
          <w:rFonts w:ascii="Times New Roman" w:hAnsi="Times New Roman" w:cs="Times New Roman"/>
          <w:lang w:val="en-US"/>
        </w:rPr>
        <w:t>) as special cases.</w:t>
      </w:r>
    </w:p>
    <w:p w:rsidR="00A13D9C" w:rsidRPr="00972E34" w:rsidRDefault="00A13D9C" w:rsidP="00A13D9C">
      <w:pPr>
        <w:spacing w:after="0" w:line="240" w:lineRule="auto"/>
        <w:ind w:firstLine="340"/>
        <w:jc w:val="both"/>
        <w:rPr>
          <w:rFonts w:ascii="Times New Roman" w:hAnsi="Times New Roman" w:cs="Times New Roman"/>
          <w:highlight w:val="yellow"/>
          <w:lang w:val="en-US"/>
        </w:rPr>
      </w:pPr>
    </w:p>
    <w:p w:rsidR="00A13D9C" w:rsidRPr="0062679E" w:rsidRDefault="00A13D9C" w:rsidP="0062679E">
      <w:pPr>
        <w:pStyle w:val="Paragraphedeliste"/>
        <w:numPr>
          <w:ilvl w:val="1"/>
          <w:numId w:val="1"/>
        </w:numPr>
        <w:spacing w:after="0" w:line="240" w:lineRule="auto"/>
        <w:jc w:val="both"/>
        <w:rPr>
          <w:rFonts w:ascii="Times New Roman" w:hAnsi="Times New Roman" w:cs="Times New Roman"/>
          <w:b/>
          <w:bCs/>
          <w:sz w:val="24"/>
          <w:szCs w:val="24"/>
          <w:lang w:val="en-US"/>
        </w:rPr>
      </w:pPr>
      <w:r w:rsidRPr="0062679E">
        <w:rPr>
          <w:rFonts w:ascii="Times New Roman" w:hAnsi="Times New Roman" w:cs="Times New Roman"/>
          <w:b/>
          <w:bCs/>
          <w:sz w:val="24"/>
          <w:szCs w:val="24"/>
          <w:lang w:val="en-US"/>
        </w:rPr>
        <w:t>Multivariate FIAPARCH model with dynamic conditional correlations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ind w:firstLine="360"/>
        <w:jc w:val="both"/>
        <w:rPr>
          <w:rFonts w:asciiTheme="majorBidi" w:hAnsiTheme="majorBidi" w:cstheme="majorBidi"/>
          <w:lang w:val="en-US"/>
        </w:rPr>
      </w:pPr>
      <w:r w:rsidRPr="00972E34">
        <w:rPr>
          <w:rFonts w:asciiTheme="majorBidi" w:hAnsiTheme="majorBidi" w:cstheme="majorBidi"/>
          <w:lang w:val="en-US"/>
        </w:rPr>
        <w:t xml:space="preserve">In what follow, we introduce the multivariate FIAPARCH process (M-FIAPARCH) taking into account the dynamic conditional correlation (DCC) hypothesis (see </w:t>
      </w:r>
      <w:r w:rsidRPr="001E56F3">
        <w:rPr>
          <w:rFonts w:ascii="Times New Roman" w:hAnsi="Times New Roman" w:cs="Times New Roman"/>
          <w:color w:val="00B0F0"/>
          <w:lang w:val="en-US"/>
        </w:rPr>
        <w:t>Dimitriou et al., 2013</w:t>
      </w:r>
      <w:r w:rsidRPr="00972E34">
        <w:rPr>
          <w:rFonts w:asciiTheme="majorBidi" w:hAnsiTheme="majorBidi" w:cstheme="majorBidi"/>
          <w:lang w:val="en-US"/>
        </w:rPr>
        <w:t xml:space="preserve">) advanced by </w:t>
      </w:r>
      <w:r w:rsidRPr="001E56F3">
        <w:rPr>
          <w:rFonts w:ascii="Times New Roman" w:hAnsi="Times New Roman" w:cs="Times New Roman"/>
          <w:color w:val="00B0F0"/>
          <w:lang w:val="en-US"/>
        </w:rPr>
        <w:t>Engle (2002)</w:t>
      </w:r>
      <w:r w:rsidRPr="00972E34">
        <w:rPr>
          <w:rFonts w:asciiTheme="majorBidi" w:hAnsiTheme="majorBidi" w:cstheme="majorBidi"/>
          <w:lang w:val="en-US"/>
        </w:rPr>
        <w:t xml:space="preserve">. This approach generalizes the Multivariate Constant Conditional Correlation (CCC) FIAPARCH model of </w:t>
      </w:r>
      <w:r w:rsidRPr="001E56F3">
        <w:rPr>
          <w:rFonts w:ascii="Times New Roman" w:hAnsi="Times New Roman" w:cs="Times New Roman"/>
          <w:color w:val="00B0F0"/>
          <w:lang w:val="en-US"/>
        </w:rPr>
        <w:t>Conrad et al. (2011)</w:t>
      </w:r>
      <w:r w:rsidRPr="00972E34">
        <w:rPr>
          <w:rFonts w:asciiTheme="majorBidi" w:hAnsiTheme="majorBidi" w:cstheme="majorBidi"/>
          <w:lang w:val="en-US"/>
        </w:rPr>
        <w:t xml:space="preserve">. The multivariate DCC model of </w:t>
      </w:r>
      <w:r w:rsidRPr="001E56F3">
        <w:rPr>
          <w:rFonts w:ascii="Times New Roman" w:hAnsi="Times New Roman" w:cs="Times New Roman"/>
          <w:color w:val="00B0F0"/>
          <w:lang w:val="en-US"/>
        </w:rPr>
        <w:t>Engle (2002)</w:t>
      </w:r>
      <w:r w:rsidRPr="00972E34">
        <w:rPr>
          <w:rFonts w:asciiTheme="majorBidi" w:hAnsiTheme="majorBidi" w:cstheme="majorBidi"/>
          <w:lang w:val="en-US"/>
        </w:rPr>
        <w:t xml:space="preserve"> and </w:t>
      </w:r>
      <w:r w:rsidRPr="001E56F3">
        <w:rPr>
          <w:rFonts w:ascii="Times New Roman" w:hAnsi="Times New Roman" w:cs="Times New Roman"/>
          <w:color w:val="00B0F0"/>
          <w:lang w:val="en-US"/>
        </w:rPr>
        <w:t>Tse and Tsui (2002)</w:t>
      </w:r>
      <w:r w:rsidRPr="00972E34">
        <w:rPr>
          <w:rFonts w:asciiTheme="majorBidi" w:hAnsiTheme="majorBidi" w:cstheme="majorBidi"/>
          <w:lang w:val="en-US"/>
        </w:rPr>
        <w:t xml:space="preserve">involves two stages to estimate the conditional covariance matrix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oMath>
      <w:r w:rsidRPr="00972E34">
        <w:rPr>
          <w:rFonts w:asciiTheme="majorBidi" w:hAnsiTheme="majorBidi" w:cstheme="majorBidi"/>
          <w:lang w:val="en-US"/>
        </w:rPr>
        <w:t xml:space="preserve">. In the first stage, we fit a univariate FIAPARCH(1,d,1) model in order to obtain the estimations of </w:t>
      </w:r>
      <m:oMath>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iit</m:t>
                </m:r>
              </m:sub>
            </m:sSub>
          </m:e>
        </m:rad>
      </m:oMath>
      <w:r w:rsidRPr="00972E34">
        <w:rPr>
          <w:rFonts w:asciiTheme="majorBidi" w:hAnsiTheme="majorBidi" w:cstheme="majorBidi"/>
          <w:lang w:val="en-US"/>
        </w:rPr>
        <w:t>. The daily stock returns</w:t>
      </w:r>
      <w:r w:rsidR="009824AA">
        <w:rPr>
          <w:rFonts w:asciiTheme="majorBidi" w:hAnsiTheme="majorBidi" w:cstheme="majorBidi"/>
          <w:lang w:val="en-US"/>
        </w:rPr>
        <w:t xml:space="preserve"> and exchange rate</w:t>
      </w:r>
      <w:r w:rsidRPr="00972E34">
        <w:rPr>
          <w:rFonts w:asciiTheme="majorBidi" w:hAnsiTheme="majorBidi" w:cstheme="majorBidi"/>
          <w:lang w:val="en-US"/>
        </w:rPr>
        <w:t xml:space="preserve"> are assumed to be generated by a multivariateAR(1) process of the following form:</w:t>
      </w:r>
    </w:p>
    <w:p w:rsidR="00A13D9C" w:rsidRPr="00972E34" w:rsidRDefault="00A13D9C" w:rsidP="00A13D9C">
      <w:pPr>
        <w:spacing w:after="0" w:line="240" w:lineRule="auto"/>
        <w:ind w:firstLine="360"/>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ab/>
      </w:r>
      <m:oMath>
        <m:r>
          <w:rPr>
            <w:rFonts w:ascii="Cambria Math" w:hAnsi="Cambria Math" w:cstheme="majorBidi"/>
            <w:lang w:val="en-US"/>
          </w:rPr>
          <m:t>Z</m:t>
        </m:r>
        <m:d>
          <m:dPr>
            <m:ctrlPr>
              <w:rPr>
                <w:rFonts w:ascii="Cambria Math" w:hAnsi="Cambria Math" w:cstheme="majorBidi"/>
                <w:i/>
                <w:lang w:val="en-US"/>
              </w:rPr>
            </m:ctrlPr>
          </m:dPr>
          <m:e>
            <m:r>
              <w:rPr>
                <w:rFonts w:ascii="Cambria Math" w:hAnsi="Cambria Math" w:cstheme="majorBidi"/>
                <w:lang w:val="en-US"/>
              </w:rPr>
              <m:t>L</m:t>
            </m:r>
          </m:e>
        </m:d>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oMath>
      <w:r w:rsidRPr="00972E34">
        <w:rPr>
          <w:rFonts w:asciiTheme="majorBidi" w:hAnsiTheme="majorBidi" w:cstheme="majorBidi"/>
          <w:lang w:val="en-US"/>
        </w:rPr>
        <w:t>(6)</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where</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011760" w:rsidP="00A13D9C">
      <w:pPr>
        <w:pStyle w:val="Paragraphedeliste"/>
        <w:numPr>
          <w:ilvl w:val="0"/>
          <w:numId w:val="2"/>
        </w:numPr>
        <w:spacing w:after="0" w:line="240" w:lineRule="auto"/>
        <w:contextualSpacing w:val="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0,i</m:t>
                </m:r>
              </m:sub>
            </m:sSub>
            <m:r>
              <w:rPr>
                <w:rFonts w:ascii="Cambria Math" w:hAnsi="Cambria Math" w:cstheme="majorBidi"/>
                <w:lang w:val="en-US"/>
              </w:rPr>
              <m:t>]</m:t>
            </m:r>
          </m:e>
          <m:sub>
            <m:r>
              <w:rPr>
                <w:rFonts w:ascii="Cambria Math" w:hAnsi="Cambria Math" w:cstheme="majorBidi"/>
                <w:lang w:val="en-US"/>
              </w:rPr>
              <m:t>i=1,…,n</m:t>
            </m:r>
          </m:sub>
        </m:sSub>
      </m:oMath>
      <w:r w:rsidR="00A13D9C" w:rsidRPr="00972E34">
        <w:rPr>
          <w:rFonts w:asciiTheme="majorBidi" w:hAnsiTheme="majorBidi" w:cstheme="majorBidi"/>
          <w:lang w:val="en-US"/>
        </w:rPr>
        <w:t xml:space="preserve">: the </w:t>
      </w:r>
      <m:oMath>
        <m:r>
          <w:rPr>
            <w:rFonts w:ascii="Cambria Math" w:hAnsi="Cambria Math" w:cstheme="majorBidi"/>
            <w:lang w:val="en-US"/>
          </w:rPr>
          <m:t>N-</m:t>
        </m:r>
      </m:oMath>
      <w:r w:rsidR="00A13D9C" w:rsidRPr="00972E34">
        <w:rPr>
          <w:rFonts w:asciiTheme="majorBidi" w:hAnsiTheme="majorBidi" w:cstheme="majorBidi"/>
          <w:lang w:val="en-US"/>
        </w:rPr>
        <w:t>dimensional column vector of constants;</w:t>
      </w:r>
    </w:p>
    <w:p w:rsidR="00A13D9C" w:rsidRPr="00972E34" w:rsidRDefault="00011760" w:rsidP="00A13D9C">
      <w:pPr>
        <w:pStyle w:val="Paragraphedeliste"/>
        <w:numPr>
          <w:ilvl w:val="0"/>
          <w:numId w:val="2"/>
        </w:numPr>
        <w:spacing w:after="0" w:line="240" w:lineRule="auto"/>
        <w:contextualSpacing w:val="0"/>
        <w:jc w:val="both"/>
        <w:rPr>
          <w:rFonts w:asciiTheme="majorBidi" w:hAnsiTheme="majorBidi" w:cstheme="majorBidi"/>
          <w:lang w:val="en-US"/>
        </w:rPr>
      </w:pPr>
      <m:oMath>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0,i</m:t>
                </m:r>
              </m:sub>
            </m:sSub>
          </m:e>
        </m:d>
        <m:r>
          <w:rPr>
            <w:rFonts w:ascii="Cambria Math" w:hAnsi="Cambria Math" w:cstheme="majorBidi"/>
            <w:lang w:val="en-US"/>
          </w:rPr>
          <m:t>∈[0, ∞[</m:t>
        </m:r>
      </m:oMath>
      <w:r w:rsidR="00A13D9C" w:rsidRPr="00972E34">
        <w:rPr>
          <w:rFonts w:asciiTheme="majorBidi" w:hAnsiTheme="majorBidi" w:cstheme="majorBidi"/>
          <w:lang w:val="en-US"/>
        </w:rPr>
        <w:t>;</w:t>
      </w:r>
    </w:p>
    <w:p w:rsidR="00A13D9C" w:rsidRPr="00972E34" w:rsidRDefault="00A13D9C" w:rsidP="00A13D9C">
      <w:pPr>
        <w:pStyle w:val="Paragraphedeliste"/>
        <w:numPr>
          <w:ilvl w:val="0"/>
          <w:numId w:val="2"/>
        </w:numPr>
        <w:spacing w:after="0" w:line="240" w:lineRule="auto"/>
        <w:contextualSpacing w:val="0"/>
        <w:jc w:val="both"/>
        <w:rPr>
          <w:rFonts w:asciiTheme="majorBidi" w:hAnsiTheme="majorBidi" w:cstheme="majorBidi"/>
        </w:rPr>
      </w:pPr>
      <m:oMath>
        <m:r>
          <w:rPr>
            <w:rFonts w:ascii="Cambria Math" w:hAnsi="Cambria Math" w:cstheme="majorBidi"/>
            <w:lang w:val="en-US"/>
          </w:rPr>
          <m:t>Z</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=diag{ψ(L</m:t>
        </m:r>
        <m:r>
          <w:rPr>
            <w:rFonts w:ascii="Cambria Math" w:hAnsi="Cambria Math" w:cstheme="majorBidi"/>
          </w:rPr>
          <m:t>)}</m:t>
        </m:r>
      </m:oMath>
      <w:r w:rsidRPr="00972E34">
        <w:rPr>
          <w:rFonts w:asciiTheme="majorBidi" w:hAnsiTheme="majorBidi" w:cstheme="majorBidi"/>
        </w:rPr>
        <w:t xml:space="preserve">: an </w:t>
      </w:r>
      <m:oMath>
        <m:r>
          <w:rPr>
            <w:rFonts w:ascii="Cambria Math" w:hAnsi="Cambria Math" w:cstheme="majorBidi"/>
            <w:lang w:val="en-US"/>
          </w:rPr>
          <m:t>N</m:t>
        </m:r>
        <m:r>
          <w:rPr>
            <w:rFonts w:ascii="Cambria Math" w:hAnsi="Cambria Math" w:cstheme="majorBidi"/>
          </w:rPr>
          <m:t>×</m:t>
        </m:r>
        <m:r>
          <w:rPr>
            <w:rFonts w:ascii="Cambria Math" w:hAnsi="Cambria Math" w:cstheme="majorBidi"/>
            <w:lang w:val="en-US"/>
          </w:rPr>
          <m:t>N</m:t>
        </m:r>
      </m:oMath>
      <w:r w:rsidRPr="00972E34">
        <w:rPr>
          <w:rFonts w:asciiTheme="majorBidi" w:hAnsiTheme="majorBidi" w:cstheme="majorBidi"/>
        </w:rPr>
        <w:t xml:space="preserve"> diagonal matrix ;</w:t>
      </w:r>
    </w:p>
    <w:p w:rsidR="00A13D9C" w:rsidRPr="00972E34" w:rsidRDefault="00A13D9C" w:rsidP="00A13D9C">
      <w:pPr>
        <w:pStyle w:val="Paragraphedeliste"/>
        <w:numPr>
          <w:ilvl w:val="0"/>
          <w:numId w:val="2"/>
        </w:numPr>
        <w:spacing w:after="0" w:line="240" w:lineRule="auto"/>
        <w:contextualSpacing w:val="0"/>
        <w:jc w:val="both"/>
        <w:rPr>
          <w:rFonts w:asciiTheme="majorBidi" w:hAnsiTheme="majorBidi" w:cstheme="majorBidi"/>
        </w:rPr>
      </w:pPr>
      <m:oMath>
        <m:r>
          <w:rPr>
            <w:rFonts w:ascii="Cambria Math" w:hAnsi="Cambria Math" w:cstheme="majorBidi"/>
            <w:lang w:val="en-US"/>
          </w:rPr>
          <m:t>ψ</m:t>
        </m:r>
        <m:d>
          <m:dPr>
            <m:ctrlPr>
              <w:rPr>
                <w:rFonts w:ascii="Cambria Math" w:hAnsi="Cambria Math" w:cstheme="majorBidi"/>
                <w:i/>
              </w:rPr>
            </m:ctrlPr>
          </m:dPr>
          <m:e>
            <m:r>
              <w:rPr>
                <w:rFonts w:ascii="Cambria Math" w:hAnsi="Cambria Math" w:cstheme="majorBidi"/>
                <w:lang w:val="en-US"/>
              </w:rPr>
              <m:t>L</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lang w:val="en-US"/>
                  </w:rPr>
                  <m:t>ψ</m:t>
                </m:r>
              </m:e>
              <m:sub>
                <m:r>
                  <w:rPr>
                    <w:rFonts w:ascii="Cambria Math" w:hAnsi="Cambria Math" w:cstheme="majorBidi"/>
                  </w:rPr>
                  <m:t>i</m:t>
                </m:r>
              </m:sub>
            </m:sSub>
            <m:r>
              <w:rPr>
                <w:rFonts w:ascii="Cambria Math" w:hAnsi="Cambria Math" w:cstheme="majorBidi"/>
              </w:rPr>
              <m:t>L]</m:t>
            </m:r>
          </m:e>
          <m:sub>
            <m:r>
              <w:rPr>
                <w:rFonts w:ascii="Cambria Math" w:hAnsi="Cambria Math" w:cstheme="majorBidi"/>
              </w:rPr>
              <m:t>i=1,…,n</m:t>
            </m:r>
          </m:sub>
        </m:sSub>
        <m:r>
          <w:rPr>
            <w:rFonts w:ascii="Cambria Math" w:hAnsi="Cambria Math" w:cstheme="majorBidi"/>
          </w:rPr>
          <m:t> </m:t>
        </m:r>
      </m:oMath>
      <w:r w:rsidRPr="00972E34">
        <w:rPr>
          <w:rFonts w:asciiTheme="majorBidi" w:hAnsiTheme="majorBidi" w:cstheme="majorBidi"/>
        </w:rPr>
        <w:t>;</w:t>
      </w:r>
    </w:p>
    <w:p w:rsidR="00A13D9C" w:rsidRPr="00972E34" w:rsidRDefault="00011760" w:rsidP="00A13D9C">
      <w:pPr>
        <w:pStyle w:val="Paragraphedeliste"/>
        <w:numPr>
          <w:ilvl w:val="0"/>
          <w:numId w:val="2"/>
        </w:numPr>
        <w:spacing w:after="0" w:line="240" w:lineRule="auto"/>
        <w:contextualSpacing w:val="0"/>
        <w:jc w:val="both"/>
        <w:rPr>
          <w:rFonts w:asciiTheme="majorBidi" w:hAnsiTheme="majorBidi" w:cstheme="majorBidi"/>
        </w:rPr>
      </w:pPr>
      <m:oMath>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lang w:val="en-US"/>
                  </w:rPr>
                  <m:t>ψ</m:t>
                </m:r>
              </m:e>
              <m:sub>
                <m:r>
                  <w:rPr>
                    <w:rFonts w:ascii="Cambria Math" w:hAnsi="Cambria Math" w:cstheme="majorBidi"/>
                  </w:rPr>
                  <m:t>i</m:t>
                </m:r>
              </m:sub>
            </m:sSub>
          </m:e>
        </m:d>
        <m:r>
          <w:rPr>
            <w:rFonts w:ascii="Cambria Math" w:hAnsi="Cambria Math" w:cstheme="majorBidi"/>
          </w:rPr>
          <m:t>&lt;1 </m:t>
        </m:r>
      </m:oMath>
      <w:r w:rsidR="00A13D9C" w:rsidRPr="00972E34">
        <w:rPr>
          <w:rFonts w:asciiTheme="majorBidi" w:hAnsiTheme="majorBidi" w:cstheme="majorBidi"/>
        </w:rPr>
        <w:t>;</w:t>
      </w:r>
    </w:p>
    <w:p w:rsidR="00A13D9C" w:rsidRPr="00972E34" w:rsidRDefault="00011760" w:rsidP="00A13D9C">
      <w:pPr>
        <w:pStyle w:val="Paragraphedeliste"/>
        <w:numPr>
          <w:ilvl w:val="0"/>
          <w:numId w:val="2"/>
        </w:numPr>
        <w:spacing w:after="0" w:line="240" w:lineRule="auto"/>
        <w:contextualSpacing w:val="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i,t</m:t>
                </m:r>
              </m:sub>
            </m:sSub>
            <m:r>
              <w:rPr>
                <w:rFonts w:ascii="Cambria Math" w:hAnsi="Cambria Math" w:cstheme="majorBidi"/>
                <w:lang w:val="en-US"/>
              </w:rPr>
              <m:t>]</m:t>
            </m:r>
          </m:e>
          <m:sub>
            <m:r>
              <w:rPr>
                <w:rFonts w:ascii="Cambria Math" w:hAnsi="Cambria Math" w:cstheme="majorBidi"/>
                <w:lang w:val="en-US"/>
              </w:rPr>
              <m:t>i=1,…,N</m:t>
            </m:r>
          </m:sub>
        </m:sSub>
      </m:oMath>
      <w:r w:rsidR="00A13D9C" w:rsidRPr="00972E34">
        <w:rPr>
          <w:rFonts w:asciiTheme="majorBidi" w:hAnsiTheme="majorBidi" w:cstheme="majorBidi"/>
          <w:lang w:val="en-US"/>
        </w:rPr>
        <w:t xml:space="preserve">: the </w:t>
      </w:r>
      <m:oMath>
        <m:r>
          <w:rPr>
            <w:rFonts w:ascii="Cambria Math" w:hAnsi="Cambria Math" w:cstheme="majorBidi"/>
            <w:lang w:val="en-US"/>
          </w:rPr>
          <m:t>N-</m:t>
        </m:r>
      </m:oMath>
      <w:r w:rsidR="00A13D9C" w:rsidRPr="00972E34">
        <w:rPr>
          <w:rFonts w:asciiTheme="majorBidi" w:hAnsiTheme="majorBidi" w:cstheme="majorBidi"/>
          <w:lang w:val="en-US"/>
        </w:rPr>
        <w:t>dimensional column vector of returns;</w:t>
      </w:r>
    </w:p>
    <w:p w:rsidR="00A13D9C" w:rsidRPr="00972E34" w:rsidRDefault="00011760" w:rsidP="00A13D9C">
      <w:pPr>
        <w:pStyle w:val="Paragraphedeliste"/>
        <w:numPr>
          <w:ilvl w:val="0"/>
          <w:numId w:val="2"/>
        </w:numPr>
        <w:spacing w:after="0" w:line="240" w:lineRule="auto"/>
        <w:contextualSpacing w:val="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i,t</m:t>
                </m:r>
              </m:sub>
            </m:sSub>
            <m:r>
              <w:rPr>
                <w:rFonts w:ascii="Cambria Math" w:hAnsi="Cambria Math" w:cstheme="majorBidi"/>
                <w:lang w:val="en-US"/>
              </w:rPr>
              <m:t>]</m:t>
            </m:r>
          </m:e>
          <m:sub>
            <m:r>
              <w:rPr>
                <w:rFonts w:ascii="Cambria Math" w:hAnsi="Cambria Math" w:cstheme="majorBidi"/>
                <w:lang w:val="en-US"/>
              </w:rPr>
              <m:t>i=1,…,N</m:t>
            </m:r>
          </m:sub>
        </m:sSub>
      </m:oMath>
      <w:r w:rsidR="00A13D9C" w:rsidRPr="00972E34">
        <w:rPr>
          <w:rFonts w:asciiTheme="majorBidi" w:hAnsiTheme="majorBidi" w:cstheme="majorBidi"/>
          <w:lang w:val="en-US"/>
        </w:rPr>
        <w:t>: the</w:t>
      </w:r>
      <m:oMath>
        <m:r>
          <w:rPr>
            <w:rFonts w:ascii="Cambria Math" w:hAnsi="Cambria Math" w:cstheme="majorBidi"/>
            <w:lang w:val="en-US"/>
          </w:rPr>
          <m:t>N-</m:t>
        </m:r>
      </m:oMath>
      <w:r w:rsidR="00A13D9C" w:rsidRPr="00972E34">
        <w:rPr>
          <w:rFonts w:asciiTheme="majorBidi" w:hAnsiTheme="majorBidi" w:cstheme="majorBidi"/>
          <w:lang w:val="en-US"/>
        </w:rPr>
        <w:t>dimensional column vector of residuals.</w:t>
      </w:r>
    </w:p>
    <w:p w:rsidR="00A13D9C" w:rsidRPr="00972E34" w:rsidRDefault="00A13D9C" w:rsidP="00A13D9C">
      <w:pPr>
        <w:spacing w:after="0" w:line="240" w:lineRule="auto"/>
        <w:jc w:val="both"/>
        <w:rPr>
          <w:rFonts w:asciiTheme="majorBidi" w:hAnsiTheme="majorBidi" w:cstheme="majorBidi"/>
          <w:lang w:val="en-US"/>
        </w:rPr>
      </w:pPr>
    </w:p>
    <w:p w:rsidR="00A13D9C"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The residual vector is given by</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ab/>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sSup>
          <m:sSupPr>
            <m:ctrlPr>
              <w:rPr>
                <w:rFonts w:ascii="Cambria Math" w:hAnsi="Cambria Math" w:cstheme="majorBidi"/>
                <w:i/>
                <w:lang w:val="en-US"/>
              </w:rPr>
            </m:ctrlPr>
          </m:sSupPr>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e>
          <m:sup>
            <m:r>
              <w:rPr>
                <w:rFonts w:ascii="Cambria Math" w:hAnsi="Cambria Math" w:cstheme="majorBidi"/>
                <w:lang w:val="en-US"/>
              </w:rPr>
              <m:t>⋀1/2</m:t>
            </m:r>
          </m:sup>
        </m:sSup>
      </m:oMath>
      <w:r w:rsidRPr="00972E34">
        <w:rPr>
          <w:rFonts w:asciiTheme="majorBidi" w:hAnsiTheme="majorBidi" w:cstheme="majorBidi"/>
          <w:lang w:val="en-US"/>
        </w:rPr>
        <w:t>(7)</w:t>
      </w:r>
    </w:p>
    <w:p w:rsidR="00A13D9C" w:rsidRPr="00972E34" w:rsidRDefault="00A13D9C" w:rsidP="00A13D9C">
      <w:pPr>
        <w:spacing w:after="0" w:line="240" w:lineRule="auto"/>
        <w:ind w:firstLine="357"/>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where</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A13D9C" w:rsidP="00A13D9C">
      <w:pPr>
        <w:pStyle w:val="Paragraphedeliste"/>
        <w:numPr>
          <w:ilvl w:val="0"/>
          <w:numId w:val="2"/>
        </w:numPr>
        <w:spacing w:after="0" w:line="240" w:lineRule="auto"/>
        <w:contextualSpacing w:val="0"/>
        <w:jc w:val="both"/>
        <w:rPr>
          <w:rFonts w:asciiTheme="majorBidi" w:hAnsiTheme="majorBidi" w:cstheme="majorBidi"/>
          <w:lang w:val="en-US"/>
        </w:rPr>
      </w:pPr>
      <m:oMath>
        <m:r>
          <w:rPr>
            <w:rFonts w:ascii="Cambria Math" w:hAnsi="Cambria Math" w:cstheme="majorBidi"/>
            <w:lang w:val="en-US"/>
          </w:rPr>
          <m:t>⨀</m:t>
        </m:r>
      </m:oMath>
      <w:r w:rsidRPr="00972E34">
        <w:rPr>
          <w:rFonts w:asciiTheme="majorBidi" w:hAnsiTheme="majorBidi" w:cstheme="majorBidi"/>
          <w:lang w:val="en-US"/>
        </w:rPr>
        <w:t>: the Hadamard product;</w:t>
      </w:r>
    </w:p>
    <w:p w:rsidR="00A13D9C" w:rsidRPr="00972E34" w:rsidRDefault="00A13D9C" w:rsidP="00A13D9C">
      <w:pPr>
        <w:pStyle w:val="Paragraphedeliste"/>
        <w:numPr>
          <w:ilvl w:val="0"/>
          <w:numId w:val="2"/>
        </w:numPr>
        <w:spacing w:after="0" w:line="240" w:lineRule="auto"/>
        <w:contextualSpacing w:val="0"/>
        <w:jc w:val="both"/>
        <w:rPr>
          <w:rFonts w:asciiTheme="majorBidi" w:hAnsiTheme="majorBidi" w:cstheme="majorBidi"/>
          <w:lang w:val="en-US"/>
        </w:rPr>
      </w:pPr>
      <m:oMath>
        <m:r>
          <w:rPr>
            <w:rFonts w:ascii="Cambria Math" w:hAnsi="Cambria Math" w:cstheme="majorBidi"/>
            <w:lang w:val="en-US"/>
          </w:rPr>
          <m:t>⋀</m:t>
        </m:r>
      </m:oMath>
      <w:r w:rsidRPr="00972E34">
        <w:rPr>
          <w:rFonts w:asciiTheme="majorBidi" w:hAnsiTheme="majorBidi" w:cstheme="majorBidi"/>
          <w:lang w:val="en-US"/>
        </w:rPr>
        <w:t>: the elementwise exponentiation.</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011760" w:rsidP="00A13D9C">
      <w:pPr>
        <w:spacing w:after="0" w:line="240" w:lineRule="auto"/>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it</m:t>
                </m:r>
              </m:sub>
            </m:sSub>
            <m:r>
              <w:rPr>
                <w:rFonts w:ascii="Cambria Math" w:hAnsi="Cambria Math" w:cstheme="majorBidi"/>
                <w:lang w:val="en-US"/>
              </w:rPr>
              <m:t>]</m:t>
            </m:r>
          </m:e>
          <m:sub>
            <m:r>
              <w:rPr>
                <w:rFonts w:ascii="Cambria Math" w:hAnsi="Cambria Math" w:cstheme="majorBidi"/>
                <w:lang w:val="en-US"/>
              </w:rPr>
              <m:t>i=1,…,N</m:t>
            </m:r>
          </m:sub>
        </m:sSub>
      </m:oMath>
      <w:r w:rsidR="00A13D9C" w:rsidRPr="00972E34">
        <w:rPr>
          <w:rFonts w:asciiTheme="majorBidi" w:hAnsiTheme="majorBidi" w:cstheme="majorBidi"/>
          <w:lang w:val="en-US"/>
        </w:rPr>
        <w:t>is</w:t>
      </w:r>
      <m:oMath>
        <m:sSub>
          <m:sSubPr>
            <m:ctrlPr>
              <w:rPr>
                <w:rFonts w:ascii="Cambria Math" w:hAnsi="Cambria Math" w:cstheme="majorBidi"/>
                <w:i/>
                <w:lang w:val="en-US"/>
              </w:rPr>
            </m:ctrlPr>
          </m:sSubPr>
          <m:e>
            <m:r>
              <m:rPr>
                <m:sty m:val="p"/>
              </m:rPr>
              <w:rPr>
                <w:rFonts w:ascii="Cambria Math" w:hAnsi="Cambria Math" w:cstheme="majorBidi"/>
                <w:lang w:val="en-US"/>
              </w:rPr>
              <m:t>Σ</m:t>
            </m:r>
          </m:e>
          <m:sub>
            <m:r>
              <w:rPr>
                <w:rFonts w:ascii="Cambria Math" w:hAnsi="Cambria Math" w:cstheme="majorBidi"/>
                <w:lang w:val="en-US"/>
              </w:rPr>
              <m:t>t-1</m:t>
            </m:r>
          </m:sub>
        </m:sSub>
      </m:oMath>
      <w:r w:rsidR="00A13D9C" w:rsidRPr="00972E34">
        <w:rPr>
          <w:rFonts w:asciiTheme="majorBidi" w:hAnsiTheme="majorBidi" w:cstheme="majorBidi"/>
          <w:lang w:val="en-US"/>
        </w:rPr>
        <w:t xml:space="preserve"> measurable and the stochastic vector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it</m:t>
                </m:r>
              </m:sub>
            </m:sSub>
            <m:r>
              <w:rPr>
                <w:rFonts w:ascii="Cambria Math" w:hAnsi="Cambria Math" w:cstheme="majorBidi"/>
                <w:lang w:val="en-US"/>
              </w:rPr>
              <m:t>]</m:t>
            </m:r>
          </m:e>
          <m:sub>
            <m:r>
              <w:rPr>
                <w:rFonts w:ascii="Cambria Math" w:hAnsi="Cambria Math" w:cstheme="majorBidi"/>
                <w:lang w:val="en-US"/>
              </w:rPr>
              <m:t>i=1,…,N</m:t>
            </m:r>
          </m:sub>
        </m:sSub>
      </m:oMath>
      <w:r w:rsidR="00A13D9C" w:rsidRPr="00972E34">
        <w:rPr>
          <w:rFonts w:asciiTheme="majorBidi" w:hAnsiTheme="majorBidi" w:cstheme="majorBidi"/>
          <w:lang w:val="en-US"/>
        </w:rPr>
        <w:t xml:space="preserve"> is independent and identically distributed with mean zero and positive definite covariance matrix </w:t>
      </w:r>
      <m:oMath>
        <m:r>
          <w:rPr>
            <w:rFonts w:ascii="Cambria Math" w:hAnsi="Cambria Math" w:cstheme="majorBidi"/>
            <w:lang w:val="en-US"/>
          </w:rPr>
          <m:t>ρ=</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m:t>
                </m:r>
              </m:sub>
            </m:sSub>
            <m:r>
              <w:rPr>
                <w:rFonts w:ascii="Cambria Math" w:hAnsi="Cambria Math" w:cstheme="majorBidi"/>
                <w:lang w:val="en-US"/>
              </w:rPr>
              <m:t>]</m:t>
            </m:r>
          </m:e>
          <m:sub>
            <m:r>
              <w:rPr>
                <w:rFonts w:ascii="Cambria Math" w:hAnsi="Cambria Math" w:cstheme="majorBidi"/>
                <w:lang w:val="en-US"/>
              </w:rPr>
              <m:t>i,j=1,…,N</m:t>
            </m:r>
          </m:sub>
        </m:sSub>
      </m:oMath>
      <w:r w:rsidR="00A13D9C" w:rsidRPr="00972E34">
        <w:rPr>
          <w:rFonts w:asciiTheme="majorBidi" w:hAnsiTheme="majorBidi" w:cstheme="majorBidi"/>
          <w:lang w:val="en-US"/>
        </w:rPr>
        <w:t xml:space="preserve"> with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m:t>
            </m:r>
          </m:sub>
        </m:sSub>
        <m:r>
          <w:rPr>
            <w:rFonts w:ascii="Cambria Math" w:hAnsi="Cambria Math" w:cstheme="majorBidi"/>
            <w:lang w:val="en-US"/>
          </w:rPr>
          <m:t>=1</m:t>
        </m:r>
      </m:oMath>
      <w:r w:rsidR="00A13D9C" w:rsidRPr="00972E34">
        <w:rPr>
          <w:rFonts w:asciiTheme="majorBidi" w:hAnsiTheme="majorBidi" w:cstheme="majorBidi"/>
          <w:lang w:val="en-US"/>
        </w:rPr>
        <w:t xml:space="preserve"> for </w:t>
      </w:r>
      <m:oMath>
        <m:r>
          <w:rPr>
            <w:rFonts w:ascii="Cambria Math" w:hAnsi="Cambria Math" w:cstheme="majorBidi"/>
            <w:lang w:val="en-US"/>
          </w:rPr>
          <m:t>i=j</m:t>
        </m:r>
      </m:oMath>
      <w:r w:rsidR="00A13D9C" w:rsidRPr="00972E34">
        <w:rPr>
          <w:rFonts w:asciiTheme="majorBidi" w:hAnsiTheme="majorBidi" w:cstheme="majorBidi"/>
          <w:lang w:val="en-US"/>
        </w:rPr>
        <w:t xml:space="preserve">.Note that </w:t>
      </w:r>
      <m:oMath>
        <m:r>
          <w:rPr>
            <w:rFonts w:ascii="Cambria Math" w:hAnsi="Cambria Math" w:cstheme="majorBidi"/>
            <w:lang w:val="en-US"/>
          </w:rPr>
          <m:t>E</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bCs/>
                    <w:i/>
                    <w:lang w:val="en-US"/>
                  </w:rPr>
                </m:ctrlPr>
              </m:sSubPr>
              <m:e>
                <m:r>
                  <m:rPr>
                    <m:scr m:val="script"/>
                  </m:rPr>
                  <w:rPr>
                    <w:rFonts w:ascii="Cambria Math" w:hAnsi="Cambria Math" w:cstheme="majorBidi"/>
                    <w:lang w:val="en-US"/>
                  </w:rPr>
                  <m:t>F</m:t>
                </m:r>
              </m:e>
              <m:sub>
                <m:r>
                  <w:rPr>
                    <w:rFonts w:ascii="Cambria Math" w:hAnsi="Cambria Math" w:cstheme="majorBidi"/>
                    <w:lang w:val="en-US"/>
                  </w:rPr>
                  <m:t>t-1</m:t>
                </m:r>
              </m:sub>
            </m:sSub>
          </m:e>
        </m:d>
        <m:r>
          <w:rPr>
            <w:rFonts w:ascii="Cambria Math" w:hAnsi="Cambria Math" w:cstheme="majorBidi"/>
            <w:lang w:val="en-US"/>
          </w:rPr>
          <m:t>=0</m:t>
        </m:r>
      </m:oMath>
      <w:r w:rsidR="00A13D9C" w:rsidRPr="00972E34">
        <w:rPr>
          <w:rFonts w:asciiTheme="majorBidi" w:hAnsiTheme="majorBidi" w:cstheme="majorBidi"/>
          <w:lang w:val="en-US"/>
        </w:rPr>
        <w:t xml:space="preserve">and </w:t>
      </w:r>
      <m:oMath>
        <m:sSub>
          <m:sSubPr>
            <m:ctrlPr>
              <w:rPr>
                <w:rFonts w:ascii="Cambria Math" w:hAnsi="Cambria Math" w:cstheme="majorBidi"/>
                <w:bCs/>
                <w: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=E</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sSubSup>
              <m:sSubSupPr>
                <m:ctrlPr>
                  <w:rPr>
                    <w:rFonts w:ascii="Cambria Math" w:hAnsi="Cambria Math" w:cstheme="majorBidi"/>
                    <w:i/>
                    <w:lang w:val="en-US"/>
                  </w:rPr>
                </m:ctrlPr>
              </m:sSubSupPr>
              <m:e>
                <m:r>
                  <w:rPr>
                    <w:rFonts w:ascii="Cambria Math" w:hAnsi="Cambria Math" w:cstheme="majorBidi"/>
                    <w:lang w:val="en-US"/>
                  </w:rPr>
                  <m:t>ε</m:t>
                </m:r>
              </m:e>
              <m:sub>
                <m:r>
                  <w:rPr>
                    <w:rFonts w:ascii="Cambria Math" w:hAnsi="Cambria Math" w:cstheme="majorBidi"/>
                    <w:lang w:val="en-US"/>
                  </w:rPr>
                  <m:t>t</m:t>
                </m:r>
              </m:sub>
              <m:sup>
                <m:r>
                  <w:rPr>
                    <w:rFonts w:ascii="Cambria Math" w:hAnsi="Cambria Math" w:cstheme="majorBidi"/>
                    <w:lang w:val="en-US"/>
                  </w:rPr>
                  <m:t>'</m:t>
                </m:r>
              </m:sup>
            </m:sSubSup>
            <m:r>
              <w:rPr>
                <w:rFonts w:ascii="Cambria Math" w:hAnsi="Cambria Math" w:cstheme="majorBidi"/>
                <w:lang w:val="en-US"/>
              </w:rPr>
              <m:t>/</m:t>
            </m:r>
            <m:sSub>
              <m:sSubPr>
                <m:ctrlPr>
                  <w:rPr>
                    <w:rFonts w:ascii="Cambria Math" w:hAnsi="Cambria Math" w:cstheme="majorBidi"/>
                    <w:bCs/>
                    <w:i/>
                    <w:lang w:val="en-US"/>
                  </w:rPr>
                </m:ctrlPr>
              </m:sSubPr>
              <m:e>
                <m:r>
                  <m:rPr>
                    <m:scr m:val="script"/>
                  </m:rPr>
                  <w:rPr>
                    <w:rFonts w:ascii="Cambria Math" w:hAnsi="Cambria Math" w:cstheme="majorBidi"/>
                    <w:lang w:val="en-US"/>
                  </w:rPr>
                  <m:t>F</m:t>
                </m:r>
              </m:e>
              <m:sub>
                <m:r>
                  <w:rPr>
                    <w:rFonts w:ascii="Cambria Math" w:hAnsi="Cambria Math" w:cstheme="majorBidi"/>
                    <w:lang w:val="en-US"/>
                  </w:rPr>
                  <m:t>t-1</m:t>
                </m:r>
              </m:sub>
            </m:sSub>
          </m:e>
        </m:d>
        <m:r>
          <w:rPr>
            <w:rFonts w:ascii="Cambria Math" w:hAnsi="Cambria Math" w:cstheme="majorBidi"/>
            <w:lang w:val="en-US"/>
          </w:rPr>
          <m:t>=diag(</m:t>
        </m:r>
        <m:sSubSup>
          <m:sSubSupPr>
            <m:ctrlPr>
              <w:rPr>
                <w:rFonts w:ascii="Cambria Math" w:hAnsi="Cambria Math" w:cstheme="majorBidi"/>
                <w:i/>
                <w:lang w:val="en-US"/>
              </w:rPr>
            </m:ctrlPr>
          </m:sSubSupPr>
          <m:e>
            <m:r>
              <w:rPr>
                <w:rFonts w:ascii="Cambria Math" w:hAnsi="Cambria Math" w:cstheme="majorBidi"/>
                <w:lang w:val="en-US"/>
              </w:rPr>
              <m:t>h</m:t>
            </m:r>
          </m:e>
          <m:sub>
            <m:r>
              <w:rPr>
                <w:rFonts w:ascii="Cambria Math" w:hAnsi="Cambria Math" w:cstheme="majorBidi"/>
                <w:lang w:val="en-US"/>
              </w:rPr>
              <m:t>t</m:t>
            </m:r>
          </m:sub>
          <m:sup>
            <m:r>
              <w:rPr>
                <w:rFonts w:ascii="Cambria Math" w:hAnsi="Cambria Math" w:cstheme="majorBidi"/>
                <w:lang w:val="en-US"/>
              </w:rPr>
              <m:t>⋀1/2</m:t>
            </m:r>
          </m:sup>
        </m:sSubSup>
        <m:r>
          <w:rPr>
            <w:rFonts w:ascii="Cambria Math" w:hAnsi="Cambria Math" w:cstheme="majorBidi"/>
            <w:lang w:val="en-US"/>
          </w:rPr>
          <m:t>) ρ diag(</m:t>
        </m:r>
        <m:sSubSup>
          <m:sSubSupPr>
            <m:ctrlPr>
              <w:rPr>
                <w:rFonts w:ascii="Cambria Math" w:hAnsi="Cambria Math" w:cstheme="majorBidi"/>
                <w:i/>
                <w:lang w:val="en-US"/>
              </w:rPr>
            </m:ctrlPr>
          </m:sSubSupPr>
          <m:e>
            <m:r>
              <w:rPr>
                <w:rFonts w:ascii="Cambria Math" w:hAnsi="Cambria Math" w:cstheme="majorBidi"/>
                <w:lang w:val="en-US"/>
              </w:rPr>
              <m:t>h</m:t>
            </m:r>
          </m:e>
          <m:sub>
            <m:r>
              <w:rPr>
                <w:rFonts w:ascii="Cambria Math" w:hAnsi="Cambria Math" w:cstheme="majorBidi"/>
                <w:lang w:val="en-US"/>
              </w:rPr>
              <m:t>t</m:t>
            </m:r>
          </m:sub>
          <m:sup>
            <m:r>
              <w:rPr>
                <w:rFonts w:ascii="Cambria Math" w:hAnsi="Cambria Math" w:cstheme="majorBidi"/>
                <w:lang w:val="en-US"/>
              </w:rPr>
              <m:t>⋀1/2</m:t>
            </m:r>
          </m:sup>
        </m:sSubSup>
        <m:r>
          <w:rPr>
            <w:rFonts w:ascii="Cambria Math" w:hAnsi="Cambria Math" w:cstheme="majorBidi"/>
            <w:lang w:val="en-US"/>
          </w:rPr>
          <m:t>)</m:t>
        </m:r>
      </m:oMath>
      <w:r w:rsidR="00A13D9C" w:rsidRPr="00972E34">
        <w:rPr>
          <w:rFonts w:asciiTheme="majorBidi" w:hAnsiTheme="majorBidi"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oMath>
      <w:r w:rsidR="00A13D9C" w:rsidRPr="00972E34">
        <w:rPr>
          <w:rFonts w:asciiTheme="majorBidi" w:hAnsiTheme="majorBidi" w:cstheme="majorBidi"/>
          <w:lang w:val="en-US"/>
        </w:rPr>
        <w:t xml:space="preserve">is the vector of conditional variances and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i,j,t</m:t>
            </m:r>
          </m:sub>
        </m:sSub>
        <m:r>
          <w:rPr>
            <w:rFonts w:ascii="Cambria Math" w:hAnsi="Cambria Math" w:cstheme="majorBidi"/>
            <w:lang w:val="en-US"/>
          </w:rPr>
          <m:t>/</m:t>
        </m:r>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i,t</m:t>
                </m:r>
              </m:sub>
            </m:sSub>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j,t</m:t>
                </m:r>
              </m:sub>
            </m:sSub>
          </m:e>
        </m:rad>
        <m:r>
          <w:rPr>
            <w:rFonts w:ascii="Cambria Math" w:hAnsi="Cambria Math" w:cstheme="majorBidi"/>
            <w:lang w:val="en-US"/>
          </w:rPr>
          <m:t>∀ i,j=1,…,N</m:t>
        </m:r>
      </m:oMath>
      <w:r w:rsidR="00A13D9C" w:rsidRPr="00972E34">
        <w:rPr>
          <w:rFonts w:asciiTheme="majorBidi" w:hAnsiTheme="majorBidi" w:cstheme="majorBidi"/>
          <w:lang w:val="en-US"/>
        </w:rPr>
        <w:t xml:space="preserve"> are the dynamic conditional correlations.</w:t>
      </w:r>
    </w:p>
    <w:p w:rsidR="00A13D9C" w:rsidRDefault="00A13D9C" w:rsidP="00EA6695">
      <w:pPr>
        <w:spacing w:after="0" w:line="240" w:lineRule="auto"/>
        <w:jc w:val="both"/>
        <w:rPr>
          <w:rFonts w:asciiTheme="majorBidi" w:hAnsiTheme="majorBidi" w:cstheme="majorBidi"/>
          <w:lang w:val="en-US"/>
        </w:rPr>
      </w:pPr>
      <w:r w:rsidRPr="00972E34">
        <w:rPr>
          <w:rFonts w:asciiTheme="majorBidi" w:hAnsiTheme="majorBidi" w:cstheme="majorBidi"/>
          <w:lang w:val="en-US"/>
        </w:rPr>
        <w:t xml:space="preserve">The multivariate </w:t>
      </w:r>
      <w:r w:rsidRPr="00AC7A72">
        <w:rPr>
          <w:rFonts w:asciiTheme="majorBidi" w:hAnsiTheme="majorBidi" w:cstheme="majorBidi"/>
          <w:lang w:val="en-US"/>
        </w:rPr>
        <w:t>FIAPARCH(1,d,1)</w:t>
      </w:r>
      <w:r w:rsidRPr="00972E34">
        <w:rPr>
          <w:rFonts w:asciiTheme="majorBidi" w:hAnsiTheme="majorBidi" w:cstheme="majorBidi"/>
          <w:lang w:val="en-US"/>
        </w:rPr>
        <w:t xml:space="preserve"> is given by</w:t>
      </w:r>
    </w:p>
    <w:p w:rsidR="00341063" w:rsidRPr="00972E34" w:rsidRDefault="00341063" w:rsidP="00EA6695">
      <w:pPr>
        <w:spacing w:after="0" w:line="240" w:lineRule="auto"/>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ab/>
      </w:r>
      <m:oMath>
        <m:r>
          <w:rPr>
            <w:rFonts w:ascii="Cambria Math" w:hAnsi="Cambria Math" w:cstheme="majorBidi"/>
            <w:lang w:val="en-US"/>
          </w:rPr>
          <m:t>B</m:t>
        </m:r>
        <m:d>
          <m:dPr>
            <m:ctrlPr>
              <w:rPr>
                <w:rFonts w:ascii="Cambria Math" w:hAnsi="Cambria Math" w:cstheme="majorBidi"/>
                <w:i/>
                <w:lang w:val="en-US"/>
              </w:rPr>
            </m:ctrlPr>
          </m:dPr>
          <m:e>
            <m:r>
              <w:rPr>
                <w:rFonts w:ascii="Cambria Math" w:hAnsi="Cambria Math" w:cstheme="majorBidi"/>
                <w:lang w:val="en-US"/>
              </w:rPr>
              <m:t>L</m:t>
            </m:r>
          </m:e>
        </m:d>
        <m:d>
          <m:dPr>
            <m:ctrlPr>
              <w:rPr>
                <w:rFonts w:ascii="Cambria Math" w:hAnsi="Cambria Math" w:cstheme="majorBidi"/>
                <w:i/>
                <w:lang w:val="en-US"/>
              </w:rPr>
            </m:ctrlPr>
          </m:dPr>
          <m:e>
            <m:sSubSup>
              <m:sSubSupPr>
                <m:ctrlPr>
                  <w:rPr>
                    <w:rFonts w:ascii="Cambria Math" w:hAnsi="Cambria Math" w:cstheme="majorBidi"/>
                    <w:i/>
                    <w:lang w:val="en-US"/>
                  </w:rPr>
                </m:ctrlPr>
              </m:sSubSupPr>
              <m:e>
                <m:r>
                  <w:rPr>
                    <w:rFonts w:ascii="Cambria Math" w:hAnsi="Cambria Math" w:cstheme="majorBidi"/>
                    <w:lang w:val="en-US"/>
                  </w:rPr>
                  <m:t>h</m:t>
                </m:r>
              </m:e>
              <m:sub>
                <m:r>
                  <w:rPr>
                    <w:rFonts w:ascii="Cambria Math" w:hAnsi="Cambria Math" w:cstheme="majorBidi"/>
                    <w:lang w:val="en-US"/>
                  </w:rPr>
                  <m:t>t</m:t>
                </m:r>
              </m:sub>
              <m:sup>
                <m:r>
                  <w:rPr>
                    <w:rFonts w:ascii="Cambria Math" w:hAnsi="Cambria Math" w:cstheme="majorBidi"/>
                    <w:lang w:val="en-US"/>
                  </w:rPr>
                  <m:t>⋀δ/2</m:t>
                </m:r>
              </m:sup>
            </m:sSubSup>
            <m:r>
              <w:rPr>
                <w:rFonts w:ascii="Cambria Math" w:hAnsi="Cambria Math" w:cstheme="majorBidi"/>
                <w:lang w:val="en-US"/>
              </w:rPr>
              <m:t>-ω</m:t>
            </m:r>
          </m:e>
        </m:d>
        <m:r>
          <w:rPr>
            <w:rFonts w:ascii="Cambria Math" w:hAnsi="Cambria Math" w:cstheme="majorBidi"/>
            <w:lang w:val="en-US"/>
          </w:rPr>
          <m:t>=</m:t>
        </m:r>
        <m:d>
          <m:dPr>
            <m:begChr m:val="["/>
            <m:endChr m:val="]"/>
            <m:ctrlPr>
              <w:rPr>
                <w:rFonts w:ascii="Cambria Math" w:hAnsi="Cambria Math" w:cstheme="majorBidi"/>
                <w:i/>
                <w:lang w:val="en-US"/>
              </w:rPr>
            </m:ctrlPr>
          </m:dPr>
          <m:e>
            <m:r>
              <w:rPr>
                <w:rFonts w:ascii="Cambria Math" w:hAnsi="Cambria Math" w:cstheme="majorBidi"/>
                <w:lang w:val="en-US"/>
              </w:rPr>
              <m:t>B</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m:t>
            </m:r>
            <m:r>
              <m:rPr>
                <m:sty m:val="p"/>
              </m:rPr>
              <w:rPr>
                <w:rFonts w:ascii="Cambria Math" w:hAnsi="Cambria Math" w:cstheme="majorBidi"/>
                <w:lang w:val="en-US"/>
              </w:rPr>
              <m:t>Δ</m:t>
            </m:r>
            <m:d>
              <m:dPr>
                <m:ctrlPr>
                  <w:rPr>
                    <w:rFonts w:ascii="Cambria Math" w:hAnsi="Cambria Math" w:cstheme="majorBidi"/>
                    <w:i/>
                    <w:lang w:val="en-US"/>
                  </w:rPr>
                </m:ctrlPr>
              </m:dPr>
              <m:e>
                <m:r>
                  <w:rPr>
                    <w:rFonts w:ascii="Cambria Math" w:hAnsi="Cambria Math" w:cstheme="majorBidi"/>
                    <w:lang w:val="en-US"/>
                  </w:rPr>
                  <m:t>L</m:t>
                </m:r>
              </m:e>
            </m:d>
            <m:r>
              <m:rPr>
                <m:sty m:val="p"/>
              </m:rPr>
              <w:rPr>
                <w:rFonts w:ascii="Cambria Math" w:hAnsi="Cambria Math" w:cstheme="majorBidi"/>
                <w:lang w:val="en-US"/>
              </w:rPr>
              <m:t>Φ</m:t>
            </m:r>
            <m:d>
              <m:dPr>
                <m:ctrlPr>
                  <w:rPr>
                    <w:rFonts w:ascii="Cambria Math" w:hAnsi="Cambria Math" w:cstheme="majorBidi"/>
                    <w:i/>
                    <w:lang w:val="en-US"/>
                  </w:rPr>
                </m:ctrlPr>
              </m:dPr>
              <m:e>
                <m:r>
                  <w:rPr>
                    <w:rFonts w:ascii="Cambria Math" w:hAnsi="Cambria Math" w:cstheme="majorBidi"/>
                    <w:lang w:val="en-US"/>
                  </w:rPr>
                  <m:t>L</m:t>
                </m:r>
              </m:e>
            </m:d>
          </m:e>
        </m:d>
        <m:r>
          <w:rPr>
            <w:rFonts w:ascii="Cambria Math" w:hAnsi="Cambria Math" w:cstheme="majorBidi"/>
            <w:lang w:val="en-US"/>
          </w:rPr>
          <m:t>[</m:t>
        </m:r>
        <m:sSub>
          <m:sSubPr>
            <m:ctrlPr>
              <w:rPr>
                <w:rFonts w:ascii="Cambria Math" w:hAnsi="Cambria Math" w:cstheme="majorBidi"/>
                <w:i/>
                <w:lang w:val="en-US"/>
              </w:rPr>
            </m:ctrlPr>
          </m:sSubPr>
          <m:e>
            <m:r>
              <m:rPr>
                <m:sty m:val="p"/>
              </m:rPr>
              <w:rPr>
                <w:rFonts w:ascii="Cambria Math" w:hAnsi="Cambria Math" w:cstheme="majorBidi"/>
                <w:lang w:val="en-US"/>
              </w:rPr>
              <m:t>Ι</m:t>
            </m:r>
          </m:e>
          <m:sub>
            <m:r>
              <w:rPr>
                <w:rFonts w:ascii="Cambria Math" w:hAnsi="Cambria Math" w:cstheme="majorBidi"/>
                <w:lang w:val="en-US"/>
              </w:rPr>
              <m:t>N</m:t>
            </m:r>
          </m:sub>
        </m:sSub>
        <m:r>
          <w:rPr>
            <w:rFonts w:ascii="Cambria Math" w:hAnsi="Cambria Math" w:cstheme="majorBidi"/>
            <w:lang w:val="en-US"/>
          </w:rPr>
          <m:t>+</m:t>
        </m:r>
        <m:sSub>
          <m:sSubPr>
            <m:ctrlPr>
              <w:rPr>
                <w:rFonts w:ascii="Cambria Math" w:hAnsi="Cambria Math" w:cstheme="majorBidi"/>
                <w:i/>
                <w:lang w:val="en-US"/>
              </w:rPr>
            </m:ctrlPr>
          </m:sSubPr>
          <m:e>
            <m:r>
              <m:rPr>
                <m:sty m:val="p"/>
              </m:rPr>
              <w:rPr>
                <w:rFonts w:ascii="Cambria Math" w:hAnsi="Cambria Math" w:cstheme="majorBidi"/>
                <w:lang w:val="en-US"/>
              </w:rPr>
              <m:t>Γ</m:t>
            </m:r>
          </m:e>
          <m:sub>
            <m:r>
              <w:rPr>
                <w:rFonts w:ascii="Cambria Math" w:hAnsi="Cambria Math" w:cstheme="majorBidi"/>
                <w:lang w:val="en-US"/>
              </w:rPr>
              <m:t>t</m:t>
            </m:r>
          </m:sub>
        </m:sSub>
        <m:r>
          <w:rPr>
            <w:rFonts w:ascii="Cambria Math" w:hAnsi="Cambria Math" w:cstheme="majorBidi"/>
            <w:lang w:val="en-US"/>
          </w:rPr>
          <m:t>]</m:t>
        </m:r>
        <m:sSup>
          <m:sSupPr>
            <m:ctrlPr>
              <w:rPr>
                <w:rFonts w:ascii="Cambria Math" w:hAnsi="Cambria Math" w:cstheme="majorBidi"/>
                <w:i/>
                <w:lang w:val="en-US"/>
              </w:rPr>
            </m:ctrlPr>
          </m:sSupPr>
          <m:e>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e>
            </m:d>
          </m:e>
          <m:sup>
            <m:r>
              <w:rPr>
                <w:rFonts w:ascii="Cambria Math" w:hAnsi="Cambria Math" w:cstheme="majorBidi"/>
                <w:lang w:val="en-US"/>
              </w:rPr>
              <m:t>⋀δ</m:t>
            </m:r>
          </m:sup>
        </m:sSup>
      </m:oMath>
      <w:r w:rsidRPr="00972E34">
        <w:rPr>
          <w:rFonts w:asciiTheme="majorBidi" w:hAnsiTheme="majorBidi" w:cstheme="majorBidi"/>
          <w:lang w:val="en-US"/>
        </w:rPr>
        <w:t>(8)</w:t>
      </w:r>
    </w:p>
    <w:p w:rsidR="006951B0" w:rsidRDefault="006951B0" w:rsidP="00A13D9C">
      <w:pPr>
        <w:spacing w:after="0" w:line="240" w:lineRule="auto"/>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Pr>
          <w:rFonts w:asciiTheme="majorBidi" w:hAnsiTheme="majorBidi" w:cstheme="majorBidi"/>
          <w:lang w:val="en-US"/>
        </w:rPr>
        <w:t>w</w:t>
      </w:r>
      <w:r w:rsidRPr="00972E34">
        <w:rPr>
          <w:rFonts w:asciiTheme="majorBidi" w:hAnsiTheme="majorBidi" w:cstheme="majorBidi"/>
          <w:lang w:val="en-US"/>
        </w:rPr>
        <w:t>here</w:t>
      </w:r>
      <m:oMath>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e>
        </m:d>
      </m:oMath>
      <w:r w:rsidRPr="00972E34">
        <w:rPr>
          <w:rFonts w:asciiTheme="majorBidi" w:hAnsiTheme="majorBidi" w:cstheme="majorBidi"/>
          <w:lang w:val="en-US"/>
        </w:rPr>
        <w:t xml:space="preserve"> is the vector </w:t>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oMath>
      <w:r w:rsidRPr="00972E34">
        <w:rPr>
          <w:rFonts w:asciiTheme="majorBidi" w:hAnsiTheme="majorBidi" w:cstheme="majorBidi"/>
          <w:lang w:val="en-US"/>
        </w:rPr>
        <w:t xml:space="preserve"> with elements stripped of negative values.</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A13D9C" w:rsidP="00A13D9C">
      <w:pPr>
        <w:spacing w:after="0" w:line="240" w:lineRule="auto"/>
        <w:ind w:firstLine="340"/>
        <w:jc w:val="both"/>
        <w:rPr>
          <w:rFonts w:asciiTheme="majorBidi" w:hAnsiTheme="majorBidi" w:cstheme="majorBidi"/>
          <w:lang w:val="en-US"/>
        </w:rPr>
      </w:pPr>
      <w:r w:rsidRPr="00972E34">
        <w:rPr>
          <w:rFonts w:asciiTheme="majorBidi" w:hAnsiTheme="majorBidi" w:cstheme="majorBidi"/>
          <w:lang w:val="en-US"/>
        </w:rPr>
        <w:t xml:space="preserve">Besides, </w:t>
      </w:r>
      <m:oMath>
        <m:r>
          <w:rPr>
            <w:rFonts w:ascii="Cambria Math" w:hAnsi="Cambria Math" w:cstheme="majorBidi"/>
            <w:lang w:val="en-US"/>
          </w:rPr>
          <m:t>B</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=diag{β(L)}</m:t>
        </m:r>
      </m:oMath>
      <w:r w:rsidRPr="00972E34">
        <w:rPr>
          <w:rFonts w:asciiTheme="majorBidi" w:hAnsiTheme="majorBidi" w:cstheme="majorBidi"/>
          <w:lang w:val="en-US"/>
        </w:rPr>
        <w:t xml:space="preserve"> with </w:t>
      </w:r>
      <m:oMath>
        <m:r>
          <w:rPr>
            <w:rFonts w:ascii="Cambria Math" w:hAnsi="Cambria Math" w:cstheme="majorBidi"/>
            <w:lang w:val="en-US"/>
          </w:rPr>
          <m:t>β</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[1-</m:t>
            </m:r>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r>
              <w:rPr>
                <w:rFonts w:ascii="Cambria Math" w:hAnsi="Cambria Math" w:cstheme="majorBidi"/>
                <w:lang w:val="en-US"/>
              </w:rPr>
              <m:t>L]</m:t>
            </m:r>
          </m:e>
          <m:sub>
            <m:r>
              <w:rPr>
                <w:rFonts w:ascii="Cambria Math" w:hAnsi="Cambria Math" w:cstheme="majorBidi"/>
                <w:lang w:val="en-US"/>
              </w:rPr>
              <m:t>i=1,…,N</m:t>
            </m:r>
          </m:sub>
        </m:sSub>
      </m:oMath>
      <w:r w:rsidRPr="00972E34">
        <w:rPr>
          <w:rFonts w:asciiTheme="majorBidi" w:hAnsiTheme="majorBidi" w:cstheme="majorBidi"/>
          <w:lang w:val="en-US"/>
        </w:rPr>
        <w:t xml:space="preserve">and </w:t>
      </w:r>
      <m:oMath>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e>
        </m:d>
        <m:r>
          <w:rPr>
            <w:rFonts w:ascii="Cambria Math" w:hAnsi="Cambria Math" w:cstheme="majorBidi"/>
            <w:lang w:val="en-US"/>
          </w:rPr>
          <m:t>&lt;1</m:t>
        </m:r>
      </m:oMath>
      <w:r w:rsidRPr="00972E34">
        <w:rPr>
          <w:rFonts w:asciiTheme="majorBidi" w:hAnsiTheme="majorBidi" w:cstheme="majorBidi"/>
          <w:lang w:val="en-US"/>
        </w:rPr>
        <w:t xml:space="preserve">. Moreover, </w:t>
      </w:r>
      <m:oMath>
        <m:r>
          <m:rPr>
            <m:sty m:val="p"/>
          </m:rPr>
          <w:rPr>
            <w:rFonts w:ascii="Cambria Math" w:hAnsi="Cambria Math" w:cstheme="majorBidi"/>
            <w:lang w:val="en-US"/>
          </w:rPr>
          <m:t>Φ</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=diag{ϕ(L)}</m:t>
        </m:r>
      </m:oMath>
      <w:r w:rsidRPr="00972E34">
        <w:rPr>
          <w:rFonts w:asciiTheme="majorBidi" w:hAnsiTheme="majorBidi" w:cstheme="majorBidi"/>
          <w:lang w:val="en-US"/>
        </w:rPr>
        <w:t xml:space="preserve"> with </w:t>
      </w:r>
      <m:oMath>
        <m:r>
          <w:rPr>
            <w:rFonts w:ascii="Cambria Math" w:hAnsi="Cambria Math" w:cstheme="majorBidi"/>
            <w:lang w:val="en-US"/>
          </w:rPr>
          <m:t>ϕ</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[1-</m:t>
            </m:r>
            <m:sSub>
              <m:sSubPr>
                <m:ctrlPr>
                  <w:rPr>
                    <w:rFonts w:ascii="Cambria Math" w:hAnsi="Cambria Math" w:cstheme="majorBidi"/>
                    <w:i/>
                    <w:lang w:val="en-US"/>
                  </w:rPr>
                </m:ctrlPr>
              </m:sSubPr>
              <m:e>
                <m:r>
                  <w:rPr>
                    <w:rFonts w:ascii="Cambria Math" w:hAnsi="Cambria Math" w:cstheme="majorBidi"/>
                    <w:lang w:val="en-US"/>
                  </w:rPr>
                  <m:t>ϕ</m:t>
                </m:r>
              </m:e>
              <m:sub>
                <m:r>
                  <w:rPr>
                    <w:rFonts w:ascii="Cambria Math" w:hAnsi="Cambria Math" w:cstheme="majorBidi"/>
                    <w:lang w:val="en-US"/>
                  </w:rPr>
                  <m:t>i</m:t>
                </m:r>
              </m:sub>
            </m:sSub>
            <m:r>
              <w:rPr>
                <w:rFonts w:ascii="Cambria Math" w:hAnsi="Cambria Math" w:cstheme="majorBidi"/>
                <w:lang w:val="en-US"/>
              </w:rPr>
              <m:t>L]</m:t>
            </m:r>
          </m:e>
          <m:sub>
            <m:r>
              <w:rPr>
                <w:rFonts w:ascii="Cambria Math" w:hAnsi="Cambria Math" w:cstheme="majorBidi"/>
                <w:lang w:val="en-US"/>
              </w:rPr>
              <m:t>i=1,…,N</m:t>
            </m:r>
          </m:sub>
        </m:sSub>
      </m:oMath>
      <w:r w:rsidRPr="00972E34">
        <w:rPr>
          <w:rFonts w:asciiTheme="majorBidi" w:hAnsiTheme="majorBidi" w:cstheme="majorBidi"/>
          <w:lang w:val="en-US"/>
        </w:rPr>
        <w:t xml:space="preserve">and </w:t>
      </w:r>
      <m:oMath>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ϕ</m:t>
                </m:r>
              </m:e>
              <m:sub>
                <m:r>
                  <w:rPr>
                    <w:rFonts w:ascii="Cambria Math" w:hAnsi="Cambria Math" w:cstheme="majorBidi"/>
                    <w:lang w:val="en-US"/>
                  </w:rPr>
                  <m:t>i</m:t>
                </m:r>
              </m:sub>
            </m:sSub>
          </m:e>
        </m:d>
        <m:r>
          <w:rPr>
            <w:rFonts w:ascii="Cambria Math" w:hAnsi="Cambria Math" w:cstheme="majorBidi"/>
            <w:lang w:val="en-US"/>
          </w:rPr>
          <m:t>&lt;1</m:t>
        </m:r>
      </m:oMath>
      <w:r w:rsidRPr="00972E34">
        <w:rPr>
          <w:rFonts w:asciiTheme="majorBidi" w:hAnsiTheme="majorBidi" w:cstheme="majorBidi"/>
          <w:lang w:val="en-US"/>
        </w:rPr>
        <w:t xml:space="preserve">. In addition, </w:t>
      </w:r>
      <m:oMath>
        <m:r>
          <w:rPr>
            <w:rFonts w:ascii="Cambria Math" w:hAnsi="Cambria Math" w:cstheme="majorBidi"/>
            <w:lang w:val="en-US"/>
          </w:rPr>
          <m:t>ω=</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ω</m:t>
                </m:r>
              </m:e>
              <m:sub>
                <m:r>
                  <w:rPr>
                    <w:rFonts w:ascii="Cambria Math" w:hAnsi="Cambria Math" w:cstheme="majorBidi"/>
                    <w:lang w:val="en-US"/>
                  </w:rPr>
                  <m:t>i</m:t>
                </m:r>
              </m:sub>
            </m:sSub>
            <m:r>
              <w:rPr>
                <w:rFonts w:ascii="Cambria Math" w:hAnsi="Cambria Math" w:cstheme="majorBidi"/>
                <w:lang w:val="en-US"/>
              </w:rPr>
              <m:t>]</m:t>
            </m:r>
          </m:e>
          <m:sub>
            <m:r>
              <w:rPr>
                <w:rFonts w:ascii="Cambria Math" w:hAnsi="Cambria Math" w:cstheme="majorBidi"/>
                <w:lang w:val="en-US"/>
              </w:rPr>
              <m:t>i=1,…,N</m:t>
            </m:r>
          </m:sub>
        </m:sSub>
      </m:oMath>
      <w:r w:rsidRPr="00972E34">
        <w:rPr>
          <w:rFonts w:asciiTheme="majorBidi" w:hAnsiTheme="majorBidi" w:cstheme="majorBidi"/>
          <w:lang w:val="en-US"/>
        </w:rPr>
        <w:t xml:space="preserve"> with </w:t>
      </w:r>
      <m:oMath>
        <m:sSub>
          <m:sSubPr>
            <m:ctrlPr>
              <w:rPr>
                <w:rFonts w:ascii="Cambria Math" w:hAnsi="Cambria Math" w:cstheme="majorBidi"/>
                <w:i/>
                <w:lang w:val="en-US"/>
              </w:rPr>
            </m:ctrlPr>
          </m:sSubPr>
          <m:e>
            <m:r>
              <w:rPr>
                <w:rFonts w:ascii="Cambria Math" w:hAnsi="Cambria Math" w:cstheme="majorBidi"/>
                <w:lang w:val="en-US"/>
              </w:rPr>
              <m:t>ω</m:t>
            </m:r>
          </m:e>
          <m:sub>
            <m:r>
              <w:rPr>
                <w:rFonts w:ascii="Cambria Math" w:hAnsi="Cambria Math" w:cstheme="majorBidi"/>
                <w:lang w:val="en-US"/>
              </w:rPr>
              <m:t>i</m:t>
            </m:r>
          </m:sub>
        </m:sSub>
        <m:r>
          <w:rPr>
            <w:rFonts w:ascii="Cambria Math" w:hAnsi="Cambria Math" w:cstheme="majorBidi"/>
            <w:lang w:val="en-US"/>
          </w:rPr>
          <m:t>∈[0, ∞[</m:t>
        </m:r>
      </m:oMath>
      <w:r w:rsidRPr="00972E34">
        <w:rPr>
          <w:rFonts w:asciiTheme="majorBidi" w:hAnsiTheme="majorBidi" w:cstheme="majorBidi"/>
          <w:lang w:val="en-US"/>
        </w:rPr>
        <w:t xml:space="preserve"> and </w:t>
      </w:r>
      <m:oMath>
        <m:r>
          <m:rPr>
            <m:sty m:val="p"/>
          </m:rPr>
          <w:rPr>
            <w:rFonts w:ascii="Cambria Math" w:hAnsi="Cambria Math" w:cstheme="majorBidi"/>
            <w:lang w:val="en-US"/>
          </w:rPr>
          <m:t>Δ</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=diag{d(L)}</m:t>
        </m:r>
      </m:oMath>
      <w:r w:rsidRPr="00972E34">
        <w:rPr>
          <w:rFonts w:asciiTheme="majorBidi" w:hAnsiTheme="majorBidi" w:cstheme="majorBidi"/>
          <w:lang w:val="en-US"/>
        </w:rPr>
        <w:t xml:space="preserve">with </w:t>
      </w:r>
      <m:oMath>
        <m:r>
          <w:rPr>
            <w:rFonts w:ascii="Cambria Math" w:hAnsi="Cambria Math" w:cstheme="majorBidi"/>
            <w:lang w:val="en-US"/>
          </w:rPr>
          <m:t>d</m:t>
        </m:r>
        <m:d>
          <m:dPr>
            <m:ctrlPr>
              <w:rPr>
                <w:rFonts w:ascii="Cambria Math" w:hAnsi="Cambria Math" w:cstheme="majorBidi"/>
                <w:i/>
                <w:lang w:val="en-US"/>
              </w:rPr>
            </m:ctrlPr>
          </m:dPr>
          <m:e>
            <m:r>
              <w:rPr>
                <w:rFonts w:ascii="Cambria Math" w:hAnsi="Cambria Math" w:cstheme="majorBidi"/>
                <w:lang w:val="en-US"/>
              </w:rPr>
              <m:t>L</m:t>
            </m:r>
          </m:e>
        </m:d>
        <m:r>
          <w:rPr>
            <w:rFonts w:ascii="Cambria Math" w:hAnsi="Cambria Math" w:cstheme="majorBidi"/>
            <w:lang w:val="en-US"/>
          </w:rPr>
          <m:t>=</m:t>
        </m:r>
        <m:sSub>
          <m:sSubPr>
            <m:ctrlPr>
              <w:rPr>
                <w:rFonts w:ascii="Cambria Math" w:hAnsi="Cambria Math" w:cstheme="majorBidi"/>
                <w:i/>
                <w:lang w:val="en-US"/>
              </w:rPr>
            </m:ctrlPr>
          </m:sSubPr>
          <m:e>
            <m:sSup>
              <m:sSupPr>
                <m:ctrlPr>
                  <w:rPr>
                    <w:rFonts w:ascii="Cambria Math" w:hAnsi="Cambria Math" w:cstheme="majorBidi"/>
                    <w:i/>
                    <w:lang w:val="en-US"/>
                  </w:rPr>
                </m:ctrlPr>
              </m:sSupPr>
              <m:e>
                <m:r>
                  <w:rPr>
                    <w:rFonts w:ascii="Cambria Math" w:hAnsi="Cambria Math" w:cstheme="majorBidi"/>
                    <w:lang w:val="en-US"/>
                  </w:rPr>
                  <m:t>[(1-L)</m:t>
                </m:r>
              </m:e>
              <m:sup>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i</m:t>
                    </m:r>
                  </m:sub>
                </m:sSub>
              </m:sup>
            </m:sSup>
            <m:r>
              <w:rPr>
                <w:rFonts w:ascii="Cambria Math" w:hAnsi="Cambria Math" w:cstheme="majorBidi"/>
                <w:lang w:val="en-US"/>
              </w:rPr>
              <m:t>]</m:t>
            </m:r>
          </m:e>
          <m:sub>
            <m:r>
              <w:rPr>
                <w:rFonts w:ascii="Cambria Math" w:hAnsi="Cambria Math" w:cstheme="majorBidi"/>
                <w:lang w:val="en-US"/>
              </w:rPr>
              <m:t>i=1,…,N</m:t>
            </m:r>
          </m:sub>
        </m:sSub>
        <m:r>
          <w:rPr>
            <w:rFonts w:ascii="Cambria Math" w:hAnsi="Cambria Math" w:cstheme="majorBidi"/>
            <w:lang w:val="en-US"/>
          </w:rPr>
          <m:t xml:space="preserve">  ∀ 0≤</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i</m:t>
            </m:r>
          </m:sub>
        </m:sSub>
        <m:r>
          <w:rPr>
            <w:rFonts w:ascii="Cambria Math" w:hAnsi="Cambria Math" w:cstheme="majorBidi"/>
            <w:lang w:val="en-US"/>
          </w:rPr>
          <m:t>≤1</m:t>
        </m:r>
      </m:oMath>
      <w:r w:rsidRPr="00972E34">
        <w:rPr>
          <w:rFonts w:asciiTheme="majorBidi" w:hAnsiTheme="majorBidi" w:cstheme="majorBidi"/>
          <w:lang w:val="en-US"/>
        </w:rPr>
        <w:t xml:space="preserve">. Finally, </w:t>
      </w:r>
      <m:oMath>
        <m:sSub>
          <m:sSubPr>
            <m:ctrlPr>
              <w:rPr>
                <w:rFonts w:ascii="Cambria Math" w:hAnsi="Cambria Math" w:cstheme="majorBidi"/>
                <w:i/>
                <w:lang w:val="en-US"/>
              </w:rPr>
            </m:ctrlPr>
          </m:sSubPr>
          <m:e>
            <m:r>
              <m:rPr>
                <m:sty m:val="p"/>
              </m:rPr>
              <w:rPr>
                <w:rFonts w:ascii="Cambria Math" w:hAnsi="Cambria Math" w:cstheme="majorBidi"/>
                <w:lang w:val="en-US"/>
              </w:rPr>
              <m:t>Γ</m:t>
            </m:r>
          </m:e>
          <m:sub>
            <m:r>
              <w:rPr>
                <w:rFonts w:ascii="Cambria Math" w:hAnsi="Cambria Math" w:cstheme="majorBidi"/>
                <w:lang w:val="en-US"/>
              </w:rPr>
              <m:t>t</m:t>
            </m:r>
          </m:sub>
        </m:sSub>
        <m:r>
          <w:rPr>
            <w:rFonts w:ascii="Cambria Math" w:hAnsi="Cambria Math" w:cstheme="majorBidi"/>
            <w:lang w:val="en-US"/>
          </w:rPr>
          <m:t>=diag{γ</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t</m:t>
            </m:r>
          </m:sub>
        </m:sSub>
        <m:r>
          <w:rPr>
            <w:rFonts w:ascii="Cambria Math" w:hAnsi="Cambria Math" w:cstheme="majorBidi"/>
            <w:lang w:val="en-US"/>
          </w:rPr>
          <m:t>}</m:t>
        </m:r>
      </m:oMath>
      <w:r w:rsidRPr="00972E34">
        <w:rPr>
          <w:rFonts w:asciiTheme="majorBidi" w:hAnsiTheme="majorBidi" w:cstheme="majorBidi"/>
          <w:lang w:val="en-US"/>
        </w:rPr>
        <w:t xml:space="preserve"> with </w:t>
      </w:r>
      <m:oMath>
        <m:r>
          <w:rPr>
            <w:rFonts w:ascii="Cambria Math" w:hAnsi="Cambria Math" w:cstheme="majorBidi"/>
            <w:lang w:val="en-US"/>
          </w:rPr>
          <m:t>γ=</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r>
              <w:rPr>
                <w:rFonts w:ascii="Cambria Math" w:hAnsi="Cambria Math" w:cstheme="majorBidi"/>
                <w:lang w:val="en-US"/>
              </w:rPr>
              <m:t>]</m:t>
            </m:r>
          </m:e>
          <m:sub>
            <m:r>
              <w:rPr>
                <w:rFonts w:ascii="Cambria Math" w:hAnsi="Cambria Math" w:cstheme="majorBidi"/>
                <w:lang w:val="en-US"/>
              </w:rPr>
              <m:t>i=1,…,N</m:t>
            </m:r>
          </m:sub>
        </m:sSub>
      </m:oMath>
      <w:r w:rsidRPr="00972E34">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it</m:t>
                </m:r>
              </m:sub>
            </m:sSub>
            <m:r>
              <w:rPr>
                <w:rFonts w:ascii="Cambria Math" w:hAnsi="Cambria Math" w:cstheme="majorBidi"/>
                <w:lang w:val="en-US"/>
              </w:rPr>
              <m:t>]</m:t>
            </m:r>
          </m:e>
          <m:sub>
            <m:r>
              <w:rPr>
                <w:rFonts w:ascii="Cambria Math" w:hAnsi="Cambria Math" w:cstheme="majorBidi"/>
                <w:lang w:val="en-US"/>
              </w:rPr>
              <m:t>i=1,…,N</m:t>
            </m:r>
          </m:sub>
        </m:sSub>
      </m:oMath>
      <w:r w:rsidRPr="00972E34">
        <w:rPr>
          <w:rFonts w:asciiTheme="majorBidi" w:hAnsiTheme="majorBidi" w:cstheme="majorBidi"/>
          <w:lang w:val="en-US"/>
        </w:rPr>
        <w:t xml:space="preserve"> where </w:t>
      </w:r>
      <m:oMath>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it</m:t>
            </m:r>
          </m:sub>
        </m:sSub>
        <m:r>
          <w:rPr>
            <w:rFonts w:ascii="Cambria Math" w:hAnsi="Cambria Math" w:cstheme="majorBidi"/>
            <w:lang w:val="en-US"/>
          </w:rPr>
          <m:t>=1</m:t>
        </m:r>
      </m:oMath>
      <w:r w:rsidRPr="00972E34">
        <w:rPr>
          <w:rFonts w:asciiTheme="majorBidi" w:hAnsiTheme="majorBidi" w:cstheme="majorBidi"/>
          <w:lang w:val="en-US"/>
        </w:rPr>
        <w:t xml:space="preserve"> if </w:t>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it</m:t>
            </m:r>
          </m:sub>
        </m:sSub>
        <m:r>
          <w:rPr>
            <w:rFonts w:ascii="Cambria Math" w:hAnsi="Cambria Math" w:cstheme="majorBidi"/>
            <w:lang w:val="en-US"/>
          </w:rPr>
          <m:t>&lt;0</m:t>
        </m:r>
      </m:oMath>
      <w:r w:rsidRPr="00972E34">
        <w:rPr>
          <w:rFonts w:asciiTheme="majorBidi" w:hAnsiTheme="majorBidi" w:cstheme="majorBidi"/>
          <w:lang w:val="en-US"/>
        </w:rPr>
        <w:t xml:space="preserve"> and 0 otherwise.</w:t>
      </w:r>
    </w:p>
    <w:p w:rsidR="00A13D9C" w:rsidRPr="00972E34" w:rsidRDefault="00A13D9C" w:rsidP="00A13D9C">
      <w:pPr>
        <w:spacing w:after="0" w:line="240" w:lineRule="auto"/>
        <w:ind w:firstLine="340"/>
        <w:jc w:val="both"/>
        <w:rPr>
          <w:rFonts w:asciiTheme="majorBidi" w:hAnsiTheme="majorBidi" w:cstheme="majorBidi"/>
          <w:lang w:val="en-US"/>
        </w:rPr>
      </w:pPr>
      <w:r w:rsidRPr="00972E34">
        <w:rPr>
          <w:rFonts w:asciiTheme="majorBidi" w:hAnsiTheme="majorBidi" w:cstheme="majorBidi"/>
          <w:lang w:val="en-US"/>
        </w:rPr>
        <w:lastRenderedPageBreak/>
        <w:t>In the second stage, we estimate the conditional correlation using the transformed stock return residuals</w:t>
      </w:r>
      <w:r w:rsidR="00AA2764">
        <w:rPr>
          <w:rFonts w:asciiTheme="majorBidi" w:hAnsiTheme="majorBidi" w:cstheme="majorBidi"/>
          <w:lang w:val="en-US"/>
        </w:rPr>
        <w:t xml:space="preserve"> and exchange returns residuals</w:t>
      </w:r>
      <w:r w:rsidRPr="00972E34">
        <w:rPr>
          <w:rFonts w:asciiTheme="majorBidi" w:hAnsiTheme="majorBidi" w:cstheme="majorBidi"/>
          <w:lang w:val="en-US"/>
        </w:rPr>
        <w:t>, which are estimated by their standard deviations from the first stage. The multivariate conditional variance is specified as follows:</w:t>
      </w:r>
    </w:p>
    <w:p w:rsidR="00A13D9C" w:rsidRPr="00972E34" w:rsidRDefault="00A13D9C" w:rsidP="00A13D9C">
      <w:pPr>
        <w:spacing w:after="0" w:line="240" w:lineRule="auto"/>
        <w:ind w:firstLine="340"/>
        <w:jc w:val="both"/>
        <w:rPr>
          <w:rFonts w:asciiTheme="majorBidi" w:hAnsiTheme="majorBidi" w:cstheme="majorBidi"/>
          <w:lang w:val="en-US"/>
        </w:rPr>
      </w:pPr>
    </w:p>
    <w:p w:rsidR="00A13D9C" w:rsidRPr="00972E34" w:rsidRDefault="00011760" w:rsidP="00A13D9C">
      <w:pPr>
        <w:spacing w:after="0" w:line="240" w:lineRule="auto"/>
        <w:ind w:firstLine="34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oMath>
      <w:r w:rsidR="00A13D9C" w:rsidRPr="00972E34">
        <w:rPr>
          <w:rFonts w:asciiTheme="majorBidi" w:hAnsiTheme="majorBidi" w:cstheme="majorBidi"/>
          <w:lang w:val="en-US"/>
        </w:rPr>
        <w:t xml:space="preserve">                                                                                                                                   (9)</w:t>
      </w:r>
    </w:p>
    <w:p w:rsidR="00A13D9C" w:rsidRPr="00972E34" w:rsidRDefault="00A13D9C" w:rsidP="00A13D9C">
      <w:pPr>
        <w:spacing w:after="0" w:line="240" w:lineRule="auto"/>
        <w:ind w:firstLine="340"/>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where</w:t>
      </w:r>
      <m:oMath>
        <m:sSub>
          <m:sSubPr>
            <m:ctrlPr>
              <w:rPr>
                <w:rFonts w:ascii="Cambria Math" w:hAnsi="Cambria Math" w:cstheme="majorBidi"/>
                <w:i/>
                <w:lang w:val="en-US"/>
              </w:rPr>
            </m:ctrlPr>
          </m:sSubPr>
          <m:e>
            <m:r>
              <w:rPr>
                <w:rFonts w:ascii="Cambria Math" w:hAnsi="Cambria Math" w:cstheme="majorBidi"/>
                <w:lang w:val="en-US"/>
              </w:rPr>
              <m:t xml:space="preserve"> D</m:t>
            </m:r>
          </m:e>
          <m:sub>
            <m:r>
              <w:rPr>
                <w:rFonts w:ascii="Cambria Math" w:hAnsi="Cambria Math" w:cstheme="majorBidi"/>
                <w:lang w:val="en-US"/>
              </w:rPr>
              <m:t>t</m:t>
            </m:r>
          </m:sub>
        </m:sSub>
        <m:r>
          <w:rPr>
            <w:rFonts w:ascii="Cambria Math" w:hAnsi="Cambria Math" w:cstheme="majorBidi"/>
            <w:lang w:val="en-US"/>
          </w:rPr>
          <m:t>=diag</m:t>
        </m:r>
        <m:d>
          <m:dPr>
            <m:ctrlPr>
              <w:rPr>
                <w:rFonts w:ascii="Cambria Math" w:hAnsi="Cambria Math" w:cstheme="majorBidi"/>
                <w:i/>
                <w:lang w:val="en-US"/>
              </w:rPr>
            </m:ctrlPr>
          </m:dPr>
          <m:e>
            <m:sSubSup>
              <m:sSubSupPr>
                <m:ctrlPr>
                  <w:rPr>
                    <w:rFonts w:ascii="Cambria Math" w:hAnsi="Cambria Math" w:cstheme="majorBidi"/>
                    <w:i/>
                    <w:lang w:val="en-US"/>
                  </w:rPr>
                </m:ctrlPr>
              </m:sSubSupPr>
              <m:e>
                <m:r>
                  <w:rPr>
                    <w:rFonts w:ascii="Cambria Math" w:hAnsi="Cambria Math" w:cstheme="majorBidi"/>
                    <w:lang w:val="en-US"/>
                  </w:rPr>
                  <m:t>h</m:t>
                </m:r>
              </m:e>
              <m:sub>
                <m:r>
                  <w:rPr>
                    <w:rFonts w:ascii="Cambria Math" w:hAnsi="Cambria Math" w:cstheme="majorBidi"/>
                    <w:lang w:val="en-US"/>
                  </w:rPr>
                  <m:t>11t</m:t>
                </m:r>
              </m:sub>
              <m:sup>
                <m:r>
                  <w:rPr>
                    <w:rFonts w:ascii="Cambria Math" w:hAnsi="Cambria Math" w:cstheme="majorBidi"/>
                    <w:lang w:val="en-US"/>
                  </w:rPr>
                  <m:t>1/2</m:t>
                </m:r>
              </m:sup>
            </m:sSubSup>
            <m:r>
              <w:rPr>
                <w:rFonts w:ascii="Cambria Math" w:hAnsi="Cambria Math" w:cstheme="majorBidi"/>
                <w:lang w:val="en-US"/>
              </w:rPr>
              <m:t>,…,</m:t>
            </m:r>
            <m:sSubSup>
              <m:sSubSupPr>
                <m:ctrlPr>
                  <w:rPr>
                    <w:rFonts w:ascii="Cambria Math" w:hAnsi="Cambria Math" w:cstheme="majorBidi"/>
                    <w:i/>
                    <w:lang w:val="en-US"/>
                  </w:rPr>
                </m:ctrlPr>
              </m:sSubSupPr>
              <m:e>
                <m:r>
                  <w:rPr>
                    <w:rFonts w:ascii="Cambria Math" w:hAnsi="Cambria Math" w:cstheme="majorBidi"/>
                    <w:lang w:val="en-US"/>
                  </w:rPr>
                  <m:t>h</m:t>
                </m:r>
              </m:e>
              <m:sub>
                <m:r>
                  <w:rPr>
                    <w:rFonts w:ascii="Cambria Math" w:hAnsi="Cambria Math" w:cstheme="majorBidi"/>
                    <w:lang w:val="en-US"/>
                  </w:rPr>
                  <m:t>NNt</m:t>
                </m:r>
              </m:sub>
              <m:sup>
                <m:r>
                  <w:rPr>
                    <w:rFonts w:ascii="Cambria Math" w:hAnsi="Cambria Math" w:cstheme="majorBidi"/>
                    <w:lang w:val="en-US"/>
                  </w:rPr>
                  <m:t>1/2</m:t>
                </m:r>
              </m:sup>
            </m:sSubSup>
          </m:e>
        </m:d>
      </m:oMath>
      <w:r w:rsidRPr="00972E34">
        <w:rPr>
          <w:rFonts w:asciiTheme="majorBidi" w:hAnsiTheme="majorBidi" w:cstheme="majorBidi"/>
          <w:lang w:val="en-US"/>
        </w:rPr>
        <w:t xml:space="preserve"> denotes the conditional variance derived from the univariate AR(1)-FIAPARCH(1,d,1) model and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d>
          <m:dPr>
            <m:ctrlPr>
              <w:rPr>
                <w:rFonts w:ascii="Cambria Math" w:hAnsi="Cambria Math" w:cstheme="majorBidi"/>
                <w:i/>
                <w:lang w:val="en-US"/>
              </w:rPr>
            </m:ctrlPr>
          </m:dPr>
          <m:e>
            <m:r>
              <w:rPr>
                <w:rFonts w:ascii="Cambria Math" w:hAnsi="Cambria Math" w:cstheme="majorBidi"/>
                <w:lang w:val="en-US"/>
              </w:rPr>
              <m:t>1-</m:t>
            </m:r>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2</m:t>
                </m:r>
              </m:sub>
            </m:sSub>
          </m:e>
        </m:d>
        <m:r>
          <w:rPr>
            <w:rFonts w:ascii="Cambria Math" w:hAnsi="Cambria Math" w:cstheme="majorBidi"/>
            <w:lang w:val="en-US"/>
          </w:rPr>
          <m:t>R+</m:t>
        </m:r>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1</m:t>
            </m:r>
          </m:sub>
        </m:sSub>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2</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t-1</m:t>
            </m:r>
          </m:sub>
        </m:sSub>
      </m:oMath>
      <w:r w:rsidRPr="00972E34">
        <w:rPr>
          <w:rFonts w:asciiTheme="majorBidi" w:hAnsiTheme="majorBidi" w:cstheme="majorBidi"/>
          <w:lang w:val="en-US"/>
        </w:rPr>
        <w:t xml:space="preserve"> is the conditional correlation matrix</w:t>
      </w:r>
      <w:r w:rsidRPr="00972E34">
        <w:rPr>
          <w:rStyle w:val="Appelnotedebasdep"/>
          <w:rFonts w:asciiTheme="majorBidi" w:hAnsiTheme="majorBidi" w:cstheme="majorBidi"/>
          <w:lang w:val="en-US"/>
        </w:rPr>
        <w:footnoteReference w:id="2"/>
      </w:r>
      <w:r w:rsidRPr="00972E34">
        <w:rPr>
          <w:rFonts w:asciiTheme="majorBidi" w:hAnsiTheme="majorBidi" w:cstheme="majorBidi"/>
          <w:lang w:val="en-US"/>
        </w:rPr>
        <w:t>.</w:t>
      </w:r>
    </w:p>
    <w:p w:rsidR="00A13D9C" w:rsidRPr="00972E34" w:rsidRDefault="00A13D9C" w:rsidP="00A13D9C">
      <w:pPr>
        <w:spacing w:after="0" w:line="240" w:lineRule="auto"/>
        <w:ind w:firstLine="340"/>
        <w:jc w:val="both"/>
        <w:rPr>
          <w:rFonts w:asciiTheme="majorBidi" w:hAnsiTheme="majorBidi" w:cstheme="majorBidi"/>
          <w:lang w:val="en-US"/>
        </w:rPr>
      </w:pPr>
      <w:r w:rsidRPr="00972E34">
        <w:rPr>
          <w:rFonts w:asciiTheme="majorBidi" w:hAnsiTheme="majorBidi" w:cstheme="majorBidi"/>
          <w:lang w:val="en-US"/>
        </w:rPr>
        <w:t xml:space="preserve">In addition, </w:t>
      </w:r>
      <m:oMath>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1</m:t>
            </m:r>
          </m:sub>
        </m:sSub>
      </m:oMath>
      <w:r w:rsidRPr="00972E34">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2</m:t>
            </m:r>
          </m:sub>
        </m:sSub>
      </m:oMath>
      <w:r w:rsidRPr="00972E34">
        <w:rPr>
          <w:rFonts w:asciiTheme="majorBidi" w:hAnsiTheme="majorBidi" w:cstheme="majorBidi"/>
          <w:lang w:val="en-US"/>
        </w:rPr>
        <w:t xml:space="preserve"> are the non-negative parameters satisfying </w:t>
      </w:r>
      <m:oMath>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θ</m:t>
                </m:r>
              </m:e>
              <m:sub>
                <m:r>
                  <w:rPr>
                    <w:rFonts w:ascii="Cambria Math" w:hAnsi="Cambria Math" w:cstheme="majorBidi"/>
                    <w:lang w:val="en-US"/>
                  </w:rPr>
                  <m:t>2</m:t>
                </m:r>
              </m:sub>
            </m:sSub>
          </m:e>
        </m:d>
        <m:r>
          <w:rPr>
            <w:rFonts w:ascii="Cambria Math" w:hAnsi="Cambria Math" w:cstheme="majorBidi"/>
            <w:lang w:val="en-US"/>
          </w:rPr>
          <m:t>&lt;1</m:t>
        </m:r>
      </m:oMath>
      <w:r w:rsidRPr="00972E34">
        <w:rPr>
          <w:rFonts w:asciiTheme="majorBidi" w:hAnsiTheme="majorBidi" w:cstheme="majorBidi"/>
          <w:lang w:val="en-US"/>
        </w:rPr>
        <w:t xml:space="preserve">, </w:t>
      </w:r>
      <m:oMath>
        <m:r>
          <w:rPr>
            <w:rFonts w:ascii="Cambria Math" w:hAnsi="Cambria Math" w:cstheme="majorBidi"/>
            <w:lang w:val="en-US"/>
          </w:rPr>
          <m:t>R=</m:t>
        </m:r>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m:t>
                </m:r>
              </m:sub>
            </m:sSub>
          </m:e>
        </m:d>
      </m:oMath>
      <w:r w:rsidRPr="00972E34">
        <w:rPr>
          <w:rFonts w:asciiTheme="majorBidi" w:hAnsiTheme="majorBidi" w:cstheme="majorBidi"/>
          <w:lang w:val="en-US"/>
        </w:rPr>
        <w:t xml:space="preserve"> is a time-invariant symmetric </w:t>
      </w:r>
      <m:oMath>
        <m:r>
          <w:rPr>
            <w:rFonts w:ascii="Cambria Math" w:hAnsi="Cambria Math" w:cstheme="majorBidi"/>
            <w:lang w:val="en-US"/>
          </w:rPr>
          <m:t>N×N</m:t>
        </m:r>
      </m:oMath>
      <w:r w:rsidRPr="00972E34">
        <w:rPr>
          <w:rFonts w:asciiTheme="majorBidi" w:hAnsiTheme="majorBidi" w:cstheme="majorBidi"/>
          <w:lang w:val="en-US"/>
        </w:rPr>
        <w:t xml:space="preserve"> positive definite parameter matrix with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ii</m:t>
            </m:r>
          </m:sub>
        </m:sSub>
        <m:r>
          <w:rPr>
            <w:rFonts w:ascii="Cambria Math" w:hAnsi="Cambria Math" w:cstheme="majorBidi"/>
            <w:lang w:val="en-US"/>
          </w:rPr>
          <m:t>=1</m:t>
        </m:r>
      </m:oMath>
      <w:r w:rsidRPr="00972E34">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oMath>
      <w:r w:rsidRPr="00972E34">
        <w:rPr>
          <w:rFonts w:asciiTheme="majorBidi" w:hAnsiTheme="majorBidi" w:cstheme="majorBidi"/>
          <w:lang w:val="en-US"/>
        </w:rPr>
        <w:t xml:space="preserve"> is the </w:t>
      </w:r>
      <m:oMath>
        <m:r>
          <w:rPr>
            <w:rFonts w:ascii="Cambria Math" w:hAnsi="Cambria Math" w:cstheme="majorBidi"/>
            <w:lang w:val="en-US"/>
          </w:rPr>
          <m:t>N×N</m:t>
        </m:r>
      </m:oMath>
      <w:r w:rsidRPr="00972E34">
        <w:rPr>
          <w:rFonts w:asciiTheme="majorBidi" w:hAnsiTheme="majorBidi" w:cstheme="majorBidi"/>
          <w:lang w:val="en-US"/>
        </w:rPr>
        <w:t xml:space="preserve"> correlation matrix of </w:t>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τ</m:t>
            </m:r>
          </m:sub>
        </m:sSub>
      </m:oMath>
      <w:r w:rsidRPr="00972E34">
        <w:rPr>
          <w:rFonts w:asciiTheme="majorBidi" w:hAnsiTheme="majorBidi" w:cstheme="majorBidi"/>
          <w:lang w:val="en-US"/>
        </w:rPr>
        <w:t xml:space="preserve"> for </w:t>
      </w:r>
      <m:oMath>
        <m:r>
          <w:rPr>
            <w:rFonts w:ascii="Cambria Math" w:hAnsi="Cambria Math" w:cstheme="majorBidi"/>
            <w:lang w:val="en-US"/>
          </w:rPr>
          <m:t>τ=t-M,t-M+1,…,t-1</m:t>
        </m:r>
      </m:oMath>
      <w:r w:rsidRPr="00972E34">
        <w:rPr>
          <w:rFonts w:asciiTheme="majorBidi" w:hAnsiTheme="majorBidi" w:cstheme="majorBidi"/>
          <w:lang w:val="en-US"/>
        </w:rPr>
        <w:t xml:space="preserve">. The </w:t>
      </w:r>
      <m:oMath>
        <m:r>
          <w:rPr>
            <w:rFonts w:ascii="Cambria Math" w:hAnsi="Cambria Math" w:cstheme="majorBidi"/>
            <w:lang w:val="en-US"/>
          </w:rPr>
          <m:t>i,j-th</m:t>
        </m:r>
      </m:oMath>
      <w:r w:rsidRPr="00972E34">
        <w:rPr>
          <w:rFonts w:asciiTheme="majorBidi" w:hAnsiTheme="majorBidi" w:cstheme="majorBidi"/>
          <w:lang w:val="en-US"/>
        </w:rPr>
        <w:t xml:space="preserve"> element of the matrix </w:t>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oMath>
      <w:r w:rsidRPr="00972E34">
        <w:rPr>
          <w:rFonts w:asciiTheme="majorBidi" w:hAnsiTheme="majorBidi" w:cstheme="majorBidi"/>
          <w:lang w:val="en-US"/>
        </w:rPr>
        <w:t xml:space="preserve"> is given as follows:</w:t>
      </w:r>
    </w:p>
    <w:p w:rsidR="00A13D9C" w:rsidRPr="00972E34" w:rsidRDefault="00A13D9C" w:rsidP="00A13D9C">
      <w:pPr>
        <w:spacing w:after="0" w:line="240" w:lineRule="auto"/>
        <w:jc w:val="both"/>
        <w:rPr>
          <w:rFonts w:asciiTheme="majorBidi" w:hAnsiTheme="majorBidi" w:cstheme="majorBidi"/>
          <w:lang w:val="en-US"/>
        </w:rPr>
      </w:pPr>
    </w:p>
    <w:p w:rsidR="00A13D9C" w:rsidRPr="00972E34" w:rsidRDefault="00A13D9C" w:rsidP="00A13D9C">
      <w:pPr>
        <w:spacing w:after="0" w:line="240" w:lineRule="auto"/>
        <w:jc w:val="both"/>
        <w:rPr>
          <w:rFonts w:asciiTheme="majorBidi" w:hAnsiTheme="majorBidi" w:cstheme="majorBidi"/>
          <w:lang w:val="en-US"/>
        </w:rPr>
      </w:pPr>
      <w:r w:rsidRPr="00972E34">
        <w:rPr>
          <w:rFonts w:asciiTheme="majorBidi" w:hAnsiTheme="majorBidi" w:cstheme="majorBidi"/>
          <w:lang w:val="en-US"/>
        </w:rPr>
        <w:tab/>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ij,t-1</m:t>
            </m:r>
          </m:sub>
        </m:sSub>
        <m:r>
          <w:rPr>
            <w:rFonts w:ascii="Cambria Math" w:hAnsi="Cambria Math" w:cstheme="majorBidi"/>
            <w:lang w:val="en-US"/>
          </w:rPr>
          <m:t>=</m:t>
        </m:r>
        <m:f>
          <m:fPr>
            <m:ctrlPr>
              <w:rPr>
                <w:rFonts w:ascii="Cambria Math" w:hAnsi="Cambria Math" w:cstheme="majorBidi"/>
                <w:i/>
                <w:lang w:val="en-US"/>
              </w:rPr>
            </m:ctrlPr>
          </m:fPr>
          <m:num>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i,t-m</m:t>
                    </m:r>
                  </m:sub>
                </m:sSub>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j,t-m</m:t>
                    </m:r>
                  </m:sub>
                </m:sSub>
              </m:e>
            </m:nary>
          </m:num>
          <m:den>
            <m:rad>
              <m:radPr>
                <m:degHide m:val="on"/>
                <m:ctrlPr>
                  <w:rPr>
                    <w:rFonts w:ascii="Cambria Math" w:hAnsi="Cambria Math" w:cstheme="majorBidi"/>
                    <w:i/>
                    <w:lang w:val="en-US"/>
                  </w:rPr>
                </m:ctrlPr>
              </m:radPr>
              <m:deg/>
              <m:e>
                <m:d>
                  <m:dPr>
                    <m:ctrlPr>
                      <w:rPr>
                        <w:rFonts w:ascii="Cambria Math" w:hAnsi="Cambria Math" w:cstheme="majorBidi"/>
                        <w:i/>
                        <w:lang w:val="en-US"/>
                      </w:rPr>
                    </m:ctrlPr>
                  </m:dPr>
                  <m:e>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i,t-m</m:t>
                            </m:r>
                          </m:sub>
                          <m:sup>
                            <m:r>
                              <w:rPr>
                                <w:rFonts w:ascii="Cambria Math" w:hAnsi="Cambria Math" w:cstheme="majorBidi"/>
                                <w:lang w:val="en-US"/>
                              </w:rPr>
                              <m:t>2</m:t>
                            </m:r>
                          </m:sup>
                        </m:sSubSup>
                      </m:e>
                    </m:nary>
                  </m:e>
                </m:d>
                <m:d>
                  <m:dPr>
                    <m:ctrlPr>
                      <w:rPr>
                        <w:rFonts w:ascii="Cambria Math" w:hAnsi="Cambria Math" w:cstheme="majorBidi"/>
                        <w:i/>
                        <w:lang w:val="en-US"/>
                      </w:rPr>
                    </m:ctrlPr>
                  </m:dPr>
                  <m:e>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j,t-m</m:t>
                            </m:r>
                          </m:sub>
                          <m:sup>
                            <m:r>
                              <w:rPr>
                                <w:rFonts w:ascii="Cambria Math" w:hAnsi="Cambria Math" w:cstheme="majorBidi"/>
                                <w:lang w:val="en-US"/>
                              </w:rPr>
                              <m:t>2</m:t>
                            </m:r>
                          </m:sup>
                        </m:sSubSup>
                      </m:e>
                    </m:nary>
                  </m:e>
                </m:d>
              </m:e>
            </m:rad>
          </m:den>
        </m:f>
        <m:r>
          <w:rPr>
            <w:rFonts w:ascii="Cambria Math" w:hAnsi="Cambria Math" w:cstheme="majorBidi"/>
            <w:lang w:val="en-US"/>
          </w:rPr>
          <m:t>,      1≤i≤j≤N</m:t>
        </m:r>
      </m:oMath>
      <w:r w:rsidRPr="00972E34">
        <w:rPr>
          <w:rFonts w:asciiTheme="majorBidi" w:hAnsiTheme="majorBidi" w:cstheme="majorBidi"/>
          <w:lang w:val="en-US"/>
        </w:rPr>
        <w:t xml:space="preserve">                                                        (10)</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Pr>
          <w:rFonts w:ascii="Times New Roman" w:hAnsi="Times New Roman" w:cs="Times New Roman"/>
          <w:lang w:val="en-US"/>
        </w:rPr>
        <w:t>w</w:t>
      </w:r>
      <w:r w:rsidRPr="00972E34">
        <w:rPr>
          <w:rFonts w:ascii="Times New Roman" w:hAnsi="Times New Roman" w:cs="Times New Roman"/>
          <w:lang w:val="en-US"/>
        </w:rPr>
        <w:t>here</w:t>
      </w:r>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it</m:t>
            </m:r>
          </m:sub>
        </m:sSub>
        <m:r>
          <w:rPr>
            <w:rFonts w:ascii="Cambria Math" w:hAnsi="Cambria Math" w:cs="Times New Roman"/>
            <w:lang w:val="en-US"/>
          </w:rPr>
          <m:t>/</m:t>
        </m:r>
        <m:rad>
          <m:radPr>
            <m:degHide m:val="on"/>
            <m:ctrlPr>
              <w:rPr>
                <w:rFonts w:ascii="Cambria Math" w:hAnsi="Cambria Math" w:cs="Times New Roman"/>
                <w:i/>
                <w:lang w:val="en-US"/>
              </w:rPr>
            </m:ctrlPr>
          </m:radPr>
          <m:deg/>
          <m:e>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iit</m:t>
                </m:r>
              </m:sub>
            </m:sSub>
          </m:e>
        </m:rad>
      </m:oMath>
      <w:r w:rsidRPr="00972E34">
        <w:rPr>
          <w:rFonts w:ascii="Times New Roman" w:hAnsi="Times New Roman" w:cs="Times New Roman"/>
          <w:lang w:val="en-US"/>
        </w:rPr>
        <w:t xml:space="preserve"> is the transformed stock return</w:t>
      </w:r>
      <w:r w:rsidR="00EE22D6">
        <w:rPr>
          <w:rFonts w:ascii="Times New Roman" w:hAnsi="Times New Roman" w:cs="Times New Roman"/>
          <w:lang w:val="en-US"/>
        </w:rPr>
        <w:t xml:space="preserve"> and foreign exchange rate returns</w:t>
      </w:r>
      <w:r w:rsidRPr="00972E34">
        <w:rPr>
          <w:rFonts w:ascii="Times New Roman" w:hAnsi="Times New Roman" w:cs="Times New Roman"/>
          <w:lang w:val="en-US"/>
        </w:rPr>
        <w:t xml:space="preserve"> residuals by their estimated standard deviations taken from the univariate AR(1)-FIAPARCH(1,d,1) model.</w:t>
      </w: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 xml:space="preserve">The matrix </w:t>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oMath>
      <w:r w:rsidRPr="00972E34">
        <w:rPr>
          <w:rFonts w:ascii="Times New Roman" w:hAnsi="Times New Roman" w:cs="Times New Roman"/>
          <w:lang w:val="en-US"/>
        </w:rPr>
        <w:t xml:space="preserve"> could be expressed as follows: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r>
          <w:rPr>
            <w:rFonts w:ascii="Cambria Math" w:hAnsi="Cambria Math" w:cstheme="majorBidi"/>
            <w:lang w:val="en-US"/>
          </w:rPr>
          <m:t>=</m:t>
        </m:r>
        <m:sSubSup>
          <m:sSubSupPr>
            <m:ctrlPr>
              <w:rPr>
                <w:rFonts w:ascii="Cambria Math" w:hAnsi="Cambria Math" w:cstheme="majorBidi"/>
                <w:i/>
                <w:lang w:val="en-US"/>
              </w:rPr>
            </m:ctrlPr>
          </m:sSubSupPr>
          <m:e>
            <m:r>
              <w:rPr>
                <w:rFonts w:ascii="Cambria Math" w:hAnsi="Cambria Math" w:cstheme="majorBidi"/>
                <w:lang w:val="en-US"/>
              </w:rPr>
              <m:t>B</m:t>
            </m:r>
          </m:e>
          <m:sub>
            <m:r>
              <w:rPr>
                <w:rFonts w:ascii="Cambria Math" w:hAnsi="Cambria Math" w:cstheme="majorBidi"/>
                <w:lang w:val="en-US"/>
              </w:rPr>
              <m:t>t-1</m:t>
            </m:r>
          </m:sub>
          <m:sup>
            <m:r>
              <w:rPr>
                <w:rFonts w:ascii="Cambria Math" w:hAnsi="Cambria Math" w:cstheme="majorBidi"/>
                <w:lang w:val="en-US"/>
              </w:rPr>
              <m:t>-1</m:t>
            </m:r>
          </m:sup>
        </m:sSubSup>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t-1</m:t>
            </m:r>
          </m:sub>
        </m:sSub>
        <m:sSubSup>
          <m:sSubSupPr>
            <m:ctrlPr>
              <w:rPr>
                <w:rFonts w:ascii="Cambria Math" w:hAnsi="Cambria Math" w:cstheme="majorBidi"/>
                <w:i/>
                <w:lang w:val="en-US"/>
              </w:rPr>
            </m:ctrlPr>
          </m:sSubSupPr>
          <m:e>
            <m:r>
              <w:rPr>
                <w:rFonts w:ascii="Cambria Math" w:hAnsi="Cambria Math" w:cstheme="majorBidi"/>
                <w:lang w:val="en-US"/>
              </w:rPr>
              <m:t>L</m:t>
            </m:r>
          </m:e>
          <m:sub>
            <m:r>
              <w:rPr>
                <w:rFonts w:ascii="Cambria Math" w:hAnsi="Cambria Math" w:cstheme="majorBidi"/>
                <w:lang w:val="en-US"/>
              </w:rPr>
              <m:t>t-1</m:t>
            </m:r>
          </m:sub>
          <m:sup>
            <m:r>
              <w:rPr>
                <w:rFonts w:ascii="Cambria Math" w:hAnsi="Cambria Math" w:cstheme="majorBidi"/>
                <w:lang w:val="en-US"/>
              </w:rPr>
              <m:t>'</m:t>
            </m:r>
          </m:sup>
        </m:sSubSup>
        <m:sSubSup>
          <m:sSubSupPr>
            <m:ctrlPr>
              <w:rPr>
                <w:rFonts w:ascii="Cambria Math" w:hAnsi="Cambria Math" w:cstheme="majorBidi"/>
                <w:i/>
                <w:lang w:val="en-US"/>
              </w:rPr>
            </m:ctrlPr>
          </m:sSubSupPr>
          <m:e>
            <m:r>
              <w:rPr>
                <w:rFonts w:ascii="Cambria Math" w:hAnsi="Cambria Math" w:cstheme="majorBidi"/>
                <w:lang w:val="en-US"/>
              </w:rPr>
              <m:t>B</m:t>
            </m:r>
          </m:e>
          <m:sub>
            <m:r>
              <w:rPr>
                <w:rFonts w:ascii="Cambria Math" w:hAnsi="Cambria Math" w:cstheme="majorBidi"/>
                <w:lang w:val="en-US"/>
              </w:rPr>
              <m:t>t-1</m:t>
            </m:r>
          </m:sub>
          <m:sup>
            <m:r>
              <w:rPr>
                <w:rFonts w:ascii="Cambria Math" w:hAnsi="Cambria Math" w:cstheme="majorBidi"/>
                <w:lang w:val="en-US"/>
              </w:rPr>
              <m:t>-1</m:t>
            </m:r>
          </m:sup>
        </m:sSubSup>
      </m:oMath>
      <w:r w:rsidRPr="00972E34">
        <w:rPr>
          <w:rFonts w:ascii="Times New Roman" w:hAnsi="Times New Roman" w:cs="Times New Roman"/>
          <w:lang w:val="en-US"/>
        </w:rPr>
        <w:t xml:space="preserve">                                                                                                    (11)</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Pr>
          <w:rFonts w:ascii="Times New Roman" w:hAnsi="Times New Roman" w:cs="Times New Roman"/>
          <w:lang w:val="en-US"/>
        </w:rPr>
        <w:t>w</w:t>
      </w:r>
      <w:r w:rsidRPr="00972E34">
        <w:rPr>
          <w:rFonts w:ascii="Times New Roman" w:hAnsi="Times New Roman" w:cs="Times New Roman"/>
          <w:lang w:val="en-US"/>
        </w:rPr>
        <w:t>here</w:t>
      </w:r>
      <m:oMath>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t-1</m:t>
            </m:r>
          </m:sub>
        </m:sSub>
      </m:oMath>
      <w:r w:rsidRPr="00972E34">
        <w:rPr>
          <w:rFonts w:ascii="Times New Roman" w:hAnsi="Times New Roman" w:cs="Times New Roman"/>
          <w:lang w:val="en-US"/>
        </w:rPr>
        <w:t xml:space="preserve"> is a </w:t>
      </w:r>
      <m:oMath>
        <m:r>
          <w:rPr>
            <w:rFonts w:ascii="Cambria Math" w:hAnsi="Cambria Math" w:cs="Times New Roman"/>
            <w:lang w:val="en-US"/>
          </w:rPr>
          <m:t>N×N</m:t>
        </m:r>
      </m:oMath>
      <w:r w:rsidRPr="00972E34">
        <w:rPr>
          <w:rFonts w:ascii="Times New Roman" w:hAnsi="Times New Roman" w:cs="Times New Roman"/>
          <w:lang w:val="en-US"/>
        </w:rPr>
        <w:t xml:space="preserve"> diagonal matrix with </w:t>
      </w:r>
      <m:oMath>
        <m:r>
          <w:rPr>
            <w:rFonts w:ascii="Cambria Math" w:hAnsi="Cambria Math" w:cs="Times New Roman"/>
            <w:lang w:val="en-US"/>
          </w:rPr>
          <m:t>i-th</m:t>
        </m:r>
      </m:oMath>
      <w:r w:rsidRPr="00972E34">
        <w:rPr>
          <w:rFonts w:ascii="Times New Roman" w:hAnsi="Times New Roman" w:cs="Times New Roman"/>
          <w:lang w:val="en-US"/>
        </w:rPr>
        <w:t xml:space="preserve"> diagonal element given by </w:t>
      </w:r>
      <m:oMath>
        <m:d>
          <m:dPr>
            <m:ctrlPr>
              <w:rPr>
                <w:rFonts w:ascii="Cambria Math" w:hAnsi="Cambria Math" w:cstheme="majorBidi"/>
                <w:i/>
                <w:lang w:val="en-US"/>
              </w:rPr>
            </m:ctrlPr>
          </m:dPr>
          <m:e>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i,t-m</m:t>
                    </m:r>
                  </m:sub>
                  <m:sup>
                    <m:r>
                      <w:rPr>
                        <w:rFonts w:ascii="Cambria Math" w:hAnsi="Cambria Math" w:cstheme="majorBidi"/>
                        <w:lang w:val="en-US"/>
                      </w:rPr>
                      <m:t>2</m:t>
                    </m:r>
                  </m:sup>
                </m:sSubSup>
              </m:e>
            </m:nary>
          </m:e>
        </m:d>
      </m:oMath>
      <w:r w:rsidRPr="00972E34">
        <w:rPr>
          <w:rFonts w:ascii="Times New Roman" w:hAnsi="Times New Roman" w:cs="Times New Roman"/>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m:t>
            </m:r>
          </m:sub>
        </m:sSub>
        <m:r>
          <w:rPr>
            <w:rFonts w:ascii="Cambria Math" w:hAnsi="Cambria Math" w:cstheme="majorBidi"/>
            <w:lang w:val="en-US"/>
          </w:rPr>
          <m:t>)</m:t>
        </m:r>
      </m:oMath>
      <w:r w:rsidRPr="00972E34">
        <w:rPr>
          <w:rFonts w:ascii="Times New Roman" w:hAnsi="Times New Roman" w:cs="Times New Roman"/>
          <w:lang w:val="en-US"/>
        </w:rPr>
        <w:t xml:space="preserve"> is a </w:t>
      </w:r>
      <m:oMath>
        <m:r>
          <w:rPr>
            <w:rFonts w:ascii="Cambria Math" w:hAnsi="Cambria Math" w:cs="Times New Roman"/>
            <w:lang w:val="en-US"/>
          </w:rPr>
          <m:t>N×N</m:t>
        </m:r>
      </m:oMath>
      <w:r w:rsidRPr="00972E34">
        <w:rPr>
          <w:rFonts w:ascii="Times New Roman" w:hAnsi="Times New Roman" w:cs="Times New Roman"/>
          <w:lang w:val="en-US"/>
        </w:rPr>
        <w:t xml:space="preserve"> matrix, with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1t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Nt</m:t>
                </m:r>
              </m:sub>
            </m:sSub>
            <m:r>
              <w:rPr>
                <w:rFonts w:ascii="Cambria Math" w:hAnsi="Cambria Math" w:cstheme="majorBidi"/>
                <w:lang w:val="en-US"/>
              </w:rPr>
              <m:t>)</m:t>
            </m:r>
          </m:e>
          <m:sup>
            <m:r>
              <w:rPr>
                <w:rFonts w:ascii="Cambria Math" w:hAnsi="Cambria Math" w:cstheme="majorBidi"/>
                <w:lang w:val="en-US"/>
              </w:rPr>
              <m:t>'</m:t>
            </m:r>
          </m:sup>
        </m:sSup>
      </m:oMath>
      <w:r w:rsidRPr="00972E34">
        <w:rPr>
          <w:rFonts w:ascii="Times New Roman" w:hAnsi="Times New Roman" w:cs="Times New Roman"/>
          <w:lang w:val="en-US"/>
        </w:rPr>
        <w:t>.</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ind w:firstLine="340"/>
        <w:jc w:val="both"/>
        <w:rPr>
          <w:rFonts w:ascii="Times New Roman" w:hAnsi="Times New Roman" w:cs="Times New Roman"/>
          <w:lang w:val="en-US"/>
        </w:rPr>
      </w:pPr>
      <w:r w:rsidRPr="00972E34">
        <w:rPr>
          <w:rFonts w:ascii="Times New Roman" w:hAnsi="Times New Roman" w:cs="Times New Roman"/>
          <w:lang w:val="en-US"/>
        </w:rPr>
        <w:t xml:space="preserve">To ensure the positivity of </w:t>
      </w:r>
      <m:oMath>
        <m:sSub>
          <m:sSubPr>
            <m:ctrlPr>
              <w:rPr>
                <w:rFonts w:ascii="Cambria Math" w:hAnsi="Cambria Math" w:cstheme="majorBidi"/>
                <w:i/>
                <w:lang w:val="en-US"/>
              </w:rPr>
            </m:ctrlPr>
          </m:sSubPr>
          <m:e>
            <m:r>
              <w:rPr>
                <w:rFonts w:ascii="Cambria Math" w:hAnsi="Cambria Math" w:cstheme="majorBidi"/>
                <w:lang w:val="en-US"/>
              </w:rPr>
              <m:t>ψ</m:t>
            </m:r>
          </m:e>
          <m:sub>
            <m:r>
              <w:rPr>
                <w:rFonts w:ascii="Cambria Math" w:hAnsi="Cambria Math" w:cstheme="majorBidi"/>
                <w:lang w:val="en-US"/>
              </w:rPr>
              <m:t>t-1</m:t>
            </m:r>
          </m:sub>
        </m:sSub>
      </m:oMath>
      <w:r w:rsidRPr="00972E34">
        <w:rPr>
          <w:rFonts w:ascii="Times New Roman" w:hAnsi="Times New Roman" w:cs="Times New Roman"/>
          <w:lang w:val="en-US"/>
        </w:rPr>
        <w:t xml:space="preserve"> and therefore of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oMath>
      <w:r w:rsidRPr="00972E34">
        <w:rPr>
          <w:rFonts w:ascii="Times New Roman" w:hAnsi="Times New Roman" w:cs="Times New Roman"/>
          <w:lang w:val="en-US"/>
        </w:rPr>
        <w:t xml:space="preserve">, a necessary condition is that </w:t>
      </w:r>
      <m:oMath>
        <m:r>
          <w:rPr>
            <w:rFonts w:ascii="Cambria Math" w:hAnsi="Cambria Math" w:cs="Times New Roman"/>
            <w:lang w:val="en-US"/>
          </w:rPr>
          <m:t>M≤N.</m:t>
        </m:r>
      </m:oMath>
      <w:r w:rsidRPr="00972E34">
        <w:rPr>
          <w:rFonts w:ascii="Times New Roman" w:hAnsi="Times New Roman" w:cs="Times New Roman"/>
          <w:lang w:val="en-US"/>
        </w:rPr>
        <w:t xml:space="preserve">Then,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oMath>
      <w:r w:rsidRPr="00972E34">
        <w:rPr>
          <w:rFonts w:ascii="Times New Roman" w:hAnsi="Times New Roman" w:cs="Times New Roman"/>
          <w:lang w:val="en-US"/>
        </w:rPr>
        <w:t xml:space="preserve"> itself is a correlation matrix if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t-1</m:t>
            </m:r>
          </m:sub>
        </m:sSub>
      </m:oMath>
      <w:r w:rsidRPr="00972E34">
        <w:rPr>
          <w:rFonts w:ascii="Times New Roman" w:hAnsi="Times New Roman" w:cs="Times New Roman"/>
          <w:lang w:val="en-US"/>
        </w:rPr>
        <w:t>is also a correlation matrix. The correlation coefficient in a bivariate case is given as:</w:t>
      </w:r>
    </w:p>
    <w:p w:rsidR="00A13D9C" w:rsidRPr="00972E34" w:rsidRDefault="00A13D9C" w:rsidP="00A13D9C">
      <w:pPr>
        <w:spacing w:after="0" w:line="240" w:lineRule="auto"/>
        <w:jc w:val="both"/>
        <w:rPr>
          <w:rFonts w:ascii="Times New Roman" w:hAnsi="Times New Roman" w:cs="Times New Roman"/>
          <w:lang w:val="en-US"/>
        </w:rPr>
      </w:pPr>
    </w:p>
    <w:p w:rsidR="00A13D9C" w:rsidRPr="00972E34" w:rsidRDefault="00A13D9C" w:rsidP="00A13D9C">
      <w:pPr>
        <w:spacing w:after="0" w:line="240" w:lineRule="auto"/>
        <w:jc w:val="both"/>
        <w:rPr>
          <w:rFonts w:ascii="Times New Roman" w:hAnsi="Times New Roman" w:cs="Times New Roman"/>
          <w:lang w:val="en-US"/>
        </w:rPr>
      </w:pPr>
      <w:r w:rsidRPr="00972E34">
        <w:rPr>
          <w:rFonts w:ascii="Times New Roman" w:hAnsi="Times New Roman" w:cs="Times New Roman"/>
          <w:lang w:val="en-US"/>
        </w:rPr>
        <w:tab/>
      </w:r>
      <m:oMath>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12,t</m:t>
            </m:r>
          </m:sub>
        </m:sSub>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θ</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θ</m:t>
                </m:r>
              </m:e>
              <m:sub>
                <m:r>
                  <w:rPr>
                    <w:rFonts w:ascii="Cambria Math" w:hAnsi="Cambria Math" w:cs="Times New Roman"/>
                    <w:lang w:val="en-US"/>
                  </w:rPr>
                  <m:t>2</m:t>
                </m:r>
              </m:sub>
            </m:sSub>
          </m:e>
        </m:d>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12</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θ</m:t>
            </m:r>
          </m:e>
          <m:sub>
            <m:r>
              <w:rPr>
                <w:rFonts w:ascii="Cambria Math" w:hAnsi="Cambria Math" w:cs="Times New Roman"/>
                <w:lang w:val="en-US"/>
              </w:rPr>
              <m:t>2</m:t>
            </m:r>
          </m:sub>
        </m:sSub>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12,t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θ</m:t>
            </m:r>
          </m:e>
          <m:sub>
            <m:r>
              <w:rPr>
                <w:rFonts w:ascii="Cambria Math" w:hAnsi="Cambria Math" w:cs="Times New Roman"/>
                <w:lang w:val="en-US"/>
              </w:rPr>
              <m:t>1</m:t>
            </m:r>
          </m:sub>
        </m:sSub>
        <m:f>
          <m:fPr>
            <m:ctrlPr>
              <w:rPr>
                <w:rFonts w:ascii="Cambria Math" w:hAnsi="Cambria Math" w:cstheme="majorBidi"/>
                <w:i/>
                <w:lang w:val="en-US"/>
              </w:rPr>
            </m:ctrlPr>
          </m:fPr>
          <m:num>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1,t-m</m:t>
                    </m:r>
                  </m:sub>
                </m:sSub>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2,t-m</m:t>
                    </m:r>
                  </m:sub>
                </m:sSub>
              </m:e>
            </m:nary>
          </m:num>
          <m:den>
            <m:rad>
              <m:radPr>
                <m:degHide m:val="on"/>
                <m:ctrlPr>
                  <w:rPr>
                    <w:rFonts w:ascii="Cambria Math" w:hAnsi="Cambria Math" w:cstheme="majorBidi"/>
                    <w:i/>
                    <w:lang w:val="en-US"/>
                  </w:rPr>
                </m:ctrlPr>
              </m:radPr>
              <m:deg/>
              <m:e>
                <m:d>
                  <m:dPr>
                    <m:ctrlPr>
                      <w:rPr>
                        <w:rFonts w:ascii="Cambria Math" w:hAnsi="Cambria Math" w:cstheme="majorBidi"/>
                        <w:i/>
                        <w:lang w:val="en-US"/>
                      </w:rPr>
                    </m:ctrlPr>
                  </m:dPr>
                  <m:e>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1,t-m</m:t>
                            </m:r>
                          </m:sub>
                          <m:sup>
                            <m:r>
                              <w:rPr>
                                <w:rFonts w:ascii="Cambria Math" w:hAnsi="Cambria Math" w:cstheme="majorBidi"/>
                                <w:lang w:val="en-US"/>
                              </w:rPr>
                              <m:t>2</m:t>
                            </m:r>
                          </m:sup>
                        </m:sSubSup>
                      </m:e>
                    </m:nary>
                  </m:e>
                </m:d>
                <m:d>
                  <m:dPr>
                    <m:ctrlPr>
                      <w:rPr>
                        <w:rFonts w:ascii="Cambria Math" w:hAnsi="Cambria Math" w:cstheme="majorBidi"/>
                        <w:i/>
                        <w:lang w:val="en-US"/>
                      </w:rPr>
                    </m:ctrlPr>
                  </m:dPr>
                  <m:e>
                    <m:nary>
                      <m:naryPr>
                        <m:chr m:val="∑"/>
                        <m:limLoc m:val="undOvr"/>
                        <m:ctrlPr>
                          <w:rPr>
                            <w:rFonts w:ascii="Cambria Math" w:hAnsi="Cambria Math" w:cstheme="majorBidi"/>
                            <w:i/>
                            <w:lang w:val="en-US"/>
                          </w:rPr>
                        </m:ctrlPr>
                      </m:naryPr>
                      <m:sub>
                        <m:r>
                          <w:rPr>
                            <w:rFonts w:ascii="Cambria Math" w:hAnsi="Cambria Math" w:cstheme="majorBidi"/>
                            <w:lang w:val="en-US"/>
                          </w:rPr>
                          <m:t>m=1</m:t>
                        </m:r>
                      </m:sub>
                      <m:sup>
                        <m:r>
                          <w:rPr>
                            <w:rFonts w:ascii="Cambria Math" w:hAnsi="Cambria Math" w:cstheme="majorBidi"/>
                            <w:lang w:val="en-US"/>
                          </w:rPr>
                          <m:t>M</m:t>
                        </m:r>
                      </m:sup>
                      <m:e>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2,t-m</m:t>
                            </m:r>
                          </m:sub>
                          <m:sup>
                            <m:r>
                              <w:rPr>
                                <w:rFonts w:ascii="Cambria Math" w:hAnsi="Cambria Math" w:cstheme="majorBidi"/>
                                <w:lang w:val="en-US"/>
                              </w:rPr>
                              <m:t>2</m:t>
                            </m:r>
                          </m:sup>
                        </m:sSubSup>
                      </m:e>
                    </m:nary>
                  </m:e>
                </m:d>
              </m:e>
            </m:rad>
          </m:den>
        </m:f>
      </m:oMath>
      <w:r w:rsidRPr="00972E34">
        <w:rPr>
          <w:rFonts w:ascii="Times New Roman" w:hAnsi="Times New Roman" w:cs="Times New Roman"/>
          <w:lang w:val="en-US"/>
        </w:rPr>
        <w:t>(12)</w:t>
      </w:r>
    </w:p>
    <w:p w:rsidR="00A13D9C" w:rsidRDefault="00A13D9C" w:rsidP="00F936A3">
      <w:pPr>
        <w:spacing w:after="0" w:line="240" w:lineRule="auto"/>
        <w:jc w:val="both"/>
        <w:rPr>
          <w:rFonts w:asciiTheme="majorBidi" w:hAnsiTheme="majorBidi" w:cstheme="majorBidi"/>
          <w:b/>
          <w:sz w:val="24"/>
          <w:szCs w:val="24"/>
          <w:lang w:val="en-US"/>
        </w:rPr>
      </w:pPr>
    </w:p>
    <w:p w:rsidR="00A13D9C" w:rsidRPr="0062679E" w:rsidRDefault="00A13D9C" w:rsidP="0062679E">
      <w:pPr>
        <w:pStyle w:val="Paragraphedeliste"/>
        <w:numPr>
          <w:ilvl w:val="1"/>
          <w:numId w:val="1"/>
        </w:numPr>
        <w:spacing w:after="0" w:line="240" w:lineRule="auto"/>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A-DCC-EGARCH model</w:t>
      </w:r>
    </w:p>
    <w:p w:rsidR="00A13D9C" w:rsidRPr="00EF246F" w:rsidRDefault="00A13D9C" w:rsidP="00A13D9C">
      <w:pPr>
        <w:pStyle w:val="Paragraphedeliste"/>
        <w:spacing w:after="0" w:line="240" w:lineRule="auto"/>
        <w:ind w:left="714"/>
        <w:jc w:val="both"/>
        <w:rPr>
          <w:rFonts w:asciiTheme="majorBidi" w:hAnsiTheme="majorBidi" w:cstheme="majorBidi"/>
          <w:bCs/>
          <w:lang w:val="en-US"/>
        </w:rPr>
      </w:pPr>
    </w:p>
    <w:p w:rsidR="00A13D9C" w:rsidRPr="00D14407" w:rsidRDefault="00A13D9C" w:rsidP="00A13D9C">
      <w:pPr>
        <w:spacing w:after="0" w:line="240" w:lineRule="auto"/>
        <w:ind w:firstLine="340"/>
        <w:jc w:val="both"/>
        <w:rPr>
          <w:rFonts w:asciiTheme="majorBidi" w:hAnsiTheme="majorBidi" w:cstheme="majorBidi"/>
          <w:lang w:val="en-US"/>
        </w:rPr>
      </w:pPr>
      <w:r w:rsidRPr="00D14407">
        <w:rPr>
          <w:rFonts w:asciiTheme="majorBidi" w:hAnsiTheme="majorBidi" w:cstheme="majorBidi"/>
          <w:lang w:val="en-US"/>
        </w:rPr>
        <w:t>To investigate the dynamics of the correlati</w:t>
      </w:r>
      <w:r w:rsidR="00F412C9">
        <w:rPr>
          <w:rFonts w:asciiTheme="majorBidi" w:hAnsiTheme="majorBidi" w:cstheme="majorBidi"/>
          <w:lang w:val="en-US"/>
        </w:rPr>
        <w:t>ons between European exchange rate expressed in US dollar (USD) and three stock prices namely NIKKEI225, SSE and MSCI</w:t>
      </w:r>
      <w:r w:rsidRPr="00D14407">
        <w:rPr>
          <w:rFonts w:asciiTheme="majorBidi" w:hAnsiTheme="majorBidi" w:cstheme="majorBidi"/>
          <w:lang w:val="en-US"/>
        </w:rPr>
        <w:t xml:space="preserve">, we use the asymmetric generalized dynamic conditional correlation (AG-DCC) model developed by </w:t>
      </w:r>
      <w:r w:rsidRPr="001E56F3">
        <w:rPr>
          <w:rFonts w:asciiTheme="majorBidi" w:hAnsiTheme="majorBidi" w:cstheme="majorBidi"/>
          <w:color w:val="00B0F0"/>
          <w:lang w:val="en-US"/>
        </w:rPr>
        <w:t>Cappiello et al. (2006)</w:t>
      </w:r>
      <w:r w:rsidRPr="00D14407">
        <w:rPr>
          <w:rFonts w:asciiTheme="majorBidi" w:hAnsiTheme="majorBidi" w:cstheme="majorBidi"/>
          <w:lang w:val="en-US"/>
        </w:rPr>
        <w:t xml:space="preserve">. This approach generalizes the DCC model of </w:t>
      </w:r>
      <w:r w:rsidRPr="001E56F3">
        <w:rPr>
          <w:rFonts w:asciiTheme="majorBidi" w:hAnsiTheme="majorBidi" w:cstheme="majorBidi"/>
          <w:color w:val="00B0F0"/>
          <w:lang w:val="en-US"/>
        </w:rPr>
        <w:t>Engle (2002)</w:t>
      </w:r>
      <w:r w:rsidRPr="00D14407">
        <w:rPr>
          <w:rFonts w:asciiTheme="majorBidi" w:hAnsiTheme="majorBidi" w:cstheme="majorBidi"/>
          <w:lang w:val="en-US"/>
        </w:rPr>
        <w:t xml:space="preserve"> by introducing two modifications: asset-specific correlation evolution parameters and conditional asymmetries in correlation dynamics. In this paper, we adopt the following three step approach (see also </w:t>
      </w:r>
      <w:r w:rsidRPr="001E56F3">
        <w:rPr>
          <w:rFonts w:asciiTheme="majorBidi" w:hAnsiTheme="majorBidi" w:cstheme="majorBidi"/>
          <w:color w:val="00B0F0"/>
          <w:lang w:val="en-US"/>
        </w:rPr>
        <w:t>Kenourgios et al., 2011; Toyoshima et al., 2012; Samitas and Tsakalos, 2013; Toyoshima and Hamori, 2013</w:t>
      </w:r>
      <w:r w:rsidRPr="00D14407">
        <w:rPr>
          <w:rFonts w:asciiTheme="majorBidi" w:hAnsiTheme="majorBidi" w:cstheme="majorBidi"/>
          <w:lang w:val="en-US"/>
        </w:rPr>
        <w:t>). In the first step,  we estimate the conditional variances of exchange rate returns</w:t>
      </w:r>
      <w:r w:rsidR="009203FE">
        <w:rPr>
          <w:rFonts w:asciiTheme="majorBidi" w:hAnsiTheme="majorBidi" w:cstheme="majorBidi"/>
          <w:lang w:val="en-US"/>
        </w:rPr>
        <w:t xml:space="preserve"> and stock market returns</w:t>
      </w:r>
      <w:r w:rsidRPr="00D14407">
        <w:rPr>
          <w:rFonts w:asciiTheme="majorBidi" w:hAnsiTheme="majorBidi" w:cstheme="majorBidi"/>
          <w:lang w:val="en-US"/>
        </w:rPr>
        <w:t xml:space="preserve"> using an autoregressive- asymmetric exponential generalized autoregressive conditional heteroscedasticity (</w:t>
      </w:r>
      <m:oMath>
        <m:r>
          <w:rPr>
            <w:rFonts w:ascii="Cambria Math" w:hAnsi="Cambria Math" w:cstheme="majorBidi"/>
            <w:lang w:val="en-US"/>
          </w:rPr>
          <m:t>AR</m:t>
        </m:r>
        <m:d>
          <m:dPr>
            <m:ctrlPr>
              <w:rPr>
                <w:rFonts w:ascii="Cambria Math" w:hAnsi="Cambria Math" w:cstheme="majorBidi"/>
                <w:i/>
                <w:lang w:val="en-US"/>
              </w:rPr>
            </m:ctrlPr>
          </m:dPr>
          <m:e>
            <m:r>
              <w:rPr>
                <w:rFonts w:ascii="Cambria Math" w:hAnsi="Cambria Math" w:cstheme="majorBidi"/>
                <w:lang w:val="en-US"/>
              </w:rPr>
              <m:t>m</m:t>
            </m:r>
          </m:e>
        </m:d>
        <m:r>
          <w:rPr>
            <w:rFonts w:ascii="Cambria Math" w:hAnsi="Cambria Math" w:cstheme="majorBidi"/>
            <w:lang w:val="en-US"/>
          </w:rPr>
          <m:t>-EGARCH(p,q)</m:t>
        </m:r>
      </m:oMath>
      <w:r w:rsidRPr="00D14407">
        <w:rPr>
          <w:rFonts w:asciiTheme="majorBidi" w:hAnsiTheme="majorBidi" w:cstheme="majorBidi"/>
          <w:lang w:val="en-US"/>
        </w:rPr>
        <w:t>) model</w:t>
      </w:r>
      <w:r w:rsidRPr="00D14407">
        <w:rPr>
          <w:rStyle w:val="Appelnotedebasdep"/>
          <w:rFonts w:asciiTheme="majorBidi" w:hAnsiTheme="majorBidi" w:cstheme="majorBidi"/>
          <w:lang w:val="en-US"/>
        </w:rPr>
        <w:footnoteReference w:id="3"/>
      </w:r>
      <w:r w:rsidRPr="00D14407">
        <w:rPr>
          <w:rFonts w:asciiTheme="majorBidi" w:hAnsiTheme="majorBidi" w:cstheme="majorBidi"/>
          <w:lang w:val="en-US"/>
        </w:rPr>
        <w:t>. For a more detailed analysis, we use the following equations:</w:t>
      </w:r>
    </w:p>
    <w:p w:rsidR="00A13D9C" w:rsidRPr="00D14407" w:rsidRDefault="00A13D9C" w:rsidP="00A13D9C">
      <w:pPr>
        <w:spacing w:after="0" w:line="240" w:lineRule="auto"/>
        <w:ind w:firstLine="357"/>
        <w:jc w:val="both"/>
        <w:rPr>
          <w:rFonts w:asciiTheme="majorBidi" w:hAnsiTheme="majorBidi" w:cstheme="majorBidi"/>
          <w:lang w:val="en-US"/>
        </w:rPr>
      </w:pPr>
    </w:p>
    <w:p w:rsidR="00A13D9C" w:rsidRPr="00D14407" w:rsidRDefault="00011760" w:rsidP="00A13D9C">
      <w:pPr>
        <w:spacing w:after="0" w:line="240" w:lineRule="auto"/>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0</m:t>
            </m:r>
          </m:sub>
        </m:sSub>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m</m:t>
            </m:r>
          </m:sup>
          <m:e>
            <m:sSub>
              <m:sSubPr>
                <m:ctrlPr>
                  <w:rPr>
                    <w:rFonts w:ascii="Cambria Math" w:hAnsi="Cambria Math" w:cstheme="majorBidi"/>
                    <w:i/>
                    <w:lang w:val="en-US"/>
                  </w:rPr>
                </m:ctrlPr>
              </m:sSubPr>
              <m:e>
                <m:r>
                  <w:rPr>
                    <w:rFonts w:ascii="Cambria Math" w:hAnsi="Cambria Math" w:cstheme="majorBidi"/>
                    <w:lang w:val="en-US"/>
                  </w:rPr>
                  <m:t>μ</m:t>
                </m:r>
              </m:e>
              <m:sub>
                <m:r>
                  <w:rPr>
                    <w:rFonts w:ascii="Cambria Math" w:hAnsi="Cambria Math" w:cstheme="majorBidi"/>
                    <w:lang w:val="en-US"/>
                  </w:rPr>
                  <m:t>i</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e>
        </m:nary>
      </m:oMath>
      <w:r w:rsidR="00A13D9C" w:rsidRPr="00D14407">
        <w:rPr>
          <w:rFonts w:asciiTheme="majorBidi" w:hAnsiTheme="majorBidi" w:cstheme="majorBidi"/>
          <w:lang w:val="en-US"/>
        </w:rPr>
        <w:t xml:space="preserve">  (1</w:t>
      </w:r>
      <w:r w:rsidR="00E8634F">
        <w:rPr>
          <w:rFonts w:asciiTheme="majorBidi" w:hAnsiTheme="majorBidi" w:cstheme="majorBidi"/>
          <w:lang w:val="en-US"/>
        </w:rPr>
        <w:t>3</w:t>
      </w:r>
      <w:r w:rsidR="00A13D9C" w:rsidRPr="00D14407">
        <w:rPr>
          <w:rFonts w:asciiTheme="majorBidi" w:hAnsiTheme="majorBidi" w:cstheme="majorBidi"/>
          <w:lang w:val="en-US"/>
        </w:rPr>
        <w:t>)</w:t>
      </w:r>
    </w:p>
    <w:p w:rsidR="00A13D9C" w:rsidRPr="00D14407" w:rsidRDefault="0062679E" w:rsidP="00E8634F">
      <w:pPr>
        <w:spacing w:after="0" w:line="240" w:lineRule="auto"/>
        <w:jc w:val="both"/>
        <w:rPr>
          <w:rFonts w:asciiTheme="majorBidi" w:hAnsiTheme="majorBidi" w:cstheme="majorBidi"/>
          <w:lang w:val="en-US"/>
        </w:rPr>
      </w:pPr>
      <w:r>
        <w:rPr>
          <w:rFonts w:asciiTheme="majorBidi" w:eastAsiaTheme="minorEastAsia" w:hAnsiTheme="majorBidi" w:cstheme="majorBidi"/>
          <w:lang w:val="en-US"/>
        </w:rPr>
        <w:lastRenderedPageBreak/>
        <w:tab/>
      </w:r>
      <w:r>
        <w:rPr>
          <w:rFonts w:asciiTheme="majorBidi" w:eastAsiaTheme="minorEastAsia" w:hAnsiTheme="majorBidi" w:cstheme="majorBidi"/>
          <w:lang w:val="en-US"/>
        </w:rPr>
        <w:tab/>
      </w:r>
      <m:oMath>
        <m:func>
          <m:funcPr>
            <m:ctrlPr>
              <w:rPr>
                <w:rFonts w:ascii="Cambria Math" w:hAnsi="Cambria Math" w:cstheme="majorBidi"/>
                <w:i/>
                <w:lang w:val="en-US"/>
              </w:rPr>
            </m:ctrlPr>
          </m:funcPr>
          <m:fName>
            <m:r>
              <w:rPr>
                <w:rFonts w:ascii="Cambria Math" w:hAnsi="Cambria Math" w:cstheme="majorBidi"/>
                <w:lang w:val="en-US"/>
              </w:rPr>
              <m:t>ln</m:t>
            </m:r>
          </m:fName>
          <m:e>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e>
            </m:d>
          </m:e>
        </m:func>
        <m:r>
          <w:rPr>
            <w:rFonts w:ascii="Cambria Math" w:hAnsi="Cambria Math" w:cstheme="majorBidi"/>
            <w:lang w:val="en-US"/>
          </w:rPr>
          <m:t>=ω+</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q</m:t>
            </m:r>
          </m:sup>
          <m:e>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α</m:t>
                </m:r>
              </m:e>
              <m:sub>
                <m:r>
                  <w:rPr>
                    <w:rFonts w:ascii="Cambria Math" w:hAnsi="Cambria Math" w:cstheme="majorBidi"/>
                    <w:lang w:val="en-US"/>
                  </w:rPr>
                  <m:t>i</m:t>
                </m:r>
              </m:sub>
            </m:sSub>
            <m:d>
              <m:dPr>
                <m:begChr m:val="|"/>
                <m:endChr m:val="|"/>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e>
            </m:d>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r>
              <w:rPr>
                <w:rFonts w:ascii="Cambria Math" w:hAnsi="Cambria Math" w:cstheme="majorBidi"/>
                <w:lang w:val="en-US"/>
              </w:rPr>
              <m:t>]</m:t>
            </m:r>
          </m:e>
        </m:nary>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r>
              <w:rPr>
                <w:rFonts w:ascii="Cambria Math" w:hAnsi="Cambria Math" w:cstheme="majorBidi"/>
                <w:lang w:val="en-US"/>
              </w:rPr>
              <m:t>ln⁡(</m:t>
            </m:r>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t-i</m:t>
                </m:r>
              </m:sub>
            </m:sSub>
            <m:r>
              <w:rPr>
                <w:rFonts w:ascii="Cambria Math" w:hAnsi="Cambria Math" w:cstheme="majorBidi"/>
                <w:lang w:val="en-US"/>
              </w:rPr>
              <m:t>)</m:t>
            </m:r>
          </m:e>
        </m:nary>
      </m:oMath>
      <w:r w:rsidR="00A13D9C" w:rsidRPr="00D14407">
        <w:rPr>
          <w:rFonts w:asciiTheme="majorBidi" w:hAnsiTheme="majorBidi" w:cstheme="majorBidi"/>
          <w:lang w:val="en-US"/>
        </w:rPr>
        <w:t xml:space="preserve"> </w:t>
      </w:r>
      <w:r>
        <w:rPr>
          <w:rFonts w:asciiTheme="majorBidi" w:hAnsiTheme="majorBidi" w:cstheme="majorBidi"/>
          <w:lang w:val="en-US"/>
        </w:rPr>
        <w:t xml:space="preserve">                                      </w:t>
      </w:r>
      <w:r w:rsidR="00A13D9C" w:rsidRPr="00D14407">
        <w:rPr>
          <w:rFonts w:asciiTheme="majorBidi" w:hAnsiTheme="majorBidi" w:cstheme="majorBidi"/>
          <w:lang w:val="en-US"/>
        </w:rPr>
        <w:t>(</w:t>
      </w:r>
      <w:r w:rsidR="00E8634F">
        <w:rPr>
          <w:rFonts w:asciiTheme="majorBidi" w:hAnsiTheme="majorBidi" w:cstheme="majorBidi"/>
          <w:lang w:val="en-US"/>
        </w:rPr>
        <w:t>14</w:t>
      </w:r>
      <w:r w:rsidR="00A13D9C" w:rsidRPr="00D14407">
        <w:rPr>
          <w:rFonts w:asciiTheme="majorBidi" w:hAnsiTheme="majorBidi" w:cstheme="majorBidi"/>
          <w:lang w:val="en-US"/>
        </w:rPr>
        <w:t>)</w:t>
      </w:r>
    </w:p>
    <w:p w:rsidR="00A13D9C" w:rsidRPr="00D14407" w:rsidRDefault="00A13D9C" w:rsidP="00A13D9C">
      <w:pPr>
        <w:spacing w:after="0" w:line="240" w:lineRule="auto"/>
        <w:ind w:firstLine="708"/>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t>where</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oMath>
      <w:r w:rsidRPr="00D14407">
        <w:rPr>
          <w:rFonts w:asciiTheme="majorBidi" w:hAnsiTheme="majorBidi" w:cstheme="majorBidi"/>
          <w:lang w:val="en-US"/>
        </w:rPr>
        <w:t xml:space="preserve"> indicates exchange rate</w:t>
      </w:r>
      <w:r w:rsidR="00F412C9">
        <w:rPr>
          <w:rFonts w:asciiTheme="majorBidi" w:hAnsiTheme="majorBidi" w:cstheme="majorBidi"/>
          <w:lang w:val="en-US"/>
        </w:rPr>
        <w:t xml:space="preserve"> and stock market</w:t>
      </w:r>
      <w:r w:rsidRPr="00D14407">
        <w:rPr>
          <w:rFonts w:asciiTheme="majorBidi" w:hAnsiTheme="majorBidi" w:cstheme="majorBidi"/>
          <w:lang w:val="en-US"/>
        </w:rPr>
        <w:t xml:space="preserve"> returns, </w:t>
      </w:r>
      <m:oMath>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oMath>
      <w:r w:rsidRPr="00D14407">
        <w:rPr>
          <w:rFonts w:asciiTheme="majorBidi" w:hAnsiTheme="majorBidi" w:cstheme="majorBidi"/>
          <w:lang w:val="en-US"/>
        </w:rPr>
        <w:t xml:space="preserve"> is the error term,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oMath>
      <w:r w:rsidRPr="00D14407">
        <w:rPr>
          <w:rFonts w:asciiTheme="majorBidi" w:hAnsiTheme="majorBidi" w:cstheme="majorBidi"/>
          <w:lang w:val="en-US"/>
        </w:rPr>
        <w:t xml:space="preserve"> is the conditional volatility, and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m:t>
            </m:r>
          </m:sub>
        </m:sSub>
        <m:r>
          <w:rPr>
            <w:rFonts w:ascii="Cambria Math" w:hAnsi="Cambria Math" w:cstheme="majorBidi"/>
            <w:lang w:val="en-US"/>
          </w:rPr>
          <m:t>/</m:t>
        </m:r>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e>
        </m:rad>
      </m:oMath>
      <w:r w:rsidRPr="00D14407">
        <w:rPr>
          <w:rFonts w:asciiTheme="majorBidi" w:hAnsiTheme="majorBidi" w:cstheme="majorBidi"/>
          <w:lang w:val="en-US"/>
        </w:rPr>
        <w:t xml:space="preserve"> is the standardized residual.</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ind w:firstLine="340"/>
        <w:jc w:val="both"/>
        <w:rPr>
          <w:rFonts w:asciiTheme="majorBidi" w:eastAsiaTheme="minorEastAsia" w:hAnsiTheme="majorBidi" w:cstheme="majorBidi"/>
          <w:lang w:val="en-US"/>
        </w:rPr>
      </w:pPr>
      <w:r w:rsidRPr="00D14407">
        <w:rPr>
          <w:rFonts w:asciiTheme="majorBidi" w:eastAsiaTheme="minorEastAsia" w:hAnsiTheme="majorBidi" w:cstheme="majorBidi"/>
          <w:lang w:val="en-US"/>
        </w:rPr>
        <w:t xml:space="preserve">The EGARCH model has several advantages over the pure GARCH specification. First, since </w:t>
      </w:r>
      <m:oMath>
        <m:sSub>
          <m:sSubPr>
            <m:ctrlPr>
              <w:rPr>
                <w:rFonts w:ascii="Cambria Math" w:hAnsi="Cambria Math" w:cstheme="majorBidi"/>
                <w:i/>
                <w:lang w:val="en-US"/>
              </w:rPr>
            </m:ctrlPr>
          </m:sSubPr>
          <m:e>
            <m:r>
              <w:rPr>
                <w:rFonts w:ascii="Cambria Math" w:hAnsi="Cambria Math" w:cstheme="majorBidi"/>
                <w:lang w:val="en-US"/>
              </w:rPr>
              <m:t>ln⁡(h</m:t>
            </m:r>
          </m:e>
          <m:sub>
            <m:r>
              <w:rPr>
                <w:rFonts w:ascii="Cambria Math" w:hAnsi="Cambria Math" w:cstheme="majorBidi"/>
                <w:lang w:val="en-US"/>
              </w:rPr>
              <m:t>t</m:t>
            </m:r>
          </m:sub>
        </m:sSub>
        <m:r>
          <w:rPr>
            <w:rFonts w:ascii="Cambria Math" w:hAnsi="Cambria Math" w:cstheme="majorBidi"/>
            <w:lang w:val="en-US"/>
          </w:rPr>
          <m:t>)</m:t>
        </m:r>
      </m:oMath>
      <w:r w:rsidRPr="00D14407">
        <w:rPr>
          <w:rFonts w:asciiTheme="majorBidi" w:eastAsiaTheme="minorEastAsia" w:hAnsiTheme="majorBidi" w:cstheme="majorBidi"/>
          <w:lang w:val="en-US"/>
        </w:rPr>
        <w:t xml:space="preserve"> is modelled, then even if the parameters are negative, </w:t>
      </w:r>
      <m:oMath>
        <m:sSub>
          <m:sSubPr>
            <m:ctrlPr>
              <w:rPr>
                <w:rFonts w:ascii="Cambria Math" w:eastAsiaTheme="minorEastAsia" w:hAnsi="Cambria Math" w:cstheme="majorBidi"/>
                <w:i/>
                <w:iCs/>
              </w:rPr>
            </m:ctrlPr>
          </m:sSubPr>
          <m:e>
            <m:r>
              <w:rPr>
                <w:rFonts w:ascii="Cambria Math" w:eastAsiaTheme="minorEastAsia" w:hAnsi="Cambria Math" w:cstheme="majorBidi"/>
                <w:lang w:val="en-US"/>
              </w:rPr>
              <m:t>h</m:t>
            </m:r>
          </m:e>
          <m:sub>
            <m:r>
              <w:rPr>
                <w:rFonts w:ascii="Cambria Math" w:eastAsiaTheme="minorEastAsia" w:hAnsi="Cambria Math" w:cstheme="majorBidi"/>
              </w:rPr>
              <m:t>t</m:t>
            </m:r>
          </m:sub>
        </m:sSub>
      </m:oMath>
      <w:r w:rsidRPr="00D14407">
        <w:rPr>
          <w:rFonts w:asciiTheme="majorBidi" w:eastAsiaTheme="minorEastAsia" w:hAnsiTheme="majorBidi" w:cstheme="majorBidi"/>
          <w:lang w:val="en-US"/>
        </w:rPr>
        <w:t xml:space="preserve">will be positive. Thus, there is no need to artificially impose non-negativity constraints on the model parameters. Second, asymmetries are allowed for under the EGARCH formulation, since if the relationship between volatility and returns is negative,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oMath>
      <w:r w:rsidRPr="00D14407">
        <w:rPr>
          <w:rFonts w:asciiTheme="majorBidi" w:eastAsiaTheme="minorEastAsia" w:hAnsiTheme="majorBidi" w:cstheme="majorBidi"/>
          <w:lang w:val="en-US"/>
        </w:rPr>
        <w:t xml:space="preserve"> will be negative. </w:t>
      </w:r>
      <w:r w:rsidRPr="00D14407">
        <w:rPr>
          <w:rFonts w:asciiTheme="majorBidi" w:hAnsiTheme="majorBidi" w:cstheme="majorBidi"/>
          <w:lang w:val="en-US"/>
        </w:rPr>
        <w:t xml:space="preserve">Note that a negative value of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oMath>
      <w:r w:rsidRPr="00D14407">
        <w:rPr>
          <w:rFonts w:asciiTheme="majorBidi" w:eastAsiaTheme="minorEastAsia" w:hAnsiTheme="majorBidi" w:cstheme="majorBidi"/>
          <w:lang w:val="en-US"/>
        </w:rPr>
        <w:t xml:space="preserve"> means that negative residuals tend to produce higher variances in the immediate future.</w:t>
      </w:r>
    </w:p>
    <w:p w:rsidR="00A13D9C" w:rsidRPr="00D14407" w:rsidRDefault="00A13D9C" w:rsidP="00A13D9C">
      <w:pPr>
        <w:spacing w:after="0" w:line="240" w:lineRule="auto"/>
        <w:ind w:firstLine="340"/>
        <w:jc w:val="both"/>
        <w:rPr>
          <w:rFonts w:asciiTheme="majorBidi" w:eastAsiaTheme="minorEastAsia" w:hAnsiTheme="majorBidi" w:cstheme="majorBidi"/>
          <w:lang w:val="en-US"/>
        </w:rPr>
      </w:pPr>
      <w:r w:rsidRPr="00D14407">
        <w:rPr>
          <w:rFonts w:asciiTheme="majorBidi" w:hAnsiTheme="majorBidi" w:cstheme="majorBidi"/>
          <w:lang w:val="en-US"/>
        </w:rPr>
        <w:t xml:space="preserve">Furthermore, we assume that the random variable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D14407">
        <w:rPr>
          <w:rFonts w:asciiTheme="majorBidi" w:hAnsiTheme="majorBidi" w:cstheme="majorBidi"/>
          <w:lang w:val="en-US"/>
        </w:rPr>
        <w:t xml:space="preserve"> has a student distribution (see </w:t>
      </w:r>
      <w:r w:rsidRPr="000B26FB">
        <w:rPr>
          <w:rFonts w:asciiTheme="majorBidi" w:hAnsiTheme="majorBidi" w:cstheme="majorBidi"/>
          <w:color w:val="00B0F0"/>
          <w:lang w:val="en-US"/>
        </w:rPr>
        <w:t>Bollerslev, 1987</w:t>
      </w:r>
      <w:r w:rsidRPr="00D14407">
        <w:rPr>
          <w:rFonts w:asciiTheme="majorBidi" w:hAnsiTheme="majorBidi" w:cstheme="majorBidi"/>
          <w:lang w:val="en-US"/>
        </w:rPr>
        <w:t xml:space="preserve">) with </w:t>
      </w:r>
      <m:oMath>
        <m:r>
          <w:rPr>
            <w:rFonts w:ascii="Cambria Math" w:hAnsi="Cambria Math" w:cstheme="majorBidi"/>
            <w:lang w:val="en-US"/>
          </w:rPr>
          <m:t>υ&gt;2</m:t>
        </m:r>
      </m:oMath>
      <w:r w:rsidRPr="00D14407">
        <w:rPr>
          <w:rFonts w:asciiTheme="majorBidi" w:hAnsiTheme="majorBidi" w:cstheme="majorBidi"/>
          <w:lang w:val="en-US"/>
        </w:rPr>
        <w:t xml:space="preserve"> degrees of freedom with a density given by:</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tab/>
      </w:r>
      <m:oMath>
        <m:r>
          <w:rPr>
            <w:rFonts w:ascii="Cambria Math" w:hAnsi="Cambria Math" w:cstheme="majorBidi"/>
            <w:lang w:val="en-US"/>
          </w:rPr>
          <m:t>D</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,υ</m:t>
            </m:r>
          </m:e>
        </m:d>
        <m:r>
          <w:rPr>
            <w:rFonts w:ascii="Cambria Math" w:hAnsi="Cambria Math" w:cstheme="majorBidi"/>
            <w:lang w:val="en-US"/>
          </w:rPr>
          <m:t>=</m:t>
        </m:r>
        <m:f>
          <m:fPr>
            <m:ctrlPr>
              <w:rPr>
                <w:rFonts w:ascii="Cambria Math" w:hAnsi="Cambria Math" w:cstheme="majorBidi"/>
                <w:i/>
                <w:lang w:val="en-US"/>
              </w:rPr>
            </m:ctrlPr>
          </m:fPr>
          <m:num>
            <m:r>
              <m:rPr>
                <m:sty m:val="p"/>
              </m:rPr>
              <w:rPr>
                <w:rFonts w:ascii="Cambria Math" w:hAnsi="Cambria Math" w:cstheme="majorBidi"/>
                <w:lang w:val="en-US"/>
              </w:rPr>
              <m:t>Γ</m:t>
            </m:r>
            <m:r>
              <w:rPr>
                <w:rFonts w:ascii="Cambria Math" w:hAnsi="Cambria Math" w:cstheme="majorBidi"/>
                <w:lang w:val="en-US"/>
              </w:rPr>
              <m:t>(υ+</m:t>
            </m:r>
            <m:f>
              <m:fPr>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r>
              <w:rPr>
                <w:rFonts w:ascii="Cambria Math" w:hAnsi="Cambria Math" w:cstheme="majorBidi"/>
                <w:lang w:val="en-US"/>
              </w:rPr>
              <m:t>)</m:t>
            </m:r>
          </m:num>
          <m:den>
            <m:r>
              <m:rPr>
                <m:sty m:val="p"/>
              </m:rPr>
              <w:rPr>
                <w:rFonts w:ascii="Cambria Math" w:hAnsi="Cambria Math" w:cstheme="majorBidi"/>
                <w:lang w:val="en-US"/>
              </w:rPr>
              <m:t>Γ</m:t>
            </m:r>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υ</m:t>
                </m:r>
              </m:num>
              <m:den>
                <m:r>
                  <w:rPr>
                    <w:rFonts w:ascii="Cambria Math" w:hAnsi="Cambria Math" w:cstheme="majorBidi"/>
                    <w:lang w:val="en-US"/>
                  </w:rPr>
                  <m:t>2</m:t>
                </m:r>
              </m:den>
            </m:f>
            <m:r>
              <w:rPr>
                <w:rFonts w:ascii="Cambria Math" w:hAnsi="Cambria Math" w:cstheme="majorBidi"/>
                <w:lang w:val="en-US"/>
              </w:rPr>
              <m:t>)</m:t>
            </m:r>
            <m:rad>
              <m:radPr>
                <m:degHide m:val="on"/>
                <m:ctrlPr>
                  <w:rPr>
                    <w:rFonts w:ascii="Cambria Math" w:hAnsi="Cambria Math" w:cstheme="majorBidi"/>
                    <w:i/>
                    <w:lang w:val="en-US"/>
                  </w:rPr>
                </m:ctrlPr>
              </m:radPr>
              <m:deg/>
              <m:e>
                <m:r>
                  <w:rPr>
                    <w:rFonts w:ascii="Cambria Math" w:hAnsi="Cambria Math" w:cstheme="majorBidi"/>
                    <w:lang w:val="en-US"/>
                  </w:rPr>
                  <m:t>π(υ-2)</m:t>
                </m:r>
              </m:e>
            </m:rad>
          </m:den>
        </m:f>
        <m:sSup>
          <m:sSupPr>
            <m:ctrlPr>
              <w:rPr>
                <w:rFonts w:ascii="Cambria Math" w:hAnsi="Cambria Math" w:cstheme="majorBidi"/>
                <w:i/>
                <w:lang w:val="en-US"/>
              </w:rPr>
            </m:ctrlPr>
          </m:sSupPr>
          <m:e>
            <m:r>
              <w:rPr>
                <w:rFonts w:ascii="Cambria Math" w:hAnsi="Cambria Math" w:cstheme="majorBidi"/>
                <w:lang w:val="en-US"/>
              </w:rPr>
              <m:t>(1+</m:t>
            </m:r>
            <m:f>
              <m:fPr>
                <m:ctrlPr>
                  <w:rPr>
                    <w:rFonts w:ascii="Cambria Math" w:hAnsi="Cambria Math" w:cstheme="majorBidi"/>
                    <w:i/>
                    <w:lang w:val="en-US"/>
                  </w:rPr>
                </m:ctrlPr>
              </m:fPr>
              <m:num>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t</m:t>
                    </m:r>
                  </m:sub>
                  <m:sup>
                    <m:r>
                      <w:rPr>
                        <w:rFonts w:ascii="Cambria Math" w:hAnsi="Cambria Math" w:cstheme="majorBidi"/>
                        <w:lang w:val="en-US"/>
                      </w:rPr>
                      <m:t>2</m:t>
                    </m:r>
                  </m:sup>
                </m:sSubSup>
              </m:num>
              <m:den>
                <m:r>
                  <w:rPr>
                    <w:rFonts w:ascii="Cambria Math" w:hAnsi="Cambria Math" w:cstheme="majorBidi"/>
                    <w:lang w:val="en-US"/>
                  </w:rPr>
                  <m:t>υ-2</m:t>
                </m:r>
              </m:den>
            </m:f>
            <m:r>
              <w:rPr>
                <w:rFonts w:ascii="Cambria Math" w:hAnsi="Cambria Math" w:cstheme="majorBidi"/>
                <w:lang w:val="en-US"/>
              </w:rPr>
              <m:t>)</m:t>
            </m:r>
          </m:e>
          <m:sup>
            <m:f>
              <m:fPr>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r>
              <w:rPr>
                <w:rFonts w:ascii="Cambria Math" w:hAnsi="Cambria Math" w:cstheme="majorBidi"/>
                <w:lang w:val="en-US"/>
              </w:rPr>
              <m:t>-υ</m:t>
            </m:r>
          </m:sup>
        </m:sSup>
      </m:oMath>
      <w:r w:rsidR="00E8634F">
        <w:rPr>
          <w:rFonts w:asciiTheme="majorBidi" w:hAnsiTheme="majorBidi" w:cstheme="majorBidi"/>
          <w:lang w:val="en-US"/>
        </w:rPr>
        <w:t xml:space="preserve"> </w:t>
      </w:r>
      <w:r w:rsidR="0062679E">
        <w:rPr>
          <w:rFonts w:asciiTheme="majorBidi" w:hAnsiTheme="majorBidi" w:cstheme="majorBidi"/>
          <w:lang w:val="en-US"/>
        </w:rPr>
        <w:t xml:space="preserve">                                                                                      </w:t>
      </w:r>
      <w:r w:rsidR="00E8634F">
        <w:rPr>
          <w:rFonts w:asciiTheme="majorBidi" w:hAnsiTheme="majorBidi" w:cstheme="majorBidi"/>
          <w:lang w:val="en-US"/>
        </w:rPr>
        <w:t>(15</w:t>
      </w:r>
      <w:r w:rsidRPr="00D14407">
        <w:rPr>
          <w:rFonts w:asciiTheme="majorBidi" w:hAnsiTheme="majorBidi" w:cstheme="majorBidi"/>
          <w:lang w:val="en-US"/>
        </w:rPr>
        <w:t>)</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t>where</w:t>
      </w:r>
      <m:oMath>
        <m:r>
          <m:rPr>
            <m:sty m:val="p"/>
          </m:rPr>
          <w:rPr>
            <w:rFonts w:ascii="Cambria Math" w:hAnsi="Cambria Math" w:cstheme="majorBidi"/>
            <w:lang w:val="en-US"/>
          </w:rPr>
          <m:t>Γ</m:t>
        </m:r>
        <m:r>
          <w:rPr>
            <w:rFonts w:ascii="Cambria Math" w:hAnsi="Cambria Math" w:cstheme="majorBidi"/>
            <w:lang w:val="en-US"/>
          </w:rPr>
          <m:t>(υ)</m:t>
        </m:r>
      </m:oMath>
      <w:r w:rsidRPr="00D14407">
        <w:rPr>
          <w:rFonts w:asciiTheme="majorBidi" w:hAnsiTheme="majorBidi" w:cstheme="majorBidi"/>
          <w:lang w:val="en-US"/>
        </w:rPr>
        <w:t xml:space="preserve"> is the gamma function and </w:t>
      </w:r>
      <m:oMath>
        <m:r>
          <w:rPr>
            <w:rFonts w:ascii="Cambria Math" w:hAnsi="Cambria Math" w:cstheme="majorBidi"/>
            <w:lang w:val="en-US"/>
          </w:rPr>
          <m:t>υ</m:t>
        </m:r>
      </m:oMath>
      <w:r w:rsidRPr="00D14407">
        <w:rPr>
          <w:rFonts w:asciiTheme="majorBidi" w:hAnsiTheme="majorBidi" w:cstheme="majorBidi"/>
          <w:lang w:val="en-US"/>
        </w:rPr>
        <w:t xml:space="preserve"> is the parameter that describes the thickness of the distribution tails. The Student distribution is symmetric around zero and, for </w:t>
      </w:r>
      <m:oMath>
        <m:r>
          <w:rPr>
            <w:rFonts w:ascii="Cambria Math" w:hAnsi="Cambria Math" w:cstheme="majorBidi"/>
            <w:lang w:val="en-US"/>
          </w:rPr>
          <m:t>v &gt;4</m:t>
        </m:r>
      </m:oMath>
      <w:r w:rsidRPr="00D14407">
        <w:rPr>
          <w:rFonts w:asciiTheme="majorBidi" w:hAnsiTheme="majorBidi" w:cstheme="majorBidi"/>
          <w:lang w:val="en-US"/>
        </w:rPr>
        <w:t xml:space="preserve">, the conditional kurtosis equals </w:t>
      </w:r>
      <m:oMath>
        <m:r>
          <w:rPr>
            <w:rFonts w:ascii="Cambria Math" w:hAnsi="Cambria Math" w:cstheme="majorBidi"/>
            <w:lang w:val="en-US"/>
          </w:rPr>
          <m:t>3(v -2)/(v -4),</m:t>
        </m:r>
      </m:oMath>
      <w:r w:rsidRPr="00D14407">
        <w:rPr>
          <w:rFonts w:asciiTheme="majorBidi" w:hAnsiTheme="majorBidi" w:cstheme="majorBidi"/>
          <w:lang w:val="en-US"/>
        </w:rPr>
        <w:t xml:space="preserve"> which exceeds the normal value of three. For large values of </w:t>
      </w:r>
      <m:oMath>
        <m:r>
          <w:rPr>
            <w:rFonts w:ascii="Cambria Math" w:hAnsi="Cambria Math" w:cstheme="majorBidi"/>
            <w:lang w:val="en-US"/>
          </w:rPr>
          <m:t>v</m:t>
        </m:r>
      </m:oMath>
      <w:r w:rsidRPr="00D14407">
        <w:rPr>
          <w:rFonts w:asciiTheme="majorBidi" w:hAnsiTheme="majorBidi" w:cstheme="majorBidi"/>
          <w:lang w:val="en-US"/>
        </w:rPr>
        <w:t>, its density converges to that of the standard normal.</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ind w:firstLine="340"/>
        <w:jc w:val="both"/>
        <w:rPr>
          <w:rFonts w:asciiTheme="majorBidi" w:hAnsiTheme="majorBidi" w:cstheme="majorBidi"/>
          <w:lang w:val="en-US"/>
        </w:rPr>
      </w:pPr>
      <w:r w:rsidRPr="00D14407">
        <w:rPr>
          <w:rFonts w:asciiTheme="majorBidi" w:hAnsiTheme="majorBidi" w:cstheme="majorBidi"/>
          <w:lang w:val="en-US"/>
        </w:rPr>
        <w:t xml:space="preserve">The log form of the </w:t>
      </w:r>
      <w:r w:rsidRPr="00D14407">
        <w:rPr>
          <w:rFonts w:asciiTheme="majorBidi" w:eastAsiaTheme="minorEastAsia" w:hAnsiTheme="majorBidi" w:cstheme="majorBidi"/>
          <w:lang w:val="en-US"/>
        </w:rPr>
        <w:t>EGARCH(p,q)</w:t>
      </w:r>
      <w:r w:rsidRPr="00D14407">
        <w:rPr>
          <w:rFonts w:asciiTheme="majorBidi" w:hAnsiTheme="majorBidi" w:cstheme="majorBidi"/>
          <w:lang w:val="en-US"/>
        </w:rPr>
        <w:t xml:space="preserve"> model ensures the positivity of the conditional variance, without the need to constrain the parameters of the model. The term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oMath>
      <w:r w:rsidRPr="00D14407">
        <w:rPr>
          <w:rFonts w:asciiTheme="majorBidi" w:hAnsiTheme="majorBidi" w:cstheme="majorBidi"/>
          <w:lang w:val="en-US"/>
        </w:rPr>
        <w:t xml:space="preserve"> indicates the asymmetric effect of positive and negative shocks. If </w:t>
      </w:r>
      <m:oMath>
        <m:sSub>
          <m:sSubPr>
            <m:ctrlPr>
              <w:rPr>
                <w:rFonts w:ascii="Cambria Math" w:hAnsi="Cambria Math" w:cstheme="majorBidi"/>
                <w:i/>
                <w:lang w:val="en-US"/>
              </w:rPr>
            </m:ctrlPr>
          </m:sSubPr>
          <m:e>
            <m:r>
              <w:rPr>
                <w:rFonts w:ascii="Cambria Math" w:hAnsi="Cambria Math" w:cstheme="majorBidi"/>
                <w:lang w:val="en-US"/>
              </w:rPr>
              <m:t>γ</m:t>
            </m:r>
          </m:e>
          <m:sub>
            <m:r>
              <w:rPr>
                <w:rFonts w:ascii="Cambria Math" w:hAnsi="Cambria Math" w:cstheme="majorBidi"/>
                <w:lang w:val="en-US"/>
              </w:rPr>
              <m:t>i</m:t>
            </m:r>
          </m:sub>
        </m:sSub>
        <m:r>
          <w:rPr>
            <w:rFonts w:ascii="Cambria Math" w:hAnsi="Cambria Math" w:cstheme="majorBidi"/>
            <w:lang w:val="en-US"/>
          </w:rPr>
          <m:t>&gt;0</m:t>
        </m:r>
      </m:oMath>
      <w:r w:rsidRPr="00D14407">
        <w:rPr>
          <w:rFonts w:asciiTheme="majorBidi" w:hAnsiTheme="majorBidi" w:cstheme="majorBidi"/>
          <w:lang w:val="en-US"/>
        </w:rPr>
        <w:t xml:space="preserve">, then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ε</m:t>
            </m:r>
          </m:e>
          <m:sub>
            <m:r>
              <w:rPr>
                <w:rFonts w:ascii="Cambria Math" w:hAnsi="Cambria Math" w:cstheme="majorBidi"/>
                <w:lang w:val="en-US"/>
              </w:rPr>
              <m:t>t-i</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σ</m:t>
            </m:r>
          </m:e>
          <m:sub>
            <m:r>
              <w:rPr>
                <w:rFonts w:ascii="Cambria Math" w:hAnsi="Cambria Math" w:cstheme="majorBidi"/>
                <w:lang w:val="en-US"/>
              </w:rPr>
              <m:t>t-i</m:t>
            </m:r>
          </m:sub>
        </m:sSub>
      </m:oMath>
      <w:r w:rsidRPr="00D14407">
        <w:rPr>
          <w:rFonts w:asciiTheme="majorBidi" w:hAnsiTheme="majorBidi" w:cstheme="majorBidi"/>
          <w:lang w:val="en-US"/>
        </w:rPr>
        <w:t xml:space="preserve"> is positive. The term </w:t>
      </w:r>
      <m:oMath>
        <m:nary>
          <m:naryPr>
            <m:chr m:val="∑"/>
            <m:limLoc m:val="undOvr"/>
            <m:ctrlPr>
              <w:rPr>
                <w:rFonts w:ascii="Cambria Math" w:hAnsi="Cambria Math" w:cstheme="majorBidi"/>
                <w:i/>
                <w:lang w:val="en-US"/>
              </w:rPr>
            </m:ctrlPr>
          </m:naryPr>
          <m:sub>
            <m:r>
              <w:rPr>
                <w:rFonts w:ascii="Cambria Math" w:hAnsi="Cambria Math" w:cstheme="majorBidi"/>
                <w:lang w:val="en-US"/>
              </w:rPr>
              <m:t>i=1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i</m:t>
                </m:r>
              </m:sub>
            </m:sSub>
          </m:e>
        </m:nary>
      </m:oMath>
      <w:r w:rsidRPr="00D14407">
        <w:rPr>
          <w:rFonts w:asciiTheme="majorBidi" w:hAnsiTheme="majorBidi" w:cstheme="majorBidi"/>
          <w:lang w:val="en-US"/>
        </w:rPr>
        <w:t xml:space="preserve"> measures the persistence of shocks to the conditional variance.</w:t>
      </w:r>
    </w:p>
    <w:p w:rsidR="00A13D9C" w:rsidRPr="00D14407" w:rsidRDefault="00A13D9C" w:rsidP="00A13D9C">
      <w:pPr>
        <w:spacing w:after="0" w:line="240" w:lineRule="auto"/>
        <w:ind w:firstLine="340"/>
        <w:jc w:val="both"/>
        <w:rPr>
          <w:rFonts w:asciiTheme="majorBidi" w:hAnsiTheme="majorBidi" w:cstheme="majorBidi"/>
          <w:lang w:val="en-US"/>
        </w:rPr>
      </w:pPr>
      <w:r w:rsidRPr="00D14407">
        <w:rPr>
          <w:rFonts w:asciiTheme="majorBidi" w:hAnsiTheme="majorBidi" w:cstheme="majorBidi"/>
          <w:lang w:val="en-US"/>
        </w:rPr>
        <w:t>The conditional mean equation (Eq. 1</w:t>
      </w:r>
      <w:r w:rsidR="009325DF">
        <w:rPr>
          <w:rFonts w:asciiTheme="majorBidi" w:hAnsiTheme="majorBidi" w:cstheme="majorBidi"/>
          <w:lang w:val="en-US"/>
        </w:rPr>
        <w:t>3</w:t>
      </w:r>
      <w:r w:rsidRPr="00D14407">
        <w:rPr>
          <w:rFonts w:asciiTheme="majorBidi" w:hAnsiTheme="majorBidi" w:cstheme="majorBidi"/>
          <w:lang w:val="en-US"/>
        </w:rPr>
        <w:t xml:space="preserve">) is specified as an autoregressive process of order </w:t>
      </w:r>
      <m:oMath>
        <m:r>
          <w:rPr>
            <w:rFonts w:ascii="Cambria Math" w:hAnsi="Cambria Math" w:cstheme="majorBidi"/>
            <w:lang w:val="en-US"/>
          </w:rPr>
          <m:t>m</m:t>
        </m:r>
      </m:oMath>
      <w:r w:rsidRPr="00D14407">
        <w:rPr>
          <w:rFonts w:asciiTheme="majorBidi" w:hAnsiTheme="majorBidi" w:cstheme="majorBidi"/>
          <w:lang w:val="en-US"/>
        </w:rPr>
        <w:t xml:space="preserve">. The optimal lag length </w:t>
      </w:r>
      <m:oMath>
        <m:r>
          <w:rPr>
            <w:rFonts w:ascii="Cambria Math" w:hAnsi="Cambria Math" w:cstheme="majorBidi"/>
            <w:lang w:val="en-US"/>
          </w:rPr>
          <m:t>m</m:t>
        </m:r>
      </m:oMath>
      <w:r w:rsidRPr="00D14407">
        <w:rPr>
          <w:rFonts w:asciiTheme="majorBidi" w:hAnsiTheme="majorBidi" w:cstheme="majorBidi"/>
          <w:lang w:val="en-US"/>
        </w:rPr>
        <w:t xml:space="preserve"> for each exchange return series is given by the Schwartz-Bayesian Information Criterion (SBIC). Eq. </w:t>
      </w:r>
      <w:r>
        <w:rPr>
          <w:rFonts w:asciiTheme="majorBidi" w:hAnsiTheme="majorBidi" w:cstheme="majorBidi"/>
          <w:lang w:val="en-US"/>
        </w:rPr>
        <w:t>(</w:t>
      </w:r>
      <w:r w:rsidR="009325DF">
        <w:rPr>
          <w:rFonts w:asciiTheme="majorBidi" w:hAnsiTheme="majorBidi" w:cstheme="majorBidi"/>
          <w:lang w:val="en-US"/>
        </w:rPr>
        <w:t>14</w:t>
      </w:r>
      <w:r>
        <w:rPr>
          <w:rFonts w:asciiTheme="majorBidi" w:hAnsiTheme="majorBidi" w:cstheme="majorBidi"/>
          <w:lang w:val="en-US"/>
        </w:rPr>
        <w:t>)</w:t>
      </w:r>
      <w:r w:rsidRPr="00D14407">
        <w:rPr>
          <w:rFonts w:asciiTheme="majorBidi" w:hAnsiTheme="majorBidi" w:cstheme="majorBidi"/>
          <w:lang w:val="en-US"/>
        </w:rPr>
        <w:t xml:space="preserve"> represents the conditional variance and is specified as and </w:t>
      </w:r>
      <w:r w:rsidRPr="00D14407">
        <w:rPr>
          <w:rFonts w:asciiTheme="majorBidi" w:eastAsiaTheme="minorEastAsia" w:hAnsiTheme="majorBidi" w:cstheme="majorBidi"/>
          <w:lang w:val="en-US"/>
        </w:rPr>
        <w:t>EGARCH(p,q)</w:t>
      </w:r>
      <w:r w:rsidRPr="00D14407">
        <w:rPr>
          <w:rFonts w:asciiTheme="majorBidi" w:hAnsiTheme="majorBidi" w:cstheme="majorBidi"/>
          <w:lang w:val="en-US"/>
        </w:rPr>
        <w:t xml:space="preserve"> process. The optimal lag lengths </w:t>
      </w:r>
      <m:oMath>
        <m:r>
          <w:rPr>
            <w:rFonts w:ascii="Cambria Math" w:hAnsi="Cambria Math" w:cstheme="majorBidi"/>
            <w:lang w:val="en-US"/>
          </w:rPr>
          <m:t>p</m:t>
        </m:r>
      </m:oMath>
      <w:r w:rsidRPr="00D14407">
        <w:rPr>
          <w:rFonts w:asciiTheme="majorBidi" w:hAnsiTheme="majorBidi" w:cstheme="majorBidi"/>
          <w:lang w:val="en-US"/>
        </w:rPr>
        <w:t xml:space="preserve"> and </w:t>
      </w:r>
      <m:oMath>
        <m:r>
          <w:rPr>
            <w:rFonts w:ascii="Cambria Math" w:hAnsi="Cambria Math" w:cstheme="majorBidi"/>
            <w:lang w:val="en-US"/>
          </w:rPr>
          <m:t>q</m:t>
        </m:r>
      </m:oMath>
      <w:r w:rsidRPr="00D14407">
        <w:rPr>
          <w:rFonts w:asciiTheme="majorBidi" w:hAnsiTheme="majorBidi" w:cstheme="majorBidi"/>
          <w:lang w:val="en-US"/>
        </w:rPr>
        <w:t xml:space="preserve"> are determined by employin</w:t>
      </w:r>
      <w:r w:rsidR="002A5744">
        <w:rPr>
          <w:rFonts w:asciiTheme="majorBidi" w:hAnsiTheme="majorBidi" w:cstheme="majorBidi"/>
          <w:lang w:val="en-US"/>
        </w:rPr>
        <w:t>g the SBIC criterion. From Eq. 14</w:t>
      </w:r>
      <w:r w:rsidRPr="00D14407">
        <w:rPr>
          <w:rFonts w:asciiTheme="majorBidi" w:hAnsiTheme="majorBidi" w:cstheme="majorBidi"/>
          <w:lang w:val="en-US"/>
        </w:rPr>
        <w:t>, we first obtain the conditional volatilities and then recover the conditional correlations. The conditional covariance matrix is then defined as follows:</w:t>
      </w:r>
    </w:p>
    <w:p w:rsidR="00A13D9C" w:rsidRPr="00D14407" w:rsidRDefault="00A13D9C" w:rsidP="00A13D9C">
      <w:pPr>
        <w:spacing w:after="0" w:line="240" w:lineRule="auto"/>
        <w:ind w:firstLine="340"/>
        <w:jc w:val="both"/>
        <w:rPr>
          <w:rFonts w:asciiTheme="majorBidi" w:hAnsiTheme="majorBidi" w:cstheme="majorBidi"/>
          <w:lang w:val="en-US"/>
        </w:rPr>
      </w:pPr>
    </w:p>
    <w:p w:rsidR="00A13D9C" w:rsidRPr="00D14407" w:rsidRDefault="00011760" w:rsidP="00A13D9C">
      <w:pPr>
        <w:ind w:firstLine="360"/>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oMath>
      <w:r w:rsidR="002A5744">
        <w:rPr>
          <w:rFonts w:asciiTheme="majorBidi" w:hAnsiTheme="majorBidi" w:cstheme="majorBidi"/>
          <w:lang w:val="en-US"/>
        </w:rPr>
        <w:t xml:space="preserve"> </w:t>
      </w:r>
      <w:r w:rsidR="0062679E">
        <w:rPr>
          <w:rFonts w:asciiTheme="majorBidi" w:hAnsiTheme="majorBidi" w:cstheme="majorBidi"/>
          <w:lang w:val="en-US"/>
        </w:rPr>
        <w:t xml:space="preserve">                                                                                                                                </w:t>
      </w:r>
      <w:r w:rsidR="002A5744">
        <w:rPr>
          <w:rFonts w:asciiTheme="majorBidi" w:hAnsiTheme="majorBidi" w:cstheme="majorBidi"/>
          <w:lang w:val="en-US"/>
        </w:rPr>
        <w:t xml:space="preserve"> (16</w:t>
      </w:r>
      <w:r w:rsidR="00A13D9C" w:rsidRPr="00D14407">
        <w:rPr>
          <w:rFonts w:asciiTheme="majorBidi" w:hAnsiTheme="majorBidi" w:cstheme="majorBidi"/>
          <w:lang w:val="en-US"/>
        </w:rPr>
        <w:t>)</w:t>
      </w: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t xml:space="preserve">where the diagonal matrix </w:t>
      </w:r>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t</m:t>
            </m:r>
          </m:sub>
        </m:sSub>
      </m:oMath>
      <w:r w:rsidRPr="00D14407">
        <w:rPr>
          <w:rFonts w:asciiTheme="majorBidi" w:hAnsiTheme="majorBidi" w:cstheme="majorBidi"/>
          <w:lang w:val="en-US"/>
        </w:rPr>
        <w:t xml:space="preserve"> is the conditional standard deviation obtained from Eq. </w:t>
      </w:r>
      <w:r>
        <w:rPr>
          <w:rFonts w:asciiTheme="majorBidi" w:hAnsiTheme="majorBidi" w:cstheme="majorBidi"/>
          <w:lang w:val="en-US"/>
        </w:rPr>
        <w:t>(</w:t>
      </w:r>
      <w:r w:rsidR="00B538A1">
        <w:rPr>
          <w:rFonts w:asciiTheme="majorBidi" w:hAnsiTheme="majorBidi" w:cstheme="majorBidi"/>
          <w:lang w:val="en-US"/>
        </w:rPr>
        <w:t>14</w:t>
      </w:r>
      <w:r>
        <w:rPr>
          <w:rFonts w:asciiTheme="majorBidi" w:hAnsiTheme="majorBidi" w:cstheme="majorBidi"/>
          <w:lang w:val="en-US"/>
        </w:rPr>
        <w:t>)</w:t>
      </w:r>
      <w:r w:rsidRPr="00D14407">
        <w:rPr>
          <w:rFonts w:asciiTheme="majorBidi" w:hAnsiTheme="majorBidi" w:cstheme="majorBidi"/>
          <w:lang w:val="en-US"/>
        </w:rPr>
        <w:t xml:space="preserve">. The matrix of the standardized residuals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D14407">
        <w:rPr>
          <w:rFonts w:asciiTheme="majorBidi" w:hAnsiTheme="majorBidi" w:cstheme="majorBidi"/>
          <w:lang w:val="en-US"/>
        </w:rPr>
        <w:t xml:space="preserve"> is used to estimate the parameters of the asymmetric dynamic conditional correlation (A-DCC) model developed by </w:t>
      </w:r>
      <w:r w:rsidRPr="000B26FB">
        <w:rPr>
          <w:rFonts w:asciiTheme="majorBidi" w:hAnsiTheme="majorBidi" w:cstheme="majorBidi"/>
          <w:color w:val="00B0F0"/>
          <w:lang w:val="en-US"/>
        </w:rPr>
        <w:t>Cappiello et al. (2006)</w:t>
      </w:r>
      <w:r w:rsidRPr="00D14407">
        <w:rPr>
          <w:rFonts w:asciiTheme="majorBidi" w:hAnsiTheme="majorBidi" w:cstheme="majorBidi"/>
          <w:lang w:val="en-US"/>
        </w:rPr>
        <w:t>. The AG-DCC model is given as</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Pr>
          <w:rFonts w:asciiTheme="majorBidi" w:hAnsiTheme="majorBidi" w:cstheme="majorBidi"/>
          <w:lang w:val="en-US"/>
        </w:rPr>
        <w:tab/>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r>
          <w:rPr>
            <w:rFonts w:ascii="Cambria Math" w:hAnsi="Cambria Math" w:cstheme="majorBidi"/>
            <w:lang w:val="en-US"/>
          </w:rPr>
          <m:t>=</m:t>
        </m:r>
        <m:d>
          <m:dPr>
            <m:ctrlPr>
              <w:rPr>
                <w:rFonts w:ascii="Cambria Math" w:hAnsi="Cambria Math" w:cstheme="majorBidi"/>
                <w:i/>
                <w:lang w:val="en-US"/>
              </w:rPr>
            </m:ctrlPr>
          </m:dPr>
          <m:e>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G</m:t>
            </m:r>
          </m:e>
        </m:d>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sSubSup>
          <m:sSubSupPr>
            <m:ctrlPr>
              <w:rPr>
                <w:rFonts w:ascii="Cambria Math" w:hAnsi="Cambria Math" w:cstheme="majorBidi"/>
                <w:i/>
                <w:lang w:val="en-US"/>
              </w:rPr>
            </m:ctrlPr>
          </m:sSubSupPr>
          <m:e>
            <m:r>
              <w:rPr>
                <w:rFonts w:ascii="Cambria Math" w:hAnsi="Cambria Math" w:cstheme="majorBidi"/>
                <w:lang w:val="en-US"/>
              </w:rPr>
              <m:t>Z</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t-1</m:t>
            </m:r>
          </m:sub>
        </m:sSub>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t-1</m:t>
            </m:r>
          </m:sub>
        </m:sSub>
        <m:sSubSup>
          <m:sSubSupPr>
            <m:ctrlPr>
              <w:rPr>
                <w:rFonts w:ascii="Cambria Math" w:hAnsi="Cambria Math" w:cstheme="majorBidi"/>
                <w:i/>
                <w:lang w:val="en-US"/>
              </w:rPr>
            </m:ctrlPr>
          </m:sSubSupPr>
          <m:e>
            <m:r>
              <w:rPr>
                <w:rFonts w:ascii="Cambria Math" w:hAnsi="Cambria Math" w:cstheme="majorBidi"/>
                <w:lang w:val="en-US"/>
              </w:rPr>
              <m:t>η</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G</m:t>
        </m:r>
      </m:oMath>
      <w:r w:rsidR="00B538A1">
        <w:rPr>
          <w:rFonts w:asciiTheme="majorBidi" w:hAnsiTheme="majorBidi" w:cstheme="majorBidi"/>
          <w:lang w:val="en-US"/>
        </w:rPr>
        <w:t xml:space="preserve">           (17</w:t>
      </w:r>
      <w:r w:rsidRPr="00D14407">
        <w:rPr>
          <w:rFonts w:asciiTheme="majorBidi" w:hAnsiTheme="majorBidi" w:cstheme="majorBidi"/>
          <w:lang w:val="en-US"/>
        </w:rPr>
        <w:t>)</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t>where</w:t>
      </w:r>
      <m:oMath>
        <m:acc>
          <m:accPr>
            <m:chr m:val="̅"/>
            <m:ctrlPr>
              <w:rPr>
                <w:rFonts w:ascii="Cambria Math" w:hAnsi="Cambria Math" w:cstheme="majorBidi"/>
                <w:i/>
                <w:lang w:val="en-US"/>
              </w:rPr>
            </m:ctrlPr>
          </m:accPr>
          <m:e>
            <m:r>
              <w:rPr>
                <w:rFonts w:ascii="Cambria Math" w:hAnsi="Cambria Math" w:cstheme="majorBidi"/>
                <w:lang w:val="en-US"/>
              </w:rPr>
              <m:t>Q</m:t>
            </m:r>
          </m:e>
        </m:acc>
      </m:oMath>
      <w:r w:rsidRPr="00D14407">
        <w:rPr>
          <w:rFonts w:asciiTheme="majorBidi" w:hAnsiTheme="majorBidi" w:cstheme="majorBidi"/>
          <w:lang w:val="en-US"/>
        </w:rPr>
        <w:t xml:space="preserve"> and </w:t>
      </w:r>
      <m:oMath>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=E(</m:t>
        </m:r>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sSubSup>
          <m:sSubSupPr>
            <m:ctrlPr>
              <w:rPr>
                <w:rFonts w:ascii="Cambria Math" w:hAnsi="Cambria Math" w:cstheme="majorBidi"/>
                <w:i/>
                <w:lang w:val="en-US"/>
              </w:rPr>
            </m:ctrlPr>
          </m:sSubSupPr>
          <m:e>
            <m:r>
              <w:rPr>
                <w:rFonts w:ascii="Cambria Math" w:hAnsi="Cambria Math" w:cstheme="majorBidi"/>
                <w:lang w:val="en-US"/>
              </w:rPr>
              <m:t>η</m:t>
            </m:r>
          </m:e>
          <m:sub>
            <m:r>
              <w:rPr>
                <w:rFonts w:ascii="Cambria Math" w:hAnsi="Cambria Math" w:cstheme="majorBidi"/>
                <w:lang w:val="en-US"/>
              </w:rPr>
              <m:t>t</m:t>
            </m:r>
          </m:sub>
          <m:sup>
            <m:r>
              <w:rPr>
                <w:rFonts w:ascii="Cambria Math" w:hAnsi="Cambria Math" w:cstheme="majorBidi"/>
                <w:lang w:val="en-US"/>
              </w:rPr>
              <m:t>'</m:t>
            </m:r>
          </m:sup>
        </m:sSubSup>
        <m:r>
          <w:rPr>
            <w:rFonts w:ascii="Cambria Math" w:hAnsi="Cambria Math" w:cstheme="majorBidi"/>
            <w:lang w:val="en-US"/>
          </w:rPr>
          <m:t>)</m:t>
        </m:r>
      </m:oMath>
      <w:r w:rsidRPr="00D14407">
        <w:rPr>
          <w:rFonts w:asciiTheme="majorBidi" w:hAnsiTheme="majorBidi" w:cstheme="majorBidi"/>
          <w:lang w:val="en-US"/>
        </w:rPr>
        <w:t xml:space="preserve"> are the unconditional correlation matrices of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D14407">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oMath>
      <w:r w:rsidRPr="00D14407">
        <w:rPr>
          <w:rFonts w:asciiTheme="majorBidi" w:hAnsiTheme="majorBidi"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η</m:t>
            </m:r>
          </m:e>
          <m:sub>
            <m:r>
              <w:rPr>
                <w:rFonts w:ascii="Cambria Math" w:hAnsi="Cambria Math" w:cstheme="majorBidi"/>
                <w:lang w:val="en-US"/>
              </w:rPr>
              <m:t>t</m:t>
            </m:r>
          </m:sub>
        </m:sSub>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&lt;0]∘</m:t>
        </m:r>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oMath>
      <w:r w:rsidRPr="00D14407">
        <w:rPr>
          <w:rFonts w:asciiTheme="majorBidi" w:hAnsiTheme="majorBidi" w:cstheme="majorBidi"/>
          <w:lang w:val="en-US"/>
        </w:rPr>
        <w:t xml:space="preserve">. </w:t>
      </w:r>
      <m:oMath>
        <m:r>
          <w:rPr>
            <w:rFonts w:ascii="Cambria Math" w:hAnsi="Cambria Math" w:cstheme="majorBidi"/>
            <w:lang w:val="en-US"/>
          </w:rPr>
          <m:t>I[.]</m:t>
        </m:r>
      </m:oMath>
      <w:r w:rsidRPr="00D14407">
        <w:rPr>
          <w:rFonts w:asciiTheme="majorBidi" w:hAnsiTheme="majorBidi" w:cstheme="majorBidi"/>
          <w:lang w:val="en-US"/>
        </w:rPr>
        <w:t xml:space="preserve">is an indicator function such that </w:t>
      </w:r>
      <m:oMath>
        <m:r>
          <w:rPr>
            <w:rFonts w:ascii="Cambria Math" w:hAnsi="Cambria Math" w:cstheme="majorBidi"/>
            <w:lang w:val="en-US"/>
          </w:rPr>
          <m:t>I=1</m:t>
        </m:r>
      </m:oMath>
      <w:r w:rsidRPr="00D14407">
        <w:rPr>
          <w:rFonts w:asciiTheme="majorBidi" w:hAnsiTheme="majorBidi" w:cstheme="majorBidi"/>
          <w:lang w:val="en-US"/>
        </w:rPr>
        <w:t xml:space="preserve"> if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&lt;0</m:t>
        </m:r>
      </m:oMath>
      <w:r w:rsidRPr="00D14407">
        <w:rPr>
          <w:rFonts w:asciiTheme="majorBidi" w:hAnsiTheme="majorBidi" w:cstheme="majorBidi"/>
          <w:lang w:val="en-US"/>
        </w:rPr>
        <w:t xml:space="preserve"> and </w:t>
      </w:r>
      <m:oMath>
        <m:r>
          <w:rPr>
            <w:rFonts w:ascii="Cambria Math" w:hAnsi="Cambria Math" w:cstheme="majorBidi"/>
            <w:lang w:val="en-US"/>
          </w:rPr>
          <m:t>I=0</m:t>
        </m:r>
      </m:oMath>
      <w:r w:rsidRPr="00D14407">
        <w:rPr>
          <w:rFonts w:asciiTheme="majorBidi" w:hAnsiTheme="majorBidi" w:cstheme="majorBidi"/>
          <w:lang w:val="en-US"/>
        </w:rPr>
        <w:t xml:space="preserve"> if  </w:t>
      </w:r>
      <m:oMath>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m:t>
            </m:r>
          </m:sub>
        </m:sSub>
        <m:r>
          <w:rPr>
            <w:rFonts w:ascii="Cambria Math" w:hAnsi="Cambria Math" w:cstheme="majorBidi"/>
            <w:lang w:val="en-US"/>
          </w:rPr>
          <m:t>≥0</m:t>
        </m:r>
      </m:oMath>
      <w:r w:rsidRPr="00D14407">
        <w:rPr>
          <w:rFonts w:asciiTheme="majorBidi" w:hAnsiTheme="majorBidi" w:cstheme="majorBidi"/>
          <w:lang w:val="en-US"/>
        </w:rPr>
        <w:t xml:space="preserve">, while </w:t>
      </w:r>
      <m:oMath>
        <m:r>
          <w:rPr>
            <w:rFonts w:ascii="Cambria Math" w:hAnsi="Cambria Math" w:cstheme="majorBidi"/>
            <w:lang w:val="en-US"/>
          </w:rPr>
          <m:t>"∘"</m:t>
        </m:r>
      </m:oMath>
      <w:r w:rsidRPr="00D14407">
        <w:rPr>
          <w:rFonts w:asciiTheme="majorBidi" w:hAnsiTheme="majorBidi" w:cstheme="majorBidi"/>
          <w:lang w:val="en-US"/>
        </w:rPr>
        <w:t xml:space="preserve"> is the Hadamard product.</w:t>
      </w:r>
    </w:p>
    <w:p w:rsidR="00A13D9C" w:rsidRPr="00D14407" w:rsidRDefault="00A13D9C" w:rsidP="00A13D9C">
      <w:pPr>
        <w:spacing w:after="0" w:line="240" w:lineRule="auto"/>
        <w:ind w:firstLine="340"/>
        <w:jc w:val="both"/>
        <w:rPr>
          <w:rFonts w:asciiTheme="majorBidi" w:hAnsiTheme="majorBidi" w:cstheme="majorBidi"/>
          <w:lang w:val="en-US"/>
        </w:rPr>
      </w:pPr>
      <w:r w:rsidRPr="00D14407">
        <w:rPr>
          <w:rFonts w:asciiTheme="majorBidi" w:hAnsiTheme="majorBidi" w:cstheme="majorBidi"/>
          <w:lang w:val="en-US"/>
        </w:rPr>
        <w:t xml:space="preserve">The A-DCC(1,1) model is identified as a special case of the AG-DCC(1,1) model if the matrices </w:t>
      </w:r>
      <m:oMath>
        <m:r>
          <w:rPr>
            <w:rFonts w:ascii="Cambria Math" w:hAnsi="Cambria Math" w:cstheme="majorBidi"/>
            <w:lang w:val="en-US"/>
          </w:rPr>
          <m:t>A</m:t>
        </m:r>
      </m:oMath>
      <w:r w:rsidRPr="00D14407">
        <w:rPr>
          <w:rFonts w:asciiTheme="majorBidi" w:hAnsiTheme="majorBidi" w:cstheme="majorBidi"/>
          <w:lang w:val="en-US"/>
        </w:rPr>
        <w:t xml:space="preserve">, </w:t>
      </w:r>
      <m:oMath>
        <m:r>
          <w:rPr>
            <w:rFonts w:ascii="Cambria Math" w:hAnsi="Cambria Math" w:cstheme="majorBidi"/>
            <w:lang w:val="en-US"/>
          </w:rPr>
          <m:t>B</m:t>
        </m:r>
      </m:oMath>
      <w:r w:rsidRPr="00D14407">
        <w:rPr>
          <w:rFonts w:asciiTheme="majorBidi" w:hAnsiTheme="majorBidi" w:cstheme="majorBidi"/>
          <w:lang w:val="en-US"/>
        </w:rPr>
        <w:t xml:space="preserve"> and </w:t>
      </w:r>
      <m:oMath>
        <m:r>
          <w:rPr>
            <w:rFonts w:ascii="Cambria Math" w:hAnsi="Cambria Math" w:cstheme="majorBidi"/>
            <w:lang w:val="en-US"/>
          </w:rPr>
          <m:t>G</m:t>
        </m:r>
      </m:oMath>
      <w:r w:rsidRPr="00D14407">
        <w:rPr>
          <w:rFonts w:asciiTheme="majorBidi" w:hAnsiTheme="majorBidi" w:cstheme="majorBidi"/>
          <w:lang w:val="en-US"/>
        </w:rPr>
        <w:t xml:space="preserve"> are replaced by the scalars </w:t>
      </w:r>
      <m:oMath>
        <m:sSub>
          <m:sSubPr>
            <m:ctrlPr>
              <w:rPr>
                <w:rFonts w:ascii="Cambria Math" w:hAnsi="Cambria Math" w:cstheme="majorBidi"/>
                <w:i/>
                <w:lang w:val="en-US"/>
              </w:rPr>
            </m:ctrlPr>
          </m:sSubPr>
          <m:e>
            <m:r>
              <w:rPr>
                <w:rFonts w:ascii="Cambria Math" w:hAnsi="Cambria Math" w:cstheme="majorBidi"/>
                <w:lang w:val="en-US"/>
              </w:rPr>
              <m:t>a</m:t>
            </m:r>
          </m:e>
          <m:sub>
            <m:r>
              <w:rPr>
                <w:rFonts w:ascii="Cambria Math" w:hAnsi="Cambria Math" w:cstheme="majorBidi"/>
                <w:lang w:val="en-US"/>
              </w:rPr>
              <m: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 xml:space="preserve"> b</m:t>
            </m:r>
          </m:e>
          <m:sub>
            <m:r>
              <w:rPr>
                <w:rFonts w:ascii="Cambria Math" w:hAnsi="Cambria Math" w:cstheme="majorBidi"/>
                <w:lang w:val="en-US"/>
              </w:rPr>
              <m:t>1</m:t>
            </m:r>
          </m:sub>
        </m:sSub>
      </m:oMath>
      <w:r w:rsidRPr="00D14407">
        <w:rPr>
          <w:rFonts w:asciiTheme="majorBidi"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g</m:t>
            </m:r>
          </m:e>
          <m:sub>
            <m:r>
              <w:rPr>
                <w:rFonts w:ascii="Cambria Math" w:hAnsi="Cambria Math" w:cstheme="majorBidi"/>
                <w:lang w:val="en-US"/>
              </w:rPr>
              <m:t>1</m:t>
            </m:r>
          </m:sub>
        </m:sSub>
      </m:oMath>
      <w:r w:rsidRPr="00D14407">
        <w:rPr>
          <w:rFonts w:asciiTheme="majorBidi" w:hAnsiTheme="majorBidi" w:cstheme="majorBidi"/>
          <w:lang w:val="en-US"/>
        </w:rPr>
        <w:t xml:space="preserve">. </w:t>
      </w:r>
      <w:r w:rsidRPr="00D30605">
        <w:rPr>
          <w:rFonts w:asciiTheme="majorBidi" w:hAnsiTheme="majorBidi" w:cstheme="majorBidi"/>
          <w:color w:val="00B0F0"/>
          <w:lang w:val="en-US"/>
        </w:rPr>
        <w:t>Cappiello et al. (2006)</w:t>
      </w:r>
      <w:r w:rsidRPr="00D14407">
        <w:rPr>
          <w:rFonts w:asciiTheme="majorBidi" w:hAnsiTheme="majorBidi" w:cstheme="majorBidi"/>
          <w:lang w:val="en-US"/>
        </w:rPr>
        <w:t xml:space="preserve"> show that </w:t>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oMath>
      <w:r w:rsidRPr="00D14407">
        <w:rPr>
          <w:rFonts w:asciiTheme="majorBidi" w:hAnsiTheme="majorBidi" w:cstheme="majorBidi"/>
          <w:lang w:val="en-US"/>
        </w:rPr>
        <w:t xml:space="preserve"> is positive definite with a probability of one if </w:t>
      </w:r>
      <m:oMath>
        <m:d>
          <m:dPr>
            <m:ctrlPr>
              <w:rPr>
                <w:rFonts w:ascii="Cambria Math" w:hAnsi="Cambria Math" w:cstheme="majorBidi"/>
                <w:i/>
                <w:lang w:val="en-US"/>
              </w:rPr>
            </m:ctrlPr>
          </m:dPr>
          <m:e>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A</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A-</m:t>
            </m:r>
            <m:sSup>
              <m:sSupPr>
                <m:ctrlPr>
                  <w:rPr>
                    <w:rFonts w:ascii="Cambria Math" w:hAnsi="Cambria Math" w:cstheme="majorBidi"/>
                    <w:i/>
                    <w:lang w:val="en-US"/>
                  </w:rPr>
                </m:ctrlPr>
              </m:sSupPr>
              <m:e>
                <m:r>
                  <w:rPr>
                    <w:rFonts w:ascii="Cambria Math" w:hAnsi="Cambria Math" w:cstheme="majorBidi"/>
                    <w:lang w:val="en-US"/>
                  </w:rPr>
                  <m:t>B</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Q</m:t>
                </m:r>
              </m:e>
            </m:acc>
            <m:r>
              <w:rPr>
                <w:rFonts w:ascii="Cambria Math" w:hAnsi="Cambria Math" w:cstheme="majorBidi"/>
                <w:lang w:val="en-US"/>
              </w:rPr>
              <m:t>B-</m:t>
            </m:r>
            <m:sSup>
              <m:sSupPr>
                <m:ctrlPr>
                  <w:rPr>
                    <w:rFonts w:ascii="Cambria Math" w:hAnsi="Cambria Math" w:cstheme="majorBidi"/>
                    <w:i/>
                    <w:lang w:val="en-US"/>
                  </w:rPr>
                </m:ctrlPr>
              </m:sSupPr>
              <m:e>
                <m:r>
                  <w:rPr>
                    <w:rFonts w:ascii="Cambria Math" w:hAnsi="Cambria Math" w:cstheme="majorBidi"/>
                    <w:lang w:val="en-US"/>
                  </w:rPr>
                  <m:t>G</m:t>
                </m:r>
              </m:e>
              <m:sup>
                <m:r>
                  <w:rPr>
                    <w:rFonts w:ascii="Cambria Math" w:hAnsi="Cambria Math" w:cstheme="majorBidi"/>
                    <w:lang w:val="en-US"/>
                  </w:rPr>
                  <m:t>'</m:t>
                </m:r>
              </m:sup>
            </m:sSup>
            <m:acc>
              <m:accPr>
                <m:chr m:val="̅"/>
                <m:ctrlPr>
                  <w:rPr>
                    <w:rFonts w:ascii="Cambria Math" w:hAnsi="Cambria Math" w:cstheme="majorBidi"/>
                    <w:i/>
                    <w:lang w:val="en-US"/>
                  </w:rPr>
                </m:ctrlPr>
              </m:accPr>
              <m:e>
                <m:r>
                  <w:rPr>
                    <w:rFonts w:ascii="Cambria Math" w:hAnsi="Cambria Math" w:cstheme="majorBidi"/>
                    <w:lang w:val="en-US"/>
                  </w:rPr>
                  <m:t>N</m:t>
                </m:r>
              </m:e>
            </m:acc>
            <m:r>
              <w:rPr>
                <w:rFonts w:ascii="Cambria Math" w:hAnsi="Cambria Math" w:cstheme="majorBidi"/>
                <w:lang w:val="en-US"/>
              </w:rPr>
              <m:t>G</m:t>
            </m:r>
          </m:e>
        </m:d>
      </m:oMath>
      <w:r w:rsidRPr="00D14407">
        <w:rPr>
          <w:rFonts w:asciiTheme="majorBidi" w:hAnsiTheme="majorBidi" w:cstheme="majorBidi"/>
          <w:lang w:val="en-US"/>
        </w:rPr>
        <w:t xml:space="preserve"> is positive definite. The next step consists in computing the correlation matrix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oMath>
      <w:r w:rsidRPr="00D14407">
        <w:rPr>
          <w:rFonts w:asciiTheme="majorBidi" w:hAnsiTheme="majorBidi" w:cstheme="majorBidi"/>
          <w:lang w:val="en-US"/>
        </w:rPr>
        <w:t xml:space="preserve"> from the following equation:</w:t>
      </w:r>
    </w:p>
    <w:p w:rsidR="00A13D9C" w:rsidRPr="00D14407" w:rsidRDefault="00A13D9C" w:rsidP="00A13D9C">
      <w:pPr>
        <w:spacing w:after="0" w:line="240" w:lineRule="auto"/>
        <w:jc w:val="both"/>
        <w:rPr>
          <w:rFonts w:asciiTheme="majorBidi" w:hAnsiTheme="majorBidi" w:cstheme="majorBidi"/>
          <w:lang w:val="en-US"/>
        </w:rPr>
      </w:pPr>
    </w:p>
    <w:p w:rsidR="00A13D9C" w:rsidRPr="00D14407" w:rsidRDefault="00011760" w:rsidP="00A13D9C">
      <w:pPr>
        <w:spacing w:after="0" w:line="240" w:lineRule="auto"/>
        <w:ind w:firstLine="357"/>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*-1</m:t>
            </m:r>
          </m:sup>
        </m:sSubSup>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*-1</m:t>
            </m:r>
          </m:sup>
        </m:sSubSup>
      </m:oMath>
      <w:r w:rsidR="00692FF1">
        <w:rPr>
          <w:rFonts w:asciiTheme="majorBidi" w:hAnsiTheme="majorBidi" w:cstheme="majorBidi"/>
          <w:lang w:val="en-US"/>
        </w:rPr>
        <w:t>(18</w:t>
      </w:r>
      <w:r w:rsidR="00A13D9C" w:rsidRPr="00D14407">
        <w:rPr>
          <w:rFonts w:asciiTheme="majorBidi" w:hAnsiTheme="majorBidi" w:cstheme="majorBidi"/>
          <w:lang w:val="en-US"/>
        </w:rPr>
        <w:t>)</w:t>
      </w:r>
    </w:p>
    <w:p w:rsidR="00A13D9C" w:rsidRPr="00D14407" w:rsidRDefault="00A13D9C" w:rsidP="00A13D9C">
      <w:pPr>
        <w:spacing w:after="0" w:line="240" w:lineRule="auto"/>
        <w:ind w:firstLine="357"/>
        <w:jc w:val="both"/>
        <w:rPr>
          <w:rFonts w:asciiTheme="majorBidi" w:hAnsiTheme="majorBidi" w:cstheme="majorBidi"/>
          <w:lang w:val="en-US"/>
        </w:rPr>
      </w:pPr>
    </w:p>
    <w:p w:rsidR="00A13D9C" w:rsidRPr="00D14407" w:rsidRDefault="00A13D9C" w:rsidP="00A13D9C">
      <w:pPr>
        <w:spacing w:after="0" w:line="240" w:lineRule="auto"/>
        <w:jc w:val="both"/>
        <w:rPr>
          <w:rFonts w:asciiTheme="majorBidi" w:hAnsiTheme="majorBidi" w:cstheme="majorBidi"/>
          <w:lang w:val="en-US"/>
        </w:rPr>
      </w:pPr>
      <w:r w:rsidRPr="00D14407">
        <w:rPr>
          <w:rFonts w:asciiTheme="majorBidi" w:hAnsiTheme="majorBidi" w:cstheme="majorBidi"/>
          <w:lang w:val="en-US"/>
        </w:rPr>
        <w:lastRenderedPageBreak/>
        <w:t>where</w:t>
      </w:r>
      <m:oMath>
        <m:sSubSup>
          <m:sSubSupPr>
            <m:ctrlPr>
              <w:rPr>
                <w:rFonts w:ascii="Cambria Math" w:hAnsi="Cambria Math" w:cstheme="majorBidi"/>
                <w:i/>
                <w:lang w:val="en-US"/>
              </w:rPr>
            </m:ctrlPr>
          </m:sSubSupPr>
          <m:e>
            <m:r>
              <w:rPr>
                <w:rFonts w:ascii="Cambria Math" w:hAnsi="Cambria Math" w:cstheme="majorBidi"/>
                <w:lang w:val="en-US"/>
              </w:rPr>
              <m:t>Q</m:t>
            </m:r>
          </m:e>
          <m:sub>
            <m:r>
              <w:rPr>
                <w:rFonts w:ascii="Cambria Math" w:hAnsi="Cambria Math" w:cstheme="majorBidi"/>
                <w:lang w:val="en-US"/>
              </w:rPr>
              <m:t>t</m:t>
            </m:r>
          </m:sub>
          <m:sup>
            <m:r>
              <w:rPr>
                <w:rFonts w:ascii="Cambria Math" w:hAnsi="Cambria Math" w:cstheme="majorBidi"/>
                <w:lang w:val="en-US"/>
              </w:rPr>
              <m:t>*</m:t>
            </m:r>
          </m:sup>
        </m:sSubSup>
        <m:r>
          <w:rPr>
            <w:rFonts w:ascii="Cambria Math" w:hAnsi="Cambria Math" w:cstheme="majorBidi"/>
            <w:lang w:val="en-US"/>
          </w:rPr>
          <m:t>=</m:t>
        </m:r>
        <m:rad>
          <m:radPr>
            <m:degHide m:val="on"/>
            <m:ctrlPr>
              <w:rPr>
                <w:rFonts w:ascii="Cambria Math" w:hAnsi="Cambria Math" w:cstheme="majorBidi"/>
                <w:i/>
                <w:lang w:val="en-US"/>
              </w:rPr>
            </m:ctrlPr>
          </m:radPr>
          <m:deg/>
          <m:e>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ii,t</m:t>
                </m:r>
              </m:sub>
            </m:sSub>
          </m:e>
        </m:rad>
      </m:oMath>
      <w:r w:rsidRPr="00D14407">
        <w:rPr>
          <w:rFonts w:asciiTheme="majorBidi" w:hAnsiTheme="majorBidi" w:cstheme="majorBidi"/>
          <w:lang w:val="en-US"/>
        </w:rPr>
        <w:t xml:space="preserve"> is a diagonal matrix with a square root of the </w:t>
      </w:r>
      <m:oMath>
        <m:r>
          <w:rPr>
            <w:rFonts w:ascii="Cambria Math" w:hAnsi="Cambria Math" w:cstheme="majorBidi"/>
            <w:lang w:val="en-US"/>
          </w:rPr>
          <m:t>ith</m:t>
        </m:r>
      </m:oMath>
      <w:r w:rsidRPr="00D14407">
        <w:rPr>
          <w:rFonts w:asciiTheme="majorBidi" w:hAnsiTheme="majorBidi" w:cstheme="majorBidi"/>
          <w:lang w:val="en-US"/>
        </w:rPr>
        <w:t xml:space="preserve"> diagonal element of </w:t>
      </w:r>
      <m:oMath>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oMath>
      <w:r w:rsidRPr="00D14407">
        <w:rPr>
          <w:rFonts w:asciiTheme="majorBidi" w:hAnsiTheme="majorBidi" w:cstheme="majorBidi"/>
          <w:lang w:val="en-US"/>
        </w:rPr>
        <w:t xml:space="preserve"> on its </w:t>
      </w:r>
      <m:oMath>
        <m:r>
          <w:rPr>
            <w:rFonts w:ascii="Cambria Math" w:hAnsi="Cambria Math" w:cstheme="majorBidi"/>
            <w:lang w:val="en-US"/>
          </w:rPr>
          <m:t>ith</m:t>
        </m:r>
      </m:oMath>
      <w:r w:rsidRPr="00D14407">
        <w:rPr>
          <w:rFonts w:asciiTheme="majorBidi" w:hAnsiTheme="majorBidi" w:cstheme="majorBidi"/>
          <w:lang w:val="en-US"/>
        </w:rPr>
        <w:t xml:space="preserve"> diagonal position.</w:t>
      </w:r>
    </w:p>
    <w:p w:rsidR="00A13D9C" w:rsidRPr="00F936A3" w:rsidRDefault="00A13D9C" w:rsidP="00F936A3">
      <w:pPr>
        <w:spacing w:after="0" w:line="240" w:lineRule="auto"/>
        <w:jc w:val="both"/>
        <w:rPr>
          <w:rFonts w:asciiTheme="majorBidi" w:hAnsiTheme="majorBidi" w:cstheme="majorBidi"/>
          <w:b/>
          <w:sz w:val="24"/>
          <w:szCs w:val="24"/>
          <w:lang w:val="en-US"/>
        </w:rPr>
      </w:pPr>
    </w:p>
    <w:p w:rsidR="00F936A3" w:rsidRPr="0062679E" w:rsidRDefault="00F936A3" w:rsidP="0062679E">
      <w:pPr>
        <w:pStyle w:val="Paragraphedeliste"/>
        <w:numPr>
          <w:ilvl w:val="0"/>
          <w:numId w:val="1"/>
        </w:numPr>
        <w:spacing w:after="0" w:line="240" w:lineRule="auto"/>
        <w:jc w:val="both"/>
        <w:rPr>
          <w:rFonts w:asciiTheme="majorBidi" w:hAnsiTheme="majorBidi" w:cstheme="majorBidi"/>
          <w:b/>
          <w:sz w:val="28"/>
          <w:szCs w:val="28"/>
          <w:lang w:val="en-US"/>
        </w:rPr>
      </w:pPr>
      <w:r w:rsidRPr="0062679E">
        <w:rPr>
          <w:rFonts w:asciiTheme="majorBidi" w:hAnsiTheme="majorBidi" w:cstheme="majorBidi"/>
          <w:b/>
          <w:sz w:val="28"/>
          <w:szCs w:val="28"/>
          <w:lang w:val="en-US"/>
        </w:rPr>
        <w:t>Data and preliminary analyses</w:t>
      </w:r>
    </w:p>
    <w:p w:rsidR="00A561D5" w:rsidRPr="00A561D5" w:rsidRDefault="00A561D5" w:rsidP="00A561D5">
      <w:pPr>
        <w:spacing w:after="0" w:line="240" w:lineRule="auto"/>
        <w:jc w:val="both"/>
        <w:rPr>
          <w:rFonts w:asciiTheme="majorBidi" w:hAnsiTheme="majorBidi" w:cstheme="majorBidi"/>
          <w:b/>
          <w:sz w:val="24"/>
          <w:szCs w:val="24"/>
          <w:lang w:val="en-US"/>
        </w:rPr>
      </w:pPr>
    </w:p>
    <w:p w:rsidR="00F936A3" w:rsidRPr="006D27BD" w:rsidRDefault="00870D84" w:rsidP="00034B81">
      <w:pPr>
        <w:spacing w:after="0" w:line="240" w:lineRule="auto"/>
        <w:ind w:firstLine="340"/>
        <w:jc w:val="both"/>
        <w:rPr>
          <w:rFonts w:asciiTheme="majorBidi" w:eastAsiaTheme="minorEastAsia" w:hAnsiTheme="majorBidi" w:cstheme="majorBidi"/>
          <w:lang w:val="en-US"/>
        </w:rPr>
      </w:pPr>
      <w:r w:rsidRPr="006D27BD">
        <w:rPr>
          <w:rFonts w:asciiTheme="majorBidi" w:hAnsiTheme="majorBidi" w:cstheme="majorBidi"/>
          <w:lang w:val="en-US"/>
        </w:rPr>
        <w:t xml:space="preserve">The data comprises daily </w:t>
      </w:r>
      <w:r w:rsidR="00341063" w:rsidRPr="006D27BD">
        <w:rPr>
          <w:rFonts w:asciiTheme="majorBidi" w:hAnsiTheme="majorBidi" w:cstheme="majorBidi"/>
          <w:lang w:val="en-US"/>
        </w:rPr>
        <w:t>American</w:t>
      </w:r>
      <w:r w:rsidRPr="006D27BD">
        <w:rPr>
          <w:rFonts w:asciiTheme="majorBidi" w:hAnsiTheme="majorBidi" w:cstheme="majorBidi"/>
          <w:lang w:val="en-US"/>
        </w:rPr>
        <w:t xml:space="preserve"> exchange</w:t>
      </w:r>
      <w:r w:rsidR="00BB1BE9" w:rsidRPr="006D27BD">
        <w:rPr>
          <w:rFonts w:asciiTheme="majorBidi" w:hAnsiTheme="majorBidi" w:cstheme="majorBidi"/>
          <w:lang w:val="en-US"/>
        </w:rPr>
        <w:t xml:space="preserve"> rate</w:t>
      </w:r>
      <w:r w:rsidRPr="006D27BD">
        <w:rPr>
          <w:rFonts w:asciiTheme="majorBidi" w:hAnsiTheme="majorBidi" w:cstheme="majorBidi"/>
          <w:lang w:val="en-US"/>
        </w:rPr>
        <w:t xml:space="preserve"> expressed in </w:t>
      </w:r>
      <w:r w:rsidR="00BB1BE9" w:rsidRPr="006D27BD">
        <w:rPr>
          <w:rFonts w:asciiTheme="majorBidi" w:hAnsiTheme="majorBidi" w:cstheme="majorBidi"/>
          <w:lang w:val="en-US"/>
        </w:rPr>
        <w:t>euro</w:t>
      </w:r>
      <w:r w:rsidR="00034B81" w:rsidRPr="006D27BD">
        <w:rPr>
          <w:rFonts w:asciiTheme="majorBidi" w:hAnsiTheme="majorBidi" w:cstheme="majorBidi"/>
          <w:lang w:val="en-US"/>
        </w:rPr>
        <w:t xml:space="preserve"> (</w:t>
      </w:r>
      <w:r w:rsidR="00BB1BE9" w:rsidRPr="006D27BD">
        <w:rPr>
          <w:rFonts w:asciiTheme="majorBidi" w:hAnsiTheme="majorBidi" w:cstheme="majorBidi"/>
          <w:lang w:val="en-US"/>
        </w:rPr>
        <w:t>EUR</w:t>
      </w:r>
      <w:r w:rsidR="00034B81" w:rsidRPr="006D27BD">
        <w:rPr>
          <w:rFonts w:asciiTheme="majorBidi" w:hAnsiTheme="majorBidi" w:cstheme="majorBidi"/>
          <w:lang w:val="en-US"/>
        </w:rPr>
        <w:t xml:space="preserve">) </w:t>
      </w:r>
      <w:r w:rsidRPr="006D27BD">
        <w:rPr>
          <w:rFonts w:asciiTheme="majorBidi" w:hAnsiTheme="majorBidi" w:cstheme="majorBidi"/>
          <w:lang w:val="en-US"/>
        </w:rPr>
        <w:t>of the European foreign currencies and daily stock prices</w:t>
      </w:r>
      <w:r w:rsidR="00034B81" w:rsidRPr="006D27BD">
        <w:rPr>
          <w:rFonts w:asciiTheme="majorBidi" w:hAnsiTheme="majorBidi" w:cstheme="majorBidi"/>
          <w:lang w:val="en-US"/>
        </w:rPr>
        <w:t xml:space="preserve"> namely, NIKKEI225, SSE and MSCI</w:t>
      </w:r>
      <w:r w:rsidRPr="006D27BD">
        <w:rPr>
          <w:rFonts w:asciiTheme="majorBidi" w:hAnsiTheme="majorBidi" w:cstheme="majorBidi"/>
          <w:lang w:val="en-US"/>
        </w:rPr>
        <w:t>. All data are sourced from the Board of Governors of the Federa</w:t>
      </w:r>
      <w:r w:rsidR="00E34AA8" w:rsidRPr="006D27BD">
        <w:rPr>
          <w:rFonts w:asciiTheme="majorBidi" w:hAnsiTheme="majorBidi" w:cstheme="majorBidi"/>
          <w:lang w:val="en-US"/>
        </w:rPr>
        <w:t>l Reserve System</w:t>
      </w:r>
      <w:r w:rsidRPr="006D27BD">
        <w:rPr>
          <w:rFonts w:asciiTheme="majorBidi" w:hAnsiTheme="majorBidi" w:cstheme="majorBidi"/>
          <w:lang w:val="en-US"/>
        </w:rPr>
        <w:t xml:space="preserve"> and (http// www.econstats.com). The sample covers a period from January 01, 2000 until December 10, 2013, leading to a sample size of 3639 observations. For each currency</w:t>
      </w:r>
      <w:r w:rsidR="009059A8" w:rsidRPr="006D27BD">
        <w:rPr>
          <w:rFonts w:asciiTheme="majorBidi" w:hAnsiTheme="majorBidi" w:cstheme="majorBidi"/>
          <w:lang w:val="en-US"/>
        </w:rPr>
        <w:t xml:space="preserve"> and stock prices</w:t>
      </w:r>
      <w:r w:rsidRPr="006D27BD">
        <w:rPr>
          <w:rFonts w:asciiTheme="majorBidi" w:hAnsiTheme="majorBidi" w:cstheme="majorBidi"/>
          <w:lang w:val="en-US"/>
        </w:rPr>
        <w:t xml:space="preserve">, the continuously compounded return is computed as: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=100*</m:t>
        </m:r>
        <m:r>
          <m:rPr>
            <m:sty m:val="p"/>
          </m:rPr>
          <w:rPr>
            <w:rFonts w:ascii="Cambria Math" w:hAnsi="Cambria Math" w:cstheme="majorBidi"/>
            <w:lang w:val="en-US"/>
          </w:rPr>
          <m:t>ln⁡</m:t>
        </m:r>
        <m:r>
          <w:rPr>
            <w:rFonts w:ascii="Cambria Math" w:hAnsi="Cambria Math" w:cstheme="majorBidi"/>
            <w:lang w:val="en-US"/>
          </w:rPr>
          <m:t>(</m:t>
        </m:r>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t</m:t>
                </m:r>
              </m:sub>
            </m:sSub>
          </m:num>
          <m:den>
            <m:sSub>
              <m:sSubPr>
                <m:ctrlPr>
                  <w:rPr>
                    <w:rFonts w:ascii="Cambria Math" w:hAnsi="Cambria Math" w:cstheme="majorBidi"/>
                    <w:i/>
                    <w:lang w:val="en-US"/>
                  </w:rPr>
                </m:ctrlPr>
              </m:sSubPr>
              <m:e>
                <m:r>
                  <w:rPr>
                    <w:rFonts w:ascii="Cambria Math" w:hAnsi="Cambria Math" w:cstheme="majorBidi"/>
                    <w:lang w:val="en-US"/>
                  </w:rPr>
                  <m:t>p</m:t>
                </m:r>
              </m:e>
              <m:sub>
                <m:r>
                  <w:rPr>
                    <w:rFonts w:ascii="Cambria Math" w:hAnsi="Cambria Math" w:cstheme="majorBidi"/>
                    <w:lang w:val="en-US"/>
                  </w:rPr>
                  <m:t>t-1</m:t>
                </m:r>
              </m:sub>
            </m:sSub>
          </m:den>
        </m:f>
        <m:r>
          <w:rPr>
            <w:rFonts w:ascii="Cambria Math" w:hAnsi="Cambria Math" w:cstheme="majorBidi"/>
            <w:lang w:val="en-US"/>
          </w:rPr>
          <m:t>)</m:t>
        </m:r>
      </m:oMath>
      <w:r w:rsidR="005D1782" w:rsidRPr="006D27BD">
        <w:rPr>
          <w:rFonts w:asciiTheme="majorBidi" w:eastAsiaTheme="minorEastAsia" w:hAnsiTheme="majorBidi" w:cstheme="majorBidi"/>
          <w:lang w:val="en-US"/>
        </w:rPr>
        <w:t xml:space="preserve"> for t = 1, 2, </w:t>
      </w:r>
      <w:r w:rsidR="00205DBD" w:rsidRPr="006D27BD">
        <w:rPr>
          <w:rFonts w:asciiTheme="majorBidi" w:eastAsiaTheme="minorEastAsia" w:hAnsiTheme="majorBidi" w:cstheme="majorBidi"/>
          <w:lang w:val="en-US"/>
        </w:rPr>
        <w:t xml:space="preserve">… T, where </w:t>
      </w: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p</m:t>
            </m:r>
          </m:e>
          <m:sub>
            <m:r>
              <w:rPr>
                <w:rFonts w:ascii="Cambria Math" w:eastAsiaTheme="minorEastAsia" w:hAnsi="Cambria Math" w:cstheme="majorBidi"/>
                <w:lang w:val="en-US"/>
              </w:rPr>
              <m:t>t</m:t>
            </m:r>
          </m:sub>
        </m:sSub>
      </m:oMath>
      <w:r w:rsidR="00205DBD" w:rsidRPr="006D27BD">
        <w:rPr>
          <w:rFonts w:asciiTheme="majorBidi" w:eastAsiaTheme="minorEastAsia" w:hAnsiTheme="majorBidi" w:cstheme="majorBidi"/>
          <w:lang w:val="en-US"/>
        </w:rPr>
        <w:t xml:space="preserve"> is the price on day t. </w:t>
      </w:r>
    </w:p>
    <w:p w:rsidR="00F936A3" w:rsidRPr="006D27BD" w:rsidRDefault="005D1782" w:rsidP="000C2EAD">
      <w:pPr>
        <w:spacing w:after="0" w:line="240" w:lineRule="auto"/>
        <w:ind w:firstLine="340"/>
        <w:jc w:val="both"/>
        <w:rPr>
          <w:rFonts w:asciiTheme="majorBidi" w:hAnsiTheme="majorBidi" w:cstheme="majorBidi"/>
          <w:lang w:val="en-US"/>
        </w:rPr>
      </w:pPr>
      <w:r w:rsidRPr="006D27BD">
        <w:rPr>
          <w:rFonts w:asciiTheme="majorBidi" w:eastAsiaTheme="minorEastAsia" w:hAnsiTheme="majorBidi" w:cstheme="majorBidi"/>
          <w:lang w:val="en-US"/>
        </w:rPr>
        <w:t>Summary s</w:t>
      </w:r>
      <w:r w:rsidR="0045490B" w:rsidRPr="006D27BD">
        <w:rPr>
          <w:rFonts w:asciiTheme="majorBidi" w:eastAsiaTheme="minorEastAsia" w:hAnsiTheme="majorBidi" w:cstheme="majorBidi"/>
          <w:lang w:val="en-US"/>
        </w:rPr>
        <w:t>tatistics for the exchange rate and stock market</w:t>
      </w:r>
      <w:r w:rsidRPr="006D27BD">
        <w:rPr>
          <w:rFonts w:asciiTheme="majorBidi" w:eastAsiaTheme="minorEastAsia" w:hAnsiTheme="majorBidi" w:cstheme="majorBidi"/>
          <w:lang w:val="en-US"/>
        </w:rPr>
        <w:t xml:space="preserve"> returns are displayed in Table 1 (Panel A). From these </w:t>
      </w:r>
      <w:r w:rsidR="0045490B" w:rsidRPr="006D27BD">
        <w:rPr>
          <w:rFonts w:asciiTheme="majorBidi" w:eastAsiaTheme="minorEastAsia" w:hAnsiTheme="majorBidi" w:cstheme="majorBidi"/>
          <w:lang w:val="en-US"/>
        </w:rPr>
        <w:t>tables,</w:t>
      </w:r>
      <w:r w:rsidR="001902B3" w:rsidRPr="006D27BD">
        <w:rPr>
          <w:rFonts w:asciiTheme="majorBidi" w:eastAsiaTheme="minorEastAsia" w:hAnsiTheme="majorBidi" w:cstheme="majorBidi"/>
          <w:lang w:val="en-US"/>
        </w:rPr>
        <w:t xml:space="preserve"> SSE</w:t>
      </w:r>
      <w:r w:rsidRPr="006D27BD">
        <w:rPr>
          <w:rFonts w:asciiTheme="majorBidi" w:eastAsiaTheme="minorEastAsia" w:hAnsiTheme="majorBidi" w:cstheme="majorBidi"/>
          <w:lang w:val="en-US"/>
        </w:rPr>
        <w:t xml:space="preserve"> is the most volatile, as measured by </w:t>
      </w:r>
      <w:r w:rsidR="001902B3" w:rsidRPr="006D27BD">
        <w:rPr>
          <w:rFonts w:asciiTheme="majorBidi" w:eastAsiaTheme="minorEastAsia" w:hAnsiTheme="majorBidi" w:cstheme="majorBidi"/>
          <w:lang w:val="en-US"/>
        </w:rPr>
        <w:t>the standard deviation of 1.5456</w:t>
      </w:r>
      <w:r w:rsidR="003B5811" w:rsidRPr="006D27BD">
        <w:rPr>
          <w:rFonts w:asciiTheme="majorBidi" w:eastAsiaTheme="minorEastAsia" w:hAnsiTheme="majorBidi" w:cstheme="majorBidi"/>
          <w:lang w:val="en-US"/>
        </w:rPr>
        <w:t>%, while USDEUR</w:t>
      </w:r>
      <w:r w:rsidRPr="006D27BD">
        <w:rPr>
          <w:rFonts w:asciiTheme="majorBidi" w:eastAsiaTheme="minorEastAsia" w:hAnsiTheme="majorBidi" w:cstheme="majorBidi"/>
          <w:lang w:val="en-US"/>
        </w:rPr>
        <w:t xml:space="preserve"> is theleast volatile wit</w:t>
      </w:r>
      <w:r w:rsidR="003B5811" w:rsidRPr="006D27BD">
        <w:rPr>
          <w:rFonts w:asciiTheme="majorBidi" w:eastAsiaTheme="minorEastAsia" w:hAnsiTheme="majorBidi" w:cstheme="majorBidi"/>
          <w:lang w:val="en-US"/>
        </w:rPr>
        <w:t>h a standard deviation of 0.6366</w:t>
      </w:r>
      <w:r w:rsidRPr="006D27BD">
        <w:rPr>
          <w:rFonts w:asciiTheme="majorBidi" w:eastAsiaTheme="minorEastAsia" w:hAnsiTheme="majorBidi" w:cstheme="majorBidi"/>
          <w:lang w:val="en-US"/>
        </w:rPr>
        <w:t>%.</w:t>
      </w:r>
      <w:r w:rsidRPr="006D27BD">
        <w:rPr>
          <w:rFonts w:asciiTheme="majorBidi" w:hAnsiTheme="majorBidi" w:cstheme="majorBidi"/>
          <w:lang w:val="en-US"/>
        </w:rPr>
        <w:t xml:space="preserve"> Besides,</w:t>
      </w:r>
      <w:r w:rsidR="000C2EAD" w:rsidRPr="006D27BD">
        <w:rPr>
          <w:rFonts w:asciiTheme="majorBidi" w:hAnsiTheme="majorBidi" w:cstheme="majorBidi"/>
          <w:lang w:val="en-US"/>
        </w:rPr>
        <w:t>we observe that NIKKEI225</w:t>
      </w:r>
      <w:r w:rsidRPr="006D27BD">
        <w:rPr>
          <w:rFonts w:asciiTheme="majorBidi" w:hAnsiTheme="majorBidi" w:cstheme="majorBidi"/>
          <w:lang w:val="en-US"/>
        </w:rPr>
        <w:t xml:space="preserve"> has the highest level of excess kurtosis, indicating that extreme changes tend to occur more frequently for this </w:t>
      </w:r>
      <w:r w:rsidR="000C2EAD" w:rsidRPr="006D27BD">
        <w:rPr>
          <w:rFonts w:asciiTheme="majorBidi" w:hAnsiTheme="majorBidi" w:cstheme="majorBidi"/>
          <w:lang w:val="en-US"/>
        </w:rPr>
        <w:t>stock price</w:t>
      </w:r>
      <w:r w:rsidRPr="006D27BD">
        <w:rPr>
          <w:rFonts w:asciiTheme="majorBidi" w:hAnsiTheme="majorBidi" w:cstheme="majorBidi"/>
          <w:lang w:val="en-US"/>
        </w:rPr>
        <w:t>.In addition, all</w:t>
      </w:r>
      <w:r w:rsidR="000C2EAD" w:rsidRPr="006D27BD">
        <w:rPr>
          <w:rFonts w:asciiTheme="majorBidi" w:hAnsiTheme="majorBidi" w:cstheme="majorBidi"/>
          <w:lang w:val="en-US"/>
        </w:rPr>
        <w:t xml:space="preserve"> stock index and</w:t>
      </w:r>
      <w:r w:rsidRPr="006D27BD">
        <w:rPr>
          <w:rFonts w:asciiTheme="majorBidi" w:hAnsiTheme="majorBidi" w:cstheme="majorBidi"/>
          <w:lang w:val="en-US"/>
        </w:rPr>
        <w:t xml:space="preserve"> exchange rate returns exhibit high values of excess kurtosis.Furthermore, the Jarque-Bera statistic rejects normality at</w:t>
      </w:r>
      <w:r w:rsidR="000C2EAD" w:rsidRPr="006D27BD">
        <w:rPr>
          <w:rFonts w:asciiTheme="majorBidi" w:hAnsiTheme="majorBidi" w:cstheme="majorBidi"/>
          <w:lang w:val="en-US"/>
        </w:rPr>
        <w:t xml:space="preserve"> the 1% level for all stock index and exchange rate</w:t>
      </w:r>
      <w:r w:rsidRPr="006D27BD">
        <w:rPr>
          <w:rFonts w:asciiTheme="majorBidi" w:hAnsiTheme="majorBidi" w:cstheme="majorBidi"/>
          <w:lang w:val="en-US"/>
        </w:rPr>
        <w:t>. Moreover, all exchange rate</w:t>
      </w:r>
      <w:r w:rsidR="00536FDA" w:rsidRPr="006D27BD">
        <w:rPr>
          <w:rFonts w:asciiTheme="majorBidi" w:hAnsiTheme="majorBidi" w:cstheme="majorBidi"/>
          <w:lang w:val="en-US"/>
        </w:rPr>
        <w:t xml:space="preserve"> and stock market</w:t>
      </w:r>
      <w:r w:rsidRPr="006D27BD">
        <w:rPr>
          <w:rFonts w:asciiTheme="majorBidi" w:hAnsiTheme="majorBidi" w:cstheme="majorBidi"/>
          <w:lang w:val="en-US"/>
        </w:rPr>
        <w:t xml:space="preserve"> return series are stationary, I(0), and thus suitable for long memory tests. Finally, they exhibit volatility clustering, revealing the presence of heteroskedasticity and strong ARCH effects.</w:t>
      </w:r>
    </w:p>
    <w:p w:rsidR="0062679E" w:rsidRPr="0062679E" w:rsidRDefault="0062679E" w:rsidP="0062679E">
      <w:pPr>
        <w:spacing w:after="0" w:line="240" w:lineRule="auto"/>
        <w:ind w:firstLine="340"/>
        <w:jc w:val="both"/>
        <w:rPr>
          <w:rFonts w:asciiTheme="majorBidi" w:hAnsiTheme="majorBidi" w:cstheme="majorBidi"/>
          <w:lang w:val="en-US"/>
        </w:rPr>
      </w:pPr>
    </w:p>
    <w:p w:rsidR="00CC5D4D" w:rsidRPr="002D43A7" w:rsidRDefault="00CC5D4D" w:rsidP="00CC5D4D">
      <w:pPr>
        <w:pStyle w:val="Lgende"/>
        <w:keepNext/>
        <w:spacing w:after="0"/>
        <w:ind w:left="1304" w:right="907"/>
        <w:jc w:val="both"/>
        <w:rPr>
          <w:rFonts w:asciiTheme="majorBidi" w:hAnsiTheme="majorBidi" w:cstheme="majorBidi"/>
          <w:color w:val="auto"/>
          <w:sz w:val="22"/>
          <w:szCs w:val="22"/>
          <w:lang w:val="en-US"/>
        </w:rPr>
      </w:pPr>
      <w:r w:rsidRPr="002D43A7">
        <w:rPr>
          <w:rFonts w:asciiTheme="majorBidi" w:hAnsiTheme="majorBidi" w:cstheme="majorBidi"/>
          <w:color w:val="auto"/>
          <w:sz w:val="22"/>
          <w:szCs w:val="22"/>
          <w:lang w:val="en-US"/>
        </w:rPr>
        <w:t xml:space="preserve">Table </w:t>
      </w:r>
      <w:r w:rsidR="00011760">
        <w:rPr>
          <w:rFonts w:asciiTheme="majorBidi" w:hAnsiTheme="majorBidi" w:cstheme="majorBidi"/>
          <w:color w:val="auto"/>
          <w:sz w:val="22"/>
          <w:szCs w:val="22"/>
          <w:lang w:val="en-US"/>
        </w:rPr>
        <w:fldChar w:fldCharType="begin"/>
      </w:r>
      <w:r>
        <w:rPr>
          <w:rFonts w:asciiTheme="majorBidi" w:hAnsiTheme="majorBidi" w:cstheme="majorBidi"/>
          <w:color w:val="auto"/>
          <w:sz w:val="22"/>
          <w:szCs w:val="22"/>
          <w:lang w:val="en-US"/>
        </w:rPr>
        <w:instrText xml:space="preserve"> SEQ Tableau \* ARABIC </w:instrText>
      </w:r>
      <w:r w:rsidR="00011760">
        <w:rPr>
          <w:rFonts w:asciiTheme="majorBidi" w:hAnsiTheme="majorBidi" w:cstheme="majorBidi"/>
          <w:color w:val="auto"/>
          <w:sz w:val="22"/>
          <w:szCs w:val="22"/>
          <w:lang w:val="en-US"/>
        </w:rPr>
        <w:fldChar w:fldCharType="separate"/>
      </w:r>
      <w:r>
        <w:rPr>
          <w:rFonts w:asciiTheme="majorBidi" w:hAnsiTheme="majorBidi" w:cstheme="majorBidi"/>
          <w:noProof/>
          <w:color w:val="auto"/>
          <w:sz w:val="22"/>
          <w:szCs w:val="22"/>
          <w:lang w:val="en-US"/>
        </w:rPr>
        <w:t>1</w:t>
      </w:r>
      <w:r w:rsidR="00011760">
        <w:rPr>
          <w:rFonts w:asciiTheme="majorBidi" w:hAnsiTheme="majorBidi" w:cstheme="majorBidi"/>
          <w:color w:val="auto"/>
          <w:sz w:val="22"/>
          <w:szCs w:val="22"/>
          <w:lang w:val="en-US"/>
        </w:rPr>
        <w:fldChar w:fldCharType="end"/>
      </w:r>
    </w:p>
    <w:p w:rsidR="00CC5D4D" w:rsidRPr="00CC5D4D" w:rsidRDefault="00CC5D4D" w:rsidP="00CC5D4D">
      <w:pPr>
        <w:spacing w:after="0" w:line="240" w:lineRule="auto"/>
        <w:ind w:left="1304" w:right="907"/>
        <w:jc w:val="both"/>
        <w:rPr>
          <w:rFonts w:asciiTheme="majorBidi" w:hAnsiTheme="majorBidi" w:cstheme="majorBidi"/>
          <w:lang w:val="en-US"/>
        </w:rPr>
      </w:pPr>
      <w:r w:rsidRPr="002D43A7">
        <w:rPr>
          <w:rFonts w:asciiTheme="majorBidi" w:hAnsiTheme="majorBidi" w:cstheme="majorBidi"/>
          <w:lang w:val="en-US"/>
        </w:rPr>
        <w:t>Summary statistics and long memory test’s results.</w:t>
      </w:r>
    </w:p>
    <w:tbl>
      <w:tblPr>
        <w:tblW w:w="6431" w:type="dxa"/>
        <w:jc w:val="center"/>
        <w:tblInd w:w="56" w:type="dxa"/>
        <w:tblCellMar>
          <w:left w:w="70" w:type="dxa"/>
          <w:right w:w="70" w:type="dxa"/>
        </w:tblCellMar>
        <w:tblLook w:val="04A0"/>
      </w:tblPr>
      <w:tblGrid>
        <w:gridCol w:w="1274"/>
        <w:gridCol w:w="1082"/>
        <w:gridCol w:w="217"/>
        <w:gridCol w:w="1129"/>
        <w:gridCol w:w="229"/>
        <w:gridCol w:w="1009"/>
        <w:gridCol w:w="217"/>
        <w:gridCol w:w="1274"/>
      </w:tblGrid>
      <w:tr w:rsidR="00CC5D4D" w:rsidRPr="00A700E7" w:rsidTr="00A700E7">
        <w:trPr>
          <w:trHeight w:val="83"/>
          <w:jc w:val="center"/>
        </w:trPr>
        <w:tc>
          <w:tcPr>
            <w:tcW w:w="1274" w:type="dxa"/>
            <w:tcBorders>
              <w:top w:val="single" w:sz="8" w:space="0" w:color="auto"/>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val="en-US" w:eastAsia="fr-FR"/>
              </w:rPr>
            </w:pPr>
            <w:r w:rsidRPr="00A700E7">
              <w:rPr>
                <w:rFonts w:ascii="Times New Roman" w:eastAsia="Times New Roman" w:hAnsi="Times New Roman" w:cs="Times New Roman"/>
                <w:sz w:val="16"/>
                <w:szCs w:val="16"/>
                <w:lang w:val="en-US" w:eastAsia="fr-FR"/>
              </w:rPr>
              <w:t> </w:t>
            </w:r>
          </w:p>
        </w:tc>
        <w:tc>
          <w:tcPr>
            <w:tcW w:w="1082" w:type="dxa"/>
            <w:tcBorders>
              <w:top w:val="single" w:sz="8" w:space="0" w:color="auto"/>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USD/EUR</w:t>
            </w:r>
          </w:p>
        </w:tc>
        <w:tc>
          <w:tcPr>
            <w:tcW w:w="217" w:type="dxa"/>
            <w:tcBorders>
              <w:top w:val="single" w:sz="8" w:space="0" w:color="auto"/>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 </w:t>
            </w:r>
          </w:p>
        </w:tc>
        <w:tc>
          <w:tcPr>
            <w:tcW w:w="1129" w:type="dxa"/>
            <w:tcBorders>
              <w:top w:val="single" w:sz="8" w:space="0" w:color="auto"/>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NIKKEI225</w:t>
            </w:r>
          </w:p>
        </w:tc>
        <w:tc>
          <w:tcPr>
            <w:tcW w:w="229" w:type="dxa"/>
            <w:tcBorders>
              <w:top w:val="single" w:sz="8" w:space="0" w:color="auto"/>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 </w:t>
            </w:r>
          </w:p>
        </w:tc>
        <w:tc>
          <w:tcPr>
            <w:tcW w:w="1009" w:type="dxa"/>
            <w:tcBorders>
              <w:top w:val="single" w:sz="8" w:space="0" w:color="auto"/>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SSE</w:t>
            </w:r>
          </w:p>
        </w:tc>
        <w:tc>
          <w:tcPr>
            <w:tcW w:w="217" w:type="dxa"/>
            <w:tcBorders>
              <w:top w:val="single" w:sz="8" w:space="0" w:color="auto"/>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 </w:t>
            </w:r>
          </w:p>
        </w:tc>
        <w:tc>
          <w:tcPr>
            <w:tcW w:w="1274" w:type="dxa"/>
            <w:tcBorders>
              <w:top w:val="single" w:sz="8" w:space="0" w:color="auto"/>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MSCI</w:t>
            </w:r>
          </w:p>
        </w:tc>
      </w:tr>
      <w:tr w:rsidR="00CC5D4D" w:rsidRPr="00A700E7" w:rsidTr="00A700E7">
        <w:trPr>
          <w:trHeight w:val="157"/>
          <w:jc w:val="center"/>
        </w:trPr>
        <w:tc>
          <w:tcPr>
            <w:tcW w:w="6431" w:type="dxa"/>
            <w:gridSpan w:val="8"/>
            <w:tcBorders>
              <w:top w:val="nil"/>
              <w:left w:val="nil"/>
              <w:bottom w:val="nil"/>
              <w:right w:val="nil"/>
            </w:tcBorders>
            <w:shd w:val="clear" w:color="auto" w:fill="auto"/>
            <w:noWrap/>
            <w:vAlign w:val="center"/>
            <w:hideMark/>
          </w:tcPr>
          <w:p w:rsidR="00CC5D4D" w:rsidRPr="00791038" w:rsidRDefault="00CC5D4D" w:rsidP="00D65CF0">
            <w:pPr>
              <w:spacing w:after="0" w:line="240" w:lineRule="auto"/>
              <w:rPr>
                <w:rFonts w:ascii="Times New Roman" w:eastAsia="Times New Roman" w:hAnsi="Times New Roman" w:cs="Times New Roman"/>
                <w:i/>
                <w:iCs/>
                <w:sz w:val="16"/>
                <w:szCs w:val="16"/>
                <w:lang w:eastAsia="fr-FR"/>
              </w:rPr>
            </w:pPr>
            <w:r w:rsidRPr="00791038">
              <w:rPr>
                <w:rFonts w:ascii="Times New Roman" w:eastAsia="Times New Roman" w:hAnsi="Times New Roman" w:cs="Times New Roman"/>
                <w:i/>
                <w:iCs/>
                <w:sz w:val="16"/>
                <w:szCs w:val="16"/>
                <w:lang w:eastAsia="fr-FR"/>
              </w:rPr>
              <w:t>Panel A: descriptive statistics</w:t>
            </w:r>
          </w:p>
        </w:tc>
      </w:tr>
      <w:tr w:rsidR="00CC5D4D" w:rsidRPr="00A700E7" w:rsidTr="00A700E7">
        <w:trPr>
          <w:trHeight w:val="123"/>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Mean</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-8.50E-03</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-0.0053</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0.0135</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-1.77E-05</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Maximum</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3.0031</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13.235</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9.4008</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6.5246</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Minimum</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-4.6208</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-12.111</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-9.2562</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-9.936</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Std. Deviation</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0.6366</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1.5304</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1.5456</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1.4641</w:t>
            </w:r>
          </w:p>
        </w:tc>
      </w:tr>
      <w:tr w:rsidR="00CC5D4D" w:rsidRPr="00A700E7" w:rsidTr="00A700E7">
        <w:trPr>
          <w:trHeight w:val="90"/>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Skewness</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-0.0781</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-0.4348</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-0.0887</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-0.241</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0.0542</w:t>
            </w:r>
            <w:r>
              <w:rPr>
                <w:rFonts w:ascii="Times New Roman" w:eastAsia="Times New Roman" w:hAnsi="Times New Roman" w:cs="Times New Roman"/>
                <w:sz w:val="12"/>
                <w:szCs w:val="12"/>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0.0287</w:t>
            </w:r>
            <w:r>
              <w:rPr>
                <w:rFonts w:ascii="Times New Roman" w:eastAsia="Times New Roman" w:hAnsi="Times New Roman" w:cs="Times New Roman"/>
                <w:sz w:val="12"/>
                <w:szCs w:val="12"/>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w:r w:rsidRPr="00EE23F7">
              <w:rPr>
                <w:rFonts w:ascii="Times New Roman" w:eastAsia="Times New Roman" w:hAnsi="Times New Roman" w:cs="Times New Roman"/>
                <w:sz w:val="16"/>
                <w:szCs w:val="16"/>
                <w:lang w:eastAsia="fr-FR"/>
              </w:rPr>
              <w:t>ExcessKurtosis</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2.2977</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6.8355</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4.7723</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3.0688</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A700E7" w:rsidTr="00A700E7">
        <w:trPr>
          <w:trHeight w:val="156"/>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w:r w:rsidRPr="00EE23F7">
              <w:rPr>
                <w:rFonts w:ascii="Times New Roman" w:eastAsia="Times New Roman" w:hAnsi="Times New Roman" w:cs="Times New Roman"/>
                <w:sz w:val="16"/>
                <w:szCs w:val="16"/>
                <w:lang w:eastAsia="fr-FR"/>
              </w:rPr>
              <w:t>Jarque-Bera</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804.2</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7199.2</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3458</w:t>
            </w:r>
            <w:r>
              <w:rPr>
                <w:rFonts w:ascii="Times New Roman" w:eastAsia="Times New Roman" w:hAnsi="Times New Roman" w:cs="Times New Roman"/>
                <w:sz w:val="16"/>
                <w:szCs w:val="16"/>
                <w:lang w:eastAsia="fr-FR"/>
              </w:rPr>
              <w:t>.0***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1463.2</w:t>
            </w:r>
            <w:r>
              <w:rPr>
                <w:rFonts w:ascii="Times New Roman" w:eastAsia="Times New Roman" w:hAnsi="Times New Roman" w:cs="Times New Roman"/>
                <w:sz w:val="16"/>
                <w:szCs w:val="16"/>
                <w:lang w:eastAsia="fr-FR"/>
              </w:rPr>
              <w:t>***</w:t>
            </w:r>
          </w:p>
        </w:tc>
      </w:tr>
      <w:tr w:rsidR="00CC5D4D" w:rsidRPr="00A700E7" w:rsidTr="00A700E7">
        <w:trPr>
          <w:trHeight w:val="117"/>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r>
      <w:tr w:rsidR="00CC5D4D" w:rsidRPr="0062679E" w:rsidTr="00A700E7">
        <w:trPr>
          <w:trHeight w:val="261"/>
          <w:jc w:val="center"/>
        </w:trPr>
        <w:tc>
          <w:tcPr>
            <w:tcW w:w="6431" w:type="dxa"/>
            <w:gridSpan w:val="8"/>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i/>
                <w:iCs/>
                <w:sz w:val="16"/>
                <w:szCs w:val="16"/>
                <w:lang w:val="en-US" w:eastAsia="fr-FR"/>
              </w:rPr>
            </w:pPr>
            <w:r w:rsidRPr="00791038">
              <w:rPr>
                <w:rFonts w:ascii="Times New Roman" w:eastAsia="Times New Roman" w:hAnsi="Times New Roman" w:cs="Times New Roman"/>
                <w:i/>
                <w:iCs/>
                <w:sz w:val="16"/>
                <w:szCs w:val="16"/>
                <w:lang w:val="en-US" w:eastAsia="fr-FR"/>
              </w:rPr>
              <w:t>Panel B: Serial correlation and LM-ARCH tests</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BB0E36" w:rsidRDefault="00CC5D4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LB(20)</m:t>
                </m:r>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21.8227</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14.4001</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44.7177</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72.6072</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BB0E36" w:rsidRDefault="00CC5D4D" w:rsidP="00D65CF0">
            <w:pPr>
              <w:spacing w:after="0" w:line="240" w:lineRule="auto"/>
              <w:rPr>
                <w:rFonts w:ascii="Times New Roman" w:eastAsia="Times New Roman" w:hAnsi="Times New Roman" w:cs="Times New Roman"/>
                <w:sz w:val="12"/>
                <w:szCs w:val="12"/>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0.3502</w:t>
            </w:r>
            <w:r>
              <w:rPr>
                <w:rFonts w:ascii="Times New Roman" w:eastAsia="Times New Roman" w:hAnsi="Times New Roman" w:cs="Times New Roman"/>
                <w:sz w:val="12"/>
                <w:szCs w:val="12"/>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0.8096</w:t>
            </w:r>
            <w:r>
              <w:rPr>
                <w:rFonts w:ascii="Times New Roman" w:eastAsia="Times New Roman" w:hAnsi="Times New Roman" w:cs="Times New Roman"/>
                <w:sz w:val="12"/>
                <w:szCs w:val="12"/>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0.0012</w:t>
            </w:r>
            <w:r>
              <w:rPr>
                <w:rFonts w:ascii="Times New Roman" w:eastAsia="Times New Roman" w:hAnsi="Times New Roman" w:cs="Times New Roman"/>
                <w:sz w:val="12"/>
                <w:szCs w:val="12"/>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BB0E36" w:rsidRDefault="00011760" w:rsidP="00D65CF0">
            <w:pPr>
              <w:spacing w:after="0" w:line="240" w:lineRule="auto"/>
              <w:rPr>
                <w:rFonts w:ascii="Times New Roman" w:eastAsia="Times New Roman" w:hAnsi="Times New Roman" w:cs="Times New Roman"/>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LB</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662.323</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3792.4</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695.483</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1433.72</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BB0E36" w:rsidRDefault="00CC5D4D" w:rsidP="00D65CF0">
            <w:pPr>
              <w:spacing w:after="0" w:line="240" w:lineRule="auto"/>
              <w:rPr>
                <w:rFonts w:ascii="Times New Roman" w:eastAsia="Times New Roman" w:hAnsi="Times New Roman" w:cs="Times New Roman"/>
                <w:sz w:val="12"/>
                <w:szCs w:val="12"/>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BB0E36" w:rsidRDefault="00CC5D4D" w:rsidP="00D65CF0">
            <w:pPr>
              <w:spacing w:after="0" w:line="240" w:lineRule="auto"/>
              <w:rPr>
                <w:rFonts w:ascii="Times New Roman" w:eastAsia="Times New Roman" w:hAnsi="Times New Roman" w:cs="Times New Roman"/>
                <w:sz w:val="16"/>
                <w:szCs w:val="16"/>
                <w:lang w:eastAsia="fr-FR"/>
              </w:rPr>
            </w:pPr>
            <w:r w:rsidRPr="00BB0E36">
              <w:rPr>
                <w:rFonts w:ascii="Times New Roman" w:eastAsia="Times New Roman" w:hAnsi="Times New Roman" w:cs="Times New Roman"/>
                <w:sz w:val="16"/>
                <w:szCs w:val="16"/>
                <w:lang w:eastAsia="fr-FR"/>
              </w:rPr>
              <w:t>ARCH 1-10</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23.031</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141.66</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25.233</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44.144</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t>(</w:t>
            </w:r>
            <w:r w:rsidRPr="00A700E7">
              <w:rPr>
                <w:rFonts w:ascii="Times New Roman" w:eastAsia="Times New Roman" w:hAnsi="Times New Roman" w:cs="Times New Roman"/>
                <w:sz w:val="12"/>
                <w:szCs w:val="12"/>
                <w:lang w:eastAsia="fr-FR"/>
              </w:rPr>
              <w:t>0</w:t>
            </w:r>
            <w:r>
              <w:rPr>
                <w:rFonts w:ascii="Times New Roman" w:eastAsia="Times New Roman" w:hAnsi="Times New Roman" w:cs="Times New Roman"/>
                <w:sz w:val="12"/>
                <w:szCs w:val="12"/>
                <w:lang w:eastAsia="fr-FR"/>
              </w:rPr>
              <w:t>.0000)</w:t>
            </w:r>
          </w:p>
        </w:tc>
      </w:tr>
      <w:tr w:rsidR="00CC5D4D" w:rsidRPr="0062679E" w:rsidTr="00A700E7">
        <w:trPr>
          <w:trHeight w:val="261"/>
          <w:jc w:val="center"/>
        </w:trPr>
        <w:tc>
          <w:tcPr>
            <w:tcW w:w="6431" w:type="dxa"/>
            <w:gridSpan w:val="8"/>
            <w:tcBorders>
              <w:top w:val="nil"/>
              <w:left w:val="nil"/>
              <w:bottom w:val="nil"/>
              <w:right w:val="nil"/>
            </w:tcBorders>
            <w:shd w:val="clear" w:color="auto" w:fill="auto"/>
            <w:noWrap/>
            <w:vAlign w:val="center"/>
            <w:hideMark/>
          </w:tcPr>
          <w:p w:rsidR="00CC5D4D" w:rsidRPr="00791038" w:rsidRDefault="00CC5D4D" w:rsidP="00D65CF0">
            <w:pPr>
              <w:spacing w:after="0" w:line="240" w:lineRule="auto"/>
              <w:rPr>
                <w:rFonts w:ascii="Times New Roman" w:eastAsia="Times New Roman" w:hAnsi="Times New Roman" w:cs="Times New Roman"/>
                <w:i/>
                <w:iCs/>
                <w:sz w:val="16"/>
                <w:szCs w:val="16"/>
                <w:lang w:val="en-US" w:eastAsia="fr-FR"/>
              </w:rPr>
            </w:pPr>
            <w:r w:rsidRPr="00791038">
              <w:rPr>
                <w:rFonts w:ascii="Times New Roman" w:eastAsia="Times New Roman" w:hAnsi="Times New Roman" w:cs="Times New Roman"/>
                <w:i/>
                <w:iCs/>
                <w:sz w:val="16"/>
                <w:szCs w:val="16"/>
                <w:lang w:val="en-US" w:eastAsia="fr-FR"/>
              </w:rPr>
              <w:t>Panel C: Unit Root tests</w:t>
            </w:r>
          </w:p>
        </w:tc>
      </w:tr>
      <w:tr w:rsidR="00CC5D4D" w:rsidRPr="00A700E7" w:rsidTr="00A700E7">
        <w:trPr>
          <w:trHeight w:val="99"/>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val="en-US" w:eastAsia="fr-FR"/>
              </w:rPr>
            </w:pPr>
            <w:r w:rsidRPr="002C1AFD">
              <w:rPr>
                <w:rFonts w:ascii="Times New Roman" w:eastAsia="Times New Roman" w:hAnsi="Times New Roman" w:cs="Times New Roman"/>
                <w:sz w:val="16"/>
                <w:szCs w:val="16"/>
                <w:lang w:val="en-US" w:eastAsia="fr-FR"/>
              </w:rPr>
              <w:t>ADF</w:t>
            </w:r>
            <w:r>
              <w:rPr>
                <w:rFonts w:ascii="Times New Roman" w:eastAsia="Times New Roman" w:hAnsi="Times New Roman" w:cs="Times New Roman"/>
                <w:sz w:val="16"/>
                <w:szCs w:val="16"/>
                <w:lang w:val="en-US" w:eastAsia="fr-FR"/>
              </w:rPr>
              <w:t xml:space="preserve"> test </w:t>
            </w:r>
            <w:r w:rsidRPr="002C1AFD">
              <w:rPr>
                <w:rFonts w:ascii="Times New Roman" w:eastAsia="Times New Roman" w:hAnsi="Times New Roman" w:cs="Times New Roman"/>
                <w:sz w:val="16"/>
                <w:szCs w:val="16"/>
                <w:lang w:val="en-US" w:eastAsia="fr-FR"/>
              </w:rPr>
              <w:t>statistic</w:t>
            </w: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-34.9843</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-36.819</w:t>
            </w:r>
            <w:r>
              <w:rPr>
                <w:rFonts w:ascii="Times New Roman" w:eastAsia="Times New Roman" w:hAnsi="Times New Roman" w:cs="Times New Roman"/>
                <w:sz w:val="16"/>
                <w:szCs w:val="16"/>
                <w:lang w:eastAsia="fr-FR"/>
              </w:rPr>
              <w:t>***</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-33.7277</w:t>
            </w:r>
            <w:r>
              <w:rPr>
                <w:rFonts w:ascii="Times New Roman" w:eastAsia="Times New Roman" w:hAnsi="Times New Roman" w:cs="Times New Roman"/>
                <w:sz w:val="16"/>
                <w:szCs w:val="16"/>
                <w:lang w:eastAsia="fr-FR"/>
              </w:rPr>
              <w:t>***</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-33.1275</w:t>
            </w:r>
            <w:r>
              <w:rPr>
                <w:rFonts w:ascii="Times New Roman" w:eastAsia="Times New Roman" w:hAnsi="Times New Roman" w:cs="Times New Roman"/>
                <w:sz w:val="16"/>
                <w:szCs w:val="16"/>
                <w:lang w:eastAsia="fr-FR"/>
              </w:rPr>
              <w:t>***</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-1.9409</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-1.9409</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-1.9409</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-1.9409</w:t>
            </w:r>
          </w:p>
        </w:tc>
      </w:tr>
      <w:tr w:rsidR="00CC5D4D" w:rsidRPr="0062679E" w:rsidTr="00A700E7">
        <w:trPr>
          <w:trHeight w:val="261"/>
          <w:jc w:val="center"/>
        </w:trPr>
        <w:tc>
          <w:tcPr>
            <w:tcW w:w="6431" w:type="dxa"/>
            <w:gridSpan w:val="8"/>
            <w:tcBorders>
              <w:top w:val="nil"/>
              <w:left w:val="nil"/>
              <w:bottom w:val="nil"/>
              <w:right w:val="nil"/>
            </w:tcBorders>
            <w:shd w:val="clear" w:color="auto" w:fill="auto"/>
            <w:noWrap/>
            <w:vAlign w:val="center"/>
            <w:hideMark/>
          </w:tcPr>
          <w:p w:rsidR="00CC5D4D" w:rsidRPr="00791038" w:rsidRDefault="00CC5D4D" w:rsidP="00D65CF0">
            <w:pPr>
              <w:spacing w:after="0" w:line="240" w:lineRule="auto"/>
              <w:rPr>
                <w:rFonts w:ascii="Times New Roman" w:eastAsia="Times New Roman" w:hAnsi="Times New Roman" w:cs="Times New Roman"/>
                <w:i/>
                <w:iCs/>
                <w:sz w:val="16"/>
                <w:szCs w:val="16"/>
                <w:lang w:val="en-US" w:eastAsia="fr-FR"/>
              </w:rPr>
            </w:pPr>
            <w:r w:rsidRPr="00791038">
              <w:rPr>
                <w:rFonts w:ascii="Times New Roman" w:eastAsia="Times New Roman" w:hAnsi="Times New Roman" w:cs="Times New Roman"/>
                <w:i/>
                <w:iCs/>
                <w:sz w:val="16"/>
                <w:szCs w:val="16"/>
                <w:lang w:val="en-US" w:eastAsia="fr-FR"/>
              </w:rPr>
              <w:t>Panel D: long memory tests (GPH test</w:t>
            </w:r>
            <m:oMath>
              <m:r>
                <w:rPr>
                  <w:rFonts w:ascii="Cambria Math" w:eastAsia="Times New Roman" w:hAnsi="Cambria Math" w:cs="Times New Roman"/>
                  <w:sz w:val="16"/>
                  <w:szCs w:val="16"/>
                  <w:lang w:val="en-US" w:eastAsia="fr-FR"/>
                </w:rPr>
                <m:t>-d</m:t>
              </m:r>
            </m:oMath>
            <w:r w:rsidRPr="00791038">
              <w:rPr>
                <w:rFonts w:ascii="Times New Roman" w:eastAsia="Times New Roman" w:hAnsi="Times New Roman" w:cs="Times New Roman"/>
                <w:i/>
                <w:iCs/>
                <w:sz w:val="16"/>
                <w:szCs w:val="16"/>
                <w:lang w:val="en-US" w:eastAsia="fr-FR"/>
              </w:rPr>
              <w:t xml:space="preserve"> estimates)</w:t>
            </w:r>
          </w:p>
        </w:tc>
      </w:tr>
      <w:tr w:rsidR="00CC5D4D" w:rsidRPr="0062679E" w:rsidTr="00A700E7">
        <w:trPr>
          <w:trHeight w:val="74"/>
          <w:jc w:val="center"/>
        </w:trPr>
        <w:tc>
          <w:tcPr>
            <w:tcW w:w="6431" w:type="dxa"/>
            <w:gridSpan w:val="8"/>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i/>
                <w:iCs/>
                <w:sz w:val="16"/>
                <w:szCs w:val="16"/>
                <w:lang w:val="en-US" w:eastAsia="fr-FR"/>
              </w:rPr>
            </w:pPr>
          </w:p>
        </w:tc>
      </w:tr>
      <w:tr w:rsidR="00CC5D4D" w:rsidRPr="00A700E7" w:rsidTr="00A700E7">
        <w:trPr>
          <w:trHeight w:val="261"/>
          <w:jc w:val="center"/>
        </w:trPr>
        <w:tc>
          <w:tcPr>
            <w:tcW w:w="6431" w:type="dxa"/>
            <w:gridSpan w:val="8"/>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Squared returns</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m=</m:t>
                </m:r>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T</m:t>
                    </m:r>
                  </m:e>
                  <m:sup>
                    <m:r>
                      <w:rPr>
                        <w:rFonts w:ascii="Cambria Math" w:eastAsia="Times New Roman" w:hAnsi="Cambria Math" w:cs="Times New Roman"/>
                        <w:sz w:val="16"/>
                        <w:szCs w:val="16"/>
                        <w:lang w:eastAsia="fr-FR"/>
                      </w:rPr>
                      <m:t>0.5</m:t>
                    </m:r>
                  </m:sup>
                </m:sSup>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0.4106</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0.2687</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0.4593</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0.5946</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667734" w:rsidRDefault="00CC5D4D" w:rsidP="00D65CF0">
            <w:pPr>
              <w:spacing w:after="0" w:line="240" w:lineRule="auto"/>
              <w:rPr>
                <w:rFonts w:ascii="Times New Roman" w:eastAsia="Times New Roman" w:hAnsi="Times New Roman" w:cs="Times New Roman"/>
                <w:sz w:val="12"/>
                <w:szCs w:val="12"/>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[0.0968]</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[0.0573]</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[0.0813]</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[0.0900]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m=</m:t>
                </m:r>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T</m:t>
                    </m:r>
                  </m:e>
                  <m:sup>
                    <m:r>
                      <w:rPr>
                        <w:rFonts w:ascii="Cambria Math" w:eastAsia="Times New Roman" w:hAnsi="Cambria Math" w:cs="Times New Roman"/>
                        <w:sz w:val="16"/>
                        <w:szCs w:val="16"/>
                        <w:lang w:eastAsia="fr-FR"/>
                      </w:rPr>
                      <m:t>0.6</m:t>
                    </m:r>
                  </m:sup>
                </m:sSup>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0.5947</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0.4649</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0.369</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0.3955</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[0.0732]</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[0.0498]</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[0.0620]</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[0.0580]</w:t>
            </w:r>
          </w:p>
        </w:tc>
      </w:tr>
      <w:tr w:rsidR="00CC5D4D" w:rsidRPr="00A700E7" w:rsidTr="00A700E7">
        <w:trPr>
          <w:trHeight w:val="7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r>
      <w:tr w:rsidR="00CC5D4D" w:rsidRPr="00A700E7" w:rsidTr="00A700E7">
        <w:trPr>
          <w:trHeight w:val="74"/>
          <w:jc w:val="center"/>
        </w:trPr>
        <w:tc>
          <w:tcPr>
            <w:tcW w:w="2356" w:type="dxa"/>
            <w:gridSpan w:val="2"/>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Absolute returns</w:t>
            </w: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p>
        </w:tc>
      </w:tr>
      <w:tr w:rsidR="00CC5D4D" w:rsidRPr="00A700E7" w:rsidTr="00D65CF0">
        <w:trPr>
          <w:trHeight w:val="261"/>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m=</m:t>
                </m:r>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T</m:t>
                    </m:r>
                  </m:e>
                  <m:sup>
                    <m:r>
                      <w:rPr>
                        <w:rFonts w:ascii="Cambria Math" w:eastAsia="Times New Roman" w:hAnsi="Cambria Math" w:cs="Times New Roman"/>
                        <w:sz w:val="16"/>
                        <w:szCs w:val="16"/>
                        <w:lang w:eastAsia="fr-FR"/>
                      </w:rPr>
                      <m:t>0.5</m:t>
                    </m:r>
                  </m:sup>
                </m:sSup>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0.4825</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0.3403</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0.4781</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0.5623</w:t>
            </w:r>
          </w:p>
        </w:tc>
      </w:tr>
      <w:tr w:rsidR="00CC5D4D" w:rsidRPr="00A700E7" w:rsidTr="00553F73">
        <w:trPr>
          <w:trHeight w:val="74"/>
          <w:jc w:val="center"/>
        </w:trPr>
        <w:tc>
          <w:tcPr>
            <w:tcW w:w="1274" w:type="dxa"/>
            <w:tcBorders>
              <w:top w:val="nil"/>
              <w:left w:val="nil"/>
              <w:bottom w:val="nil"/>
              <w:right w:val="nil"/>
            </w:tcBorders>
            <w:shd w:val="clear" w:color="auto" w:fill="auto"/>
            <w:noWrap/>
            <w:vAlign w:val="center"/>
            <w:hideMark/>
          </w:tcPr>
          <w:p w:rsidR="00CC5D4D" w:rsidRPr="00667734" w:rsidRDefault="00CC5D4D" w:rsidP="00D65CF0">
            <w:pPr>
              <w:spacing w:after="0" w:line="240" w:lineRule="auto"/>
              <w:rPr>
                <w:rFonts w:ascii="Times New Roman" w:eastAsia="Times New Roman" w:hAnsi="Times New Roman" w:cs="Times New Roman"/>
                <w:sz w:val="12"/>
                <w:szCs w:val="12"/>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[0.0747]</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[0.0812]</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[0.0838]</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[0.1050]</w:t>
            </w:r>
          </w:p>
        </w:tc>
      </w:tr>
      <w:tr w:rsidR="00CC5D4D" w:rsidRPr="00A700E7" w:rsidTr="00553F73">
        <w:trPr>
          <w:trHeight w:val="74"/>
          <w:jc w:val="center"/>
        </w:trPr>
        <w:tc>
          <w:tcPr>
            <w:tcW w:w="1274" w:type="dxa"/>
            <w:tcBorders>
              <w:top w:val="nil"/>
              <w:left w:val="nil"/>
              <w:bottom w:val="nil"/>
              <w:right w:val="nil"/>
            </w:tcBorders>
            <w:shd w:val="clear" w:color="auto" w:fill="auto"/>
            <w:noWrap/>
            <w:vAlign w:val="center"/>
            <w:hideMark/>
          </w:tcPr>
          <w:p w:rsidR="00CC5D4D" w:rsidRPr="00EE23F7" w:rsidRDefault="00CC5D4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m=</m:t>
                </m:r>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T</m:t>
                    </m:r>
                  </m:e>
                  <m:sup>
                    <m:r>
                      <w:rPr>
                        <w:rFonts w:ascii="Cambria Math" w:eastAsia="Times New Roman" w:hAnsi="Cambria Math" w:cs="Times New Roman"/>
                        <w:sz w:val="16"/>
                        <w:szCs w:val="16"/>
                        <w:lang w:eastAsia="fr-FR"/>
                      </w:rPr>
                      <m:t>0.6</m:t>
                    </m:r>
                  </m:sup>
                </m:sSup>
              </m:oMath>
            </m:oMathPara>
          </w:p>
        </w:tc>
        <w:tc>
          <w:tcPr>
            <w:tcW w:w="1082"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0.5804</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0.4487</w:t>
            </w:r>
          </w:p>
        </w:tc>
        <w:tc>
          <w:tcPr>
            <w:tcW w:w="22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0.37002</w:t>
            </w:r>
          </w:p>
        </w:tc>
        <w:tc>
          <w:tcPr>
            <w:tcW w:w="217"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6"/>
                <w:szCs w:val="16"/>
                <w:lang w:eastAsia="fr-FR"/>
              </w:rPr>
            </w:pPr>
            <w:r w:rsidRPr="00A700E7">
              <w:rPr>
                <w:rFonts w:ascii="Times New Roman" w:eastAsia="Times New Roman" w:hAnsi="Times New Roman" w:cs="Times New Roman"/>
                <w:sz w:val="16"/>
                <w:szCs w:val="16"/>
                <w:lang w:eastAsia="fr-FR"/>
              </w:rPr>
              <w:t>0.4381</w:t>
            </w:r>
          </w:p>
        </w:tc>
      </w:tr>
      <w:tr w:rsidR="00CC5D4D" w:rsidRPr="00A700E7" w:rsidTr="00553F73">
        <w:trPr>
          <w:trHeight w:val="74"/>
          <w:jc w:val="center"/>
        </w:trPr>
        <w:tc>
          <w:tcPr>
            <w:tcW w:w="1274" w:type="dxa"/>
            <w:tcBorders>
              <w:top w:val="nil"/>
              <w:left w:val="nil"/>
              <w:bottom w:val="single" w:sz="8" w:space="0" w:color="auto"/>
              <w:right w:val="nil"/>
            </w:tcBorders>
            <w:shd w:val="clear" w:color="auto" w:fill="auto"/>
            <w:noWrap/>
            <w:vAlign w:val="bottom"/>
            <w:hideMark/>
          </w:tcPr>
          <w:p w:rsidR="00CC5D4D" w:rsidRPr="00A700E7" w:rsidRDefault="00CC5D4D" w:rsidP="00A700E7">
            <w:pPr>
              <w:spacing w:after="0" w:line="240" w:lineRule="auto"/>
              <w:rPr>
                <w:rFonts w:ascii="Calibri" w:eastAsia="Times New Roman" w:hAnsi="Calibri" w:cs="Arial"/>
                <w:lang w:eastAsia="fr-FR"/>
              </w:rPr>
            </w:pPr>
            <w:r w:rsidRPr="00A700E7">
              <w:rPr>
                <w:rFonts w:ascii="Calibri" w:eastAsia="Times New Roman" w:hAnsi="Calibri" w:cs="Arial"/>
                <w:lang w:eastAsia="fr-FR"/>
              </w:rPr>
              <w:t> </w:t>
            </w:r>
          </w:p>
        </w:tc>
        <w:tc>
          <w:tcPr>
            <w:tcW w:w="1082"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[0.0698]</w:t>
            </w:r>
          </w:p>
        </w:tc>
        <w:tc>
          <w:tcPr>
            <w:tcW w:w="217"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p>
        </w:tc>
        <w:tc>
          <w:tcPr>
            <w:tcW w:w="1129"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[0.0570]</w:t>
            </w:r>
          </w:p>
        </w:tc>
        <w:tc>
          <w:tcPr>
            <w:tcW w:w="229"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Calibri" w:eastAsia="Times New Roman" w:hAnsi="Calibri" w:cs="Arial"/>
                <w:lang w:eastAsia="fr-FR"/>
              </w:rPr>
            </w:pPr>
          </w:p>
        </w:tc>
        <w:tc>
          <w:tcPr>
            <w:tcW w:w="1009"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[0.0568]</w:t>
            </w:r>
          </w:p>
        </w:tc>
        <w:tc>
          <w:tcPr>
            <w:tcW w:w="217"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p>
        </w:tc>
        <w:tc>
          <w:tcPr>
            <w:tcW w:w="1274" w:type="dxa"/>
            <w:tcBorders>
              <w:top w:val="nil"/>
              <w:left w:val="nil"/>
              <w:bottom w:val="single" w:sz="8" w:space="0" w:color="auto"/>
              <w:right w:val="nil"/>
            </w:tcBorders>
            <w:shd w:val="clear" w:color="auto" w:fill="auto"/>
            <w:noWrap/>
            <w:vAlign w:val="bottom"/>
            <w:hideMark/>
          </w:tcPr>
          <w:p w:rsidR="00CC5D4D" w:rsidRPr="00A700E7" w:rsidRDefault="00CC5D4D" w:rsidP="00FB3181">
            <w:pPr>
              <w:spacing w:after="0" w:line="240" w:lineRule="auto"/>
              <w:rPr>
                <w:rFonts w:ascii="Times New Roman" w:eastAsia="Times New Roman" w:hAnsi="Times New Roman" w:cs="Times New Roman"/>
                <w:sz w:val="12"/>
                <w:szCs w:val="12"/>
                <w:lang w:eastAsia="fr-FR"/>
              </w:rPr>
            </w:pPr>
            <w:r w:rsidRPr="00A700E7">
              <w:rPr>
                <w:rFonts w:ascii="Times New Roman" w:eastAsia="Times New Roman" w:hAnsi="Times New Roman" w:cs="Times New Roman"/>
                <w:sz w:val="12"/>
                <w:szCs w:val="12"/>
                <w:lang w:eastAsia="fr-FR"/>
              </w:rPr>
              <w:t>[0.0697]</w:t>
            </w:r>
          </w:p>
        </w:tc>
      </w:tr>
      <w:tr w:rsidR="00CC5D4D" w:rsidRPr="00A700E7" w:rsidTr="00553F73">
        <w:trPr>
          <w:trHeight w:val="54"/>
          <w:jc w:val="center"/>
        </w:trPr>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1082"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11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22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1009"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217"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c>
          <w:tcPr>
            <w:tcW w:w="1274" w:type="dxa"/>
            <w:tcBorders>
              <w:top w:val="nil"/>
              <w:left w:val="nil"/>
              <w:bottom w:val="nil"/>
              <w:right w:val="nil"/>
            </w:tcBorders>
            <w:shd w:val="clear" w:color="auto" w:fill="auto"/>
            <w:noWrap/>
            <w:vAlign w:val="bottom"/>
            <w:hideMark/>
          </w:tcPr>
          <w:p w:rsidR="00CC5D4D" w:rsidRPr="00A700E7" w:rsidRDefault="00CC5D4D" w:rsidP="00A700E7">
            <w:pPr>
              <w:spacing w:after="0" w:line="240" w:lineRule="auto"/>
              <w:rPr>
                <w:rFonts w:ascii="Arial" w:eastAsia="Times New Roman" w:hAnsi="Arial" w:cs="Arial"/>
                <w:sz w:val="20"/>
                <w:szCs w:val="20"/>
                <w:lang w:eastAsia="fr-FR"/>
              </w:rPr>
            </w:pPr>
          </w:p>
        </w:tc>
      </w:tr>
    </w:tbl>
    <w:p w:rsidR="00CC5D4D" w:rsidRPr="00450C74" w:rsidRDefault="00CC5D4D" w:rsidP="00CC5D4D">
      <w:pPr>
        <w:pStyle w:val="Lgende"/>
        <w:spacing w:after="0"/>
        <w:ind w:left="1304" w:right="1304"/>
        <w:jc w:val="both"/>
        <w:rPr>
          <w:rFonts w:asciiTheme="majorBidi" w:eastAsiaTheme="minorHAnsi" w:hAnsiTheme="majorBidi" w:cstheme="majorBidi"/>
          <w:b w:val="0"/>
          <w:bCs w:val="0"/>
          <w:color w:val="auto"/>
          <w:sz w:val="16"/>
          <w:szCs w:val="16"/>
          <w:lang w:val="en-US"/>
        </w:rPr>
      </w:pPr>
      <w:r w:rsidRPr="00CF1CEA">
        <w:rPr>
          <w:rFonts w:asciiTheme="majorBidi" w:hAnsiTheme="majorBidi" w:cstheme="majorBidi"/>
          <w:color w:val="auto"/>
          <w:sz w:val="16"/>
          <w:szCs w:val="16"/>
          <w:lang w:val="en-US"/>
        </w:rPr>
        <w:t>Notes:</w:t>
      </w:r>
      <w:r>
        <w:rPr>
          <w:rFonts w:asciiTheme="majorBidi" w:eastAsiaTheme="minorHAnsi" w:hAnsiTheme="majorBidi" w:cstheme="majorBidi"/>
          <w:b w:val="0"/>
          <w:bCs w:val="0"/>
          <w:color w:val="auto"/>
          <w:sz w:val="16"/>
          <w:szCs w:val="16"/>
          <w:lang w:val="en-US"/>
        </w:rPr>
        <w:t>Exchange rate and Stock market</w:t>
      </w:r>
      <w:r w:rsidRPr="00791038">
        <w:rPr>
          <w:rFonts w:asciiTheme="majorBidi" w:eastAsiaTheme="minorHAnsi" w:hAnsiTheme="majorBidi" w:cstheme="majorBidi"/>
          <w:b w:val="0"/>
          <w:bCs w:val="0"/>
          <w:color w:val="auto"/>
          <w:sz w:val="16"/>
          <w:szCs w:val="16"/>
          <w:lang w:val="en-US"/>
        </w:rPr>
        <w:t xml:space="preserve"> returns are in daily frequency. </w:t>
      </w:r>
      <m:oMath>
        <m:sSup>
          <m:sSupPr>
            <m:ctrlPr>
              <w:rPr>
                <w:rFonts w:ascii="Cambria Math" w:eastAsiaTheme="minorHAnsi" w:hAnsiTheme="majorBidi" w:cstheme="majorBidi"/>
                <w:b w:val="0"/>
                <w:bCs w:val="0"/>
                <w:i/>
                <w:color w:val="auto"/>
                <w:sz w:val="16"/>
                <w:szCs w:val="16"/>
                <w:lang w:val="en-US"/>
              </w:rPr>
            </m:ctrlPr>
          </m:sSupPr>
          <m:e>
            <m:r>
              <m:rPr>
                <m:sty m:val="bi"/>
              </m:rPr>
              <w:rPr>
                <w:rFonts w:ascii="Cambria Math" w:eastAsiaTheme="minorHAnsi" w:hAnsi="Cambria Math" w:cstheme="majorBidi"/>
                <w:color w:val="auto"/>
                <w:sz w:val="16"/>
                <w:szCs w:val="16"/>
                <w:lang w:val="en-US"/>
              </w:rPr>
              <m:t>r</m:t>
            </m:r>
          </m:e>
          <m:sup>
            <m:r>
              <m:rPr>
                <m:sty m:val="bi"/>
              </m:rPr>
              <w:rPr>
                <w:rFonts w:ascii="Cambria Math" w:eastAsiaTheme="minorHAnsi" w:hAnsiTheme="majorBidi" w:cstheme="majorBidi"/>
                <w:color w:val="auto"/>
                <w:sz w:val="16"/>
                <w:szCs w:val="16"/>
                <w:lang w:val="en-US"/>
              </w:rPr>
              <m:t>2</m:t>
            </m:r>
          </m:sup>
        </m:sSup>
      </m:oMath>
      <w:r w:rsidRPr="00791038">
        <w:rPr>
          <w:rFonts w:asciiTheme="majorBidi" w:eastAsiaTheme="minorEastAsia" w:hAnsiTheme="majorBidi" w:cstheme="majorBidi"/>
          <w:b w:val="0"/>
          <w:bCs w:val="0"/>
          <w:color w:val="auto"/>
          <w:sz w:val="16"/>
          <w:szCs w:val="16"/>
          <w:lang w:val="en-US"/>
        </w:rPr>
        <w:t>and</w:t>
      </w:r>
      <m:oMath>
        <m:d>
          <m:dPr>
            <m:begChr m:val="|"/>
            <m:endChr m:val="|"/>
            <m:ctrlPr>
              <w:rPr>
                <w:rFonts w:ascii="Cambria Math" w:eastAsiaTheme="minorEastAsia" w:hAnsiTheme="majorBidi" w:cstheme="majorBidi"/>
                <w:b w:val="0"/>
                <w:bCs w:val="0"/>
                <w:i/>
                <w:color w:val="auto"/>
                <w:sz w:val="16"/>
                <w:szCs w:val="16"/>
                <w:lang w:val="en-US"/>
              </w:rPr>
            </m:ctrlPr>
          </m:dPr>
          <m:e>
            <m:r>
              <m:rPr>
                <m:sty m:val="bi"/>
              </m:rPr>
              <w:rPr>
                <w:rFonts w:ascii="Cambria Math" w:eastAsiaTheme="minorEastAsia" w:hAnsi="Cambria Math" w:cstheme="majorBidi"/>
                <w:color w:val="auto"/>
                <w:sz w:val="16"/>
                <w:szCs w:val="16"/>
                <w:lang w:val="en-US"/>
              </w:rPr>
              <m:t>r</m:t>
            </m:r>
          </m:e>
        </m:d>
      </m:oMath>
      <w:r w:rsidRPr="00791038">
        <w:rPr>
          <w:rFonts w:asciiTheme="majorBidi" w:eastAsiaTheme="minorEastAsia" w:hAnsiTheme="majorBidi" w:cstheme="majorBidi"/>
          <w:b w:val="0"/>
          <w:bCs w:val="0"/>
          <w:color w:val="auto"/>
          <w:sz w:val="16"/>
          <w:szCs w:val="16"/>
          <w:lang w:val="en-US"/>
        </w:rPr>
        <w:t xml:space="preserve"> are squared log return and absolute log return, respectively. </w:t>
      </w:r>
      <m:oMath>
        <m:r>
          <m:rPr>
            <m:sty m:val="bi"/>
          </m:rPr>
          <w:rPr>
            <w:rFonts w:ascii="Cambria Math" w:eastAsiaTheme="minorEastAsia" w:hAnsi="Cambria Math" w:cstheme="majorBidi"/>
            <w:color w:val="auto"/>
            <w:sz w:val="16"/>
            <w:szCs w:val="16"/>
            <w:lang w:val="en-US"/>
          </w:rPr>
          <m:t>m</m:t>
        </m:r>
      </m:oMath>
      <w:r w:rsidRPr="00791038">
        <w:rPr>
          <w:rFonts w:asciiTheme="majorBidi" w:eastAsiaTheme="minorEastAsia" w:hAnsiTheme="majorBidi" w:cstheme="majorBidi"/>
          <w:b w:val="0"/>
          <w:bCs w:val="0"/>
          <w:color w:val="auto"/>
          <w:sz w:val="16"/>
          <w:szCs w:val="16"/>
          <w:lang w:val="en-US"/>
        </w:rPr>
        <w:t xml:space="preserve">denotes the bandwith for the Geweke and Porter-Hudak’s (1983) test. </w:t>
      </w:r>
      <w:r w:rsidRPr="00791038">
        <w:rPr>
          <w:rFonts w:asciiTheme="majorBidi" w:eastAsiaTheme="minorHAnsi" w:hAnsiTheme="majorBidi" w:cstheme="majorBidi"/>
          <w:b w:val="0"/>
          <w:bCs w:val="0"/>
          <w:color w:val="auto"/>
          <w:sz w:val="16"/>
          <w:szCs w:val="16"/>
          <w:lang w:val="en-US"/>
        </w:rPr>
        <w:t>Observations for all series in the whole sample per</w:t>
      </w:r>
      <w:r>
        <w:rPr>
          <w:rFonts w:asciiTheme="majorBidi" w:eastAsiaTheme="minorHAnsi" w:hAnsiTheme="majorBidi" w:cstheme="majorBidi"/>
          <w:b w:val="0"/>
          <w:bCs w:val="0"/>
          <w:color w:val="auto"/>
          <w:sz w:val="16"/>
          <w:szCs w:val="16"/>
          <w:lang w:val="en-US"/>
        </w:rPr>
        <w:t>iod are 3639</w:t>
      </w:r>
      <w:r w:rsidRPr="00791038">
        <w:rPr>
          <w:rFonts w:asciiTheme="majorBidi" w:eastAsiaTheme="minorHAnsi" w:hAnsiTheme="majorBidi" w:cstheme="majorBidi"/>
          <w:b w:val="0"/>
          <w:bCs w:val="0"/>
          <w:color w:val="auto"/>
          <w:sz w:val="16"/>
          <w:szCs w:val="16"/>
          <w:lang w:val="en-US"/>
        </w:rPr>
        <w:t xml:space="preserve">. The numbers in brackets are t-statistics and numbers in parentheses are p-values. ***, **, and * denote statistical significance at 1%, 5% and 10% levels, respectively. </w:t>
      </w:r>
      <m:oMath>
        <m:r>
          <m:rPr>
            <m:sty m:val="bi"/>
          </m:rPr>
          <w:rPr>
            <w:rFonts w:ascii="Cambria Math" w:eastAsiaTheme="minorHAnsi" w:hAnsi="Cambria Math" w:cstheme="majorBidi"/>
            <w:color w:val="auto"/>
            <w:sz w:val="16"/>
            <w:szCs w:val="16"/>
            <w:lang w:val="en-US"/>
          </w:rPr>
          <m:t>LB</m:t>
        </m:r>
        <m:r>
          <m:rPr>
            <m:sty m:val="bi"/>
          </m:rPr>
          <w:rPr>
            <w:rFonts w:ascii="Cambria Math" w:eastAsiaTheme="minorHAnsi" w:hAnsiTheme="majorBidi" w:cstheme="majorBidi"/>
            <w:color w:val="auto"/>
            <w:sz w:val="16"/>
            <w:szCs w:val="16"/>
            <w:lang w:val="en-US"/>
          </w:rPr>
          <m:t>(20)</m:t>
        </m:r>
      </m:oMath>
      <w:r w:rsidRPr="00791038">
        <w:rPr>
          <w:rFonts w:asciiTheme="majorBidi" w:eastAsiaTheme="minorHAnsi" w:hAnsiTheme="majorBidi" w:cstheme="majorBidi"/>
          <w:b w:val="0"/>
          <w:bCs w:val="0"/>
          <w:color w:val="auto"/>
          <w:sz w:val="16"/>
          <w:szCs w:val="16"/>
          <w:lang w:val="en-US"/>
        </w:rPr>
        <w:t>and</w:t>
      </w:r>
      <m:oMath>
        <m:sSup>
          <m:sSupPr>
            <m:ctrlPr>
              <w:rPr>
                <w:rFonts w:ascii="Cambria Math" w:eastAsia="Times New Roman" w:hAnsiTheme="majorBidi" w:cstheme="majorBidi"/>
                <w:b w:val="0"/>
                <w:bCs w:val="0"/>
                <w:i/>
                <w:color w:val="auto"/>
                <w:sz w:val="16"/>
                <w:szCs w:val="16"/>
                <w:lang w:eastAsia="fr-FR"/>
              </w:rPr>
            </m:ctrlPr>
          </m:sSupPr>
          <m:e>
            <m:r>
              <m:rPr>
                <m:sty m:val="bi"/>
              </m:rPr>
              <w:rPr>
                <w:rFonts w:ascii="Cambria Math" w:eastAsia="Times New Roman" w:hAnsi="Cambria Math" w:cstheme="majorBidi"/>
                <w:color w:val="auto"/>
                <w:sz w:val="16"/>
                <w:szCs w:val="16"/>
                <w:lang w:eastAsia="fr-FR"/>
              </w:rPr>
              <m:t>LB</m:t>
            </m:r>
          </m:e>
          <m:sup>
            <m:r>
              <m:rPr>
                <m:sty m:val="bi"/>
              </m:rPr>
              <w:rPr>
                <w:rFonts w:ascii="Cambria Math" w:eastAsia="Times New Roman" w:hAnsiTheme="majorBidi" w:cstheme="majorBidi"/>
                <w:color w:val="auto"/>
                <w:sz w:val="16"/>
                <w:szCs w:val="16"/>
                <w:lang w:val="en-US" w:eastAsia="fr-FR"/>
              </w:rPr>
              <m:t>2</m:t>
            </m:r>
          </m:sup>
        </m:sSup>
        <m:r>
          <m:rPr>
            <m:sty m:val="bi"/>
          </m:rPr>
          <w:rPr>
            <w:rFonts w:ascii="Cambria Math" w:eastAsia="Times New Roman" w:hAnsiTheme="majorBidi" w:cstheme="majorBidi"/>
            <w:color w:val="auto"/>
            <w:sz w:val="16"/>
            <w:szCs w:val="16"/>
            <w:lang w:val="en-US" w:eastAsia="fr-FR"/>
          </w:rPr>
          <m:t>(20)</m:t>
        </m:r>
      </m:oMath>
      <w:r>
        <w:rPr>
          <w:rFonts w:asciiTheme="majorBidi" w:eastAsia="Times New Roman" w:hAnsiTheme="majorBidi" w:cstheme="majorBidi"/>
          <w:b w:val="0"/>
          <w:bCs w:val="0"/>
          <w:color w:val="auto"/>
          <w:sz w:val="16"/>
          <w:szCs w:val="16"/>
          <w:lang w:val="en-US" w:eastAsia="fr-FR"/>
        </w:rPr>
        <w:t xml:space="preserve"> are the 20</w:t>
      </w:r>
      <w:r w:rsidRPr="00791038">
        <w:rPr>
          <w:rFonts w:asciiTheme="majorBidi" w:eastAsia="Times New Roman" w:hAnsiTheme="majorBidi" w:cstheme="majorBidi"/>
          <w:b w:val="0"/>
          <w:bCs w:val="0"/>
          <w:color w:val="auto"/>
          <w:sz w:val="16"/>
          <w:szCs w:val="16"/>
          <w:lang w:val="en-US" w:eastAsia="fr-FR"/>
        </w:rPr>
        <w:t>th order Ljung-Box tests for serial correlation in the standardized and squared standardized residuals, respectively</w:t>
      </w:r>
      <w:r w:rsidRPr="00791038">
        <w:rPr>
          <w:rFonts w:asciiTheme="majorBidi" w:eastAsiaTheme="minorHAnsi" w:hAnsiTheme="majorBidi" w:cstheme="majorBidi"/>
          <w:b w:val="0"/>
          <w:bCs w:val="0"/>
          <w:color w:val="auto"/>
          <w:sz w:val="16"/>
          <w:szCs w:val="16"/>
          <w:lang w:val="en-US"/>
        </w:rPr>
        <w:t>.</w:t>
      </w:r>
    </w:p>
    <w:p w:rsidR="0093611C" w:rsidRDefault="0093611C" w:rsidP="0093611C">
      <w:pPr>
        <w:spacing w:after="0" w:line="240" w:lineRule="auto"/>
        <w:jc w:val="both"/>
        <w:rPr>
          <w:rFonts w:asciiTheme="majorBidi" w:hAnsiTheme="majorBidi" w:cstheme="majorBidi"/>
          <w:color w:val="FF0000"/>
          <w:sz w:val="24"/>
          <w:szCs w:val="24"/>
          <w:lang w:val="en-US"/>
        </w:rPr>
      </w:pPr>
    </w:p>
    <w:p w:rsidR="003C4793" w:rsidRDefault="007553F9" w:rsidP="006D27BD">
      <w:pPr>
        <w:spacing w:after="0" w:line="240" w:lineRule="auto"/>
        <w:ind w:firstLine="340"/>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5762298" cy="3148641"/>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3147779"/>
                    </a:xfrm>
                    <a:prstGeom prst="rect">
                      <a:avLst/>
                    </a:prstGeom>
                    <a:noFill/>
                    <a:ln w="9525">
                      <a:noFill/>
                      <a:miter lim="800000"/>
                      <a:headEnd/>
                      <a:tailEnd/>
                    </a:ln>
                  </pic:spPr>
                </pic:pic>
              </a:graphicData>
            </a:graphic>
          </wp:inline>
        </w:drawing>
      </w:r>
    </w:p>
    <w:p w:rsidR="00057FD0" w:rsidRPr="00341063" w:rsidRDefault="00057FD0" w:rsidP="00811B69">
      <w:pPr>
        <w:spacing w:after="0" w:line="240" w:lineRule="auto"/>
        <w:ind w:firstLine="340"/>
        <w:jc w:val="center"/>
        <w:rPr>
          <w:rFonts w:asciiTheme="majorBidi" w:hAnsiTheme="majorBidi" w:cstheme="majorBidi"/>
          <w:lang w:val="en-US"/>
        </w:rPr>
      </w:pPr>
      <w:r w:rsidRPr="00341063">
        <w:rPr>
          <w:rFonts w:asciiTheme="majorBidi" w:hAnsiTheme="majorBidi" w:cstheme="majorBidi"/>
          <w:b/>
          <w:bCs/>
          <w:lang w:val="en-US"/>
        </w:rPr>
        <w:t>Fig1</w:t>
      </w:r>
      <w:r w:rsidRPr="00341063">
        <w:rPr>
          <w:rFonts w:asciiTheme="majorBidi" w:hAnsiTheme="majorBidi" w:cstheme="majorBidi"/>
          <w:lang w:val="en-US"/>
        </w:rPr>
        <w:t>. Exchange rate and stock index behavior over time</w:t>
      </w:r>
    </w:p>
    <w:p w:rsidR="00057FD0" w:rsidRDefault="00E34AA8" w:rsidP="00057FD0">
      <w:pPr>
        <w:spacing w:after="0" w:line="240" w:lineRule="auto"/>
        <w:ind w:firstLine="340"/>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5760720" cy="3837704"/>
            <wp:effectExtent l="1905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0720" cy="3837704"/>
                    </a:xfrm>
                    <a:prstGeom prst="rect">
                      <a:avLst/>
                    </a:prstGeom>
                    <a:noFill/>
                    <a:ln w="9525">
                      <a:noFill/>
                      <a:miter lim="800000"/>
                      <a:headEnd/>
                      <a:tailEnd/>
                    </a:ln>
                  </pic:spPr>
                </pic:pic>
              </a:graphicData>
            </a:graphic>
          </wp:inline>
        </w:drawing>
      </w:r>
    </w:p>
    <w:p w:rsidR="002D2222" w:rsidRDefault="00057FD0" w:rsidP="00811B69">
      <w:pPr>
        <w:spacing w:after="0" w:line="240" w:lineRule="auto"/>
        <w:ind w:firstLine="340"/>
        <w:jc w:val="center"/>
        <w:rPr>
          <w:rFonts w:asciiTheme="majorBidi" w:hAnsiTheme="majorBidi" w:cstheme="majorBidi"/>
          <w:lang w:val="en-US"/>
        </w:rPr>
      </w:pPr>
      <w:r w:rsidRPr="00341063">
        <w:rPr>
          <w:rFonts w:asciiTheme="majorBidi" w:hAnsiTheme="majorBidi" w:cstheme="majorBidi"/>
          <w:b/>
          <w:bCs/>
          <w:lang w:val="en-US"/>
        </w:rPr>
        <w:t>Fig2</w:t>
      </w:r>
      <w:r w:rsidRPr="00341063">
        <w:rPr>
          <w:rFonts w:asciiTheme="majorBidi" w:hAnsiTheme="majorBidi" w:cstheme="majorBidi"/>
          <w:lang w:val="en-US"/>
        </w:rPr>
        <w:t>. Exchange rate and stock mar</w:t>
      </w:r>
      <w:r w:rsidR="00811B69" w:rsidRPr="00341063">
        <w:rPr>
          <w:rFonts w:asciiTheme="majorBidi" w:hAnsiTheme="majorBidi" w:cstheme="majorBidi"/>
          <w:lang w:val="en-US"/>
        </w:rPr>
        <w:t>ket returns behavior over time.</w:t>
      </w:r>
    </w:p>
    <w:p w:rsidR="0062679E" w:rsidRDefault="0062679E" w:rsidP="0062679E">
      <w:pPr>
        <w:spacing w:after="0" w:line="240" w:lineRule="auto"/>
        <w:ind w:firstLine="340"/>
        <w:rPr>
          <w:rFonts w:asciiTheme="majorBidi" w:hAnsiTheme="majorBidi" w:cstheme="majorBidi"/>
          <w:lang w:val="en-US"/>
        </w:rPr>
      </w:pPr>
    </w:p>
    <w:p w:rsidR="0062679E" w:rsidRDefault="0062679E" w:rsidP="0062679E">
      <w:pPr>
        <w:spacing w:after="0" w:line="240" w:lineRule="auto"/>
        <w:ind w:firstLine="340"/>
        <w:jc w:val="both"/>
        <w:rPr>
          <w:rFonts w:asciiTheme="majorBidi" w:hAnsiTheme="majorBidi" w:cstheme="majorBidi"/>
          <w:lang w:val="en-US"/>
        </w:rPr>
      </w:pPr>
    </w:p>
    <w:p w:rsidR="0062679E" w:rsidRDefault="0062679E" w:rsidP="0062679E">
      <w:pPr>
        <w:spacing w:after="0" w:line="240" w:lineRule="auto"/>
        <w:ind w:firstLine="340"/>
        <w:jc w:val="both"/>
        <w:rPr>
          <w:rFonts w:asciiTheme="majorBidi" w:hAnsiTheme="majorBidi" w:cstheme="majorBidi"/>
          <w:lang w:val="en-US"/>
        </w:rPr>
      </w:pPr>
      <w:r w:rsidRPr="006D27BD">
        <w:rPr>
          <w:rFonts w:asciiTheme="majorBidi" w:hAnsiTheme="majorBidi" w:cstheme="majorBidi"/>
          <w:lang w:val="en-US"/>
        </w:rPr>
        <w:t xml:space="preserve">In order to detect long-memory process in the data, we use the log-periodogram regression (GPH) test of </w:t>
      </w:r>
      <w:r w:rsidRPr="00A22007">
        <w:rPr>
          <w:rFonts w:asciiTheme="majorBidi" w:hAnsiTheme="majorBidi" w:cstheme="majorBidi"/>
          <w:color w:val="00B0F0"/>
          <w:lang w:val="en-US"/>
        </w:rPr>
        <w:t>Geweke and Porter-Hudak (1983)</w:t>
      </w:r>
      <w:r w:rsidRPr="006D27BD">
        <w:rPr>
          <w:rFonts w:asciiTheme="majorBidi" w:hAnsiTheme="majorBidi" w:cstheme="majorBidi"/>
          <w:lang w:val="en-US"/>
        </w:rPr>
        <w:t xml:space="preserve"> on two proxies of volatility, namely squared returns and absolute returns.The test results are displayed in Table 1 (Panel D). Based on these testsresults, we reject the null hypothesis of no long-memory for absolute and squared returns at 1% significance level.Subsequently, all volatilities proxies seem to be governed by a fractionally integrated process. </w:t>
      </w:r>
      <w:r w:rsidRPr="006D27BD">
        <w:rPr>
          <w:rFonts w:asciiTheme="majorBidi" w:hAnsiTheme="majorBidi" w:cstheme="majorBidi"/>
          <w:lang w:val="en-US"/>
        </w:rPr>
        <w:lastRenderedPageBreak/>
        <w:t>Thus, FIAPARCH seem to be an appropriate specification to capture volatility clustering, long-range memory characteristics and asymmetry.</w:t>
      </w:r>
    </w:p>
    <w:p w:rsidR="0062679E" w:rsidRPr="00341063" w:rsidRDefault="0062679E" w:rsidP="0062679E">
      <w:pPr>
        <w:spacing w:after="0" w:line="240" w:lineRule="auto"/>
        <w:ind w:firstLine="340"/>
        <w:jc w:val="both"/>
        <w:rPr>
          <w:rFonts w:asciiTheme="majorBidi" w:hAnsiTheme="majorBidi" w:cstheme="majorBidi"/>
          <w:lang w:val="en-US"/>
        </w:rPr>
      </w:pPr>
      <w:r w:rsidRPr="00341063">
        <w:rPr>
          <w:rFonts w:asciiTheme="majorBidi" w:hAnsiTheme="majorBidi" w:cstheme="majorBidi"/>
          <w:lang w:val="en-US"/>
        </w:rPr>
        <w:t>Fig. 1 illustrates the evolution of exchange rate and stock index during the period from January 1, 2000 until D</w:t>
      </w:r>
      <w:r>
        <w:rPr>
          <w:rFonts w:asciiTheme="majorBidi" w:hAnsiTheme="majorBidi" w:cstheme="majorBidi"/>
          <w:lang w:val="en-US"/>
        </w:rPr>
        <w:t>e</w:t>
      </w:r>
      <w:r w:rsidRPr="00341063">
        <w:rPr>
          <w:rFonts w:asciiTheme="majorBidi" w:hAnsiTheme="majorBidi" w:cstheme="majorBidi"/>
          <w:lang w:val="en-US"/>
        </w:rPr>
        <w:t>cember 10, 2013. The figure shows significant variations in the levels during the turmoil, especially at the time of Lehman Brothers failure (September 15, 2008). Specifically, when the global financial crisis triggered, there was a decline for all currencies. Fig. 2 plots the evolution of</w:t>
      </w:r>
      <w:r w:rsidRPr="006D27BD">
        <w:rPr>
          <w:rFonts w:asciiTheme="majorBidi" w:hAnsiTheme="majorBidi" w:cstheme="majorBidi"/>
          <w:lang w:val="en-US"/>
        </w:rPr>
        <w:t xml:space="preserve"> currencies returns and stock market returns over time. The figure shows that all exchange rate and stock index trembled since 2008 with different intensity during the global financial and European sovereign debt crises. Moreover, the plot shows a clustering of larger return volatility around and after 2008. This means that foreign exchange and stock markets are characterized by volatility clustering, i.e., large (small) volatility tends to be followed by large (small) volatility, revealing the presence of heteroskedasticity. This market phenomenon has been widely recognized and successfully captured by ARCH/GARCH family models to adequately describe exchange rate and stock market returns dynamics.</w:t>
      </w:r>
    </w:p>
    <w:p w:rsidR="000A5A79" w:rsidRDefault="000A5A79" w:rsidP="00F52A22">
      <w:pPr>
        <w:spacing w:after="0" w:line="240" w:lineRule="auto"/>
        <w:ind w:left="360"/>
        <w:jc w:val="both"/>
        <w:rPr>
          <w:rFonts w:ascii="Times New Roman" w:hAnsi="Times New Roman" w:cs="Times New Roman"/>
          <w:b/>
          <w:bCs/>
          <w:sz w:val="24"/>
          <w:szCs w:val="24"/>
          <w:lang w:val="en-US"/>
        </w:rPr>
      </w:pPr>
    </w:p>
    <w:p w:rsidR="00107FC4" w:rsidRPr="0062679E" w:rsidRDefault="00107FC4" w:rsidP="0062679E">
      <w:pPr>
        <w:pStyle w:val="Paragraphedeliste"/>
        <w:numPr>
          <w:ilvl w:val="0"/>
          <w:numId w:val="1"/>
        </w:numPr>
        <w:spacing w:after="0" w:line="240" w:lineRule="auto"/>
        <w:jc w:val="both"/>
        <w:rPr>
          <w:rFonts w:ascii="Times New Roman" w:hAnsi="Times New Roman" w:cs="Times New Roman"/>
          <w:b/>
          <w:bCs/>
          <w:sz w:val="28"/>
          <w:szCs w:val="28"/>
          <w:lang w:val="en-US"/>
        </w:rPr>
      </w:pPr>
      <w:r w:rsidRPr="0062679E">
        <w:rPr>
          <w:rFonts w:ascii="Times New Roman" w:hAnsi="Times New Roman" w:cs="Times New Roman"/>
          <w:b/>
          <w:bCs/>
          <w:sz w:val="28"/>
          <w:szCs w:val="28"/>
          <w:lang w:val="en-US"/>
        </w:rPr>
        <w:t>Empirical results</w:t>
      </w:r>
    </w:p>
    <w:p w:rsidR="00341063" w:rsidRPr="00341063" w:rsidRDefault="00341063" w:rsidP="00341063">
      <w:pPr>
        <w:pStyle w:val="Paragraphedeliste"/>
        <w:spacing w:after="0" w:line="240" w:lineRule="auto"/>
        <w:ind w:left="360"/>
        <w:jc w:val="both"/>
        <w:rPr>
          <w:rFonts w:ascii="Times New Roman" w:hAnsi="Times New Roman" w:cs="Times New Roman"/>
          <w:b/>
          <w:bCs/>
          <w:sz w:val="24"/>
          <w:szCs w:val="24"/>
          <w:lang w:val="en-US"/>
        </w:rPr>
      </w:pPr>
    </w:p>
    <w:p w:rsidR="000A5A79" w:rsidRPr="0062679E" w:rsidRDefault="000A5A79" w:rsidP="0062679E">
      <w:pPr>
        <w:pStyle w:val="Paragraphedeliste"/>
        <w:numPr>
          <w:ilvl w:val="1"/>
          <w:numId w:val="1"/>
        </w:numPr>
        <w:spacing w:after="0" w:line="240" w:lineRule="auto"/>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Tests for sign and size bias</w:t>
      </w:r>
    </w:p>
    <w:p w:rsidR="000A5A79" w:rsidRPr="00F52A22" w:rsidRDefault="000A5A79" w:rsidP="001D57F4">
      <w:pPr>
        <w:spacing w:after="0" w:line="240" w:lineRule="auto"/>
        <w:jc w:val="both"/>
        <w:rPr>
          <w:rFonts w:ascii="Times New Roman" w:hAnsi="Times New Roman" w:cs="Times New Roman"/>
          <w:b/>
          <w:bCs/>
          <w:sz w:val="24"/>
          <w:szCs w:val="24"/>
          <w:lang w:val="en-US"/>
        </w:rPr>
      </w:pPr>
    </w:p>
    <w:p w:rsidR="001D57F4" w:rsidRPr="00D14407" w:rsidRDefault="001D57F4" w:rsidP="001D57F4">
      <w:pPr>
        <w:spacing w:after="0" w:line="240" w:lineRule="auto"/>
        <w:ind w:firstLine="340"/>
        <w:jc w:val="both"/>
        <w:rPr>
          <w:rFonts w:asciiTheme="majorBidi" w:hAnsiTheme="majorBidi" w:cstheme="majorBidi"/>
          <w:color w:val="231F20"/>
          <w:lang w:val="en-US"/>
        </w:rPr>
      </w:pPr>
      <w:r w:rsidRPr="00DC3039">
        <w:rPr>
          <w:rFonts w:asciiTheme="majorBidi" w:hAnsiTheme="majorBidi" w:cstheme="majorBidi"/>
          <w:color w:val="00B0F0"/>
          <w:lang w:val="en-US"/>
        </w:rPr>
        <w:t>Engle and Ng (1993)</w:t>
      </w:r>
      <w:r w:rsidRPr="00D14407">
        <w:rPr>
          <w:rFonts w:asciiTheme="majorBidi" w:hAnsiTheme="majorBidi" w:cstheme="majorBidi"/>
          <w:color w:val="231F20"/>
          <w:lang w:val="en-US"/>
        </w:rPr>
        <w:t xml:space="preserve"> propose a set of tests for asymmetry in volatility, known as sign and size bias tests. The Engle and Ng tests should thus be used to determine whether an asymmetric model is required for a given series, or whether the symmetric GARCH model can be deemed adequate. In practice, the Engle-Ng tests are usually applied to the residuals of a GARCH fit to the returns data.</w:t>
      </w:r>
    </w:p>
    <w:p w:rsidR="001D57F4" w:rsidRPr="00D14407" w:rsidRDefault="001D57F4" w:rsidP="001D57F4">
      <w:pPr>
        <w:spacing w:after="0" w:line="240" w:lineRule="auto"/>
        <w:jc w:val="both"/>
        <w:rPr>
          <w:rFonts w:asciiTheme="majorBidi" w:hAnsiTheme="majorBidi" w:cstheme="majorBidi"/>
          <w:color w:val="231F20"/>
          <w:lang w:val="en-US"/>
        </w:rPr>
      </w:pPr>
    </w:p>
    <w:p w:rsidR="001D57F4" w:rsidRPr="00D14407" w:rsidRDefault="001D57F4" w:rsidP="001D57F4">
      <w:pPr>
        <w:spacing w:after="0" w:line="240" w:lineRule="auto"/>
        <w:jc w:val="both"/>
        <w:rPr>
          <w:rFonts w:asciiTheme="majorBidi" w:eastAsiaTheme="minorEastAsia" w:hAnsiTheme="majorBidi" w:cstheme="majorBidi"/>
          <w:color w:val="231F20"/>
          <w:lang w:val="en-US"/>
        </w:rPr>
      </w:pPr>
      <w:r w:rsidRPr="00D14407">
        <w:rPr>
          <w:rFonts w:asciiTheme="majorBidi" w:hAnsiTheme="majorBidi" w:cstheme="majorBidi"/>
          <w:color w:val="231F20"/>
          <w:lang w:val="en-US"/>
        </w:rPr>
        <w:t xml:space="preserve">Define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D14407">
        <w:rPr>
          <w:rFonts w:asciiTheme="majorBidi" w:eastAsiaTheme="minorEastAsia" w:hAnsiTheme="majorBidi" w:cstheme="majorBidi"/>
          <w:color w:val="231F20"/>
          <w:lang w:val="en-US"/>
        </w:rPr>
        <w:t xml:space="preserve"> as an indicator dummy variable such as:</w:t>
      </w:r>
    </w:p>
    <w:p w:rsidR="001D57F4" w:rsidRPr="00D14407" w:rsidRDefault="001D57F4" w:rsidP="001D57F4">
      <w:pPr>
        <w:spacing w:after="0" w:line="240" w:lineRule="auto"/>
        <w:jc w:val="both"/>
        <w:rPr>
          <w:rFonts w:asciiTheme="majorBidi" w:hAnsiTheme="majorBidi" w:cstheme="majorBidi"/>
          <w:color w:val="231F20"/>
          <w:lang w:val="en-US"/>
        </w:rPr>
      </w:pPr>
    </w:p>
    <w:p w:rsidR="001D57F4" w:rsidRPr="00D14407" w:rsidRDefault="00011760" w:rsidP="001D57F4">
      <w:pPr>
        <w:spacing w:after="0" w:line="240" w:lineRule="auto"/>
        <w:ind w:firstLine="708"/>
        <w:jc w:val="both"/>
        <w:rPr>
          <w:rFonts w:asciiTheme="majorBidi" w:eastAsiaTheme="minorEastAsia" w:hAnsiTheme="majorBidi" w:cstheme="majorBidi"/>
          <w:color w:val="231F20"/>
          <w:lang w:val="en-US"/>
        </w:rPr>
      </w:pP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m:t>
        </m:r>
        <m:d>
          <m:dPr>
            <m:begChr m:val="{"/>
            <m:endChr m:val=""/>
            <m:ctrlPr>
              <w:rPr>
                <w:rFonts w:ascii="Cambria Math" w:hAnsi="Cambria Math" w:cstheme="majorBidi"/>
                <w:i/>
                <w:color w:val="231F20"/>
                <w:lang w:val="en-US"/>
              </w:rPr>
            </m:ctrlPr>
          </m:dPr>
          <m:e>
            <m:eqArr>
              <m:eqArrPr>
                <m:ctrlPr>
                  <w:rPr>
                    <w:rFonts w:ascii="Cambria Math" w:hAnsi="Cambria Math" w:cstheme="majorBidi"/>
                    <w:i/>
                    <w:color w:val="231F20"/>
                    <w:lang w:val="en-US"/>
                  </w:rPr>
                </m:ctrlPr>
              </m:eqArrPr>
              <m:e>
                <m:r>
                  <w:rPr>
                    <w:rFonts w:ascii="Cambria Math" w:hAnsi="Cambria Math" w:cstheme="majorBidi"/>
                    <w:color w:val="231F20"/>
                    <w:lang w:val="en-US"/>
                  </w:rPr>
                  <m:t xml:space="preserve">1  if  </m:t>
                </m:r>
                <m:sSub>
                  <m:sSubPr>
                    <m:ctrlPr>
                      <w:rPr>
                        <w:rFonts w:ascii="Cambria Math" w:hAnsi="Cambria Math" w:cstheme="majorBidi"/>
                        <w:i/>
                        <w:color w:val="231F20"/>
                        <w:lang w:val="en-US"/>
                      </w:rPr>
                    </m:ctrlPr>
                  </m:sSubPr>
                  <m:e>
                    <m:acc>
                      <m:accPr>
                        <m:ctrlPr>
                          <w:rPr>
                            <w:rFonts w:ascii="Cambria Math" w:hAnsi="Cambria Math" w:cstheme="majorBidi"/>
                            <w:i/>
                            <w:color w:val="231F20"/>
                            <w:lang w:val="en-US"/>
                          </w:rPr>
                        </m:ctrlPr>
                      </m:accPr>
                      <m:e>
                        <m:r>
                          <w:rPr>
                            <w:rFonts w:ascii="Cambria Math" w:hAnsi="Cambria Math" w:cstheme="majorBidi"/>
                            <w:color w:val="231F20"/>
                            <w:lang w:val="en-US"/>
                          </w:rPr>
                          <m:t>z</m:t>
                        </m:r>
                      </m:e>
                    </m:acc>
                  </m:e>
                  <m:sub>
                    <m:r>
                      <w:rPr>
                        <w:rFonts w:ascii="Cambria Math" w:hAnsi="Cambria Math" w:cstheme="majorBidi"/>
                        <w:color w:val="231F20"/>
                        <w:lang w:val="en-US"/>
                      </w:rPr>
                      <m:t>t-1</m:t>
                    </m:r>
                  </m:sub>
                </m:sSub>
                <m:r>
                  <w:rPr>
                    <w:rFonts w:ascii="Cambria Math" w:hAnsi="Cambria Math" w:cstheme="majorBidi"/>
                    <w:color w:val="231F20"/>
                    <w:lang w:val="en-US"/>
                  </w:rPr>
                  <m:t>&lt;0</m:t>
                </m:r>
              </m:e>
              <m:e>
                <m:r>
                  <w:rPr>
                    <w:rFonts w:ascii="Cambria Math" w:hAnsi="Cambria Math" w:cstheme="majorBidi"/>
                    <w:color w:val="231F20"/>
                    <w:lang w:val="en-US"/>
                  </w:rPr>
                  <m:t xml:space="preserve">0     </m:t>
                </m:r>
                <m:r>
                  <m:rPr>
                    <m:sty m:val="p"/>
                  </m:rPr>
                  <w:rPr>
                    <w:rFonts w:ascii="Cambria Math" w:hAnsi="Cambria Math" w:cstheme="majorBidi"/>
                    <w:color w:val="231F20"/>
                    <w:lang w:val="en-US"/>
                  </w:rPr>
                  <m:t>otherwise</m:t>
                </m:r>
              </m:e>
            </m:eqArr>
          </m:e>
        </m:d>
      </m:oMath>
      <w:r w:rsidR="001D57F4">
        <w:rPr>
          <w:rFonts w:asciiTheme="majorBidi" w:eastAsiaTheme="minorEastAsia" w:hAnsiTheme="majorBidi" w:cstheme="majorBidi"/>
          <w:color w:val="231F20"/>
          <w:lang w:val="en-US"/>
        </w:rPr>
        <w:t xml:space="preserve">              </w:t>
      </w:r>
      <w:r w:rsidR="0062679E">
        <w:rPr>
          <w:rFonts w:asciiTheme="majorBidi" w:eastAsiaTheme="minorEastAsia" w:hAnsiTheme="majorBidi" w:cstheme="majorBidi"/>
          <w:color w:val="231F20"/>
          <w:lang w:val="en-US"/>
        </w:rPr>
        <w:t xml:space="preserve">                                                                                            </w:t>
      </w:r>
      <w:r w:rsidR="001D57F4">
        <w:rPr>
          <w:rFonts w:asciiTheme="majorBidi" w:eastAsiaTheme="minorEastAsia" w:hAnsiTheme="majorBidi" w:cstheme="majorBidi"/>
          <w:color w:val="231F20"/>
          <w:lang w:val="en-US"/>
        </w:rPr>
        <w:t xml:space="preserve"> (19</w:t>
      </w:r>
      <w:r w:rsidR="001D57F4" w:rsidRPr="00D14407">
        <w:rPr>
          <w:rFonts w:asciiTheme="majorBidi" w:eastAsiaTheme="minorEastAsia" w:hAnsiTheme="majorBidi" w:cstheme="majorBidi"/>
          <w:color w:val="231F20"/>
          <w:lang w:val="en-US"/>
        </w:rPr>
        <w:t>)</w:t>
      </w:r>
    </w:p>
    <w:p w:rsidR="001D57F4" w:rsidRPr="00D14407" w:rsidRDefault="001D57F4" w:rsidP="001D57F4">
      <w:pPr>
        <w:spacing w:after="0" w:line="240" w:lineRule="auto"/>
        <w:jc w:val="both"/>
        <w:rPr>
          <w:rFonts w:asciiTheme="majorBidi" w:hAnsiTheme="majorBidi" w:cstheme="majorBidi"/>
          <w:bCs/>
          <w:lang w:val="en-US"/>
        </w:rPr>
      </w:pPr>
    </w:p>
    <w:p w:rsidR="001D57F4" w:rsidRPr="00D14407" w:rsidRDefault="001D57F4" w:rsidP="001D57F4">
      <w:pPr>
        <w:spacing w:after="0" w:line="240" w:lineRule="auto"/>
        <w:jc w:val="both"/>
        <w:rPr>
          <w:rFonts w:asciiTheme="majorBidi" w:eastAsiaTheme="minorEastAsia" w:hAnsiTheme="majorBidi" w:cstheme="majorBidi"/>
          <w:bCs/>
          <w:lang w:val="en-US"/>
        </w:rPr>
      </w:pPr>
      <w:r w:rsidRPr="00D14407">
        <w:rPr>
          <w:rFonts w:asciiTheme="majorBidi" w:hAnsiTheme="majorBidi" w:cstheme="majorBidi"/>
          <w:bCs/>
          <w:lang w:val="en-US"/>
        </w:rPr>
        <w:t xml:space="preserve">The test for sign biasis based on the significance or otherwise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D14407">
        <w:rPr>
          <w:rFonts w:asciiTheme="majorBidi" w:eastAsiaTheme="minorEastAsia" w:hAnsiTheme="majorBidi" w:cstheme="majorBidi"/>
          <w:bCs/>
          <w:lang w:val="en-US"/>
        </w:rPr>
        <w:t xml:space="preserve"> in the following regression:</w:t>
      </w:r>
    </w:p>
    <w:p w:rsidR="001D57F4" w:rsidRPr="00D14407" w:rsidRDefault="001D57F4" w:rsidP="001D57F4">
      <w:pPr>
        <w:spacing w:after="0" w:line="240" w:lineRule="auto"/>
        <w:jc w:val="both"/>
        <w:rPr>
          <w:rFonts w:asciiTheme="majorBidi" w:eastAsiaTheme="minorEastAsia" w:hAnsiTheme="majorBidi" w:cstheme="majorBidi"/>
          <w:bCs/>
          <w:lang w:val="en-US"/>
        </w:rPr>
      </w:pPr>
    </w:p>
    <w:p w:rsidR="001D57F4" w:rsidRPr="00D14407" w:rsidRDefault="00011760" w:rsidP="001D57F4">
      <w:pPr>
        <w:spacing w:after="0" w:line="240" w:lineRule="auto"/>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1D57F4">
        <w:rPr>
          <w:rFonts w:asciiTheme="majorBidi" w:eastAsiaTheme="minorEastAsia" w:hAnsiTheme="majorBidi" w:cstheme="majorBidi"/>
          <w:color w:val="231F20"/>
          <w:lang w:val="en-US"/>
        </w:rPr>
        <w:t xml:space="preserve">                </w:t>
      </w:r>
      <w:r w:rsidR="0062679E">
        <w:rPr>
          <w:rFonts w:asciiTheme="majorBidi" w:eastAsiaTheme="minorEastAsia" w:hAnsiTheme="majorBidi" w:cstheme="majorBidi"/>
          <w:color w:val="231F20"/>
          <w:lang w:val="en-US"/>
        </w:rPr>
        <w:t xml:space="preserve">                                                                                         </w:t>
      </w:r>
      <w:r w:rsidR="001D57F4">
        <w:rPr>
          <w:rFonts w:asciiTheme="majorBidi" w:eastAsiaTheme="minorEastAsia" w:hAnsiTheme="majorBidi" w:cstheme="majorBidi"/>
          <w:color w:val="231F20"/>
          <w:lang w:val="en-US"/>
        </w:rPr>
        <w:t xml:space="preserve"> (20</w:t>
      </w:r>
      <w:r w:rsidR="001D57F4" w:rsidRPr="00D14407">
        <w:rPr>
          <w:rFonts w:asciiTheme="majorBidi" w:eastAsiaTheme="minorEastAsia" w:hAnsiTheme="majorBidi" w:cstheme="majorBidi"/>
          <w:color w:val="231F20"/>
          <w:lang w:val="en-US"/>
        </w:rPr>
        <w:t>)</w:t>
      </w:r>
    </w:p>
    <w:p w:rsidR="001D57F4" w:rsidRPr="00D14407" w:rsidRDefault="001D57F4" w:rsidP="001D57F4">
      <w:pPr>
        <w:spacing w:after="0" w:line="240" w:lineRule="auto"/>
        <w:jc w:val="both"/>
        <w:rPr>
          <w:rFonts w:asciiTheme="majorBidi" w:hAnsiTheme="majorBidi" w:cstheme="majorBidi"/>
          <w:bCs/>
          <w:lang w:val="en-US"/>
        </w:rPr>
      </w:pPr>
    </w:p>
    <w:p w:rsidR="001D57F4" w:rsidRPr="00D14407" w:rsidRDefault="001D57F4" w:rsidP="001D57F4">
      <w:pPr>
        <w:spacing w:after="0" w:line="240" w:lineRule="auto"/>
        <w:jc w:val="both"/>
        <w:rPr>
          <w:rFonts w:asciiTheme="majorBidi" w:hAnsiTheme="majorBidi" w:cstheme="majorBidi"/>
          <w:bCs/>
          <w:lang w:val="en-US"/>
        </w:rPr>
      </w:pPr>
      <w:r w:rsidRPr="00D14407">
        <w:rPr>
          <w:rFonts w:asciiTheme="majorBidi" w:hAnsiTheme="majorBidi" w:cstheme="majorBidi"/>
          <w:bCs/>
          <w:lang w:val="en-US"/>
        </w:rPr>
        <w:t>where</w:t>
      </w:r>
      <m:oMath>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Pr="00D14407">
        <w:rPr>
          <w:rFonts w:asciiTheme="majorBidi" w:hAnsiTheme="majorBidi" w:cstheme="majorBidi"/>
          <w:bCs/>
          <w:lang w:val="en-US"/>
        </w:rPr>
        <w:t xml:space="preserve">is an independent and identically distributed error term. If positive and negative shocks to </w:t>
      </w:r>
      <m:oMath>
        <m:sSub>
          <m:sSubPr>
            <m:ctrlPr>
              <w:rPr>
                <w:rFonts w:ascii="Cambria Math" w:hAnsi="Cambria Math" w:cstheme="majorBidi"/>
                <w:i/>
                <w:color w:val="231F20"/>
                <w:lang w:val="en-US"/>
              </w:rPr>
            </m:ctrlPr>
          </m:sSubPr>
          <m:e>
            <m:acc>
              <m:accPr>
                <m:ctrlPr>
                  <w:rPr>
                    <w:rFonts w:ascii="Cambria Math" w:hAnsi="Cambria Math" w:cstheme="majorBidi"/>
                    <w:i/>
                    <w:color w:val="231F20"/>
                    <w:lang w:val="en-US"/>
                  </w:rPr>
                </m:ctrlPr>
              </m:accPr>
              <m:e>
                <m:r>
                  <w:rPr>
                    <w:rFonts w:ascii="Cambria Math" w:hAnsi="Cambria Math" w:cstheme="majorBidi"/>
                    <w:color w:val="231F20"/>
                    <w:lang w:val="en-US"/>
                  </w:rPr>
                  <m:t>z</m:t>
                </m:r>
              </m:e>
            </m:acc>
          </m:e>
          <m:sub>
            <m:r>
              <w:rPr>
                <w:rFonts w:ascii="Cambria Math" w:hAnsi="Cambria Math" w:cstheme="majorBidi"/>
                <w:color w:val="231F20"/>
                <w:lang w:val="en-US"/>
              </w:rPr>
              <m:t>t-1</m:t>
            </m:r>
          </m:sub>
        </m:sSub>
      </m:oMath>
      <w:r w:rsidRPr="00D14407">
        <w:rPr>
          <w:rFonts w:asciiTheme="majorBidi" w:hAnsiTheme="majorBidi" w:cstheme="majorBidi"/>
          <w:bCs/>
          <w:lang w:val="en-US"/>
        </w:rPr>
        <w:t xml:space="preserve"> impact differently upon the conditional variance, then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D14407">
        <w:rPr>
          <w:rFonts w:asciiTheme="majorBidi" w:hAnsiTheme="majorBidi" w:cstheme="majorBidi"/>
          <w:bCs/>
          <w:lang w:val="en-US"/>
        </w:rPr>
        <w:t xml:space="preserve"> will be statistically significant.</w:t>
      </w:r>
    </w:p>
    <w:p w:rsidR="001D57F4" w:rsidRPr="00D14407" w:rsidRDefault="001D57F4" w:rsidP="001D57F4">
      <w:pPr>
        <w:spacing w:after="0" w:line="240" w:lineRule="auto"/>
        <w:jc w:val="both"/>
        <w:rPr>
          <w:rFonts w:asciiTheme="majorBidi" w:hAnsiTheme="majorBidi" w:cstheme="majorBidi"/>
          <w:bCs/>
          <w:lang w:val="en-US"/>
        </w:rPr>
      </w:pPr>
    </w:p>
    <w:p w:rsidR="001D57F4" w:rsidRPr="00D14407" w:rsidRDefault="001D57F4" w:rsidP="001D57F4">
      <w:pPr>
        <w:spacing w:after="0" w:line="240" w:lineRule="auto"/>
        <w:jc w:val="both"/>
        <w:rPr>
          <w:rFonts w:asciiTheme="majorBidi" w:hAnsiTheme="majorBidi" w:cstheme="majorBidi"/>
          <w:bCs/>
          <w:lang w:val="en-US"/>
        </w:rPr>
      </w:pPr>
      <w:r w:rsidRPr="00D14407">
        <w:rPr>
          <w:rFonts w:asciiTheme="majorBidi" w:hAnsiTheme="majorBidi" w:cstheme="majorBidi"/>
          <w:bCs/>
          <w:lang w:val="en-US"/>
        </w:rPr>
        <w:t xml:space="preserve">It could also be the case that the magnitude or size of the shock will affect whether the response of volatility to shocks is symmetric or not. In this case, a negative size bias test would be conducted, based on a regression where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D14407">
        <w:rPr>
          <w:rFonts w:asciiTheme="majorBidi" w:hAnsiTheme="majorBidi" w:cstheme="majorBidi"/>
          <w:bCs/>
          <w:lang w:val="en-US"/>
        </w:rPr>
        <w:t xml:space="preserve"> is used as a slope dummy variable. Negativesize bias is argued to be present if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D14407">
        <w:rPr>
          <w:rFonts w:asciiTheme="majorBidi" w:hAnsiTheme="majorBidi" w:cstheme="majorBidi"/>
          <w:bCs/>
          <w:lang w:val="en-US"/>
        </w:rPr>
        <w:t xml:space="preserve"> is statistically significant in the following regression:</w:t>
      </w:r>
    </w:p>
    <w:p w:rsidR="001D57F4" w:rsidRPr="00D14407" w:rsidRDefault="001D57F4" w:rsidP="001D57F4">
      <w:pPr>
        <w:spacing w:after="0" w:line="240" w:lineRule="auto"/>
        <w:jc w:val="both"/>
        <w:rPr>
          <w:rFonts w:asciiTheme="majorBidi" w:hAnsiTheme="majorBidi" w:cstheme="majorBidi"/>
          <w:bCs/>
          <w:lang w:val="en-US"/>
        </w:rPr>
      </w:pPr>
    </w:p>
    <w:p w:rsidR="001D57F4" w:rsidRPr="00D14407" w:rsidRDefault="00011760" w:rsidP="001D57F4">
      <w:pPr>
        <w:spacing w:after="0" w:line="240" w:lineRule="auto"/>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1D57F4">
        <w:rPr>
          <w:rFonts w:asciiTheme="majorBidi" w:eastAsiaTheme="minorEastAsia" w:hAnsiTheme="majorBidi" w:cstheme="majorBidi"/>
          <w:color w:val="231F20"/>
          <w:lang w:val="en-US"/>
        </w:rPr>
        <w:t xml:space="preserve">               </w:t>
      </w:r>
      <w:r w:rsidR="0062679E">
        <w:rPr>
          <w:rFonts w:asciiTheme="majorBidi" w:eastAsiaTheme="minorEastAsia" w:hAnsiTheme="majorBidi" w:cstheme="majorBidi"/>
          <w:color w:val="231F20"/>
          <w:lang w:val="en-US"/>
        </w:rPr>
        <w:t xml:space="preserve">                                                                                   </w:t>
      </w:r>
      <w:r w:rsidR="001D57F4">
        <w:rPr>
          <w:rFonts w:asciiTheme="majorBidi" w:eastAsiaTheme="minorEastAsia" w:hAnsiTheme="majorBidi" w:cstheme="majorBidi"/>
          <w:color w:val="231F20"/>
          <w:lang w:val="en-US"/>
        </w:rPr>
        <w:t xml:space="preserve"> (21</w:t>
      </w:r>
      <w:r w:rsidR="001D57F4" w:rsidRPr="00D14407">
        <w:rPr>
          <w:rFonts w:asciiTheme="majorBidi" w:eastAsiaTheme="minorEastAsia" w:hAnsiTheme="majorBidi" w:cstheme="majorBidi"/>
          <w:color w:val="231F20"/>
          <w:lang w:val="en-US"/>
        </w:rPr>
        <w:t>)</w:t>
      </w:r>
    </w:p>
    <w:p w:rsidR="001D57F4" w:rsidRPr="00D14407" w:rsidRDefault="001D57F4" w:rsidP="001D57F4">
      <w:pPr>
        <w:spacing w:after="0" w:line="240" w:lineRule="auto"/>
        <w:jc w:val="both"/>
        <w:rPr>
          <w:rFonts w:asciiTheme="majorBidi" w:hAnsiTheme="majorBidi" w:cstheme="majorBidi"/>
          <w:bCs/>
          <w:lang w:val="en-US"/>
        </w:rPr>
      </w:pPr>
    </w:p>
    <w:p w:rsidR="001D57F4" w:rsidRPr="00D14407" w:rsidRDefault="001D57F4" w:rsidP="001D57F4">
      <w:pPr>
        <w:spacing w:after="0" w:line="240" w:lineRule="auto"/>
        <w:jc w:val="both"/>
        <w:rPr>
          <w:rFonts w:asciiTheme="majorBidi" w:eastAsiaTheme="minorEastAsia" w:hAnsiTheme="majorBidi" w:cstheme="majorBidi"/>
          <w:color w:val="231F20"/>
          <w:lang w:val="en-US"/>
        </w:rPr>
      </w:pPr>
      <w:r w:rsidRPr="00D14407">
        <w:rPr>
          <w:rFonts w:asciiTheme="majorBidi" w:hAnsiTheme="majorBidi" w:cstheme="majorBidi"/>
          <w:bCs/>
          <w:lang w:val="en-US"/>
        </w:rPr>
        <w:t>Finally, we define</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r>
          <w:rPr>
            <w:rFonts w:ascii="Cambria Math" w:hAnsi="Cambria Math" w:cstheme="majorBidi"/>
            <w:color w:val="231F20"/>
            <w:lang w:val="en-US"/>
          </w:rPr>
          <m:t>=1-</m:t>
        </m:r>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D14407">
        <w:rPr>
          <w:rFonts w:asciiTheme="majorBidi" w:eastAsiaTheme="minorEastAsia" w:hAnsiTheme="majorBidi" w:cstheme="majorBidi"/>
          <w:color w:val="231F20"/>
          <w:lang w:val="en-US"/>
        </w:rPr>
        <w:t xml:space="preserve">, so that </w:t>
      </w:r>
      <m:oMath>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oMath>
      <w:r w:rsidRPr="00D14407">
        <w:rPr>
          <w:rFonts w:asciiTheme="majorBidi" w:eastAsiaTheme="minorEastAsia" w:hAnsiTheme="majorBidi" w:cstheme="majorBidi"/>
          <w:color w:val="231F20"/>
          <w:lang w:val="en-US"/>
        </w:rPr>
        <w:t>picks out the observations with positive innovations. Engle and Ng (1993) propose a joint test for sign and size bias based on the following regression:</w:t>
      </w:r>
    </w:p>
    <w:p w:rsidR="001D57F4" w:rsidRPr="00D14407" w:rsidRDefault="001D57F4" w:rsidP="001D57F4">
      <w:pPr>
        <w:spacing w:after="0" w:line="240" w:lineRule="auto"/>
        <w:jc w:val="both"/>
        <w:rPr>
          <w:rFonts w:asciiTheme="majorBidi" w:eastAsiaTheme="minorEastAsia" w:hAnsiTheme="majorBidi" w:cstheme="majorBidi"/>
          <w:color w:val="231F20"/>
          <w:lang w:val="en-US"/>
        </w:rPr>
      </w:pPr>
    </w:p>
    <w:p w:rsidR="001D57F4" w:rsidRPr="00D14407" w:rsidRDefault="00011760" w:rsidP="001D57F4">
      <w:pPr>
        <w:spacing w:after="0" w:line="240" w:lineRule="auto"/>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sSubSup>
          <m:sSubSupPr>
            <m:ctrlPr>
              <w:rPr>
                <w:rFonts w:ascii="Cambria Math" w:hAnsi="Cambria Math" w:cstheme="majorBidi"/>
                <w:i/>
                <w:color w:val="231F20"/>
                <w:lang w:val="en-US"/>
              </w:rPr>
            </m:ctrlPr>
          </m:sSubSupPr>
          <m:e>
            <m:r>
              <w:rPr>
                <w:rFonts w:ascii="Cambria Math" w:hAnsi="Cambria Math" w:cstheme="majorBidi"/>
                <w:color w:val="231F20"/>
                <w:lang w:val="en-US"/>
              </w:rPr>
              <m:t>S</m:t>
            </m:r>
          </m:e>
          <m:sub>
            <m:r>
              <w:rPr>
                <w:rFonts w:ascii="Cambria Math" w:hAnsi="Cambria Math" w:cstheme="majorBidi"/>
                <w:color w:val="231F20"/>
                <w:lang w:val="en-US"/>
              </w:rPr>
              <m:t>t-1</m:t>
            </m:r>
          </m:sub>
          <m:sup>
            <m:r>
              <w:rPr>
                <w:rFonts w:ascii="Cambria Math" w:hAnsi="Cambria Math" w:cstheme="majorBidi"/>
                <w:color w:val="231F20"/>
                <w:lang w:val="en-US"/>
              </w:rPr>
              <m:t>+</m:t>
            </m:r>
          </m:sup>
        </m:sSubSup>
        <m:sSub>
          <m:sSubPr>
            <m:ctrlPr>
              <w:rPr>
                <w:rFonts w:ascii="Cambria Math" w:hAnsi="Cambria Math" w:cstheme="majorBidi"/>
                <w:i/>
                <w:color w:val="231F20"/>
                <w:lang w:val="en-US"/>
              </w:rPr>
            </m:ctrlPr>
          </m:sSubPr>
          <m:e>
            <m:r>
              <w:rPr>
                <w:rFonts w:ascii="Cambria Math" w:hAnsi="Cambria Math" w:cstheme="majorBidi"/>
                <w:color w:val="231F20"/>
                <w:lang w:val="en-US"/>
              </w:rPr>
              <m:t>z</m:t>
            </m:r>
          </m:e>
          <m:sub>
            <m:r>
              <w:rPr>
                <w:rFonts w:ascii="Cambria Math" w:hAnsi="Cambria Math" w:cstheme="majorBidi"/>
                <w:color w:val="231F20"/>
                <w:lang w:val="en-US"/>
              </w:rPr>
              <m:t>t-1</m:t>
            </m:r>
          </m:sub>
        </m:sSub>
        <m:r>
          <w:rPr>
            <w:rFonts w:ascii="Cambria Math" w:hAnsi="Cambria Math" w:cstheme="majorBidi"/>
            <w:color w:val="231F20"/>
            <w:lang w:val="en-US"/>
          </w:rPr>
          <m:t>+</m:t>
        </m:r>
        <m:sSub>
          <m:sSubPr>
            <m:ctrlPr>
              <w:rPr>
                <w:rFonts w:ascii="Cambria Math" w:hAnsi="Cambria Math" w:cstheme="majorBidi"/>
                <w:i/>
                <w:color w:val="231F20"/>
                <w:lang w:val="en-US"/>
              </w:rPr>
            </m:ctrlPr>
          </m:sSubPr>
          <m:e>
            <m:r>
              <w:rPr>
                <w:rFonts w:ascii="Cambria Math" w:hAnsi="Cambria Math" w:cstheme="majorBidi"/>
                <w:color w:val="231F20"/>
                <w:lang w:val="en-US"/>
              </w:rPr>
              <m:t>ν</m:t>
            </m:r>
          </m:e>
          <m:sub>
            <m:r>
              <w:rPr>
                <w:rFonts w:ascii="Cambria Math" w:hAnsi="Cambria Math" w:cstheme="majorBidi"/>
                <w:color w:val="231F20"/>
                <w:lang w:val="en-US"/>
              </w:rPr>
              <m:t>t</m:t>
            </m:r>
          </m:sub>
        </m:sSub>
      </m:oMath>
      <w:r w:rsidR="001D57F4">
        <w:rPr>
          <w:rFonts w:asciiTheme="majorBidi" w:eastAsiaTheme="minorEastAsia" w:hAnsiTheme="majorBidi" w:cstheme="majorBidi"/>
          <w:color w:val="231F20"/>
          <w:lang w:val="en-US"/>
        </w:rPr>
        <w:t xml:space="preserve">              </w:t>
      </w:r>
      <w:r w:rsidR="0062679E">
        <w:rPr>
          <w:rFonts w:asciiTheme="majorBidi" w:eastAsiaTheme="minorEastAsia" w:hAnsiTheme="majorBidi" w:cstheme="majorBidi"/>
          <w:color w:val="231F20"/>
          <w:lang w:val="en-US"/>
        </w:rPr>
        <w:t xml:space="preserve">                                              </w:t>
      </w:r>
      <w:r w:rsidR="001D57F4">
        <w:rPr>
          <w:rFonts w:asciiTheme="majorBidi" w:eastAsiaTheme="minorEastAsia" w:hAnsiTheme="majorBidi" w:cstheme="majorBidi"/>
          <w:color w:val="231F20"/>
          <w:lang w:val="en-US"/>
        </w:rPr>
        <w:t xml:space="preserve">    (22</w:t>
      </w:r>
      <w:r w:rsidR="001D57F4" w:rsidRPr="00D14407">
        <w:rPr>
          <w:rFonts w:asciiTheme="majorBidi" w:eastAsiaTheme="minorEastAsia" w:hAnsiTheme="majorBidi" w:cstheme="majorBidi"/>
          <w:color w:val="231F20"/>
          <w:lang w:val="en-US"/>
        </w:rPr>
        <w:t>)</w:t>
      </w:r>
    </w:p>
    <w:p w:rsidR="001D57F4" w:rsidRPr="00D14407" w:rsidRDefault="001D57F4" w:rsidP="001D57F4">
      <w:pPr>
        <w:spacing w:after="0" w:line="240" w:lineRule="auto"/>
        <w:jc w:val="both"/>
        <w:rPr>
          <w:rFonts w:asciiTheme="majorBidi" w:eastAsiaTheme="minorEastAsia" w:hAnsiTheme="majorBidi" w:cstheme="majorBidi"/>
          <w:color w:val="231F20"/>
          <w:lang w:val="en-US"/>
        </w:rPr>
      </w:pPr>
    </w:p>
    <w:p w:rsidR="001D57F4" w:rsidRDefault="001D57F4" w:rsidP="001D57F4">
      <w:pPr>
        <w:spacing w:after="0" w:line="240" w:lineRule="auto"/>
        <w:ind w:firstLine="340"/>
        <w:jc w:val="both"/>
        <w:rPr>
          <w:rFonts w:asciiTheme="majorBidi" w:hAnsiTheme="majorBidi" w:cstheme="majorBidi"/>
          <w:bCs/>
          <w:lang w:val="en-US"/>
        </w:rPr>
      </w:pPr>
      <w:r w:rsidRPr="00D14407">
        <w:rPr>
          <w:rFonts w:asciiTheme="majorBidi" w:hAnsiTheme="majorBidi" w:cstheme="majorBidi"/>
          <w:bCs/>
          <w:lang w:val="en-US"/>
        </w:rPr>
        <w:t xml:space="preserve">Significance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D14407">
        <w:rPr>
          <w:rFonts w:asciiTheme="majorBidi" w:hAnsiTheme="majorBidi" w:cstheme="majorBidi"/>
          <w:bCs/>
          <w:lang w:val="en-US"/>
        </w:rPr>
        <w:t xml:space="preserve"> indicates the presence of sign bias, where positive andnegative shocks have differing impacts upon future volatility, comparedwith the symmetric response required by the standard GARCH formulation. However, the significance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oMath>
      <w:r w:rsidRPr="00D14407">
        <w:rPr>
          <w:rFonts w:asciiTheme="majorBidi" w:hAnsiTheme="majorBidi" w:cstheme="majorBidi"/>
          <w:bCs/>
          <w:lang w:val="en-US"/>
        </w:rPr>
        <w:t xml:space="preserve"> or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oMath>
      <w:r w:rsidRPr="00D14407">
        <w:rPr>
          <w:rFonts w:asciiTheme="majorBidi" w:hAnsiTheme="majorBidi" w:cstheme="majorBidi"/>
          <w:bCs/>
          <w:lang w:val="en-US"/>
        </w:rPr>
        <w:t xml:space="preserve"> would suggest the presence of size bias, where not only the sign but the magnitude of the shock is important. A joint test statistic is formulated in the standard fashion by calculating </w:t>
      </w:r>
      <m:oMath>
        <m:r>
          <w:rPr>
            <w:rFonts w:ascii="Cambria Math" w:hAnsi="Cambria Math" w:cstheme="majorBidi"/>
            <w:lang w:val="en-US"/>
          </w:rPr>
          <m:t>T</m:t>
        </m:r>
        <m:sSup>
          <m:sSupPr>
            <m:ctrlPr>
              <w:rPr>
                <w:rFonts w:ascii="Cambria Math" w:hAnsi="Cambria Math" w:cstheme="majorBidi"/>
                <w:bCs/>
                <w:i/>
                <w:iCs/>
                <w:lang w:val="en-US"/>
              </w:rPr>
            </m:ctrlPr>
          </m:sSupPr>
          <m:e>
            <m:r>
              <w:rPr>
                <w:rFonts w:ascii="Cambria Math" w:hAnsi="Cambria Math" w:cstheme="majorBidi"/>
                <w:lang w:val="en-US"/>
              </w:rPr>
              <m:t>R</m:t>
            </m:r>
          </m:e>
          <m:sup>
            <m:r>
              <w:rPr>
                <w:rFonts w:ascii="Cambria Math" w:hAnsi="Cambria Math" w:cstheme="majorBidi"/>
                <w:lang w:val="en-US"/>
              </w:rPr>
              <m:t>2</m:t>
            </m:r>
          </m:sup>
        </m:sSup>
      </m:oMath>
      <w:r w:rsidRPr="00D14407">
        <w:rPr>
          <w:rFonts w:asciiTheme="majorBidi" w:hAnsiTheme="majorBidi" w:cstheme="majorBidi"/>
          <w:bCs/>
          <w:lang w:val="en-US"/>
        </w:rPr>
        <w:t xml:space="preserve"> from regression (</w:t>
      </w:r>
      <w:r w:rsidR="00586BAC">
        <w:rPr>
          <w:rFonts w:asciiTheme="majorBidi" w:hAnsiTheme="majorBidi" w:cstheme="majorBidi"/>
          <w:bCs/>
          <w:lang w:val="en-US"/>
        </w:rPr>
        <w:t>22</w:t>
      </w:r>
      <w:r w:rsidRPr="00D14407">
        <w:rPr>
          <w:rFonts w:asciiTheme="majorBidi" w:hAnsiTheme="majorBidi" w:cstheme="majorBidi"/>
          <w:bCs/>
          <w:lang w:val="en-US"/>
        </w:rPr>
        <w:t>), which will asymptotically follow a</w:t>
      </w:r>
      <m:oMath>
        <m:sSup>
          <m:sSupPr>
            <m:ctrlPr>
              <w:rPr>
                <w:rFonts w:ascii="Cambria Math" w:hAnsi="Cambria Math" w:cstheme="majorBidi"/>
                <w:bCs/>
                <w:i/>
                <w:iCs/>
              </w:rPr>
            </m:ctrlPr>
          </m:sSupPr>
          <m:e>
            <m:r>
              <w:rPr>
                <w:rFonts w:ascii="Cambria Math" w:hAnsi="Cambria Math" w:cstheme="majorBidi"/>
              </w:rPr>
              <m:t>χ</m:t>
            </m:r>
          </m:e>
          <m:sup>
            <m:r>
              <w:rPr>
                <w:rFonts w:ascii="Cambria Math" w:hAnsi="Cambria Math" w:cstheme="majorBidi"/>
                <w:lang w:val="en-US"/>
              </w:rPr>
              <m:t>2</m:t>
            </m:r>
          </m:sup>
        </m:sSup>
      </m:oMath>
      <w:r w:rsidRPr="00D14407">
        <w:rPr>
          <w:rFonts w:asciiTheme="majorBidi" w:hAnsiTheme="majorBidi" w:cstheme="majorBidi"/>
          <w:bCs/>
          <w:lang w:val="en-US"/>
        </w:rPr>
        <w:t xml:space="preserve"> distribution with 3 degrees of freedom under the null hypothesis of no asymmetric effects.</w:t>
      </w:r>
    </w:p>
    <w:p w:rsidR="00036166" w:rsidRPr="00D14407" w:rsidRDefault="00F2110D" w:rsidP="00341063">
      <w:pPr>
        <w:pStyle w:val="Lgende"/>
        <w:keepNext/>
        <w:spacing w:after="0"/>
        <w:jc w:val="both"/>
        <w:rPr>
          <w:rFonts w:asciiTheme="majorBidi" w:hAnsiTheme="majorBidi" w:cstheme="majorBidi"/>
          <w:color w:val="auto"/>
          <w:sz w:val="20"/>
          <w:szCs w:val="20"/>
          <w:lang w:val="en-US"/>
        </w:rPr>
      </w:pPr>
      <w:r>
        <w:rPr>
          <w:rFonts w:asciiTheme="majorBidi" w:hAnsiTheme="majorBidi" w:cstheme="majorBidi"/>
          <w:color w:val="auto"/>
          <w:sz w:val="20"/>
          <w:szCs w:val="20"/>
          <w:lang w:val="en-US"/>
        </w:rPr>
        <w:lastRenderedPageBreak/>
        <w:t>Table 2</w:t>
      </w:r>
    </w:p>
    <w:p w:rsidR="00036166" w:rsidRPr="00D14407" w:rsidRDefault="00036166" w:rsidP="00341063">
      <w:pPr>
        <w:spacing w:after="0" w:line="240" w:lineRule="auto"/>
        <w:jc w:val="both"/>
        <w:rPr>
          <w:rFonts w:asciiTheme="majorBidi" w:hAnsiTheme="majorBidi" w:cstheme="majorBidi"/>
          <w:sz w:val="20"/>
          <w:szCs w:val="20"/>
          <w:lang w:val="en-US" w:eastAsia="fr-FR"/>
        </w:rPr>
      </w:pPr>
      <w:r w:rsidRPr="00D14407">
        <w:rPr>
          <w:rFonts w:asciiTheme="majorBidi" w:hAnsiTheme="majorBidi" w:cstheme="majorBidi"/>
          <w:sz w:val="20"/>
          <w:szCs w:val="20"/>
          <w:lang w:val="en-US"/>
        </w:rPr>
        <w:t>Tests for sign and size bias</w:t>
      </w:r>
      <w:r w:rsidR="0028097B">
        <w:rPr>
          <w:rFonts w:asciiTheme="majorBidi" w:hAnsiTheme="majorBidi" w:cstheme="majorBidi"/>
          <w:sz w:val="20"/>
          <w:szCs w:val="20"/>
          <w:lang w:val="en-US"/>
        </w:rPr>
        <w:t xml:space="preserve"> for exchange rate and stock marketreturn </w:t>
      </w:r>
      <w:r w:rsidRPr="00D14407">
        <w:rPr>
          <w:rFonts w:asciiTheme="majorBidi" w:hAnsiTheme="majorBidi" w:cstheme="majorBidi"/>
          <w:sz w:val="20"/>
          <w:szCs w:val="20"/>
          <w:lang w:val="en-US"/>
        </w:rPr>
        <w:t>series.</w:t>
      </w:r>
    </w:p>
    <w:tbl>
      <w:tblPr>
        <w:tblW w:w="9237" w:type="dxa"/>
        <w:jc w:val="center"/>
        <w:tblInd w:w="56" w:type="dxa"/>
        <w:tblCellMar>
          <w:left w:w="70" w:type="dxa"/>
          <w:right w:w="70" w:type="dxa"/>
        </w:tblCellMar>
        <w:tblLook w:val="04A0"/>
      </w:tblPr>
      <w:tblGrid>
        <w:gridCol w:w="712"/>
        <w:gridCol w:w="807"/>
        <w:gridCol w:w="656"/>
        <w:gridCol w:w="572"/>
        <w:gridCol w:w="181"/>
        <w:gridCol w:w="886"/>
        <w:gridCol w:w="656"/>
        <w:gridCol w:w="572"/>
        <w:gridCol w:w="181"/>
        <w:gridCol w:w="595"/>
        <w:gridCol w:w="656"/>
        <w:gridCol w:w="572"/>
        <w:gridCol w:w="181"/>
        <w:gridCol w:w="805"/>
        <w:gridCol w:w="656"/>
        <w:gridCol w:w="572"/>
      </w:tblGrid>
      <w:tr w:rsidR="0028097B" w:rsidRPr="00D46EB4" w:rsidTr="00341063">
        <w:trPr>
          <w:trHeight w:val="124"/>
          <w:jc w:val="center"/>
        </w:trPr>
        <w:tc>
          <w:tcPr>
            <w:tcW w:w="712" w:type="dxa"/>
            <w:vMerge w:val="restart"/>
            <w:tcBorders>
              <w:top w:val="single" w:sz="8" w:space="0" w:color="auto"/>
              <w:left w:val="nil"/>
              <w:bottom w:val="single" w:sz="8" w:space="0" w:color="000000"/>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Variables</w:t>
            </w:r>
          </w:p>
        </w:tc>
        <w:tc>
          <w:tcPr>
            <w:tcW w:w="2035" w:type="dxa"/>
            <w:gridSpan w:val="3"/>
            <w:tcBorders>
              <w:top w:val="single" w:sz="8" w:space="0" w:color="auto"/>
              <w:left w:val="nil"/>
              <w:bottom w:val="single" w:sz="8" w:space="0" w:color="000000"/>
              <w:right w:val="nil"/>
            </w:tcBorders>
            <w:vAlign w:val="center"/>
            <w:hideMark/>
          </w:tcPr>
          <w:p w:rsidR="00036166" w:rsidRPr="00D46EB4" w:rsidRDefault="0028097B" w:rsidP="00F2110D">
            <w:pPr>
              <w:spacing w:after="0" w:line="240" w:lineRule="auto"/>
              <w:rPr>
                <w:rFonts w:ascii="Times New Roman" w:eastAsia="Times New Roman" w:hAnsi="Times New Roman" w:cs="Times New Roman"/>
                <w:b/>
                <w:bCs/>
                <w:color w:val="000000"/>
                <w:sz w:val="14"/>
                <w:szCs w:val="14"/>
                <w:lang w:eastAsia="fr-FR"/>
              </w:rPr>
            </w:pPr>
            <w:r>
              <w:rPr>
                <w:rFonts w:ascii="Times New Roman" w:eastAsia="Times New Roman" w:hAnsi="Times New Roman" w:cs="Times New Roman"/>
                <w:b/>
                <w:bCs/>
                <w:color w:val="000000"/>
                <w:sz w:val="14"/>
                <w:szCs w:val="14"/>
                <w:lang w:eastAsia="fr-FR"/>
              </w:rPr>
              <w:t>USD/EUR</w:t>
            </w:r>
          </w:p>
        </w:tc>
        <w:tc>
          <w:tcPr>
            <w:tcW w:w="181" w:type="dxa"/>
            <w:tcBorders>
              <w:top w:val="single" w:sz="8" w:space="0" w:color="auto"/>
              <w:left w:val="nil"/>
              <w:bottom w:val="nil"/>
              <w:right w:val="nil"/>
            </w:tcBorders>
            <w:vAlign w:val="center"/>
            <w:hideMark/>
          </w:tcPr>
          <w:p w:rsidR="00036166" w:rsidRPr="00D46EB4" w:rsidRDefault="00036166" w:rsidP="00F2110D">
            <w:pPr>
              <w:spacing w:after="0" w:line="240" w:lineRule="auto"/>
              <w:rPr>
                <w:rFonts w:ascii="Calibri" w:eastAsia="Times New Roman" w:hAnsi="Calibri" w:cs="Times New Roman"/>
                <w:color w:val="000000"/>
                <w:lang w:eastAsia="fr-FR"/>
              </w:rPr>
            </w:pPr>
          </w:p>
        </w:tc>
        <w:tc>
          <w:tcPr>
            <w:tcW w:w="2114" w:type="dxa"/>
            <w:gridSpan w:val="3"/>
            <w:tcBorders>
              <w:top w:val="single" w:sz="8" w:space="0" w:color="auto"/>
              <w:left w:val="nil"/>
              <w:bottom w:val="single" w:sz="4" w:space="0" w:color="000000"/>
              <w:right w:val="nil"/>
            </w:tcBorders>
            <w:vAlign w:val="center"/>
            <w:hideMark/>
          </w:tcPr>
          <w:p w:rsidR="00036166" w:rsidRPr="00D46EB4" w:rsidRDefault="0028097B" w:rsidP="00F2110D">
            <w:pPr>
              <w:spacing w:after="0" w:line="240" w:lineRule="auto"/>
              <w:rPr>
                <w:rFonts w:ascii="Times New Roman" w:eastAsia="Times New Roman" w:hAnsi="Times New Roman" w:cs="Times New Roman"/>
                <w:b/>
                <w:bCs/>
                <w:color w:val="000000"/>
                <w:sz w:val="14"/>
                <w:szCs w:val="14"/>
                <w:lang w:eastAsia="fr-FR"/>
              </w:rPr>
            </w:pPr>
            <w:r>
              <w:rPr>
                <w:rFonts w:ascii="Times New Roman" w:eastAsia="Times New Roman" w:hAnsi="Times New Roman" w:cs="Times New Roman"/>
                <w:b/>
                <w:bCs/>
                <w:color w:val="000000"/>
                <w:sz w:val="14"/>
                <w:szCs w:val="14"/>
                <w:lang w:eastAsia="fr-FR"/>
              </w:rPr>
              <w:t>NIKKEI225</w:t>
            </w:r>
          </w:p>
        </w:tc>
        <w:tc>
          <w:tcPr>
            <w:tcW w:w="181" w:type="dxa"/>
            <w:tcBorders>
              <w:top w:val="nil"/>
              <w:left w:val="nil"/>
              <w:bottom w:val="single" w:sz="8" w:space="0" w:color="000000"/>
              <w:right w:val="nil"/>
            </w:tcBorders>
            <w:vAlign w:val="center"/>
            <w:hideMark/>
          </w:tcPr>
          <w:p w:rsidR="00036166" w:rsidRPr="00D46EB4" w:rsidRDefault="00036166" w:rsidP="00F2110D">
            <w:pPr>
              <w:spacing w:after="0" w:line="240" w:lineRule="auto"/>
              <w:rPr>
                <w:rFonts w:ascii="Calibri" w:eastAsia="Times New Roman" w:hAnsi="Calibri" w:cs="Times New Roman"/>
                <w:color w:val="000000"/>
                <w:lang w:eastAsia="fr-FR"/>
              </w:rPr>
            </w:pPr>
          </w:p>
        </w:tc>
        <w:tc>
          <w:tcPr>
            <w:tcW w:w="1800" w:type="dxa"/>
            <w:gridSpan w:val="3"/>
            <w:tcBorders>
              <w:top w:val="single" w:sz="8" w:space="0" w:color="auto"/>
              <w:left w:val="nil"/>
              <w:bottom w:val="single" w:sz="8" w:space="0" w:color="000000"/>
              <w:right w:val="nil"/>
            </w:tcBorders>
            <w:vAlign w:val="center"/>
            <w:hideMark/>
          </w:tcPr>
          <w:p w:rsidR="00036166" w:rsidRPr="00D46EB4" w:rsidRDefault="0028097B" w:rsidP="00F2110D">
            <w:pPr>
              <w:spacing w:after="0" w:line="240" w:lineRule="auto"/>
              <w:rPr>
                <w:rFonts w:ascii="Times New Roman" w:eastAsia="Times New Roman" w:hAnsi="Times New Roman" w:cs="Times New Roman"/>
                <w:b/>
                <w:bCs/>
                <w:color w:val="000000"/>
                <w:sz w:val="14"/>
                <w:szCs w:val="14"/>
                <w:lang w:eastAsia="fr-FR"/>
              </w:rPr>
            </w:pPr>
            <w:r>
              <w:rPr>
                <w:rFonts w:ascii="Times New Roman" w:eastAsia="Times New Roman" w:hAnsi="Times New Roman" w:cs="Times New Roman"/>
                <w:b/>
                <w:bCs/>
                <w:color w:val="000000"/>
                <w:sz w:val="14"/>
                <w:szCs w:val="14"/>
                <w:lang w:eastAsia="fr-FR"/>
              </w:rPr>
              <w:t>SSE</w:t>
            </w:r>
          </w:p>
        </w:tc>
        <w:tc>
          <w:tcPr>
            <w:tcW w:w="181" w:type="dxa"/>
            <w:tcBorders>
              <w:top w:val="nil"/>
              <w:left w:val="nil"/>
              <w:bottom w:val="single" w:sz="8" w:space="0" w:color="000000"/>
              <w:right w:val="nil"/>
            </w:tcBorders>
            <w:vAlign w:val="center"/>
            <w:hideMark/>
          </w:tcPr>
          <w:p w:rsidR="00036166" w:rsidRPr="00D46EB4" w:rsidRDefault="00036166" w:rsidP="00F2110D">
            <w:pPr>
              <w:spacing w:after="0" w:line="240" w:lineRule="auto"/>
              <w:rPr>
                <w:rFonts w:ascii="Calibri" w:eastAsia="Times New Roman" w:hAnsi="Calibri" w:cs="Times New Roman"/>
                <w:color w:val="000000"/>
                <w:lang w:eastAsia="fr-FR"/>
              </w:rPr>
            </w:pPr>
          </w:p>
        </w:tc>
        <w:tc>
          <w:tcPr>
            <w:tcW w:w="2033" w:type="dxa"/>
            <w:gridSpan w:val="3"/>
            <w:tcBorders>
              <w:top w:val="single" w:sz="8" w:space="0" w:color="auto"/>
              <w:left w:val="nil"/>
              <w:bottom w:val="single" w:sz="8" w:space="0" w:color="000000"/>
              <w:right w:val="nil"/>
            </w:tcBorders>
            <w:vAlign w:val="center"/>
            <w:hideMark/>
          </w:tcPr>
          <w:p w:rsidR="00036166" w:rsidRPr="00D46EB4" w:rsidRDefault="0028097B" w:rsidP="00F2110D">
            <w:pPr>
              <w:spacing w:after="0" w:line="240" w:lineRule="auto"/>
              <w:rPr>
                <w:rFonts w:ascii="Times New Roman" w:eastAsia="Times New Roman" w:hAnsi="Times New Roman" w:cs="Times New Roman"/>
                <w:b/>
                <w:bCs/>
                <w:color w:val="000000"/>
                <w:sz w:val="14"/>
                <w:szCs w:val="14"/>
                <w:lang w:eastAsia="fr-FR"/>
              </w:rPr>
            </w:pPr>
            <w:r>
              <w:rPr>
                <w:rFonts w:ascii="Times New Roman" w:eastAsia="Times New Roman" w:hAnsi="Times New Roman" w:cs="Times New Roman"/>
                <w:b/>
                <w:bCs/>
                <w:color w:val="000000"/>
                <w:sz w:val="14"/>
                <w:szCs w:val="14"/>
                <w:lang w:eastAsia="fr-FR"/>
              </w:rPr>
              <w:t>MSCI</w:t>
            </w:r>
          </w:p>
        </w:tc>
      </w:tr>
      <w:tr w:rsidR="0028097B" w:rsidRPr="00D46EB4" w:rsidTr="00341063">
        <w:trPr>
          <w:trHeight w:val="130"/>
          <w:jc w:val="center"/>
        </w:trPr>
        <w:tc>
          <w:tcPr>
            <w:tcW w:w="712" w:type="dxa"/>
            <w:vMerge/>
            <w:tcBorders>
              <w:top w:val="single" w:sz="8" w:space="0" w:color="auto"/>
              <w:left w:val="nil"/>
              <w:bottom w:val="single" w:sz="8" w:space="0" w:color="000000"/>
              <w:right w:val="nil"/>
            </w:tcBorders>
            <w:vAlign w:val="center"/>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p>
        </w:tc>
        <w:tc>
          <w:tcPr>
            <w:tcW w:w="807"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Coeff</w:t>
            </w:r>
          </w:p>
        </w:tc>
        <w:tc>
          <w:tcPr>
            <w:tcW w:w="656"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StdError</w:t>
            </w:r>
          </w:p>
        </w:tc>
        <w:tc>
          <w:tcPr>
            <w:tcW w:w="572"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Signif</w:t>
            </w:r>
          </w:p>
        </w:tc>
        <w:tc>
          <w:tcPr>
            <w:tcW w:w="181" w:type="dxa"/>
            <w:tcBorders>
              <w:top w:val="nil"/>
              <w:left w:val="nil"/>
              <w:bottom w:val="nil"/>
              <w:right w:val="nil"/>
            </w:tcBorders>
            <w:shd w:val="clear" w:color="auto" w:fill="auto"/>
            <w:noWrap/>
            <w:vAlign w:val="bottom"/>
            <w:hideMark/>
          </w:tcPr>
          <w:p w:rsidR="00036166" w:rsidRPr="00D46EB4" w:rsidRDefault="00036166" w:rsidP="00BF0FC9">
            <w:pPr>
              <w:spacing w:after="0" w:line="240" w:lineRule="auto"/>
              <w:rPr>
                <w:rFonts w:ascii="Calibri" w:eastAsia="Times New Roman" w:hAnsi="Calibri" w:cs="Times New Roman"/>
                <w:color w:val="000000"/>
                <w:lang w:eastAsia="fr-FR"/>
              </w:rPr>
            </w:pPr>
          </w:p>
        </w:tc>
        <w:tc>
          <w:tcPr>
            <w:tcW w:w="886"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Coeff</w:t>
            </w:r>
          </w:p>
        </w:tc>
        <w:tc>
          <w:tcPr>
            <w:tcW w:w="656"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StdError</w:t>
            </w:r>
          </w:p>
        </w:tc>
        <w:tc>
          <w:tcPr>
            <w:tcW w:w="572"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Signif</w:t>
            </w:r>
          </w:p>
        </w:tc>
        <w:tc>
          <w:tcPr>
            <w:tcW w:w="181" w:type="dxa"/>
            <w:tcBorders>
              <w:top w:val="nil"/>
              <w:left w:val="nil"/>
              <w:bottom w:val="nil"/>
              <w:right w:val="nil"/>
            </w:tcBorders>
            <w:shd w:val="clear" w:color="auto" w:fill="auto"/>
            <w:noWrap/>
            <w:vAlign w:val="bottom"/>
            <w:hideMark/>
          </w:tcPr>
          <w:p w:rsidR="00036166" w:rsidRPr="00D46EB4" w:rsidRDefault="00036166" w:rsidP="00BF0FC9">
            <w:pPr>
              <w:spacing w:after="0" w:line="240" w:lineRule="auto"/>
              <w:rPr>
                <w:rFonts w:ascii="Calibri" w:eastAsia="Times New Roman" w:hAnsi="Calibri" w:cs="Times New Roman"/>
                <w:color w:val="000000"/>
                <w:lang w:eastAsia="fr-FR"/>
              </w:rPr>
            </w:pPr>
          </w:p>
        </w:tc>
        <w:tc>
          <w:tcPr>
            <w:tcW w:w="572"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Coeff</w:t>
            </w:r>
          </w:p>
        </w:tc>
        <w:tc>
          <w:tcPr>
            <w:tcW w:w="656"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StdError</w:t>
            </w:r>
          </w:p>
        </w:tc>
        <w:tc>
          <w:tcPr>
            <w:tcW w:w="572"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Signif</w:t>
            </w:r>
          </w:p>
        </w:tc>
        <w:tc>
          <w:tcPr>
            <w:tcW w:w="181" w:type="dxa"/>
            <w:tcBorders>
              <w:top w:val="nil"/>
              <w:left w:val="nil"/>
              <w:bottom w:val="nil"/>
              <w:right w:val="nil"/>
            </w:tcBorders>
            <w:shd w:val="clear" w:color="auto" w:fill="auto"/>
            <w:noWrap/>
            <w:vAlign w:val="bottom"/>
            <w:hideMark/>
          </w:tcPr>
          <w:p w:rsidR="00036166" w:rsidRPr="00D46EB4" w:rsidRDefault="00036166" w:rsidP="00BF0FC9">
            <w:pPr>
              <w:spacing w:after="0" w:line="240" w:lineRule="auto"/>
              <w:rPr>
                <w:rFonts w:ascii="Calibri" w:eastAsia="Times New Roman" w:hAnsi="Calibri" w:cs="Times New Roman"/>
                <w:color w:val="000000"/>
                <w:lang w:eastAsia="fr-FR"/>
              </w:rPr>
            </w:pPr>
          </w:p>
        </w:tc>
        <w:tc>
          <w:tcPr>
            <w:tcW w:w="805"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Coeff</w:t>
            </w:r>
          </w:p>
        </w:tc>
        <w:tc>
          <w:tcPr>
            <w:tcW w:w="656"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StdError</w:t>
            </w:r>
          </w:p>
        </w:tc>
        <w:tc>
          <w:tcPr>
            <w:tcW w:w="572" w:type="dxa"/>
            <w:tcBorders>
              <w:top w:val="nil"/>
              <w:left w:val="nil"/>
              <w:bottom w:val="single" w:sz="8" w:space="0" w:color="auto"/>
              <w:right w:val="nil"/>
            </w:tcBorders>
            <w:shd w:val="clear" w:color="auto" w:fill="auto"/>
            <w:noWrap/>
            <w:vAlign w:val="bottom"/>
            <w:hideMark/>
          </w:tcPr>
          <w:p w:rsidR="00036166" w:rsidRPr="00D46EB4" w:rsidRDefault="00036166" w:rsidP="00BF0FC9">
            <w:pPr>
              <w:spacing w:after="0" w:line="240" w:lineRule="auto"/>
              <w:rPr>
                <w:rFonts w:ascii="Times New Roman" w:eastAsia="Times New Roman" w:hAnsi="Times New Roman" w:cs="Times New Roman"/>
                <w:color w:val="000000"/>
                <w:sz w:val="14"/>
                <w:szCs w:val="14"/>
                <w:lang w:eastAsia="fr-FR"/>
              </w:rPr>
            </w:pPr>
            <w:r w:rsidRPr="00D46EB4">
              <w:rPr>
                <w:rFonts w:ascii="Times New Roman" w:eastAsia="Times New Roman" w:hAnsi="Times New Roman" w:cs="Times New Roman"/>
                <w:color w:val="000000"/>
                <w:sz w:val="14"/>
                <w:szCs w:val="14"/>
                <w:lang w:eastAsia="fr-FR"/>
              </w:rPr>
              <w:t>Signif</w:t>
            </w:r>
          </w:p>
        </w:tc>
      </w:tr>
      <w:tr w:rsidR="0028097B" w:rsidRPr="0028097B" w:rsidTr="00341063">
        <w:trPr>
          <w:trHeight w:val="130"/>
          <w:jc w:val="center"/>
        </w:trPr>
        <w:tc>
          <w:tcPr>
            <w:tcW w:w="712" w:type="dxa"/>
            <w:tcBorders>
              <w:top w:val="nil"/>
              <w:left w:val="nil"/>
              <w:bottom w:val="nil"/>
              <w:right w:val="nil"/>
            </w:tcBorders>
            <w:shd w:val="clear" w:color="auto" w:fill="auto"/>
            <w:noWrap/>
            <w:vAlign w:val="center"/>
            <w:hideMark/>
          </w:tcPr>
          <w:p w:rsidR="0028097B" w:rsidRPr="00BB0D8E" w:rsidRDefault="00011760" w:rsidP="00BF0FC9">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0</m:t>
                    </m:r>
                  </m:sub>
                </m:sSub>
              </m:oMath>
            </m:oMathPara>
          </w:p>
        </w:tc>
        <w:tc>
          <w:tcPr>
            <w:tcW w:w="807"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1.2461***</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0.0561</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8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1.0623***</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0.0734</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0.9628</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0.0799</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1.0703</w:t>
            </w:r>
            <w:r w:rsidR="00341063">
              <w:rPr>
                <w:rFonts w:ascii="Times New Roman" w:eastAsia="Times New Roman" w:hAnsi="Times New Roman" w:cs="Times New Roman"/>
                <w:color w:val="000000"/>
                <w:sz w:val="14"/>
                <w:szCs w:val="14"/>
                <w:lang w:eastAsia="fr-FR"/>
              </w:rPr>
              <w:t>***</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0.0721</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r>
      <w:tr w:rsidR="0028097B" w:rsidRPr="0028097B" w:rsidTr="00341063">
        <w:trPr>
          <w:trHeight w:val="179"/>
          <w:jc w:val="center"/>
        </w:trPr>
        <w:tc>
          <w:tcPr>
            <w:tcW w:w="712" w:type="dxa"/>
            <w:tcBorders>
              <w:top w:val="nil"/>
              <w:left w:val="nil"/>
              <w:bottom w:val="nil"/>
              <w:right w:val="nil"/>
            </w:tcBorders>
            <w:shd w:val="clear" w:color="auto" w:fill="auto"/>
            <w:noWrap/>
            <w:vAlign w:val="center"/>
            <w:hideMark/>
          </w:tcPr>
          <w:p w:rsidR="0028097B" w:rsidRPr="00BB0D8E" w:rsidRDefault="00011760" w:rsidP="00BF0FC9">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1</m:t>
                    </m:r>
                  </m:sub>
                </m:sSub>
              </m:oMath>
            </m:oMathPara>
          </w:p>
        </w:tc>
        <w:tc>
          <w:tcPr>
            <w:tcW w:w="807"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-0.240***</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0.0845</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0.0044</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8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0.0468</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0.0944</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0.6197</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0.0572</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0.1065</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0.5911</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0.0786</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0.0940</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0.4033</w:t>
            </w:r>
          </w:p>
        </w:tc>
      </w:tr>
      <w:tr w:rsidR="0028097B" w:rsidRPr="0028097B" w:rsidTr="00341063">
        <w:trPr>
          <w:trHeight w:val="78"/>
          <w:jc w:val="center"/>
        </w:trPr>
        <w:tc>
          <w:tcPr>
            <w:tcW w:w="712" w:type="dxa"/>
            <w:tcBorders>
              <w:top w:val="nil"/>
              <w:left w:val="nil"/>
              <w:bottom w:val="nil"/>
              <w:right w:val="nil"/>
            </w:tcBorders>
            <w:shd w:val="clear" w:color="auto" w:fill="auto"/>
            <w:noWrap/>
            <w:vAlign w:val="center"/>
            <w:hideMark/>
          </w:tcPr>
          <w:p w:rsidR="0028097B" w:rsidRPr="00BB0D8E" w:rsidRDefault="00011760" w:rsidP="00BF0FC9">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2</m:t>
                    </m:r>
                  </m:sub>
                </m:sSub>
              </m:oMath>
            </m:oMathPara>
          </w:p>
        </w:tc>
        <w:tc>
          <w:tcPr>
            <w:tcW w:w="807"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0.1511**</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0.0624</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0.0154</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8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0.0067</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0.0579</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0.9072</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-0.0614</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0.0705</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0.3837</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0.0352</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0.0584</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0.5467</w:t>
            </w:r>
          </w:p>
        </w:tc>
      </w:tr>
      <w:tr w:rsidR="0028097B" w:rsidRPr="0028097B" w:rsidTr="00341063">
        <w:trPr>
          <w:trHeight w:val="78"/>
          <w:jc w:val="center"/>
        </w:trPr>
        <w:tc>
          <w:tcPr>
            <w:tcW w:w="712" w:type="dxa"/>
            <w:tcBorders>
              <w:top w:val="nil"/>
              <w:left w:val="nil"/>
              <w:bottom w:val="nil"/>
              <w:right w:val="nil"/>
            </w:tcBorders>
            <w:shd w:val="clear" w:color="auto" w:fill="auto"/>
            <w:noWrap/>
            <w:vAlign w:val="center"/>
            <w:hideMark/>
          </w:tcPr>
          <w:p w:rsidR="0028097B" w:rsidRPr="00BB0D8E" w:rsidRDefault="00011760" w:rsidP="00BF0FC9">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bCs/>
                        <w:i/>
                        <w:color w:val="000000"/>
                        <w:sz w:val="16"/>
                        <w:szCs w:val="16"/>
                        <w:lang w:val="en-US" w:eastAsia="fr-FR"/>
                      </w:rPr>
                    </m:ctrlPr>
                  </m:sSubPr>
                  <m:e>
                    <m:r>
                      <w:rPr>
                        <w:rFonts w:ascii="Cambria Math" w:eastAsia="Times New Roman" w:hAnsi="Cambria Math" w:cs="Times New Roman"/>
                        <w:color w:val="000000"/>
                        <w:sz w:val="16"/>
                        <w:szCs w:val="16"/>
                        <w:lang w:val="en-US" w:eastAsia="fr-FR"/>
                      </w:rPr>
                      <m:t>ϕ</m:t>
                    </m:r>
                  </m:e>
                  <m:sub>
                    <m:r>
                      <w:rPr>
                        <w:rFonts w:ascii="Cambria Math" w:eastAsia="Times New Roman" w:hAnsi="Cambria Math" w:cs="Times New Roman"/>
                        <w:color w:val="000000"/>
                        <w:sz w:val="16"/>
                        <w:szCs w:val="16"/>
                        <w:lang w:val="en-US" w:eastAsia="fr-FR"/>
                      </w:rPr>
                      <m:t>3</m:t>
                    </m:r>
                  </m:sub>
                </m:sSub>
              </m:oMath>
            </m:oMathPara>
          </w:p>
        </w:tc>
        <w:tc>
          <w:tcPr>
            <w:tcW w:w="807"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-0.195***</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0.0567</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0.0005</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8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-0.235***</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0.0756</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0.0018</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-0.0352</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0.0795</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0.6576</w:t>
            </w:r>
          </w:p>
        </w:tc>
        <w:tc>
          <w:tcPr>
            <w:tcW w:w="181"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Calibri" w:eastAsia="Times New Roman" w:hAnsi="Calibri" w:cs="Times New Roman"/>
                <w:color w:val="000000"/>
                <w:sz w:val="14"/>
                <w:szCs w:val="14"/>
                <w:lang w:eastAsia="fr-FR"/>
              </w:rPr>
            </w:pPr>
          </w:p>
        </w:tc>
        <w:tc>
          <w:tcPr>
            <w:tcW w:w="805"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-0.2810</w:t>
            </w:r>
            <w:r w:rsidR="00341063">
              <w:rPr>
                <w:rFonts w:ascii="Times New Roman" w:eastAsia="Times New Roman" w:hAnsi="Times New Roman" w:cs="Times New Roman"/>
                <w:color w:val="000000"/>
                <w:sz w:val="14"/>
                <w:szCs w:val="14"/>
                <w:lang w:eastAsia="fr-FR"/>
              </w:rPr>
              <w:t>***</w:t>
            </w:r>
          </w:p>
        </w:tc>
        <w:tc>
          <w:tcPr>
            <w:tcW w:w="656"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0.0748</w:t>
            </w:r>
          </w:p>
        </w:tc>
        <w:tc>
          <w:tcPr>
            <w:tcW w:w="572" w:type="dxa"/>
            <w:tcBorders>
              <w:top w:val="nil"/>
              <w:left w:val="nil"/>
              <w:bottom w:val="nil"/>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0.0001</w:t>
            </w:r>
          </w:p>
        </w:tc>
      </w:tr>
      <w:tr w:rsidR="0028097B" w:rsidRPr="0028097B" w:rsidTr="00341063">
        <w:trPr>
          <w:trHeight w:val="179"/>
          <w:jc w:val="center"/>
        </w:trPr>
        <w:tc>
          <w:tcPr>
            <w:tcW w:w="712" w:type="dxa"/>
            <w:tcBorders>
              <w:top w:val="nil"/>
              <w:left w:val="nil"/>
              <w:bottom w:val="single" w:sz="8" w:space="0" w:color="auto"/>
              <w:right w:val="nil"/>
            </w:tcBorders>
            <w:shd w:val="clear" w:color="auto" w:fill="auto"/>
            <w:noWrap/>
            <w:vAlign w:val="center"/>
            <w:hideMark/>
          </w:tcPr>
          <w:p w:rsidR="0028097B" w:rsidRPr="00BB0D8E" w:rsidRDefault="00011760" w:rsidP="00BF0FC9">
            <w:pPr>
              <w:spacing w:after="0" w:line="240" w:lineRule="auto"/>
              <w:rPr>
                <w:rFonts w:ascii="Times New Roman" w:eastAsia="Times New Roman" w:hAnsi="Times New Roman" w:cs="Times New Roman"/>
                <w:color w:val="000000"/>
                <w:sz w:val="16"/>
                <w:szCs w:val="16"/>
                <w:lang w:eastAsia="fr-FR"/>
              </w:rPr>
            </w:pPr>
            <m:oMathPara>
              <m:oMath>
                <m:sSup>
                  <m:sSupPr>
                    <m:ctrlPr>
                      <w:rPr>
                        <w:rFonts w:ascii="Cambria Math" w:eastAsia="Times New Roman" w:hAnsi="Cambria Math" w:cs="Times New Roman"/>
                        <w:i/>
                        <w:color w:val="000000"/>
                        <w:sz w:val="16"/>
                        <w:szCs w:val="16"/>
                        <w:lang w:eastAsia="fr-FR"/>
                      </w:rPr>
                    </m:ctrlPr>
                  </m:sSupPr>
                  <m:e>
                    <m:r>
                      <w:rPr>
                        <w:rFonts w:ascii="Cambria Math" w:eastAsia="Times New Roman" w:hAnsi="Cambria Math" w:cs="Times New Roman"/>
                        <w:color w:val="000000"/>
                        <w:sz w:val="16"/>
                        <w:szCs w:val="16"/>
                        <w:lang w:eastAsia="fr-FR"/>
                      </w:rPr>
                      <m:t>χ</m:t>
                    </m:r>
                  </m:e>
                  <m:sup>
                    <m:r>
                      <w:rPr>
                        <w:rFonts w:ascii="Cambria Math" w:eastAsia="Times New Roman" w:hAnsi="Cambria Math" w:cs="Times New Roman"/>
                        <w:color w:val="000000"/>
                        <w:sz w:val="16"/>
                        <w:szCs w:val="16"/>
                        <w:lang w:eastAsia="fr-FR"/>
                      </w:rPr>
                      <m:t>2</m:t>
                    </m:r>
                  </m:sup>
                </m:sSup>
                <m:r>
                  <w:rPr>
                    <w:rFonts w:ascii="Cambria Math" w:eastAsia="Times New Roman" w:hAnsi="Cambria Math" w:cs="Times New Roman"/>
                    <w:color w:val="000000"/>
                    <w:sz w:val="16"/>
                    <w:szCs w:val="16"/>
                    <w:lang w:eastAsia="fr-FR"/>
                  </w:rPr>
                  <m:t>(3)</m:t>
                </m:r>
              </m:oMath>
            </m:oMathPara>
          </w:p>
        </w:tc>
        <w:tc>
          <w:tcPr>
            <w:tcW w:w="807"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33.041***</w:t>
            </w:r>
          </w:p>
        </w:tc>
        <w:tc>
          <w:tcPr>
            <w:tcW w:w="656"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_</w:t>
            </w:r>
          </w:p>
        </w:tc>
        <w:tc>
          <w:tcPr>
            <w:tcW w:w="572"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c>
          <w:tcPr>
            <w:tcW w:w="181"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 </w:t>
            </w:r>
          </w:p>
        </w:tc>
        <w:tc>
          <w:tcPr>
            <w:tcW w:w="886"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23.0797***</w:t>
            </w:r>
          </w:p>
        </w:tc>
        <w:tc>
          <w:tcPr>
            <w:tcW w:w="656"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_</w:t>
            </w:r>
          </w:p>
        </w:tc>
        <w:tc>
          <w:tcPr>
            <w:tcW w:w="572"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c>
          <w:tcPr>
            <w:tcW w:w="181"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 </w:t>
            </w:r>
          </w:p>
        </w:tc>
        <w:tc>
          <w:tcPr>
            <w:tcW w:w="572" w:type="dxa"/>
            <w:tcBorders>
              <w:top w:val="nil"/>
              <w:left w:val="nil"/>
              <w:bottom w:val="single" w:sz="8" w:space="0" w:color="auto"/>
              <w:right w:val="nil"/>
            </w:tcBorders>
            <w:shd w:val="clear" w:color="auto" w:fill="auto"/>
            <w:noWrap/>
            <w:vAlign w:val="bottom"/>
            <w:hideMark/>
          </w:tcPr>
          <w:p w:rsidR="0028097B" w:rsidRPr="0028097B" w:rsidRDefault="00F36ECE" w:rsidP="00BF0FC9">
            <w:pPr>
              <w:spacing w:after="0" w:line="240" w:lineRule="auto"/>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3</w:t>
            </w:r>
            <w:r w:rsidR="0028097B" w:rsidRPr="0028097B">
              <w:rPr>
                <w:rFonts w:ascii="Times New Roman" w:eastAsia="Times New Roman" w:hAnsi="Times New Roman" w:cs="Times New Roman"/>
                <w:color w:val="000000"/>
                <w:sz w:val="14"/>
                <w:szCs w:val="14"/>
                <w:lang w:eastAsia="fr-FR"/>
              </w:rPr>
              <w:t>7</w:t>
            </w:r>
            <w:r>
              <w:rPr>
                <w:rFonts w:ascii="Times New Roman" w:eastAsia="Times New Roman" w:hAnsi="Times New Roman" w:cs="Times New Roman"/>
                <w:color w:val="000000"/>
                <w:sz w:val="14"/>
                <w:szCs w:val="14"/>
                <w:lang w:eastAsia="fr-FR"/>
              </w:rPr>
              <w:t>.</w:t>
            </w:r>
            <w:r w:rsidR="0028097B" w:rsidRPr="0028097B">
              <w:rPr>
                <w:rFonts w:ascii="Times New Roman" w:eastAsia="Times New Roman" w:hAnsi="Times New Roman" w:cs="Times New Roman"/>
                <w:color w:val="000000"/>
                <w:sz w:val="14"/>
                <w:szCs w:val="14"/>
                <w:lang w:eastAsia="fr-FR"/>
              </w:rPr>
              <w:t>317</w:t>
            </w:r>
            <w:r w:rsidR="00341063">
              <w:rPr>
                <w:rFonts w:ascii="Times New Roman" w:eastAsia="Times New Roman" w:hAnsi="Times New Roman" w:cs="Times New Roman"/>
                <w:color w:val="000000"/>
                <w:sz w:val="14"/>
                <w:szCs w:val="14"/>
                <w:lang w:eastAsia="fr-FR"/>
              </w:rPr>
              <w:t>*</w:t>
            </w:r>
          </w:p>
        </w:tc>
        <w:tc>
          <w:tcPr>
            <w:tcW w:w="656"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_</w:t>
            </w:r>
          </w:p>
        </w:tc>
        <w:tc>
          <w:tcPr>
            <w:tcW w:w="572" w:type="dxa"/>
            <w:tcBorders>
              <w:top w:val="nil"/>
              <w:left w:val="nil"/>
              <w:bottom w:val="single" w:sz="8" w:space="0" w:color="auto"/>
              <w:right w:val="nil"/>
            </w:tcBorders>
            <w:shd w:val="clear" w:color="auto" w:fill="auto"/>
            <w:noWrap/>
            <w:vAlign w:val="bottom"/>
            <w:hideMark/>
          </w:tcPr>
          <w:p w:rsidR="0028097B" w:rsidRPr="0028097B" w:rsidRDefault="00F36ECE" w:rsidP="00BF0FC9">
            <w:pPr>
              <w:spacing w:after="0" w:line="240" w:lineRule="auto"/>
              <w:rPr>
                <w:rFonts w:ascii="Times New Roman" w:eastAsia="Times New Roman" w:hAnsi="Times New Roman" w:cs="Times New Roman"/>
                <w:color w:val="000000"/>
                <w:sz w:val="14"/>
                <w:szCs w:val="14"/>
                <w:lang w:eastAsia="fr-FR"/>
              </w:rPr>
            </w:pPr>
            <w:r>
              <w:rPr>
                <w:rFonts w:ascii="Times New Roman" w:eastAsia="Times New Roman" w:hAnsi="Times New Roman" w:cs="Times New Roman"/>
                <w:color w:val="000000"/>
                <w:sz w:val="14"/>
                <w:szCs w:val="14"/>
                <w:lang w:eastAsia="fr-FR"/>
              </w:rPr>
              <w:t>0.0</w:t>
            </w:r>
            <w:r w:rsidR="0028097B" w:rsidRPr="0028097B">
              <w:rPr>
                <w:rFonts w:ascii="Times New Roman" w:eastAsia="Times New Roman" w:hAnsi="Times New Roman" w:cs="Times New Roman"/>
                <w:color w:val="000000"/>
                <w:sz w:val="14"/>
                <w:szCs w:val="14"/>
                <w:lang w:eastAsia="fr-FR"/>
              </w:rPr>
              <w:t>919</w:t>
            </w:r>
          </w:p>
        </w:tc>
        <w:tc>
          <w:tcPr>
            <w:tcW w:w="181"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 </w:t>
            </w:r>
          </w:p>
        </w:tc>
        <w:tc>
          <w:tcPr>
            <w:tcW w:w="805"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31.916</w:t>
            </w:r>
            <w:r w:rsidR="00341063">
              <w:rPr>
                <w:rFonts w:ascii="Times New Roman" w:eastAsia="Times New Roman" w:hAnsi="Times New Roman" w:cs="Times New Roman"/>
                <w:color w:val="000000"/>
                <w:sz w:val="14"/>
                <w:szCs w:val="14"/>
                <w:lang w:eastAsia="fr-FR"/>
              </w:rPr>
              <w:t>***</w:t>
            </w:r>
          </w:p>
        </w:tc>
        <w:tc>
          <w:tcPr>
            <w:tcW w:w="656"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_</w:t>
            </w:r>
          </w:p>
        </w:tc>
        <w:tc>
          <w:tcPr>
            <w:tcW w:w="572" w:type="dxa"/>
            <w:tcBorders>
              <w:top w:val="nil"/>
              <w:left w:val="nil"/>
              <w:bottom w:val="single" w:sz="8" w:space="0" w:color="auto"/>
              <w:right w:val="nil"/>
            </w:tcBorders>
            <w:shd w:val="clear" w:color="auto" w:fill="auto"/>
            <w:noWrap/>
            <w:vAlign w:val="bottom"/>
            <w:hideMark/>
          </w:tcPr>
          <w:p w:rsidR="0028097B" w:rsidRPr="0028097B" w:rsidRDefault="0028097B" w:rsidP="00BF0FC9">
            <w:pPr>
              <w:spacing w:after="0" w:line="240" w:lineRule="auto"/>
              <w:rPr>
                <w:rFonts w:ascii="Times New Roman" w:eastAsia="Times New Roman" w:hAnsi="Times New Roman" w:cs="Times New Roman"/>
                <w:color w:val="000000"/>
                <w:sz w:val="14"/>
                <w:szCs w:val="14"/>
                <w:lang w:eastAsia="fr-FR"/>
              </w:rPr>
            </w:pPr>
            <w:r w:rsidRPr="0028097B">
              <w:rPr>
                <w:rFonts w:ascii="Times New Roman" w:eastAsia="Times New Roman" w:hAnsi="Times New Roman" w:cs="Times New Roman"/>
                <w:color w:val="000000"/>
                <w:sz w:val="14"/>
                <w:szCs w:val="14"/>
                <w:lang w:eastAsia="fr-FR"/>
              </w:rPr>
              <w:t>0.0000</w:t>
            </w:r>
          </w:p>
        </w:tc>
      </w:tr>
    </w:tbl>
    <w:p w:rsidR="00036166" w:rsidRPr="00110C7D" w:rsidRDefault="006951B0" w:rsidP="00341063">
      <w:pPr>
        <w:pStyle w:val="Lgende"/>
        <w:spacing w:after="0"/>
        <w:jc w:val="both"/>
        <w:rPr>
          <w:rFonts w:asciiTheme="majorBidi" w:hAnsiTheme="majorBidi" w:cstheme="majorBidi"/>
          <w:color w:val="auto"/>
          <w:sz w:val="16"/>
          <w:szCs w:val="16"/>
          <w:lang w:val="en-US"/>
        </w:rPr>
      </w:pPr>
      <w:r w:rsidRPr="00110C7D">
        <w:rPr>
          <w:rFonts w:asciiTheme="majorBidi" w:hAnsiTheme="majorBidi" w:cstheme="majorBidi"/>
          <w:color w:val="auto"/>
          <w:sz w:val="16"/>
          <w:szCs w:val="16"/>
          <w:lang w:val="en-US"/>
        </w:rPr>
        <w:t>Note:</w:t>
      </w:r>
      <w:r w:rsidR="00036166" w:rsidRPr="00110C7D">
        <w:rPr>
          <w:rFonts w:asciiTheme="majorBidi" w:hAnsiTheme="majorBidi" w:cstheme="majorBidi"/>
          <w:b w:val="0"/>
          <w:color w:val="auto"/>
          <w:sz w:val="16"/>
          <w:szCs w:val="16"/>
          <w:lang w:val="en-US"/>
        </w:rPr>
        <w:t xml:space="preserve"> The superscripts *, ** and *** denote the level significance at 1%, 5%, and 10%, respectively.</w:t>
      </w:r>
    </w:p>
    <w:p w:rsidR="00586BAC" w:rsidRDefault="00586BAC" w:rsidP="00036166">
      <w:pPr>
        <w:spacing w:after="0" w:line="240" w:lineRule="auto"/>
        <w:jc w:val="both"/>
        <w:rPr>
          <w:rFonts w:asciiTheme="majorBidi" w:hAnsiTheme="majorBidi" w:cstheme="majorBidi"/>
          <w:bCs/>
          <w:lang w:val="en-US"/>
        </w:rPr>
      </w:pPr>
    </w:p>
    <w:p w:rsidR="0028097B" w:rsidRPr="00E65505" w:rsidRDefault="00F2110D" w:rsidP="00E65505">
      <w:pPr>
        <w:autoSpaceDE w:val="0"/>
        <w:autoSpaceDN w:val="0"/>
        <w:adjustRightInd w:val="0"/>
        <w:spacing w:after="0" w:line="240" w:lineRule="auto"/>
        <w:ind w:firstLine="340"/>
        <w:jc w:val="both"/>
        <w:rPr>
          <w:rFonts w:asciiTheme="majorBidi" w:hAnsiTheme="majorBidi" w:cstheme="majorBidi"/>
          <w:color w:val="000000"/>
          <w:lang w:val="en-US"/>
        </w:rPr>
      </w:pPr>
      <w:r>
        <w:rPr>
          <w:rFonts w:asciiTheme="majorBidi" w:hAnsiTheme="majorBidi" w:cstheme="majorBidi"/>
          <w:color w:val="000000"/>
          <w:lang w:val="en-US"/>
        </w:rPr>
        <w:t>Table 2</w:t>
      </w:r>
      <w:r w:rsidR="00F528B9" w:rsidRPr="00D14407">
        <w:rPr>
          <w:rFonts w:asciiTheme="majorBidi" w:hAnsiTheme="majorBidi" w:cstheme="majorBidi"/>
          <w:color w:val="000000"/>
          <w:lang w:val="en-US"/>
        </w:rPr>
        <w:t xml:space="preserve"> reports the results of Engle-Ng tests.</w:t>
      </w:r>
      <w:r w:rsidR="00F528B9" w:rsidRPr="00D14407">
        <w:rPr>
          <w:rFonts w:asciiTheme="majorBidi" w:hAnsiTheme="majorBidi" w:cstheme="majorBidi"/>
          <w:color w:val="231F20"/>
          <w:lang w:val="en-US"/>
        </w:rPr>
        <w:t xml:space="preserve"> First, </w:t>
      </w:r>
      <w:r w:rsidR="00F528B9" w:rsidRPr="00D14407">
        <w:rPr>
          <w:rFonts w:asciiTheme="majorBidi" w:hAnsiTheme="majorBidi" w:cstheme="majorBidi"/>
          <w:color w:val="000000"/>
          <w:lang w:val="en-US"/>
        </w:rPr>
        <w:t xml:space="preserve">the individual regression results show that the residuals of the symmetric GARCH model for the </w:t>
      </w:r>
      <w:r w:rsidR="00F528B9">
        <w:rPr>
          <w:rFonts w:asciiTheme="majorBidi" w:hAnsiTheme="majorBidi" w:cstheme="majorBidi"/>
          <w:color w:val="000000"/>
          <w:lang w:val="en-US"/>
        </w:rPr>
        <w:t>NIKKEI225 and MSCI</w:t>
      </w:r>
      <w:r w:rsidR="00F528B9" w:rsidRPr="00D14407">
        <w:rPr>
          <w:rFonts w:asciiTheme="majorBidi" w:hAnsiTheme="majorBidi" w:cstheme="majorBidi"/>
          <w:color w:val="000000"/>
          <w:lang w:val="en-US"/>
        </w:rPr>
        <w:t xml:space="preserve"> series do not suffer from sign bias and/or negative size bias, but they do exhibit positive size bias. Second, for the </w:t>
      </w:r>
      <w:r w:rsidR="00EB6BFB">
        <w:rPr>
          <w:rFonts w:asciiTheme="majorBidi" w:hAnsiTheme="majorBidi" w:cstheme="majorBidi"/>
          <w:color w:val="000000"/>
          <w:lang w:val="en-US"/>
        </w:rPr>
        <w:t>SSE</w:t>
      </w:r>
      <w:r w:rsidR="00F528B9" w:rsidRPr="00D14407">
        <w:rPr>
          <w:rFonts w:asciiTheme="majorBidi" w:hAnsiTheme="majorBidi" w:cstheme="majorBidi"/>
          <w:color w:val="000000"/>
          <w:lang w:val="en-US"/>
        </w:rPr>
        <w:t xml:space="preserve"> series, the individual regression results show that the residuals of the symmetric GARCH model do not suffer from sign </w:t>
      </w:r>
      <w:r w:rsidR="00EB6BFB">
        <w:rPr>
          <w:rFonts w:asciiTheme="majorBidi" w:hAnsiTheme="majorBidi" w:cstheme="majorBidi"/>
          <w:color w:val="000000"/>
          <w:lang w:val="en-US"/>
        </w:rPr>
        <w:t>bias</w:t>
      </w:r>
      <w:r w:rsidR="00F528B9" w:rsidRPr="00D14407">
        <w:rPr>
          <w:rFonts w:asciiTheme="majorBidi" w:hAnsiTheme="majorBidi" w:cstheme="majorBidi"/>
          <w:color w:val="000000"/>
          <w:lang w:val="en-US"/>
        </w:rPr>
        <w:t xml:space="preserve">. Third, the individual regression results show that the residuals of the symmetric GARCH model for the </w:t>
      </w:r>
      <w:r w:rsidR="00EB6BFB">
        <w:rPr>
          <w:rFonts w:asciiTheme="majorBidi" w:hAnsiTheme="majorBidi" w:cstheme="majorBidi"/>
          <w:color w:val="000000"/>
          <w:lang w:val="en-US"/>
        </w:rPr>
        <w:t>USDEUR series exhibit</w:t>
      </w:r>
      <w:r w:rsidR="00F528B9" w:rsidRPr="00D14407">
        <w:rPr>
          <w:rFonts w:asciiTheme="majorBidi" w:hAnsiTheme="majorBidi" w:cstheme="majorBidi"/>
          <w:color w:val="000000"/>
          <w:lang w:val="en-US"/>
        </w:rPr>
        <w:t xml:space="preserve"> sign bias, negative size bias and/or positive size bias. Finally, the </w:t>
      </w:r>
      <m:oMath>
        <m:sSup>
          <m:sSupPr>
            <m:ctrlPr>
              <w:rPr>
                <w:rFonts w:ascii="Cambria Math" w:hAnsi="Cambria Math" w:cstheme="majorBidi"/>
                <w:i/>
                <w:iCs/>
                <w:color w:val="000000"/>
              </w:rPr>
            </m:ctrlPr>
          </m:sSupPr>
          <m:e>
            <m:r>
              <w:rPr>
                <w:rFonts w:ascii="Cambria Math" w:hAnsi="Cambria Math" w:cstheme="majorBidi"/>
                <w:color w:val="000000"/>
              </w:rPr>
              <m:t>χ</m:t>
            </m:r>
          </m:e>
          <m:sup>
            <m:r>
              <w:rPr>
                <w:rFonts w:ascii="Cambria Math" w:hAnsi="Cambria Math" w:cstheme="majorBidi"/>
                <w:color w:val="000000"/>
                <w:lang w:val="en-US"/>
              </w:rPr>
              <m:t>2</m:t>
            </m:r>
          </m:sup>
        </m:sSup>
        <m:r>
          <w:rPr>
            <w:rFonts w:ascii="Cambria Math" w:hAnsi="Cambria Math" w:cstheme="majorBidi"/>
            <w:color w:val="000000"/>
            <w:lang w:val="en-US"/>
          </w:rPr>
          <m:t>(3)</m:t>
        </m:r>
      </m:oMath>
      <w:r w:rsidR="00F528B9" w:rsidRPr="00D14407">
        <w:rPr>
          <w:rFonts w:asciiTheme="majorBidi" w:hAnsiTheme="majorBidi" w:cstheme="majorBidi"/>
          <w:color w:val="000000"/>
          <w:lang w:val="en-US"/>
        </w:rPr>
        <w:t xml:space="preserve"> joint test statistics have </w:t>
      </w:r>
      <w:r w:rsidR="00F528B9" w:rsidRPr="00D14407">
        <w:rPr>
          <w:rFonts w:asciiTheme="majorBidi" w:hAnsiTheme="majorBidi" w:cstheme="majorBidi"/>
          <w:i/>
          <w:iCs/>
          <w:color w:val="000000"/>
          <w:lang w:val="en-US"/>
        </w:rPr>
        <w:t>p</w:t>
      </w:r>
      <w:r w:rsidR="00F528B9" w:rsidRPr="00D14407">
        <w:rPr>
          <w:rFonts w:asciiTheme="majorBidi" w:hAnsiTheme="majorBidi" w:cstheme="majorBidi"/>
          <w:color w:val="000000"/>
          <w:lang w:val="en-US"/>
        </w:rPr>
        <w:t>-values of 0.000</w:t>
      </w:r>
      <w:r w:rsidR="00412EF4">
        <w:rPr>
          <w:rFonts w:asciiTheme="majorBidi" w:hAnsiTheme="majorBidi" w:cstheme="majorBidi"/>
          <w:color w:val="000000"/>
          <w:lang w:val="en-US"/>
        </w:rPr>
        <w:t>0 and 0.0</w:t>
      </w:r>
      <w:r w:rsidR="00E65505">
        <w:rPr>
          <w:rFonts w:asciiTheme="majorBidi" w:hAnsiTheme="majorBidi" w:cstheme="majorBidi"/>
          <w:color w:val="000000"/>
          <w:lang w:val="en-US"/>
        </w:rPr>
        <w:t>919</w:t>
      </w:r>
      <w:r w:rsidR="00F528B9" w:rsidRPr="00D14407">
        <w:rPr>
          <w:rFonts w:asciiTheme="majorBidi" w:hAnsiTheme="majorBidi" w:cstheme="majorBidi"/>
          <w:color w:val="000000"/>
          <w:lang w:val="en-US"/>
        </w:rPr>
        <w:t>, respectively, demonstrating a very rejection of the null of no asymmetries. The results overall would thus suggest motivation for estimating an asymmetric volatility model for these particular series.</w:t>
      </w:r>
    </w:p>
    <w:p w:rsidR="00107FC4" w:rsidRDefault="00107FC4" w:rsidP="00107FC4">
      <w:pPr>
        <w:spacing w:after="0" w:line="240" w:lineRule="auto"/>
        <w:jc w:val="both"/>
        <w:rPr>
          <w:rFonts w:asciiTheme="majorBidi" w:hAnsiTheme="majorBidi" w:cstheme="majorBidi"/>
          <w:lang w:val="en-US"/>
        </w:rPr>
      </w:pPr>
    </w:p>
    <w:p w:rsidR="00107FC4" w:rsidRPr="0062679E" w:rsidRDefault="00107FC4" w:rsidP="0062679E">
      <w:pPr>
        <w:pStyle w:val="Paragraphedeliste"/>
        <w:numPr>
          <w:ilvl w:val="1"/>
          <w:numId w:val="1"/>
        </w:numPr>
        <w:spacing w:after="0" w:line="240" w:lineRule="auto"/>
        <w:jc w:val="both"/>
        <w:rPr>
          <w:rFonts w:asciiTheme="majorBidi" w:hAnsiTheme="majorBidi" w:cstheme="majorBidi"/>
          <w:b/>
          <w:sz w:val="23"/>
          <w:szCs w:val="23"/>
          <w:lang w:val="en-US"/>
        </w:rPr>
      </w:pPr>
      <w:r w:rsidRPr="0062679E">
        <w:rPr>
          <w:rFonts w:asciiTheme="majorBidi" w:hAnsiTheme="majorBidi" w:cstheme="majorBidi"/>
          <w:b/>
          <w:sz w:val="23"/>
          <w:szCs w:val="23"/>
          <w:lang w:val="en-US"/>
        </w:rPr>
        <w:t>The univariate FIAPARCH estimates</w:t>
      </w:r>
    </w:p>
    <w:p w:rsidR="00107FC4" w:rsidRPr="00DD2858" w:rsidRDefault="00107FC4" w:rsidP="00107FC4">
      <w:pPr>
        <w:spacing w:after="0" w:line="240" w:lineRule="auto"/>
        <w:jc w:val="both"/>
        <w:rPr>
          <w:rFonts w:asciiTheme="majorBidi" w:hAnsiTheme="majorBidi" w:cstheme="majorBidi"/>
          <w:bCs/>
          <w:color w:val="FF0000"/>
          <w:lang w:val="en-US"/>
        </w:rPr>
      </w:pPr>
    </w:p>
    <w:p w:rsidR="00107FC4" w:rsidRPr="00131914" w:rsidRDefault="00107FC4" w:rsidP="00107FC4">
      <w:pPr>
        <w:spacing w:after="0" w:line="240" w:lineRule="auto"/>
        <w:ind w:firstLine="340"/>
        <w:jc w:val="both"/>
        <w:rPr>
          <w:rFonts w:asciiTheme="majorBidi" w:hAnsiTheme="majorBidi" w:cstheme="majorBidi"/>
          <w:bCs/>
          <w:lang w:val="en-US"/>
        </w:rPr>
      </w:pPr>
      <w:r w:rsidRPr="00131914">
        <w:rPr>
          <w:rFonts w:asciiTheme="majorBidi" w:hAnsiTheme="majorBidi" w:cstheme="majorBidi"/>
          <w:bCs/>
          <w:lang w:val="en-US"/>
        </w:rPr>
        <w:t>In order to take into account the serial correlation and the GARCH effects observed in our time series data, and to detect the potential long range dependence in volatility, we estimate the student</w:t>
      </w:r>
      <w:r w:rsidRPr="00131914">
        <w:rPr>
          <w:rStyle w:val="Appelnotedebasdep"/>
          <w:rFonts w:asciiTheme="majorBidi" w:hAnsiTheme="majorBidi" w:cstheme="majorBidi"/>
          <w:bCs/>
          <w:lang w:val="en-US"/>
        </w:rPr>
        <w:footnoteReference w:id="4"/>
      </w:r>
      <w:r w:rsidRPr="00131914">
        <w:rPr>
          <w:rFonts w:asciiTheme="majorBidi" w:hAnsiTheme="majorBidi" w:cstheme="majorBidi"/>
          <w:bCs/>
          <w:lang w:val="en-US"/>
        </w:rPr>
        <w:t>-t-AR(0)-FIAPARCH(1,d,1)</w:t>
      </w:r>
      <w:r w:rsidRPr="00131914">
        <w:rPr>
          <w:rStyle w:val="Appelnotedebasdep"/>
          <w:rFonts w:asciiTheme="majorBidi" w:hAnsiTheme="majorBidi" w:cstheme="majorBidi"/>
          <w:bCs/>
          <w:lang w:val="en-US"/>
        </w:rPr>
        <w:footnoteReference w:id="5"/>
      </w:r>
      <w:r w:rsidR="00341063">
        <w:rPr>
          <w:rFonts w:asciiTheme="majorBidi" w:hAnsiTheme="majorBidi" w:cstheme="majorBidi"/>
          <w:bCs/>
          <w:lang w:val="en-US"/>
        </w:rPr>
        <w:t xml:space="preserve"> model defined by Eq</w:t>
      </w:r>
      <w:r w:rsidRPr="00131914">
        <w:rPr>
          <w:rFonts w:asciiTheme="majorBidi" w:hAnsiTheme="majorBidi" w:cstheme="majorBidi"/>
          <w:bCs/>
          <w:lang w:val="en-US"/>
        </w:rPr>
        <w:t xml:space="preserve">. (1) and </w:t>
      </w:r>
      <w:r w:rsidR="00341063">
        <w:rPr>
          <w:rFonts w:asciiTheme="majorBidi" w:hAnsiTheme="majorBidi" w:cstheme="majorBidi"/>
          <w:bCs/>
          <w:lang w:val="en-US"/>
        </w:rPr>
        <w:t xml:space="preserve">Eq. </w:t>
      </w:r>
      <w:r w:rsidRPr="00131914">
        <w:rPr>
          <w:rFonts w:asciiTheme="majorBidi" w:hAnsiTheme="majorBidi" w:cstheme="majorBidi"/>
          <w:bCs/>
          <w:lang w:val="en-US"/>
        </w:rPr>
        <w:t xml:space="preserve">(5). </w:t>
      </w:r>
      <w:r w:rsidR="00AB5D10">
        <w:rPr>
          <w:rFonts w:asciiTheme="majorBidi" w:hAnsiTheme="majorBidi" w:cstheme="majorBidi"/>
          <w:bCs/>
          <w:lang w:val="en-US"/>
        </w:rPr>
        <w:t>Table 3</w:t>
      </w:r>
      <w:r w:rsidRPr="00131914">
        <w:rPr>
          <w:rFonts w:asciiTheme="majorBidi" w:hAnsiTheme="majorBidi" w:cstheme="majorBidi"/>
          <w:bCs/>
          <w:lang w:val="en-US"/>
        </w:rPr>
        <w:t xml:space="preserve"> reports the estimation results of the univariate FIAPARCH(1,d,1) model for each</w:t>
      </w:r>
      <w:r w:rsidR="00131914">
        <w:rPr>
          <w:rFonts w:asciiTheme="majorBidi" w:hAnsiTheme="majorBidi" w:cstheme="majorBidi"/>
          <w:bCs/>
          <w:lang w:val="en-US"/>
        </w:rPr>
        <w:t xml:space="preserve"> stock prices</w:t>
      </w:r>
      <w:r w:rsidRPr="00131914">
        <w:rPr>
          <w:rFonts w:asciiTheme="majorBidi" w:hAnsiTheme="majorBidi" w:cstheme="majorBidi"/>
          <w:bCs/>
          <w:lang w:val="en-US"/>
        </w:rPr>
        <w:t xml:space="preserve"> exchange rate return</w:t>
      </w:r>
      <w:r w:rsidR="00131914">
        <w:rPr>
          <w:rFonts w:asciiTheme="majorBidi" w:hAnsiTheme="majorBidi" w:cstheme="majorBidi"/>
          <w:bCs/>
          <w:lang w:val="en-US"/>
        </w:rPr>
        <w:t>s</w:t>
      </w:r>
      <w:r w:rsidRPr="00131914">
        <w:rPr>
          <w:rFonts w:asciiTheme="majorBidi" w:hAnsiTheme="majorBidi" w:cstheme="majorBidi"/>
          <w:bCs/>
          <w:lang w:val="en-US"/>
        </w:rPr>
        <w:t xml:space="preserve"> series of our sample.</w:t>
      </w:r>
    </w:p>
    <w:p w:rsidR="00107FC4" w:rsidRPr="00055379" w:rsidRDefault="00107FC4" w:rsidP="008677C5">
      <w:pPr>
        <w:spacing w:after="0" w:line="240" w:lineRule="auto"/>
        <w:ind w:firstLine="340"/>
        <w:jc w:val="both"/>
        <w:rPr>
          <w:rFonts w:asciiTheme="majorBidi" w:hAnsiTheme="majorBidi" w:cstheme="majorBidi"/>
          <w:bCs/>
          <w:color w:val="FF0000"/>
          <w:lang w:val="en-US"/>
        </w:rPr>
      </w:pPr>
      <w:r w:rsidRPr="00131914">
        <w:rPr>
          <w:rFonts w:asciiTheme="majorBidi" w:hAnsiTheme="majorBidi" w:cstheme="majorBidi"/>
          <w:bCs/>
          <w:lang w:val="en-US"/>
        </w:rPr>
        <w:t xml:space="preserve">The estimates of the constants in the mean are statistically significant for all </w:t>
      </w:r>
      <w:r w:rsidR="00131914" w:rsidRPr="00131914">
        <w:rPr>
          <w:rFonts w:asciiTheme="majorBidi" w:hAnsiTheme="majorBidi" w:cstheme="majorBidi"/>
          <w:bCs/>
          <w:lang w:val="en-US"/>
        </w:rPr>
        <w:t>the series except for NIKKEI225 stock price</w:t>
      </w:r>
      <w:r w:rsidRPr="00131914">
        <w:rPr>
          <w:rFonts w:asciiTheme="majorBidi" w:hAnsiTheme="majorBidi" w:cstheme="majorBidi"/>
          <w:bCs/>
          <w:lang w:val="en-US"/>
        </w:rPr>
        <w:t>.Besides, the constants in the varianc</w:t>
      </w:r>
      <w:r w:rsidR="00131914" w:rsidRPr="00131914">
        <w:rPr>
          <w:rFonts w:asciiTheme="majorBidi" w:hAnsiTheme="majorBidi" w:cstheme="majorBidi"/>
          <w:bCs/>
          <w:lang w:val="en-US"/>
        </w:rPr>
        <w:t>e are significant except for USDEUR and MSCI</w:t>
      </w:r>
      <w:r w:rsidRPr="00131914">
        <w:rPr>
          <w:rFonts w:asciiTheme="majorBidi" w:hAnsiTheme="majorBidi" w:cstheme="majorBidi"/>
          <w:bCs/>
          <w:lang w:val="en-US"/>
        </w:rPr>
        <w:t>.</w:t>
      </w:r>
      <w:r w:rsidRPr="00E82A43">
        <w:rPr>
          <w:rFonts w:asciiTheme="majorBidi" w:hAnsiTheme="majorBidi" w:cstheme="majorBidi"/>
          <w:bCs/>
          <w:lang w:val="en-US"/>
        </w:rPr>
        <w:t xml:space="preserve"> In addition, for all currencies, the estimates of the leverage term </w:t>
      </w:r>
      <m:oMath>
        <m:r>
          <m:rPr>
            <m:sty m:val="p"/>
          </m:rPr>
          <w:rPr>
            <w:rFonts w:ascii="Cambria Math" w:hAnsi="Cambria Math" w:cstheme="majorBidi"/>
            <w:lang w:val="en-US"/>
          </w:rPr>
          <m:t>(γ)</m:t>
        </m:r>
      </m:oMath>
      <w:r w:rsidRPr="00E82A43">
        <w:rPr>
          <w:rFonts w:asciiTheme="majorBidi" w:hAnsiTheme="majorBidi" w:cstheme="majorBidi"/>
          <w:bCs/>
          <w:lang w:val="en-US"/>
        </w:rPr>
        <w:t xml:space="preserve"> are statistically significant,</w:t>
      </w:r>
      <w:r w:rsidR="00443709" w:rsidRPr="00E82A43">
        <w:rPr>
          <w:rFonts w:asciiTheme="majorBidi" w:hAnsiTheme="majorBidi" w:cstheme="majorBidi"/>
          <w:bCs/>
          <w:lang w:val="en-US"/>
        </w:rPr>
        <w:t>except for the USDEUR</w:t>
      </w:r>
      <w:r w:rsidRPr="00E82A43">
        <w:rPr>
          <w:rFonts w:asciiTheme="majorBidi" w:hAnsiTheme="majorBidi" w:cstheme="majorBidi"/>
          <w:bCs/>
          <w:lang w:val="en-US"/>
        </w:rPr>
        <w:t xml:space="preserve"> indicating an asymmetric response of volatilities to positive and negative shocks. This finding confirms the assumption that there is negative correlation between returns and volatility.</w:t>
      </w:r>
    </w:p>
    <w:p w:rsidR="0083525D" w:rsidRPr="005F176F" w:rsidRDefault="00107FC4" w:rsidP="005F176F">
      <w:pPr>
        <w:spacing w:after="0" w:line="240" w:lineRule="auto"/>
        <w:ind w:firstLine="340"/>
        <w:jc w:val="both"/>
        <w:rPr>
          <w:rFonts w:asciiTheme="majorBidi" w:hAnsiTheme="majorBidi" w:cstheme="majorBidi"/>
          <w:bCs/>
          <w:lang w:val="en-US"/>
        </w:rPr>
      </w:pPr>
      <w:r w:rsidRPr="008677C5">
        <w:rPr>
          <w:rFonts w:asciiTheme="majorBidi" w:hAnsiTheme="majorBidi" w:cstheme="majorBidi"/>
          <w:bCs/>
          <w:lang w:val="en-US"/>
        </w:rPr>
        <w:t xml:space="preserve">Moreover, the estimates of the power term </w:t>
      </w:r>
      <m:oMath>
        <m:r>
          <m:rPr>
            <m:sty m:val="p"/>
          </m:rPr>
          <w:rPr>
            <w:rFonts w:ascii="Cambria Math" w:hAnsi="Cambria Math" w:cstheme="majorBidi"/>
            <w:lang w:val="en-US"/>
          </w:rPr>
          <m:t>(δ)</m:t>
        </m:r>
      </m:oMath>
      <w:r w:rsidRPr="008677C5">
        <w:rPr>
          <w:rFonts w:asciiTheme="majorBidi" w:hAnsiTheme="majorBidi" w:cstheme="majorBidi"/>
          <w:bCs/>
          <w:lang w:val="en-US"/>
        </w:rPr>
        <w:t xml:space="preserve"> a</w:t>
      </w:r>
      <w:r w:rsidR="008677C5">
        <w:rPr>
          <w:rFonts w:asciiTheme="majorBidi" w:hAnsiTheme="majorBidi" w:cstheme="majorBidi"/>
          <w:bCs/>
          <w:lang w:val="en-US"/>
        </w:rPr>
        <w:t>re highly significant for all currencies</w:t>
      </w:r>
      <w:r w:rsidR="008677C5" w:rsidRPr="008677C5">
        <w:rPr>
          <w:rFonts w:asciiTheme="majorBidi" w:hAnsiTheme="majorBidi" w:cstheme="majorBidi"/>
          <w:bCs/>
          <w:lang w:val="en-US"/>
        </w:rPr>
        <w:t xml:space="preserve"> and ranging from 1.4198 to 1.9252</w:t>
      </w:r>
      <w:r w:rsidRPr="008677C5">
        <w:rPr>
          <w:rFonts w:asciiTheme="majorBidi" w:hAnsiTheme="majorBidi" w:cstheme="majorBidi"/>
          <w:bCs/>
          <w:lang w:val="en-US"/>
        </w:rPr>
        <w:t xml:space="preserve">.Conrad et al. (2011) show that when the series are very likely to follow a non-normal error distribution, the superiority of a squared term </w:t>
      </w:r>
      <m:oMath>
        <m:r>
          <m:rPr>
            <m:sty m:val="p"/>
          </m:rPr>
          <w:rPr>
            <w:rFonts w:ascii="Cambria Math" w:hAnsi="Cambria Math" w:cstheme="majorBidi"/>
            <w:lang w:val="en-US"/>
          </w:rPr>
          <m:t>(δ=2)</m:t>
        </m:r>
      </m:oMath>
      <w:r w:rsidRPr="008677C5">
        <w:rPr>
          <w:rFonts w:asciiTheme="majorBidi" w:hAnsiTheme="majorBidi" w:cstheme="majorBidi"/>
          <w:bCs/>
          <w:lang w:val="en-US"/>
        </w:rPr>
        <w:t xml:space="preserve"> is lost and other power transformations may be more appropriate.Thus, these estimates support the selection of FIAPARCH model for modeling conditional variance of exchange rate returns</w:t>
      </w:r>
      <w:r w:rsidR="008677C5" w:rsidRPr="008677C5">
        <w:rPr>
          <w:rFonts w:asciiTheme="majorBidi" w:hAnsiTheme="majorBidi" w:cstheme="majorBidi"/>
          <w:bCs/>
          <w:lang w:val="en-US"/>
        </w:rPr>
        <w:t xml:space="preserve"> and stock market returns</w:t>
      </w:r>
      <w:r w:rsidRPr="008677C5">
        <w:rPr>
          <w:rFonts w:asciiTheme="majorBidi" w:hAnsiTheme="majorBidi" w:cstheme="majorBidi"/>
          <w:bCs/>
          <w:lang w:val="en-US"/>
        </w:rPr>
        <w:t>.</w:t>
      </w:r>
      <w:r w:rsidRPr="00050E64">
        <w:rPr>
          <w:rFonts w:asciiTheme="majorBidi" w:hAnsiTheme="majorBidi" w:cstheme="majorBidi"/>
          <w:bCs/>
          <w:lang w:val="en-US"/>
        </w:rPr>
        <w:t xml:space="preserve">Besides, all currencies display highly significant differencing fractional parameters </w:t>
      </w:r>
      <m:oMath>
        <m:r>
          <w:rPr>
            <w:rFonts w:ascii="Cambria Math" w:hAnsi="Cambria Math" w:cstheme="majorBidi"/>
            <w:lang w:val="en-US"/>
          </w:rPr>
          <m:t>(d)</m:t>
        </m:r>
      </m:oMath>
      <w:r w:rsidRPr="00050E64">
        <w:rPr>
          <w:rFonts w:asciiTheme="majorBidi" w:hAnsiTheme="majorBidi" w:cstheme="majorBidi"/>
          <w:bCs/>
          <w:lang w:val="en-US"/>
        </w:rPr>
        <w:t>, indicating a high degree of persistence behavior. This implies that the impact of shocks on the conditional volatility of exchange rates’ returns</w:t>
      </w:r>
      <w:r w:rsidR="00050E64" w:rsidRPr="00050E64">
        <w:rPr>
          <w:rFonts w:asciiTheme="majorBidi" w:hAnsiTheme="majorBidi" w:cstheme="majorBidi"/>
          <w:bCs/>
          <w:lang w:val="en-US"/>
        </w:rPr>
        <w:t xml:space="preserve"> and stock market</w:t>
      </w:r>
      <w:r w:rsidRPr="00050E64">
        <w:rPr>
          <w:rFonts w:asciiTheme="majorBidi" w:hAnsiTheme="majorBidi" w:cstheme="majorBidi"/>
          <w:bCs/>
          <w:lang w:val="en-US"/>
        </w:rPr>
        <w:t xml:space="preserve"> consistently exhibits a hyperbolic rate of decay</w:t>
      </w:r>
      <w:r w:rsidR="00050E64">
        <w:rPr>
          <w:rFonts w:asciiTheme="majorBidi" w:hAnsiTheme="majorBidi" w:cstheme="majorBidi"/>
          <w:bCs/>
          <w:lang w:val="en-US"/>
        </w:rPr>
        <w:t>.</w:t>
      </w:r>
      <w:r w:rsidRPr="00050E64">
        <w:rPr>
          <w:rFonts w:asciiTheme="majorBidi" w:hAnsiTheme="majorBidi" w:cstheme="majorBidi"/>
          <w:bCs/>
          <w:lang w:val="en-US"/>
        </w:rPr>
        <w:t xml:space="preserve">In all cases, </w:t>
      </w:r>
      <w:r w:rsidRPr="00050E64">
        <w:rPr>
          <w:rFonts w:asciiTheme="majorBidi" w:hAnsiTheme="majorBidi" w:cstheme="majorBidi"/>
          <w:bCs/>
          <w:lang w:val="en-US"/>
        </w:rPr>
        <w:lastRenderedPageBreak/>
        <w:t xml:space="preserve">the estimated degrees of freedom parameter </w:t>
      </w:r>
      <m:oMath>
        <m:r>
          <m:rPr>
            <m:sty m:val="p"/>
          </m:rPr>
          <w:rPr>
            <w:rFonts w:ascii="Cambria Math" w:hAnsi="Cambria Math" w:cstheme="majorBidi"/>
            <w:lang w:val="en-US"/>
          </w:rPr>
          <m:t>(v)</m:t>
        </m:r>
      </m:oMath>
      <w:r w:rsidRPr="00050E64">
        <w:rPr>
          <w:rFonts w:asciiTheme="majorBidi" w:hAnsiTheme="majorBidi" w:cstheme="majorBidi"/>
          <w:bCs/>
          <w:lang w:val="en-US"/>
        </w:rPr>
        <w:t xml:space="preserve"> is highly significant and leads to an estimate of the Kurtosis which is equal to </w:t>
      </w:r>
      <m:oMath>
        <m:r>
          <m:rPr>
            <m:sty m:val="p"/>
          </m:rPr>
          <w:rPr>
            <w:rFonts w:ascii="Cambria Math" w:hAnsi="Cambria Math" w:cstheme="majorBidi"/>
            <w:lang w:val="en-US"/>
          </w:rPr>
          <m:t>3(v-2)/(v-4)</m:t>
        </m:r>
      </m:oMath>
      <w:r w:rsidRPr="00050E64">
        <w:rPr>
          <w:rFonts w:asciiTheme="majorBidi" w:hAnsiTheme="majorBidi" w:cstheme="majorBidi"/>
          <w:bCs/>
          <w:lang w:val="en-US"/>
        </w:rPr>
        <w:t xml:space="preserve"> and is also different from three.</w:t>
      </w:r>
    </w:p>
    <w:p w:rsidR="0083525D" w:rsidRPr="00055379" w:rsidRDefault="0083525D" w:rsidP="00E8581D">
      <w:pPr>
        <w:spacing w:after="0" w:line="240" w:lineRule="auto"/>
        <w:jc w:val="both"/>
        <w:rPr>
          <w:rFonts w:asciiTheme="majorBidi" w:hAnsiTheme="majorBidi" w:cstheme="majorBidi"/>
          <w:bCs/>
          <w:color w:val="FF0000"/>
          <w:lang w:val="en-US"/>
        </w:rPr>
      </w:pPr>
    </w:p>
    <w:p w:rsidR="0083525D" w:rsidRPr="002D43A7" w:rsidRDefault="0083525D" w:rsidP="00AB5D10">
      <w:pPr>
        <w:pStyle w:val="Lgende"/>
        <w:keepNext/>
        <w:spacing w:after="0"/>
        <w:ind w:left="284" w:right="-340"/>
        <w:jc w:val="both"/>
        <w:rPr>
          <w:rFonts w:asciiTheme="majorBidi" w:hAnsiTheme="majorBidi" w:cstheme="majorBidi"/>
          <w:color w:val="auto"/>
          <w:sz w:val="22"/>
          <w:szCs w:val="22"/>
          <w:lang w:val="en-US"/>
        </w:rPr>
      </w:pPr>
      <w:r w:rsidRPr="002D43A7">
        <w:rPr>
          <w:rFonts w:asciiTheme="majorBidi" w:hAnsiTheme="majorBidi" w:cstheme="majorBidi"/>
          <w:color w:val="auto"/>
          <w:sz w:val="22"/>
          <w:szCs w:val="22"/>
          <w:lang w:val="en-US"/>
        </w:rPr>
        <w:t xml:space="preserve">Table </w:t>
      </w:r>
      <w:r w:rsidR="00AB5D10">
        <w:rPr>
          <w:rFonts w:asciiTheme="majorBidi" w:hAnsiTheme="majorBidi" w:cstheme="majorBidi"/>
          <w:color w:val="auto"/>
          <w:sz w:val="22"/>
          <w:szCs w:val="22"/>
          <w:lang w:val="en-US"/>
        </w:rPr>
        <w:t>3</w:t>
      </w:r>
    </w:p>
    <w:p w:rsidR="002D2222" w:rsidRPr="0083525D" w:rsidRDefault="0083525D" w:rsidP="00D65CF0">
      <w:pPr>
        <w:spacing w:after="0" w:line="240" w:lineRule="auto"/>
        <w:ind w:left="284" w:right="-340"/>
        <w:jc w:val="both"/>
        <w:rPr>
          <w:rFonts w:asciiTheme="majorBidi" w:hAnsiTheme="majorBidi" w:cstheme="majorBidi"/>
          <w:lang w:val="en-US"/>
        </w:rPr>
      </w:pPr>
      <w:r w:rsidRPr="002D43A7">
        <w:rPr>
          <w:rFonts w:asciiTheme="majorBidi" w:hAnsiTheme="majorBidi" w:cstheme="majorBidi"/>
          <w:lang w:val="en-US"/>
        </w:rPr>
        <w:t>Univariate FIAPARCH(1,d,1) models (MLE).</w:t>
      </w:r>
    </w:p>
    <w:tbl>
      <w:tblPr>
        <w:tblW w:w="8106" w:type="dxa"/>
        <w:jc w:val="center"/>
        <w:tblInd w:w="56" w:type="dxa"/>
        <w:tblCellMar>
          <w:left w:w="70" w:type="dxa"/>
          <w:right w:w="70" w:type="dxa"/>
        </w:tblCellMar>
        <w:tblLook w:val="04A0"/>
      </w:tblPr>
      <w:tblGrid>
        <w:gridCol w:w="867"/>
        <w:gridCol w:w="873"/>
        <w:gridCol w:w="728"/>
        <w:gridCol w:w="198"/>
        <w:gridCol w:w="936"/>
        <w:gridCol w:w="728"/>
        <w:gridCol w:w="198"/>
        <w:gridCol w:w="900"/>
        <w:gridCol w:w="769"/>
        <w:gridCol w:w="198"/>
        <w:gridCol w:w="900"/>
        <w:gridCol w:w="811"/>
      </w:tblGrid>
      <w:tr w:rsidR="00107FC4" w:rsidRPr="00107FC4" w:rsidTr="00341063">
        <w:trPr>
          <w:trHeight w:val="180"/>
          <w:jc w:val="center"/>
        </w:trPr>
        <w:tc>
          <w:tcPr>
            <w:tcW w:w="867" w:type="dxa"/>
            <w:tcBorders>
              <w:top w:val="single" w:sz="4" w:space="0" w:color="auto"/>
              <w:left w:val="nil"/>
              <w:bottom w:val="nil"/>
              <w:right w:val="nil"/>
            </w:tcBorders>
            <w:shd w:val="clear" w:color="auto" w:fill="auto"/>
            <w:noWrap/>
            <w:vAlign w:val="bottom"/>
            <w:hideMark/>
          </w:tcPr>
          <w:p w:rsidR="00107FC4" w:rsidRPr="0083525D" w:rsidRDefault="00107FC4" w:rsidP="005903FA">
            <w:pPr>
              <w:spacing w:after="0" w:line="240" w:lineRule="auto"/>
              <w:rPr>
                <w:rFonts w:ascii="Calibri" w:eastAsia="Times New Roman" w:hAnsi="Calibri" w:cs="Times New Roman"/>
                <w:color w:val="000000"/>
                <w:lang w:val="en-US" w:eastAsia="fr-FR"/>
              </w:rPr>
            </w:pPr>
          </w:p>
        </w:tc>
        <w:tc>
          <w:tcPr>
            <w:tcW w:w="873"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USDEUR</w:t>
            </w:r>
          </w:p>
        </w:tc>
        <w:tc>
          <w:tcPr>
            <w:tcW w:w="728"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c>
          <w:tcPr>
            <w:tcW w:w="198" w:type="dxa"/>
            <w:tcBorders>
              <w:top w:val="single" w:sz="4" w:space="0" w:color="auto"/>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1664" w:type="dxa"/>
            <w:gridSpan w:val="2"/>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NIKKEI225</w:t>
            </w:r>
          </w:p>
        </w:tc>
        <w:tc>
          <w:tcPr>
            <w:tcW w:w="198" w:type="dxa"/>
            <w:tcBorders>
              <w:top w:val="single" w:sz="4" w:space="0" w:color="auto"/>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900"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SSE</w:t>
            </w:r>
          </w:p>
        </w:tc>
        <w:tc>
          <w:tcPr>
            <w:tcW w:w="769"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c>
          <w:tcPr>
            <w:tcW w:w="198" w:type="dxa"/>
            <w:tcBorders>
              <w:top w:val="single" w:sz="4" w:space="0" w:color="auto"/>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900"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MSCI</w:t>
            </w:r>
          </w:p>
        </w:tc>
        <w:tc>
          <w:tcPr>
            <w:tcW w:w="811" w:type="dxa"/>
            <w:tcBorders>
              <w:top w:val="single" w:sz="4" w:space="0" w:color="auto"/>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r>
      <w:tr w:rsidR="00107FC4" w:rsidRPr="00107FC4" w:rsidTr="00341063">
        <w:trPr>
          <w:trHeight w:val="196"/>
          <w:jc w:val="center"/>
        </w:trPr>
        <w:tc>
          <w:tcPr>
            <w:tcW w:w="867" w:type="dxa"/>
            <w:tcBorders>
              <w:top w:val="nil"/>
              <w:left w:val="nil"/>
              <w:bottom w:val="single" w:sz="8" w:space="0" w:color="auto"/>
              <w:right w:val="nil"/>
            </w:tcBorders>
            <w:shd w:val="clear" w:color="auto" w:fill="auto"/>
            <w:noWrap/>
            <w:vAlign w:val="bottom"/>
            <w:hideMark/>
          </w:tcPr>
          <w:p w:rsidR="00107FC4" w:rsidRPr="00107FC4" w:rsidRDefault="00107FC4" w:rsidP="00107FC4">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 </w:t>
            </w:r>
          </w:p>
        </w:tc>
        <w:tc>
          <w:tcPr>
            <w:tcW w:w="873"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Coeff</w:t>
            </w:r>
          </w:p>
        </w:tc>
        <w:tc>
          <w:tcPr>
            <w:tcW w:w="728"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t-prob</w:t>
            </w:r>
          </w:p>
        </w:tc>
        <w:tc>
          <w:tcPr>
            <w:tcW w:w="198"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c>
          <w:tcPr>
            <w:tcW w:w="936"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Coeff</w:t>
            </w:r>
          </w:p>
        </w:tc>
        <w:tc>
          <w:tcPr>
            <w:tcW w:w="728"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t-prob</w:t>
            </w:r>
          </w:p>
        </w:tc>
        <w:tc>
          <w:tcPr>
            <w:tcW w:w="198"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Coeff</w:t>
            </w:r>
          </w:p>
        </w:tc>
        <w:tc>
          <w:tcPr>
            <w:tcW w:w="769"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t-prob</w:t>
            </w:r>
          </w:p>
        </w:tc>
        <w:tc>
          <w:tcPr>
            <w:tcW w:w="198" w:type="dxa"/>
            <w:tcBorders>
              <w:top w:val="nil"/>
              <w:left w:val="nil"/>
              <w:bottom w:val="single" w:sz="8" w:space="0" w:color="auto"/>
              <w:right w:val="nil"/>
            </w:tcBorders>
            <w:shd w:val="clear" w:color="auto" w:fill="auto"/>
            <w:noWrap/>
            <w:vAlign w:val="bottom"/>
            <w:hideMark/>
          </w:tcPr>
          <w:p w:rsidR="00107FC4" w:rsidRPr="00107FC4" w:rsidRDefault="00107FC4"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single" w:sz="8" w:space="0" w:color="auto"/>
              <w:right w:val="nil"/>
            </w:tcBorders>
            <w:shd w:val="clear" w:color="auto" w:fill="auto"/>
            <w:noWrap/>
            <w:vAlign w:val="bottom"/>
            <w:hideMark/>
          </w:tcPr>
          <w:p w:rsidR="00107FC4" w:rsidRPr="00107FC4" w:rsidRDefault="00341063"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Coeff</w:t>
            </w:r>
          </w:p>
        </w:tc>
        <w:tc>
          <w:tcPr>
            <w:tcW w:w="811" w:type="dxa"/>
            <w:tcBorders>
              <w:top w:val="nil"/>
              <w:left w:val="nil"/>
              <w:bottom w:val="single" w:sz="8" w:space="0" w:color="auto"/>
              <w:right w:val="nil"/>
            </w:tcBorders>
            <w:shd w:val="clear" w:color="auto" w:fill="auto"/>
            <w:noWrap/>
            <w:vAlign w:val="bottom"/>
            <w:hideMark/>
          </w:tcPr>
          <w:p w:rsidR="00107FC4" w:rsidRPr="00107FC4" w:rsidRDefault="00341063"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t-prob</w:t>
            </w:r>
          </w:p>
        </w:tc>
      </w:tr>
      <w:tr w:rsidR="00107FC4" w:rsidRPr="00107FC4" w:rsidTr="00341063">
        <w:trPr>
          <w:trHeight w:val="129"/>
          <w:jc w:val="center"/>
        </w:trPr>
        <w:tc>
          <w:tcPr>
            <w:tcW w:w="867" w:type="dxa"/>
            <w:tcBorders>
              <w:top w:val="nil"/>
              <w:left w:val="nil"/>
              <w:bottom w:val="single" w:sz="8" w:space="0" w:color="auto"/>
              <w:right w:val="nil"/>
            </w:tcBorders>
            <w:shd w:val="clear" w:color="auto" w:fill="auto"/>
            <w:noWrap/>
            <w:vAlign w:val="bottom"/>
            <w:hideMark/>
          </w:tcPr>
          <w:p w:rsidR="00107FC4" w:rsidRPr="00107FC4" w:rsidRDefault="00107FC4" w:rsidP="00107FC4">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Estimate</w:t>
            </w:r>
          </w:p>
        </w:tc>
        <w:tc>
          <w:tcPr>
            <w:tcW w:w="873"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728"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728"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769"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c>
          <w:tcPr>
            <w:tcW w:w="811" w:type="dxa"/>
            <w:tcBorders>
              <w:top w:val="nil"/>
              <w:left w:val="nil"/>
              <w:bottom w:val="nil"/>
              <w:right w:val="nil"/>
            </w:tcBorders>
            <w:shd w:val="clear" w:color="auto" w:fill="auto"/>
            <w:noWrap/>
            <w:vAlign w:val="bottom"/>
            <w:hideMark/>
          </w:tcPr>
          <w:p w:rsidR="00107FC4" w:rsidRPr="00107FC4" w:rsidRDefault="00107FC4" w:rsidP="00341063">
            <w:pPr>
              <w:spacing w:after="0" w:line="240" w:lineRule="auto"/>
              <w:rPr>
                <w:rFonts w:ascii="Calibri" w:eastAsia="Times New Roman" w:hAnsi="Calibri" w:cs="Times New Roman"/>
                <w:color w:val="000000"/>
                <w:lang w:eastAsia="fr-FR"/>
              </w:rPr>
            </w:pPr>
          </w:p>
        </w:tc>
      </w:tr>
      <w:tr w:rsidR="0083525D" w:rsidRPr="00107FC4" w:rsidTr="00341063">
        <w:trPr>
          <w:trHeight w:val="69"/>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c</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-0.0182</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0.048</w:t>
            </w:r>
            <w:r>
              <w:rPr>
                <w:rFonts w:ascii="Times New Roman" w:eastAsia="Times New Roman" w:hAnsi="Times New Roman" w:cs="Times New Roman"/>
                <w:color w:val="000000"/>
                <w:sz w:val="16"/>
                <w:szCs w:val="16"/>
                <w:lang w:eastAsia="fr-FR"/>
              </w:rPr>
              <w:t>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0.0269</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0.176</w:t>
            </w:r>
            <w:r>
              <w:rPr>
                <w:rFonts w:ascii="Times New Roman" w:eastAsia="Times New Roman" w:hAnsi="Times New Roman" w:cs="Times New Roman"/>
                <w:color w:val="000000"/>
                <w:sz w:val="16"/>
                <w:szCs w:val="16"/>
                <w:lang w:eastAsia="fr-FR"/>
              </w:rPr>
              <w:t>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0.0291</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0.0946</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0.0483</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0.0046</w:t>
            </w:r>
          </w:p>
        </w:tc>
      </w:tr>
      <w:tr w:rsidR="0083525D" w:rsidRPr="00107FC4" w:rsidTr="00341063">
        <w:trPr>
          <w:trHeight w:val="179"/>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ω</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0.0049</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0.2689</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0.1353</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0.0014</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0.2771</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0.008</w:t>
            </w:r>
            <w:r>
              <w:rPr>
                <w:rFonts w:ascii="Times New Roman" w:eastAsia="Times New Roman" w:hAnsi="Times New Roman" w:cs="Times New Roman"/>
                <w:color w:val="000000"/>
                <w:sz w:val="16"/>
                <w:szCs w:val="16"/>
                <w:lang w:eastAsia="fr-FR"/>
              </w:rPr>
              <w:t>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0.045</w:t>
            </w:r>
            <w:r>
              <w:rPr>
                <w:rFonts w:ascii="Times New Roman" w:eastAsia="Times New Roman" w:hAnsi="Times New Roman" w:cs="Times New Roman"/>
                <w:color w:val="000000"/>
                <w:sz w:val="16"/>
                <w:szCs w:val="16"/>
                <w:lang w:eastAsia="fr-FR"/>
              </w:rPr>
              <w:t>0</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0.2037</w:t>
            </w:r>
          </w:p>
        </w:tc>
      </w:tr>
      <w:tr w:rsidR="0083525D" w:rsidRPr="00107FC4" w:rsidTr="00341063">
        <w:trPr>
          <w:trHeight w:val="129"/>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d</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0.9225</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0.4102</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0.3146</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0.3132</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83525D" w:rsidRPr="00107FC4" w:rsidTr="00341063">
        <w:trPr>
          <w:trHeight w:val="94"/>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val="en-US" w:eastAsia="fr-FR"/>
                  </w:rPr>
                  <m:t>ϕ</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-0.0223</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0.6737</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0.1116</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0.0368</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-0.1097</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0.3816</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0.1731</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0.0091</w:t>
            </w:r>
          </w:p>
        </w:tc>
      </w:tr>
      <w:tr w:rsidR="0083525D" w:rsidRPr="00107FC4" w:rsidTr="00341063">
        <w:trPr>
          <w:trHeight w:val="94"/>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β</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0.9461</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0.4919</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0.1428</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0.3486</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0.4571</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83525D" w:rsidRPr="00107FC4" w:rsidTr="00341063">
        <w:trPr>
          <w:trHeight w:val="139"/>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γ</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0.0136</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0.8531</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0.4465</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0.001</w:t>
            </w:r>
            <w:r>
              <w:rPr>
                <w:rFonts w:ascii="Times New Roman" w:eastAsia="Times New Roman" w:hAnsi="Times New Roman" w:cs="Times New Roman"/>
                <w:color w:val="000000"/>
                <w:sz w:val="16"/>
                <w:szCs w:val="16"/>
                <w:lang w:eastAsia="fr-FR"/>
              </w:rPr>
              <w:t>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0.3323</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0.5574</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0.0032</w:t>
            </w:r>
          </w:p>
        </w:tc>
      </w:tr>
      <w:tr w:rsidR="0083525D" w:rsidRPr="00107FC4" w:rsidTr="00341063">
        <w:trPr>
          <w:trHeight w:val="94"/>
          <w:jc w:val="center"/>
        </w:trPr>
        <w:tc>
          <w:tcPr>
            <w:tcW w:w="867" w:type="dxa"/>
            <w:tcBorders>
              <w:top w:val="nil"/>
              <w:left w:val="nil"/>
              <w:bottom w:val="nil"/>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δ</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1.4198</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0.0037</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1.4582</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1.9252</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1.6832</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83525D" w:rsidRPr="00107FC4" w:rsidTr="00341063">
        <w:trPr>
          <w:trHeight w:val="94"/>
          <w:jc w:val="center"/>
        </w:trPr>
        <w:tc>
          <w:tcPr>
            <w:tcW w:w="867" w:type="dxa"/>
            <w:tcBorders>
              <w:top w:val="nil"/>
              <w:left w:val="nil"/>
              <w:bottom w:val="single" w:sz="8" w:space="0" w:color="auto"/>
              <w:right w:val="nil"/>
            </w:tcBorders>
            <w:shd w:val="clear" w:color="auto" w:fill="auto"/>
            <w:noWrap/>
            <w:vAlign w:val="center"/>
            <w:hideMark/>
          </w:tcPr>
          <w:p w:rsidR="0083525D" w:rsidRPr="00D6571E"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v</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8.8139</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8.2601</w:t>
            </w:r>
            <w:r>
              <w:rPr>
                <w:rFonts w:ascii="Times New Roman" w:eastAsia="Times New Roman" w:hAnsi="Times New Roman" w:cs="Times New Roman"/>
                <w:color w:val="000000"/>
                <w:sz w:val="16"/>
                <w:szCs w:val="16"/>
                <w:lang w:eastAsia="fr-FR"/>
              </w:rPr>
              <w:t>***</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3.6846</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6.1827</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83525D" w:rsidRPr="00107FC4" w:rsidTr="00341063">
        <w:trPr>
          <w:trHeight w:val="124"/>
          <w:jc w:val="center"/>
        </w:trPr>
        <w:tc>
          <w:tcPr>
            <w:tcW w:w="867" w:type="dxa"/>
            <w:tcBorders>
              <w:top w:val="nil"/>
              <w:left w:val="nil"/>
              <w:bottom w:val="single" w:sz="8" w:space="0" w:color="auto"/>
              <w:right w:val="nil"/>
            </w:tcBorders>
            <w:shd w:val="clear" w:color="auto" w:fill="auto"/>
            <w:noWrap/>
            <w:vAlign w:val="bottom"/>
            <w:hideMark/>
          </w:tcPr>
          <w:p w:rsidR="0083525D" w:rsidRPr="00107FC4" w:rsidRDefault="0083525D" w:rsidP="00107FC4">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Diagnostic</w:t>
            </w:r>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r>
      <w:tr w:rsidR="0083525D" w:rsidRPr="00107FC4" w:rsidTr="00341063">
        <w:trPr>
          <w:trHeight w:val="69"/>
          <w:jc w:val="center"/>
        </w:trPr>
        <w:tc>
          <w:tcPr>
            <w:tcW w:w="867" w:type="dxa"/>
            <w:tcBorders>
              <w:top w:val="nil"/>
              <w:left w:val="nil"/>
              <w:bottom w:val="nil"/>
              <w:right w:val="nil"/>
            </w:tcBorders>
            <w:shd w:val="clear" w:color="auto" w:fill="auto"/>
            <w:noWrap/>
            <w:vAlign w:val="center"/>
            <w:hideMark/>
          </w:tcPr>
          <w:p w:rsidR="0083525D" w:rsidRPr="003672B0" w:rsidRDefault="0083525D" w:rsidP="00D65CF0">
            <w:pPr>
              <w:spacing w:after="0" w:line="240" w:lineRule="auto"/>
              <w:rPr>
                <w:rFonts w:ascii="Times New Roman" w:eastAsia="Times New Roman" w:hAnsi="Times New Roman" w:cs="Times New Roman"/>
                <w:sz w:val="16"/>
                <w:szCs w:val="16"/>
                <w:lang w:eastAsia="fr-FR"/>
              </w:rPr>
            </w:pPr>
            <m:oMathPara>
              <m:oMath>
                <m:r>
                  <w:rPr>
                    <w:rFonts w:ascii="Cambria Math" w:eastAsia="Times New Roman" w:hAnsi="Cambria Math" w:cs="Times New Roman"/>
                    <w:sz w:val="16"/>
                    <w:szCs w:val="16"/>
                    <w:lang w:eastAsia="fr-FR"/>
                  </w:rPr>
                  <m:t>LB(20)</m:t>
                </m:r>
              </m:oMath>
            </m:oMathPara>
          </w:p>
        </w:tc>
        <w:tc>
          <w:tcPr>
            <w:tcW w:w="873"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12.9805</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0.8782</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11.7653</w:t>
            </w:r>
          </w:p>
        </w:tc>
        <w:tc>
          <w:tcPr>
            <w:tcW w:w="72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0.9239</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53.5749</w:t>
            </w:r>
            <w:r>
              <w:rPr>
                <w:rFonts w:ascii="Times New Roman" w:eastAsia="Times New Roman" w:hAnsi="Times New Roman" w:cs="Times New Roman"/>
                <w:color w:val="000000"/>
                <w:sz w:val="16"/>
                <w:szCs w:val="16"/>
                <w:lang w:eastAsia="fr-FR"/>
              </w:rPr>
              <w:t>***</w:t>
            </w:r>
          </w:p>
        </w:tc>
        <w:tc>
          <w:tcPr>
            <w:tcW w:w="769"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8"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45.0142</w:t>
            </w:r>
            <w:r>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0.001</w:t>
            </w:r>
            <w:r>
              <w:rPr>
                <w:rFonts w:ascii="Times New Roman" w:eastAsia="Times New Roman" w:hAnsi="Times New Roman" w:cs="Times New Roman"/>
                <w:color w:val="000000"/>
                <w:sz w:val="16"/>
                <w:szCs w:val="16"/>
                <w:lang w:eastAsia="fr-FR"/>
              </w:rPr>
              <w:t>0</w:t>
            </w:r>
          </w:p>
        </w:tc>
      </w:tr>
      <w:tr w:rsidR="0083525D" w:rsidRPr="00107FC4" w:rsidTr="00341063">
        <w:trPr>
          <w:trHeight w:val="94"/>
          <w:jc w:val="center"/>
        </w:trPr>
        <w:tc>
          <w:tcPr>
            <w:tcW w:w="867" w:type="dxa"/>
            <w:tcBorders>
              <w:top w:val="nil"/>
              <w:left w:val="nil"/>
              <w:bottom w:val="single" w:sz="8" w:space="0" w:color="auto"/>
              <w:right w:val="nil"/>
            </w:tcBorders>
            <w:shd w:val="clear" w:color="auto" w:fill="auto"/>
            <w:noWrap/>
            <w:vAlign w:val="center"/>
            <w:hideMark/>
          </w:tcPr>
          <w:p w:rsidR="0083525D" w:rsidRPr="003672B0" w:rsidRDefault="00011760" w:rsidP="00D65CF0">
            <w:pPr>
              <w:spacing w:after="0" w:line="240" w:lineRule="auto"/>
              <w:rPr>
                <w:rFonts w:ascii="Times New Roman" w:eastAsia="Times New Roman" w:hAnsi="Times New Roman" w:cs="Times New Roman"/>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LB</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m:oMathPara>
          </w:p>
        </w:tc>
        <w:tc>
          <w:tcPr>
            <w:tcW w:w="873"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20.56</w:t>
            </w:r>
            <w:r>
              <w:rPr>
                <w:rFonts w:ascii="Times New Roman" w:eastAsia="Times New Roman" w:hAnsi="Times New Roman" w:cs="Times New Roman"/>
                <w:color w:val="000000"/>
                <w:sz w:val="16"/>
                <w:szCs w:val="16"/>
                <w:lang w:eastAsia="fr-FR"/>
              </w:rPr>
              <w:t>00</w:t>
            </w:r>
          </w:p>
        </w:tc>
        <w:tc>
          <w:tcPr>
            <w:tcW w:w="728"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0.3021</w:t>
            </w:r>
          </w:p>
        </w:tc>
        <w:tc>
          <w:tcPr>
            <w:tcW w:w="198"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36"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31.2876</w:t>
            </w:r>
            <w:r>
              <w:rPr>
                <w:rFonts w:ascii="Times New Roman" w:eastAsia="Times New Roman" w:hAnsi="Times New Roman" w:cs="Times New Roman"/>
                <w:color w:val="000000"/>
                <w:sz w:val="16"/>
                <w:szCs w:val="16"/>
                <w:lang w:eastAsia="fr-FR"/>
              </w:rPr>
              <w:t>**</w:t>
            </w:r>
          </w:p>
        </w:tc>
        <w:tc>
          <w:tcPr>
            <w:tcW w:w="728"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0.0266</w:t>
            </w:r>
          </w:p>
        </w:tc>
        <w:tc>
          <w:tcPr>
            <w:tcW w:w="198"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10.6958</w:t>
            </w:r>
          </w:p>
        </w:tc>
        <w:tc>
          <w:tcPr>
            <w:tcW w:w="769"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0.9068</w:t>
            </w:r>
          </w:p>
        </w:tc>
        <w:tc>
          <w:tcPr>
            <w:tcW w:w="198"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29.9101</w:t>
            </w:r>
          </w:p>
        </w:tc>
        <w:tc>
          <w:tcPr>
            <w:tcW w:w="811" w:type="dxa"/>
            <w:tcBorders>
              <w:top w:val="nil"/>
              <w:left w:val="nil"/>
              <w:bottom w:val="single" w:sz="8" w:space="0" w:color="auto"/>
              <w:right w:val="nil"/>
            </w:tcBorders>
            <w:shd w:val="clear" w:color="auto" w:fill="auto"/>
            <w:noWrap/>
            <w:vAlign w:val="bottom"/>
            <w:hideMark/>
          </w:tcPr>
          <w:p w:rsidR="0083525D" w:rsidRPr="00107FC4" w:rsidRDefault="0083525D" w:rsidP="00341063">
            <w:pPr>
              <w:spacing w:after="0" w:line="240" w:lineRule="auto"/>
              <w:rPr>
                <w:rFonts w:ascii="Times New Roman" w:eastAsia="Times New Roman" w:hAnsi="Times New Roman" w:cs="Times New Roman"/>
                <w:color w:val="000000"/>
                <w:sz w:val="16"/>
                <w:szCs w:val="16"/>
                <w:lang w:eastAsia="fr-FR"/>
              </w:rPr>
            </w:pPr>
            <w:r w:rsidRPr="00107FC4">
              <w:rPr>
                <w:rFonts w:ascii="Times New Roman" w:eastAsia="Times New Roman" w:hAnsi="Times New Roman" w:cs="Times New Roman"/>
                <w:color w:val="000000"/>
                <w:sz w:val="16"/>
                <w:szCs w:val="16"/>
                <w:lang w:eastAsia="fr-FR"/>
              </w:rPr>
              <w:t>0.3359</w:t>
            </w:r>
          </w:p>
        </w:tc>
      </w:tr>
    </w:tbl>
    <w:p w:rsidR="009B1565" w:rsidRPr="0043178F" w:rsidRDefault="009B1565" w:rsidP="00D65CF0">
      <w:pPr>
        <w:pStyle w:val="Lgende"/>
        <w:spacing w:after="0"/>
        <w:ind w:left="510" w:right="510"/>
        <w:jc w:val="both"/>
        <w:rPr>
          <w:rFonts w:asciiTheme="majorBidi" w:hAnsiTheme="majorBidi" w:cstheme="majorBidi"/>
          <w:bCs w:val="0"/>
          <w:color w:val="auto"/>
          <w:sz w:val="16"/>
          <w:szCs w:val="16"/>
          <w:lang w:val="en-US"/>
        </w:rPr>
      </w:pPr>
      <w:r w:rsidRPr="0043178F">
        <w:rPr>
          <w:rFonts w:asciiTheme="majorBidi" w:hAnsiTheme="majorBidi" w:cstheme="majorBidi"/>
          <w:color w:val="auto"/>
          <w:sz w:val="16"/>
          <w:szCs w:val="16"/>
          <w:lang w:val="en-US"/>
        </w:rPr>
        <w:t>Notes:</w:t>
      </w:r>
      <w:r w:rsidRPr="00940839">
        <w:rPr>
          <w:rFonts w:asciiTheme="majorBidi" w:hAnsiTheme="majorBidi" w:cstheme="majorBidi"/>
          <w:b w:val="0"/>
          <w:color w:val="auto"/>
          <w:sz w:val="16"/>
          <w:szCs w:val="16"/>
          <w:lang w:val="en-US"/>
        </w:rPr>
        <w:t xml:space="preserve">For each of the </w:t>
      </w:r>
      <w:r>
        <w:rPr>
          <w:rFonts w:asciiTheme="majorBidi" w:hAnsiTheme="majorBidi" w:cstheme="majorBidi"/>
          <w:b w:val="0"/>
          <w:color w:val="auto"/>
          <w:sz w:val="16"/>
          <w:szCs w:val="16"/>
          <w:lang w:val="en-US"/>
        </w:rPr>
        <w:t>five exchange rates, Table 2</w:t>
      </w:r>
      <w:r w:rsidRPr="00940839">
        <w:rPr>
          <w:rFonts w:asciiTheme="majorBidi" w:hAnsiTheme="majorBidi" w:cstheme="majorBidi"/>
          <w:b w:val="0"/>
          <w:color w:val="auto"/>
          <w:sz w:val="16"/>
          <w:szCs w:val="16"/>
          <w:lang w:val="en-US"/>
        </w:rPr>
        <w:t xml:space="preserve"> reports the Maximum Likelihood Estimates (MLE) for the student-t-FIAPARCH(1,d,1) model. </w:t>
      </w:r>
      <m:oMath>
        <m:r>
          <m:rPr>
            <m:sty m:val="bi"/>
          </m:rPr>
          <w:rPr>
            <w:rFonts w:ascii="Cambria Math" w:hAnsi="Cambria Math" w:cstheme="majorBidi"/>
            <w:color w:val="auto"/>
            <w:sz w:val="16"/>
            <w:szCs w:val="16"/>
          </w:rPr>
          <m:t>LB</m:t>
        </m:r>
        <m:d>
          <m:dPr>
            <m:ctrlPr>
              <w:rPr>
                <w:rFonts w:ascii="Cambria Math" w:hAnsiTheme="majorBidi" w:cstheme="majorBidi"/>
                <w:b w:val="0"/>
                <w:i/>
                <w:color w:val="auto"/>
                <w:sz w:val="16"/>
                <w:szCs w:val="16"/>
                <w:lang w:val="en-US"/>
              </w:rPr>
            </m:ctrlPr>
          </m:dPr>
          <m:e>
            <m:r>
              <m:rPr>
                <m:sty m:val="bi"/>
              </m:rPr>
              <w:rPr>
                <w:rFonts w:ascii="Cambria Math" w:hAnsiTheme="majorBidi" w:cstheme="majorBidi"/>
                <w:color w:val="auto"/>
                <w:sz w:val="16"/>
                <w:szCs w:val="16"/>
                <w:lang w:val="en-US"/>
              </w:rPr>
              <m:t>20</m:t>
            </m:r>
          </m:e>
        </m:d>
      </m:oMath>
      <w:r w:rsidRPr="00940839">
        <w:rPr>
          <w:rFonts w:asciiTheme="majorBidi" w:hAnsiTheme="majorBidi" w:cstheme="majorBidi"/>
          <w:b w:val="0"/>
          <w:color w:val="auto"/>
          <w:sz w:val="16"/>
          <w:szCs w:val="16"/>
          <w:lang w:val="en-US"/>
        </w:rPr>
        <w:t>and</w:t>
      </w:r>
      <m:oMath>
        <m:sSup>
          <m:sSupPr>
            <m:ctrlPr>
              <w:rPr>
                <w:rFonts w:ascii="Cambria Math" w:hAnsiTheme="majorBidi" w:cstheme="majorBidi"/>
                <w:b w:val="0"/>
                <w:i/>
                <w:color w:val="auto"/>
                <w:sz w:val="16"/>
                <w:szCs w:val="16"/>
              </w:rPr>
            </m:ctrlPr>
          </m:sSupPr>
          <m:e>
            <m:r>
              <m:rPr>
                <m:sty m:val="bi"/>
              </m:rPr>
              <w:rPr>
                <w:rFonts w:ascii="Cambria Math" w:hAnsi="Cambria Math" w:cstheme="majorBidi"/>
                <w:color w:val="auto"/>
                <w:sz w:val="16"/>
                <w:szCs w:val="16"/>
              </w:rPr>
              <m:t>LB</m:t>
            </m:r>
          </m:e>
          <m:sup>
            <m:r>
              <m:rPr>
                <m:sty m:val="bi"/>
              </m:rPr>
              <w:rPr>
                <w:rFonts w:ascii="Cambria Math" w:hAnsiTheme="majorBidi" w:cstheme="majorBidi"/>
                <w:color w:val="auto"/>
                <w:sz w:val="16"/>
                <w:szCs w:val="16"/>
                <w:lang w:val="en-US"/>
              </w:rPr>
              <m:t>2</m:t>
            </m:r>
          </m:sup>
        </m:sSup>
        <m:r>
          <m:rPr>
            <m:sty m:val="bi"/>
          </m:rPr>
          <w:rPr>
            <w:rFonts w:ascii="Cambria Math" w:hAnsiTheme="majorBidi" w:cstheme="majorBidi"/>
            <w:color w:val="auto"/>
            <w:sz w:val="16"/>
            <w:szCs w:val="16"/>
            <w:lang w:val="en-US"/>
          </w:rPr>
          <m:t>(20)</m:t>
        </m:r>
      </m:oMath>
      <w:r w:rsidRPr="00940839">
        <w:rPr>
          <w:rFonts w:asciiTheme="majorBidi" w:hAnsiTheme="majorBidi" w:cstheme="majorBidi"/>
          <w:b w:val="0"/>
          <w:color w:val="auto"/>
          <w:sz w:val="16"/>
          <w:szCs w:val="16"/>
          <w:lang w:val="en-US"/>
        </w:rPr>
        <w:t xml:space="preserve"> indicate the Ljung-Box tests for serial correlation in the standardized and squared standardized residuals, respectively. </w:t>
      </w:r>
      <m:oMath>
        <m:r>
          <m:rPr>
            <m:sty m:val="bi"/>
          </m:rPr>
          <w:rPr>
            <w:rFonts w:ascii="Cambria Math" w:hAnsi="Cambria Math" w:cstheme="majorBidi"/>
            <w:color w:val="auto"/>
            <w:sz w:val="16"/>
            <w:szCs w:val="16"/>
            <w:lang w:val="en-US"/>
          </w:rPr>
          <m:t>v</m:t>
        </m:r>
      </m:oMath>
      <w:r w:rsidRPr="00940839">
        <w:rPr>
          <w:rFonts w:asciiTheme="majorBidi" w:hAnsiTheme="majorBidi" w:cstheme="majorBidi"/>
          <w:b w:val="0"/>
          <w:color w:val="auto"/>
          <w:sz w:val="16"/>
          <w:szCs w:val="16"/>
          <w:lang w:val="en-US"/>
        </w:rPr>
        <w:t>denotes the the t-student degrees of freedom.parameter ***, ** and * denote statistical</w:t>
      </w:r>
      <w:r w:rsidRPr="0043178F">
        <w:rPr>
          <w:rFonts w:asciiTheme="majorBidi" w:hAnsiTheme="majorBidi" w:cstheme="majorBidi"/>
          <w:b w:val="0"/>
          <w:color w:val="auto"/>
          <w:sz w:val="16"/>
          <w:szCs w:val="16"/>
          <w:lang w:val="en-US"/>
        </w:rPr>
        <w:t xml:space="preserve"> significance at 1%, 5% and 10% levels, respectively.</w:t>
      </w:r>
    </w:p>
    <w:p w:rsidR="002D2222" w:rsidRDefault="002D2222" w:rsidP="00057FD0">
      <w:pPr>
        <w:spacing w:after="0" w:line="240" w:lineRule="auto"/>
        <w:rPr>
          <w:rFonts w:asciiTheme="majorBidi" w:hAnsiTheme="majorBidi" w:cstheme="majorBidi"/>
          <w:sz w:val="24"/>
          <w:szCs w:val="24"/>
          <w:lang w:val="en-US"/>
        </w:rPr>
      </w:pPr>
    </w:p>
    <w:p w:rsidR="006433FD" w:rsidRPr="000153A3" w:rsidRDefault="006433FD" w:rsidP="006433FD">
      <w:pPr>
        <w:spacing w:after="0" w:line="240" w:lineRule="auto"/>
        <w:ind w:firstLine="340"/>
        <w:jc w:val="both"/>
        <w:rPr>
          <w:rFonts w:asciiTheme="majorBidi" w:hAnsiTheme="majorBidi" w:cstheme="majorBidi"/>
          <w:bCs/>
          <w:lang w:val="en-US"/>
        </w:rPr>
      </w:pPr>
      <w:r w:rsidRPr="000153A3">
        <w:rPr>
          <w:rFonts w:asciiTheme="majorBidi" w:hAnsiTheme="majorBidi" w:cstheme="majorBidi"/>
          <w:bCs/>
          <w:lang w:val="en-US"/>
        </w:rPr>
        <w:t xml:space="preserve">In addition, all the ARCH parameters </w:t>
      </w:r>
      <m:oMath>
        <m:r>
          <w:rPr>
            <w:rFonts w:ascii="Cambria Math" w:hAnsi="Cambria Math" w:cstheme="majorBidi"/>
            <w:lang w:val="en-US"/>
          </w:rPr>
          <m:t>(ϕ)</m:t>
        </m:r>
      </m:oMath>
      <w:r w:rsidRPr="000153A3">
        <w:rPr>
          <w:rFonts w:asciiTheme="majorBidi" w:hAnsiTheme="majorBidi" w:cstheme="majorBidi"/>
          <w:bCs/>
          <w:lang w:val="en-US"/>
        </w:rPr>
        <w:t xml:space="preserve"> satisfy the set of conditions which guarantee the positivity of the conditional variance</w:t>
      </w:r>
      <w:r w:rsidR="000153A3" w:rsidRPr="000153A3">
        <w:rPr>
          <w:rFonts w:asciiTheme="majorBidi" w:hAnsiTheme="majorBidi" w:cstheme="majorBidi"/>
          <w:bCs/>
          <w:lang w:val="en-US"/>
        </w:rPr>
        <w:t>, except for the two series (USDEUR and SSE)</w:t>
      </w:r>
      <w:r w:rsidRPr="000153A3">
        <w:rPr>
          <w:rFonts w:asciiTheme="majorBidi" w:hAnsiTheme="majorBidi" w:cstheme="majorBidi"/>
          <w:bCs/>
          <w:lang w:val="en-US"/>
        </w:rPr>
        <w:t>. Moreover, according to the values of the Ljung-Box tests for serial correlation in the standardized and squared standardized residuals, there is no statistically significant evidence, at the 1% level, of misspecification in almost all cases.</w:t>
      </w:r>
    </w:p>
    <w:p w:rsidR="006433FD" w:rsidRPr="000153A3" w:rsidRDefault="006433FD" w:rsidP="006433FD">
      <w:pPr>
        <w:spacing w:after="0" w:line="240" w:lineRule="auto"/>
        <w:ind w:firstLine="340"/>
        <w:jc w:val="both"/>
        <w:rPr>
          <w:rFonts w:asciiTheme="majorBidi" w:hAnsiTheme="majorBidi" w:cstheme="majorBidi"/>
          <w:bCs/>
          <w:lang w:val="en-US"/>
        </w:rPr>
      </w:pPr>
      <w:r w:rsidRPr="000153A3">
        <w:rPr>
          <w:rFonts w:asciiTheme="majorBidi" w:hAnsiTheme="majorBidi" w:cstheme="majorBidi"/>
          <w:bCs/>
          <w:lang w:val="en-US"/>
        </w:rPr>
        <w:t xml:space="preserve">Numerous studies have documented the persistence of volatility in stock and exchange rate returns (see </w:t>
      </w:r>
      <w:r w:rsidRPr="00DC3039">
        <w:rPr>
          <w:rFonts w:asciiTheme="majorBidi" w:hAnsiTheme="majorBidi" w:cstheme="majorBidi"/>
          <w:bCs/>
          <w:color w:val="00B0F0"/>
          <w:lang w:val="en-US"/>
        </w:rPr>
        <w:t>Ding et al., 1993; Ding and Granger, 1996, among others</w:t>
      </w:r>
      <w:r w:rsidRPr="000153A3">
        <w:rPr>
          <w:rFonts w:asciiTheme="majorBidi" w:hAnsiTheme="majorBidi" w:cstheme="majorBidi"/>
          <w:bCs/>
          <w:lang w:val="en-US"/>
        </w:rPr>
        <w:t>). The majority of these studies have shown that the volatility process is well approximated by an IGARCH process. Nevertheless, from the FIAPAR</w:t>
      </w:r>
      <w:r w:rsidR="00A5455C">
        <w:rPr>
          <w:rFonts w:asciiTheme="majorBidi" w:hAnsiTheme="majorBidi" w:cstheme="majorBidi"/>
          <w:bCs/>
          <w:lang w:val="en-US"/>
        </w:rPr>
        <w:t>CH estimates reported in Table 3</w:t>
      </w:r>
      <w:r w:rsidRPr="000153A3">
        <w:rPr>
          <w:rFonts w:asciiTheme="majorBidi" w:hAnsiTheme="majorBidi" w:cstheme="majorBidi"/>
          <w:bCs/>
          <w:lang w:val="en-US"/>
        </w:rPr>
        <w:t>, it appears that the long-run dynamics are better modeled by the fractional differencing parameter.</w:t>
      </w:r>
    </w:p>
    <w:p w:rsidR="006433FD" w:rsidRPr="000153A3" w:rsidRDefault="006433FD" w:rsidP="000153A3">
      <w:pPr>
        <w:spacing w:after="0" w:line="240" w:lineRule="auto"/>
        <w:ind w:firstLine="340"/>
        <w:jc w:val="both"/>
        <w:rPr>
          <w:rFonts w:asciiTheme="majorBidi" w:hAnsiTheme="majorBidi" w:cstheme="majorBidi"/>
          <w:bCs/>
          <w:lang w:val="en-US"/>
        </w:rPr>
      </w:pPr>
      <w:r w:rsidRPr="000153A3">
        <w:rPr>
          <w:rFonts w:asciiTheme="majorBidi" w:hAnsiTheme="majorBidi" w:cstheme="majorBidi"/>
          <w:bCs/>
          <w:lang w:val="en-US"/>
        </w:rPr>
        <w:t xml:space="preserve">To test for the persistence of the conditional heteroskedasticity models, we examine the Likelihood Ratio (LR) statistics for the linear constraints </w:t>
      </w:r>
      <m:oMath>
        <m:r>
          <m:rPr>
            <m:sty m:val="p"/>
          </m:rPr>
          <w:rPr>
            <w:rFonts w:ascii="Cambria Math" w:hAnsi="Cambria Math" w:cstheme="majorBidi"/>
            <w:lang w:val="en-US"/>
          </w:rPr>
          <m:t>d</m:t>
        </m:r>
        <m:r>
          <m:rPr>
            <m:sty m:val="p"/>
          </m:rPr>
          <w:rPr>
            <w:rFonts w:ascii="Cambria Math" w:hAnsiTheme="majorBidi" w:cstheme="majorBidi"/>
            <w:lang w:val="en-US"/>
          </w:rPr>
          <m:t xml:space="preserve"> = 0</m:t>
        </m:r>
      </m:oMath>
      <w:r w:rsidRPr="000153A3">
        <w:rPr>
          <w:rFonts w:asciiTheme="majorBidi" w:hAnsiTheme="majorBidi" w:cstheme="majorBidi"/>
          <w:bCs/>
          <w:lang w:val="en-US"/>
        </w:rPr>
        <w:t xml:space="preserve"> (APARCH(1,1) model) and </w:t>
      </w:r>
      <m:oMath>
        <m:r>
          <m:rPr>
            <m:sty m:val="p"/>
          </m:rPr>
          <w:rPr>
            <w:rFonts w:ascii="Cambria Math" w:hAnsi="Cambria Math" w:cstheme="majorBidi"/>
            <w:lang w:val="en-US"/>
          </w:rPr>
          <m:t>d</m:t>
        </m:r>
        <m:r>
          <m:rPr>
            <m:sty m:val="p"/>
          </m:rPr>
          <w:rPr>
            <w:rFonts w:ascii="Cambria Math" w:hAnsiTheme="majorBidi" w:cstheme="majorBidi"/>
            <w:lang w:val="en-US"/>
          </w:rPr>
          <m:t>≠</m:t>
        </m:r>
        <m:r>
          <m:rPr>
            <m:sty m:val="p"/>
          </m:rPr>
          <w:rPr>
            <w:rFonts w:ascii="Cambria Math" w:hAnsiTheme="majorBidi" w:cstheme="majorBidi"/>
            <w:lang w:val="en-US"/>
          </w:rPr>
          <m:t xml:space="preserve"> 0</m:t>
        </m:r>
      </m:oMath>
      <w:r w:rsidRPr="000153A3">
        <w:rPr>
          <w:rFonts w:asciiTheme="majorBidi" w:hAnsiTheme="majorBidi" w:cstheme="majorBidi"/>
          <w:bCs/>
          <w:lang w:val="en-US"/>
        </w:rPr>
        <w:t xml:space="preserve"> (FIAPARCH(1,d,1) model). We construct a series of LR tests in which the restricted case is the APARCH(1,1) model </w:t>
      </w:r>
      <m:oMath>
        <m:r>
          <m:rPr>
            <m:sty m:val="p"/>
          </m:rPr>
          <w:rPr>
            <w:rFonts w:ascii="Cambria Math" w:hAnsiTheme="majorBidi" w:cstheme="majorBidi"/>
            <w:lang w:val="en-US"/>
          </w:rPr>
          <m:t>(</m:t>
        </m:r>
        <m:r>
          <m:rPr>
            <m:sty m:val="p"/>
          </m:rPr>
          <w:rPr>
            <w:rFonts w:ascii="Cambria Math" w:hAnsi="Cambria Math" w:cstheme="majorBidi"/>
            <w:lang w:val="en-US"/>
          </w:rPr>
          <m:t>d</m:t>
        </m:r>
        <m:r>
          <m:rPr>
            <m:sty m:val="p"/>
          </m:rPr>
          <w:rPr>
            <w:rFonts w:ascii="Cambria Math" w:hAnsiTheme="majorBidi" w:cstheme="majorBidi"/>
            <w:lang w:val="en-US"/>
          </w:rPr>
          <m:t>=0)</m:t>
        </m:r>
      </m:oMath>
      <w:r w:rsidRPr="000153A3">
        <w:rPr>
          <w:rFonts w:asciiTheme="majorBidi" w:hAnsiTheme="majorBidi" w:cstheme="majorBidi"/>
          <w:bCs/>
          <w:lang w:val="en-US"/>
        </w:rPr>
        <w:t xml:space="preserve"> of Ding et al. (1993). Let </w:t>
      </w:r>
      <m:oMath>
        <m:sSub>
          <m:sSubPr>
            <m:ctrlPr>
              <w:rPr>
                <w:rFonts w:ascii="Cambria Math" w:hAnsiTheme="majorBidi" w:cstheme="majorBidi"/>
                <w:bCs/>
                <w:lang w:val="en-US"/>
              </w:rPr>
            </m:ctrlPr>
          </m:sSubPr>
          <m:e>
            <m:r>
              <m:rPr>
                <m:sty m:val="p"/>
              </m:rPr>
              <w:rPr>
                <w:rFonts w:ascii="Cambria Math" w:hAnsi="Cambria Math" w:cstheme="majorBidi"/>
                <w:lang w:val="en-US"/>
              </w:rPr>
              <m:t>l</m:t>
            </m:r>
          </m:e>
          <m:sub>
            <m:r>
              <m:rPr>
                <m:sty m:val="p"/>
              </m:rPr>
              <w:rPr>
                <w:rFonts w:ascii="Cambria Math" w:hAnsiTheme="majorBidi" w:cstheme="majorBidi"/>
                <w:lang w:val="en-US"/>
              </w:rPr>
              <m:t>0</m:t>
            </m:r>
          </m:sub>
        </m:sSub>
      </m:oMath>
      <w:r w:rsidRPr="000153A3">
        <w:rPr>
          <w:rFonts w:asciiTheme="majorBidi" w:hAnsiTheme="majorBidi" w:cstheme="majorBidi"/>
          <w:bCs/>
          <w:lang w:val="en-US"/>
        </w:rPr>
        <w:t xml:space="preserve"> be the log-likelihood value under the null hypothesis that the true model is APARCH(1,1) and </w:t>
      </w:r>
      <m:oMath>
        <m:r>
          <m:rPr>
            <m:sty m:val="p"/>
          </m:rPr>
          <w:rPr>
            <w:rFonts w:ascii="Cambria Math" w:hAnsi="Cambria Math" w:cstheme="majorBidi"/>
            <w:lang w:val="en-US"/>
          </w:rPr>
          <m:t>l</m:t>
        </m:r>
      </m:oMath>
      <w:r w:rsidRPr="000153A3">
        <w:rPr>
          <w:rFonts w:asciiTheme="majorBidi" w:hAnsiTheme="majorBidi" w:cstheme="majorBidi"/>
          <w:bCs/>
          <w:lang w:val="en-US"/>
        </w:rPr>
        <w:t xml:space="preserve"> the log-likelihood value under the alternative that the true model is FIAPARCH(1,d,1). Then, the LR test, </w:t>
      </w:r>
      <m:oMath>
        <m:r>
          <m:rPr>
            <m:sty m:val="p"/>
          </m:rPr>
          <w:rPr>
            <w:rFonts w:ascii="Cambria Math" w:hAnsiTheme="majorBidi" w:cstheme="majorBidi"/>
            <w:lang w:val="en-US"/>
          </w:rPr>
          <m:t>2(</m:t>
        </m:r>
        <m:r>
          <m:rPr>
            <m:sty m:val="p"/>
          </m:rPr>
          <w:rPr>
            <w:rFonts w:ascii="Cambria Math" w:hAnsi="Cambria Math" w:cstheme="majorBidi"/>
            <w:lang w:val="en-US"/>
          </w:rPr>
          <m:t>l</m:t>
        </m:r>
        <m:r>
          <m:rPr>
            <m:sty m:val="p"/>
          </m:rPr>
          <w:rPr>
            <w:rFonts w:asciiTheme="majorBidi" w:hAnsiTheme="majorBidi" w:cstheme="majorBidi"/>
            <w:lang w:val="en-US"/>
          </w:rPr>
          <m:t>-</m:t>
        </m:r>
        <m:sSub>
          <m:sSubPr>
            <m:ctrlPr>
              <w:rPr>
                <w:rFonts w:ascii="Cambria Math" w:hAnsiTheme="majorBidi" w:cstheme="majorBidi"/>
                <w:bCs/>
                <w:lang w:val="en-US"/>
              </w:rPr>
            </m:ctrlPr>
          </m:sSubPr>
          <m:e>
            <m:r>
              <m:rPr>
                <m:sty m:val="p"/>
              </m:rPr>
              <w:rPr>
                <w:rFonts w:ascii="Cambria Math" w:hAnsi="Cambria Math" w:cstheme="majorBidi"/>
                <w:lang w:val="en-US"/>
              </w:rPr>
              <m:t>l</m:t>
            </m:r>
          </m:e>
          <m:sub>
            <m:r>
              <m:rPr>
                <m:sty m:val="p"/>
              </m:rPr>
              <w:rPr>
                <w:rFonts w:ascii="Cambria Math" w:hAnsiTheme="majorBidi" w:cstheme="majorBidi"/>
                <w:lang w:val="en-US"/>
              </w:rPr>
              <m:t>0</m:t>
            </m:r>
          </m:sub>
        </m:sSub>
        <m:r>
          <m:rPr>
            <m:sty m:val="p"/>
          </m:rPr>
          <w:rPr>
            <w:rFonts w:ascii="Cambria Math" w:hAnsiTheme="majorBidi" w:cstheme="majorBidi"/>
            <w:lang w:val="en-US"/>
          </w:rPr>
          <m:t>)</m:t>
        </m:r>
      </m:oMath>
      <w:r w:rsidRPr="000153A3">
        <w:rPr>
          <w:rFonts w:asciiTheme="majorBidi" w:hAnsiTheme="majorBidi" w:cstheme="majorBidi"/>
          <w:bCs/>
          <w:lang w:val="en-US"/>
        </w:rPr>
        <w:t>, has a chi-squared distribution with 1 degree of freedom when the null hypothesis is true.</w:t>
      </w:r>
    </w:p>
    <w:p w:rsidR="006433FD" w:rsidRPr="000153A3" w:rsidRDefault="006433FD" w:rsidP="000153A3">
      <w:pPr>
        <w:spacing w:after="0" w:line="240" w:lineRule="auto"/>
        <w:ind w:firstLine="340"/>
        <w:jc w:val="both"/>
        <w:rPr>
          <w:rFonts w:asciiTheme="majorBidi" w:hAnsiTheme="majorBidi" w:cstheme="majorBidi"/>
          <w:bCs/>
          <w:lang w:val="en-US"/>
        </w:rPr>
      </w:pPr>
      <w:r w:rsidRPr="000153A3">
        <w:rPr>
          <w:rFonts w:asciiTheme="majorBidi" w:hAnsiTheme="majorBidi" w:cstheme="majorBidi"/>
          <w:bCs/>
          <w:lang w:val="en-US"/>
        </w:rPr>
        <w:t>For reasons of brevity, we omit the table with the test results, which are available from the author upon request. In summary, the LR tests provide a clear rejection of the APARCH(1,1) model against the FIAPARCH(1,d,1) one for all currencies. Thus, purely from the perspective of searching for a model that best describes the volatility in the exchange rate</w:t>
      </w:r>
      <w:r w:rsidR="000153A3" w:rsidRPr="000153A3">
        <w:rPr>
          <w:rFonts w:asciiTheme="majorBidi" w:hAnsiTheme="majorBidi" w:cstheme="majorBidi"/>
          <w:bCs/>
          <w:lang w:val="en-US"/>
        </w:rPr>
        <w:t xml:space="preserve"> and stock price</w:t>
      </w:r>
      <w:r w:rsidRPr="000153A3">
        <w:rPr>
          <w:rFonts w:asciiTheme="majorBidi" w:hAnsiTheme="majorBidi" w:cstheme="majorBidi"/>
          <w:bCs/>
          <w:lang w:val="en-US"/>
        </w:rPr>
        <w:t xml:space="preserve"> series, the FIAPARCH(1,d,1) model appears to be the most satisfactory representation. This finding is important since the time series behavior of volatility could affect asset prices through the risk premium (see </w:t>
      </w:r>
      <w:r w:rsidRPr="00F42C3D">
        <w:rPr>
          <w:rFonts w:asciiTheme="majorBidi" w:hAnsiTheme="majorBidi" w:cstheme="majorBidi"/>
          <w:bCs/>
          <w:color w:val="00B0F0"/>
          <w:lang w:val="en-US"/>
        </w:rPr>
        <w:t>Christensen and Nielsen, 2007; Christensen et al., 2010; Conrad et al., 2011</w:t>
      </w:r>
      <w:r w:rsidRPr="000153A3">
        <w:rPr>
          <w:rFonts w:asciiTheme="majorBidi" w:hAnsiTheme="majorBidi" w:cstheme="majorBidi"/>
          <w:bCs/>
          <w:lang w:val="en-US"/>
        </w:rPr>
        <w:t>).</w:t>
      </w:r>
    </w:p>
    <w:p w:rsidR="006433FD" w:rsidRPr="000153A3" w:rsidRDefault="006433FD" w:rsidP="000153A3">
      <w:pPr>
        <w:spacing w:after="0" w:line="240" w:lineRule="auto"/>
        <w:ind w:firstLine="340"/>
        <w:jc w:val="both"/>
        <w:rPr>
          <w:rFonts w:asciiTheme="majorBidi" w:hAnsiTheme="majorBidi" w:cstheme="majorBidi"/>
          <w:bCs/>
          <w:lang w:val="en-US"/>
        </w:rPr>
      </w:pPr>
      <w:r w:rsidRPr="000153A3">
        <w:rPr>
          <w:rFonts w:asciiTheme="majorBidi" w:hAnsiTheme="majorBidi" w:cstheme="majorBidi"/>
          <w:bCs/>
          <w:lang w:val="en-US"/>
        </w:rPr>
        <w:t xml:space="preserve">With the aim of checking for the robustness of the LR testing results discussed above, we apply the Akaike (AIC), Schwarz (SIC), Shibata (SHIC) or Hannan-Quinn (HQIC) information criteria to rank the ARCH type models. According to these criteria, the optimal specification (i.e., APARCH or FIAPARCH) for all currencies is the FIAPARCH one. The two common values of the power term </w:t>
      </w:r>
      <m:oMath>
        <m:r>
          <m:rPr>
            <m:sty m:val="p"/>
          </m:rPr>
          <w:rPr>
            <w:rFonts w:ascii="Cambria Math" w:hAnsi="Cambria Math" w:cstheme="majorBidi"/>
            <w:lang w:val="en-US"/>
          </w:rPr>
          <m:t>(δ)</m:t>
        </m:r>
      </m:oMath>
      <w:r w:rsidRPr="000153A3">
        <w:rPr>
          <w:rFonts w:asciiTheme="majorBidi" w:hAnsiTheme="majorBidi" w:cstheme="majorBidi"/>
          <w:bCs/>
          <w:lang w:val="en-US"/>
        </w:rPr>
        <w:t xml:space="preserve"> imposed throughout much of the GARCH literature are </w:t>
      </w:r>
      <m:oMath>
        <m:r>
          <m:rPr>
            <m:sty m:val="p"/>
          </m:rPr>
          <w:rPr>
            <w:rFonts w:ascii="Cambria Math" w:hAnsi="Cambria Math" w:cstheme="majorBidi"/>
            <w:lang w:val="en-US"/>
          </w:rPr>
          <m:t>δ=2</m:t>
        </m:r>
      </m:oMath>
      <w:r w:rsidRPr="000153A3">
        <w:rPr>
          <w:rFonts w:asciiTheme="majorBidi" w:hAnsiTheme="majorBidi" w:cstheme="majorBidi"/>
          <w:bCs/>
          <w:lang w:val="en-US"/>
        </w:rPr>
        <w:t xml:space="preserve"> (Bollerslev's model) and </w:t>
      </w:r>
      <m:oMath>
        <m:r>
          <m:rPr>
            <m:sty m:val="p"/>
          </m:rPr>
          <w:rPr>
            <w:rFonts w:ascii="Cambria Math" w:hAnsi="Cambria Math" w:cstheme="majorBidi"/>
            <w:lang w:val="en-US"/>
          </w:rPr>
          <m:t>δ=1</m:t>
        </m:r>
      </m:oMath>
      <w:r w:rsidRPr="000153A3">
        <w:rPr>
          <w:rFonts w:asciiTheme="majorBidi" w:hAnsiTheme="majorBidi" w:cstheme="majorBidi"/>
          <w:bCs/>
          <w:lang w:val="en-US"/>
        </w:rPr>
        <w:t xml:space="preserve"> (the Taylor/Schwert specification). According to </w:t>
      </w:r>
      <w:r w:rsidRPr="00D00619">
        <w:rPr>
          <w:rFonts w:asciiTheme="majorBidi" w:hAnsiTheme="majorBidi" w:cstheme="majorBidi"/>
          <w:bCs/>
          <w:color w:val="00B0F0"/>
          <w:lang w:val="en-US"/>
        </w:rPr>
        <w:t>Brooks et al. (2000)</w:t>
      </w:r>
      <w:r w:rsidRPr="000153A3">
        <w:rPr>
          <w:rFonts w:asciiTheme="majorBidi" w:hAnsiTheme="majorBidi" w:cstheme="majorBidi"/>
          <w:bCs/>
          <w:lang w:val="en-US"/>
        </w:rPr>
        <w:t>, the invalid imposition of a particular value for the power term may lead to sub-optimal modeling and forecasting performance. For that reason, we test whether the estimated power terms are significantly different from unity or two using Wald tests (results not reported).</w:t>
      </w:r>
    </w:p>
    <w:p w:rsidR="006433FD" w:rsidRPr="000153A3" w:rsidRDefault="000153A3" w:rsidP="006433FD">
      <w:pPr>
        <w:spacing w:after="0" w:line="240" w:lineRule="auto"/>
        <w:ind w:firstLine="357"/>
        <w:jc w:val="both"/>
        <w:rPr>
          <w:rFonts w:asciiTheme="majorBidi" w:hAnsiTheme="majorBidi" w:cstheme="majorBidi"/>
          <w:bCs/>
          <w:lang w:val="en-US"/>
        </w:rPr>
      </w:pPr>
      <w:r w:rsidRPr="000153A3">
        <w:rPr>
          <w:rFonts w:asciiTheme="majorBidi" w:hAnsiTheme="majorBidi" w:cstheme="majorBidi"/>
          <w:bCs/>
          <w:lang w:val="en-US"/>
        </w:rPr>
        <w:t>We find that all four</w:t>
      </w:r>
      <w:r w:rsidR="006433FD" w:rsidRPr="000153A3">
        <w:rPr>
          <w:rFonts w:asciiTheme="majorBidi" w:hAnsiTheme="majorBidi" w:cstheme="majorBidi"/>
          <w:bCs/>
          <w:lang w:val="en-US"/>
        </w:rPr>
        <w:t xml:space="preserve"> estimated power coefficients are significantly different from unity. Furthermore, each of the power terms is significantly different from two. Hence, on the basis of these </w:t>
      </w:r>
      <w:r w:rsidR="006433FD" w:rsidRPr="000153A3">
        <w:rPr>
          <w:rFonts w:asciiTheme="majorBidi" w:hAnsiTheme="majorBidi" w:cstheme="majorBidi"/>
          <w:bCs/>
          <w:lang w:val="en-US"/>
        </w:rPr>
        <w:lastRenderedPageBreak/>
        <w:t xml:space="preserve">findings, support is found for the (asymmetric) power fractionally integrated model, which allows an optimal power transformation term to be estimated.The evidence obtained from the Wald tests is reinforced by the model ranking provided by the four model selection criteria (values not reported). This is a noteworthy result since </w:t>
      </w:r>
      <w:r w:rsidR="006433FD" w:rsidRPr="00D00619">
        <w:rPr>
          <w:rFonts w:asciiTheme="majorBidi" w:hAnsiTheme="majorBidi" w:cstheme="majorBidi"/>
          <w:bCs/>
          <w:color w:val="00B0F0"/>
          <w:lang w:val="en-US"/>
        </w:rPr>
        <w:t>He and Teräsvirta (1999)</w:t>
      </w:r>
      <w:r w:rsidR="006433FD" w:rsidRPr="000153A3">
        <w:rPr>
          <w:rFonts w:asciiTheme="majorBidi" w:hAnsiTheme="majorBidi" w:cstheme="majorBidi"/>
          <w:bCs/>
          <w:lang w:val="en-US"/>
        </w:rPr>
        <w:t xml:space="preserve"> emphasized that if the standard Bollerlsev type of model is augmented by the ‘heteroskedasticity’ parameter, the estimates of the ARCH and GARCH coefficients almost certainly change. More importantly, </w:t>
      </w:r>
      <w:r w:rsidR="006433FD" w:rsidRPr="00D00619">
        <w:rPr>
          <w:rFonts w:asciiTheme="majorBidi" w:hAnsiTheme="majorBidi" w:cstheme="majorBidi"/>
          <w:bCs/>
          <w:color w:val="00B0F0"/>
          <w:lang w:val="en-US"/>
        </w:rPr>
        <w:t>Karanasos and Schurer (2008)</w:t>
      </w:r>
      <w:r w:rsidR="006433FD" w:rsidRPr="000153A3">
        <w:rPr>
          <w:rFonts w:asciiTheme="majorBidi" w:hAnsiTheme="majorBidi" w:cstheme="majorBidi"/>
          <w:bCs/>
          <w:lang w:val="en-US"/>
        </w:rPr>
        <w:t xml:space="preserve"> show that, in the univariate GARCH-in-mean level formulation, the significance of the in-mean effect is sensitive to the choice of the power term.</w:t>
      </w:r>
    </w:p>
    <w:p w:rsidR="00B426CA" w:rsidRPr="006433FD" w:rsidRDefault="00B426CA" w:rsidP="006433FD">
      <w:pPr>
        <w:spacing w:after="0" w:line="240" w:lineRule="auto"/>
        <w:ind w:firstLine="357"/>
        <w:jc w:val="both"/>
        <w:rPr>
          <w:rFonts w:asciiTheme="majorBidi" w:hAnsiTheme="majorBidi" w:cstheme="majorBidi"/>
          <w:color w:val="FF0000"/>
          <w:lang w:val="en-US"/>
        </w:rPr>
      </w:pPr>
    </w:p>
    <w:p w:rsidR="00B426CA" w:rsidRPr="0062679E" w:rsidRDefault="00B426CA" w:rsidP="0062679E">
      <w:pPr>
        <w:pStyle w:val="Paragraphedeliste"/>
        <w:numPr>
          <w:ilvl w:val="1"/>
          <w:numId w:val="1"/>
        </w:numPr>
        <w:spacing w:after="0" w:line="240" w:lineRule="auto"/>
        <w:jc w:val="both"/>
        <w:rPr>
          <w:rFonts w:asciiTheme="majorBidi" w:hAnsiTheme="majorBidi" w:cstheme="majorBidi"/>
          <w:b/>
          <w:sz w:val="23"/>
          <w:szCs w:val="23"/>
          <w:lang w:val="en-US"/>
        </w:rPr>
      </w:pPr>
      <w:r w:rsidRPr="0062679E">
        <w:rPr>
          <w:rFonts w:asciiTheme="majorBidi" w:hAnsiTheme="majorBidi" w:cstheme="majorBidi"/>
          <w:b/>
          <w:sz w:val="23"/>
          <w:szCs w:val="23"/>
          <w:lang w:val="en-US"/>
        </w:rPr>
        <w:t>The bivariate FIAPARCH(1,d,1)-DCC estimates</w:t>
      </w:r>
    </w:p>
    <w:p w:rsidR="00B426CA" w:rsidRPr="001C4D00" w:rsidRDefault="00B426CA" w:rsidP="00B426CA">
      <w:pPr>
        <w:pStyle w:val="Paragraphedeliste"/>
        <w:spacing w:after="0" w:line="240" w:lineRule="auto"/>
        <w:jc w:val="both"/>
        <w:rPr>
          <w:rFonts w:asciiTheme="majorBidi" w:hAnsiTheme="majorBidi" w:cstheme="majorBidi"/>
          <w:b/>
          <w:color w:val="FF0000"/>
          <w:sz w:val="23"/>
          <w:szCs w:val="23"/>
          <w:lang w:val="en-US"/>
        </w:rPr>
      </w:pPr>
    </w:p>
    <w:p w:rsidR="00B426CA" w:rsidRPr="00FB099E" w:rsidRDefault="00B426CA" w:rsidP="00FB099E">
      <w:pPr>
        <w:spacing w:after="0" w:line="240" w:lineRule="auto"/>
        <w:ind w:firstLine="357"/>
        <w:jc w:val="both"/>
        <w:rPr>
          <w:rFonts w:asciiTheme="majorBidi" w:hAnsiTheme="majorBidi" w:cstheme="majorBidi"/>
          <w:bCs/>
          <w:lang w:val="en-US"/>
        </w:rPr>
      </w:pPr>
      <w:r w:rsidRPr="00FB099E">
        <w:rPr>
          <w:rFonts w:asciiTheme="majorBidi" w:hAnsiTheme="majorBidi" w:cstheme="majorBidi"/>
          <w:bCs/>
          <w:lang w:val="en-US"/>
        </w:rPr>
        <w:t>The analysis above suggests that the FIAPARCH specification describes the c</w:t>
      </w:r>
      <w:r w:rsidR="00FB099E" w:rsidRPr="00FB099E">
        <w:rPr>
          <w:rFonts w:asciiTheme="majorBidi" w:hAnsiTheme="majorBidi" w:cstheme="majorBidi"/>
          <w:bCs/>
          <w:lang w:val="en-US"/>
        </w:rPr>
        <w:t>onditional variances of the exchange rate and three stock prices</w:t>
      </w:r>
      <w:r w:rsidRPr="00FB099E">
        <w:rPr>
          <w:rFonts w:asciiTheme="majorBidi" w:hAnsiTheme="majorBidi" w:cstheme="majorBidi"/>
          <w:bCs/>
          <w:lang w:val="en-US"/>
        </w:rPr>
        <w:t xml:space="preserve"> well. Nevertheless, exchange rate market</w:t>
      </w:r>
      <w:r w:rsidR="00FB099E" w:rsidRPr="00FB099E">
        <w:rPr>
          <w:rFonts w:asciiTheme="majorBidi" w:hAnsiTheme="majorBidi" w:cstheme="majorBidi"/>
          <w:bCs/>
          <w:lang w:val="en-US"/>
        </w:rPr>
        <w:t xml:space="preserve"> and stock market</w:t>
      </w:r>
      <w:r w:rsidRPr="00FB099E">
        <w:rPr>
          <w:rFonts w:asciiTheme="majorBidi" w:hAnsiTheme="majorBidi" w:cstheme="majorBidi"/>
          <w:bCs/>
          <w:lang w:val="en-US"/>
        </w:rPr>
        <w:t xml:space="preserve"> volatilities move together across assets and markets. According to </w:t>
      </w:r>
      <w:r w:rsidRPr="00D00619">
        <w:rPr>
          <w:rFonts w:asciiTheme="majorBidi" w:hAnsiTheme="majorBidi" w:cstheme="majorBidi"/>
          <w:bCs/>
          <w:color w:val="00B0F0"/>
          <w:lang w:val="en-US"/>
        </w:rPr>
        <w:t>Bauwens and Laurent (2005)</w:t>
      </w:r>
      <w:r w:rsidRPr="00FB099E">
        <w:rPr>
          <w:rFonts w:asciiTheme="majorBidi" w:hAnsiTheme="majorBidi" w:cstheme="majorBidi"/>
          <w:bCs/>
          <w:lang w:val="en-US"/>
        </w:rPr>
        <w:t xml:space="preserve">, </w:t>
      </w:r>
      <w:r w:rsidRPr="00D00619">
        <w:rPr>
          <w:rFonts w:asciiTheme="majorBidi" w:hAnsiTheme="majorBidi" w:cstheme="majorBidi"/>
          <w:bCs/>
          <w:color w:val="00B0F0"/>
          <w:lang w:val="en-US"/>
        </w:rPr>
        <w:t>Bauwens et al. (2006)</w:t>
      </w:r>
      <w:r w:rsidRPr="00FB099E">
        <w:rPr>
          <w:rFonts w:asciiTheme="majorBidi" w:hAnsiTheme="majorBidi" w:cstheme="majorBidi"/>
          <w:bCs/>
          <w:lang w:val="en-US"/>
        </w:rPr>
        <w:t xml:space="preserve"> and </w:t>
      </w:r>
      <w:r w:rsidRPr="00D00619">
        <w:rPr>
          <w:rFonts w:asciiTheme="majorBidi" w:hAnsiTheme="majorBidi" w:cstheme="majorBidi"/>
          <w:bCs/>
          <w:color w:val="00B0F0"/>
          <w:lang w:val="en-US"/>
        </w:rPr>
        <w:t>Silvennoinen and Terasvirta (2007)</w:t>
      </w:r>
      <w:r w:rsidRPr="00FB099E">
        <w:rPr>
          <w:rFonts w:asciiTheme="majorBidi" w:hAnsiTheme="majorBidi" w:cstheme="majorBidi"/>
          <w:bCs/>
          <w:lang w:val="en-US"/>
        </w:rPr>
        <w:t>, among others, recognizing this feature through a multivariate modeling structure could lead to obvious gains in efficiency compared to working with separate univariate specifications. Therefore, the multivariate FIAPARCH model seems to be essential for enhancing our understanding of the relationships between the (co)volatilities of economic and financial time series.</w:t>
      </w:r>
    </w:p>
    <w:p w:rsidR="00B426CA" w:rsidRPr="00024402" w:rsidRDefault="00B426CA" w:rsidP="00B426CA">
      <w:pPr>
        <w:spacing w:after="0" w:line="240" w:lineRule="auto"/>
        <w:ind w:firstLine="340"/>
        <w:contextualSpacing/>
        <w:jc w:val="both"/>
        <w:rPr>
          <w:rFonts w:asciiTheme="majorBidi" w:hAnsiTheme="majorBidi" w:cstheme="majorBidi"/>
          <w:bCs/>
          <w:lang w:val="en-US"/>
        </w:rPr>
      </w:pPr>
      <w:r w:rsidRPr="00FB099E">
        <w:rPr>
          <w:rFonts w:asciiTheme="majorBidi" w:hAnsiTheme="majorBidi" w:cstheme="majorBidi"/>
          <w:bCs/>
          <w:lang w:val="en-US"/>
        </w:rPr>
        <w:t>In this section, within the framework of the multivariate DCC model, we analyze the dynamic adjustmen</w:t>
      </w:r>
      <w:r w:rsidR="00FB099E" w:rsidRPr="00FB099E">
        <w:rPr>
          <w:rFonts w:asciiTheme="majorBidi" w:hAnsiTheme="majorBidi" w:cstheme="majorBidi"/>
          <w:bCs/>
          <w:lang w:val="en-US"/>
        </w:rPr>
        <w:t>ts of the variances for the three stock prices and exchange rate</w:t>
      </w:r>
      <w:r w:rsidRPr="00FB099E">
        <w:rPr>
          <w:rFonts w:asciiTheme="majorBidi" w:hAnsiTheme="majorBidi" w:cstheme="majorBidi"/>
          <w:bCs/>
          <w:lang w:val="en-US"/>
        </w:rPr>
        <w:t>.</w:t>
      </w:r>
      <w:r w:rsidR="00024402" w:rsidRPr="00024402">
        <w:rPr>
          <w:rFonts w:asciiTheme="majorBidi" w:hAnsiTheme="majorBidi" w:cstheme="majorBidi"/>
          <w:bCs/>
          <w:lang w:val="en-US"/>
        </w:rPr>
        <w:t>Overall, we estimate three</w:t>
      </w:r>
      <w:r w:rsidRPr="00024402">
        <w:rPr>
          <w:rFonts w:asciiTheme="majorBidi" w:hAnsiTheme="majorBidi" w:cstheme="majorBidi"/>
          <w:bCs/>
          <w:lang w:val="en-US"/>
        </w:rPr>
        <w:t xml:space="preserve"> bivariate specifications for our analysis.</w:t>
      </w:r>
      <w:r w:rsidR="00FF4725">
        <w:rPr>
          <w:rFonts w:asciiTheme="majorBidi" w:hAnsiTheme="majorBidi" w:cstheme="majorBidi"/>
          <w:bCs/>
          <w:lang w:val="en-US"/>
        </w:rPr>
        <w:t>Table 4</w:t>
      </w:r>
      <w:r w:rsidRPr="00024402">
        <w:rPr>
          <w:rFonts w:asciiTheme="majorBidi" w:hAnsiTheme="majorBidi" w:cstheme="majorBidi"/>
          <w:bCs/>
          <w:lang w:val="en-US"/>
        </w:rPr>
        <w:t xml:space="preserve"> (Panels A and B) reports the estimation results of the bivariate student-t-FIAPARCH(1,d,1)-DCC model. The ARCH and GARCH parameters (</w:t>
      </w:r>
      <m:oMath>
        <m:r>
          <m:rPr>
            <m:sty m:val="p"/>
          </m:rPr>
          <w:rPr>
            <w:rFonts w:ascii="Cambria Math" w:hAnsi="Cambria Math" w:cstheme="majorBidi"/>
            <w:lang w:val="en-US"/>
          </w:rPr>
          <m:t>a</m:t>
        </m:r>
      </m:oMath>
      <w:r w:rsidRPr="00024402">
        <w:rPr>
          <w:rFonts w:asciiTheme="majorBidi" w:hAnsiTheme="majorBidi" w:cstheme="majorBidi"/>
          <w:bCs/>
          <w:lang w:val="en-US"/>
        </w:rPr>
        <w:t xml:space="preserve"> and </w:t>
      </w:r>
      <m:oMath>
        <m:r>
          <m:rPr>
            <m:sty m:val="p"/>
          </m:rPr>
          <w:rPr>
            <w:rFonts w:ascii="Cambria Math" w:hAnsi="Cambria Math" w:cstheme="majorBidi"/>
            <w:lang w:val="en-US"/>
          </w:rPr>
          <m:t>b</m:t>
        </m:r>
      </m:oMath>
      <w:r w:rsidRPr="00024402">
        <w:rPr>
          <w:rFonts w:asciiTheme="majorBidi" w:hAnsiTheme="majorBidi" w:cstheme="majorBidi"/>
          <w:bCs/>
          <w:lang w:val="en-US"/>
        </w:rPr>
        <w:t>) of the DCC(1,1) model capture, respectively, the effects of standardized lagged shocks and the lagged dynamic conditional correlations effects on current dynamic conditional correlation.They are statistically significant at the 1%</w:t>
      </w:r>
      <w:r w:rsidR="00024402" w:rsidRPr="00024402">
        <w:rPr>
          <w:rFonts w:asciiTheme="majorBidi" w:hAnsiTheme="majorBidi" w:cstheme="majorBidi"/>
          <w:bCs/>
          <w:lang w:val="en-US"/>
        </w:rPr>
        <w:t xml:space="preserve"> and 5%</w:t>
      </w:r>
      <w:r w:rsidRPr="00024402">
        <w:rPr>
          <w:rFonts w:asciiTheme="majorBidi" w:hAnsiTheme="majorBidi" w:cstheme="majorBidi"/>
          <w:bCs/>
          <w:lang w:val="en-US"/>
        </w:rPr>
        <w:t xml:space="preserve"> level</w:t>
      </w:r>
      <w:r w:rsidR="00024402" w:rsidRPr="00024402">
        <w:rPr>
          <w:rFonts w:asciiTheme="majorBidi" w:hAnsiTheme="majorBidi" w:cstheme="majorBidi"/>
          <w:bCs/>
          <w:lang w:val="en-US"/>
        </w:rPr>
        <w:t>s</w:t>
      </w:r>
      <w:r w:rsidRPr="00024402">
        <w:rPr>
          <w:rFonts w:asciiTheme="majorBidi" w:hAnsiTheme="majorBidi" w:cstheme="majorBidi"/>
          <w:bCs/>
          <w:lang w:val="en-US"/>
        </w:rPr>
        <w:t xml:space="preserve">, indicating the existence of time-varying correlations.Moreover, they are non-negative, justifying the appropriateness of the FIAPARCH model. When </w:t>
      </w:r>
      <m:oMath>
        <m:r>
          <w:rPr>
            <w:rFonts w:ascii="Cambria Math" w:hAnsi="Cambria Math" w:cstheme="majorBidi"/>
            <w:lang w:val="en-US"/>
          </w:rPr>
          <m:t>a</m:t>
        </m:r>
        <m:r>
          <w:rPr>
            <w:rFonts w:ascii="Cambria Math" w:hAnsiTheme="majorBidi" w:cstheme="majorBidi"/>
            <w:lang w:val="en-US"/>
          </w:rPr>
          <m:t xml:space="preserve"> = 0</m:t>
        </m:r>
      </m:oMath>
      <w:r w:rsidRPr="00024402">
        <w:rPr>
          <w:rFonts w:asciiTheme="majorBidi" w:hAnsiTheme="majorBidi" w:cstheme="majorBidi"/>
          <w:bCs/>
          <w:lang w:val="en-US"/>
        </w:rPr>
        <w:t xml:space="preserve">and </w:t>
      </w:r>
      <m:oMath>
        <m:r>
          <w:rPr>
            <w:rFonts w:ascii="Cambria Math" w:hAnsi="Cambria Math" w:cstheme="majorBidi"/>
            <w:lang w:val="en-US"/>
          </w:rPr>
          <m:t>b</m:t>
        </m:r>
        <m:r>
          <w:rPr>
            <w:rFonts w:ascii="Cambria Math" w:hAnsiTheme="majorBidi" w:cstheme="majorBidi"/>
            <w:lang w:val="en-US"/>
          </w:rPr>
          <m:t xml:space="preserve"> = 0</m:t>
        </m:r>
      </m:oMath>
      <w:r w:rsidRPr="00024402">
        <w:rPr>
          <w:rFonts w:asciiTheme="majorBidi" w:hAnsiTheme="majorBidi" w:cstheme="majorBidi"/>
          <w:bCs/>
          <w:lang w:val="en-US"/>
        </w:rPr>
        <w:t>, we obtain the Bollerslev’s (1990) Constant Conditional Correlation (CCC) model.</w:t>
      </w:r>
      <w:r w:rsidR="00FF4725">
        <w:rPr>
          <w:rFonts w:asciiTheme="majorBidi" w:hAnsiTheme="majorBidi" w:cstheme="majorBidi"/>
          <w:bCs/>
          <w:lang w:val="en-US"/>
        </w:rPr>
        <w:t>As shown in Table 4</w:t>
      </w:r>
      <w:r w:rsidRPr="00024402">
        <w:rPr>
          <w:rFonts w:asciiTheme="majorBidi" w:hAnsiTheme="majorBidi" w:cstheme="majorBidi"/>
          <w:bCs/>
          <w:lang w:val="en-US"/>
        </w:rPr>
        <w:t xml:space="preserve">, the estimated coefficients </w:t>
      </w:r>
      <m:oMath>
        <m:r>
          <m:rPr>
            <m:sty m:val="p"/>
          </m:rPr>
          <w:rPr>
            <w:rFonts w:ascii="Cambria Math" w:hAnsi="Cambria Math" w:cstheme="majorBidi"/>
            <w:lang w:val="en-US"/>
          </w:rPr>
          <m:t>a</m:t>
        </m:r>
      </m:oMath>
      <w:r w:rsidRPr="00024402">
        <w:rPr>
          <w:rFonts w:asciiTheme="majorBidi" w:hAnsiTheme="majorBidi" w:cstheme="majorBidi"/>
          <w:bCs/>
          <w:lang w:val="en-US"/>
        </w:rPr>
        <w:t xml:space="preserve"> and </w:t>
      </w:r>
      <m:oMath>
        <m:r>
          <m:rPr>
            <m:sty m:val="p"/>
          </m:rPr>
          <w:rPr>
            <w:rFonts w:ascii="Cambria Math" w:hAnsi="Cambria Math" w:cstheme="majorBidi"/>
            <w:lang w:val="en-US"/>
          </w:rPr>
          <m:t>b</m:t>
        </m:r>
      </m:oMath>
      <w:r w:rsidRPr="00024402">
        <w:rPr>
          <w:rFonts w:asciiTheme="majorBidi" w:hAnsiTheme="majorBidi" w:cstheme="majorBidi"/>
          <w:bCs/>
          <w:lang w:val="en-US"/>
        </w:rPr>
        <w:t xml:space="preserve"> are significantly positive and satisfy the inequality </w:t>
      </w:r>
      <m:oMath>
        <m:r>
          <m:rPr>
            <m:sty m:val="p"/>
          </m:rPr>
          <w:rPr>
            <w:rFonts w:ascii="Cambria Math" w:hAnsi="Cambria Math" w:cstheme="majorBidi"/>
            <w:lang w:val="en-US"/>
          </w:rPr>
          <m:t>a</m:t>
        </m:r>
        <m:r>
          <m:rPr>
            <m:sty m:val="p"/>
          </m:rPr>
          <w:rPr>
            <w:rFonts w:ascii="Cambria Math" w:hAnsiTheme="majorBidi" w:cstheme="majorBidi"/>
            <w:lang w:val="en-US"/>
          </w:rPr>
          <m:t xml:space="preserve"> + </m:t>
        </m:r>
        <m:r>
          <m:rPr>
            <m:sty m:val="p"/>
          </m:rPr>
          <w:rPr>
            <w:rFonts w:ascii="Cambria Math" w:hAnsi="Cambria Math" w:cstheme="majorBidi"/>
            <w:lang w:val="en-US"/>
          </w:rPr>
          <m:t>b</m:t>
        </m:r>
        <m:r>
          <m:rPr>
            <m:sty m:val="p"/>
          </m:rPr>
          <w:rPr>
            <w:rFonts w:ascii="Cambria Math" w:hAnsiTheme="majorBidi" w:cstheme="majorBidi"/>
            <w:lang w:val="en-US"/>
          </w:rPr>
          <m:t>&lt;</m:t>
        </m:r>
        <m:r>
          <w:rPr>
            <w:rFonts w:ascii="Cambria Math" w:hAnsiTheme="majorBidi" w:cstheme="majorBidi"/>
            <w:lang w:val="en-US"/>
          </w:rPr>
          <m:t>1</m:t>
        </m:r>
      </m:oMath>
      <w:r w:rsidRPr="00024402">
        <w:rPr>
          <w:rFonts w:asciiTheme="majorBidi" w:hAnsiTheme="majorBidi" w:cstheme="majorBidi"/>
          <w:bCs/>
          <w:lang w:val="en-US"/>
        </w:rPr>
        <w:t xml:space="preserve"> in</w:t>
      </w:r>
      <w:r w:rsidR="00024402" w:rsidRPr="00024402">
        <w:rPr>
          <w:rFonts w:asciiTheme="majorBidi" w:hAnsiTheme="majorBidi" w:cstheme="majorBidi"/>
          <w:bCs/>
          <w:lang w:val="en-US"/>
        </w:rPr>
        <w:t xml:space="preserve"> each of the pairs of exchange rate and stock prices</w:t>
      </w:r>
      <w:r w:rsidRPr="00024402">
        <w:rPr>
          <w:rFonts w:asciiTheme="majorBidi" w:hAnsiTheme="majorBidi" w:cstheme="majorBidi"/>
          <w:bCs/>
          <w:lang w:val="en-US"/>
        </w:rPr>
        <w:t xml:space="preserve">. Besides, the t-student degrees of freedom parameter </w:t>
      </w:r>
      <m:oMath>
        <m:r>
          <m:rPr>
            <m:sty m:val="p"/>
          </m:rPr>
          <w:rPr>
            <w:rFonts w:ascii="Cambria Math" w:hAnsi="Cambria Math" w:cstheme="majorBidi"/>
            <w:lang w:val="en-US"/>
          </w:rPr>
          <m:t>(v)</m:t>
        </m:r>
      </m:oMath>
      <w:r w:rsidRPr="00024402">
        <w:rPr>
          <w:rFonts w:asciiTheme="majorBidi" w:hAnsiTheme="majorBidi" w:cstheme="majorBidi"/>
          <w:bCs/>
          <w:lang w:val="en-US"/>
        </w:rPr>
        <w:t xml:space="preserve"> is highly significant, supporting the choice of this distribution.</w:t>
      </w:r>
    </w:p>
    <w:p w:rsidR="00B426CA" w:rsidRPr="00024402" w:rsidRDefault="00B426CA" w:rsidP="00B426CA">
      <w:pPr>
        <w:spacing w:after="0" w:line="240" w:lineRule="auto"/>
        <w:ind w:firstLine="357"/>
        <w:jc w:val="both"/>
        <w:rPr>
          <w:rFonts w:asciiTheme="majorBidi" w:hAnsiTheme="majorBidi" w:cstheme="majorBidi"/>
          <w:bCs/>
          <w:lang w:val="en-US"/>
        </w:rPr>
      </w:pPr>
      <w:r w:rsidRPr="00024402">
        <w:rPr>
          <w:rFonts w:asciiTheme="majorBidi" w:hAnsiTheme="majorBidi" w:cstheme="majorBidi"/>
          <w:bCs/>
          <w:lang w:val="en-US"/>
        </w:rPr>
        <w:t>The statistical significance of the DCC parameters (</w:t>
      </w:r>
      <m:oMath>
        <m:r>
          <m:rPr>
            <m:sty m:val="p"/>
          </m:rPr>
          <w:rPr>
            <w:rFonts w:ascii="Cambria Math" w:hAnsi="Cambria Math" w:cstheme="majorBidi"/>
            <w:lang w:val="en-US"/>
          </w:rPr>
          <m:t>a</m:t>
        </m:r>
      </m:oMath>
      <w:r w:rsidRPr="00024402">
        <w:rPr>
          <w:rFonts w:asciiTheme="majorBidi" w:hAnsiTheme="majorBidi" w:cstheme="majorBidi"/>
          <w:bCs/>
          <w:lang w:val="en-US"/>
        </w:rPr>
        <w:t xml:space="preserve">and </w:t>
      </w:r>
      <m:oMath>
        <m:r>
          <m:rPr>
            <m:sty m:val="p"/>
          </m:rPr>
          <w:rPr>
            <w:rFonts w:ascii="Cambria Math" w:hAnsi="Cambria Math" w:cstheme="majorBidi"/>
            <w:lang w:val="en-US"/>
          </w:rPr>
          <m:t>b</m:t>
        </m:r>
      </m:oMath>
      <w:r w:rsidRPr="00024402">
        <w:rPr>
          <w:rFonts w:asciiTheme="majorBidi" w:hAnsiTheme="majorBidi" w:cstheme="majorBidi"/>
          <w:bCs/>
          <w:lang w:val="en-US"/>
        </w:rPr>
        <w:t>) reveals a considerable time-varying comovement and thus a high persistence of the conditional correlation. The sum of these parameters is close</w:t>
      </w:r>
      <w:r w:rsidR="00024402" w:rsidRPr="00024402">
        <w:rPr>
          <w:rFonts w:asciiTheme="majorBidi" w:hAnsiTheme="majorBidi" w:cstheme="majorBidi"/>
          <w:bCs/>
          <w:lang w:val="en-US"/>
        </w:rPr>
        <w:t xml:space="preserve"> to unity and range between 0.9825 (USDEUR-NIKKEI225</w:t>
      </w:r>
      <w:r w:rsidRPr="00024402">
        <w:rPr>
          <w:rFonts w:asciiTheme="majorBidi" w:hAnsiTheme="majorBidi" w:cstheme="majorBidi"/>
          <w:bCs/>
          <w:lang w:val="en-US"/>
        </w:rPr>
        <w:t>)</w:t>
      </w:r>
      <w:r w:rsidR="00024402" w:rsidRPr="00024402">
        <w:rPr>
          <w:rFonts w:asciiTheme="majorBidi" w:hAnsiTheme="majorBidi" w:cstheme="majorBidi"/>
          <w:bCs/>
          <w:lang w:val="en-US"/>
        </w:rPr>
        <w:t xml:space="preserve"> and 0.9995 (USDEUR-MSCI</w:t>
      </w:r>
      <w:r w:rsidRPr="00024402">
        <w:rPr>
          <w:rFonts w:asciiTheme="majorBidi" w:hAnsiTheme="majorBidi" w:cstheme="majorBidi"/>
          <w:bCs/>
          <w:lang w:val="en-US"/>
        </w:rPr>
        <w:t xml:space="preserve">). This implies that the volatility displays a highly persistent fashion. Since </w:t>
      </w:r>
      <m:oMath>
        <m:r>
          <m:rPr>
            <m:sty m:val="p"/>
          </m:rPr>
          <w:rPr>
            <w:rFonts w:ascii="Cambria Math" w:hAnsi="Cambria Math" w:cstheme="majorBidi"/>
            <w:lang w:val="en-US"/>
          </w:rPr>
          <m:t>a</m:t>
        </m:r>
        <m:r>
          <m:rPr>
            <m:sty m:val="p"/>
          </m:rPr>
          <w:rPr>
            <w:rFonts w:ascii="Cambria Math" w:hAnsiTheme="majorBidi" w:cstheme="majorBidi"/>
            <w:lang w:val="en-US"/>
          </w:rPr>
          <m:t xml:space="preserve"> + </m:t>
        </m:r>
        <m:r>
          <m:rPr>
            <m:sty m:val="p"/>
          </m:rPr>
          <w:rPr>
            <w:rFonts w:ascii="Cambria Math" w:hAnsi="Cambria Math" w:cstheme="majorBidi"/>
            <w:lang w:val="en-US"/>
          </w:rPr>
          <m:t>b</m:t>
        </m:r>
        <m:r>
          <m:rPr>
            <m:sty m:val="p"/>
          </m:rPr>
          <w:rPr>
            <w:rFonts w:ascii="Cambria Math" w:hAnsiTheme="majorBidi" w:cstheme="majorBidi"/>
            <w:lang w:val="en-US"/>
          </w:rPr>
          <m:t>&lt;</m:t>
        </m:r>
        <m:r>
          <w:rPr>
            <w:rFonts w:ascii="Cambria Math" w:hAnsiTheme="majorBidi" w:cstheme="majorBidi"/>
            <w:lang w:val="en-US"/>
          </w:rPr>
          <m:t>1</m:t>
        </m:r>
      </m:oMath>
      <w:r w:rsidRPr="00024402">
        <w:rPr>
          <w:rFonts w:asciiTheme="majorBidi" w:hAnsiTheme="majorBidi" w:cstheme="majorBidi"/>
          <w:bCs/>
          <w:lang w:val="en-US"/>
        </w:rPr>
        <w:t>, the dynamic correlations revolve around a constant level and the dynamic process appears to be mean reverting.The multivariate FIAPARCH-DCC model is so important to consider in our analysis since it has some key advantages. First, it captures the long range dependence property. Second, it allows obtaining all possible pair-wise conditional correlation coefficients for the exchange rate returns</w:t>
      </w:r>
      <w:r w:rsidR="00024402" w:rsidRPr="00024402">
        <w:rPr>
          <w:rFonts w:asciiTheme="majorBidi" w:hAnsiTheme="majorBidi" w:cstheme="majorBidi"/>
          <w:bCs/>
          <w:lang w:val="en-US"/>
        </w:rPr>
        <w:t xml:space="preserve"> and stock prices</w:t>
      </w:r>
      <w:r w:rsidRPr="00024402">
        <w:rPr>
          <w:rFonts w:asciiTheme="majorBidi" w:hAnsiTheme="majorBidi" w:cstheme="majorBidi"/>
          <w:bCs/>
          <w:lang w:val="en-US"/>
        </w:rPr>
        <w:t xml:space="preserve"> in the sample. Third, it’s possible to investigate their behavior during periods of particular interest, such as periods of the global financial and European sovereign debt crises. Fourth, the model allows looking at possible financial contagion effects between international foreign exchange</w:t>
      </w:r>
      <w:r w:rsidR="00024402" w:rsidRPr="00024402">
        <w:rPr>
          <w:rFonts w:asciiTheme="majorBidi" w:hAnsiTheme="majorBidi" w:cstheme="majorBidi"/>
          <w:bCs/>
          <w:lang w:val="en-US"/>
        </w:rPr>
        <w:t xml:space="preserve"> and stock</w:t>
      </w:r>
      <w:r w:rsidRPr="00024402">
        <w:rPr>
          <w:rFonts w:asciiTheme="majorBidi" w:hAnsiTheme="majorBidi" w:cstheme="majorBidi"/>
          <w:bCs/>
          <w:lang w:val="en-US"/>
        </w:rPr>
        <w:t xml:space="preserve"> markets.</w:t>
      </w:r>
    </w:p>
    <w:p w:rsidR="002D2222" w:rsidRPr="00341063" w:rsidRDefault="00B426CA" w:rsidP="00341063">
      <w:pPr>
        <w:spacing w:after="0" w:line="240" w:lineRule="auto"/>
        <w:ind w:firstLine="357"/>
        <w:jc w:val="both"/>
        <w:rPr>
          <w:rFonts w:asciiTheme="majorBidi" w:hAnsiTheme="majorBidi" w:cstheme="majorBidi"/>
          <w:bCs/>
          <w:lang w:val="en-US"/>
        </w:rPr>
      </w:pPr>
      <w:r w:rsidRPr="00024402">
        <w:rPr>
          <w:rFonts w:asciiTheme="majorBidi" w:hAnsiTheme="majorBidi" w:cstheme="majorBidi"/>
          <w:bCs/>
          <w:lang w:val="en-US"/>
        </w:rPr>
        <w:t>Finally, it is crucial to check whether the selected exchange rate</w:t>
      </w:r>
      <w:r w:rsidR="00024402" w:rsidRPr="00024402">
        <w:rPr>
          <w:rFonts w:asciiTheme="majorBidi" w:hAnsiTheme="majorBidi" w:cstheme="majorBidi"/>
          <w:bCs/>
          <w:lang w:val="en-US"/>
        </w:rPr>
        <w:t xml:space="preserve"> and stock price</w:t>
      </w:r>
      <w:r w:rsidRPr="00024402">
        <w:rPr>
          <w:rFonts w:asciiTheme="majorBidi" w:hAnsiTheme="majorBidi" w:cstheme="majorBidi"/>
          <w:bCs/>
          <w:lang w:val="en-US"/>
        </w:rPr>
        <w:t xml:space="preserve"> series display evidence of multivariate Long Memory ARCH effects and to test ability of the Multivariate FIAPARCH specification to capture the volatility linkages among currencies. </w:t>
      </w:r>
      <w:r w:rsidRPr="00D00619">
        <w:rPr>
          <w:rFonts w:asciiTheme="majorBidi" w:hAnsiTheme="majorBidi" w:cstheme="majorBidi"/>
          <w:bCs/>
          <w:color w:val="00B0F0"/>
          <w:lang w:val="en-US"/>
        </w:rPr>
        <w:t>Kroner and Ng (1998)</w:t>
      </w:r>
      <w:r w:rsidRPr="00024402">
        <w:rPr>
          <w:rFonts w:asciiTheme="majorBidi" w:hAnsiTheme="majorBidi" w:cstheme="majorBidi"/>
          <w:bCs/>
          <w:lang w:val="en-US"/>
        </w:rPr>
        <w:t xml:space="preserve"> have confirmed the fact that only few diagnostic tests are kept to the multivariate GARCH-class models compared to the diverse diagnostic tests devoted to univariate counterparts. Furthermore, </w:t>
      </w:r>
      <w:r w:rsidRPr="00D00619">
        <w:rPr>
          <w:rFonts w:asciiTheme="majorBidi" w:hAnsiTheme="majorBidi" w:cstheme="majorBidi"/>
          <w:bCs/>
          <w:color w:val="00B0F0"/>
          <w:lang w:val="en-US"/>
        </w:rPr>
        <w:t>Bauwens et al. (2006)</w:t>
      </w:r>
      <w:r w:rsidRPr="00024402">
        <w:rPr>
          <w:rFonts w:asciiTheme="majorBidi" w:hAnsiTheme="majorBidi" w:cstheme="majorBidi"/>
          <w:bCs/>
          <w:lang w:val="en-US"/>
        </w:rPr>
        <w:t xml:space="preserve"> have noted that the existing literature on multivariate diagnostics is sparse compared to the univariate case. In our study, we refer to the most broadly used diagnostic tests, namely the Hosking's and Li and McLeod's Multivariate Portmanteau statistics on both standardized and squared standardized residuals. </w:t>
      </w:r>
      <w:r w:rsidRPr="00F66961">
        <w:rPr>
          <w:rFonts w:asciiTheme="majorBidi" w:hAnsiTheme="majorBidi" w:cstheme="majorBidi"/>
          <w:bCs/>
          <w:lang w:val="en-US"/>
        </w:rPr>
        <w:t>According to </w:t>
      </w:r>
      <w:r w:rsidRPr="00D00619">
        <w:rPr>
          <w:rFonts w:asciiTheme="majorBidi" w:hAnsiTheme="majorBidi" w:cstheme="majorBidi"/>
          <w:bCs/>
          <w:color w:val="00B0F0"/>
          <w:lang w:val="en-US"/>
        </w:rPr>
        <w:t>Hosking (1980)</w:t>
      </w:r>
      <w:r w:rsidRPr="00F66961">
        <w:rPr>
          <w:rFonts w:asciiTheme="majorBidi" w:hAnsiTheme="majorBidi" w:cstheme="majorBidi"/>
          <w:bCs/>
          <w:lang w:val="en-US"/>
        </w:rPr>
        <w:t xml:space="preserve">, </w:t>
      </w:r>
      <w:r w:rsidRPr="00D00619">
        <w:rPr>
          <w:rFonts w:asciiTheme="majorBidi" w:hAnsiTheme="majorBidi" w:cstheme="majorBidi"/>
          <w:bCs/>
          <w:color w:val="00B0F0"/>
          <w:lang w:val="en-US"/>
        </w:rPr>
        <w:t>Li and McLeod (1981)</w:t>
      </w:r>
      <w:r w:rsidRPr="00F66961">
        <w:rPr>
          <w:rFonts w:asciiTheme="majorBidi" w:hAnsiTheme="majorBidi" w:cstheme="majorBidi"/>
          <w:bCs/>
          <w:lang w:val="en-US"/>
        </w:rPr>
        <w:t xml:space="preserve"> and </w:t>
      </w:r>
      <w:r w:rsidRPr="00D00619">
        <w:rPr>
          <w:rFonts w:asciiTheme="majorBidi" w:hAnsiTheme="majorBidi" w:cstheme="majorBidi"/>
          <w:bCs/>
          <w:color w:val="00B0F0"/>
          <w:lang w:val="en-US"/>
        </w:rPr>
        <w:t>McLeod and Li (1983)</w:t>
      </w:r>
      <w:r w:rsidRPr="00F66961">
        <w:rPr>
          <w:rFonts w:asciiTheme="majorBidi" w:hAnsiTheme="majorBidi" w:cstheme="majorBidi"/>
          <w:bCs/>
          <w:lang w:val="en-US"/>
        </w:rPr>
        <w:t xml:space="preserve"> autocorrelation </w:t>
      </w:r>
      <w:r w:rsidR="003C334A">
        <w:rPr>
          <w:rFonts w:asciiTheme="majorBidi" w:hAnsiTheme="majorBidi" w:cstheme="majorBidi"/>
          <w:bCs/>
          <w:lang w:val="en-US"/>
        </w:rPr>
        <w:t>test results reported in Table 4</w:t>
      </w:r>
      <w:r w:rsidRPr="00F66961">
        <w:rPr>
          <w:rFonts w:asciiTheme="majorBidi" w:hAnsiTheme="majorBidi" w:cstheme="majorBidi"/>
          <w:bCs/>
          <w:lang w:val="en-US"/>
        </w:rPr>
        <w:t xml:space="preserve"> (Panel B), the multivariate diagnostic tests allow accepting the null hypothesis of no serial correlation on both standardized and squared standardized residuals and thus there is no evidence of statistical misspecification.</w:t>
      </w:r>
    </w:p>
    <w:p w:rsidR="002D2222" w:rsidRDefault="00F52A22" w:rsidP="00057FD0">
      <w:pPr>
        <w:spacing w:after="0" w:line="240" w:lineRule="auto"/>
        <w:rPr>
          <w:rFonts w:asciiTheme="majorBidi" w:hAnsiTheme="majorBidi" w:cstheme="majorBidi"/>
          <w:sz w:val="24"/>
          <w:szCs w:val="24"/>
          <w:lang w:val="en-US"/>
        </w:rPr>
      </w:pPr>
      <w:r w:rsidRPr="00F52A22">
        <w:rPr>
          <w:rFonts w:asciiTheme="majorBidi" w:hAnsiTheme="majorBidi" w:cstheme="majorBidi"/>
          <w:noProof/>
          <w:sz w:val="24"/>
          <w:szCs w:val="24"/>
          <w:lang w:eastAsia="fr-FR"/>
        </w:rPr>
        <w:lastRenderedPageBreak/>
        <w:drawing>
          <wp:inline distT="0" distB="0" distL="0" distR="0">
            <wp:extent cx="5760720" cy="383770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3837704"/>
                    </a:xfrm>
                    <a:prstGeom prst="rect">
                      <a:avLst/>
                    </a:prstGeom>
                    <a:noFill/>
                    <a:ln w="9525">
                      <a:noFill/>
                      <a:miter lim="800000"/>
                      <a:headEnd/>
                      <a:tailEnd/>
                    </a:ln>
                  </pic:spPr>
                </pic:pic>
              </a:graphicData>
            </a:graphic>
          </wp:inline>
        </w:drawing>
      </w:r>
    </w:p>
    <w:p w:rsidR="002D2222" w:rsidRDefault="00CA76D4" w:rsidP="00F52A22">
      <w:pPr>
        <w:spacing w:after="0" w:line="240" w:lineRule="auto"/>
        <w:jc w:val="center"/>
        <w:rPr>
          <w:rFonts w:asciiTheme="majorBidi" w:hAnsiTheme="majorBidi" w:cstheme="majorBidi"/>
          <w:lang w:val="en-US"/>
        </w:rPr>
      </w:pPr>
      <w:r>
        <w:rPr>
          <w:rFonts w:asciiTheme="majorBidi" w:hAnsiTheme="majorBidi" w:cstheme="majorBidi"/>
          <w:b/>
          <w:bCs/>
          <w:lang w:val="en-US"/>
        </w:rPr>
        <w:t>Fig.3</w:t>
      </w:r>
      <w:r w:rsidR="00F52A22" w:rsidRPr="002D43A7">
        <w:rPr>
          <w:rFonts w:asciiTheme="majorBidi" w:hAnsiTheme="majorBidi" w:cstheme="majorBidi"/>
          <w:b/>
          <w:bCs/>
          <w:lang w:val="en-US"/>
        </w:rPr>
        <w:t xml:space="preserve">. </w:t>
      </w:r>
      <w:r w:rsidR="00F52A22" w:rsidRPr="002D43A7">
        <w:rPr>
          <w:rFonts w:asciiTheme="majorBidi" w:hAnsiTheme="majorBidi" w:cstheme="majorBidi"/>
          <w:lang w:val="en-US"/>
        </w:rPr>
        <w:t>The DCC behavior over time</w:t>
      </w:r>
    </w:p>
    <w:p w:rsidR="00F52A22" w:rsidRDefault="00F52A22" w:rsidP="006951B0">
      <w:pPr>
        <w:spacing w:after="0" w:line="240" w:lineRule="auto"/>
        <w:rPr>
          <w:rFonts w:asciiTheme="majorBidi" w:hAnsiTheme="majorBidi" w:cstheme="majorBidi"/>
          <w:lang w:val="en-US"/>
        </w:rPr>
      </w:pPr>
    </w:p>
    <w:p w:rsidR="00F52A22" w:rsidRPr="00F66961" w:rsidRDefault="00F52A22" w:rsidP="00F52A22">
      <w:pPr>
        <w:spacing w:after="0" w:line="240" w:lineRule="auto"/>
        <w:ind w:firstLine="357"/>
        <w:jc w:val="both"/>
        <w:rPr>
          <w:rFonts w:ascii="Times New Roman" w:eastAsia="Times New Roman" w:hAnsi="Times New Roman" w:cs="Times New Roman"/>
          <w:lang w:val="en-US" w:eastAsia="fr-FR"/>
        </w:rPr>
      </w:pPr>
      <w:r w:rsidRPr="00F66961">
        <w:rPr>
          <w:rFonts w:ascii="Times New Roman" w:eastAsia="Times New Roman" w:hAnsi="Times New Roman" w:cs="Times New Roman"/>
          <w:lang w:val="en-US" w:eastAsia="fr-FR"/>
        </w:rPr>
        <w:t xml:space="preserve">In order to further examine whether the conditional correlations changed over time, we use the LM Test for Constant Correlation of </w:t>
      </w:r>
      <w:r w:rsidRPr="0062679E">
        <w:rPr>
          <w:rFonts w:ascii="Times New Roman" w:eastAsia="Times New Roman" w:hAnsi="Times New Roman" w:cs="Times New Roman"/>
          <w:color w:val="00B0F0"/>
          <w:lang w:val="en-US" w:eastAsia="fr-FR"/>
        </w:rPr>
        <w:t>Tse (2000)</w:t>
      </w:r>
      <w:r w:rsidRPr="00F66961">
        <w:rPr>
          <w:rFonts w:ascii="Times New Roman" w:eastAsia="Times New Roman" w:hAnsi="Times New Roman" w:cs="Times New Roman"/>
          <w:lang w:val="en-US" w:eastAsia="fr-FR"/>
        </w:rPr>
        <w:t xml:space="preserve"> and the </w:t>
      </w:r>
      <w:r w:rsidRPr="0062679E">
        <w:rPr>
          <w:rFonts w:ascii="Times New Roman" w:eastAsia="Times New Roman" w:hAnsi="Times New Roman" w:cs="Times New Roman"/>
          <w:color w:val="00B0F0"/>
          <w:lang w:val="en-US" w:eastAsia="fr-FR"/>
        </w:rPr>
        <w:t>Engle and Sheppard (2001)</w:t>
      </w:r>
      <w:r w:rsidRPr="00F66961">
        <w:rPr>
          <w:rFonts w:ascii="Times New Roman" w:eastAsia="Times New Roman" w:hAnsi="Times New Roman" w:cs="Times New Roman"/>
          <w:lang w:val="en-US" w:eastAsia="fr-FR"/>
        </w:rPr>
        <w:t xml:space="preserve"> test for dynamic correlation (results are not reported and are available from the author upon request). Tests results show a statistically significant rejection of the constant conditional correlation (CCC) hypothesis for all pair-wise conditional correlations among currencies.</w:t>
      </w:r>
    </w:p>
    <w:p w:rsidR="00CA76D4" w:rsidRDefault="00CA76D4" w:rsidP="00F52A22">
      <w:pPr>
        <w:spacing w:after="0" w:line="240" w:lineRule="auto"/>
        <w:ind w:firstLine="340"/>
        <w:jc w:val="both"/>
        <w:rPr>
          <w:rFonts w:ascii="Times New Roman" w:eastAsia="Times New Roman" w:hAnsi="Times New Roman" w:cs="Times New Roman"/>
          <w:color w:val="FF0000"/>
          <w:lang w:val="en-US" w:eastAsia="fr-FR"/>
        </w:rPr>
      </w:pPr>
    </w:p>
    <w:p w:rsidR="003043B9" w:rsidRPr="002D43A7" w:rsidRDefault="003043B9" w:rsidP="00B70CA4">
      <w:pPr>
        <w:pStyle w:val="Lgende"/>
        <w:keepNext/>
        <w:spacing w:after="0"/>
        <w:ind w:left="113" w:right="1418"/>
        <w:jc w:val="both"/>
        <w:rPr>
          <w:rFonts w:asciiTheme="majorBidi" w:hAnsiTheme="majorBidi" w:cstheme="majorBidi"/>
          <w:color w:val="auto"/>
          <w:sz w:val="22"/>
          <w:szCs w:val="22"/>
          <w:lang w:val="en-US"/>
        </w:rPr>
      </w:pPr>
      <w:r w:rsidRPr="002D43A7">
        <w:rPr>
          <w:rFonts w:asciiTheme="majorBidi" w:hAnsiTheme="majorBidi" w:cstheme="majorBidi"/>
          <w:color w:val="auto"/>
          <w:sz w:val="22"/>
          <w:szCs w:val="22"/>
          <w:lang w:val="en-US"/>
        </w:rPr>
        <w:t xml:space="preserve">Table </w:t>
      </w:r>
      <w:r w:rsidR="00B70CA4">
        <w:rPr>
          <w:rFonts w:asciiTheme="majorBidi" w:hAnsiTheme="majorBidi" w:cstheme="majorBidi"/>
          <w:color w:val="auto"/>
          <w:sz w:val="22"/>
          <w:szCs w:val="22"/>
          <w:lang w:val="en-US"/>
        </w:rPr>
        <w:t>4</w:t>
      </w:r>
    </w:p>
    <w:p w:rsidR="003043B9" w:rsidRPr="003043B9" w:rsidRDefault="003043B9" w:rsidP="003043B9">
      <w:pPr>
        <w:spacing w:after="0" w:line="240" w:lineRule="auto"/>
        <w:ind w:left="113" w:right="1418"/>
        <w:jc w:val="both"/>
        <w:rPr>
          <w:rFonts w:asciiTheme="majorBidi" w:hAnsiTheme="majorBidi" w:cstheme="majorBidi"/>
          <w:lang w:val="en-US"/>
        </w:rPr>
      </w:pPr>
      <w:r w:rsidRPr="002D43A7">
        <w:rPr>
          <w:rFonts w:asciiTheme="majorBidi" w:hAnsiTheme="majorBidi" w:cstheme="majorBidi"/>
          <w:lang w:val="en-US"/>
        </w:rPr>
        <w:t>Estimation results from the bivariate FIAPARCH(1,d,1)-DCC model.</w:t>
      </w:r>
    </w:p>
    <w:tbl>
      <w:tblPr>
        <w:tblW w:w="8911" w:type="dxa"/>
        <w:jc w:val="center"/>
        <w:tblInd w:w="56" w:type="dxa"/>
        <w:tblCellMar>
          <w:left w:w="70" w:type="dxa"/>
          <w:right w:w="70" w:type="dxa"/>
        </w:tblCellMar>
        <w:tblLook w:val="04A0"/>
      </w:tblPr>
      <w:tblGrid>
        <w:gridCol w:w="2691"/>
        <w:gridCol w:w="1040"/>
        <w:gridCol w:w="940"/>
        <w:gridCol w:w="180"/>
        <w:gridCol w:w="1000"/>
        <w:gridCol w:w="880"/>
        <w:gridCol w:w="180"/>
        <w:gridCol w:w="1040"/>
        <w:gridCol w:w="960"/>
      </w:tblGrid>
      <w:tr w:rsidR="00E42F96" w:rsidRPr="003B5720" w:rsidTr="005E7B2B">
        <w:trPr>
          <w:trHeight w:val="225"/>
          <w:jc w:val="center"/>
        </w:trPr>
        <w:tc>
          <w:tcPr>
            <w:tcW w:w="2691" w:type="dxa"/>
            <w:vMerge w:val="restart"/>
            <w:tcBorders>
              <w:top w:val="single" w:sz="8" w:space="0" w:color="auto"/>
              <w:left w:val="nil"/>
              <w:bottom w:val="single" w:sz="8" w:space="0" w:color="000000"/>
              <w:right w:val="nil"/>
            </w:tcBorders>
            <w:shd w:val="clear" w:color="auto" w:fill="auto"/>
            <w:noWrap/>
            <w:vAlign w:val="bottom"/>
            <w:hideMark/>
          </w:tcPr>
          <w:p w:rsidR="00E42F96" w:rsidRPr="003043B9" w:rsidRDefault="00E42F96" w:rsidP="00B538A1">
            <w:pPr>
              <w:spacing w:after="0" w:line="240" w:lineRule="auto"/>
              <w:rPr>
                <w:rFonts w:ascii="Times New Roman" w:eastAsia="Times New Roman" w:hAnsi="Times New Roman" w:cs="Times New Roman"/>
                <w:color w:val="000000"/>
                <w:sz w:val="16"/>
                <w:szCs w:val="16"/>
                <w:lang w:val="en-US" w:eastAsia="fr-FR"/>
              </w:rPr>
            </w:pPr>
            <w:r w:rsidRPr="003B5720">
              <w:rPr>
                <w:rFonts w:ascii="Times New Roman" w:eastAsia="Times New Roman" w:hAnsi="Times New Roman" w:cs="Times New Roman"/>
                <w:color w:val="000000"/>
                <w:sz w:val="16"/>
                <w:szCs w:val="16"/>
                <w:lang w:val="en-US" w:eastAsia="fr-FR"/>
              </w:rPr>
              <w:t> </w:t>
            </w:r>
          </w:p>
        </w:tc>
        <w:tc>
          <w:tcPr>
            <w:tcW w:w="1980" w:type="dxa"/>
            <w:gridSpan w:val="2"/>
            <w:tcBorders>
              <w:top w:val="single" w:sz="8" w:space="0" w:color="auto"/>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USDEUR-NIKKEI225</w:t>
            </w:r>
          </w:p>
        </w:tc>
        <w:tc>
          <w:tcPr>
            <w:tcW w:w="180" w:type="dxa"/>
            <w:tcBorders>
              <w:top w:val="single" w:sz="8" w:space="0" w:color="auto"/>
              <w:left w:val="nil"/>
              <w:bottom w:val="nil"/>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p>
        </w:tc>
        <w:tc>
          <w:tcPr>
            <w:tcW w:w="1880" w:type="dxa"/>
            <w:gridSpan w:val="2"/>
            <w:tcBorders>
              <w:top w:val="single" w:sz="8" w:space="0" w:color="auto"/>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USDEUR-SSE</w:t>
            </w:r>
          </w:p>
        </w:tc>
        <w:tc>
          <w:tcPr>
            <w:tcW w:w="180" w:type="dxa"/>
            <w:tcBorders>
              <w:top w:val="single" w:sz="8" w:space="0" w:color="auto"/>
              <w:left w:val="nil"/>
              <w:bottom w:val="nil"/>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p>
        </w:tc>
        <w:tc>
          <w:tcPr>
            <w:tcW w:w="2000" w:type="dxa"/>
            <w:gridSpan w:val="2"/>
            <w:tcBorders>
              <w:top w:val="single" w:sz="8" w:space="0" w:color="auto"/>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USDEUR-MSCI</w:t>
            </w:r>
          </w:p>
        </w:tc>
      </w:tr>
      <w:tr w:rsidR="00E42F96" w:rsidRPr="003B5720" w:rsidTr="005E7B2B">
        <w:trPr>
          <w:trHeight w:val="225"/>
          <w:jc w:val="center"/>
        </w:trPr>
        <w:tc>
          <w:tcPr>
            <w:tcW w:w="2691" w:type="dxa"/>
            <w:vMerge/>
            <w:tcBorders>
              <w:top w:val="single" w:sz="8" w:space="0" w:color="auto"/>
              <w:left w:val="nil"/>
              <w:bottom w:val="single" w:sz="8" w:space="0" w:color="000000"/>
              <w:right w:val="nil"/>
            </w:tcBorders>
            <w:vAlign w:val="center"/>
            <w:hideMark/>
          </w:tcPr>
          <w:p w:rsidR="00E42F96" w:rsidRPr="003B5720" w:rsidRDefault="00E42F96" w:rsidP="00B538A1">
            <w:pPr>
              <w:spacing w:after="0" w:line="240" w:lineRule="auto"/>
              <w:rPr>
                <w:rFonts w:ascii="Times New Roman" w:eastAsia="Times New Roman" w:hAnsi="Times New Roman" w:cs="Times New Roman"/>
                <w:color w:val="000000"/>
                <w:sz w:val="16"/>
                <w:szCs w:val="16"/>
                <w:lang w:eastAsia="fr-FR"/>
              </w:rPr>
            </w:pPr>
          </w:p>
        </w:tc>
        <w:tc>
          <w:tcPr>
            <w:tcW w:w="104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coefficient</w:t>
            </w:r>
          </w:p>
        </w:tc>
        <w:tc>
          <w:tcPr>
            <w:tcW w:w="94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t-prob</w:t>
            </w:r>
          </w:p>
        </w:tc>
        <w:tc>
          <w:tcPr>
            <w:tcW w:w="180" w:type="dxa"/>
            <w:tcBorders>
              <w:top w:val="nil"/>
              <w:left w:val="nil"/>
              <w:bottom w:val="nil"/>
              <w:right w:val="nil"/>
            </w:tcBorders>
            <w:shd w:val="clear" w:color="auto" w:fill="auto"/>
            <w:noWrap/>
            <w:vAlign w:val="bottom"/>
            <w:hideMark/>
          </w:tcPr>
          <w:p w:rsidR="00E42F96" w:rsidRPr="003B5720" w:rsidRDefault="00E42F96" w:rsidP="00E508C4">
            <w:pPr>
              <w:spacing w:after="0" w:line="240" w:lineRule="auto"/>
              <w:rPr>
                <w:rFonts w:ascii="Calibri" w:eastAsia="Times New Roman" w:hAnsi="Calibri" w:cs="Times New Roman"/>
                <w:color w:val="000000"/>
                <w:lang w:eastAsia="fr-FR"/>
              </w:rPr>
            </w:pPr>
          </w:p>
        </w:tc>
        <w:tc>
          <w:tcPr>
            <w:tcW w:w="100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coefficient</w:t>
            </w:r>
          </w:p>
        </w:tc>
        <w:tc>
          <w:tcPr>
            <w:tcW w:w="88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t-prob</w:t>
            </w:r>
          </w:p>
        </w:tc>
        <w:tc>
          <w:tcPr>
            <w:tcW w:w="180" w:type="dxa"/>
            <w:tcBorders>
              <w:top w:val="nil"/>
              <w:left w:val="nil"/>
              <w:bottom w:val="nil"/>
              <w:right w:val="nil"/>
            </w:tcBorders>
            <w:shd w:val="clear" w:color="auto" w:fill="auto"/>
            <w:noWrap/>
            <w:vAlign w:val="bottom"/>
            <w:hideMark/>
          </w:tcPr>
          <w:p w:rsidR="00E42F96" w:rsidRPr="003B5720" w:rsidRDefault="00E42F96" w:rsidP="00E508C4">
            <w:pPr>
              <w:spacing w:after="0" w:line="240" w:lineRule="auto"/>
              <w:rPr>
                <w:rFonts w:ascii="Calibri" w:eastAsia="Times New Roman" w:hAnsi="Calibri" w:cs="Times New Roman"/>
                <w:color w:val="000000"/>
                <w:lang w:eastAsia="fr-FR"/>
              </w:rPr>
            </w:pPr>
          </w:p>
        </w:tc>
        <w:tc>
          <w:tcPr>
            <w:tcW w:w="104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coefficient</w:t>
            </w:r>
          </w:p>
        </w:tc>
        <w:tc>
          <w:tcPr>
            <w:tcW w:w="960" w:type="dxa"/>
            <w:tcBorders>
              <w:top w:val="nil"/>
              <w:left w:val="nil"/>
              <w:bottom w:val="single" w:sz="8" w:space="0" w:color="auto"/>
              <w:right w:val="nil"/>
            </w:tcBorders>
            <w:shd w:val="clear" w:color="auto" w:fill="auto"/>
            <w:noWrap/>
            <w:vAlign w:val="bottom"/>
            <w:hideMark/>
          </w:tcPr>
          <w:p w:rsidR="00E42F96" w:rsidRPr="003B5720" w:rsidRDefault="00E42F96" w:rsidP="00E508C4">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t-prob</w:t>
            </w:r>
          </w:p>
        </w:tc>
      </w:tr>
      <w:tr w:rsidR="00E42F96" w:rsidRPr="0062679E" w:rsidTr="005E7B2B">
        <w:trPr>
          <w:trHeight w:val="225"/>
          <w:jc w:val="center"/>
        </w:trPr>
        <w:tc>
          <w:tcPr>
            <w:tcW w:w="2691" w:type="dxa"/>
            <w:tcBorders>
              <w:top w:val="nil"/>
              <w:left w:val="nil"/>
              <w:bottom w:val="single" w:sz="8" w:space="0" w:color="auto"/>
              <w:right w:val="nil"/>
            </w:tcBorders>
            <w:shd w:val="clear" w:color="auto" w:fill="auto"/>
            <w:noWrap/>
            <w:vAlign w:val="bottom"/>
            <w:hideMark/>
          </w:tcPr>
          <w:p w:rsidR="00E42F96" w:rsidRPr="003B5720" w:rsidRDefault="00E42F96" w:rsidP="00B538A1">
            <w:pPr>
              <w:spacing w:after="0" w:line="240" w:lineRule="auto"/>
              <w:rPr>
                <w:rFonts w:ascii="Times New Roman" w:eastAsia="Times New Roman" w:hAnsi="Times New Roman" w:cs="Times New Roman"/>
                <w:b/>
                <w:bCs/>
                <w:i/>
                <w:iCs/>
                <w:color w:val="000000"/>
                <w:sz w:val="16"/>
                <w:szCs w:val="16"/>
                <w:lang w:val="en-US" w:eastAsia="fr-FR"/>
              </w:rPr>
            </w:pPr>
            <w:r w:rsidRPr="003B5720">
              <w:rPr>
                <w:rFonts w:ascii="Times New Roman" w:eastAsia="Times New Roman" w:hAnsi="Times New Roman" w:cs="Times New Roman"/>
                <w:b/>
                <w:bCs/>
                <w:i/>
                <w:iCs/>
                <w:color w:val="000000"/>
                <w:sz w:val="16"/>
                <w:szCs w:val="16"/>
                <w:lang w:val="en-US" w:eastAsia="fr-FR"/>
              </w:rPr>
              <w:t>Panel A: Estimates of Multivariate DCC</w:t>
            </w: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val="en-US" w:eastAsia="fr-FR"/>
              </w:rPr>
            </w:pP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E42F96" w:rsidP="00B538A1">
            <w:pPr>
              <w:spacing w:after="0" w:line="240" w:lineRule="auto"/>
              <w:rPr>
                <w:rFonts w:asciiTheme="majorBidi" w:eastAsia="Times New Roman" w:hAnsiTheme="majorBidi" w:cstheme="majorBidi"/>
                <w:color w:val="000000"/>
                <w:sz w:val="16"/>
                <w:szCs w:val="16"/>
                <w:lang w:eastAsia="fr-FR"/>
              </w:rPr>
            </w:pPr>
            <m:oMathPara>
              <m:oMath>
                <m:r>
                  <w:rPr>
                    <w:rFonts w:ascii="Cambria Math" w:eastAsia="Times New Roman" w:hAnsi="Cambria Math" w:cstheme="majorBidi"/>
                    <w:color w:val="000000"/>
                    <w:sz w:val="16"/>
                    <w:szCs w:val="16"/>
                    <w:lang w:eastAsia="fr-FR"/>
                  </w:rPr>
                  <m:t>a</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0.0088</w:t>
            </w:r>
            <w:r>
              <w:rPr>
                <w:rFonts w:ascii="Times New Roman" w:eastAsia="Times New Roman" w:hAnsi="Times New Roman" w:cs="Times New Roman"/>
                <w:color w:val="000000"/>
                <w:sz w:val="16"/>
                <w:szCs w:val="16"/>
                <w:lang w:eastAsia="fr-FR"/>
              </w:rPr>
              <w:t>**</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0.0449</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0.0022</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0.4961</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0.0028</w:t>
            </w:r>
            <w:r>
              <w:rPr>
                <w:rFonts w:ascii="Times New Roman" w:eastAsia="Times New Roman" w:hAnsi="Times New Roman" w:cs="Times New Roman"/>
                <w:color w:val="000000"/>
                <w:sz w:val="16"/>
                <w:szCs w:val="16"/>
                <w:lang w:eastAsia="fr-FR"/>
              </w:rPr>
              <w:t>***</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0.0071</w:t>
            </w: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E42F96" w:rsidP="00B538A1">
            <w:pPr>
              <w:spacing w:after="0" w:line="240" w:lineRule="auto"/>
              <w:rPr>
                <w:rFonts w:asciiTheme="majorBidi" w:eastAsia="Times New Roman" w:hAnsiTheme="majorBidi" w:cstheme="majorBidi"/>
                <w:color w:val="000000"/>
                <w:sz w:val="16"/>
                <w:szCs w:val="16"/>
                <w:lang w:eastAsia="fr-FR"/>
              </w:rPr>
            </w:pPr>
            <m:oMathPara>
              <m:oMath>
                <m:r>
                  <w:rPr>
                    <w:rFonts w:ascii="Cambria Math" w:eastAsia="Times New Roman" w:hAnsi="Cambria Math" w:cstheme="majorBidi"/>
                    <w:color w:val="000000"/>
                    <w:sz w:val="16"/>
                    <w:szCs w:val="16"/>
                    <w:lang w:eastAsia="fr-FR"/>
                  </w:rPr>
                  <m:t>b</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0.9737</w:t>
            </w:r>
            <w:r>
              <w:rPr>
                <w:rFonts w:ascii="Times New Roman" w:eastAsia="Times New Roman" w:hAnsi="Times New Roman" w:cs="Times New Roman"/>
                <w:color w:val="000000"/>
                <w:sz w:val="16"/>
                <w:szCs w:val="16"/>
                <w:lang w:eastAsia="fr-FR"/>
              </w:rPr>
              <w:t>***</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0.9944</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0.9967</w:t>
            </w:r>
            <w:r>
              <w:rPr>
                <w:rFonts w:ascii="Times New Roman" w:eastAsia="Times New Roman" w:hAnsi="Times New Roman" w:cs="Times New Roman"/>
                <w:color w:val="000000"/>
                <w:sz w:val="16"/>
                <w:szCs w:val="16"/>
                <w:lang w:eastAsia="fr-FR"/>
              </w:rPr>
              <w:t>***</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E42F96" w:rsidP="00B538A1">
            <w:pPr>
              <w:spacing w:after="0" w:line="240" w:lineRule="auto"/>
              <w:rPr>
                <w:rFonts w:asciiTheme="majorBidi" w:eastAsia="Times New Roman" w:hAnsiTheme="majorBidi" w:cstheme="majorBidi"/>
                <w:color w:val="000000"/>
                <w:sz w:val="16"/>
                <w:szCs w:val="16"/>
                <w:lang w:eastAsia="fr-FR"/>
              </w:rPr>
            </w:pPr>
            <m:oMathPara>
              <m:oMath>
                <m:r>
                  <w:rPr>
                    <w:rFonts w:ascii="Cambria Math" w:eastAsia="Times New Roman" w:hAnsi="Cambria Math" w:cstheme="majorBidi"/>
                    <w:color w:val="000000"/>
                    <w:sz w:val="16"/>
                    <w:szCs w:val="16"/>
                    <w:lang w:eastAsia="fr-FR"/>
                  </w:rPr>
                  <m:t>v</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9.954</w:t>
            </w:r>
            <w:r>
              <w:rPr>
                <w:rFonts w:ascii="Times New Roman" w:eastAsia="Times New Roman" w:hAnsi="Times New Roman" w:cs="Times New Roman"/>
                <w:color w:val="000000"/>
                <w:sz w:val="16"/>
                <w:szCs w:val="16"/>
                <w:lang w:eastAsia="fr-FR"/>
              </w:rPr>
              <w:t>0***</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6.9175</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9.0447</w:t>
            </w:r>
            <w:r>
              <w:rPr>
                <w:rFonts w:ascii="Times New Roman" w:eastAsia="Times New Roman" w:hAnsi="Times New Roman" w:cs="Times New Roman"/>
                <w:color w:val="000000"/>
                <w:sz w:val="16"/>
                <w:szCs w:val="16"/>
                <w:lang w:eastAsia="fr-FR"/>
              </w:rPr>
              <w:t>***</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E42F96" w:rsidRPr="003B5720" w:rsidTr="005E7B2B">
        <w:trPr>
          <w:trHeight w:val="225"/>
          <w:jc w:val="center"/>
        </w:trPr>
        <w:tc>
          <w:tcPr>
            <w:tcW w:w="2691" w:type="dxa"/>
            <w:tcBorders>
              <w:top w:val="single" w:sz="8" w:space="0" w:color="auto"/>
              <w:left w:val="nil"/>
              <w:bottom w:val="single" w:sz="8" w:space="0" w:color="auto"/>
              <w:right w:val="nil"/>
            </w:tcBorders>
            <w:shd w:val="clear" w:color="auto" w:fill="auto"/>
            <w:noWrap/>
            <w:vAlign w:val="bottom"/>
            <w:hideMark/>
          </w:tcPr>
          <w:p w:rsidR="00E42F96" w:rsidRPr="003B5720" w:rsidRDefault="00E42F96" w:rsidP="00B538A1">
            <w:pPr>
              <w:spacing w:after="0" w:line="240" w:lineRule="auto"/>
              <w:rPr>
                <w:rFonts w:ascii="Times New Roman" w:eastAsia="Times New Roman" w:hAnsi="Times New Roman" w:cs="Times New Roman"/>
                <w:b/>
                <w:bCs/>
                <w:i/>
                <w:iCs/>
                <w:color w:val="000000"/>
                <w:sz w:val="16"/>
                <w:szCs w:val="16"/>
                <w:lang w:eastAsia="fr-FR"/>
              </w:rPr>
            </w:pPr>
            <w:r w:rsidRPr="003B5720">
              <w:rPr>
                <w:rFonts w:ascii="Times New Roman" w:eastAsia="Times New Roman" w:hAnsi="Times New Roman" w:cs="Times New Roman"/>
                <w:b/>
                <w:bCs/>
                <w:i/>
                <w:iCs/>
                <w:color w:val="000000"/>
                <w:sz w:val="16"/>
                <w:szCs w:val="16"/>
                <w:lang w:eastAsia="fr-FR"/>
              </w:rPr>
              <w:t>Panel B : Diagnostic tests</w:t>
            </w: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E42F96" w:rsidP="00B538A1">
            <w:pPr>
              <w:spacing w:after="0" w:line="240" w:lineRule="auto"/>
              <w:rPr>
                <w:rFonts w:asciiTheme="majorBidi" w:eastAsia="Times New Roman" w:hAnsiTheme="majorBidi" w:cstheme="majorBidi"/>
                <w:sz w:val="16"/>
                <w:szCs w:val="16"/>
                <w:lang w:eastAsia="fr-FR"/>
              </w:rPr>
            </w:pPr>
            <m:oMathPara>
              <m:oMath>
                <m:r>
                  <w:rPr>
                    <w:rFonts w:ascii="Cambria Math" w:eastAsia="Times New Roman" w:hAnsi="Cambria Math" w:cs="Times New Roman"/>
                    <w:sz w:val="16"/>
                    <w:szCs w:val="16"/>
                    <w:lang w:eastAsia="fr-FR"/>
                  </w:rPr>
                  <m:t>Hosking(20)</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63.0281</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0.9187</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123.299</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0.0013</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108.048</w:t>
            </w:r>
            <w:r>
              <w:rPr>
                <w:rFonts w:ascii="Times New Roman" w:eastAsia="Times New Roman" w:hAnsi="Times New Roman" w:cs="Times New Roman"/>
                <w:color w:val="000000"/>
                <w:sz w:val="16"/>
                <w:szCs w:val="16"/>
                <w:lang w:eastAsia="fr-FR"/>
              </w:rPr>
              <w:t>**</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0.02</w:t>
            </w:r>
            <w:r>
              <w:rPr>
                <w:rFonts w:ascii="Times New Roman" w:eastAsia="Times New Roman" w:hAnsi="Times New Roman" w:cs="Times New Roman"/>
                <w:color w:val="000000"/>
                <w:sz w:val="16"/>
                <w:szCs w:val="16"/>
                <w:lang w:eastAsia="fr-FR"/>
              </w:rPr>
              <w:t>00</w:t>
            </w: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011760" w:rsidP="00B538A1">
            <w:pPr>
              <w:spacing w:after="0" w:line="240" w:lineRule="auto"/>
              <w:rPr>
                <w:rFonts w:asciiTheme="majorBidi" w:eastAsia="Times New Roman" w:hAnsiTheme="majorBidi" w:cstheme="majorBidi"/>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Hosking</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78.8312</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0.4523</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58.3638</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0.9528</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92.1543</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0.1305</w:t>
            </w:r>
          </w:p>
        </w:tc>
      </w:tr>
      <w:tr w:rsidR="00E42F96" w:rsidRPr="003B5720" w:rsidTr="005E7B2B">
        <w:trPr>
          <w:trHeight w:val="225"/>
          <w:jc w:val="center"/>
        </w:trPr>
        <w:tc>
          <w:tcPr>
            <w:tcW w:w="2691" w:type="dxa"/>
            <w:tcBorders>
              <w:top w:val="nil"/>
              <w:left w:val="nil"/>
              <w:bottom w:val="nil"/>
              <w:right w:val="nil"/>
            </w:tcBorders>
            <w:shd w:val="clear" w:color="auto" w:fill="auto"/>
            <w:noWrap/>
            <w:vAlign w:val="center"/>
            <w:hideMark/>
          </w:tcPr>
          <w:p w:rsidR="00E42F96" w:rsidRPr="008E1B76" w:rsidRDefault="00E42F96" w:rsidP="00B538A1">
            <w:pPr>
              <w:spacing w:after="0" w:line="240" w:lineRule="auto"/>
              <w:rPr>
                <w:rFonts w:asciiTheme="majorBidi" w:eastAsia="Times New Roman" w:hAnsiTheme="majorBidi" w:cstheme="majorBidi"/>
                <w:sz w:val="16"/>
                <w:szCs w:val="16"/>
                <w:lang w:eastAsia="fr-FR"/>
              </w:rPr>
            </w:pPr>
            <m:oMathPara>
              <m:oMath>
                <m:r>
                  <w:rPr>
                    <w:rFonts w:ascii="Cambria Math" w:eastAsia="Times New Roman" w:hAnsi="Cambria Math" w:cs="Times New Roman"/>
                    <w:sz w:val="16"/>
                    <w:szCs w:val="16"/>
                    <w:lang w:eastAsia="fr-FR"/>
                  </w:rPr>
                  <m:t>Li-McLeod(20)</m:t>
                </m:r>
              </m:oMath>
            </m:oMathPara>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63.0694</w:t>
            </w:r>
          </w:p>
        </w:tc>
        <w:tc>
          <w:tcPr>
            <w:tcW w:w="9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0.9181</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0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123.181</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0.0013</w:t>
            </w:r>
          </w:p>
        </w:tc>
        <w:tc>
          <w:tcPr>
            <w:tcW w:w="18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Calibri" w:eastAsia="Times New Roman" w:hAnsi="Calibri" w:cs="Times New Roman"/>
                <w:color w:val="000000"/>
                <w:lang w:eastAsia="fr-FR"/>
              </w:rPr>
            </w:pPr>
          </w:p>
        </w:tc>
        <w:tc>
          <w:tcPr>
            <w:tcW w:w="104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108.002</w:t>
            </w:r>
            <w:r>
              <w:rPr>
                <w:rFonts w:ascii="Times New Roman" w:eastAsia="Times New Roman" w:hAnsi="Times New Roman" w:cs="Times New Roman"/>
                <w:color w:val="000000"/>
                <w:sz w:val="16"/>
                <w:szCs w:val="16"/>
                <w:lang w:eastAsia="fr-FR"/>
              </w:rPr>
              <w:t>**</w:t>
            </w:r>
          </w:p>
        </w:tc>
        <w:tc>
          <w:tcPr>
            <w:tcW w:w="960" w:type="dxa"/>
            <w:tcBorders>
              <w:top w:val="nil"/>
              <w:left w:val="nil"/>
              <w:bottom w:val="nil"/>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0.0202</w:t>
            </w:r>
          </w:p>
        </w:tc>
      </w:tr>
      <w:tr w:rsidR="00E42F96" w:rsidRPr="003B5720" w:rsidTr="005E7B2B">
        <w:trPr>
          <w:trHeight w:val="225"/>
          <w:jc w:val="center"/>
        </w:trPr>
        <w:tc>
          <w:tcPr>
            <w:tcW w:w="2691" w:type="dxa"/>
            <w:tcBorders>
              <w:top w:val="nil"/>
              <w:left w:val="nil"/>
              <w:bottom w:val="single" w:sz="8" w:space="0" w:color="auto"/>
              <w:right w:val="nil"/>
            </w:tcBorders>
            <w:shd w:val="clear" w:color="auto" w:fill="auto"/>
            <w:noWrap/>
            <w:vAlign w:val="center"/>
            <w:hideMark/>
          </w:tcPr>
          <w:p w:rsidR="00E42F96" w:rsidRPr="008E1B76" w:rsidRDefault="00011760" w:rsidP="00B538A1">
            <w:pPr>
              <w:spacing w:after="0" w:line="240" w:lineRule="auto"/>
              <w:rPr>
                <w:rFonts w:asciiTheme="majorBidi" w:eastAsia="Times New Roman" w:hAnsiTheme="majorBidi" w:cstheme="majorBidi"/>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Li-McLeod</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(20)</m:t>
                </m:r>
              </m:oMath>
            </m:oMathPara>
          </w:p>
        </w:tc>
        <w:tc>
          <w:tcPr>
            <w:tcW w:w="104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78.8311</w:t>
            </w:r>
          </w:p>
        </w:tc>
        <w:tc>
          <w:tcPr>
            <w:tcW w:w="94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0.4523</w:t>
            </w:r>
          </w:p>
        </w:tc>
        <w:tc>
          <w:tcPr>
            <w:tcW w:w="18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p>
        </w:tc>
        <w:tc>
          <w:tcPr>
            <w:tcW w:w="100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58.4263</w:t>
            </w:r>
          </w:p>
        </w:tc>
        <w:tc>
          <w:tcPr>
            <w:tcW w:w="88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0.9522</w:t>
            </w:r>
          </w:p>
        </w:tc>
        <w:tc>
          <w:tcPr>
            <w:tcW w:w="18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p>
        </w:tc>
        <w:tc>
          <w:tcPr>
            <w:tcW w:w="104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92.1043</w:t>
            </w:r>
          </w:p>
        </w:tc>
        <w:tc>
          <w:tcPr>
            <w:tcW w:w="960" w:type="dxa"/>
            <w:tcBorders>
              <w:top w:val="nil"/>
              <w:left w:val="nil"/>
              <w:bottom w:val="single" w:sz="8" w:space="0" w:color="auto"/>
              <w:right w:val="nil"/>
            </w:tcBorders>
            <w:shd w:val="clear" w:color="auto" w:fill="auto"/>
            <w:noWrap/>
            <w:vAlign w:val="bottom"/>
            <w:hideMark/>
          </w:tcPr>
          <w:p w:rsidR="00E42F96" w:rsidRPr="003B5720" w:rsidRDefault="00E42F96" w:rsidP="00341063">
            <w:pPr>
              <w:spacing w:after="0" w:line="240" w:lineRule="auto"/>
              <w:rPr>
                <w:rFonts w:ascii="Times New Roman" w:eastAsia="Times New Roman" w:hAnsi="Times New Roman" w:cs="Times New Roman"/>
                <w:color w:val="000000"/>
                <w:sz w:val="16"/>
                <w:szCs w:val="16"/>
                <w:lang w:eastAsia="fr-FR"/>
              </w:rPr>
            </w:pPr>
            <w:r w:rsidRPr="003B5720">
              <w:rPr>
                <w:rFonts w:ascii="Times New Roman" w:eastAsia="Times New Roman" w:hAnsi="Times New Roman" w:cs="Times New Roman"/>
                <w:color w:val="000000"/>
                <w:sz w:val="16"/>
                <w:szCs w:val="16"/>
                <w:lang w:eastAsia="fr-FR"/>
              </w:rPr>
              <w:t>0.1313</w:t>
            </w:r>
          </w:p>
        </w:tc>
      </w:tr>
    </w:tbl>
    <w:p w:rsidR="00BA7337" w:rsidRPr="00341063" w:rsidRDefault="00BA7337" w:rsidP="00BA7337">
      <w:pPr>
        <w:pStyle w:val="Lgende"/>
        <w:spacing w:after="0"/>
        <w:ind w:left="113" w:right="113"/>
        <w:jc w:val="both"/>
        <w:rPr>
          <w:rFonts w:asciiTheme="majorBidi" w:hAnsiTheme="majorBidi" w:cstheme="majorBidi"/>
          <w:b w:val="0"/>
          <w:bCs w:val="0"/>
          <w:color w:val="auto"/>
          <w:sz w:val="16"/>
          <w:szCs w:val="16"/>
          <w:lang w:val="en-US" w:eastAsia="fr-FR"/>
        </w:rPr>
      </w:pPr>
      <w:r w:rsidRPr="009048A9">
        <w:rPr>
          <w:rFonts w:asciiTheme="majorBidi" w:hAnsiTheme="majorBidi" w:cstheme="majorBidi"/>
          <w:color w:val="auto"/>
          <w:sz w:val="16"/>
          <w:szCs w:val="16"/>
          <w:lang w:val="en-US"/>
        </w:rPr>
        <w:t>Notes:</w:t>
      </w:r>
      <w:r w:rsidRPr="00341063">
        <w:rPr>
          <w:rFonts w:asciiTheme="majorBidi" w:hAnsiTheme="majorBidi" w:cstheme="majorBidi"/>
          <w:b w:val="0"/>
          <w:bCs w:val="0"/>
          <w:color w:val="auto"/>
          <w:sz w:val="16"/>
          <w:szCs w:val="16"/>
          <w:lang w:val="en-US"/>
        </w:rPr>
        <w:t>The superscripts ***, ** and * denote the statistical significance at 1%, 5% and 10% levels, respectively.</w:t>
      </w:r>
      <m:oMath>
        <m:r>
          <m:rPr>
            <m:sty m:val="bi"/>
          </m:rPr>
          <w:rPr>
            <w:rFonts w:ascii="Cambria Math" w:hAnsi="Cambria Math" w:cstheme="majorBidi"/>
            <w:color w:val="auto"/>
            <w:sz w:val="16"/>
            <w:szCs w:val="16"/>
            <w:lang w:val="en-US"/>
          </w:rPr>
          <m:t>v</m:t>
        </m:r>
      </m:oMath>
      <w:r w:rsidRPr="00341063">
        <w:rPr>
          <w:rFonts w:asciiTheme="majorBidi" w:hAnsiTheme="majorBidi" w:cstheme="majorBidi"/>
          <w:b w:val="0"/>
          <w:bCs w:val="0"/>
          <w:color w:val="auto"/>
          <w:sz w:val="16"/>
          <w:szCs w:val="16"/>
          <w:lang w:val="en-US"/>
        </w:rPr>
        <w:t xml:space="preserve">indicates the student’s distribution’s degrees of freedom. </w:t>
      </w:r>
      <m:oMath>
        <m:r>
          <m:rPr>
            <m:sty m:val="bi"/>
          </m:rPr>
          <w:rPr>
            <w:rFonts w:ascii="Cambria Math" w:eastAsia="Times New Roman" w:hAnsi="Cambria Math" w:cstheme="majorBidi"/>
            <w:color w:val="auto"/>
            <w:sz w:val="16"/>
            <w:szCs w:val="16"/>
            <w:lang w:val="en-US" w:eastAsia="fr-FR"/>
          </w:rPr>
          <m:t>Hosking</m:t>
        </m:r>
        <m:r>
          <m:rPr>
            <m:sty m:val="bi"/>
          </m:rPr>
          <w:rPr>
            <w:rFonts w:ascii="Cambria Math" w:eastAsia="Times New Roman" w:hAnsiTheme="majorBidi" w:cstheme="majorBidi"/>
            <w:color w:val="auto"/>
            <w:sz w:val="16"/>
            <w:szCs w:val="16"/>
            <w:lang w:val="en-US" w:eastAsia="fr-FR"/>
          </w:rPr>
          <m:t xml:space="preserve"> (20)</m:t>
        </m:r>
      </m:oMath>
      <w:r w:rsidRPr="00341063">
        <w:rPr>
          <w:rFonts w:asciiTheme="majorBidi" w:hAnsiTheme="majorBidi" w:cstheme="majorBidi"/>
          <w:b w:val="0"/>
          <w:bCs w:val="0"/>
          <w:color w:val="auto"/>
          <w:sz w:val="16"/>
          <w:szCs w:val="16"/>
          <w:lang w:val="en-US" w:eastAsia="fr-FR"/>
        </w:rPr>
        <w:t>and</w:t>
      </w:r>
      <m:oMath>
        <m:sSup>
          <m:sSupPr>
            <m:ctrlPr>
              <w:rPr>
                <w:rFonts w:ascii="Cambria Math" w:eastAsia="Times New Roman" w:hAnsiTheme="majorBidi" w:cstheme="majorBidi"/>
                <w:b w:val="0"/>
                <w:bCs w:val="0"/>
                <w:i/>
                <w:color w:val="auto"/>
                <w:sz w:val="16"/>
                <w:szCs w:val="16"/>
                <w:lang w:eastAsia="fr-FR"/>
              </w:rPr>
            </m:ctrlPr>
          </m:sSupPr>
          <m:e>
            <m:r>
              <m:rPr>
                <m:sty m:val="bi"/>
              </m:rPr>
              <w:rPr>
                <w:rFonts w:ascii="Cambria Math" w:eastAsia="Times New Roman" w:hAnsi="Cambria Math" w:cstheme="majorBidi"/>
                <w:color w:val="auto"/>
                <w:sz w:val="16"/>
                <w:szCs w:val="16"/>
                <w:lang w:eastAsia="fr-FR"/>
              </w:rPr>
              <m:t>Hosking</m:t>
            </m:r>
          </m:e>
          <m:sup>
            <m:r>
              <m:rPr>
                <m:sty m:val="bi"/>
              </m:rPr>
              <w:rPr>
                <w:rFonts w:ascii="Cambria Math" w:eastAsia="Times New Roman" w:hAnsi="Cambria Math" w:cstheme="majorBidi"/>
                <w:color w:val="auto"/>
                <w:sz w:val="16"/>
                <w:szCs w:val="16"/>
                <w:lang w:val="en-US" w:eastAsia="fr-FR"/>
              </w:rPr>
              <m:t>2</m:t>
            </m:r>
          </m:sup>
        </m:sSup>
        <m:r>
          <m:rPr>
            <m:sty m:val="bi"/>
          </m:rPr>
          <w:rPr>
            <w:rFonts w:ascii="Cambria Math" w:eastAsia="Times New Roman" w:hAnsiTheme="majorBidi" w:cstheme="majorBidi"/>
            <w:color w:val="auto"/>
            <w:sz w:val="16"/>
            <w:szCs w:val="16"/>
            <w:lang w:val="en-US" w:eastAsia="fr-FR"/>
          </w:rPr>
          <m:t>(</m:t>
        </m:r>
        <m:r>
          <m:rPr>
            <m:sty m:val="bi"/>
          </m:rPr>
          <w:rPr>
            <w:rFonts w:ascii="Cambria Math" w:eastAsia="Times New Roman" w:hAnsi="Cambria Math" w:cstheme="majorBidi"/>
            <w:color w:val="auto"/>
            <w:sz w:val="16"/>
            <w:szCs w:val="16"/>
            <w:lang w:val="en-US" w:eastAsia="fr-FR"/>
          </w:rPr>
          <m:t>20</m:t>
        </m:r>
        <m:r>
          <m:rPr>
            <m:sty m:val="bi"/>
          </m:rPr>
          <w:rPr>
            <w:rFonts w:ascii="Cambria Math" w:eastAsia="Times New Roman" w:hAnsiTheme="majorBidi" w:cstheme="majorBidi"/>
            <w:color w:val="auto"/>
            <w:sz w:val="16"/>
            <w:szCs w:val="16"/>
            <w:lang w:val="en-US" w:eastAsia="fr-FR"/>
          </w:rPr>
          <m:t>)</m:t>
        </m:r>
      </m:oMath>
      <w:r w:rsidRPr="00341063">
        <w:rPr>
          <w:rFonts w:asciiTheme="majorBidi" w:hAnsiTheme="majorBidi" w:cstheme="majorBidi"/>
          <w:b w:val="0"/>
          <w:bCs w:val="0"/>
          <w:color w:val="auto"/>
          <w:sz w:val="16"/>
          <w:szCs w:val="16"/>
          <w:lang w:val="en-US" w:eastAsia="fr-FR"/>
        </w:rPr>
        <w:t xml:space="preserve"> denote the Hosking's Multivariate Portmanteau Statistics on both standardized and squared standardized Residuals. </w:t>
      </w:r>
      <m:oMath>
        <m:r>
          <m:rPr>
            <m:sty m:val="bi"/>
          </m:rPr>
          <w:rPr>
            <w:rFonts w:ascii="Cambria Math" w:eastAsia="Times New Roman" w:hAnsi="Cambria Math" w:cstheme="majorBidi"/>
            <w:color w:val="auto"/>
            <w:sz w:val="16"/>
            <w:szCs w:val="16"/>
            <w:lang w:val="en-US" w:eastAsia="fr-FR"/>
          </w:rPr>
          <m:t>Li-McLeod</m:t>
        </m:r>
        <m:r>
          <m:rPr>
            <m:sty m:val="bi"/>
          </m:rPr>
          <w:rPr>
            <w:rFonts w:ascii="Cambria Math" w:eastAsia="Times New Roman" w:hAnsiTheme="majorBidi" w:cstheme="majorBidi"/>
            <w:color w:val="auto"/>
            <w:sz w:val="16"/>
            <w:szCs w:val="16"/>
            <w:lang w:val="en-US" w:eastAsia="fr-FR"/>
          </w:rPr>
          <m:t xml:space="preserve"> (20)</m:t>
        </m:r>
      </m:oMath>
      <w:r w:rsidRPr="00341063">
        <w:rPr>
          <w:rFonts w:asciiTheme="majorBidi" w:hAnsiTheme="majorBidi" w:cstheme="majorBidi"/>
          <w:b w:val="0"/>
          <w:bCs w:val="0"/>
          <w:color w:val="auto"/>
          <w:sz w:val="16"/>
          <w:szCs w:val="16"/>
          <w:lang w:val="en-US" w:eastAsia="fr-FR"/>
        </w:rPr>
        <w:t>and</w:t>
      </w:r>
      <m:oMath>
        <m:sSup>
          <m:sSupPr>
            <m:ctrlPr>
              <w:rPr>
                <w:rFonts w:ascii="Cambria Math" w:eastAsia="Times New Roman" w:hAnsiTheme="majorBidi" w:cstheme="majorBidi"/>
                <w:b w:val="0"/>
                <w:bCs w:val="0"/>
                <w:i/>
                <w:color w:val="auto"/>
                <w:sz w:val="16"/>
                <w:szCs w:val="16"/>
                <w:lang w:eastAsia="fr-FR"/>
              </w:rPr>
            </m:ctrlPr>
          </m:sSupPr>
          <m:e>
            <m:r>
              <m:rPr>
                <m:sty m:val="bi"/>
              </m:rPr>
              <w:rPr>
                <w:rFonts w:ascii="Cambria Math" w:eastAsia="Times New Roman" w:hAnsi="Cambria Math" w:cstheme="majorBidi"/>
                <w:color w:val="auto"/>
                <w:sz w:val="16"/>
                <w:szCs w:val="16"/>
                <w:lang w:eastAsia="fr-FR"/>
              </w:rPr>
              <m:t>Li</m:t>
            </m:r>
            <m:r>
              <m:rPr>
                <m:sty m:val="bi"/>
              </m:rPr>
              <w:rPr>
                <w:rFonts w:ascii="Cambria Math" w:eastAsia="Times New Roman" w:hAnsi="Cambria Math" w:cstheme="majorBidi"/>
                <w:color w:val="auto"/>
                <w:sz w:val="16"/>
                <w:szCs w:val="16"/>
                <w:lang w:val="en-US" w:eastAsia="fr-FR"/>
              </w:rPr>
              <m:t>-</m:t>
            </m:r>
            <m:r>
              <m:rPr>
                <m:sty m:val="bi"/>
              </m:rPr>
              <w:rPr>
                <w:rFonts w:ascii="Cambria Math" w:eastAsia="Times New Roman" w:hAnsi="Cambria Math" w:cstheme="majorBidi"/>
                <w:color w:val="auto"/>
                <w:sz w:val="16"/>
                <w:szCs w:val="16"/>
                <w:lang w:eastAsia="fr-FR"/>
              </w:rPr>
              <m:t>McLeod</m:t>
            </m:r>
          </m:e>
          <m:sup>
            <m:r>
              <m:rPr>
                <m:sty m:val="bi"/>
              </m:rPr>
              <w:rPr>
                <w:rFonts w:ascii="Cambria Math" w:eastAsia="Times New Roman" w:hAnsi="Cambria Math" w:cstheme="majorBidi"/>
                <w:color w:val="auto"/>
                <w:sz w:val="16"/>
                <w:szCs w:val="16"/>
                <w:lang w:val="en-US" w:eastAsia="fr-FR"/>
              </w:rPr>
              <m:t>2</m:t>
            </m:r>
          </m:sup>
        </m:sSup>
        <m:r>
          <m:rPr>
            <m:sty m:val="bi"/>
          </m:rPr>
          <w:rPr>
            <w:rFonts w:ascii="Cambria Math" w:eastAsia="Times New Roman" w:hAnsiTheme="majorBidi" w:cstheme="majorBidi"/>
            <w:color w:val="auto"/>
            <w:sz w:val="16"/>
            <w:szCs w:val="16"/>
            <w:lang w:val="en-US" w:eastAsia="fr-FR"/>
          </w:rPr>
          <m:t>(</m:t>
        </m:r>
        <m:r>
          <m:rPr>
            <m:sty m:val="bi"/>
          </m:rPr>
          <w:rPr>
            <w:rFonts w:ascii="Cambria Math" w:eastAsia="Times New Roman" w:hAnsi="Cambria Math" w:cstheme="majorBidi"/>
            <w:color w:val="auto"/>
            <w:sz w:val="16"/>
            <w:szCs w:val="16"/>
            <w:lang w:val="en-US" w:eastAsia="fr-FR"/>
          </w:rPr>
          <m:t>20</m:t>
        </m:r>
        <m:r>
          <m:rPr>
            <m:sty m:val="bi"/>
          </m:rPr>
          <w:rPr>
            <w:rFonts w:ascii="Cambria Math" w:eastAsia="Times New Roman" w:hAnsiTheme="majorBidi" w:cstheme="majorBidi"/>
            <w:color w:val="auto"/>
            <w:sz w:val="16"/>
            <w:szCs w:val="16"/>
            <w:lang w:val="en-US" w:eastAsia="fr-FR"/>
          </w:rPr>
          <m:t>)</m:t>
        </m:r>
      </m:oMath>
      <w:r w:rsidRPr="00341063">
        <w:rPr>
          <w:rFonts w:asciiTheme="majorBidi" w:hAnsiTheme="majorBidi" w:cstheme="majorBidi"/>
          <w:b w:val="0"/>
          <w:bCs w:val="0"/>
          <w:color w:val="auto"/>
          <w:sz w:val="16"/>
          <w:szCs w:val="16"/>
          <w:lang w:val="en-US" w:eastAsia="fr-FR"/>
        </w:rPr>
        <w:t xml:space="preserve"> indicate the Li and McLeod's Multivariate Portmanteau Statistics on both Standardized and squared standardized Residuals.</w:t>
      </w:r>
    </w:p>
    <w:p w:rsidR="00F52A22" w:rsidRDefault="00F52A22" w:rsidP="00435464">
      <w:pPr>
        <w:spacing w:after="0" w:line="240" w:lineRule="auto"/>
        <w:jc w:val="both"/>
        <w:rPr>
          <w:rFonts w:ascii="Times New Roman" w:eastAsia="Times New Roman" w:hAnsi="Times New Roman" w:cs="Times New Roman"/>
          <w:color w:val="FF0000"/>
          <w:lang w:val="en-US" w:eastAsia="fr-FR"/>
        </w:rPr>
      </w:pPr>
    </w:p>
    <w:p w:rsidR="0062679E" w:rsidRPr="005F176F" w:rsidRDefault="0062679E" w:rsidP="0062679E">
      <w:pPr>
        <w:spacing w:after="0" w:line="240" w:lineRule="auto"/>
        <w:ind w:firstLine="357"/>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Fig. 3</w:t>
      </w:r>
      <w:r w:rsidRPr="00CA76D4">
        <w:rPr>
          <w:rFonts w:ascii="Times New Roman" w:eastAsia="Times New Roman" w:hAnsi="Times New Roman" w:cs="Times New Roman"/>
          <w:lang w:val="en-US" w:eastAsia="fr-FR"/>
        </w:rPr>
        <w:t xml:space="preserve"> illustrates the evolution of the estimated dynamic conditional correlations dynamics among foreign exchange market and stock prices. Compared to the pre-crises period, the estimated DCCs show a decline during the post-crises period. Such evidence is in contrast with the findings of previous research on foreign exchange and stock markets, which show increases in correlations during periods of financial turmoil (see </w:t>
      </w:r>
      <w:r w:rsidRPr="00182B83">
        <w:rPr>
          <w:rFonts w:ascii="Times New Roman" w:eastAsia="Times New Roman" w:hAnsi="Times New Roman" w:cs="Times New Roman"/>
          <w:color w:val="00B0F0"/>
          <w:lang w:val="en-US" w:eastAsia="fr-FR"/>
        </w:rPr>
        <w:t>Kenourgios et al., 2011; Dimitriou et al., 2013; Dimitriou and Kenourgios, 2013</w:t>
      </w:r>
      <w:r w:rsidRPr="00CA76D4">
        <w:rPr>
          <w:rFonts w:ascii="Times New Roman" w:eastAsia="Times New Roman" w:hAnsi="Times New Roman" w:cs="Times New Roman"/>
          <w:lang w:val="en-US" w:eastAsia="fr-FR"/>
        </w:rPr>
        <w:t>).</w:t>
      </w:r>
      <w:r w:rsidRPr="00904A19">
        <w:rPr>
          <w:rFonts w:ascii="Times New Roman" w:eastAsia="Times New Roman" w:hAnsi="Times New Roman" w:cs="Times New Roman"/>
          <w:lang w:val="en-US" w:eastAsia="fr-FR"/>
        </w:rPr>
        <w:t xml:space="preserve">Nevertheless, the different path of the estimated DCCs displays fluctuations for all pairs of </w:t>
      </w:r>
      <w:r w:rsidRPr="00904A19">
        <w:rPr>
          <w:rFonts w:ascii="Times New Roman" w:eastAsia="Times New Roman" w:hAnsi="Times New Roman" w:cs="Times New Roman"/>
          <w:lang w:val="en-US" w:eastAsia="fr-FR"/>
        </w:rPr>
        <w:lastRenderedPageBreak/>
        <w:t>exchange rate and stock prices across the phases of the global financial and European sovereign debt crises, suggesting that the assumption of constant correlation is not appropriate. The above findings motivate a more extensive analysis of DCCs, in order to capture contagion dynamics during different phases of the two crises.</w:t>
      </w:r>
    </w:p>
    <w:p w:rsidR="0062679E" w:rsidRPr="00F52A22" w:rsidRDefault="0062679E" w:rsidP="00435464">
      <w:pPr>
        <w:spacing w:after="0" w:line="240" w:lineRule="auto"/>
        <w:jc w:val="both"/>
        <w:rPr>
          <w:rFonts w:ascii="Times New Roman" w:eastAsia="Times New Roman" w:hAnsi="Times New Roman" w:cs="Times New Roman"/>
          <w:color w:val="FF0000"/>
          <w:lang w:val="en-US" w:eastAsia="fr-FR"/>
        </w:rPr>
      </w:pPr>
    </w:p>
    <w:p w:rsidR="001C4D00" w:rsidRPr="0062679E" w:rsidRDefault="001C4D00" w:rsidP="0062679E">
      <w:pPr>
        <w:pStyle w:val="Paragraphedeliste"/>
        <w:numPr>
          <w:ilvl w:val="1"/>
          <w:numId w:val="1"/>
        </w:numPr>
        <w:spacing w:after="0" w:line="240" w:lineRule="auto"/>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AR-EGARCH specification</w:t>
      </w:r>
    </w:p>
    <w:p w:rsidR="001C4D00" w:rsidRPr="00D540F7" w:rsidRDefault="001C4D00" w:rsidP="001C4D00">
      <w:pPr>
        <w:pStyle w:val="Paragraphedeliste"/>
        <w:spacing w:after="0" w:line="240" w:lineRule="auto"/>
        <w:ind w:left="1440"/>
        <w:jc w:val="both"/>
        <w:rPr>
          <w:rFonts w:asciiTheme="majorBidi" w:hAnsiTheme="majorBidi" w:cstheme="majorBidi"/>
          <w:b/>
          <w:sz w:val="24"/>
          <w:szCs w:val="24"/>
          <w:lang w:val="en-US"/>
        </w:rPr>
      </w:pPr>
    </w:p>
    <w:p w:rsidR="001C4D00" w:rsidRDefault="001C4D00" w:rsidP="00DF7BD1">
      <w:pPr>
        <w:spacing w:after="0" w:line="240" w:lineRule="auto"/>
        <w:ind w:firstLine="340"/>
        <w:jc w:val="both"/>
        <w:rPr>
          <w:rFonts w:asciiTheme="majorBidi" w:hAnsiTheme="majorBidi" w:cstheme="majorBidi"/>
          <w:lang w:val="en-US"/>
        </w:rPr>
      </w:pPr>
      <w:r w:rsidRPr="00CF371D">
        <w:rPr>
          <w:rFonts w:asciiTheme="majorBidi" w:hAnsiTheme="majorBidi" w:cstheme="majorBidi"/>
          <w:lang w:val="en-US"/>
        </w:rPr>
        <w:t>The first step of this specification is to estimate the univariate</w:t>
      </w:r>
      <m:oMath>
        <m:r>
          <w:rPr>
            <w:rFonts w:ascii="Cambria Math" w:hAnsi="Cambria Math" w:cstheme="majorBidi"/>
            <w:lang w:val="en-US"/>
          </w:rPr>
          <m:t>AR(m)-EGARCH(p,q)</m:t>
        </m:r>
      </m:oMath>
      <w:r w:rsidRPr="00CF371D">
        <w:rPr>
          <w:rFonts w:asciiTheme="majorBidi" w:hAnsiTheme="majorBidi" w:cstheme="majorBidi"/>
          <w:lang w:val="en-US"/>
        </w:rPr>
        <w:t xml:space="preserve"> models for each exchange rate</w:t>
      </w:r>
      <w:r w:rsidR="00CF371D" w:rsidRPr="00CF371D">
        <w:rPr>
          <w:rFonts w:asciiTheme="majorBidi" w:hAnsiTheme="majorBidi" w:cstheme="majorBidi"/>
          <w:lang w:val="en-US"/>
        </w:rPr>
        <w:t xml:space="preserve"> and stock m</w:t>
      </w:r>
      <w:r w:rsidR="00C37997">
        <w:rPr>
          <w:rFonts w:asciiTheme="majorBidi" w:hAnsiTheme="majorBidi" w:cstheme="majorBidi"/>
          <w:lang w:val="en-US"/>
        </w:rPr>
        <w:t>arket return series (see Table 5</w:t>
      </w:r>
      <w:r w:rsidRPr="00CF371D">
        <w:rPr>
          <w:rFonts w:asciiTheme="majorBidi" w:hAnsiTheme="majorBidi" w:cstheme="majorBidi"/>
          <w:lang w:val="en-US"/>
        </w:rPr>
        <w:t xml:space="preserve">). This paper considers the asymmetric effect, while </w:t>
      </w:r>
      <w:r w:rsidRPr="00427688">
        <w:rPr>
          <w:rFonts w:asciiTheme="majorBidi" w:hAnsiTheme="majorBidi" w:cstheme="majorBidi"/>
          <w:color w:val="00B0F0"/>
          <w:lang w:val="en-US"/>
        </w:rPr>
        <w:t>Tamakoshi and Hamori (2014)</w:t>
      </w:r>
      <w:r w:rsidRPr="00CF371D">
        <w:rPr>
          <w:rFonts w:asciiTheme="majorBidi" w:hAnsiTheme="majorBidi" w:cstheme="majorBidi"/>
          <w:lang w:val="en-US"/>
        </w:rPr>
        <w:t xml:space="preserve"> did not. The </w:t>
      </w:r>
      <w:r w:rsidRPr="00CF371D">
        <w:rPr>
          <w:rFonts w:asciiTheme="majorBidi" w:eastAsiaTheme="minorEastAsia" w:hAnsiTheme="majorBidi" w:cstheme="majorBidi"/>
          <w:lang w:val="en-US"/>
        </w:rPr>
        <w:t>AR(0)-EGARCH(1,1)</w:t>
      </w:r>
      <w:r w:rsidRPr="00CF371D">
        <w:rPr>
          <w:rFonts w:asciiTheme="majorBidi" w:hAnsiTheme="majorBidi" w:cstheme="majorBidi"/>
          <w:lang w:val="en-US"/>
        </w:rPr>
        <w:t xml:space="preserve"> model is choosen for all exchange rate</w:t>
      </w:r>
      <w:r w:rsidR="00CF371D" w:rsidRPr="00CF371D">
        <w:rPr>
          <w:rFonts w:asciiTheme="majorBidi" w:hAnsiTheme="majorBidi" w:cstheme="majorBidi"/>
          <w:lang w:val="en-US"/>
        </w:rPr>
        <w:t xml:space="preserve"> and stock market</w:t>
      </w:r>
      <w:r w:rsidRPr="00CF371D">
        <w:rPr>
          <w:rFonts w:asciiTheme="majorBidi" w:hAnsiTheme="majorBidi" w:cstheme="majorBidi"/>
          <w:lang w:val="en-US"/>
        </w:rPr>
        <w:t xml:space="preserve"> return series.</w:t>
      </w:r>
      <w:r w:rsidRPr="00C93746">
        <w:rPr>
          <w:rFonts w:asciiTheme="majorBidi" w:hAnsiTheme="majorBidi" w:cstheme="majorBidi"/>
          <w:lang w:val="en-US"/>
        </w:rPr>
        <w:t>The estimated parameters of the EGARCH(1,1) model are statistically significant at the 1% significan</w:t>
      </w:r>
      <w:r w:rsidR="00C93746" w:rsidRPr="00C93746">
        <w:rPr>
          <w:rFonts w:asciiTheme="majorBidi" w:hAnsiTheme="majorBidi" w:cstheme="majorBidi"/>
          <w:lang w:val="en-US"/>
        </w:rPr>
        <w:t>ce level or better for the four</w:t>
      </w:r>
      <w:r w:rsidRPr="00C93746">
        <w:rPr>
          <w:rFonts w:asciiTheme="majorBidi" w:hAnsiTheme="majorBidi" w:cstheme="majorBidi"/>
          <w:lang w:val="en-US"/>
        </w:rPr>
        <w:t xml:space="preserve"> variables, except the </w:t>
      </w:r>
      <m:oMath>
        <m:r>
          <m:rPr>
            <m:sty m:val="p"/>
          </m:rPr>
          <w:rPr>
            <w:rFonts w:ascii="Cambria Math" w:hAnsi="Cambria Math" w:cstheme="majorBidi"/>
            <w:lang w:val="en-US"/>
          </w:rPr>
          <m:t>γ</m:t>
        </m:r>
      </m:oMath>
      <w:r w:rsidRPr="00C93746">
        <w:rPr>
          <w:rFonts w:asciiTheme="majorBidi" w:hAnsiTheme="majorBidi" w:cstheme="majorBidi"/>
          <w:lang w:val="en-US"/>
        </w:rPr>
        <w:t xml:space="preserve"> parameter for the </w:t>
      </w:r>
      <w:r w:rsidR="00C93746" w:rsidRPr="00C93746">
        <w:rPr>
          <w:rFonts w:asciiTheme="majorBidi" w:hAnsiTheme="majorBidi" w:cstheme="majorBidi"/>
          <w:lang w:val="en-US"/>
        </w:rPr>
        <w:t>USDEUR</w:t>
      </w:r>
      <w:r w:rsidRPr="00C93746">
        <w:rPr>
          <w:rFonts w:asciiTheme="majorBidi" w:hAnsiTheme="majorBidi" w:cstheme="majorBidi"/>
          <w:lang w:val="en-US"/>
        </w:rPr>
        <w:t xml:space="preserve"> variable.</w:t>
      </w:r>
      <w:r w:rsidR="00B507F8">
        <w:rPr>
          <w:rFonts w:asciiTheme="majorBidi" w:hAnsiTheme="majorBidi" w:cstheme="majorBidi"/>
          <w:lang w:val="en-US"/>
        </w:rPr>
        <w:t>Table 5</w:t>
      </w:r>
      <w:r w:rsidRPr="00DF7BD1">
        <w:rPr>
          <w:rFonts w:asciiTheme="majorBidi" w:hAnsiTheme="majorBidi" w:cstheme="majorBidi"/>
          <w:lang w:val="en-US"/>
        </w:rPr>
        <w:t xml:space="preserve"> also reports the estimates of the parameter </w:t>
      </w:r>
      <m:oMath>
        <m:r>
          <m:rPr>
            <m:sty m:val="p"/>
          </m:rPr>
          <w:rPr>
            <w:rFonts w:ascii="Cambria Math" w:hAnsi="Cambria Math" w:cstheme="majorBidi"/>
            <w:lang w:val="en-US"/>
          </w:rPr>
          <m:t>β</m:t>
        </m:r>
      </m:oMath>
      <w:r w:rsidRPr="00DF7BD1">
        <w:rPr>
          <w:rFonts w:asciiTheme="majorBidi" w:hAnsiTheme="majorBidi" w:cstheme="majorBidi"/>
          <w:lang w:val="en-US"/>
        </w:rPr>
        <w:t xml:space="preserve">, which measures the degree of volatility persistence. We find that </w:t>
      </w:r>
      <m:oMath>
        <m:r>
          <m:rPr>
            <m:sty m:val="p"/>
          </m:rPr>
          <w:rPr>
            <w:rFonts w:ascii="Cambria Math" w:hAnsi="Cambria Math" w:cstheme="majorBidi"/>
            <w:lang w:val="en-US"/>
          </w:rPr>
          <m:t>β</m:t>
        </m:r>
      </m:oMath>
      <w:r w:rsidR="00DF7BD1" w:rsidRPr="00DF7BD1">
        <w:rPr>
          <w:rFonts w:asciiTheme="majorBidi" w:hAnsiTheme="majorBidi" w:cstheme="majorBidi"/>
          <w:lang w:val="en-US"/>
        </w:rPr>
        <w:t xml:space="preserve"> for European exchange rate returns expressed in US dollar</w:t>
      </w:r>
      <w:r w:rsidRPr="00DF7BD1">
        <w:rPr>
          <w:rFonts w:asciiTheme="majorBidi" w:hAnsiTheme="majorBidi" w:cstheme="majorBidi"/>
          <w:lang w:val="en-US"/>
        </w:rPr>
        <w:t xml:space="preserve">, and </w:t>
      </w:r>
      <w:r w:rsidR="00DF7BD1" w:rsidRPr="00DF7BD1">
        <w:rPr>
          <w:rFonts w:asciiTheme="majorBidi" w:hAnsiTheme="majorBidi" w:cstheme="majorBidi"/>
          <w:lang w:val="en-US"/>
        </w:rPr>
        <w:t>major stock market returnsare 0.9951, 0.9743, 0.9865 and 0.9910</w:t>
      </w:r>
      <w:r w:rsidRPr="00DF7BD1">
        <w:rPr>
          <w:rFonts w:asciiTheme="majorBidi" w:hAnsiTheme="majorBidi" w:cstheme="majorBidi"/>
          <w:lang w:val="en-US"/>
        </w:rPr>
        <w:t>, respectively. From these estimates, we could infer that the persistence in shocks to volatility is relatively large.</w:t>
      </w:r>
    </w:p>
    <w:p w:rsidR="006951B0" w:rsidRPr="005A7A99" w:rsidRDefault="006951B0" w:rsidP="006951B0">
      <w:pPr>
        <w:spacing w:after="0" w:line="240" w:lineRule="auto"/>
        <w:ind w:firstLine="340"/>
        <w:jc w:val="both"/>
        <w:rPr>
          <w:rFonts w:asciiTheme="majorBidi" w:hAnsiTheme="majorBidi" w:cstheme="majorBidi"/>
          <w:lang w:val="en-US"/>
        </w:rPr>
      </w:pPr>
      <w:r w:rsidRPr="005A7A99">
        <w:rPr>
          <w:rFonts w:asciiTheme="majorBidi" w:hAnsiTheme="majorBidi" w:cstheme="majorBidi"/>
          <w:lang w:val="en-US"/>
        </w:rPr>
        <w:t xml:space="preserve">In addition, Table 4 depicts the diagnostics of the empirical findings of the </w:t>
      </w:r>
      <w:r w:rsidRPr="005A7A99">
        <w:rPr>
          <w:rFonts w:asciiTheme="majorBidi" w:eastAsiaTheme="minorEastAsia" w:hAnsiTheme="majorBidi" w:cstheme="majorBidi"/>
          <w:lang w:val="en-US"/>
        </w:rPr>
        <w:t>AR(0)-EGARCH(1,1)</w:t>
      </w:r>
      <w:r w:rsidRPr="005A7A99">
        <w:rPr>
          <w:rFonts w:asciiTheme="majorBidi" w:hAnsiTheme="majorBidi" w:cstheme="majorBidi"/>
          <w:lang w:val="en-US"/>
        </w:rPr>
        <w:t xml:space="preserve"> model. </w:t>
      </w:r>
      <m:oMath>
        <m:r>
          <w:rPr>
            <w:rFonts w:ascii="Cambria Math" w:hAnsi="Cambria Math" w:cstheme="majorBidi"/>
            <w:lang w:val="en-US"/>
          </w:rPr>
          <m:t>LB-Q(20)</m:t>
        </m:r>
      </m:oMath>
      <w:r w:rsidRPr="005A7A99">
        <w:rPr>
          <w:rFonts w:asciiTheme="majorBidi" w:hAnsiTheme="majorBidi" w:cstheme="majorBidi"/>
          <w:lang w:val="en-US"/>
        </w:rPr>
        <w:t>and</w:t>
      </w:r>
      <m:oMath>
        <m:sSup>
          <m:sSupPr>
            <m:ctrlPr>
              <w:rPr>
                <w:rFonts w:ascii="Cambria Math" w:hAnsi="Cambria Math" w:cstheme="majorBidi"/>
                <w:i/>
                <w:lang w:val="en-US"/>
              </w:rPr>
            </m:ctrlPr>
          </m:sSupPr>
          <m:e>
            <m:r>
              <w:rPr>
                <w:rFonts w:ascii="Cambria Math" w:hAnsi="Cambria Math" w:cstheme="majorBidi"/>
                <w:lang w:val="en-US"/>
              </w:rPr>
              <m:t>LB-Q</m:t>
            </m:r>
          </m:e>
          <m:sup>
            <m:r>
              <w:rPr>
                <w:rFonts w:ascii="Cambria Math" w:hAnsi="Cambria Math" w:cstheme="majorBidi"/>
                <w:lang w:val="en-US"/>
              </w:rPr>
              <m:t>2</m:t>
            </m:r>
          </m:sup>
        </m:sSup>
        <m:r>
          <w:rPr>
            <w:rFonts w:ascii="Cambria Math" w:hAnsi="Cambria Math" w:cstheme="majorBidi"/>
            <w:lang w:val="en-US"/>
          </w:rPr>
          <m:t>(20)</m:t>
        </m:r>
      </m:oMath>
      <w:r w:rsidRPr="005A7A99">
        <w:rPr>
          <w:rFonts w:asciiTheme="majorBidi" w:hAnsiTheme="majorBidi" w:cstheme="majorBidi"/>
          <w:lang w:val="en-US"/>
        </w:rPr>
        <w:t xml:space="preserve"> are the Ljung-Box test statistics for the null hypothesis that there is no serial correlation up to order 20 for standardized and squared standardized residuals, respectively.The null hypothesis of no autocorrelation up to order 20 for squared standardized residuals is also accepted at the 1% level of significance.</w:t>
      </w:r>
    </w:p>
    <w:p w:rsidR="006951B0" w:rsidRDefault="006951B0" w:rsidP="006951B0">
      <w:pPr>
        <w:spacing w:after="0" w:line="240" w:lineRule="auto"/>
        <w:ind w:firstLine="340"/>
        <w:jc w:val="both"/>
        <w:rPr>
          <w:rFonts w:asciiTheme="majorBidi" w:hAnsiTheme="majorBidi" w:cstheme="majorBidi"/>
          <w:lang w:val="en-US"/>
        </w:rPr>
      </w:pPr>
      <w:r w:rsidRPr="005A7A99">
        <w:rPr>
          <w:rFonts w:asciiTheme="majorBidi" w:hAnsiTheme="majorBidi" w:cstheme="majorBidi"/>
          <w:lang w:val="en-US"/>
        </w:rPr>
        <w:t>Since our analysis focused on the dynamics of the correlations among the exchange rate and stock market returns, the well-fitted variance equations described above led us to conclude that our AR-EGARCH models fit the data rationally well.</w:t>
      </w:r>
    </w:p>
    <w:p w:rsidR="006951B0" w:rsidRDefault="006951B0" w:rsidP="006951B0">
      <w:pPr>
        <w:spacing w:after="0" w:line="240" w:lineRule="auto"/>
        <w:ind w:firstLine="340"/>
        <w:jc w:val="both"/>
        <w:rPr>
          <w:rFonts w:asciiTheme="majorBidi" w:hAnsiTheme="majorBidi" w:cstheme="majorBidi"/>
          <w:lang w:val="en-US"/>
        </w:rPr>
      </w:pPr>
    </w:p>
    <w:p w:rsidR="006951B0" w:rsidRPr="0062679E" w:rsidRDefault="006951B0" w:rsidP="0062679E">
      <w:pPr>
        <w:pStyle w:val="Paragraphedeliste"/>
        <w:numPr>
          <w:ilvl w:val="1"/>
          <w:numId w:val="1"/>
        </w:numPr>
        <w:spacing w:after="0" w:line="240" w:lineRule="auto"/>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Multivariate Asymmetric DCC results</w:t>
      </w:r>
    </w:p>
    <w:p w:rsidR="006951B0" w:rsidRDefault="006951B0" w:rsidP="006951B0">
      <w:pPr>
        <w:spacing w:after="0" w:line="240" w:lineRule="auto"/>
        <w:ind w:left="360"/>
        <w:rPr>
          <w:rFonts w:asciiTheme="majorBidi" w:hAnsiTheme="majorBidi" w:cstheme="majorBidi"/>
          <w:lang w:val="en-US"/>
        </w:rPr>
      </w:pPr>
    </w:p>
    <w:p w:rsidR="00F52A22" w:rsidRPr="006951B0" w:rsidRDefault="006951B0" w:rsidP="006951B0">
      <w:pPr>
        <w:spacing w:after="0" w:line="240" w:lineRule="auto"/>
        <w:ind w:firstLine="340"/>
        <w:jc w:val="both"/>
        <w:rPr>
          <w:rFonts w:asciiTheme="majorBidi" w:hAnsiTheme="majorBidi" w:cstheme="majorBidi"/>
          <w:lang w:val="en-US"/>
        </w:rPr>
      </w:pPr>
      <w:r w:rsidRPr="00553002">
        <w:rPr>
          <w:rFonts w:asciiTheme="majorBidi" w:hAnsiTheme="majorBidi" w:cstheme="majorBidi"/>
          <w:lang w:val="en-US"/>
        </w:rPr>
        <w:t xml:space="preserve">The second step of our analysis is to estimate the multivariate A-DCC model developed by </w:t>
      </w:r>
      <w:r w:rsidRPr="00427688">
        <w:rPr>
          <w:rFonts w:asciiTheme="majorBidi" w:hAnsiTheme="majorBidi" w:cstheme="majorBidi"/>
          <w:color w:val="00B0F0"/>
          <w:lang w:val="en-US"/>
        </w:rPr>
        <w:t>Cappiello et al. (2006)</w:t>
      </w:r>
      <w:r w:rsidRPr="00553002">
        <w:rPr>
          <w:rFonts w:asciiTheme="majorBidi" w:hAnsiTheme="majorBidi" w:cstheme="majorBidi"/>
          <w:lang w:val="en-US"/>
        </w:rPr>
        <w:t>. The estimation results of the DCC and A-DC</w:t>
      </w:r>
      <w:r>
        <w:rPr>
          <w:rFonts w:asciiTheme="majorBidi" w:hAnsiTheme="majorBidi" w:cstheme="majorBidi"/>
          <w:lang w:val="en-US"/>
        </w:rPr>
        <w:t>C models are reported in Table 6</w:t>
      </w:r>
      <w:r w:rsidRPr="00553002">
        <w:rPr>
          <w:rFonts w:asciiTheme="majorBidi" w:hAnsiTheme="majorBidi" w:cstheme="majorBidi"/>
          <w:lang w:val="en-US"/>
        </w:rPr>
        <w:t>.We use this methodology to test the correlation among the selected three stock market returns and exchange rate.Generally, we find that the A-DCC model seems to be specified reasonably well.</w:t>
      </w:r>
      <w:r w:rsidRPr="00CA669F">
        <w:rPr>
          <w:rFonts w:asciiTheme="majorBidi" w:hAnsiTheme="majorBidi" w:cstheme="majorBidi"/>
          <w:lang w:val="en-US"/>
        </w:rPr>
        <w:t xml:space="preserve">Indeed, the estimates of the parameter of standardized residuals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a</m:t>
            </m:r>
          </m:e>
          <m:sub>
            <m:r>
              <m:rPr>
                <m:sty m:val="p"/>
              </m:rPr>
              <w:rPr>
                <w:rFonts w:ascii="Cambria Math" w:hAnsi="Cambria Math" w:cstheme="majorBidi"/>
                <w:lang w:val="en-US"/>
              </w:rPr>
              <m:t>1</m:t>
            </m:r>
          </m:sub>
        </m:sSub>
        <m:r>
          <m:rPr>
            <m:sty m:val="p"/>
          </m:rPr>
          <w:rPr>
            <w:rFonts w:ascii="Cambria Math" w:hAnsi="Cambria Math" w:cstheme="majorBidi"/>
            <w:lang w:val="en-US"/>
          </w:rPr>
          <m:t>)</m:t>
        </m:r>
      </m:oMath>
      <w:r w:rsidRPr="00CA669F">
        <w:rPr>
          <w:rFonts w:asciiTheme="majorBidi" w:hAnsiTheme="majorBidi" w:cstheme="majorBidi"/>
          <w:lang w:val="en-US"/>
        </w:rPr>
        <w:t xml:space="preserve"> and of innovations in the dynamics of the conditional correlation matrix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b</m:t>
            </m:r>
          </m:e>
          <m:sub>
            <m:r>
              <m:rPr>
                <m:sty m:val="p"/>
              </m:rPr>
              <w:rPr>
                <w:rFonts w:ascii="Cambria Math" w:hAnsi="Cambria Math" w:cstheme="majorBidi"/>
                <w:lang w:val="en-US"/>
              </w:rPr>
              <m:t>1</m:t>
            </m:r>
          </m:sub>
        </m:sSub>
        <m:r>
          <m:rPr>
            <m:sty m:val="p"/>
          </m:rPr>
          <w:rPr>
            <w:rFonts w:ascii="Cambria Math" w:hAnsi="Cambria Math" w:cstheme="majorBidi"/>
            <w:lang w:val="en-US"/>
          </w:rPr>
          <m:t>)</m:t>
        </m:r>
      </m:oMath>
      <w:r w:rsidRPr="00CA669F">
        <w:rPr>
          <w:rFonts w:asciiTheme="majorBidi" w:hAnsiTheme="majorBidi" w:cstheme="majorBidi"/>
          <w:lang w:val="en-US"/>
        </w:rPr>
        <w:t xml:space="preserve"> are significant at the 1% level or better.Most remarkably, the estimate of the parameter of the asymmetric term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g</m:t>
            </m:r>
          </m:e>
          <m:sub>
            <m:r>
              <m:rPr>
                <m:sty m:val="p"/>
              </m:rPr>
              <w:rPr>
                <w:rFonts w:ascii="Cambria Math" w:hAnsi="Cambria Math" w:cstheme="majorBidi"/>
                <w:lang w:val="en-US"/>
              </w:rPr>
              <m:t>1</m:t>
            </m:r>
          </m:sub>
        </m:sSub>
        <m:r>
          <m:rPr>
            <m:sty m:val="p"/>
          </m:rPr>
          <w:rPr>
            <w:rFonts w:ascii="Cambria Math" w:hAnsi="Cambria Math" w:cstheme="majorBidi"/>
            <w:lang w:val="en-US"/>
          </w:rPr>
          <m:t>)</m:t>
        </m:r>
      </m:oMath>
      <w:r w:rsidRPr="00CA669F">
        <w:rPr>
          <w:rFonts w:asciiTheme="majorBidi" w:hAnsiTheme="majorBidi" w:cstheme="majorBidi"/>
          <w:lang w:val="en-US"/>
        </w:rPr>
        <w:t xml:space="preserve"> is significant at the 10% level or better, thus providing evidence of an asymmetric response in correlations. In other words, the conditional correlation among the currencies exhibits higher dependency when it is driven by negative innovations to changes than it is by positive innovations.This result is rather interesting because it suggests that the reasons for the identified asymmetric correlation differ from the theoretical explanation of the “currency portfolio rebalancing” hypothesis, which argues that exchange rates tend to display a higher degree of co-movement during periods of their depreciation than during periods of their appreciation against the USD.</w:t>
      </w:r>
    </w:p>
    <w:p w:rsidR="00F52A22" w:rsidRPr="006951B0" w:rsidRDefault="00F52A22" w:rsidP="006951B0">
      <w:pPr>
        <w:pStyle w:val="Lgende"/>
        <w:keepNext/>
        <w:spacing w:after="0"/>
        <w:ind w:left="-624"/>
        <w:jc w:val="both"/>
        <w:rPr>
          <w:rFonts w:asciiTheme="majorBidi" w:hAnsiTheme="majorBidi" w:cstheme="majorBidi"/>
          <w:color w:val="auto"/>
          <w:sz w:val="20"/>
          <w:szCs w:val="20"/>
          <w:lang w:val="en-US"/>
        </w:rPr>
      </w:pPr>
    </w:p>
    <w:p w:rsidR="006951B0" w:rsidRDefault="006951B0" w:rsidP="00A57278">
      <w:pPr>
        <w:spacing w:after="0" w:line="240" w:lineRule="auto"/>
        <w:rPr>
          <w:rFonts w:ascii="Times New Roman" w:eastAsia="Times New Roman" w:hAnsi="Times New Roman" w:cs="Times New Roman"/>
          <w:color w:val="000000"/>
          <w:sz w:val="16"/>
          <w:szCs w:val="16"/>
          <w:lang w:val="en-US" w:eastAsia="fr-FR"/>
        </w:rPr>
        <w:sectPr w:rsidR="006951B0" w:rsidSect="00936BD1">
          <w:footerReference w:type="default" r:id="rId11"/>
          <w:pgSz w:w="11906" w:h="16838"/>
          <w:pgMar w:top="1417" w:right="1417" w:bottom="1417" w:left="1417" w:header="708" w:footer="708" w:gutter="0"/>
          <w:cols w:space="708"/>
          <w:docGrid w:linePitch="360"/>
        </w:sectPr>
      </w:pPr>
    </w:p>
    <w:p w:rsidR="006951B0" w:rsidRPr="006951B0" w:rsidRDefault="006951B0" w:rsidP="006951B0">
      <w:pPr>
        <w:pStyle w:val="Lgende"/>
        <w:keepNext/>
        <w:spacing w:after="0"/>
        <w:ind w:left="1701" w:right="1701"/>
        <w:jc w:val="both"/>
        <w:rPr>
          <w:rFonts w:asciiTheme="majorBidi" w:hAnsiTheme="majorBidi" w:cstheme="majorBidi"/>
          <w:sz w:val="22"/>
          <w:szCs w:val="22"/>
        </w:rPr>
      </w:pPr>
      <w:r w:rsidRPr="006951B0">
        <w:rPr>
          <w:rFonts w:asciiTheme="majorBidi" w:hAnsiTheme="majorBidi" w:cstheme="majorBidi"/>
          <w:sz w:val="22"/>
          <w:szCs w:val="22"/>
        </w:rPr>
        <w:lastRenderedPageBreak/>
        <w:t>Table 5</w:t>
      </w:r>
    </w:p>
    <w:p w:rsidR="006951B0" w:rsidRPr="006951B0" w:rsidRDefault="006951B0" w:rsidP="006951B0">
      <w:pPr>
        <w:spacing w:after="0" w:line="240" w:lineRule="auto"/>
        <w:ind w:left="1701" w:right="1701"/>
        <w:jc w:val="both"/>
        <w:rPr>
          <w:rFonts w:asciiTheme="majorBidi" w:hAnsiTheme="majorBidi" w:cstheme="majorBidi"/>
        </w:rPr>
      </w:pPr>
      <w:r w:rsidRPr="006951B0">
        <w:rPr>
          <w:rFonts w:asciiTheme="majorBidi" w:hAnsiTheme="majorBidi" w:cstheme="majorBidi"/>
          <w:bCs/>
          <w:lang w:val="en-US"/>
        </w:rPr>
        <w:t>AR(0)-EGARCH(1,1) estimation results.</w:t>
      </w:r>
    </w:p>
    <w:tbl>
      <w:tblPr>
        <w:tblW w:w="10485" w:type="dxa"/>
        <w:jc w:val="center"/>
        <w:tblInd w:w="56" w:type="dxa"/>
        <w:tblCellMar>
          <w:left w:w="70" w:type="dxa"/>
          <w:right w:w="70" w:type="dxa"/>
        </w:tblCellMar>
        <w:tblLook w:val="04A0"/>
      </w:tblPr>
      <w:tblGrid>
        <w:gridCol w:w="1185"/>
        <w:gridCol w:w="820"/>
        <w:gridCol w:w="684"/>
        <w:gridCol w:w="603"/>
        <w:gridCol w:w="188"/>
        <w:gridCol w:w="820"/>
        <w:gridCol w:w="684"/>
        <w:gridCol w:w="603"/>
        <w:gridCol w:w="188"/>
        <w:gridCol w:w="900"/>
        <w:gridCol w:w="684"/>
        <w:gridCol w:w="603"/>
        <w:gridCol w:w="199"/>
        <w:gridCol w:w="900"/>
        <w:gridCol w:w="684"/>
        <w:gridCol w:w="137"/>
        <w:gridCol w:w="460"/>
        <w:gridCol w:w="143"/>
      </w:tblGrid>
      <w:tr w:rsidR="00B417FB" w:rsidRPr="00A57278" w:rsidTr="006951B0">
        <w:trPr>
          <w:trHeight w:val="72"/>
          <w:jc w:val="center"/>
        </w:trPr>
        <w:tc>
          <w:tcPr>
            <w:tcW w:w="1185" w:type="dxa"/>
            <w:vMerge w:val="restart"/>
            <w:tcBorders>
              <w:top w:val="single" w:sz="8" w:space="0" w:color="auto"/>
              <w:left w:val="nil"/>
              <w:bottom w:val="single" w:sz="8" w:space="0" w:color="000000"/>
              <w:right w:val="nil"/>
            </w:tcBorders>
            <w:shd w:val="clear" w:color="auto" w:fill="auto"/>
            <w:noWrap/>
            <w:vAlign w:val="bottom"/>
            <w:hideMark/>
          </w:tcPr>
          <w:p w:rsidR="00A57278" w:rsidRPr="00A57278" w:rsidRDefault="00A57278" w:rsidP="00A57278">
            <w:pPr>
              <w:spacing w:after="0" w:line="240" w:lineRule="auto"/>
              <w:rPr>
                <w:rFonts w:ascii="Times New Roman" w:eastAsia="Times New Roman" w:hAnsi="Times New Roman" w:cs="Times New Roman"/>
                <w:color w:val="000000"/>
                <w:sz w:val="16"/>
                <w:szCs w:val="16"/>
                <w:lang w:val="en-US" w:eastAsia="fr-FR"/>
              </w:rPr>
            </w:pPr>
            <w:r w:rsidRPr="00A57278">
              <w:rPr>
                <w:rFonts w:ascii="Times New Roman" w:eastAsia="Times New Roman" w:hAnsi="Times New Roman" w:cs="Times New Roman"/>
                <w:color w:val="000000"/>
                <w:sz w:val="16"/>
                <w:szCs w:val="16"/>
                <w:lang w:val="en-US" w:eastAsia="fr-FR"/>
              </w:rPr>
              <w:t> </w:t>
            </w:r>
          </w:p>
        </w:tc>
        <w:tc>
          <w:tcPr>
            <w:tcW w:w="2107" w:type="dxa"/>
            <w:gridSpan w:val="3"/>
            <w:tcBorders>
              <w:top w:val="single" w:sz="8" w:space="0" w:color="auto"/>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USDEUR</w:t>
            </w:r>
          </w:p>
        </w:tc>
        <w:tc>
          <w:tcPr>
            <w:tcW w:w="188" w:type="dxa"/>
            <w:tcBorders>
              <w:top w:val="single" w:sz="8" w:space="0" w:color="auto"/>
              <w:left w:val="nil"/>
              <w:bottom w:val="nil"/>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p>
        </w:tc>
        <w:tc>
          <w:tcPr>
            <w:tcW w:w="2107" w:type="dxa"/>
            <w:gridSpan w:val="3"/>
            <w:tcBorders>
              <w:top w:val="single" w:sz="8" w:space="0" w:color="auto"/>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NIKKEI225</w:t>
            </w:r>
          </w:p>
        </w:tc>
        <w:tc>
          <w:tcPr>
            <w:tcW w:w="188" w:type="dxa"/>
            <w:tcBorders>
              <w:top w:val="single" w:sz="8" w:space="0" w:color="auto"/>
              <w:left w:val="nil"/>
              <w:bottom w:val="nil"/>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p>
        </w:tc>
        <w:tc>
          <w:tcPr>
            <w:tcW w:w="2187" w:type="dxa"/>
            <w:gridSpan w:val="3"/>
            <w:tcBorders>
              <w:top w:val="single" w:sz="8" w:space="0" w:color="auto"/>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SSE</w:t>
            </w:r>
          </w:p>
        </w:tc>
        <w:tc>
          <w:tcPr>
            <w:tcW w:w="199" w:type="dxa"/>
            <w:tcBorders>
              <w:top w:val="nil"/>
              <w:left w:val="nil"/>
              <w:bottom w:val="nil"/>
              <w:right w:val="nil"/>
            </w:tcBorders>
            <w:shd w:val="clear" w:color="auto" w:fill="auto"/>
            <w:noWrap/>
            <w:vAlign w:val="bottom"/>
            <w:hideMark/>
          </w:tcPr>
          <w:p w:rsidR="00A57278" w:rsidRPr="00A57278" w:rsidRDefault="00A57278" w:rsidP="00341063">
            <w:pPr>
              <w:spacing w:after="0" w:line="240" w:lineRule="auto"/>
              <w:rPr>
                <w:rFonts w:ascii="Calibri" w:eastAsia="Times New Roman" w:hAnsi="Calibri" w:cs="Times New Roman"/>
                <w:color w:val="000000"/>
                <w:lang w:eastAsia="fr-FR"/>
              </w:rPr>
            </w:pPr>
          </w:p>
        </w:tc>
        <w:tc>
          <w:tcPr>
            <w:tcW w:w="2324" w:type="dxa"/>
            <w:gridSpan w:val="5"/>
            <w:tcBorders>
              <w:top w:val="single" w:sz="8" w:space="0" w:color="auto"/>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MSCI</w:t>
            </w:r>
          </w:p>
        </w:tc>
      </w:tr>
      <w:tr w:rsidR="00B417FB" w:rsidRPr="00A57278" w:rsidTr="006951B0">
        <w:trPr>
          <w:gridAfter w:val="1"/>
          <w:wAfter w:w="143" w:type="dxa"/>
          <w:trHeight w:val="79"/>
          <w:jc w:val="center"/>
        </w:trPr>
        <w:tc>
          <w:tcPr>
            <w:tcW w:w="1185" w:type="dxa"/>
            <w:vMerge/>
            <w:tcBorders>
              <w:top w:val="single" w:sz="8" w:space="0" w:color="auto"/>
              <w:left w:val="nil"/>
              <w:bottom w:val="single" w:sz="8" w:space="0" w:color="000000"/>
              <w:right w:val="nil"/>
            </w:tcBorders>
            <w:vAlign w:val="center"/>
            <w:hideMark/>
          </w:tcPr>
          <w:p w:rsidR="00A57278" w:rsidRPr="00A57278" w:rsidRDefault="00A57278" w:rsidP="00A57278">
            <w:pPr>
              <w:spacing w:after="0" w:line="240" w:lineRule="auto"/>
              <w:rPr>
                <w:rFonts w:ascii="Times New Roman" w:eastAsia="Times New Roman" w:hAnsi="Times New Roman" w:cs="Times New Roman"/>
                <w:color w:val="000000"/>
                <w:sz w:val="16"/>
                <w:szCs w:val="16"/>
                <w:lang w:eastAsia="fr-FR"/>
              </w:rPr>
            </w:pPr>
          </w:p>
        </w:tc>
        <w:tc>
          <w:tcPr>
            <w:tcW w:w="820"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Coefficient</w:t>
            </w:r>
          </w:p>
        </w:tc>
        <w:tc>
          <w:tcPr>
            <w:tcW w:w="684"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Std.Error</w:t>
            </w:r>
          </w:p>
        </w:tc>
        <w:tc>
          <w:tcPr>
            <w:tcW w:w="603"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p-value</w:t>
            </w:r>
          </w:p>
        </w:tc>
        <w:tc>
          <w:tcPr>
            <w:tcW w:w="188" w:type="dxa"/>
            <w:tcBorders>
              <w:top w:val="nil"/>
              <w:left w:val="nil"/>
              <w:bottom w:val="nil"/>
              <w:right w:val="nil"/>
            </w:tcBorders>
            <w:shd w:val="clear" w:color="auto" w:fill="auto"/>
            <w:noWrap/>
            <w:vAlign w:val="bottom"/>
            <w:hideMark/>
          </w:tcPr>
          <w:p w:rsidR="00A57278" w:rsidRPr="00A57278" w:rsidRDefault="00A57278" w:rsidP="00341063">
            <w:pPr>
              <w:spacing w:after="0" w:line="240" w:lineRule="auto"/>
              <w:rPr>
                <w:rFonts w:ascii="Calibri" w:eastAsia="Times New Roman" w:hAnsi="Calibri" w:cs="Times New Roman"/>
                <w:color w:val="000000"/>
                <w:sz w:val="12"/>
                <w:szCs w:val="12"/>
                <w:lang w:eastAsia="fr-FR"/>
              </w:rPr>
            </w:pPr>
          </w:p>
        </w:tc>
        <w:tc>
          <w:tcPr>
            <w:tcW w:w="820"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Coefficient</w:t>
            </w:r>
          </w:p>
        </w:tc>
        <w:tc>
          <w:tcPr>
            <w:tcW w:w="684"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Std.Error</w:t>
            </w:r>
          </w:p>
        </w:tc>
        <w:tc>
          <w:tcPr>
            <w:tcW w:w="603"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p-value</w:t>
            </w:r>
          </w:p>
        </w:tc>
        <w:tc>
          <w:tcPr>
            <w:tcW w:w="188" w:type="dxa"/>
            <w:tcBorders>
              <w:top w:val="nil"/>
              <w:left w:val="nil"/>
              <w:bottom w:val="nil"/>
              <w:right w:val="nil"/>
            </w:tcBorders>
            <w:shd w:val="clear" w:color="auto" w:fill="auto"/>
            <w:noWrap/>
            <w:vAlign w:val="bottom"/>
            <w:hideMark/>
          </w:tcPr>
          <w:p w:rsidR="00A57278" w:rsidRPr="00A57278" w:rsidRDefault="00A57278" w:rsidP="00341063">
            <w:pPr>
              <w:spacing w:after="0" w:line="240" w:lineRule="auto"/>
              <w:rPr>
                <w:rFonts w:ascii="Calibri" w:eastAsia="Times New Roman" w:hAnsi="Calibri" w:cs="Times New Roman"/>
                <w:color w:val="000000"/>
                <w:sz w:val="14"/>
                <w:szCs w:val="14"/>
                <w:lang w:eastAsia="fr-FR"/>
              </w:rPr>
            </w:pPr>
          </w:p>
        </w:tc>
        <w:tc>
          <w:tcPr>
            <w:tcW w:w="900"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Coefficient</w:t>
            </w:r>
          </w:p>
        </w:tc>
        <w:tc>
          <w:tcPr>
            <w:tcW w:w="684"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Std.Error</w:t>
            </w:r>
          </w:p>
        </w:tc>
        <w:tc>
          <w:tcPr>
            <w:tcW w:w="603"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p-value</w:t>
            </w:r>
          </w:p>
        </w:tc>
        <w:tc>
          <w:tcPr>
            <w:tcW w:w="199" w:type="dxa"/>
            <w:tcBorders>
              <w:top w:val="nil"/>
              <w:left w:val="nil"/>
              <w:bottom w:val="nil"/>
              <w:right w:val="nil"/>
            </w:tcBorders>
            <w:shd w:val="clear" w:color="auto" w:fill="auto"/>
            <w:noWrap/>
            <w:vAlign w:val="bottom"/>
            <w:hideMark/>
          </w:tcPr>
          <w:p w:rsidR="00A57278" w:rsidRPr="00A57278" w:rsidRDefault="00A57278" w:rsidP="00341063">
            <w:pPr>
              <w:spacing w:after="0" w:line="240" w:lineRule="auto"/>
              <w:rPr>
                <w:rFonts w:ascii="Calibri" w:eastAsia="Times New Roman" w:hAnsi="Calibri" w:cs="Times New Roman"/>
                <w:color w:val="000000"/>
                <w:sz w:val="14"/>
                <w:szCs w:val="14"/>
                <w:lang w:eastAsia="fr-FR"/>
              </w:rPr>
            </w:pPr>
          </w:p>
        </w:tc>
        <w:tc>
          <w:tcPr>
            <w:tcW w:w="900"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Coefficient</w:t>
            </w:r>
          </w:p>
        </w:tc>
        <w:tc>
          <w:tcPr>
            <w:tcW w:w="684" w:type="dxa"/>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Std.Error</w:t>
            </w:r>
          </w:p>
        </w:tc>
        <w:tc>
          <w:tcPr>
            <w:tcW w:w="597" w:type="dxa"/>
            <w:gridSpan w:val="2"/>
            <w:tcBorders>
              <w:top w:val="nil"/>
              <w:left w:val="nil"/>
              <w:bottom w:val="single" w:sz="8" w:space="0" w:color="auto"/>
              <w:right w:val="nil"/>
            </w:tcBorders>
            <w:shd w:val="clear" w:color="auto" w:fill="auto"/>
            <w:noWrap/>
            <w:vAlign w:val="bottom"/>
            <w:hideMark/>
          </w:tcPr>
          <w:p w:rsidR="00A57278" w:rsidRPr="00A57278" w:rsidRDefault="00A57278" w:rsidP="00341063">
            <w:pPr>
              <w:spacing w:after="0" w:line="240" w:lineRule="auto"/>
              <w:rPr>
                <w:rFonts w:ascii="Times New Roman" w:eastAsia="Times New Roman" w:hAnsi="Times New Roman" w:cs="Times New Roman"/>
                <w:color w:val="000000"/>
                <w:sz w:val="14"/>
                <w:szCs w:val="14"/>
                <w:lang w:eastAsia="fr-FR"/>
              </w:rPr>
            </w:pPr>
            <w:r w:rsidRPr="00A57278">
              <w:rPr>
                <w:rFonts w:ascii="Times New Roman" w:eastAsia="Times New Roman" w:hAnsi="Times New Roman" w:cs="Times New Roman"/>
                <w:color w:val="000000"/>
                <w:sz w:val="14"/>
                <w:szCs w:val="14"/>
                <w:lang w:eastAsia="fr-FR"/>
              </w:rPr>
              <w:t>p-value</w:t>
            </w:r>
          </w:p>
        </w:tc>
      </w:tr>
      <w:tr w:rsidR="00B417FB" w:rsidRPr="00A57278" w:rsidTr="006951B0">
        <w:trPr>
          <w:trHeight w:val="267"/>
          <w:jc w:val="center"/>
        </w:trPr>
        <w:tc>
          <w:tcPr>
            <w:tcW w:w="1185" w:type="dxa"/>
            <w:tcBorders>
              <w:top w:val="nil"/>
              <w:left w:val="nil"/>
              <w:bottom w:val="nil"/>
              <w:right w:val="nil"/>
            </w:tcBorders>
            <w:shd w:val="clear" w:color="auto" w:fill="auto"/>
            <w:noWrap/>
            <w:vAlign w:val="center"/>
            <w:hideMark/>
          </w:tcPr>
          <w:p w:rsidR="00B417FB" w:rsidRPr="00D2148C" w:rsidRDefault="00011760" w:rsidP="00B538A1">
            <w:pPr>
              <w:spacing w:after="0" w:line="240" w:lineRule="auto"/>
              <w:rPr>
                <w:rFonts w:asciiTheme="majorBidi" w:eastAsia="Times New Roman" w:hAnsiTheme="majorBidi" w:cstheme="majorBidi"/>
                <w:color w:val="000000"/>
                <w:sz w:val="16"/>
                <w:szCs w:val="16"/>
                <w:lang w:eastAsia="fr-FR"/>
              </w:rPr>
            </w:pPr>
            <m:oMathPara>
              <m:oMath>
                <m:sSub>
                  <m:sSubPr>
                    <m:ctrlPr>
                      <w:rPr>
                        <w:rFonts w:ascii="Cambria Math" w:eastAsia="Times New Roman" w:hAnsi="Cambria Math" w:cstheme="majorBidi"/>
                        <w:i/>
                        <w:color w:val="000000"/>
                        <w:sz w:val="16"/>
                        <w:szCs w:val="16"/>
                        <w:lang w:val="en-US"/>
                      </w:rPr>
                    </m:ctrlPr>
                  </m:sSubPr>
                  <m:e>
                    <m:r>
                      <w:rPr>
                        <w:rFonts w:ascii="Cambria Math" w:eastAsia="Times New Roman" w:hAnsi="Cambria Math" w:cstheme="majorBidi"/>
                        <w:color w:val="000000"/>
                        <w:sz w:val="16"/>
                        <w:szCs w:val="16"/>
                        <w:lang w:val="en-US"/>
                      </w:rPr>
                      <m:t>μ</m:t>
                    </m:r>
                  </m:e>
                  <m:sub>
                    <m:r>
                      <w:rPr>
                        <w:rFonts w:ascii="Cambria Math" w:eastAsia="Times New Roman" w:hAnsi="Cambria Math" w:cstheme="majorBidi"/>
                        <w:color w:val="000000"/>
                        <w:sz w:val="16"/>
                        <w:szCs w:val="16"/>
                        <w:lang w:val="en-US"/>
                      </w:rPr>
                      <m:t>0</m:t>
                    </m:r>
                  </m:sub>
                </m:sSub>
              </m:oMath>
            </m:oMathPara>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-0.021</w:t>
            </w:r>
            <w:r w:rsidR="00AC0786">
              <w:rPr>
                <w:rFonts w:ascii="Times New Roman" w:eastAsia="Times New Roman" w:hAnsi="Times New Roman" w:cs="Times New Roman"/>
                <w:color w:val="000000"/>
                <w:sz w:val="16"/>
                <w:szCs w:val="16"/>
                <w:lang w:eastAsia="fr-FR"/>
              </w:rPr>
              <w:t>5**</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0.0088</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0.0156</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0.0261</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0.0172</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0.1292</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0.0344</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0.0158</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0.0293</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0.0518</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0.0167</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0.0019</w:t>
            </w:r>
          </w:p>
        </w:tc>
      </w:tr>
      <w:tr w:rsidR="00B417FB" w:rsidRPr="00A57278" w:rsidTr="006951B0">
        <w:trPr>
          <w:trHeight w:val="267"/>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eastAsia="fr-FR"/>
              </w:rPr>
            </w:pPr>
            <m:oMathPara>
              <m:oMath>
                <m:r>
                  <w:rPr>
                    <w:rFonts w:ascii="Cambria Math" w:eastAsia="Times New Roman" w:hAnsi="Cambria Math" w:cstheme="majorBidi"/>
                    <w:color w:val="000000"/>
                    <w:sz w:val="16"/>
                    <w:szCs w:val="16"/>
                    <w:lang w:eastAsia="fr-FR"/>
                  </w:rPr>
                  <m:t>ω</m:t>
                </m:r>
              </m:oMath>
            </m:oMathPara>
          </w:p>
        </w:tc>
        <w:tc>
          <w:tcPr>
            <w:tcW w:w="820" w:type="dxa"/>
            <w:tcBorders>
              <w:top w:val="nil"/>
              <w:left w:val="nil"/>
              <w:bottom w:val="nil"/>
              <w:right w:val="nil"/>
            </w:tcBorders>
            <w:shd w:val="clear" w:color="auto" w:fill="auto"/>
            <w:noWrap/>
            <w:vAlign w:val="bottom"/>
            <w:hideMark/>
          </w:tcPr>
          <w:p w:rsidR="00B417FB" w:rsidRPr="00A57278" w:rsidRDefault="00AC078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-0.054***</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0.0069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AC078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-0.096***</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0.0111</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AC078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-0.091***</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0.0139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-0.079</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0.0103</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r>
      <w:tr w:rsidR="00B417FB" w:rsidRPr="00A57278" w:rsidTr="006951B0">
        <w:trPr>
          <w:trHeight w:val="267"/>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m:oMathPara>
              <m:oMath>
                <m:r>
                  <w:rPr>
                    <w:rFonts w:ascii="Cambria Math" w:eastAsia="Times New Roman" w:hAnsi="Cambria Math" w:cstheme="majorBidi"/>
                    <w:color w:val="000000"/>
                    <w:sz w:val="16"/>
                    <w:szCs w:val="16"/>
                    <w:lang w:val="en-US"/>
                  </w:rPr>
                  <m:t>α</m:t>
                </m:r>
              </m:oMath>
            </m:oMathPara>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0.0651</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0.0081</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0.1465</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0.0154</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0.1508</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0.0249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0.112</w:t>
            </w:r>
            <w:r w:rsidR="00D2148C">
              <w:rPr>
                <w:rFonts w:ascii="Times New Roman" w:eastAsia="Times New Roman" w:hAnsi="Times New Roman" w:cs="Times New Roman"/>
                <w:color w:val="000000"/>
                <w:sz w:val="16"/>
                <w:szCs w:val="16"/>
                <w:lang w:eastAsia="fr-FR"/>
              </w:rPr>
              <w:t>0</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0.0146</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r>
      <w:tr w:rsidR="00B417FB" w:rsidRPr="00A57278" w:rsidTr="006951B0">
        <w:trPr>
          <w:trHeight w:val="267"/>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m:oMathPara>
              <m:oMath>
                <m:r>
                  <w:rPr>
                    <w:rFonts w:ascii="Cambria Math" w:eastAsia="Times New Roman" w:hAnsi="Cambria Math" w:cstheme="majorBidi"/>
                    <w:color w:val="000000"/>
                    <w:sz w:val="16"/>
                    <w:szCs w:val="16"/>
                    <w:lang w:val="en-US"/>
                  </w:rPr>
                  <m:t>β</m:t>
                </m:r>
              </m:oMath>
            </m:oMathPara>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0.9951</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0.0017</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0.9743</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0.0049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0.9865</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0.0051</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0.991</w:t>
            </w:r>
            <w:r w:rsidR="00D2148C">
              <w:rPr>
                <w:rFonts w:ascii="Times New Roman" w:eastAsia="Times New Roman" w:hAnsi="Times New Roman" w:cs="Times New Roman"/>
                <w:color w:val="000000"/>
                <w:sz w:val="16"/>
                <w:szCs w:val="16"/>
                <w:lang w:eastAsia="fr-FR"/>
              </w:rPr>
              <w:t>0</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0.0026</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r>
      <w:tr w:rsidR="00B417FB" w:rsidRPr="00A57278" w:rsidTr="006951B0">
        <w:trPr>
          <w:trHeight w:val="267"/>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m:oMathPara>
              <m:oMath>
                <m:r>
                  <w:rPr>
                    <w:rFonts w:ascii="Cambria Math" w:eastAsia="Times New Roman" w:hAnsi="Cambria Math" w:cstheme="majorBidi"/>
                    <w:color w:val="000000"/>
                    <w:sz w:val="16"/>
                    <w:szCs w:val="16"/>
                    <w:lang w:val="en-US"/>
                  </w:rPr>
                  <m:t>γ</m:t>
                </m:r>
              </m:oMath>
            </m:oMathPara>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0.007</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0.0058</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0.2291</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AC078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-0.083***</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0.0119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-0.034</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0.0112</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0.0021</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AC078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-0.057***</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0.0089</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r>
      <w:tr w:rsidR="00B417FB" w:rsidRPr="00A57278" w:rsidTr="006951B0">
        <w:trPr>
          <w:trHeight w:val="445"/>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w:r w:rsidRPr="00D2148C">
              <w:rPr>
                <w:rFonts w:asciiTheme="majorBidi" w:eastAsia="Times New Roman" w:hAnsiTheme="majorBidi" w:cstheme="majorBidi"/>
                <w:color w:val="000000"/>
                <w:sz w:val="16"/>
                <w:szCs w:val="16"/>
                <w:lang w:val="en-US"/>
              </w:rPr>
              <w:t xml:space="preserve">Student-t parameter </w:t>
            </w:r>
            <m:oMath>
              <m:r>
                <w:rPr>
                  <w:rFonts w:ascii="Cambria Math" w:eastAsia="Times New Roman" w:hAnsi="Cambria Math" w:cstheme="majorBidi"/>
                  <w:color w:val="000000"/>
                  <w:sz w:val="16"/>
                  <w:szCs w:val="16"/>
                  <w:lang w:val="en-US"/>
                </w:rPr>
                <m:t>(υ)</m:t>
              </m:r>
            </m:oMath>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8.4739</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1.1829</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8.2359</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1.0793</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3.6516</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0.2692</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5.8489</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0.6016</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w:t>
            </w:r>
            <w:r w:rsidR="00D2148C">
              <w:rPr>
                <w:rFonts w:ascii="Times New Roman" w:eastAsia="Times New Roman" w:hAnsi="Times New Roman" w:cs="Times New Roman"/>
                <w:color w:val="000000"/>
                <w:sz w:val="16"/>
                <w:szCs w:val="16"/>
                <w:lang w:eastAsia="fr-FR"/>
              </w:rPr>
              <w:t>.0000</w:t>
            </w:r>
          </w:p>
        </w:tc>
      </w:tr>
      <w:tr w:rsidR="00B417FB" w:rsidRPr="00A57278" w:rsidTr="006951B0">
        <w:trPr>
          <w:trHeight w:val="98"/>
          <w:jc w:val="center"/>
        </w:trPr>
        <w:tc>
          <w:tcPr>
            <w:tcW w:w="1185" w:type="dxa"/>
            <w:tcBorders>
              <w:top w:val="nil"/>
              <w:left w:val="nil"/>
              <w:bottom w:val="nil"/>
              <w:right w:val="nil"/>
            </w:tcBorders>
            <w:shd w:val="clear" w:color="auto" w:fill="auto"/>
            <w:noWrap/>
            <w:vAlign w:val="bottom"/>
            <w:hideMark/>
          </w:tcPr>
          <w:p w:rsidR="00B417FB" w:rsidRPr="00A57278" w:rsidRDefault="00B417FB" w:rsidP="00A57278">
            <w:pPr>
              <w:spacing w:after="0" w:line="240" w:lineRule="auto"/>
              <w:rPr>
                <w:rFonts w:ascii="Times New Roman" w:eastAsia="Times New Roman" w:hAnsi="Times New Roman"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r>
      <w:tr w:rsidR="00B417FB" w:rsidRPr="00A57278" w:rsidTr="006951B0">
        <w:trPr>
          <w:trHeight w:val="131"/>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w:r w:rsidRPr="00D2148C">
              <w:rPr>
                <w:rFonts w:asciiTheme="majorBidi" w:eastAsia="Times New Roman" w:hAnsiTheme="majorBidi" w:cstheme="majorBidi"/>
                <w:color w:val="000000"/>
                <w:sz w:val="16"/>
                <w:szCs w:val="16"/>
                <w:lang w:val="en-US"/>
              </w:rPr>
              <w:t>Log likelihood</w:t>
            </w: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-3287.36</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-6182.78</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-6171.71</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-5952.15</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r w:rsidRPr="00A57278">
              <w:rPr>
                <w:rFonts w:ascii="Calibri" w:eastAsia="Times New Roman" w:hAnsi="Calibri" w:cs="Times New Roman"/>
                <w:color w:val="000000"/>
                <w:lang w:eastAsia="fr-FR"/>
              </w:rPr>
              <w:t>_</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r w:rsidRPr="00A57278">
              <w:rPr>
                <w:rFonts w:ascii="Calibri" w:eastAsia="Times New Roman" w:hAnsi="Calibri" w:cs="Times New Roman"/>
                <w:color w:val="000000"/>
                <w:lang w:eastAsia="fr-FR"/>
              </w:rPr>
              <w:t>_</w:t>
            </w:r>
          </w:p>
        </w:tc>
      </w:tr>
      <w:tr w:rsidR="00B417FB" w:rsidRPr="00A57278" w:rsidTr="006951B0">
        <w:trPr>
          <w:trHeight w:val="98"/>
          <w:jc w:val="center"/>
        </w:trPr>
        <w:tc>
          <w:tcPr>
            <w:tcW w:w="1185" w:type="dxa"/>
            <w:tcBorders>
              <w:top w:val="nil"/>
              <w:left w:val="nil"/>
              <w:bottom w:val="nil"/>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m:oMathPara>
              <m:oMath>
                <m:r>
                  <w:rPr>
                    <w:rFonts w:ascii="Cambria Math" w:eastAsia="Times New Roman" w:hAnsi="Cambria Math" w:cstheme="majorBidi"/>
                    <w:color w:val="000000"/>
                    <w:sz w:val="16"/>
                    <w:szCs w:val="16"/>
                    <w:lang w:val="en-US"/>
                  </w:rPr>
                  <m:t>LB-Q(20)</m:t>
                </m:r>
              </m:oMath>
            </m:oMathPara>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14.2471</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0.8177</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82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10.3289</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0.9618</w:t>
            </w:r>
          </w:p>
        </w:tc>
        <w:tc>
          <w:tcPr>
            <w:tcW w:w="188"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51.7303</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0.0001</w:t>
            </w:r>
          </w:p>
        </w:tc>
        <w:tc>
          <w:tcPr>
            <w:tcW w:w="199"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43.1426</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gridSpan w:val="2"/>
            <w:tcBorders>
              <w:top w:val="nil"/>
              <w:left w:val="nil"/>
              <w:bottom w:val="nil"/>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0.0019</w:t>
            </w:r>
          </w:p>
        </w:tc>
      </w:tr>
      <w:tr w:rsidR="00B417FB" w:rsidRPr="00A57278" w:rsidTr="006951B0">
        <w:trPr>
          <w:trHeight w:val="98"/>
          <w:jc w:val="center"/>
        </w:trPr>
        <w:tc>
          <w:tcPr>
            <w:tcW w:w="1185" w:type="dxa"/>
            <w:tcBorders>
              <w:top w:val="nil"/>
              <w:left w:val="nil"/>
              <w:bottom w:val="single" w:sz="8" w:space="0" w:color="auto"/>
              <w:right w:val="nil"/>
            </w:tcBorders>
            <w:shd w:val="clear" w:color="auto" w:fill="auto"/>
            <w:noWrap/>
            <w:vAlign w:val="center"/>
            <w:hideMark/>
          </w:tcPr>
          <w:p w:rsidR="00B417FB" w:rsidRPr="00D2148C" w:rsidRDefault="00B417FB" w:rsidP="00B538A1">
            <w:pPr>
              <w:spacing w:after="0" w:line="240" w:lineRule="auto"/>
              <w:rPr>
                <w:rFonts w:asciiTheme="majorBidi" w:eastAsia="Times New Roman" w:hAnsiTheme="majorBidi" w:cstheme="majorBidi"/>
                <w:color w:val="000000"/>
                <w:sz w:val="16"/>
                <w:szCs w:val="16"/>
                <w:lang w:val="en-US"/>
              </w:rPr>
            </w:pPr>
            <m:oMathPara>
              <m:oMath>
                <m:r>
                  <w:rPr>
                    <w:rFonts w:ascii="Cambria Math" w:hAnsi="Cambria Math" w:cstheme="majorBidi"/>
                    <w:sz w:val="16"/>
                    <w:szCs w:val="16"/>
                    <w:lang w:val="en-US"/>
                  </w:rPr>
                  <m:t>LB-</m:t>
                </m:r>
                <m:sSup>
                  <m:sSupPr>
                    <m:ctrlPr>
                      <w:rPr>
                        <w:rFonts w:ascii="Cambria Math" w:hAnsi="Cambria Math" w:cstheme="majorBidi"/>
                        <w:i/>
                        <w:sz w:val="16"/>
                        <w:szCs w:val="16"/>
                        <w:lang w:val="en-US"/>
                      </w:rPr>
                    </m:ctrlPr>
                  </m:sSupPr>
                  <m:e>
                    <m:r>
                      <w:rPr>
                        <w:rFonts w:ascii="Cambria Math" w:hAnsi="Cambria Math" w:cstheme="majorBidi"/>
                        <w:sz w:val="16"/>
                        <w:szCs w:val="16"/>
                        <w:lang w:val="en-US"/>
                      </w:rPr>
                      <m:t>Q</m:t>
                    </m:r>
                  </m:e>
                  <m:sup>
                    <m:r>
                      <w:rPr>
                        <w:rFonts w:ascii="Cambria Math" w:hAnsi="Cambria Math" w:cstheme="majorBidi"/>
                        <w:sz w:val="16"/>
                        <w:szCs w:val="16"/>
                        <w:lang w:val="en-US"/>
                      </w:rPr>
                      <m:t>2</m:t>
                    </m:r>
                  </m:sup>
                </m:sSup>
                <m:r>
                  <w:rPr>
                    <w:rFonts w:ascii="Cambria Math" w:hAnsi="Cambria Math" w:cstheme="majorBidi"/>
                    <w:sz w:val="16"/>
                    <w:szCs w:val="16"/>
                    <w:lang w:val="en-US"/>
                  </w:rPr>
                  <m:t>(20)</m:t>
                </m:r>
              </m:oMath>
            </m:oMathPara>
          </w:p>
        </w:tc>
        <w:tc>
          <w:tcPr>
            <w:tcW w:w="820"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27.5035</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single" w:sz="8" w:space="0" w:color="auto"/>
              <w:right w:val="nil"/>
            </w:tcBorders>
            <w:shd w:val="clear" w:color="000000" w:fill="FFFFFF"/>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0.07</w:t>
            </w:r>
            <w:r w:rsidR="00AC0786">
              <w:rPr>
                <w:rFonts w:ascii="Times New Roman" w:eastAsia="Times New Roman" w:hAnsi="Times New Roman" w:cs="Times New Roman"/>
                <w:color w:val="000000"/>
                <w:sz w:val="16"/>
                <w:szCs w:val="16"/>
                <w:lang w:eastAsia="fr-FR"/>
              </w:rPr>
              <w:t>00</w:t>
            </w:r>
          </w:p>
        </w:tc>
        <w:tc>
          <w:tcPr>
            <w:tcW w:w="188"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820"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27.8325</w:t>
            </w:r>
            <w:r w:rsidR="00AC0786">
              <w:rPr>
                <w:rFonts w:ascii="Times New Roman" w:eastAsia="Times New Roman" w:hAnsi="Times New Roman" w:cs="Times New Roman"/>
                <w:color w:val="000000"/>
                <w:sz w:val="16"/>
                <w:szCs w:val="16"/>
                <w:lang w:eastAsia="fr-FR"/>
              </w:rPr>
              <w:t>*</w:t>
            </w:r>
          </w:p>
        </w:tc>
        <w:tc>
          <w:tcPr>
            <w:tcW w:w="684"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0.0646</w:t>
            </w:r>
          </w:p>
        </w:tc>
        <w:tc>
          <w:tcPr>
            <w:tcW w:w="188"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p>
        </w:tc>
        <w:tc>
          <w:tcPr>
            <w:tcW w:w="900"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10.2005</w:t>
            </w:r>
          </w:p>
        </w:tc>
        <w:tc>
          <w:tcPr>
            <w:tcW w:w="684"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0.9251</w:t>
            </w:r>
          </w:p>
        </w:tc>
        <w:tc>
          <w:tcPr>
            <w:tcW w:w="199"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Calibri" w:eastAsia="Times New Roman" w:hAnsi="Calibri" w:cs="Times New Roman"/>
                <w:color w:val="000000"/>
                <w:lang w:eastAsia="fr-FR"/>
              </w:rPr>
            </w:pPr>
          </w:p>
        </w:tc>
        <w:tc>
          <w:tcPr>
            <w:tcW w:w="900" w:type="dxa"/>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35.7654</w:t>
            </w:r>
            <w:r w:rsidR="00AC0786">
              <w:rPr>
                <w:rFonts w:ascii="Times New Roman" w:eastAsia="Times New Roman" w:hAnsi="Times New Roman" w:cs="Times New Roman"/>
                <w:color w:val="000000"/>
                <w:sz w:val="16"/>
                <w:szCs w:val="16"/>
                <w:lang w:eastAsia="fr-FR"/>
              </w:rPr>
              <w:t>***</w:t>
            </w:r>
          </w:p>
        </w:tc>
        <w:tc>
          <w:tcPr>
            <w:tcW w:w="821" w:type="dxa"/>
            <w:gridSpan w:val="2"/>
            <w:tcBorders>
              <w:top w:val="nil"/>
              <w:left w:val="nil"/>
              <w:bottom w:val="single" w:sz="8" w:space="0" w:color="auto"/>
              <w:right w:val="nil"/>
            </w:tcBorders>
            <w:shd w:val="clear" w:color="auto" w:fill="auto"/>
            <w:noWrap/>
            <w:vAlign w:val="bottom"/>
            <w:hideMark/>
          </w:tcPr>
          <w:p w:rsidR="00B417FB" w:rsidRPr="00A57278" w:rsidRDefault="00B417FB" w:rsidP="00341063">
            <w:pPr>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_</w:t>
            </w:r>
          </w:p>
        </w:tc>
        <w:tc>
          <w:tcPr>
            <w:tcW w:w="603" w:type="dxa"/>
            <w:gridSpan w:val="2"/>
            <w:tcBorders>
              <w:top w:val="nil"/>
              <w:left w:val="nil"/>
              <w:bottom w:val="single" w:sz="8" w:space="0" w:color="auto"/>
              <w:right w:val="nil"/>
            </w:tcBorders>
            <w:shd w:val="clear" w:color="auto" w:fill="auto"/>
            <w:noWrap/>
            <w:vAlign w:val="bottom"/>
            <w:hideMark/>
          </w:tcPr>
          <w:p w:rsidR="00B417FB" w:rsidRPr="00A57278" w:rsidRDefault="00B417FB" w:rsidP="006951B0">
            <w:pPr>
              <w:keepNext/>
              <w:spacing w:after="0" w:line="240" w:lineRule="auto"/>
              <w:rPr>
                <w:rFonts w:ascii="Times New Roman" w:eastAsia="Times New Roman" w:hAnsi="Times New Roman" w:cs="Times New Roman"/>
                <w:color w:val="000000"/>
                <w:sz w:val="16"/>
                <w:szCs w:val="16"/>
                <w:lang w:eastAsia="fr-FR"/>
              </w:rPr>
            </w:pPr>
            <w:r w:rsidRPr="00A57278">
              <w:rPr>
                <w:rFonts w:ascii="Times New Roman" w:eastAsia="Times New Roman" w:hAnsi="Times New Roman" w:cs="Times New Roman"/>
                <w:color w:val="000000"/>
                <w:sz w:val="16"/>
                <w:szCs w:val="16"/>
                <w:lang w:eastAsia="fr-FR"/>
              </w:rPr>
              <w:t>0.0075</w:t>
            </w:r>
          </w:p>
        </w:tc>
      </w:tr>
    </w:tbl>
    <w:p w:rsidR="006951B0" w:rsidRPr="006951B0" w:rsidRDefault="006951B0" w:rsidP="006951B0">
      <w:pPr>
        <w:pStyle w:val="Lgende"/>
        <w:spacing w:after="0"/>
        <w:ind w:left="1701" w:right="1701"/>
        <w:jc w:val="both"/>
        <w:rPr>
          <w:rFonts w:asciiTheme="majorBidi" w:hAnsiTheme="majorBidi" w:cstheme="majorBidi"/>
          <w:bCs w:val="0"/>
          <w:i/>
          <w:color w:val="auto"/>
          <w:sz w:val="16"/>
          <w:szCs w:val="16"/>
          <w:lang w:val="en-US"/>
        </w:rPr>
        <w:sectPr w:rsidR="006951B0" w:rsidRPr="006951B0" w:rsidSect="006951B0">
          <w:pgSz w:w="16838" w:h="11906" w:orient="landscape"/>
          <w:pgMar w:top="1418" w:right="1418" w:bottom="1418" w:left="1418" w:header="709" w:footer="709" w:gutter="0"/>
          <w:cols w:space="708"/>
          <w:docGrid w:linePitch="360"/>
        </w:sectPr>
      </w:pPr>
      <w:r w:rsidRPr="0062679E">
        <w:rPr>
          <w:rFonts w:asciiTheme="majorBidi" w:hAnsiTheme="majorBidi" w:cstheme="majorBidi"/>
          <w:sz w:val="16"/>
          <w:szCs w:val="16"/>
          <w:lang w:val="en-US"/>
        </w:rPr>
        <w:t>Notes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r</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μ</m:t>
            </m:r>
          </m:e>
          <m:sub>
            <m:r>
              <m:rPr>
                <m:sty m:val="bi"/>
              </m:rPr>
              <w:rPr>
                <w:rFonts w:ascii="Cambria Math" w:hAnsi="Cambria Math" w:cstheme="majorBidi"/>
                <w:color w:val="auto"/>
                <w:sz w:val="16"/>
                <w:szCs w:val="16"/>
                <w:lang w:val="en-US"/>
              </w:rPr>
              <m:t>0</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oMath>
      <w:r w:rsidRPr="006951B0">
        <w:rPr>
          <w:rFonts w:asciiTheme="majorBidi" w:hAnsiTheme="majorBidi" w:cstheme="majorBidi"/>
          <w:b w:val="0"/>
          <w:color w:val="auto"/>
          <w:sz w:val="16"/>
          <w:szCs w:val="16"/>
          <w:lang w:val="en-US"/>
        </w:rPr>
        <w:t xml:space="preserve">and </w:t>
      </w:r>
      <m:oMath>
        <m:func>
          <m:funcPr>
            <m:ctrlPr>
              <w:rPr>
                <w:rFonts w:ascii="Cambria Math" w:hAnsi="Cambria Math" w:cstheme="majorBidi"/>
                <w:b w:val="0"/>
                <w:i/>
                <w:color w:val="auto"/>
                <w:sz w:val="16"/>
                <w:szCs w:val="16"/>
                <w:lang w:val="en-US"/>
              </w:rPr>
            </m:ctrlPr>
          </m:funcPr>
          <m:fName>
            <m:r>
              <m:rPr>
                <m:sty m:val="bi"/>
              </m:rPr>
              <w:rPr>
                <w:rFonts w:ascii="Cambria Math" w:hAnsi="Cambria Math" w:cstheme="majorBidi"/>
                <w:color w:val="auto"/>
                <w:sz w:val="16"/>
                <w:szCs w:val="16"/>
                <w:lang w:val="en-US"/>
              </w:rPr>
              <m:t>ln</m:t>
            </m:r>
          </m:fName>
          <m:e>
            <m:d>
              <m:dPr>
                <m:ctrlPr>
                  <w:rPr>
                    <w:rFonts w:ascii="Cambria Math" w:hAnsi="Cambria Math" w:cstheme="majorBidi"/>
                    <w:b w:val="0"/>
                    <w:i/>
                    <w:color w:val="auto"/>
                    <w:sz w:val="16"/>
                    <w:szCs w:val="16"/>
                    <w:lang w:val="en-US"/>
                  </w:rPr>
                </m:ctrlPr>
              </m:dPr>
              <m:e>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m:t>
                    </m:r>
                  </m:sub>
                </m:sSub>
              </m:e>
            </m:d>
          </m:e>
        </m:func>
        <m:r>
          <m:rPr>
            <m:sty m:val="bi"/>
          </m:rPr>
          <w:rPr>
            <w:rFonts w:ascii="Cambria Math" w:hAnsi="Cambria Math" w:cstheme="majorBidi"/>
            <w:color w:val="auto"/>
            <w:sz w:val="16"/>
            <w:szCs w:val="16"/>
            <w:lang w:val="en-US"/>
          </w:rPr>
          <m:t>=ω+α</m:t>
        </m:r>
        <m:d>
          <m:dPr>
            <m:begChr m:val="|"/>
            <m:endChr m:val="|"/>
            <m:ctrlPr>
              <w:rPr>
                <w:rFonts w:ascii="Cambria Math" w:hAnsi="Cambria Math" w:cstheme="majorBidi"/>
                <w:b w:val="0"/>
                <w:i/>
                <w:color w:val="auto"/>
                <w:sz w:val="16"/>
                <w:szCs w:val="16"/>
                <w:lang w:val="en-US"/>
              </w:rPr>
            </m:ctrlPr>
          </m:dPr>
          <m:e>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Sub>
          </m:e>
        </m:d>
        <m:r>
          <m:rPr>
            <m:sty m:val="bi"/>
          </m:rPr>
          <w:rPr>
            <w:rFonts w:ascii="Cambria Math" w:hAnsi="Cambria Math" w:cstheme="majorBidi"/>
            <w:color w:val="auto"/>
            <w:sz w:val="16"/>
            <w:szCs w:val="16"/>
            <w:lang w:val="en-US"/>
          </w:rPr>
          <m:t>+γ</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Sub>
        <m:r>
          <m:rPr>
            <m:sty m:val="bi"/>
          </m:rPr>
          <w:rPr>
            <w:rFonts w:ascii="Cambria Math" w:hAnsi="Cambria Math" w:cstheme="majorBidi"/>
            <w:color w:val="auto"/>
            <w:sz w:val="16"/>
            <w:szCs w:val="16"/>
            <w:lang w:val="en-US"/>
          </w:rPr>
          <m:t>+βln⁡(</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t-1</m:t>
            </m:r>
          </m:sub>
        </m:sSub>
        <m:r>
          <m:rPr>
            <m:sty m:val="bi"/>
          </m:rPr>
          <w:rPr>
            <w:rFonts w:ascii="Cambria Math" w:hAnsi="Cambria Math" w:cstheme="majorBidi"/>
            <w:color w:val="auto"/>
            <w:sz w:val="16"/>
            <w:szCs w:val="16"/>
            <w:lang w:val="en-US"/>
          </w:rPr>
          <m:t>)</m:t>
        </m:r>
      </m:oMath>
      <w:r w:rsidRPr="006951B0">
        <w:rPr>
          <w:rFonts w:asciiTheme="majorBidi" w:hAnsiTheme="majorBidi" w:cstheme="majorBidi"/>
          <w:b w:val="0"/>
          <w:color w:val="auto"/>
          <w:sz w:val="16"/>
          <w:szCs w:val="16"/>
          <w:lang w:val="en-US"/>
        </w:rPr>
        <w:t xml:space="preserve">, where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r</m:t>
            </m:r>
          </m:e>
          <m:sub>
            <m:r>
              <m:rPr>
                <m:sty m:val="bi"/>
              </m:rPr>
              <w:rPr>
                <w:rFonts w:ascii="Cambria Math" w:hAnsi="Cambria Math" w:cstheme="majorBidi"/>
                <w:color w:val="auto"/>
                <w:sz w:val="16"/>
                <w:szCs w:val="16"/>
                <w:lang w:val="en-US"/>
              </w:rPr>
              <m:t>t</m:t>
            </m:r>
          </m:sub>
        </m:sSub>
      </m:oMath>
      <w:r w:rsidRPr="006951B0">
        <w:rPr>
          <w:rFonts w:asciiTheme="majorBidi" w:hAnsiTheme="majorBidi" w:cstheme="majorBidi"/>
          <w:b w:val="0"/>
          <w:color w:val="auto"/>
          <w:sz w:val="16"/>
          <w:szCs w:val="16"/>
          <w:lang w:val="en-US"/>
        </w:rPr>
        <w:t xml:space="preserve"> represents exchange rate returns and stock prices,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oMath>
      <w:r w:rsidRPr="006951B0">
        <w:rPr>
          <w:rFonts w:asciiTheme="majorBidi" w:hAnsiTheme="majorBidi" w:cstheme="majorBidi"/>
          <w:b w:val="0"/>
          <w:color w:val="auto"/>
          <w:sz w:val="16"/>
          <w:szCs w:val="16"/>
          <w:lang w:val="en-US"/>
        </w:rPr>
        <w:t xml:space="preserve"> is the error term,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h</m:t>
            </m:r>
          </m:e>
          <m:sub>
            <m:r>
              <m:rPr>
                <m:sty m:val="bi"/>
              </m:rPr>
              <w:rPr>
                <w:rFonts w:ascii="Cambria Math" w:hAnsi="Cambria Math" w:cstheme="majorBidi"/>
                <w:color w:val="auto"/>
                <w:sz w:val="16"/>
                <w:szCs w:val="16"/>
                <w:lang w:val="en-US"/>
              </w:rPr>
              <m:t>t</m:t>
            </m:r>
          </m:sub>
        </m:sSub>
      </m:oMath>
      <w:r w:rsidRPr="006951B0">
        <w:rPr>
          <w:rFonts w:asciiTheme="majorBidi" w:hAnsiTheme="majorBidi" w:cstheme="majorBidi"/>
          <w:b w:val="0"/>
          <w:color w:val="auto"/>
          <w:sz w:val="16"/>
          <w:szCs w:val="16"/>
          <w:lang w:val="en-US"/>
        </w:rPr>
        <w:t xml:space="preserve"> is the conditional volatility and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ε</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σ</m:t>
            </m:r>
          </m:e>
          <m:sub>
            <m:r>
              <m:rPr>
                <m:sty m:val="bi"/>
              </m:rPr>
              <w:rPr>
                <w:rFonts w:ascii="Cambria Math" w:hAnsi="Cambria Math" w:cstheme="majorBidi"/>
                <w:color w:val="auto"/>
                <w:sz w:val="16"/>
                <w:szCs w:val="16"/>
                <w:lang w:val="en-US"/>
              </w:rPr>
              <m:t>t</m:t>
            </m:r>
          </m:sub>
        </m:sSub>
      </m:oMath>
      <w:r w:rsidRPr="006951B0">
        <w:rPr>
          <w:rFonts w:asciiTheme="majorBidi" w:hAnsiTheme="majorBidi" w:cstheme="majorBidi"/>
          <w:b w:val="0"/>
          <w:color w:val="auto"/>
          <w:sz w:val="16"/>
          <w:szCs w:val="16"/>
          <w:lang w:val="en-US"/>
        </w:rPr>
        <w:t xml:space="preserve"> is the standardized residual. </w:t>
      </w:r>
      <m:oMath>
        <m:r>
          <m:rPr>
            <m:sty m:val="bi"/>
          </m:rPr>
          <w:rPr>
            <w:rFonts w:ascii="Cambria Math" w:hAnsi="Cambria Math" w:cstheme="majorBidi"/>
            <w:color w:val="auto"/>
            <w:sz w:val="16"/>
            <w:szCs w:val="16"/>
            <w:lang w:val="en-US"/>
          </w:rPr>
          <m:t>LB-Q(20)</m:t>
        </m:r>
      </m:oMath>
      <w:r w:rsidRPr="006951B0">
        <w:rPr>
          <w:rFonts w:asciiTheme="majorBidi" w:hAnsiTheme="majorBidi" w:cstheme="majorBidi"/>
          <w:b w:val="0"/>
          <w:color w:val="auto"/>
          <w:sz w:val="16"/>
          <w:szCs w:val="16"/>
          <w:lang w:val="en-US"/>
        </w:rPr>
        <w:t>and</w:t>
      </w:r>
      <m:oMath>
        <m:r>
          <m:rPr>
            <m:sty m:val="bi"/>
          </m:rPr>
          <w:rPr>
            <w:rFonts w:ascii="Cambria Math" w:hAnsi="Cambria Math" w:cstheme="majorBidi"/>
            <w:color w:val="auto"/>
            <w:sz w:val="16"/>
            <w:szCs w:val="16"/>
            <w:lang w:val="en-US"/>
          </w:rPr>
          <m:t>LB-</m:t>
        </m:r>
        <m:sSup>
          <m:sSupPr>
            <m:ctrlPr>
              <w:rPr>
                <w:rFonts w:ascii="Cambria Math" w:hAnsi="Cambria Math" w:cstheme="majorBidi"/>
                <w:b w:val="0"/>
                <w:i/>
                <w:color w:val="auto"/>
                <w:sz w:val="16"/>
                <w:szCs w:val="16"/>
                <w:lang w:val="en-US"/>
              </w:rPr>
            </m:ctrlPr>
          </m:sSupPr>
          <m:e>
            <m:r>
              <m:rPr>
                <m:sty m:val="bi"/>
              </m:rPr>
              <w:rPr>
                <w:rFonts w:ascii="Cambria Math" w:hAnsi="Cambria Math" w:cstheme="majorBidi"/>
                <w:color w:val="auto"/>
                <w:sz w:val="16"/>
                <w:szCs w:val="16"/>
                <w:lang w:val="en-US"/>
              </w:rPr>
              <m:t>Q</m:t>
            </m:r>
          </m:e>
          <m:sup>
            <m:r>
              <m:rPr>
                <m:sty m:val="bi"/>
              </m:rPr>
              <w:rPr>
                <w:rFonts w:ascii="Cambria Math" w:hAnsi="Cambria Math" w:cstheme="majorBidi"/>
                <w:color w:val="auto"/>
                <w:sz w:val="16"/>
                <w:szCs w:val="16"/>
                <w:lang w:val="en-US"/>
              </w:rPr>
              <m:t>2</m:t>
            </m:r>
          </m:sup>
        </m:sSup>
        <m:r>
          <m:rPr>
            <m:sty m:val="bi"/>
          </m:rPr>
          <w:rPr>
            <w:rFonts w:ascii="Cambria Math" w:hAnsi="Cambria Math" w:cstheme="majorBidi"/>
            <w:color w:val="auto"/>
            <w:sz w:val="16"/>
            <w:szCs w:val="16"/>
            <w:lang w:val="en-US"/>
          </w:rPr>
          <m:t>(20)</m:t>
        </m:r>
      </m:oMath>
      <w:r w:rsidRPr="006951B0">
        <w:rPr>
          <w:rFonts w:asciiTheme="majorBidi" w:hAnsiTheme="majorBidi" w:cstheme="majorBidi"/>
          <w:b w:val="0"/>
          <w:color w:val="auto"/>
          <w:sz w:val="16"/>
          <w:szCs w:val="16"/>
          <w:lang w:val="en-US"/>
        </w:rPr>
        <w:t xml:space="preserve"> are the Ljung-Box statistics with 20 lags for the standardized and squared standardized residuals, respectively. The superscripts *, ** and *** denote the level significance at 1%, 5%, and 10%, respectively</w:t>
      </w:r>
    </w:p>
    <w:p w:rsidR="00AB130E" w:rsidRDefault="00AB130E" w:rsidP="00FF41F1">
      <w:pPr>
        <w:spacing w:after="0" w:line="240" w:lineRule="auto"/>
        <w:ind w:firstLine="340"/>
        <w:jc w:val="both"/>
        <w:rPr>
          <w:rFonts w:asciiTheme="majorBidi" w:hAnsiTheme="majorBidi" w:cstheme="majorBidi"/>
          <w:lang w:val="en-US"/>
        </w:rPr>
      </w:pPr>
      <w:r w:rsidRPr="00DA4BDD">
        <w:rPr>
          <w:rFonts w:asciiTheme="majorBidi" w:hAnsiTheme="majorBidi" w:cstheme="majorBidi"/>
          <w:lang w:val="en-US"/>
        </w:rPr>
        <w:lastRenderedPageBreak/>
        <w:t xml:space="preserve">In Fig. </w:t>
      </w:r>
      <w:r w:rsidR="0053668B" w:rsidRPr="00DA4BDD">
        <w:rPr>
          <w:rFonts w:asciiTheme="majorBidi" w:hAnsiTheme="majorBidi" w:cstheme="majorBidi"/>
          <w:lang w:val="en-US"/>
        </w:rPr>
        <w:t>4</w:t>
      </w:r>
      <w:r w:rsidRPr="00DA4BDD">
        <w:rPr>
          <w:rFonts w:asciiTheme="majorBidi" w:hAnsiTheme="majorBidi" w:cstheme="majorBidi"/>
          <w:lang w:val="en-US"/>
        </w:rPr>
        <w:t xml:space="preserve">, we plot the rolling correlations between each pair of </w:t>
      </w:r>
      <w:r w:rsidR="00DA4BDD" w:rsidRPr="00DA4BDD">
        <w:rPr>
          <w:rFonts w:asciiTheme="majorBidi" w:hAnsiTheme="majorBidi" w:cstheme="majorBidi"/>
          <w:lang w:val="en-US"/>
        </w:rPr>
        <w:t>exchange rate and stock prices</w:t>
      </w:r>
      <w:r w:rsidRPr="00DA4BDD">
        <w:rPr>
          <w:rFonts w:asciiTheme="majorBidi" w:hAnsiTheme="majorBidi" w:cstheme="majorBidi"/>
          <w:lang w:val="en-US"/>
        </w:rPr>
        <w:t xml:space="preserve"> with time spans of four months, eight months, one year, two years and four years, respectively. Interestingly, we find more fluctuations of the rolling correlations in downward directions between each pair, particularly after 2007, regardless of the selected time spans. </w:t>
      </w:r>
    </w:p>
    <w:p w:rsidR="00BC14A7" w:rsidRDefault="00BC14A7" w:rsidP="00DA4BDD">
      <w:pPr>
        <w:spacing w:after="0" w:line="240" w:lineRule="auto"/>
        <w:ind w:firstLine="340"/>
        <w:jc w:val="both"/>
        <w:rPr>
          <w:rFonts w:asciiTheme="majorBidi" w:hAnsiTheme="majorBidi" w:cstheme="majorBidi"/>
          <w:lang w:val="en-US"/>
        </w:rPr>
      </w:pPr>
    </w:p>
    <w:p w:rsidR="00AB130E" w:rsidRPr="00BC14A7" w:rsidRDefault="00BC14A7" w:rsidP="00BC14A7">
      <w:pPr>
        <w:spacing w:after="0" w:line="240" w:lineRule="auto"/>
        <w:ind w:left="340" w:hanging="340"/>
        <w:jc w:val="center"/>
        <w:rPr>
          <w:rFonts w:asciiTheme="majorBidi" w:eastAsia="Times New Roman" w:hAnsiTheme="majorBidi" w:cstheme="majorBidi"/>
          <w:lang w:val="en-US"/>
        </w:rPr>
      </w:pPr>
      <w:r w:rsidRPr="00D14407">
        <w:rPr>
          <w:rFonts w:asciiTheme="majorBidi" w:hAnsiTheme="majorBidi" w:cstheme="majorBidi"/>
          <w:lang w:val="en-US"/>
        </w:rPr>
        <w:t>(a) Four-month rolling correlation</w:t>
      </w:r>
    </w:p>
    <w:p w:rsidR="006951B0" w:rsidRDefault="006951B0" w:rsidP="006951B0">
      <w:pPr>
        <w:spacing w:after="0" w:line="240" w:lineRule="auto"/>
        <w:ind w:firstLine="340"/>
        <w:jc w:val="center"/>
        <w:rPr>
          <w:rFonts w:asciiTheme="majorBidi" w:hAnsiTheme="majorBidi" w:cstheme="majorBidi"/>
          <w:lang w:val="en-US"/>
        </w:rPr>
      </w:pPr>
      <w:r>
        <w:object w:dxaOrig="7201" w:dyaOrig="5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300.35pt" o:ole="">
            <v:imagedata r:id="rId12" o:title=""/>
          </v:shape>
          <o:OLEObject Type="Embed" ProgID="EViews.Workfile.2" ShapeID="_x0000_i1025" DrawAspect="Content" ObjectID="_1505638098" r:id="rId13"/>
        </w:object>
      </w:r>
    </w:p>
    <w:p w:rsidR="006951B0" w:rsidRDefault="006951B0" w:rsidP="00BC14A7">
      <w:pPr>
        <w:spacing w:after="0" w:line="240" w:lineRule="auto"/>
        <w:ind w:left="340" w:hanging="340"/>
        <w:jc w:val="center"/>
        <w:rPr>
          <w:rFonts w:asciiTheme="majorBidi" w:hAnsiTheme="majorBidi" w:cstheme="majorBidi"/>
          <w:lang w:val="en-US"/>
        </w:rPr>
      </w:pPr>
    </w:p>
    <w:p w:rsidR="00BC14A7" w:rsidRPr="00BC14A7" w:rsidRDefault="00BC14A7" w:rsidP="00BC14A7">
      <w:pPr>
        <w:spacing w:after="0" w:line="240" w:lineRule="auto"/>
        <w:ind w:left="340" w:hanging="340"/>
        <w:jc w:val="center"/>
        <w:rPr>
          <w:rFonts w:asciiTheme="majorBidi" w:eastAsia="Times New Roman" w:hAnsiTheme="majorBidi" w:cstheme="majorBidi"/>
          <w:lang w:val="en-US"/>
        </w:rPr>
      </w:pPr>
      <w:r w:rsidRPr="00D14407">
        <w:rPr>
          <w:rFonts w:asciiTheme="majorBidi" w:hAnsiTheme="majorBidi" w:cstheme="majorBidi"/>
          <w:lang w:val="en-US"/>
        </w:rPr>
        <w:t>(b) Eight-month rolling correlation</w:t>
      </w:r>
    </w:p>
    <w:p w:rsidR="00DF5B20" w:rsidRDefault="006951B0" w:rsidP="00DF5B20">
      <w:pPr>
        <w:spacing w:after="0" w:line="240" w:lineRule="auto"/>
        <w:ind w:firstLine="340"/>
        <w:jc w:val="center"/>
      </w:pPr>
      <w:r>
        <w:object w:dxaOrig="7201" w:dyaOrig="5551">
          <v:shape id="_x0000_i1026" type="#_x0000_t75" style="width:350.35pt;height:295.5pt" o:ole="">
            <v:imagedata r:id="rId14" o:title=""/>
          </v:shape>
          <o:OLEObject Type="Embed" ProgID="EViews.Workfile.2" ShapeID="_x0000_i1026" DrawAspect="Content" ObjectID="_1505638099" r:id="rId15"/>
        </w:object>
      </w:r>
    </w:p>
    <w:p w:rsidR="0044010C" w:rsidRPr="0044010C" w:rsidRDefault="0044010C" w:rsidP="0044010C">
      <w:pPr>
        <w:spacing w:after="0" w:line="240" w:lineRule="auto"/>
        <w:ind w:left="340" w:hanging="340"/>
        <w:jc w:val="center"/>
        <w:rPr>
          <w:rFonts w:asciiTheme="majorBidi" w:eastAsia="Times New Roman" w:hAnsiTheme="majorBidi" w:cstheme="majorBidi"/>
          <w:lang w:val="en-US"/>
        </w:rPr>
      </w:pPr>
      <w:r w:rsidRPr="00D14407">
        <w:rPr>
          <w:rFonts w:asciiTheme="majorBidi" w:hAnsiTheme="majorBidi" w:cstheme="majorBidi"/>
          <w:lang w:val="en-US"/>
        </w:rPr>
        <w:lastRenderedPageBreak/>
        <w:t>(c) One-year rolling correlation</w:t>
      </w:r>
    </w:p>
    <w:p w:rsidR="00DF5B20" w:rsidRDefault="0018252C" w:rsidP="00DF5B20">
      <w:pPr>
        <w:spacing w:after="0" w:line="240" w:lineRule="auto"/>
        <w:ind w:firstLine="340"/>
        <w:jc w:val="center"/>
      </w:pPr>
      <w:r>
        <w:object w:dxaOrig="7201" w:dyaOrig="5551">
          <v:shape id="_x0000_i1027" type="#_x0000_t75" style="width:5in;height:312.7pt" o:ole="">
            <v:imagedata r:id="rId16" o:title=""/>
          </v:shape>
          <o:OLEObject Type="Embed" ProgID="EViews.Workfile.2" ShapeID="_x0000_i1027" DrawAspect="Content" ObjectID="_1505638100" r:id="rId17"/>
        </w:object>
      </w:r>
    </w:p>
    <w:p w:rsidR="006951B0" w:rsidRDefault="006951B0" w:rsidP="0044010C">
      <w:pPr>
        <w:spacing w:after="0" w:line="240" w:lineRule="auto"/>
        <w:ind w:left="340" w:hanging="340"/>
        <w:jc w:val="center"/>
        <w:rPr>
          <w:rFonts w:asciiTheme="majorBidi" w:hAnsiTheme="majorBidi" w:cstheme="majorBidi"/>
          <w:lang w:val="en-US"/>
        </w:rPr>
      </w:pPr>
    </w:p>
    <w:p w:rsidR="0044010C" w:rsidRPr="0044010C" w:rsidRDefault="0044010C" w:rsidP="0044010C">
      <w:pPr>
        <w:spacing w:after="0" w:line="240" w:lineRule="auto"/>
        <w:ind w:left="340" w:hanging="340"/>
        <w:jc w:val="center"/>
        <w:rPr>
          <w:rFonts w:asciiTheme="majorBidi" w:eastAsia="Times New Roman" w:hAnsiTheme="majorBidi" w:cstheme="majorBidi"/>
          <w:lang w:val="en-US"/>
        </w:rPr>
      </w:pPr>
      <w:r w:rsidRPr="00D14407">
        <w:rPr>
          <w:rFonts w:asciiTheme="majorBidi" w:hAnsiTheme="majorBidi" w:cstheme="majorBidi"/>
          <w:lang w:val="en-US"/>
        </w:rPr>
        <w:t>(d) Two-year rolling correlation</w:t>
      </w:r>
    </w:p>
    <w:p w:rsidR="00B81A2A" w:rsidRDefault="00A3598E" w:rsidP="00DF5B20">
      <w:pPr>
        <w:spacing w:after="0" w:line="240" w:lineRule="auto"/>
        <w:ind w:firstLine="340"/>
        <w:jc w:val="center"/>
      </w:pPr>
      <w:r>
        <w:object w:dxaOrig="7201" w:dyaOrig="5551">
          <v:shape id="_x0000_i1028" type="#_x0000_t75" style="width:5in;height:290.15pt" o:ole="">
            <v:imagedata r:id="rId18" o:title=""/>
          </v:shape>
          <o:OLEObject Type="Embed" ProgID="EViews.Workfile.2" ShapeID="_x0000_i1028" DrawAspect="Content" ObjectID="_1505638101" r:id="rId19"/>
        </w:object>
      </w:r>
    </w:p>
    <w:p w:rsidR="00BC14A7" w:rsidRDefault="00BC14A7" w:rsidP="00DF5B20">
      <w:pPr>
        <w:spacing w:after="0" w:line="240" w:lineRule="auto"/>
        <w:ind w:firstLine="340"/>
        <w:jc w:val="center"/>
      </w:pPr>
    </w:p>
    <w:p w:rsidR="006951B0" w:rsidRDefault="006951B0" w:rsidP="0044010C">
      <w:pPr>
        <w:spacing w:after="0" w:line="240" w:lineRule="auto"/>
        <w:ind w:left="340" w:hanging="340"/>
        <w:jc w:val="center"/>
        <w:rPr>
          <w:rFonts w:asciiTheme="majorBidi" w:hAnsiTheme="majorBidi" w:cstheme="majorBidi"/>
          <w:lang w:val="en-US"/>
        </w:rPr>
      </w:pPr>
    </w:p>
    <w:p w:rsidR="006951B0" w:rsidRDefault="006951B0" w:rsidP="0044010C">
      <w:pPr>
        <w:spacing w:after="0" w:line="240" w:lineRule="auto"/>
        <w:ind w:left="340" w:hanging="340"/>
        <w:jc w:val="center"/>
        <w:rPr>
          <w:rFonts w:asciiTheme="majorBidi" w:hAnsiTheme="majorBidi" w:cstheme="majorBidi"/>
          <w:lang w:val="en-US"/>
        </w:rPr>
      </w:pPr>
    </w:p>
    <w:p w:rsidR="006951B0" w:rsidRDefault="006951B0" w:rsidP="0044010C">
      <w:pPr>
        <w:spacing w:after="0" w:line="240" w:lineRule="auto"/>
        <w:ind w:left="340" w:hanging="340"/>
        <w:jc w:val="center"/>
        <w:rPr>
          <w:rFonts w:asciiTheme="majorBidi" w:hAnsiTheme="majorBidi" w:cstheme="majorBidi"/>
          <w:lang w:val="en-US"/>
        </w:rPr>
      </w:pPr>
    </w:p>
    <w:p w:rsidR="0044010C" w:rsidRPr="0044010C" w:rsidRDefault="0044010C" w:rsidP="0044010C">
      <w:pPr>
        <w:spacing w:after="0" w:line="240" w:lineRule="auto"/>
        <w:ind w:left="340" w:hanging="340"/>
        <w:jc w:val="center"/>
        <w:rPr>
          <w:rFonts w:asciiTheme="majorBidi" w:eastAsia="Times New Roman" w:hAnsiTheme="majorBidi" w:cstheme="majorBidi"/>
          <w:lang w:val="en-US"/>
        </w:rPr>
      </w:pPr>
      <w:r w:rsidRPr="00D14407">
        <w:rPr>
          <w:rFonts w:asciiTheme="majorBidi" w:hAnsiTheme="majorBidi" w:cstheme="majorBidi"/>
          <w:lang w:val="en-US"/>
        </w:rPr>
        <w:lastRenderedPageBreak/>
        <w:t>(e) Four-year rolling correlation</w:t>
      </w:r>
    </w:p>
    <w:p w:rsidR="00BC14A7" w:rsidRDefault="00A3598E" w:rsidP="00DF5B20">
      <w:pPr>
        <w:spacing w:after="0" w:line="240" w:lineRule="auto"/>
        <w:ind w:firstLine="340"/>
        <w:jc w:val="center"/>
        <w:rPr>
          <w:rFonts w:asciiTheme="majorBidi" w:hAnsiTheme="majorBidi" w:cstheme="majorBidi"/>
          <w:lang w:val="en-US"/>
        </w:rPr>
      </w:pPr>
      <w:r>
        <w:object w:dxaOrig="7290" w:dyaOrig="5551">
          <v:shape id="_x0000_i1029" type="#_x0000_t75" style="width:364.85pt;height:285.3pt" o:ole="">
            <v:imagedata r:id="rId20" o:title=""/>
          </v:shape>
          <o:OLEObject Type="Embed" ProgID="EViews.Workfile.2" ShapeID="_x0000_i1029" DrawAspect="Content" ObjectID="_1505638102" r:id="rId21"/>
        </w:object>
      </w:r>
    </w:p>
    <w:p w:rsidR="0066485A" w:rsidRDefault="0066485A" w:rsidP="00A3598E">
      <w:pPr>
        <w:pStyle w:val="Lgende"/>
        <w:keepNext/>
        <w:spacing w:after="0"/>
        <w:ind w:right="1134"/>
        <w:rPr>
          <w:rFonts w:asciiTheme="majorBidi" w:hAnsiTheme="majorBidi" w:cstheme="majorBidi"/>
          <w:color w:val="auto"/>
          <w:sz w:val="22"/>
          <w:szCs w:val="22"/>
          <w:lang w:val="en-US"/>
        </w:rPr>
      </w:pPr>
    </w:p>
    <w:p w:rsidR="00A3598E" w:rsidRDefault="00381F85" w:rsidP="0062679E">
      <w:pPr>
        <w:spacing w:after="0" w:line="240" w:lineRule="auto"/>
        <w:jc w:val="both"/>
        <w:rPr>
          <w:rFonts w:asciiTheme="majorBidi" w:eastAsia="Times New Roman" w:hAnsiTheme="majorBidi" w:cstheme="majorBidi"/>
          <w:lang w:val="en-US"/>
        </w:rPr>
      </w:pPr>
      <w:r>
        <w:rPr>
          <w:rFonts w:asciiTheme="majorBidi" w:eastAsia="Times New Roman" w:hAnsiTheme="majorBidi" w:cstheme="majorBidi"/>
          <w:b/>
          <w:bCs/>
          <w:lang w:val="en-US"/>
        </w:rPr>
        <w:t>Fig.4</w:t>
      </w:r>
      <w:r w:rsidR="00837A11" w:rsidRPr="00837A11">
        <w:rPr>
          <w:rFonts w:asciiTheme="majorBidi" w:eastAsia="Times New Roman" w:hAnsiTheme="majorBidi" w:cstheme="majorBidi"/>
          <w:b/>
          <w:bCs/>
          <w:lang w:val="en-US"/>
        </w:rPr>
        <w:t xml:space="preserve">. </w:t>
      </w:r>
      <w:r w:rsidR="00837A11" w:rsidRPr="00837A11">
        <w:rPr>
          <w:rFonts w:asciiTheme="majorBidi" w:eastAsia="Times New Roman" w:hAnsiTheme="majorBidi" w:cstheme="majorBidi"/>
          <w:lang w:val="en-US"/>
        </w:rPr>
        <w:t>Rolling correlations between exchange rate and stock index pair. (a) Four-month rolling correlation. (b) Eight-month rolling correlation. (c) Two-year rolling correlation. (d) Two-year rolling correlation. (e) Four-year rolling correlation.</w:t>
      </w:r>
    </w:p>
    <w:p w:rsidR="0062679E" w:rsidRPr="0062679E" w:rsidRDefault="0062679E" w:rsidP="0062679E">
      <w:pPr>
        <w:spacing w:after="0" w:line="240" w:lineRule="auto"/>
        <w:jc w:val="both"/>
        <w:rPr>
          <w:rFonts w:asciiTheme="majorBidi" w:eastAsia="Times New Roman" w:hAnsiTheme="majorBidi" w:cstheme="majorBidi"/>
          <w:lang w:val="en-US"/>
        </w:rPr>
      </w:pPr>
    </w:p>
    <w:p w:rsidR="003556C6" w:rsidRPr="001F64BC" w:rsidRDefault="003556C6" w:rsidP="003556C6">
      <w:pPr>
        <w:pStyle w:val="Lgende"/>
        <w:keepNext/>
        <w:spacing w:after="0"/>
        <w:ind w:left="907" w:right="1134"/>
        <w:jc w:val="both"/>
        <w:rPr>
          <w:rFonts w:asciiTheme="majorBidi" w:hAnsiTheme="majorBidi" w:cstheme="majorBidi"/>
          <w:color w:val="auto"/>
          <w:sz w:val="22"/>
          <w:szCs w:val="22"/>
          <w:lang w:val="en-US"/>
        </w:rPr>
      </w:pPr>
      <w:r w:rsidRPr="001F64BC">
        <w:rPr>
          <w:rFonts w:asciiTheme="majorBidi" w:hAnsiTheme="majorBidi" w:cstheme="majorBidi"/>
          <w:color w:val="auto"/>
          <w:sz w:val="22"/>
          <w:szCs w:val="22"/>
          <w:lang w:val="en-US"/>
        </w:rPr>
        <w:t xml:space="preserve">Table </w:t>
      </w:r>
      <w:r w:rsidR="00381F85">
        <w:rPr>
          <w:rFonts w:asciiTheme="majorBidi" w:hAnsiTheme="majorBidi" w:cstheme="majorBidi"/>
          <w:color w:val="auto"/>
          <w:sz w:val="22"/>
          <w:szCs w:val="22"/>
          <w:lang w:val="en-US"/>
        </w:rPr>
        <w:t>6</w:t>
      </w:r>
    </w:p>
    <w:p w:rsidR="003556C6" w:rsidRPr="00985AC3" w:rsidRDefault="003556C6" w:rsidP="003556C6">
      <w:pPr>
        <w:spacing w:after="0" w:line="240" w:lineRule="auto"/>
        <w:ind w:left="907" w:right="1134"/>
        <w:jc w:val="both"/>
        <w:rPr>
          <w:rFonts w:asciiTheme="majorBidi" w:hAnsiTheme="majorBidi" w:cstheme="majorBidi"/>
          <w:lang w:val="en-US" w:eastAsia="fr-FR"/>
        </w:rPr>
      </w:pPr>
      <w:r w:rsidRPr="001F64BC">
        <w:rPr>
          <w:rFonts w:asciiTheme="majorBidi" w:hAnsiTheme="majorBidi" w:cstheme="majorBidi"/>
          <w:lang w:val="en-US"/>
        </w:rPr>
        <w:t xml:space="preserve">Empirical results of the </w:t>
      </w:r>
      <w:r>
        <w:rPr>
          <w:rFonts w:asciiTheme="majorBidi" w:hAnsiTheme="majorBidi" w:cstheme="majorBidi"/>
          <w:lang w:val="en-US"/>
        </w:rPr>
        <w:t>DCC</w:t>
      </w:r>
      <w:r w:rsidRPr="001F64BC">
        <w:rPr>
          <w:rFonts w:asciiTheme="majorBidi" w:hAnsiTheme="majorBidi" w:cstheme="majorBidi"/>
          <w:lang w:val="en-US"/>
        </w:rPr>
        <w:t xml:space="preserve"> model(</w:t>
      </w:r>
      <w:r>
        <w:rPr>
          <w:rFonts w:asciiTheme="majorBidi" w:hAnsiTheme="majorBidi" w:cstheme="majorBidi"/>
          <w:lang w:val="en-US"/>
        </w:rPr>
        <w:t>w</w:t>
      </w:r>
      <w:r w:rsidRPr="001F64BC">
        <w:rPr>
          <w:rFonts w:asciiTheme="majorBidi" w:hAnsiTheme="majorBidi" w:cstheme="majorBidi"/>
          <w:lang w:val="en-US"/>
        </w:rPr>
        <w:t>hole sample</w:t>
      </w:r>
      <w:r>
        <w:rPr>
          <w:rFonts w:asciiTheme="majorBidi" w:hAnsiTheme="majorBidi" w:cstheme="majorBidi"/>
          <w:lang w:val="en-US"/>
        </w:rPr>
        <w:t xml:space="preserve"> analysis</w:t>
      </w:r>
      <w:r w:rsidRPr="001F64BC">
        <w:rPr>
          <w:rFonts w:asciiTheme="majorBidi" w:hAnsiTheme="majorBidi" w:cstheme="majorBidi"/>
          <w:lang w:val="en-US"/>
        </w:rPr>
        <w:t>)</w:t>
      </w:r>
      <w:r w:rsidRPr="00985AC3">
        <w:rPr>
          <w:rFonts w:asciiTheme="majorBidi" w:hAnsiTheme="majorBidi" w:cstheme="majorBidi"/>
          <w:lang w:val="en-US"/>
        </w:rPr>
        <w:t>.</w:t>
      </w:r>
    </w:p>
    <w:tbl>
      <w:tblPr>
        <w:tblW w:w="7340" w:type="dxa"/>
        <w:jc w:val="center"/>
        <w:tblInd w:w="56" w:type="dxa"/>
        <w:tblCellMar>
          <w:left w:w="70" w:type="dxa"/>
          <w:right w:w="70" w:type="dxa"/>
        </w:tblCellMar>
        <w:tblLook w:val="04A0"/>
      </w:tblPr>
      <w:tblGrid>
        <w:gridCol w:w="1120"/>
        <w:gridCol w:w="940"/>
        <w:gridCol w:w="880"/>
        <w:gridCol w:w="940"/>
        <w:gridCol w:w="660"/>
        <w:gridCol w:w="1020"/>
        <w:gridCol w:w="900"/>
        <w:gridCol w:w="880"/>
      </w:tblGrid>
      <w:tr w:rsidR="003556C6" w:rsidRPr="00D34466" w:rsidTr="00A12113">
        <w:trPr>
          <w:trHeight w:val="210"/>
          <w:jc w:val="center"/>
        </w:trPr>
        <w:tc>
          <w:tcPr>
            <w:tcW w:w="1120" w:type="dxa"/>
            <w:vMerge w:val="restart"/>
            <w:tcBorders>
              <w:top w:val="single" w:sz="8" w:space="0" w:color="auto"/>
              <w:left w:val="nil"/>
              <w:bottom w:val="single" w:sz="8" w:space="0" w:color="000000"/>
              <w:right w:val="nil"/>
            </w:tcBorders>
            <w:shd w:val="clear" w:color="auto" w:fill="auto"/>
            <w:noWrap/>
            <w:vAlign w:val="bottom"/>
            <w:hideMark/>
          </w:tcPr>
          <w:p w:rsidR="003556C6" w:rsidRPr="00AC0786" w:rsidRDefault="003556C6" w:rsidP="00A12113">
            <w:pPr>
              <w:spacing w:after="0" w:line="240" w:lineRule="auto"/>
              <w:rPr>
                <w:rFonts w:ascii="Times New Roman" w:eastAsia="Times New Roman" w:hAnsi="Times New Roman" w:cs="Times New Roman"/>
                <w:color w:val="000000"/>
                <w:sz w:val="16"/>
                <w:szCs w:val="16"/>
                <w:lang w:val="en-US" w:eastAsia="fr-FR"/>
              </w:rPr>
            </w:pPr>
            <w:r w:rsidRPr="00AC0786">
              <w:rPr>
                <w:rFonts w:ascii="Times New Roman" w:eastAsia="Times New Roman" w:hAnsi="Times New Roman" w:cs="Times New Roman"/>
                <w:color w:val="000000"/>
                <w:sz w:val="16"/>
                <w:szCs w:val="16"/>
                <w:lang w:val="en-US" w:eastAsia="fr-FR"/>
              </w:rPr>
              <w:t> </w:t>
            </w:r>
          </w:p>
        </w:tc>
        <w:tc>
          <w:tcPr>
            <w:tcW w:w="6220" w:type="dxa"/>
            <w:gridSpan w:val="7"/>
            <w:tcBorders>
              <w:top w:val="single" w:sz="8" w:space="0" w:color="auto"/>
              <w:left w:val="nil"/>
              <w:bottom w:val="single" w:sz="8" w:space="0" w:color="auto"/>
              <w:right w:val="nil"/>
            </w:tcBorders>
            <w:shd w:val="clear" w:color="auto" w:fill="auto"/>
            <w:noWrap/>
            <w:vAlign w:val="bottom"/>
            <w:hideMark/>
          </w:tcPr>
          <w:p w:rsidR="003556C6" w:rsidRPr="00D34466" w:rsidRDefault="00713545"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S</w:t>
            </w:r>
            <w:r w:rsidR="003556C6" w:rsidRPr="00D34466">
              <w:rPr>
                <w:rFonts w:ascii="Times New Roman" w:eastAsia="Times New Roman" w:hAnsi="Times New Roman" w:cs="Times New Roman"/>
                <w:color w:val="000000"/>
                <w:sz w:val="16"/>
                <w:szCs w:val="16"/>
                <w:lang w:eastAsia="fr-FR"/>
              </w:rPr>
              <w:t>ampleperiod</w:t>
            </w:r>
            <w:r w:rsidR="003556C6">
              <w:rPr>
                <w:rFonts w:ascii="Times New Roman" w:eastAsia="Times New Roman" w:hAnsi="Times New Roman" w:cs="Times New Roman"/>
                <w:color w:val="000000"/>
                <w:sz w:val="16"/>
                <w:szCs w:val="16"/>
                <w:lang w:eastAsia="fr-FR"/>
              </w:rPr>
              <w:t xml:space="preserve"> (January 1, 2000</w:t>
            </w:r>
            <w:r w:rsidR="003556C6" w:rsidRPr="00D34466">
              <w:rPr>
                <w:rFonts w:ascii="Times New Roman" w:eastAsia="Times New Roman" w:hAnsi="Times New Roman" w:cs="Times New Roman"/>
                <w:color w:val="000000"/>
                <w:sz w:val="16"/>
                <w:szCs w:val="16"/>
                <w:lang w:eastAsia="fr-FR"/>
              </w:rPr>
              <w:t>-December 10, 2013)</w:t>
            </w:r>
          </w:p>
        </w:tc>
      </w:tr>
      <w:tr w:rsidR="003556C6" w:rsidRPr="00D34466" w:rsidTr="00A12113">
        <w:trPr>
          <w:trHeight w:val="210"/>
          <w:jc w:val="center"/>
        </w:trPr>
        <w:tc>
          <w:tcPr>
            <w:tcW w:w="1120" w:type="dxa"/>
            <w:vMerge/>
            <w:tcBorders>
              <w:top w:val="single" w:sz="8" w:space="0" w:color="auto"/>
              <w:left w:val="nil"/>
              <w:bottom w:val="single" w:sz="8" w:space="0" w:color="000000"/>
              <w:right w:val="nil"/>
            </w:tcBorders>
            <w:vAlign w:val="center"/>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p>
        </w:tc>
        <w:tc>
          <w:tcPr>
            <w:tcW w:w="2760" w:type="dxa"/>
            <w:gridSpan w:val="3"/>
            <w:tcBorders>
              <w:top w:val="single" w:sz="8" w:space="0" w:color="auto"/>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Symmetric DCC</w:t>
            </w:r>
          </w:p>
        </w:tc>
        <w:tc>
          <w:tcPr>
            <w:tcW w:w="66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p>
        </w:tc>
        <w:tc>
          <w:tcPr>
            <w:tcW w:w="2800" w:type="dxa"/>
            <w:gridSpan w:val="3"/>
            <w:tcBorders>
              <w:top w:val="single" w:sz="8" w:space="0" w:color="auto"/>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Asymmetric DCC</w:t>
            </w:r>
          </w:p>
        </w:tc>
      </w:tr>
      <w:tr w:rsidR="003556C6" w:rsidRPr="00D34466" w:rsidTr="00A12113">
        <w:trPr>
          <w:trHeight w:val="210"/>
          <w:jc w:val="center"/>
        </w:trPr>
        <w:tc>
          <w:tcPr>
            <w:tcW w:w="1120" w:type="dxa"/>
            <w:vMerge/>
            <w:tcBorders>
              <w:top w:val="single" w:sz="8" w:space="0" w:color="auto"/>
              <w:left w:val="nil"/>
              <w:bottom w:val="single" w:sz="8" w:space="0" w:color="000000"/>
              <w:right w:val="nil"/>
            </w:tcBorders>
            <w:vAlign w:val="center"/>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p>
        </w:tc>
        <w:tc>
          <w:tcPr>
            <w:tcW w:w="94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Coefficient</w:t>
            </w:r>
          </w:p>
        </w:tc>
        <w:tc>
          <w:tcPr>
            <w:tcW w:w="88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Std</w:t>
            </w:r>
            <w:r w:rsidR="00DE4B54">
              <w:rPr>
                <w:rFonts w:ascii="Times New Roman" w:eastAsia="Times New Roman" w:hAnsi="Times New Roman" w:cs="Times New Roman"/>
                <w:color w:val="000000"/>
                <w:sz w:val="16"/>
                <w:szCs w:val="16"/>
                <w:lang w:eastAsia="fr-FR"/>
              </w:rPr>
              <w:t>.</w:t>
            </w:r>
            <w:r w:rsidRPr="00D34466">
              <w:rPr>
                <w:rFonts w:ascii="Times New Roman" w:eastAsia="Times New Roman" w:hAnsi="Times New Roman" w:cs="Times New Roman"/>
                <w:color w:val="000000"/>
                <w:sz w:val="16"/>
                <w:szCs w:val="16"/>
                <w:lang w:eastAsia="fr-FR"/>
              </w:rPr>
              <w:t>Error</w:t>
            </w:r>
          </w:p>
        </w:tc>
        <w:tc>
          <w:tcPr>
            <w:tcW w:w="94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p-value</w:t>
            </w:r>
          </w:p>
        </w:tc>
        <w:tc>
          <w:tcPr>
            <w:tcW w:w="66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Calibri" w:eastAsia="Times New Roman" w:hAnsi="Calibri" w:cs="Times New Roman"/>
                <w:color w:val="000000"/>
                <w:lang w:eastAsia="fr-FR"/>
              </w:rPr>
            </w:pPr>
          </w:p>
        </w:tc>
        <w:tc>
          <w:tcPr>
            <w:tcW w:w="102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Coefficient</w:t>
            </w:r>
          </w:p>
        </w:tc>
        <w:tc>
          <w:tcPr>
            <w:tcW w:w="90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Std</w:t>
            </w:r>
            <w:r w:rsidR="00DE4B54">
              <w:rPr>
                <w:rFonts w:ascii="Times New Roman" w:eastAsia="Times New Roman" w:hAnsi="Times New Roman" w:cs="Times New Roman"/>
                <w:color w:val="000000"/>
                <w:sz w:val="16"/>
                <w:szCs w:val="16"/>
                <w:lang w:eastAsia="fr-FR"/>
              </w:rPr>
              <w:t>.</w:t>
            </w:r>
            <w:r w:rsidRPr="00D34466">
              <w:rPr>
                <w:rFonts w:ascii="Times New Roman" w:eastAsia="Times New Roman" w:hAnsi="Times New Roman" w:cs="Times New Roman"/>
                <w:color w:val="000000"/>
                <w:sz w:val="16"/>
                <w:szCs w:val="16"/>
                <w:lang w:eastAsia="fr-FR"/>
              </w:rPr>
              <w:t>Error</w:t>
            </w:r>
          </w:p>
        </w:tc>
        <w:tc>
          <w:tcPr>
            <w:tcW w:w="88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p-value</w:t>
            </w:r>
          </w:p>
        </w:tc>
      </w:tr>
      <w:tr w:rsidR="003556C6" w:rsidRPr="00D34466" w:rsidTr="00A12113">
        <w:trPr>
          <w:trHeight w:val="210"/>
          <w:jc w:val="center"/>
        </w:trPr>
        <w:tc>
          <w:tcPr>
            <w:tcW w:w="1120" w:type="dxa"/>
            <w:tcBorders>
              <w:top w:val="nil"/>
              <w:left w:val="nil"/>
              <w:bottom w:val="nil"/>
              <w:right w:val="nil"/>
            </w:tcBorders>
            <w:shd w:val="clear" w:color="auto" w:fill="auto"/>
            <w:noWrap/>
            <w:vAlign w:val="bottom"/>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a1</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0.0713</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0.0065</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66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0.0706</w:t>
            </w:r>
            <w:r>
              <w:rPr>
                <w:rFonts w:ascii="Times New Roman" w:eastAsia="Times New Roman" w:hAnsi="Times New Roman" w:cs="Times New Roman"/>
                <w:color w:val="000000"/>
                <w:sz w:val="16"/>
                <w:szCs w:val="16"/>
                <w:lang w:eastAsia="fr-FR"/>
              </w:rPr>
              <w:t>***</w:t>
            </w:r>
          </w:p>
        </w:tc>
        <w:tc>
          <w:tcPr>
            <w:tcW w:w="90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0.0071</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3556C6" w:rsidRPr="00D34466" w:rsidTr="00A12113">
        <w:trPr>
          <w:trHeight w:val="210"/>
          <w:jc w:val="center"/>
        </w:trPr>
        <w:tc>
          <w:tcPr>
            <w:tcW w:w="1120" w:type="dxa"/>
            <w:tcBorders>
              <w:top w:val="nil"/>
              <w:left w:val="nil"/>
              <w:bottom w:val="nil"/>
              <w:right w:val="nil"/>
            </w:tcBorders>
            <w:shd w:val="clear" w:color="auto" w:fill="auto"/>
            <w:noWrap/>
            <w:vAlign w:val="bottom"/>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b1</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0.9969</w:t>
            </w:r>
            <w:r>
              <w:rPr>
                <w:rFonts w:ascii="Times New Roman" w:eastAsia="Times New Roman" w:hAnsi="Times New Roman" w:cs="Times New Roman"/>
                <w:color w:val="000000"/>
                <w:sz w:val="16"/>
                <w:szCs w:val="16"/>
                <w:lang w:eastAsia="fr-FR"/>
              </w:rPr>
              <w:t>***</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0.0006</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66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0.9967</w:t>
            </w:r>
            <w:r>
              <w:rPr>
                <w:rFonts w:ascii="Times New Roman" w:eastAsia="Times New Roman" w:hAnsi="Times New Roman" w:cs="Times New Roman"/>
                <w:color w:val="000000"/>
                <w:sz w:val="16"/>
                <w:szCs w:val="16"/>
                <w:lang w:eastAsia="fr-FR"/>
              </w:rPr>
              <w:t>***</w:t>
            </w:r>
          </w:p>
        </w:tc>
        <w:tc>
          <w:tcPr>
            <w:tcW w:w="90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0.0008</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3556C6" w:rsidRPr="00D34466" w:rsidTr="00A12113">
        <w:trPr>
          <w:trHeight w:val="210"/>
          <w:jc w:val="center"/>
        </w:trPr>
        <w:tc>
          <w:tcPr>
            <w:tcW w:w="1120" w:type="dxa"/>
            <w:tcBorders>
              <w:top w:val="nil"/>
              <w:left w:val="nil"/>
              <w:bottom w:val="nil"/>
              <w:right w:val="nil"/>
            </w:tcBorders>
            <w:shd w:val="clear" w:color="auto" w:fill="auto"/>
            <w:noWrap/>
            <w:vAlign w:val="bottom"/>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g1</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660" w:type="dxa"/>
            <w:tcBorders>
              <w:top w:val="nil"/>
              <w:left w:val="nil"/>
              <w:bottom w:val="nil"/>
              <w:right w:val="nil"/>
            </w:tcBorders>
            <w:shd w:val="clear" w:color="auto" w:fill="auto"/>
            <w:noWrap/>
            <w:vAlign w:val="bottom"/>
            <w:hideMark/>
          </w:tcPr>
          <w:p w:rsidR="003556C6" w:rsidRPr="00D34466" w:rsidRDefault="003556C6" w:rsidP="00A12113">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-0.0332</w:t>
            </w:r>
            <w:r>
              <w:rPr>
                <w:rFonts w:ascii="Times New Roman" w:eastAsia="Times New Roman" w:hAnsi="Times New Roman" w:cs="Times New Roman"/>
                <w:color w:val="000000"/>
                <w:sz w:val="16"/>
                <w:szCs w:val="16"/>
                <w:lang w:eastAsia="fr-FR"/>
              </w:rPr>
              <w:t>*</w:t>
            </w:r>
          </w:p>
        </w:tc>
        <w:tc>
          <w:tcPr>
            <w:tcW w:w="90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0.0292</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0.0549</w:t>
            </w:r>
          </w:p>
        </w:tc>
      </w:tr>
      <w:tr w:rsidR="003556C6" w:rsidRPr="00D34466" w:rsidTr="00A12113">
        <w:trPr>
          <w:trHeight w:val="210"/>
          <w:jc w:val="center"/>
        </w:trPr>
        <w:tc>
          <w:tcPr>
            <w:tcW w:w="2060" w:type="dxa"/>
            <w:gridSpan w:val="2"/>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Log Likelihood</w:t>
            </w:r>
            <w:r>
              <w:rPr>
                <w:rFonts w:ascii="Times New Roman" w:eastAsia="Times New Roman" w:hAnsi="Times New Roman" w:cs="Times New Roman"/>
                <w:color w:val="000000"/>
                <w:sz w:val="16"/>
                <w:szCs w:val="16"/>
                <w:lang w:eastAsia="fr-FR"/>
              </w:rPr>
              <w:t xml:space="preserve">   5423.36</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p>
        </w:tc>
        <w:tc>
          <w:tcPr>
            <w:tcW w:w="94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p>
        </w:tc>
        <w:tc>
          <w:tcPr>
            <w:tcW w:w="660" w:type="dxa"/>
            <w:tcBorders>
              <w:top w:val="nil"/>
              <w:left w:val="nil"/>
              <w:bottom w:val="nil"/>
              <w:right w:val="nil"/>
            </w:tcBorders>
            <w:shd w:val="clear" w:color="auto" w:fill="auto"/>
            <w:noWrap/>
            <w:vAlign w:val="bottom"/>
            <w:hideMark/>
          </w:tcPr>
          <w:p w:rsidR="003556C6" w:rsidRPr="00D34466" w:rsidRDefault="003556C6" w:rsidP="00A12113">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5658.87</w:t>
            </w:r>
          </w:p>
        </w:tc>
        <w:tc>
          <w:tcPr>
            <w:tcW w:w="90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880" w:type="dxa"/>
            <w:tcBorders>
              <w:top w:val="nil"/>
              <w:left w:val="nil"/>
              <w:bottom w:val="nil"/>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r>
      <w:tr w:rsidR="003556C6" w:rsidRPr="00D34466" w:rsidTr="00A12113">
        <w:trPr>
          <w:trHeight w:val="210"/>
          <w:jc w:val="center"/>
        </w:trPr>
        <w:tc>
          <w:tcPr>
            <w:tcW w:w="1120" w:type="dxa"/>
            <w:tcBorders>
              <w:top w:val="nil"/>
              <w:left w:val="nil"/>
              <w:bottom w:val="single" w:sz="8" w:space="0" w:color="auto"/>
              <w:right w:val="nil"/>
            </w:tcBorders>
            <w:shd w:val="clear" w:color="auto" w:fill="auto"/>
            <w:noWrap/>
            <w:vAlign w:val="bottom"/>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BIC</w:t>
            </w:r>
          </w:p>
        </w:tc>
        <w:tc>
          <w:tcPr>
            <w:tcW w:w="94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42949.369</w:t>
            </w:r>
          </w:p>
        </w:tc>
        <w:tc>
          <w:tcPr>
            <w:tcW w:w="88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94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660" w:type="dxa"/>
            <w:tcBorders>
              <w:top w:val="nil"/>
              <w:left w:val="nil"/>
              <w:bottom w:val="single" w:sz="8" w:space="0" w:color="auto"/>
              <w:right w:val="nil"/>
            </w:tcBorders>
            <w:shd w:val="clear" w:color="auto" w:fill="auto"/>
            <w:noWrap/>
            <w:vAlign w:val="bottom"/>
            <w:hideMark/>
          </w:tcPr>
          <w:p w:rsidR="003556C6" w:rsidRPr="00D34466" w:rsidRDefault="003556C6" w:rsidP="00A12113">
            <w:pPr>
              <w:spacing w:after="0" w:line="240" w:lineRule="auto"/>
              <w:rPr>
                <w:rFonts w:ascii="Times New Roman" w:eastAsia="Times New Roman" w:hAnsi="Times New Roman" w:cs="Times New Roman"/>
                <w:color w:val="000000"/>
                <w:sz w:val="16"/>
                <w:szCs w:val="16"/>
                <w:lang w:eastAsia="fr-FR"/>
              </w:rPr>
            </w:pPr>
          </w:p>
        </w:tc>
        <w:tc>
          <w:tcPr>
            <w:tcW w:w="102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42957.2111</w:t>
            </w:r>
          </w:p>
        </w:tc>
        <w:tc>
          <w:tcPr>
            <w:tcW w:w="90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c>
          <w:tcPr>
            <w:tcW w:w="880" w:type="dxa"/>
            <w:tcBorders>
              <w:top w:val="nil"/>
              <w:left w:val="nil"/>
              <w:bottom w:val="single" w:sz="8" w:space="0" w:color="auto"/>
              <w:right w:val="nil"/>
            </w:tcBorders>
            <w:shd w:val="clear" w:color="auto" w:fill="auto"/>
            <w:noWrap/>
            <w:vAlign w:val="bottom"/>
            <w:hideMark/>
          </w:tcPr>
          <w:p w:rsidR="003556C6" w:rsidRPr="00D34466" w:rsidRDefault="003556C6" w:rsidP="00341063">
            <w:pPr>
              <w:spacing w:after="0" w:line="240" w:lineRule="auto"/>
              <w:rPr>
                <w:rFonts w:ascii="Times New Roman" w:eastAsia="Times New Roman" w:hAnsi="Times New Roman" w:cs="Times New Roman"/>
                <w:color w:val="000000"/>
                <w:sz w:val="16"/>
                <w:szCs w:val="16"/>
                <w:lang w:eastAsia="fr-FR"/>
              </w:rPr>
            </w:pPr>
            <w:r w:rsidRPr="00D34466">
              <w:rPr>
                <w:rFonts w:ascii="Times New Roman" w:eastAsia="Times New Roman" w:hAnsi="Times New Roman" w:cs="Times New Roman"/>
                <w:color w:val="000000"/>
                <w:sz w:val="16"/>
                <w:szCs w:val="16"/>
                <w:lang w:eastAsia="fr-FR"/>
              </w:rPr>
              <w:t>_</w:t>
            </w:r>
          </w:p>
        </w:tc>
      </w:tr>
    </w:tbl>
    <w:p w:rsidR="003556C6" w:rsidRPr="00985AC3" w:rsidRDefault="003556C6" w:rsidP="003556C6">
      <w:pPr>
        <w:pStyle w:val="Lgende"/>
        <w:spacing w:after="0"/>
        <w:ind w:left="907" w:right="907"/>
        <w:jc w:val="both"/>
        <w:rPr>
          <w:rFonts w:asciiTheme="majorBidi" w:eastAsia="Times New Roman" w:hAnsiTheme="majorBidi" w:cstheme="majorBidi"/>
          <w:color w:val="auto"/>
          <w:sz w:val="16"/>
          <w:szCs w:val="16"/>
          <w:lang w:val="en-US"/>
        </w:rPr>
      </w:pPr>
      <w:r w:rsidRPr="00985AC3">
        <w:rPr>
          <w:rFonts w:asciiTheme="majorBidi" w:hAnsiTheme="majorBidi" w:cstheme="majorBidi"/>
          <w:color w:val="auto"/>
          <w:sz w:val="16"/>
          <w:szCs w:val="16"/>
          <w:lang w:val="en-US"/>
        </w:rPr>
        <w:t>Notes:</w:t>
      </w:r>
      <w:r w:rsidRPr="00B05CC3">
        <w:rPr>
          <w:rFonts w:asciiTheme="majorBidi" w:hAnsiTheme="majorBidi" w:cstheme="majorBidi"/>
          <w:b w:val="0"/>
          <w:color w:val="auto"/>
          <w:sz w:val="16"/>
          <w:szCs w:val="16"/>
          <w:lang w:val="en-US"/>
        </w:rPr>
        <w:t xml:space="preserve">The superscripts *, ** and *** denote the level significance at 1%, 5%, and 10%, respectively.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m:t>
        </m:r>
        <m:d>
          <m:dPr>
            <m:ctrlPr>
              <w:rPr>
                <w:rFonts w:ascii="Cambria Math" w:hAnsi="Cambria Math" w:cstheme="majorBidi"/>
                <w:b w:val="0"/>
                <w:i/>
                <w:color w:val="auto"/>
                <w:sz w:val="16"/>
                <w:szCs w:val="16"/>
                <w:lang w:val="en-US"/>
              </w:rPr>
            </m:ctrlPr>
          </m:dPr>
          <m:e>
            <m:r>
              <m:rPr>
                <m:sty m:val="bi"/>
              </m:rPr>
              <w:rPr>
                <w:rFonts w:ascii="Cambria Math" w:hAnsi="Cambria Math" w:cstheme="majorBidi"/>
                <w:color w:val="auto"/>
                <w:sz w:val="16"/>
                <w:szCs w:val="16"/>
                <w:lang w:val="en-US"/>
              </w:rPr>
              <m:t>1-</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a</m:t>
                </m:r>
              </m:e>
              <m:sub>
                <m:r>
                  <m:rPr>
                    <m:sty m:val="bi"/>
                  </m:rPr>
                  <w:rPr>
                    <w:rFonts w:ascii="Cambria Math" w:hAnsi="Cambria Math" w:cstheme="majorBidi"/>
                    <w:color w:val="auto"/>
                    <w:sz w:val="16"/>
                    <w:szCs w:val="16"/>
                    <w:lang w:val="en-US"/>
                  </w:rPr>
                  <m:t>1</m:t>
                </m:r>
              </m:sub>
            </m:sSub>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b</m:t>
                </m:r>
              </m:e>
              <m:sub>
                <m:r>
                  <m:rPr>
                    <m:sty m:val="bi"/>
                  </m:rPr>
                  <w:rPr>
                    <w:rFonts w:ascii="Cambria Math" w:hAnsi="Cambria Math" w:cstheme="majorBidi"/>
                    <w:color w:val="auto"/>
                    <w:sz w:val="16"/>
                    <w:szCs w:val="16"/>
                    <w:lang w:val="en-US"/>
                  </w:rPr>
                  <m:t>1</m:t>
                </m:r>
              </m:sub>
            </m:sSub>
          </m:e>
        </m:d>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Q</m:t>
            </m:r>
          </m:e>
        </m:acc>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g</m:t>
            </m:r>
          </m:e>
          <m:sub>
            <m:r>
              <m:rPr>
                <m:sty m:val="bi"/>
              </m:rPr>
              <w:rPr>
                <w:rFonts w:ascii="Cambria Math" w:hAnsi="Cambria Math" w:cstheme="majorBidi"/>
                <w:color w:val="auto"/>
                <w:sz w:val="16"/>
                <w:szCs w:val="16"/>
                <w:lang w:val="en-US"/>
              </w:rPr>
              <m:t>1</m:t>
            </m:r>
          </m:sub>
        </m:sSub>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N</m:t>
            </m:r>
          </m:e>
        </m:acc>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a</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Sub>
        <m:sSubSup>
          <m:sSubSupPr>
            <m:ctrlPr>
              <w:rPr>
                <w:rFonts w:ascii="Cambria Math" w:hAnsi="Cambria Math" w:cstheme="majorBidi"/>
                <w:b w:val="0"/>
                <w:i/>
                <w:color w:val="auto"/>
                <w:sz w:val="16"/>
                <w:szCs w:val="16"/>
                <w:lang w:val="en-US"/>
              </w:rPr>
            </m:ctrlPr>
          </m:sSubSup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t-1</m:t>
            </m:r>
          </m:sub>
          <m:sup>
            <m:r>
              <m:rPr>
                <m:sty m:val="bi"/>
              </m:rPr>
              <w:rPr>
                <w:rFonts w:ascii="Cambria Math" w:hAnsi="Cambria Math" w:cstheme="majorBidi"/>
                <w:color w:val="auto"/>
                <w:sz w:val="16"/>
                <w:szCs w:val="16"/>
                <w:lang w:val="en-US"/>
              </w:rPr>
              <m:t>'</m:t>
            </m:r>
          </m:sup>
        </m:sSubSup>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b</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t-1</m:t>
            </m:r>
          </m:sub>
        </m:sSub>
        <m:sSubSup>
          <m:sSubSupPr>
            <m:ctrlPr>
              <w:rPr>
                <w:rFonts w:ascii="Cambria Math" w:hAnsi="Cambria Math" w:cstheme="majorBidi"/>
                <w:b w:val="0"/>
                <w:i/>
                <w:color w:val="auto"/>
                <w:sz w:val="16"/>
                <w:szCs w:val="16"/>
                <w:lang w:val="en-US"/>
              </w:rPr>
            </m:ctrlPr>
          </m:sSubSupPr>
          <m:e>
            <m:r>
              <m:rPr>
                <m:sty m:val="bi"/>
              </m:rPr>
              <w:rPr>
                <w:rFonts w:ascii="Cambria Math" w:hAnsi="Cambria Math" w:cstheme="majorBidi"/>
                <w:color w:val="auto"/>
                <w:sz w:val="16"/>
                <w:szCs w:val="16"/>
                <w:lang w:val="en-US"/>
              </w:rPr>
              <m:t>+</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g</m:t>
                </m:r>
              </m:e>
              <m:sub>
                <m:r>
                  <m:rPr>
                    <m:sty m:val="bi"/>
                  </m:rPr>
                  <w:rPr>
                    <w:rFonts w:ascii="Cambria Math" w:hAnsi="Cambria Math" w:cstheme="majorBidi"/>
                    <w:color w:val="auto"/>
                    <w:sz w:val="16"/>
                    <w:szCs w:val="16"/>
                    <w:lang w:val="en-US"/>
                  </w:rPr>
                  <m:t>1</m:t>
                </m:r>
              </m:sub>
            </m:sSub>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t-1</m:t>
                </m:r>
              </m:sub>
            </m:sSub>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t-1</m:t>
            </m:r>
          </m:sub>
          <m:sup>
            <m:r>
              <m:rPr>
                <m:sty m:val="bi"/>
              </m:rPr>
              <w:rPr>
                <w:rFonts w:ascii="Cambria Math" w:hAnsi="Cambria Math" w:cstheme="majorBidi"/>
                <w:color w:val="auto"/>
                <w:sz w:val="16"/>
                <w:szCs w:val="16"/>
                <w:lang w:val="en-US"/>
              </w:rPr>
              <m:t>'</m:t>
            </m:r>
          </m:sup>
        </m:sSubSup>
      </m:oMath>
      <w:r w:rsidRPr="00B05CC3">
        <w:rPr>
          <w:rFonts w:asciiTheme="majorBidi" w:hAnsiTheme="majorBidi" w:cstheme="majorBidi"/>
          <w:b w:val="0"/>
          <w:color w:val="auto"/>
          <w:sz w:val="16"/>
          <w:szCs w:val="16"/>
          <w:lang w:val="en-US"/>
        </w:rPr>
        <w:t xml:space="preserve"> where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Q</m:t>
            </m:r>
          </m:e>
          <m:sub>
            <m:r>
              <m:rPr>
                <m:sty m:val="bi"/>
              </m:rPr>
              <w:rPr>
                <w:rFonts w:ascii="Cambria Math" w:hAnsi="Cambria Math" w:cstheme="majorBidi"/>
                <w:color w:val="auto"/>
                <w:sz w:val="16"/>
                <w:szCs w:val="16"/>
                <w:lang w:val="en-US"/>
              </w:rPr>
              <m:t>t</m:t>
            </m:r>
          </m:sub>
        </m:sSub>
      </m:oMath>
      <w:r w:rsidRPr="00B05CC3">
        <w:rPr>
          <w:rFonts w:asciiTheme="majorBidi" w:hAnsiTheme="majorBidi" w:cstheme="majorBidi"/>
          <w:b w:val="0"/>
          <w:color w:val="auto"/>
          <w:sz w:val="16"/>
          <w:szCs w:val="16"/>
          <w:lang w:val="en-US"/>
        </w:rPr>
        <w:t xml:space="preserve"> is the conditional covariance matrix between the standardized residuals;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B05CC3">
        <w:rPr>
          <w:rFonts w:asciiTheme="majorBidi" w:hAnsiTheme="majorBidi" w:cstheme="majorBidi"/>
          <w:b w:val="0"/>
          <w:color w:val="auto"/>
          <w:sz w:val="16"/>
          <w:szCs w:val="16"/>
          <w:lang w:val="en-US"/>
        </w:rPr>
        <w:t xml:space="preserve"> is the matrix of the standardized residuals; </w:t>
      </w:r>
      <m:oMath>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Q</m:t>
            </m:r>
          </m:e>
        </m:acc>
      </m:oMath>
      <w:r w:rsidRPr="00B05CC3">
        <w:rPr>
          <w:rFonts w:asciiTheme="majorBidi" w:hAnsiTheme="majorBidi" w:cstheme="majorBidi"/>
          <w:b w:val="0"/>
          <w:color w:val="auto"/>
          <w:sz w:val="16"/>
          <w:szCs w:val="16"/>
          <w:lang w:val="en-US"/>
        </w:rPr>
        <w:t xml:space="preserve"> and </w:t>
      </w:r>
      <m:oMath>
        <m:acc>
          <m:accPr>
            <m:chr m:val="̅"/>
            <m:ctrlPr>
              <w:rPr>
                <w:rFonts w:ascii="Cambria Math" w:hAnsi="Cambria Math" w:cstheme="majorBidi"/>
                <w:b w:val="0"/>
                <w:i/>
                <w:color w:val="auto"/>
                <w:sz w:val="16"/>
                <w:szCs w:val="16"/>
                <w:lang w:val="en-US"/>
              </w:rPr>
            </m:ctrlPr>
          </m:accPr>
          <m:e>
            <m:r>
              <m:rPr>
                <m:sty m:val="bi"/>
              </m:rPr>
              <w:rPr>
                <w:rFonts w:ascii="Cambria Math" w:hAnsi="Cambria Math" w:cstheme="majorBidi"/>
                <w:color w:val="auto"/>
                <w:sz w:val="16"/>
                <w:szCs w:val="16"/>
                <w:lang w:val="en-US"/>
              </w:rPr>
              <m:t>N</m:t>
            </m:r>
          </m:e>
        </m:acc>
      </m:oMath>
      <w:r w:rsidRPr="00B05CC3">
        <w:rPr>
          <w:rFonts w:asciiTheme="majorBidi" w:hAnsiTheme="majorBidi" w:cstheme="majorBidi"/>
          <w:b w:val="0"/>
          <w:color w:val="auto"/>
          <w:sz w:val="16"/>
          <w:szCs w:val="16"/>
          <w:lang w:val="en-US"/>
        </w:rPr>
        <w:t xml:space="preserve"> are the unconditional correlation matrices of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B05CC3">
        <w:rPr>
          <w:rFonts w:asciiTheme="majorBidi" w:hAnsiTheme="majorBidi" w:cstheme="majorBidi"/>
          <w:b w:val="0"/>
          <w:color w:val="auto"/>
          <w:sz w:val="16"/>
          <w:szCs w:val="16"/>
          <w:lang w:val="en-US"/>
        </w:rPr>
        <w:t xml:space="preserve">;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η</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=I[</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
          </m:rPr>
          <w:rPr>
            <w:rFonts w:ascii="Cambria Math" w:hAnsi="Cambria Math" w:cstheme="majorBidi"/>
            <w:color w:val="auto"/>
            <w:sz w:val="16"/>
            <w:szCs w:val="16"/>
            <w:lang w:val="en-US"/>
          </w:rPr>
          <m:t>&lt;</m:t>
        </m:r>
        <m:r>
          <m:rPr>
            <m:sty m:val="bi"/>
          </m:rPr>
          <w:rPr>
            <w:rFonts w:ascii="Cambria Math" w:hAnsi="Cambria Math" w:cstheme="majorBidi"/>
            <w:color w:val="auto"/>
            <w:sz w:val="16"/>
            <w:szCs w:val="16"/>
            <w:lang w:val="en-US"/>
          </w:rPr>
          <m:t>0]∘</m:t>
        </m:r>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oMath>
      <w:r w:rsidRPr="00B05CC3">
        <w:rPr>
          <w:rFonts w:asciiTheme="majorBidi" w:hAnsiTheme="majorBidi" w:cstheme="majorBidi"/>
          <w:b w:val="0"/>
          <w:color w:val="auto"/>
          <w:sz w:val="16"/>
          <w:szCs w:val="16"/>
          <w:lang w:val="en-US"/>
        </w:rPr>
        <w:t xml:space="preserve"> and </w:t>
      </w:r>
      <m:oMath>
        <m:r>
          <m:rPr>
            <m:sty m:val="bi"/>
          </m:rPr>
          <w:rPr>
            <w:rFonts w:ascii="Cambria Math" w:hAnsi="Cambria Math" w:cstheme="majorBidi"/>
            <w:color w:val="auto"/>
            <w:sz w:val="16"/>
            <w:szCs w:val="16"/>
            <w:lang w:val="en-US"/>
          </w:rPr>
          <m:t>I[.</m:t>
        </m:r>
        <m:r>
          <m:rPr>
            <m:sty m:val="b"/>
          </m:rPr>
          <w:rPr>
            <w:rFonts w:ascii="Cambria Math" w:hAnsi="Cambria Math" w:cstheme="majorBidi"/>
            <w:color w:val="auto"/>
            <w:sz w:val="16"/>
            <w:szCs w:val="16"/>
            <w:lang w:val="en-US"/>
          </w:rPr>
          <m:t>]</m:t>
        </m:r>
      </m:oMath>
      <w:r w:rsidRPr="00B05CC3">
        <w:rPr>
          <w:rFonts w:asciiTheme="majorBidi" w:hAnsiTheme="majorBidi" w:cstheme="majorBidi"/>
          <w:b w:val="0"/>
          <w:color w:val="auto"/>
          <w:sz w:val="16"/>
          <w:szCs w:val="16"/>
          <w:lang w:val="en-US"/>
        </w:rPr>
        <w:t xml:space="preserve"> is a </w:t>
      </w:r>
      <m:oMath>
        <m:r>
          <m:rPr>
            <m:sty m:val="bi"/>
          </m:rPr>
          <w:rPr>
            <w:rFonts w:ascii="Cambria Math" w:hAnsi="Cambria Math" w:cstheme="majorBidi"/>
            <w:color w:val="auto"/>
            <w:sz w:val="16"/>
            <w:szCs w:val="16"/>
            <w:lang w:val="en-US"/>
          </w:rPr>
          <m:t>k×1</m:t>
        </m:r>
      </m:oMath>
      <w:r w:rsidRPr="00B05CC3">
        <w:rPr>
          <w:rFonts w:asciiTheme="majorBidi" w:hAnsiTheme="majorBidi" w:cstheme="majorBidi"/>
          <w:b w:val="0"/>
          <w:color w:val="auto"/>
          <w:sz w:val="16"/>
          <w:szCs w:val="16"/>
          <w:lang w:val="en-US"/>
        </w:rPr>
        <w:t xml:space="preserve"> indicator function such as </w:t>
      </w:r>
      <m:oMath>
        <m:r>
          <m:rPr>
            <m:sty m:val="bi"/>
          </m:rPr>
          <w:rPr>
            <w:rFonts w:ascii="Cambria Math" w:hAnsi="Cambria Math" w:cstheme="majorBidi"/>
            <w:color w:val="auto"/>
            <w:sz w:val="16"/>
            <w:szCs w:val="16"/>
            <w:lang w:val="en-US"/>
          </w:rPr>
          <m:t>I=1</m:t>
        </m:r>
      </m:oMath>
      <w:r w:rsidRPr="00B05CC3">
        <w:rPr>
          <w:rFonts w:asciiTheme="majorBidi" w:hAnsiTheme="majorBidi" w:cstheme="majorBidi"/>
          <w:b w:val="0"/>
          <w:color w:val="auto"/>
          <w:sz w:val="16"/>
          <w:szCs w:val="16"/>
          <w:lang w:val="en-US"/>
        </w:rPr>
        <w:t xml:space="preserve"> if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&lt;0</m:t>
        </m:r>
      </m:oMath>
      <w:r w:rsidRPr="00B05CC3">
        <w:rPr>
          <w:rFonts w:asciiTheme="majorBidi" w:hAnsiTheme="majorBidi" w:cstheme="majorBidi"/>
          <w:b w:val="0"/>
          <w:color w:val="auto"/>
          <w:sz w:val="16"/>
          <w:szCs w:val="16"/>
          <w:lang w:val="en-US"/>
        </w:rPr>
        <w:t xml:space="preserve"> and </w:t>
      </w:r>
      <m:oMath>
        <m:r>
          <m:rPr>
            <m:sty m:val="bi"/>
          </m:rPr>
          <w:rPr>
            <w:rFonts w:ascii="Cambria Math" w:hAnsi="Cambria Math" w:cstheme="majorBidi"/>
            <w:color w:val="auto"/>
            <w:sz w:val="16"/>
            <w:szCs w:val="16"/>
            <w:lang w:val="en-US"/>
          </w:rPr>
          <m:t>I=0</m:t>
        </m:r>
      </m:oMath>
      <w:r w:rsidRPr="00B05CC3">
        <w:rPr>
          <w:rFonts w:asciiTheme="majorBidi" w:hAnsiTheme="majorBidi" w:cstheme="majorBidi"/>
          <w:b w:val="0"/>
          <w:color w:val="auto"/>
          <w:sz w:val="16"/>
          <w:szCs w:val="16"/>
          <w:lang w:val="en-US"/>
        </w:rPr>
        <w:t xml:space="preserve"> if  </w:t>
      </w:r>
      <m:oMath>
        <m:sSub>
          <m:sSubPr>
            <m:ctrlPr>
              <w:rPr>
                <w:rFonts w:ascii="Cambria Math" w:hAnsi="Cambria Math" w:cstheme="majorBidi"/>
                <w:b w:val="0"/>
                <w:i/>
                <w:color w:val="auto"/>
                <w:sz w:val="16"/>
                <w:szCs w:val="16"/>
                <w:lang w:val="en-US"/>
              </w:rPr>
            </m:ctrlPr>
          </m:sSubPr>
          <m:e>
            <m:r>
              <m:rPr>
                <m:sty m:val="bi"/>
              </m:rPr>
              <w:rPr>
                <w:rFonts w:ascii="Cambria Math" w:hAnsi="Cambria Math" w:cstheme="majorBidi"/>
                <w:color w:val="auto"/>
                <w:sz w:val="16"/>
                <w:szCs w:val="16"/>
                <w:lang w:val="en-US"/>
              </w:rPr>
              <m:t>Z</m:t>
            </m:r>
          </m:e>
          <m:sub>
            <m:r>
              <m:rPr>
                <m:sty m:val="bi"/>
              </m:rPr>
              <w:rPr>
                <w:rFonts w:ascii="Cambria Math" w:hAnsi="Cambria Math" w:cstheme="majorBidi"/>
                <w:color w:val="auto"/>
                <w:sz w:val="16"/>
                <w:szCs w:val="16"/>
                <w:lang w:val="en-US"/>
              </w:rPr>
              <m:t>t</m:t>
            </m:r>
          </m:sub>
        </m:sSub>
        <m:r>
          <m:rPr>
            <m:sty m:val="bi"/>
          </m:rPr>
          <w:rPr>
            <w:rFonts w:ascii="Cambria Math" w:hAnsi="Cambria Math" w:cstheme="majorBidi"/>
            <w:color w:val="auto"/>
            <w:sz w:val="16"/>
            <w:szCs w:val="16"/>
            <w:lang w:val="en-US"/>
          </w:rPr>
          <m:t>≥0</m:t>
        </m:r>
      </m:oMath>
      <w:r w:rsidRPr="00B05CC3">
        <w:rPr>
          <w:rFonts w:asciiTheme="majorBidi" w:hAnsiTheme="majorBidi" w:cstheme="majorBidi"/>
          <w:b w:val="0"/>
          <w:color w:val="auto"/>
          <w:sz w:val="16"/>
          <w:szCs w:val="16"/>
          <w:lang w:val="en-US"/>
        </w:rPr>
        <w:t xml:space="preserve">, while </w:t>
      </w:r>
      <m:oMath>
        <m:r>
          <m:rPr>
            <m:sty m:val="bi"/>
          </m:rPr>
          <w:rPr>
            <w:rFonts w:ascii="Cambria Math" w:hAnsi="Cambria Math" w:cstheme="majorBidi"/>
            <w:color w:val="auto"/>
            <w:sz w:val="16"/>
            <w:szCs w:val="16"/>
            <w:lang w:val="en-US"/>
          </w:rPr>
          <m:t>"∘"</m:t>
        </m:r>
      </m:oMath>
      <w:r w:rsidRPr="00B05CC3">
        <w:rPr>
          <w:rFonts w:asciiTheme="majorBidi" w:hAnsiTheme="majorBidi" w:cstheme="majorBidi"/>
          <w:b w:val="0"/>
          <w:color w:val="auto"/>
          <w:sz w:val="16"/>
          <w:szCs w:val="16"/>
          <w:lang w:val="en-US"/>
        </w:rPr>
        <w:t xml:space="preserve"> is the Hadamard product.</w:t>
      </w:r>
    </w:p>
    <w:p w:rsidR="003556C6" w:rsidRDefault="003556C6" w:rsidP="00B72F4E">
      <w:pPr>
        <w:spacing w:after="0" w:line="240" w:lineRule="auto"/>
        <w:ind w:firstLine="340"/>
        <w:jc w:val="both"/>
        <w:rPr>
          <w:rFonts w:asciiTheme="majorBidi" w:hAnsiTheme="majorBidi" w:cstheme="majorBidi"/>
          <w:lang w:val="en-US"/>
        </w:rPr>
      </w:pPr>
    </w:p>
    <w:p w:rsidR="003556C6" w:rsidRDefault="00A12113" w:rsidP="00713545">
      <w:pPr>
        <w:autoSpaceDE w:val="0"/>
        <w:autoSpaceDN w:val="0"/>
        <w:adjustRightInd w:val="0"/>
        <w:spacing w:after="0" w:line="240" w:lineRule="auto"/>
        <w:ind w:firstLine="340"/>
        <w:jc w:val="both"/>
        <w:rPr>
          <w:rFonts w:asciiTheme="majorBidi" w:hAnsiTheme="majorBidi" w:cstheme="majorBidi"/>
          <w:lang w:val="en-US"/>
        </w:rPr>
      </w:pPr>
      <w:r w:rsidRPr="00EF54BA">
        <w:rPr>
          <w:rFonts w:asciiTheme="majorBidi" w:hAnsiTheme="majorBidi" w:cstheme="majorBidi"/>
          <w:lang w:val="en-US"/>
        </w:rPr>
        <w:t xml:space="preserve">Fig. </w:t>
      </w:r>
      <w:r w:rsidR="0053668B">
        <w:rPr>
          <w:rFonts w:asciiTheme="majorBidi" w:hAnsiTheme="majorBidi" w:cstheme="majorBidi"/>
          <w:lang w:val="en-US"/>
        </w:rPr>
        <w:t>5</w:t>
      </w:r>
      <w:r w:rsidRPr="00EF54BA">
        <w:rPr>
          <w:rFonts w:asciiTheme="majorBidi" w:hAnsiTheme="majorBidi" w:cstheme="majorBidi"/>
          <w:lang w:val="en-US"/>
        </w:rPr>
        <w:t xml:space="preserve"> plots the estimated DCCs between each pair of the exchange rate and stock prices. First, the time path of the DCC series fluctuates over the whole sample period for all pairs, thereby suggesting that the assumption of constant correlations may not be appropriate. This result is generally in line with empirical studies such as </w:t>
      </w:r>
      <w:r w:rsidRPr="00427688">
        <w:rPr>
          <w:rFonts w:asciiTheme="majorBidi" w:hAnsiTheme="majorBidi" w:cstheme="majorBidi"/>
          <w:color w:val="00B0F0"/>
          <w:lang w:val="en-US"/>
        </w:rPr>
        <w:t>Perez-Rodriguez (2006)</w:t>
      </w:r>
      <w:r w:rsidRPr="00EF54BA">
        <w:rPr>
          <w:rFonts w:asciiTheme="majorBidi" w:hAnsiTheme="majorBidi" w:cstheme="majorBidi"/>
          <w:lang w:val="en-US"/>
        </w:rPr>
        <w:t xml:space="preserve"> and </w:t>
      </w:r>
      <w:r w:rsidRPr="00427688">
        <w:rPr>
          <w:rFonts w:asciiTheme="majorBidi" w:hAnsiTheme="majorBidi" w:cstheme="majorBidi"/>
          <w:color w:val="00B0F0"/>
          <w:lang w:val="en-US"/>
        </w:rPr>
        <w:t>Tamakoshi and Hamori (2014)</w:t>
      </w:r>
      <w:r w:rsidRPr="00EF54BA">
        <w:rPr>
          <w:rFonts w:asciiTheme="majorBidi" w:hAnsiTheme="majorBidi" w:cstheme="majorBidi"/>
          <w:lang w:val="en-US"/>
        </w:rPr>
        <w:t>. Second, the estimated DCCs between all pairs remain at a relati</w:t>
      </w:r>
      <w:r w:rsidR="00EF54BA" w:rsidRPr="00EF54BA">
        <w:rPr>
          <w:rFonts w:asciiTheme="majorBidi" w:hAnsiTheme="majorBidi" w:cstheme="majorBidi"/>
          <w:lang w:val="en-US"/>
        </w:rPr>
        <w:t>vely high level (i.e., above 0.9</w:t>
      </w:r>
      <w:r w:rsidRPr="00EF54BA">
        <w:rPr>
          <w:rFonts w:asciiTheme="majorBidi" w:hAnsiTheme="majorBidi" w:cstheme="majorBidi"/>
          <w:lang w:val="en-US"/>
        </w:rPr>
        <w:t>) before 2007. This</w:t>
      </w:r>
      <w:r w:rsidRPr="00D14407">
        <w:rPr>
          <w:rFonts w:asciiTheme="majorBidi" w:hAnsiTheme="majorBidi" w:cstheme="majorBidi"/>
          <w:lang w:val="en-US"/>
        </w:rPr>
        <w:t xml:space="preserve"> implies the development of a considerable degree of market integration, which has occurred since the inception of the euro. Third, the DCC series bet</w:t>
      </w:r>
      <w:r w:rsidR="00EF54BA">
        <w:rPr>
          <w:rFonts w:asciiTheme="majorBidi" w:hAnsiTheme="majorBidi" w:cstheme="majorBidi"/>
          <w:lang w:val="en-US"/>
        </w:rPr>
        <w:t>ween all pairs of exchange rate and stock prices</w:t>
      </w:r>
      <w:r w:rsidRPr="00D14407">
        <w:rPr>
          <w:rFonts w:asciiTheme="majorBidi" w:hAnsiTheme="majorBidi" w:cstheme="majorBidi"/>
          <w:lang w:val="en-US"/>
        </w:rPr>
        <w:t xml:space="preserve"> show sharp declines during the financial crisis since 2007 and further declines since late 2009 in particular. </w:t>
      </w:r>
    </w:p>
    <w:p w:rsidR="006951B0" w:rsidRDefault="006951B0" w:rsidP="00713545">
      <w:pPr>
        <w:autoSpaceDE w:val="0"/>
        <w:autoSpaceDN w:val="0"/>
        <w:adjustRightInd w:val="0"/>
        <w:spacing w:after="0" w:line="240" w:lineRule="auto"/>
        <w:ind w:firstLine="340"/>
        <w:jc w:val="both"/>
        <w:rPr>
          <w:rFonts w:asciiTheme="majorBidi" w:hAnsiTheme="majorBidi" w:cstheme="majorBidi"/>
          <w:lang w:val="en-US"/>
        </w:rPr>
      </w:pPr>
    </w:p>
    <w:p w:rsidR="006951B0" w:rsidRDefault="006951B0" w:rsidP="00713545">
      <w:pPr>
        <w:autoSpaceDE w:val="0"/>
        <w:autoSpaceDN w:val="0"/>
        <w:adjustRightInd w:val="0"/>
        <w:spacing w:after="0" w:line="240" w:lineRule="auto"/>
        <w:ind w:firstLine="340"/>
        <w:jc w:val="both"/>
        <w:rPr>
          <w:rFonts w:asciiTheme="majorBidi" w:hAnsiTheme="majorBidi" w:cstheme="majorBidi"/>
          <w:lang w:val="en-US"/>
        </w:rPr>
      </w:pPr>
    </w:p>
    <w:p w:rsidR="0062679E" w:rsidRPr="00CA669F" w:rsidRDefault="0062679E" w:rsidP="00713545">
      <w:pPr>
        <w:autoSpaceDE w:val="0"/>
        <w:autoSpaceDN w:val="0"/>
        <w:adjustRightInd w:val="0"/>
        <w:spacing w:after="0" w:line="240" w:lineRule="auto"/>
        <w:ind w:firstLine="340"/>
        <w:jc w:val="both"/>
        <w:rPr>
          <w:rFonts w:asciiTheme="majorBidi" w:hAnsiTheme="majorBidi" w:cstheme="majorBidi"/>
          <w:lang w:val="en-US"/>
        </w:rPr>
      </w:pPr>
    </w:p>
    <w:p w:rsidR="00B72F4E" w:rsidRPr="00B72F4E" w:rsidRDefault="00B72F4E" w:rsidP="00B72F4E">
      <w:pPr>
        <w:autoSpaceDE w:val="0"/>
        <w:autoSpaceDN w:val="0"/>
        <w:adjustRightInd w:val="0"/>
        <w:spacing w:after="0" w:line="240" w:lineRule="auto"/>
        <w:jc w:val="both"/>
        <w:rPr>
          <w:rFonts w:asciiTheme="majorBidi" w:hAnsiTheme="majorBidi" w:cstheme="majorBidi"/>
          <w:color w:val="FF0000"/>
          <w:lang w:val="en-US"/>
        </w:rPr>
      </w:pPr>
    </w:p>
    <w:p w:rsidR="00B72F4E" w:rsidRDefault="0044010C" w:rsidP="00713545">
      <w:pPr>
        <w:spacing w:after="0" w:line="240" w:lineRule="auto"/>
        <w:ind w:left="360"/>
        <w:jc w:val="center"/>
        <w:rPr>
          <w:rFonts w:asciiTheme="majorBidi" w:hAnsiTheme="majorBidi" w:cstheme="majorBidi"/>
          <w:lang w:val="en-US"/>
        </w:rPr>
      </w:pPr>
      <w:r>
        <w:rPr>
          <w:rFonts w:asciiTheme="majorBidi" w:eastAsia="Times New Roman" w:hAnsiTheme="majorBidi" w:cstheme="majorBidi"/>
          <w:lang w:val="en-US"/>
        </w:rPr>
        <w:lastRenderedPageBreak/>
        <w:t>(F</w:t>
      </w:r>
      <w:r w:rsidR="00CA669F" w:rsidRPr="00CA669F">
        <w:rPr>
          <w:rFonts w:asciiTheme="majorBidi" w:eastAsia="Times New Roman" w:hAnsiTheme="majorBidi" w:cstheme="majorBidi"/>
          <w:lang w:val="en-US"/>
        </w:rPr>
        <w:t>) The DCC between the USDEUR and NIKKEI225</w:t>
      </w:r>
    </w:p>
    <w:p w:rsidR="00B72F4E" w:rsidRPr="005E2FFC" w:rsidRDefault="0053400E" w:rsidP="00D91B1A">
      <w:pPr>
        <w:spacing w:after="0" w:line="240" w:lineRule="auto"/>
        <w:ind w:left="360"/>
        <w:jc w:val="center"/>
        <w:rPr>
          <w:rFonts w:asciiTheme="majorBidi" w:hAnsiTheme="majorBidi" w:cstheme="majorBidi"/>
          <w:lang w:val="en-US"/>
        </w:rPr>
      </w:pPr>
      <w:r w:rsidRPr="0053400E">
        <w:rPr>
          <w:rFonts w:asciiTheme="majorBidi" w:hAnsiTheme="majorBidi" w:cstheme="majorBidi"/>
          <w:noProof/>
          <w:lang w:eastAsia="fr-FR"/>
        </w:rPr>
        <w:drawing>
          <wp:inline distT="0" distB="0" distL="0" distR="0">
            <wp:extent cx="5415592" cy="1729927"/>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415660" cy="1729949"/>
                    </a:xfrm>
                    <a:prstGeom prst="rect">
                      <a:avLst/>
                    </a:prstGeom>
                    <a:noFill/>
                    <a:ln w="9525">
                      <a:noFill/>
                      <a:miter lim="800000"/>
                      <a:headEnd/>
                      <a:tailEnd/>
                    </a:ln>
                  </pic:spPr>
                </pic:pic>
              </a:graphicData>
            </a:graphic>
          </wp:inline>
        </w:drawing>
      </w:r>
    </w:p>
    <w:p w:rsidR="00F52A22" w:rsidRDefault="00F52A22" w:rsidP="00F52A22">
      <w:pPr>
        <w:spacing w:after="0" w:line="240" w:lineRule="auto"/>
        <w:jc w:val="center"/>
        <w:rPr>
          <w:rFonts w:asciiTheme="majorBidi" w:hAnsiTheme="majorBidi" w:cstheme="majorBidi"/>
          <w:lang w:val="en-US"/>
        </w:rPr>
      </w:pPr>
    </w:p>
    <w:p w:rsidR="00F52A22" w:rsidRPr="00713545" w:rsidRDefault="0044010C" w:rsidP="00713545">
      <w:pPr>
        <w:spacing w:after="0" w:line="240" w:lineRule="auto"/>
        <w:ind w:firstLine="340"/>
        <w:jc w:val="center"/>
        <w:rPr>
          <w:rFonts w:asciiTheme="majorBidi" w:eastAsia="Times New Roman" w:hAnsiTheme="majorBidi" w:cstheme="majorBidi"/>
          <w:lang w:val="en-US"/>
        </w:rPr>
      </w:pPr>
      <w:r>
        <w:rPr>
          <w:rFonts w:asciiTheme="majorBidi" w:eastAsia="Times New Roman" w:hAnsiTheme="majorBidi" w:cstheme="majorBidi"/>
          <w:lang w:val="en-US"/>
        </w:rPr>
        <w:t>(G</w:t>
      </w:r>
      <w:r w:rsidR="00CA669F" w:rsidRPr="00CA669F">
        <w:rPr>
          <w:rFonts w:asciiTheme="majorBidi" w:eastAsia="Times New Roman" w:hAnsiTheme="majorBidi" w:cstheme="majorBidi"/>
          <w:lang w:val="en-US"/>
        </w:rPr>
        <w:t>) The DCC between the USDEUR and SSE</w:t>
      </w:r>
    </w:p>
    <w:p w:rsidR="00F52A22" w:rsidRDefault="0053400E" w:rsidP="00F52A22">
      <w:pPr>
        <w:spacing w:after="0" w:line="240" w:lineRule="auto"/>
        <w:jc w:val="center"/>
        <w:rPr>
          <w:rFonts w:asciiTheme="majorBidi" w:hAnsiTheme="majorBidi" w:cstheme="majorBidi"/>
          <w:lang w:val="en-US"/>
        </w:rPr>
      </w:pPr>
      <w:r w:rsidRPr="0053400E">
        <w:rPr>
          <w:rFonts w:asciiTheme="majorBidi" w:hAnsiTheme="majorBidi" w:cstheme="majorBidi"/>
          <w:noProof/>
          <w:lang w:eastAsia="fr-FR"/>
        </w:rPr>
        <w:drawing>
          <wp:inline distT="0" distB="0" distL="0" distR="0">
            <wp:extent cx="5760720" cy="1737122"/>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760720" cy="1737122"/>
                    </a:xfrm>
                    <a:prstGeom prst="rect">
                      <a:avLst/>
                    </a:prstGeom>
                    <a:noFill/>
                    <a:ln w="9525">
                      <a:noFill/>
                      <a:miter lim="800000"/>
                      <a:headEnd/>
                      <a:tailEnd/>
                    </a:ln>
                  </pic:spPr>
                </pic:pic>
              </a:graphicData>
            </a:graphic>
          </wp:inline>
        </w:drawing>
      </w:r>
    </w:p>
    <w:p w:rsidR="0018252C" w:rsidRDefault="0018252C" w:rsidP="0053400E">
      <w:pPr>
        <w:spacing w:after="0" w:line="240" w:lineRule="auto"/>
        <w:rPr>
          <w:rFonts w:asciiTheme="majorBidi" w:hAnsiTheme="majorBidi" w:cstheme="majorBidi"/>
          <w:lang w:val="en-US"/>
        </w:rPr>
      </w:pPr>
    </w:p>
    <w:p w:rsidR="00F52A22" w:rsidRPr="00713545" w:rsidRDefault="0044010C" w:rsidP="00713545">
      <w:pPr>
        <w:spacing w:after="0" w:line="240" w:lineRule="auto"/>
        <w:ind w:firstLine="340"/>
        <w:jc w:val="center"/>
        <w:rPr>
          <w:rFonts w:asciiTheme="majorBidi" w:eastAsia="Times New Roman" w:hAnsiTheme="majorBidi" w:cstheme="majorBidi"/>
          <w:lang w:val="en-US"/>
        </w:rPr>
      </w:pPr>
      <w:r>
        <w:rPr>
          <w:rFonts w:asciiTheme="majorBidi" w:eastAsia="Times New Roman" w:hAnsiTheme="majorBidi" w:cstheme="majorBidi"/>
          <w:lang w:val="en-US"/>
        </w:rPr>
        <w:t>(H</w:t>
      </w:r>
      <w:r w:rsidR="00CA669F">
        <w:rPr>
          <w:rFonts w:asciiTheme="majorBidi" w:eastAsia="Times New Roman" w:hAnsiTheme="majorBidi" w:cstheme="majorBidi"/>
          <w:lang w:val="en-US"/>
        </w:rPr>
        <w:t>) The DCC between the USDEUR and MSCI</w:t>
      </w:r>
    </w:p>
    <w:p w:rsidR="003043B9" w:rsidRDefault="0053400E" w:rsidP="00D55D8A">
      <w:pPr>
        <w:spacing w:after="0" w:line="240" w:lineRule="auto"/>
        <w:jc w:val="center"/>
        <w:rPr>
          <w:rFonts w:asciiTheme="majorBidi" w:hAnsiTheme="majorBidi" w:cstheme="majorBidi"/>
          <w:sz w:val="24"/>
          <w:szCs w:val="24"/>
          <w:lang w:val="en-US"/>
        </w:rPr>
      </w:pPr>
      <w:r w:rsidRPr="0053400E">
        <w:rPr>
          <w:rFonts w:asciiTheme="majorBidi" w:hAnsiTheme="majorBidi" w:cstheme="majorBidi"/>
          <w:noProof/>
          <w:sz w:val="24"/>
          <w:szCs w:val="24"/>
          <w:lang w:eastAsia="fr-FR"/>
        </w:rPr>
        <w:drawing>
          <wp:inline distT="0" distB="0" distL="0" distR="0">
            <wp:extent cx="5760720" cy="1737122"/>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760720" cy="1737122"/>
                    </a:xfrm>
                    <a:prstGeom prst="rect">
                      <a:avLst/>
                    </a:prstGeom>
                    <a:noFill/>
                    <a:ln w="9525">
                      <a:noFill/>
                      <a:miter lim="800000"/>
                      <a:headEnd/>
                      <a:tailEnd/>
                    </a:ln>
                  </pic:spPr>
                </pic:pic>
              </a:graphicData>
            </a:graphic>
          </wp:inline>
        </w:drawing>
      </w:r>
    </w:p>
    <w:p w:rsidR="0053400E" w:rsidRPr="006F13AA" w:rsidRDefault="0053668B" w:rsidP="0053400E">
      <w:pPr>
        <w:spacing w:after="0" w:line="240" w:lineRule="auto"/>
        <w:jc w:val="both"/>
        <w:rPr>
          <w:rFonts w:asciiTheme="majorBidi" w:eastAsia="Times New Roman" w:hAnsiTheme="majorBidi" w:cstheme="majorBidi"/>
          <w:sz w:val="20"/>
          <w:szCs w:val="20"/>
          <w:lang w:val="en-US"/>
        </w:rPr>
      </w:pPr>
      <w:r>
        <w:rPr>
          <w:rFonts w:asciiTheme="majorBidi" w:eastAsia="Times New Roman" w:hAnsiTheme="majorBidi" w:cstheme="majorBidi"/>
          <w:b/>
          <w:bCs/>
          <w:sz w:val="20"/>
          <w:szCs w:val="20"/>
          <w:lang w:val="en-US"/>
        </w:rPr>
        <w:t>Fig. 5</w:t>
      </w:r>
      <w:r w:rsidR="0053400E" w:rsidRPr="006F13AA">
        <w:rPr>
          <w:rFonts w:asciiTheme="majorBidi" w:eastAsia="Times New Roman" w:hAnsiTheme="majorBidi" w:cstheme="majorBidi"/>
          <w:b/>
          <w:bCs/>
          <w:sz w:val="20"/>
          <w:szCs w:val="20"/>
          <w:lang w:val="en-US"/>
        </w:rPr>
        <w:t>.</w:t>
      </w:r>
      <w:r w:rsidR="0053400E" w:rsidRPr="006F13AA">
        <w:rPr>
          <w:rFonts w:asciiTheme="majorBidi" w:eastAsia="Times New Roman" w:hAnsiTheme="majorBidi" w:cstheme="majorBidi"/>
          <w:sz w:val="20"/>
          <w:szCs w:val="20"/>
          <w:lang w:val="en-US"/>
        </w:rPr>
        <w:t>Dynamic conditional correlatio</w:t>
      </w:r>
      <w:r w:rsidR="00D55D8A">
        <w:rPr>
          <w:rFonts w:asciiTheme="majorBidi" w:eastAsia="Times New Roman" w:hAnsiTheme="majorBidi" w:cstheme="majorBidi"/>
          <w:sz w:val="20"/>
          <w:szCs w:val="20"/>
          <w:lang w:val="en-US"/>
        </w:rPr>
        <w:t>ns between each foreign exchange rate and stock prices</w:t>
      </w:r>
      <w:r w:rsidR="0053400E" w:rsidRPr="006F13AA">
        <w:rPr>
          <w:rFonts w:asciiTheme="majorBidi" w:eastAsia="Times New Roman" w:hAnsiTheme="majorBidi" w:cstheme="majorBidi"/>
          <w:sz w:val="20"/>
          <w:szCs w:val="20"/>
          <w:lang w:val="en-US"/>
        </w:rPr>
        <w:t xml:space="preserve"> p</w:t>
      </w:r>
      <w:r w:rsidR="00D55D8A">
        <w:rPr>
          <w:rFonts w:asciiTheme="majorBidi" w:eastAsia="Times New Roman" w:hAnsiTheme="majorBidi" w:cstheme="majorBidi"/>
          <w:sz w:val="20"/>
          <w:szCs w:val="20"/>
          <w:lang w:val="en-US"/>
        </w:rPr>
        <w:t>air. (a) The DCC between the USDEUR  and NIKKEI225. (b) The DCC between the USDEUR and SSE. (c) The DCC between the USDEUR and MSCI</w:t>
      </w:r>
      <w:r w:rsidR="0053400E" w:rsidRPr="006F13AA">
        <w:rPr>
          <w:rFonts w:asciiTheme="majorBidi" w:eastAsia="Times New Roman" w:hAnsiTheme="majorBidi" w:cstheme="majorBidi"/>
          <w:sz w:val="20"/>
          <w:szCs w:val="20"/>
          <w:lang w:val="en-US"/>
        </w:rPr>
        <w:t>.</w:t>
      </w:r>
    </w:p>
    <w:p w:rsidR="003043B9" w:rsidRDefault="003043B9" w:rsidP="00F52A22">
      <w:pPr>
        <w:spacing w:after="0" w:line="240" w:lineRule="auto"/>
        <w:jc w:val="center"/>
        <w:rPr>
          <w:rFonts w:asciiTheme="majorBidi" w:hAnsiTheme="majorBidi" w:cstheme="majorBidi"/>
          <w:sz w:val="24"/>
          <w:szCs w:val="24"/>
          <w:lang w:val="en-US"/>
        </w:rPr>
      </w:pPr>
    </w:p>
    <w:p w:rsidR="00D91B1A" w:rsidRPr="0062679E" w:rsidRDefault="00D91B1A" w:rsidP="0062679E">
      <w:pPr>
        <w:pStyle w:val="Paragraphedeliste"/>
        <w:numPr>
          <w:ilvl w:val="0"/>
          <w:numId w:val="1"/>
        </w:numPr>
        <w:spacing w:after="0" w:line="240" w:lineRule="auto"/>
        <w:jc w:val="both"/>
        <w:rPr>
          <w:rFonts w:asciiTheme="majorBidi" w:hAnsiTheme="majorBidi" w:cstheme="majorBidi"/>
          <w:b/>
          <w:bCs/>
          <w:sz w:val="24"/>
          <w:szCs w:val="24"/>
          <w:lang w:val="en-US"/>
        </w:rPr>
      </w:pPr>
      <w:r w:rsidRPr="0062679E">
        <w:rPr>
          <w:rFonts w:asciiTheme="majorBidi" w:hAnsiTheme="majorBidi" w:cstheme="majorBidi"/>
          <w:b/>
          <w:bCs/>
          <w:sz w:val="24"/>
          <w:szCs w:val="24"/>
          <w:lang w:val="en-US"/>
        </w:rPr>
        <w:t xml:space="preserve">The DCC behavior during different phases of the global financial and European sovereign debt crises </w:t>
      </w:r>
    </w:p>
    <w:p w:rsidR="0053400E" w:rsidRDefault="0053400E" w:rsidP="0053400E">
      <w:pPr>
        <w:spacing w:after="0" w:line="240" w:lineRule="auto"/>
        <w:rPr>
          <w:rFonts w:asciiTheme="majorBidi" w:hAnsiTheme="majorBidi" w:cstheme="majorBidi"/>
          <w:sz w:val="24"/>
          <w:szCs w:val="24"/>
          <w:lang w:val="en-US"/>
        </w:rPr>
      </w:pPr>
    </w:p>
    <w:p w:rsidR="003979CE" w:rsidRPr="008D02F7" w:rsidRDefault="003979CE" w:rsidP="003979CE">
      <w:pPr>
        <w:autoSpaceDE w:val="0"/>
        <w:autoSpaceDN w:val="0"/>
        <w:adjustRightInd w:val="0"/>
        <w:spacing w:after="0" w:line="240" w:lineRule="auto"/>
        <w:ind w:firstLine="357"/>
        <w:jc w:val="both"/>
        <w:rPr>
          <w:rFonts w:asciiTheme="majorBidi" w:hAnsiTheme="majorBidi" w:cstheme="majorBidi"/>
          <w:lang w:val="en-US"/>
        </w:rPr>
      </w:pPr>
      <w:r w:rsidRPr="008D02F7">
        <w:rPr>
          <w:rFonts w:asciiTheme="majorBidi" w:hAnsiTheme="majorBidi" w:cstheme="majorBidi"/>
          <w:lang w:val="en-US"/>
        </w:rPr>
        <w:t>In what follows, we examine the DCCs shifts behavior during different phases of the global financial and European sovereign debt crises. In order to identify which of the sub-periods exhibit significant linkag</w:t>
      </w:r>
      <w:r w:rsidR="00B6760B">
        <w:rPr>
          <w:rFonts w:asciiTheme="majorBidi" w:hAnsiTheme="majorBidi" w:cstheme="majorBidi"/>
          <w:lang w:val="en-US"/>
        </w:rPr>
        <w:t>es among the selected stock prices and foreign exchange rate</w:t>
      </w:r>
      <w:r w:rsidRPr="008D02F7">
        <w:rPr>
          <w:rFonts w:asciiTheme="majorBidi" w:hAnsiTheme="majorBidi" w:cstheme="majorBidi"/>
          <w:lang w:val="en-US"/>
        </w:rPr>
        <w:t>, we create numerous dummy variables, which are equal to unity for the corresponding phase of the crisis and zero otherwise. In order to describe the behavior of the DCCs over time, the dummies are created to the following mean equation:</w:t>
      </w:r>
    </w:p>
    <w:p w:rsidR="003979CE" w:rsidRPr="008D02F7" w:rsidRDefault="003979CE" w:rsidP="003979CE">
      <w:pPr>
        <w:autoSpaceDE w:val="0"/>
        <w:autoSpaceDN w:val="0"/>
        <w:adjustRightInd w:val="0"/>
        <w:spacing w:after="0" w:line="240" w:lineRule="auto"/>
        <w:ind w:firstLine="357"/>
        <w:jc w:val="both"/>
        <w:rPr>
          <w:rFonts w:asciiTheme="majorBidi" w:hAnsiTheme="majorBidi" w:cstheme="majorBidi"/>
          <w:lang w:val="en-US"/>
        </w:rPr>
      </w:pPr>
    </w:p>
    <w:p w:rsidR="003979CE" w:rsidRPr="008D02F7" w:rsidRDefault="00011760" w:rsidP="003979CE">
      <w:pPr>
        <w:autoSpaceDE w:val="0"/>
        <w:autoSpaceDN w:val="0"/>
        <w:adjustRightInd w:val="0"/>
        <w:spacing w:after="0" w:line="240" w:lineRule="auto"/>
        <w:ind w:firstLine="357"/>
        <w:jc w:val="both"/>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ω</m:t>
            </m:r>
          </m:e>
          <m:sub>
            <m:r>
              <w:rPr>
                <w:rFonts w:ascii="Cambria Math" w:hAnsi="Cambria Math" w:cstheme="majorBidi"/>
                <w:lang w:val="en-US"/>
              </w:rPr>
              <m:t>ij</m:t>
            </m:r>
          </m:sub>
        </m:sSub>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p=1</m:t>
            </m:r>
          </m:sub>
          <m:sup>
            <m:r>
              <w:rPr>
                <w:rFonts w:ascii="Cambria Math" w:hAnsi="Cambria Math" w:cstheme="majorBidi"/>
                <w:lang w:val="en-US"/>
              </w:rPr>
              <m:t>P</m:t>
            </m:r>
          </m:sup>
          <m:e>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p</m:t>
                </m:r>
              </m:sub>
            </m:sSub>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ij,t-p</m:t>
                </m:r>
              </m:sub>
            </m:sSub>
          </m:e>
        </m:nary>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k=1</m:t>
            </m:r>
          </m:sub>
          <m:sup>
            <m:r>
              <w:rPr>
                <w:rFonts w:ascii="Cambria Math" w:hAnsi="Cambria Math" w:cstheme="majorBidi"/>
                <w:lang w:val="en-US"/>
              </w:rPr>
              <m:t>λ</m:t>
            </m:r>
          </m:sup>
          <m:e>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k</m:t>
                </m:r>
              </m:sub>
            </m:sSub>
            <m:sSub>
              <m:sSubPr>
                <m:ctrlPr>
                  <w:rPr>
                    <w:rFonts w:ascii="Cambria Math" w:hAnsi="Cambria Math" w:cstheme="majorBidi"/>
                    <w:i/>
                    <w:lang w:val="en-US"/>
                  </w:rPr>
                </m:ctrlPr>
              </m:sSubPr>
              <m:e>
                <m:r>
                  <w:rPr>
                    <w:rFonts w:ascii="Cambria Math" w:hAnsi="Cambria Math" w:cstheme="majorBidi"/>
                    <w:lang w:val="en-US"/>
                  </w:rPr>
                  <m:t>dummy</m:t>
                </m:r>
              </m:e>
              <m:sub>
                <m:r>
                  <w:rPr>
                    <w:rFonts w:ascii="Cambria Math" w:hAnsi="Cambria Math" w:cstheme="majorBidi"/>
                    <w:lang w:val="en-US"/>
                  </w:rPr>
                  <m:t>k,t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ij,t</m:t>
                </m:r>
              </m:sub>
            </m:sSub>
          </m:e>
        </m:nary>
      </m:oMath>
      <w:r w:rsidR="00F4779A">
        <w:rPr>
          <w:rFonts w:asciiTheme="majorBidi" w:eastAsiaTheme="minorEastAsia" w:hAnsiTheme="majorBidi" w:cstheme="majorBidi"/>
          <w:lang w:val="en-US"/>
        </w:rPr>
        <w:t xml:space="preserve">                             </w:t>
      </w:r>
      <w:r w:rsidR="0062679E">
        <w:rPr>
          <w:rFonts w:asciiTheme="majorBidi" w:eastAsiaTheme="minorEastAsia" w:hAnsiTheme="majorBidi" w:cstheme="majorBidi"/>
          <w:lang w:val="en-US"/>
        </w:rPr>
        <w:t xml:space="preserve">                            </w:t>
      </w:r>
      <w:r w:rsidR="00F4779A">
        <w:rPr>
          <w:rFonts w:asciiTheme="majorBidi" w:eastAsiaTheme="minorEastAsia" w:hAnsiTheme="majorBidi" w:cstheme="majorBidi"/>
          <w:lang w:val="en-US"/>
        </w:rPr>
        <w:t xml:space="preserve"> (2</w:t>
      </w:r>
      <w:r w:rsidR="003979CE" w:rsidRPr="008D02F7">
        <w:rPr>
          <w:rFonts w:asciiTheme="majorBidi" w:eastAsiaTheme="minorEastAsia" w:hAnsiTheme="majorBidi" w:cstheme="majorBidi"/>
          <w:lang w:val="en-US"/>
        </w:rPr>
        <w:t>3)</w:t>
      </w:r>
    </w:p>
    <w:p w:rsidR="003979CE" w:rsidRPr="008D02F7" w:rsidRDefault="003979CE" w:rsidP="003979CE">
      <w:pPr>
        <w:autoSpaceDE w:val="0"/>
        <w:autoSpaceDN w:val="0"/>
        <w:adjustRightInd w:val="0"/>
        <w:spacing w:after="0" w:line="240" w:lineRule="auto"/>
        <w:ind w:firstLine="357"/>
        <w:jc w:val="both"/>
        <w:rPr>
          <w:rFonts w:asciiTheme="majorBidi" w:eastAsiaTheme="minorEastAsia" w:hAnsiTheme="majorBidi" w:cstheme="majorBidi"/>
          <w:lang w:val="en-US"/>
        </w:rPr>
      </w:pPr>
    </w:p>
    <w:p w:rsidR="003979CE" w:rsidRPr="008D02F7" w:rsidRDefault="003979CE" w:rsidP="008D02F7">
      <w:pPr>
        <w:autoSpaceDE w:val="0"/>
        <w:autoSpaceDN w:val="0"/>
        <w:adjustRightInd w:val="0"/>
        <w:spacing w:after="0" w:line="240" w:lineRule="auto"/>
        <w:jc w:val="both"/>
        <w:rPr>
          <w:rFonts w:asciiTheme="majorBidi" w:hAnsiTheme="majorBidi" w:cstheme="majorBidi"/>
          <w:lang w:val="en-US"/>
        </w:rPr>
      </w:pPr>
      <w:r w:rsidRPr="008D02F7">
        <w:rPr>
          <w:rFonts w:asciiTheme="majorBidi" w:hAnsiTheme="majorBidi" w:cstheme="majorBidi"/>
          <w:lang w:val="en-US"/>
        </w:rPr>
        <w:lastRenderedPageBreak/>
        <w:t xml:space="preserve">where </w:t>
      </w:r>
      <m:oMath>
        <m:sSub>
          <m:sSubPr>
            <m:ctrlPr>
              <w:rPr>
                <w:rFonts w:ascii="Cambria Math" w:hAnsi="Cambria Math" w:cstheme="majorBidi"/>
                <w:lang w:val="en-US"/>
              </w:rPr>
            </m:ctrlPr>
          </m:sSubPr>
          <m:e>
            <m:r>
              <m:rPr>
                <m:sty m:val="p"/>
              </m:rPr>
              <w:rPr>
                <w:rFonts w:ascii="Cambria Math" w:hAnsi="Cambria Math" w:cstheme="majorBidi"/>
                <w:lang w:val="en-US"/>
              </w:rPr>
              <m:t>ω</m:t>
            </m:r>
          </m:e>
          <m:sub>
            <m:r>
              <m:rPr>
                <m:sty m:val="p"/>
              </m:rPr>
              <w:rPr>
                <w:rFonts w:ascii="Cambria Math" w:hAnsi="Cambria Math" w:cstheme="majorBidi"/>
                <w:lang w:val="en-US"/>
              </w:rPr>
              <m:t>ij</m:t>
            </m:r>
          </m:sub>
        </m:sSub>
      </m:oMath>
      <w:r w:rsidRPr="008D02F7">
        <w:rPr>
          <w:rFonts w:asciiTheme="majorBidi" w:hAnsiTheme="majorBidi" w:cstheme="majorBidi"/>
          <w:lang w:val="en-US"/>
        </w:rPr>
        <w:t xml:space="preserve"> is a constant term, </w:t>
      </w:r>
      <m:oMath>
        <m:sSub>
          <m:sSubPr>
            <m:ctrlPr>
              <w:rPr>
                <w:rFonts w:ascii="Cambria Math" w:hAnsi="Cambria Math" w:cstheme="majorBid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ij,t</m:t>
            </m:r>
          </m:sub>
        </m:sSub>
      </m:oMath>
      <w:r w:rsidRPr="008D02F7">
        <w:rPr>
          <w:rFonts w:asciiTheme="majorBidi" w:hAnsiTheme="majorBidi" w:cstheme="majorBidi"/>
          <w:lang w:val="en-US"/>
        </w:rPr>
        <w:t xml:space="preserve"> is the pair-wise conditional correlation of the </w:t>
      </w:r>
      <w:r w:rsidR="008D02F7" w:rsidRPr="008D02F7">
        <w:rPr>
          <w:rFonts w:asciiTheme="majorBidi" w:hAnsiTheme="majorBidi" w:cstheme="majorBidi"/>
          <w:lang w:val="en-US"/>
        </w:rPr>
        <w:t>exchange rate and three stock prices</w:t>
      </w:r>
      <w:r w:rsidRPr="008D02F7">
        <w:rPr>
          <w:rFonts w:asciiTheme="majorBidi" w:hAnsiTheme="majorBidi" w:cstheme="majorBidi"/>
          <w:lang w:val="en-US"/>
        </w:rPr>
        <w:t xml:space="preserve">, such that </w:t>
      </w:r>
      <m:oMath>
        <m:r>
          <m:rPr>
            <m:sty m:val="p"/>
          </m:rPr>
          <w:rPr>
            <w:rFonts w:ascii="Cambria Math" w:hAnsi="Cambria Math" w:cstheme="majorBidi"/>
            <w:lang w:val="en-US"/>
          </w:rPr>
          <m:t>i,j=</m:t>
        </m:r>
      </m:oMath>
      <w:r w:rsidR="008D02F7" w:rsidRPr="008D02F7">
        <w:rPr>
          <w:rFonts w:asciiTheme="majorBidi" w:hAnsiTheme="majorBidi" w:cstheme="majorBidi"/>
          <w:lang w:val="en-US"/>
        </w:rPr>
        <w:t>USDBRL, NIKKEI225, SSE, and MSCI</w:t>
      </w:r>
      <m:oMath>
        <m:r>
          <m:rPr>
            <m:sty m:val="p"/>
          </m:rPr>
          <w:rPr>
            <w:rFonts w:ascii="Cambria Math" w:hAnsi="Cambria Math" w:cstheme="majorBidi"/>
            <w:lang w:val="en-US"/>
          </w:rPr>
          <m:t>(i≠j)</m:t>
        </m:r>
      </m:oMath>
      <w:r w:rsidRPr="008D02F7">
        <w:rPr>
          <w:rFonts w:asciiTheme="majorBidi" w:hAnsiTheme="majorBidi" w:cstheme="majorBidi"/>
          <w:lang w:val="en-US"/>
        </w:rPr>
        <w:t xml:space="preserve">, and </w:t>
      </w:r>
      <m:oMath>
        <m:r>
          <m:rPr>
            <m:sty m:val="p"/>
          </m:rPr>
          <w:rPr>
            <w:rFonts w:ascii="Cambria Math" w:hAnsi="Cambria Math" w:cstheme="majorBidi"/>
            <w:lang w:val="en-US"/>
          </w:rPr>
          <m:t>k=1,…,λ</m:t>
        </m:r>
      </m:oMath>
      <w:r w:rsidRPr="008D02F7">
        <w:rPr>
          <w:rFonts w:asciiTheme="majorBidi" w:hAnsiTheme="majorBidi" w:cstheme="majorBidi"/>
          <w:lang w:val="en-US"/>
        </w:rPr>
        <w:t xml:space="preserve"> are the number of dummy variables corresponding to the different phases of the two crises, which are identified based on the economic approach. Optimal lag length </w:t>
      </w:r>
      <m:oMath>
        <m:r>
          <m:rPr>
            <m:sty m:val="p"/>
          </m:rPr>
          <w:rPr>
            <w:rFonts w:ascii="Cambria Math" w:hAnsi="Cambria Math" w:cstheme="majorBidi"/>
            <w:lang w:val="en-US"/>
          </w:rPr>
          <m:t>(p)</m:t>
        </m:r>
      </m:oMath>
      <w:r w:rsidRPr="008D02F7">
        <w:rPr>
          <w:rFonts w:asciiTheme="majorBidi" w:hAnsiTheme="majorBidi" w:cstheme="majorBidi"/>
          <w:lang w:val="en-US"/>
        </w:rPr>
        <w:t xml:space="preserve"> is selected by Akaike (AIC) and Sc</w:t>
      </w:r>
      <w:r w:rsidR="008D02F7">
        <w:rPr>
          <w:rFonts w:asciiTheme="majorBidi" w:hAnsiTheme="majorBidi" w:cstheme="majorBidi"/>
          <w:lang w:val="en-US"/>
        </w:rPr>
        <w:t>hwarz (SIC) information criterion</w:t>
      </w:r>
      <w:r w:rsidRPr="008D02F7">
        <w:rPr>
          <w:rFonts w:asciiTheme="majorBidi" w:hAnsiTheme="majorBidi" w:cstheme="majorBidi"/>
          <w:lang w:val="en-US"/>
        </w:rPr>
        <w:t xml:space="preserve">. Based on the economic approach, </w:t>
      </w:r>
      <m:oMath>
        <m:sSub>
          <m:sSubPr>
            <m:ctrlPr>
              <w:rPr>
                <w:rFonts w:ascii="Cambria Math" w:hAnsi="Cambria Math" w:cstheme="majorBidi"/>
                <w:lang w:val="en-US"/>
              </w:rPr>
            </m:ctrlPr>
          </m:sSubPr>
          <m:e>
            <m:r>
              <m:rPr>
                <m:sty m:val="p"/>
              </m:rPr>
              <w:rPr>
                <w:rFonts w:ascii="Cambria Math" w:hAnsi="Cambria Math" w:cstheme="majorBidi"/>
                <w:lang w:val="en-US"/>
              </w:rPr>
              <m:t>dummy</m:t>
            </m:r>
          </m:e>
          <m:sub>
            <m:r>
              <m:rPr>
                <m:sty m:val="p"/>
              </m:rPr>
              <w:rPr>
                <w:rFonts w:ascii="Cambria Math" w:hAnsi="Cambria Math" w:cstheme="majorBidi"/>
                <w:lang w:val="en-US"/>
              </w:rPr>
              <m:t>k,t</m:t>
            </m:r>
          </m:sub>
        </m:sSub>
        <m:r>
          <m:rPr>
            <m:sty m:val="p"/>
          </m:rPr>
          <w:rPr>
            <w:rFonts w:ascii="Cambria Math" w:hAnsi="Cambria Math" w:cstheme="majorBidi"/>
            <w:lang w:val="en-US"/>
          </w:rPr>
          <m:t xml:space="preserve"> (k=1,2,…,6)</m:t>
        </m:r>
      </m:oMath>
      <w:r w:rsidRPr="008D02F7">
        <w:rPr>
          <w:rFonts w:asciiTheme="majorBidi" w:hAnsiTheme="majorBidi" w:cstheme="majorBidi"/>
          <w:lang w:val="en-US"/>
        </w:rPr>
        <w:t xml:space="preserve"> corresponds to the four phases of the global financial crisis and the two phases of the European sovereign debt crisis.</w:t>
      </w:r>
    </w:p>
    <w:p w:rsidR="003979CE" w:rsidRPr="00F4779A" w:rsidRDefault="003979CE" w:rsidP="003979CE">
      <w:pPr>
        <w:autoSpaceDE w:val="0"/>
        <w:autoSpaceDN w:val="0"/>
        <w:adjustRightInd w:val="0"/>
        <w:spacing w:after="0" w:line="240" w:lineRule="auto"/>
        <w:ind w:firstLine="357"/>
        <w:jc w:val="both"/>
        <w:rPr>
          <w:rFonts w:asciiTheme="majorBidi" w:hAnsiTheme="majorBidi" w:cstheme="majorBidi"/>
          <w:lang w:val="en-US"/>
        </w:rPr>
      </w:pPr>
      <w:r w:rsidRPr="00F4779A">
        <w:rPr>
          <w:rFonts w:asciiTheme="majorBidi" w:eastAsiaTheme="minorEastAsia" w:hAnsiTheme="majorBidi" w:cstheme="majorBidi"/>
          <w:lang w:val="en-US"/>
        </w:rPr>
        <w:t xml:space="preserve">Next, we examine whether the conditional variance equation of the DCCs series exhibit symmetries or asymmetries behavior following </w:t>
      </w:r>
      <w:r w:rsidRPr="00427688">
        <w:rPr>
          <w:rFonts w:asciiTheme="majorBidi" w:eastAsiaTheme="minorEastAsia" w:hAnsiTheme="majorBidi" w:cstheme="majorBidi"/>
          <w:color w:val="00B0F0"/>
          <w:lang w:val="en-US"/>
        </w:rPr>
        <w:t>Engle and Ng (1993)</w:t>
      </w:r>
      <w:r w:rsidRPr="00F4779A">
        <w:rPr>
          <w:rFonts w:asciiTheme="majorBidi" w:eastAsiaTheme="minorEastAsia" w:hAnsiTheme="majorBidi" w:cstheme="majorBidi"/>
          <w:lang w:val="en-US"/>
        </w:rPr>
        <w:t xml:space="preserve">. </w:t>
      </w:r>
      <w:r w:rsidRPr="00F4779A">
        <w:rPr>
          <w:rFonts w:asciiTheme="majorBidi" w:hAnsiTheme="majorBidi" w:cstheme="majorBidi"/>
          <w:lang w:val="en-US"/>
        </w:rPr>
        <w:t>These authors propose a set of tests for asymmetry in volatility, known as sign and size bias tests. The Engle and Ng tests should thus be used to determine whether an asymmetric model is required for a given series, or whether the symmetric GARCH model can be deemed adequate. In practice, the Engle-Ng tests are usually applied to the residuals of a GARCH fit to the returns data.</w:t>
      </w:r>
    </w:p>
    <w:p w:rsidR="003979CE" w:rsidRPr="00F4779A" w:rsidRDefault="003979CE" w:rsidP="003979CE">
      <w:pPr>
        <w:autoSpaceDE w:val="0"/>
        <w:autoSpaceDN w:val="0"/>
        <w:adjustRightInd w:val="0"/>
        <w:spacing w:after="0" w:line="240" w:lineRule="auto"/>
        <w:ind w:firstLine="357"/>
        <w:jc w:val="both"/>
        <w:rPr>
          <w:rFonts w:asciiTheme="majorBidi" w:hAnsiTheme="majorBidi" w:cstheme="majorBidi"/>
          <w:lang w:val="en-US"/>
        </w:rPr>
      </w:pPr>
    </w:p>
    <w:p w:rsidR="003979CE" w:rsidRPr="00F4779A" w:rsidRDefault="003979CE" w:rsidP="003979CE">
      <w:pPr>
        <w:spacing w:after="0" w:line="240" w:lineRule="auto"/>
        <w:jc w:val="both"/>
        <w:rPr>
          <w:rFonts w:asciiTheme="majorBidi" w:eastAsiaTheme="minorEastAsia" w:hAnsiTheme="majorBidi" w:cstheme="majorBidi"/>
          <w:lang w:val="en-US"/>
        </w:rPr>
      </w:pPr>
      <w:r w:rsidRPr="00F4779A">
        <w:rPr>
          <w:rFonts w:asciiTheme="majorBidi" w:hAnsiTheme="majorBidi" w:cstheme="majorBidi"/>
          <w:lang w:val="en-US"/>
        </w:rPr>
        <w:t xml:space="preserve">Define </w:t>
      </w: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oMath>
      <w:r w:rsidRPr="00F4779A">
        <w:rPr>
          <w:rFonts w:asciiTheme="majorBidi" w:eastAsiaTheme="minorEastAsia" w:hAnsiTheme="majorBidi" w:cstheme="majorBidi"/>
          <w:lang w:val="en-US"/>
        </w:rPr>
        <w:t xml:space="preserve"> as an indicator dummy variable such as:</w:t>
      </w:r>
    </w:p>
    <w:p w:rsidR="003979CE" w:rsidRPr="00F4779A" w:rsidRDefault="003979CE" w:rsidP="003979CE">
      <w:pPr>
        <w:spacing w:after="0" w:line="240" w:lineRule="auto"/>
        <w:jc w:val="both"/>
        <w:rPr>
          <w:rFonts w:asciiTheme="majorBidi" w:hAnsiTheme="majorBidi" w:cstheme="majorBidi"/>
          <w:lang w:val="en-US"/>
        </w:rPr>
      </w:pPr>
    </w:p>
    <w:p w:rsidR="003979CE" w:rsidRPr="00F4779A" w:rsidRDefault="00011760" w:rsidP="003979CE">
      <w:pPr>
        <w:spacing w:after="0" w:line="240" w:lineRule="auto"/>
        <w:ind w:firstLine="708"/>
        <w:jc w:val="both"/>
        <w:rPr>
          <w:rFonts w:asciiTheme="majorBidi" w:eastAsiaTheme="minorEastAsia" w:hAnsiTheme="majorBidi" w:cstheme="majorBidi"/>
          <w:lang w:val="en-US"/>
        </w:rPr>
      </w:pP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m:t>
        </m:r>
        <m:d>
          <m:dPr>
            <m:begChr m:val="{"/>
            <m:endChr m:val=""/>
            <m:ctrlPr>
              <w:rPr>
                <w:rFonts w:ascii="Cambria Math" w:hAnsi="Cambria Math" w:cstheme="majorBidi"/>
                <w:i/>
                <w:lang w:val="en-US"/>
              </w:rPr>
            </m:ctrlPr>
          </m:dPr>
          <m:e>
            <m:eqArr>
              <m:eqArrPr>
                <m:ctrlPr>
                  <w:rPr>
                    <w:rFonts w:ascii="Cambria Math" w:hAnsi="Cambria Math" w:cstheme="majorBidi"/>
                    <w:i/>
                    <w:lang w:val="en-US"/>
                  </w:rPr>
                </m:ctrlPr>
              </m:eqArrPr>
              <m:e>
                <m:r>
                  <w:rPr>
                    <w:rFonts w:ascii="Cambria Math" w:hAnsi="Cambria Math" w:cstheme="majorBidi"/>
                    <w:lang w:val="en-US"/>
                  </w:rPr>
                  <m:t xml:space="preserve">1  if  </m:t>
                </m:r>
                <m:sSub>
                  <m:sSubPr>
                    <m:ctrlPr>
                      <w:rPr>
                        <w:rFonts w:ascii="Cambria Math" w:hAnsi="Cambria Math" w:cstheme="majorBidi"/>
                        <w:i/>
                        <w:lang w:val="en-US"/>
                      </w:rPr>
                    </m:ctrlPr>
                  </m:sSubPr>
                  <m:e>
                    <m:acc>
                      <m:accPr>
                        <m:ctrlPr>
                          <w:rPr>
                            <w:rFonts w:ascii="Cambria Math" w:hAnsi="Cambria Math" w:cstheme="majorBidi"/>
                            <w:i/>
                            <w:lang w:val="en-US"/>
                          </w:rPr>
                        </m:ctrlPr>
                      </m:accPr>
                      <m:e>
                        <m:r>
                          <w:rPr>
                            <w:rFonts w:ascii="Cambria Math" w:hAnsi="Cambria Math" w:cstheme="majorBidi"/>
                            <w:lang w:val="en-US"/>
                          </w:rPr>
                          <m:t>z</m:t>
                        </m:r>
                      </m:e>
                    </m:acc>
                  </m:e>
                  <m:sub>
                    <m:r>
                      <w:rPr>
                        <w:rFonts w:ascii="Cambria Math" w:hAnsi="Cambria Math" w:cstheme="majorBidi"/>
                        <w:lang w:val="en-US"/>
                      </w:rPr>
                      <m:t>t-1</m:t>
                    </m:r>
                  </m:sub>
                </m:sSub>
                <m:r>
                  <w:rPr>
                    <w:rFonts w:ascii="Cambria Math" w:hAnsi="Cambria Math" w:cstheme="majorBidi"/>
                    <w:lang w:val="en-US"/>
                  </w:rPr>
                  <m:t>&lt;0</m:t>
                </m:r>
              </m:e>
              <m:e>
                <m:r>
                  <w:rPr>
                    <w:rFonts w:ascii="Cambria Math" w:hAnsi="Cambria Math" w:cstheme="majorBidi"/>
                    <w:lang w:val="en-US"/>
                  </w:rPr>
                  <m:t xml:space="preserve">0     </m:t>
                </m:r>
                <m:r>
                  <m:rPr>
                    <m:sty m:val="p"/>
                  </m:rPr>
                  <w:rPr>
                    <w:rFonts w:ascii="Cambria Math" w:hAnsi="Cambria Math" w:cstheme="majorBidi"/>
                    <w:lang w:val="en-US"/>
                  </w:rPr>
                  <m:t>otherwise</m:t>
                </m:r>
              </m:e>
            </m:eqArr>
          </m:e>
        </m:d>
      </m:oMath>
      <w:r w:rsidR="000F0E90">
        <w:rPr>
          <w:rFonts w:asciiTheme="majorBidi" w:eastAsiaTheme="minorEastAsia" w:hAnsiTheme="majorBidi" w:cstheme="majorBidi"/>
          <w:lang w:val="en-US"/>
        </w:rPr>
        <w:t xml:space="preserve">                            </w:t>
      </w:r>
      <w:r w:rsidR="0062679E">
        <w:rPr>
          <w:rFonts w:asciiTheme="majorBidi" w:eastAsiaTheme="minorEastAsia" w:hAnsiTheme="majorBidi" w:cstheme="majorBidi"/>
          <w:lang w:val="en-US"/>
        </w:rPr>
        <w:t xml:space="preserve">                                                                             </w:t>
      </w:r>
      <w:r w:rsidR="000F0E90">
        <w:rPr>
          <w:rFonts w:asciiTheme="majorBidi" w:eastAsiaTheme="minorEastAsia" w:hAnsiTheme="majorBidi" w:cstheme="majorBidi"/>
          <w:lang w:val="en-US"/>
        </w:rPr>
        <w:t xml:space="preserve">  (2</w:t>
      </w:r>
      <w:r w:rsidR="003979CE" w:rsidRPr="00F4779A">
        <w:rPr>
          <w:rFonts w:asciiTheme="majorBidi" w:eastAsiaTheme="minorEastAsia" w:hAnsiTheme="majorBidi" w:cstheme="majorBidi"/>
          <w:lang w:val="en-US"/>
        </w:rPr>
        <w:t>4)</w:t>
      </w:r>
    </w:p>
    <w:p w:rsidR="003979CE" w:rsidRPr="002D4628" w:rsidRDefault="003979CE" w:rsidP="003979CE">
      <w:pPr>
        <w:spacing w:after="0" w:line="240" w:lineRule="auto"/>
        <w:rPr>
          <w:rFonts w:ascii="Times New Roman" w:eastAsia="Times New Roman" w:hAnsi="Times New Roman" w:cs="Times New Roman"/>
          <w:color w:val="FF0000"/>
          <w:sz w:val="16"/>
          <w:szCs w:val="16"/>
          <w:lang w:val="en-US" w:eastAsia="fr-FR"/>
        </w:rPr>
      </w:pPr>
    </w:p>
    <w:p w:rsidR="003979CE" w:rsidRPr="002D4628" w:rsidRDefault="003979CE" w:rsidP="003979CE">
      <w:pPr>
        <w:spacing w:after="0" w:line="240" w:lineRule="auto"/>
        <w:rPr>
          <w:rFonts w:ascii="Times New Roman" w:eastAsia="Times New Roman" w:hAnsi="Times New Roman" w:cs="Times New Roman"/>
          <w:color w:val="FF0000"/>
          <w:sz w:val="16"/>
          <w:szCs w:val="16"/>
          <w:lang w:val="en-US" w:eastAsia="fr-FR"/>
        </w:rPr>
      </w:pPr>
    </w:p>
    <w:p w:rsidR="003979CE" w:rsidRPr="000F0E90" w:rsidRDefault="003979CE" w:rsidP="003979CE">
      <w:pPr>
        <w:spacing w:after="0" w:line="240" w:lineRule="auto"/>
        <w:jc w:val="both"/>
        <w:rPr>
          <w:rFonts w:asciiTheme="majorBidi" w:eastAsiaTheme="minorEastAsia" w:hAnsiTheme="majorBidi" w:cstheme="majorBidi"/>
          <w:bCs/>
          <w:lang w:val="en-US"/>
        </w:rPr>
      </w:pPr>
      <w:r w:rsidRPr="000F0E90">
        <w:rPr>
          <w:rFonts w:asciiTheme="majorBidi" w:hAnsiTheme="majorBidi" w:cstheme="majorBidi"/>
          <w:bCs/>
          <w:lang w:val="en-US"/>
        </w:rPr>
        <w:t xml:space="preserve">The test for sign bias based on the significance or otherwise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0F0E90">
        <w:rPr>
          <w:rFonts w:asciiTheme="majorBidi" w:eastAsiaTheme="minorEastAsia" w:hAnsiTheme="majorBidi" w:cstheme="majorBidi"/>
          <w:bCs/>
          <w:lang w:val="en-US"/>
        </w:rPr>
        <w:t xml:space="preserve"> in the following regression:</w:t>
      </w:r>
    </w:p>
    <w:p w:rsidR="003979CE" w:rsidRPr="000F0E90" w:rsidRDefault="003979CE" w:rsidP="003979CE">
      <w:pPr>
        <w:spacing w:after="0" w:line="240" w:lineRule="auto"/>
        <w:jc w:val="both"/>
        <w:rPr>
          <w:rFonts w:asciiTheme="majorBidi" w:eastAsiaTheme="minorEastAsia" w:hAnsiTheme="majorBidi" w:cstheme="majorBidi"/>
          <w:bCs/>
          <w:lang w:val="en-US"/>
        </w:rPr>
      </w:pPr>
    </w:p>
    <w:p w:rsidR="003979CE" w:rsidRPr="000F0E90" w:rsidRDefault="00011760" w:rsidP="003979CE">
      <w:pPr>
        <w:spacing w:after="0" w:line="240" w:lineRule="auto"/>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0F0E90" w:rsidRPr="000F0E90">
        <w:rPr>
          <w:rFonts w:asciiTheme="majorBidi" w:eastAsiaTheme="minorEastAsia" w:hAnsiTheme="majorBidi" w:cstheme="majorBidi"/>
          <w:lang w:val="en-US"/>
        </w:rPr>
        <w:t xml:space="preserve">                         </w:t>
      </w:r>
      <w:r w:rsidR="0062679E">
        <w:rPr>
          <w:rFonts w:asciiTheme="majorBidi" w:eastAsiaTheme="minorEastAsia" w:hAnsiTheme="majorBidi" w:cstheme="majorBidi"/>
          <w:lang w:val="en-US"/>
        </w:rPr>
        <w:t xml:space="preserve">                                                                            </w:t>
      </w:r>
      <w:r w:rsidR="000F0E90" w:rsidRPr="000F0E90">
        <w:rPr>
          <w:rFonts w:asciiTheme="majorBidi" w:eastAsiaTheme="minorEastAsia" w:hAnsiTheme="majorBidi" w:cstheme="majorBidi"/>
          <w:lang w:val="en-US"/>
        </w:rPr>
        <w:t xml:space="preserve">     (2</w:t>
      </w:r>
      <w:r w:rsidR="003979CE" w:rsidRPr="000F0E90">
        <w:rPr>
          <w:rFonts w:asciiTheme="majorBidi" w:eastAsiaTheme="minorEastAsia" w:hAnsiTheme="majorBidi" w:cstheme="majorBidi"/>
          <w:lang w:val="en-US"/>
        </w:rPr>
        <w:t>5)</w:t>
      </w:r>
    </w:p>
    <w:p w:rsidR="003979CE" w:rsidRPr="000F0E90" w:rsidRDefault="003979CE" w:rsidP="003979CE">
      <w:pPr>
        <w:spacing w:after="0" w:line="240" w:lineRule="auto"/>
        <w:jc w:val="both"/>
        <w:rPr>
          <w:rFonts w:asciiTheme="majorBidi" w:hAnsiTheme="majorBidi" w:cstheme="majorBidi"/>
          <w:bCs/>
          <w:lang w:val="en-US"/>
        </w:rPr>
      </w:pPr>
    </w:p>
    <w:p w:rsidR="003979CE" w:rsidRPr="000F0E90" w:rsidRDefault="003979CE" w:rsidP="003979CE">
      <w:pPr>
        <w:spacing w:after="0" w:line="240" w:lineRule="auto"/>
        <w:jc w:val="both"/>
        <w:rPr>
          <w:rFonts w:asciiTheme="majorBidi" w:hAnsiTheme="majorBidi" w:cstheme="majorBidi"/>
          <w:bCs/>
          <w:lang w:val="en-US"/>
        </w:rPr>
      </w:pPr>
      <w:r w:rsidRPr="000F0E90">
        <w:rPr>
          <w:rFonts w:asciiTheme="majorBidi" w:hAnsiTheme="majorBidi" w:cstheme="majorBidi"/>
          <w:bCs/>
          <w:lang w:val="en-US"/>
        </w:rPr>
        <w:t>where</w:t>
      </w:r>
      <m:oMath>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t</m:t>
            </m:r>
          </m:sub>
        </m:sSub>
      </m:oMath>
      <w:r w:rsidRPr="000F0E90">
        <w:rPr>
          <w:rFonts w:asciiTheme="majorBidi" w:hAnsiTheme="majorBidi" w:cstheme="majorBidi"/>
          <w:bCs/>
          <w:lang w:val="en-US"/>
        </w:rPr>
        <w:t xml:space="preserve">is an independent and identically distributed error term. If positive and negative shocks to </w:t>
      </w:r>
      <m:oMath>
        <m:sSub>
          <m:sSubPr>
            <m:ctrlPr>
              <w:rPr>
                <w:rFonts w:ascii="Cambria Math" w:hAnsi="Cambria Math" w:cstheme="majorBidi"/>
                <w:i/>
                <w:lang w:val="en-US"/>
              </w:rPr>
            </m:ctrlPr>
          </m:sSubPr>
          <m:e>
            <m:acc>
              <m:accPr>
                <m:ctrlPr>
                  <w:rPr>
                    <w:rFonts w:ascii="Cambria Math" w:hAnsi="Cambria Math" w:cstheme="majorBidi"/>
                    <w:i/>
                    <w:lang w:val="en-US"/>
                  </w:rPr>
                </m:ctrlPr>
              </m:accPr>
              <m:e>
                <m:r>
                  <w:rPr>
                    <w:rFonts w:ascii="Cambria Math" w:hAnsi="Cambria Math" w:cstheme="majorBidi"/>
                    <w:lang w:val="en-US"/>
                  </w:rPr>
                  <m:t>z</m:t>
                </m:r>
              </m:e>
            </m:acc>
          </m:e>
          <m:sub>
            <m:r>
              <w:rPr>
                <w:rFonts w:ascii="Cambria Math" w:hAnsi="Cambria Math" w:cstheme="majorBidi"/>
                <w:lang w:val="en-US"/>
              </w:rPr>
              <m:t>t-1</m:t>
            </m:r>
          </m:sub>
        </m:sSub>
      </m:oMath>
      <w:r w:rsidRPr="000F0E90">
        <w:rPr>
          <w:rFonts w:asciiTheme="majorBidi" w:hAnsiTheme="majorBidi" w:cstheme="majorBidi"/>
          <w:bCs/>
          <w:lang w:val="en-US"/>
        </w:rPr>
        <w:t xml:space="preserve"> impactdifferently upon the conditional variance, then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0F0E90">
        <w:rPr>
          <w:rFonts w:asciiTheme="majorBidi" w:hAnsiTheme="majorBidi" w:cstheme="majorBidi"/>
          <w:bCs/>
          <w:lang w:val="en-US"/>
        </w:rPr>
        <w:t xml:space="preserve"> will be statistically significant.</w:t>
      </w:r>
    </w:p>
    <w:p w:rsidR="003979CE" w:rsidRPr="000F0E90" w:rsidRDefault="003979CE" w:rsidP="003979CE">
      <w:pPr>
        <w:spacing w:after="0" w:line="240" w:lineRule="auto"/>
        <w:jc w:val="both"/>
        <w:rPr>
          <w:rFonts w:asciiTheme="majorBidi" w:hAnsiTheme="majorBidi" w:cstheme="majorBidi"/>
          <w:bCs/>
          <w:lang w:val="en-US"/>
        </w:rPr>
      </w:pPr>
    </w:p>
    <w:p w:rsidR="003979CE" w:rsidRPr="000F0E90" w:rsidRDefault="003979CE" w:rsidP="003979CE">
      <w:pPr>
        <w:spacing w:after="0" w:line="240" w:lineRule="auto"/>
        <w:ind w:firstLine="340"/>
        <w:jc w:val="both"/>
        <w:rPr>
          <w:rFonts w:asciiTheme="majorBidi" w:hAnsiTheme="majorBidi" w:cstheme="majorBidi"/>
          <w:bCs/>
          <w:lang w:val="en-US"/>
        </w:rPr>
      </w:pPr>
      <w:r w:rsidRPr="000F0E90">
        <w:rPr>
          <w:rFonts w:asciiTheme="majorBidi" w:hAnsiTheme="majorBidi" w:cstheme="majorBidi"/>
          <w:bCs/>
          <w:lang w:val="en-US"/>
        </w:rPr>
        <w:t xml:space="preserve">It could also be the case that the magnitude or size of the shock will affect whether the response of volatility to shocks is symmetric or not. In this case, a negative size bias test would be conducted, based on a regression where </w:t>
      </w: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oMath>
      <w:r w:rsidRPr="000F0E90">
        <w:rPr>
          <w:rFonts w:asciiTheme="majorBidi" w:hAnsiTheme="majorBidi" w:cstheme="majorBidi"/>
          <w:bCs/>
          <w:lang w:val="en-US"/>
        </w:rPr>
        <w:t xml:space="preserve"> is used as a slope dummy variable. Negative size bias is argued to be present if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0F0E90">
        <w:rPr>
          <w:rFonts w:asciiTheme="majorBidi" w:hAnsiTheme="majorBidi" w:cstheme="majorBidi"/>
          <w:bCs/>
          <w:lang w:val="en-US"/>
        </w:rPr>
        <w:t xml:space="preserve"> is statistically significant in the following regression:</w:t>
      </w:r>
    </w:p>
    <w:p w:rsidR="003979CE" w:rsidRPr="000F0E90" w:rsidRDefault="003979CE" w:rsidP="003979CE">
      <w:pPr>
        <w:spacing w:after="0" w:line="240" w:lineRule="auto"/>
        <w:ind w:firstLine="340"/>
        <w:jc w:val="both"/>
        <w:rPr>
          <w:rFonts w:asciiTheme="majorBidi" w:hAnsiTheme="majorBidi" w:cstheme="majorBidi"/>
          <w:bCs/>
          <w:lang w:val="en-US"/>
        </w:rPr>
      </w:pPr>
    </w:p>
    <w:p w:rsidR="003979CE" w:rsidRPr="000F0E90" w:rsidRDefault="00011760" w:rsidP="003979CE">
      <w:pPr>
        <w:spacing w:after="0" w:line="240" w:lineRule="auto"/>
        <w:ind w:firstLine="708"/>
        <w:jc w:val="both"/>
        <w:rPr>
          <w:rFonts w:asciiTheme="majorBidi" w:hAnsiTheme="majorBidi" w:cstheme="majorBidi"/>
          <w:bCs/>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0F0E90">
        <w:rPr>
          <w:rFonts w:asciiTheme="majorBidi" w:eastAsiaTheme="minorEastAsia" w:hAnsiTheme="majorBidi" w:cstheme="majorBidi"/>
          <w:lang w:val="en-US"/>
        </w:rPr>
        <w:t xml:space="preserve">                           </w:t>
      </w:r>
      <w:r w:rsidR="0062679E">
        <w:rPr>
          <w:rFonts w:asciiTheme="majorBidi" w:eastAsiaTheme="minorEastAsia" w:hAnsiTheme="majorBidi" w:cstheme="majorBidi"/>
          <w:lang w:val="en-US"/>
        </w:rPr>
        <w:t xml:space="preserve">                                                                     </w:t>
      </w:r>
      <w:r w:rsidR="000F0E90">
        <w:rPr>
          <w:rFonts w:asciiTheme="majorBidi" w:eastAsiaTheme="minorEastAsia" w:hAnsiTheme="majorBidi" w:cstheme="majorBidi"/>
          <w:lang w:val="en-US"/>
        </w:rPr>
        <w:t xml:space="preserve">   (2</w:t>
      </w:r>
      <w:r w:rsidR="003979CE" w:rsidRPr="000F0E90">
        <w:rPr>
          <w:rFonts w:asciiTheme="majorBidi" w:eastAsiaTheme="minorEastAsia" w:hAnsiTheme="majorBidi" w:cstheme="majorBidi"/>
          <w:lang w:val="en-US"/>
        </w:rPr>
        <w:t>6)</w:t>
      </w:r>
    </w:p>
    <w:p w:rsidR="003979CE" w:rsidRPr="002D4628" w:rsidRDefault="003979CE" w:rsidP="003979CE">
      <w:pPr>
        <w:spacing w:after="0" w:line="240" w:lineRule="auto"/>
        <w:jc w:val="both"/>
        <w:rPr>
          <w:rFonts w:asciiTheme="majorBidi" w:hAnsiTheme="majorBidi" w:cstheme="majorBidi"/>
          <w:bCs/>
          <w:color w:val="FF0000"/>
          <w:lang w:val="en-US"/>
        </w:rPr>
      </w:pPr>
    </w:p>
    <w:p w:rsidR="003979CE" w:rsidRPr="000F0E90" w:rsidRDefault="003979CE" w:rsidP="003979CE">
      <w:pPr>
        <w:spacing w:after="0" w:line="240" w:lineRule="auto"/>
        <w:jc w:val="both"/>
        <w:rPr>
          <w:rFonts w:asciiTheme="majorBidi" w:eastAsiaTheme="minorEastAsia" w:hAnsiTheme="majorBidi" w:cstheme="majorBidi"/>
          <w:lang w:val="en-US"/>
        </w:rPr>
      </w:pPr>
      <w:r w:rsidRPr="000F0E90">
        <w:rPr>
          <w:rFonts w:asciiTheme="majorBidi" w:hAnsiTheme="majorBidi" w:cstheme="majorBidi"/>
          <w:bCs/>
          <w:lang w:val="en-US"/>
        </w:rPr>
        <w:t xml:space="preserve">Finally, we define </w:t>
      </w: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r>
          <w:rPr>
            <w:rFonts w:ascii="Cambria Math" w:hAnsi="Cambria Math" w:cstheme="majorBidi"/>
            <w:lang w:val="en-US"/>
          </w:rPr>
          <m:t>=1-</m:t>
        </m:r>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oMath>
      <w:r w:rsidRPr="000F0E90">
        <w:rPr>
          <w:rFonts w:asciiTheme="majorBidi" w:eastAsiaTheme="minorEastAsia" w:hAnsiTheme="majorBidi" w:cstheme="majorBidi"/>
          <w:lang w:val="en-US"/>
        </w:rPr>
        <w:t xml:space="preserve">, so that </w:t>
      </w: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oMath>
      <w:r w:rsidRPr="000F0E90">
        <w:rPr>
          <w:rFonts w:asciiTheme="majorBidi" w:eastAsiaTheme="minorEastAsia" w:hAnsiTheme="majorBidi" w:cstheme="majorBidi"/>
          <w:lang w:val="en-US"/>
        </w:rPr>
        <w:t xml:space="preserve"> picks out the observations with positive innovations. Engle and Ng (1993) propose a joint test for sign and size bias based on the following regression:</w:t>
      </w:r>
    </w:p>
    <w:p w:rsidR="003979CE" w:rsidRPr="000F0E90" w:rsidRDefault="003979CE" w:rsidP="003979CE">
      <w:pPr>
        <w:spacing w:after="0" w:line="240" w:lineRule="auto"/>
        <w:jc w:val="both"/>
        <w:rPr>
          <w:rFonts w:asciiTheme="majorBidi" w:eastAsiaTheme="minorEastAsia" w:hAnsiTheme="majorBidi" w:cstheme="majorBidi"/>
          <w:lang w:val="en-US"/>
        </w:rPr>
      </w:pPr>
    </w:p>
    <w:p w:rsidR="003979CE" w:rsidRPr="000F0E90" w:rsidRDefault="00011760" w:rsidP="003979CE">
      <w:pPr>
        <w:spacing w:after="0" w:line="240" w:lineRule="auto"/>
        <w:ind w:firstLine="708"/>
        <w:jc w:val="both"/>
        <w:rPr>
          <w:rFonts w:asciiTheme="majorBidi" w:eastAsiaTheme="minorEastAsia" w:hAnsiTheme="majorBidi" w:cstheme="majorBidi"/>
          <w:lang w:val="en-US"/>
        </w:rPr>
      </w:pPr>
      <m:oMath>
        <m:sSubSup>
          <m:sSubSupPr>
            <m:ctrlPr>
              <w:rPr>
                <w:rFonts w:ascii="Cambria Math" w:hAnsi="Cambria Math" w:cstheme="majorBidi"/>
                <w:bCs/>
                <w:i/>
                <w:lang w:val="en-US"/>
              </w:rPr>
            </m:ctrlPr>
          </m:sSubSupPr>
          <m:e>
            <m:acc>
              <m:accPr>
                <m:ctrlPr>
                  <w:rPr>
                    <w:rFonts w:ascii="Cambria Math" w:hAnsi="Cambria Math" w:cstheme="majorBidi"/>
                    <w:bCs/>
                    <w:i/>
                    <w:lang w:val="en-US"/>
                  </w:rPr>
                </m:ctrlPr>
              </m:accPr>
              <m:e>
                <m:r>
                  <w:rPr>
                    <w:rFonts w:ascii="Cambria Math" w:hAnsi="Cambria Math" w:cstheme="majorBidi"/>
                    <w:lang w:val="en-US"/>
                  </w:rPr>
                  <m:t>z</m:t>
                </m:r>
              </m:e>
            </m:acc>
          </m:e>
          <m:sub>
            <m:r>
              <w:rPr>
                <w:rFonts w:ascii="Cambria Math" w:hAnsi="Cambria Math" w:cstheme="majorBidi"/>
                <w:lang w:val="en-US"/>
              </w:rPr>
              <m:t>t</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0</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t-1</m:t>
            </m:r>
          </m:sub>
          <m:sup>
            <m:r>
              <w:rPr>
                <w:rFonts w:ascii="Cambria Math" w:hAnsi="Cambria Math" w:cstheme="majorBidi"/>
                <w:lang w:val="en-US"/>
              </w:rPr>
              <m:t>+</m:t>
            </m:r>
          </m:sup>
        </m:sSubSup>
        <m:sSub>
          <m:sSubPr>
            <m:ctrlPr>
              <w:rPr>
                <w:rFonts w:ascii="Cambria Math" w:hAnsi="Cambria Math" w:cstheme="majorBidi"/>
                <w:i/>
                <w:lang w:val="en-US"/>
              </w:rPr>
            </m:ctrlPr>
          </m:sSubPr>
          <m:e>
            <m:r>
              <w:rPr>
                <w:rFonts w:ascii="Cambria Math" w:hAnsi="Cambria Math" w:cstheme="majorBidi"/>
                <w:lang w:val="en-US"/>
              </w:rPr>
              <m:t>z</m:t>
            </m:r>
          </m:e>
          <m:sub>
            <m:r>
              <w:rPr>
                <w:rFonts w:ascii="Cambria Math" w:hAnsi="Cambria Math" w:cstheme="majorBidi"/>
                <w:lang w:val="en-US"/>
              </w:rPr>
              <m:t>t-1</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0F0E90">
        <w:rPr>
          <w:rFonts w:asciiTheme="majorBidi" w:eastAsiaTheme="minorEastAsia" w:hAnsiTheme="majorBidi" w:cstheme="majorBidi"/>
          <w:lang w:val="en-US"/>
        </w:rPr>
        <w:t xml:space="preserve">                             </w:t>
      </w:r>
      <w:r w:rsidR="0062679E">
        <w:rPr>
          <w:rFonts w:asciiTheme="majorBidi" w:eastAsiaTheme="minorEastAsia" w:hAnsiTheme="majorBidi" w:cstheme="majorBidi"/>
          <w:lang w:val="en-US"/>
        </w:rPr>
        <w:t xml:space="preserve">                                  </w:t>
      </w:r>
      <w:r w:rsidR="000F0E90">
        <w:rPr>
          <w:rFonts w:asciiTheme="majorBidi" w:eastAsiaTheme="minorEastAsia" w:hAnsiTheme="majorBidi" w:cstheme="majorBidi"/>
          <w:lang w:val="en-US"/>
        </w:rPr>
        <w:t xml:space="preserve"> (2</w:t>
      </w:r>
      <w:r w:rsidR="003979CE" w:rsidRPr="000F0E90">
        <w:rPr>
          <w:rFonts w:asciiTheme="majorBidi" w:eastAsiaTheme="minorEastAsia" w:hAnsiTheme="majorBidi" w:cstheme="majorBidi"/>
          <w:lang w:val="en-US"/>
        </w:rPr>
        <w:t>7)</w:t>
      </w:r>
    </w:p>
    <w:p w:rsidR="003979CE" w:rsidRPr="002D4628" w:rsidRDefault="003979CE" w:rsidP="003979CE">
      <w:pPr>
        <w:spacing w:after="0" w:line="240" w:lineRule="auto"/>
        <w:ind w:firstLine="708"/>
        <w:jc w:val="both"/>
        <w:rPr>
          <w:rFonts w:asciiTheme="majorBidi" w:eastAsiaTheme="minorEastAsia" w:hAnsiTheme="majorBidi" w:cstheme="majorBidi"/>
          <w:color w:val="FF0000"/>
          <w:lang w:val="en-US"/>
        </w:rPr>
      </w:pPr>
    </w:p>
    <w:p w:rsidR="00713545" w:rsidRDefault="003979CE" w:rsidP="00713545">
      <w:pPr>
        <w:spacing w:after="0" w:line="240" w:lineRule="auto"/>
        <w:ind w:firstLine="340"/>
        <w:jc w:val="both"/>
        <w:rPr>
          <w:rFonts w:asciiTheme="majorBidi" w:hAnsiTheme="majorBidi" w:cstheme="majorBidi"/>
          <w:bCs/>
          <w:lang w:val="en-US"/>
        </w:rPr>
      </w:pPr>
      <w:r w:rsidRPr="000F0E90">
        <w:rPr>
          <w:rFonts w:asciiTheme="majorBidi" w:hAnsiTheme="majorBidi" w:cstheme="majorBidi"/>
          <w:bCs/>
          <w:lang w:val="en-US"/>
        </w:rPr>
        <w:t xml:space="preserve">Statistical significance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1</m:t>
            </m:r>
          </m:sub>
        </m:sSub>
      </m:oMath>
      <w:r w:rsidRPr="000F0E90">
        <w:rPr>
          <w:rFonts w:asciiTheme="majorBidi" w:hAnsiTheme="majorBidi" w:cstheme="majorBidi"/>
          <w:bCs/>
          <w:lang w:val="en-US"/>
        </w:rPr>
        <w:t xml:space="preserve"> indicates the presence of sign bias, where positive and negative shocks have differing impacts upon future volatility, compared with the symmetric response required by the standard GARCH formulation. However, the significance of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2</m:t>
            </m:r>
          </m:sub>
        </m:sSub>
      </m:oMath>
      <w:r w:rsidRPr="000F0E90">
        <w:rPr>
          <w:rFonts w:asciiTheme="majorBidi" w:hAnsiTheme="majorBidi" w:cstheme="majorBidi"/>
          <w:bCs/>
          <w:lang w:val="en-US"/>
        </w:rPr>
        <w:t xml:space="preserve"> or </w:t>
      </w:r>
      <m:oMath>
        <m:sSub>
          <m:sSubPr>
            <m:ctrlPr>
              <w:rPr>
                <w:rFonts w:ascii="Cambria Math" w:hAnsi="Cambria Math" w:cstheme="majorBidi"/>
                <w:bCs/>
                <w:i/>
                <w:lang w:val="en-US"/>
              </w:rPr>
            </m:ctrlPr>
          </m:sSubPr>
          <m:e>
            <m:r>
              <w:rPr>
                <w:rFonts w:ascii="Cambria Math" w:hAnsi="Cambria Math" w:cstheme="majorBidi"/>
                <w:lang w:val="en-US"/>
              </w:rPr>
              <m:t>ϕ</m:t>
            </m:r>
          </m:e>
          <m:sub>
            <m:r>
              <w:rPr>
                <w:rFonts w:ascii="Cambria Math" w:hAnsi="Cambria Math" w:cstheme="majorBidi"/>
                <w:lang w:val="en-US"/>
              </w:rPr>
              <m:t>3</m:t>
            </m:r>
          </m:sub>
        </m:sSub>
      </m:oMath>
      <w:r w:rsidRPr="000F0E90">
        <w:rPr>
          <w:rFonts w:asciiTheme="majorBidi" w:hAnsiTheme="majorBidi" w:cstheme="majorBidi"/>
          <w:bCs/>
          <w:lang w:val="en-US"/>
        </w:rPr>
        <w:t xml:space="preserve"> would suggest the presenceof size bias, where not only the sign but the magnitude of the shock is important. A joint test statistic is formulated in the standard fashion by calculating </w:t>
      </w:r>
      <m:oMath>
        <m:r>
          <w:rPr>
            <w:rFonts w:ascii="Cambria Math" w:hAnsi="Cambria Math" w:cstheme="majorBidi"/>
            <w:lang w:val="en-US"/>
          </w:rPr>
          <m:t>T</m:t>
        </m:r>
        <m:sSup>
          <m:sSupPr>
            <m:ctrlPr>
              <w:rPr>
                <w:rFonts w:ascii="Cambria Math" w:hAnsi="Cambria Math" w:cstheme="majorBidi"/>
                <w:bCs/>
                <w:i/>
                <w:iCs/>
                <w:lang w:val="en-US"/>
              </w:rPr>
            </m:ctrlPr>
          </m:sSupPr>
          <m:e>
            <m:r>
              <w:rPr>
                <w:rFonts w:ascii="Cambria Math" w:hAnsi="Cambria Math" w:cstheme="majorBidi"/>
                <w:lang w:val="en-US"/>
              </w:rPr>
              <m:t>R</m:t>
            </m:r>
          </m:e>
          <m:sup>
            <m:r>
              <w:rPr>
                <w:rFonts w:ascii="Cambria Math" w:hAnsi="Cambria Math" w:cstheme="majorBidi"/>
                <w:lang w:val="en-US"/>
              </w:rPr>
              <m:t>2</m:t>
            </m:r>
          </m:sup>
        </m:sSup>
      </m:oMath>
      <w:r w:rsidR="000F0E90" w:rsidRPr="000F0E90">
        <w:rPr>
          <w:rFonts w:asciiTheme="majorBidi" w:hAnsiTheme="majorBidi" w:cstheme="majorBidi"/>
          <w:bCs/>
          <w:lang w:val="en-US"/>
        </w:rPr>
        <w:t xml:space="preserve"> from regression (2</w:t>
      </w:r>
      <w:r w:rsidRPr="000F0E90">
        <w:rPr>
          <w:rFonts w:asciiTheme="majorBidi" w:hAnsiTheme="majorBidi" w:cstheme="majorBidi"/>
          <w:bCs/>
          <w:lang w:val="en-US"/>
        </w:rPr>
        <w:t xml:space="preserve">7), which will asymptotically follow a </w:t>
      </w:r>
      <m:oMath>
        <m:sSup>
          <m:sSupPr>
            <m:ctrlPr>
              <w:rPr>
                <w:rFonts w:ascii="Cambria Math" w:hAnsi="Cambria Math" w:cstheme="majorBidi"/>
                <w:bCs/>
                <w:i/>
                <w:iCs/>
              </w:rPr>
            </m:ctrlPr>
          </m:sSupPr>
          <m:e>
            <m:r>
              <w:rPr>
                <w:rFonts w:ascii="Cambria Math" w:hAnsi="Cambria Math" w:cstheme="majorBidi"/>
              </w:rPr>
              <m:t>χ</m:t>
            </m:r>
          </m:e>
          <m:sup>
            <m:r>
              <w:rPr>
                <w:rFonts w:ascii="Cambria Math" w:hAnsi="Cambria Math" w:cstheme="majorBidi"/>
                <w:lang w:val="en-US"/>
              </w:rPr>
              <m:t>2</m:t>
            </m:r>
          </m:sup>
        </m:sSup>
      </m:oMath>
      <w:r w:rsidRPr="000F0E90">
        <w:rPr>
          <w:rFonts w:asciiTheme="majorBidi" w:hAnsiTheme="majorBidi" w:cstheme="majorBidi"/>
          <w:bCs/>
          <w:lang w:val="en-US"/>
        </w:rPr>
        <w:t xml:space="preserve"> distribution with 3 degrees of freedom under the null hypot</w:t>
      </w:r>
      <w:r w:rsidR="00713545">
        <w:rPr>
          <w:rFonts w:asciiTheme="majorBidi" w:hAnsiTheme="majorBidi" w:cstheme="majorBidi"/>
          <w:bCs/>
          <w:lang w:val="en-US"/>
        </w:rPr>
        <w:t>hesis of no asymmetric effects.</w:t>
      </w:r>
    </w:p>
    <w:p w:rsidR="006951B0" w:rsidRPr="001261A2" w:rsidRDefault="006951B0" w:rsidP="006951B0">
      <w:pPr>
        <w:autoSpaceDE w:val="0"/>
        <w:autoSpaceDN w:val="0"/>
        <w:adjustRightInd w:val="0"/>
        <w:spacing w:after="0" w:line="240" w:lineRule="auto"/>
        <w:ind w:firstLine="340"/>
        <w:jc w:val="both"/>
        <w:rPr>
          <w:rFonts w:asciiTheme="majorBidi" w:hAnsiTheme="majorBidi" w:cstheme="majorBidi"/>
          <w:color w:val="FF0000"/>
          <w:lang w:val="en-US"/>
        </w:rPr>
      </w:pPr>
      <w:r w:rsidRPr="001B0356">
        <w:rPr>
          <w:rFonts w:asciiTheme="majorBidi" w:hAnsiTheme="majorBidi" w:cstheme="majorBidi"/>
          <w:lang w:val="en-US"/>
        </w:rPr>
        <w:t xml:space="preserve">Table </w:t>
      </w:r>
      <w:r>
        <w:rPr>
          <w:rFonts w:asciiTheme="majorBidi" w:hAnsiTheme="majorBidi" w:cstheme="majorBidi"/>
          <w:lang w:val="en-US"/>
        </w:rPr>
        <w:t>7</w:t>
      </w:r>
      <w:r w:rsidRPr="001B0356">
        <w:rPr>
          <w:rFonts w:asciiTheme="majorBidi" w:hAnsiTheme="majorBidi" w:cstheme="majorBidi"/>
          <w:lang w:val="en-US"/>
        </w:rPr>
        <w:t xml:space="preserve"> reports the results of Engle-Ng tests. As shown in the table, the </w:t>
      </w:r>
      <m:oMath>
        <m:sSup>
          <m:sSupPr>
            <m:ctrlPr>
              <w:rPr>
                <w:rFonts w:ascii="Cambria Math" w:hAnsi="Cambria Math" w:cstheme="majorBidi"/>
                <w:i/>
                <w:iCs/>
              </w:rPr>
            </m:ctrlPr>
          </m:sSupPr>
          <m:e>
            <m:r>
              <w:rPr>
                <w:rFonts w:ascii="Cambria Math" w:hAnsi="Cambria Math" w:cstheme="majorBidi"/>
              </w:rPr>
              <m:t>χ</m:t>
            </m:r>
          </m:e>
          <m:sup>
            <m:r>
              <w:rPr>
                <w:rFonts w:ascii="Cambria Math" w:hAnsi="Cambria Math" w:cstheme="majorBidi"/>
                <w:lang w:val="en-US"/>
              </w:rPr>
              <m:t>2</m:t>
            </m:r>
          </m:sup>
        </m:sSup>
        <m:r>
          <w:rPr>
            <w:rFonts w:ascii="Cambria Math" w:hAnsi="Cambria Math" w:cstheme="majorBidi"/>
            <w:lang w:val="en-US"/>
          </w:rPr>
          <m:t>(3)</m:t>
        </m:r>
      </m:oMath>
      <w:r w:rsidRPr="001B0356">
        <w:rPr>
          <w:rFonts w:asciiTheme="majorBidi" w:hAnsiTheme="majorBidi" w:cstheme="majorBidi"/>
          <w:lang w:val="en-US"/>
        </w:rPr>
        <w:t xml:space="preserve"> joint test statistics demonstrates a very acceptance of the null of no asymmetries for the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w:r w:rsidRPr="001B0356">
        <w:rPr>
          <w:rFonts w:asciiTheme="majorBidi" w:eastAsiaTheme="minorEastAsia" w:hAnsiTheme="majorBidi" w:cstheme="majorBidi"/>
          <w:lang w:val="en-US"/>
        </w:rPr>
        <w:t xml:space="preserve">, </w:t>
      </w:r>
      <w:r w:rsidRPr="00387B51">
        <w:rPr>
          <w:rFonts w:asciiTheme="majorBidi" w:eastAsiaTheme="minorEastAsia" w:hAnsiTheme="majorBidi" w:cstheme="majorBidi"/>
          <w:lang w:val="en-US"/>
        </w:rPr>
        <w:t xml:space="preserve">and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w:r>
        <w:rPr>
          <w:rFonts w:asciiTheme="majorBidi" w:hAnsiTheme="majorBidi" w:cstheme="majorBidi"/>
          <w:lang w:val="en-US"/>
        </w:rPr>
        <w:t xml:space="preserve"> and </w:t>
      </w:r>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usdeur-msci</m:t>
            </m:r>
          </m:sub>
        </m:sSub>
      </m:oMath>
      <w:r w:rsidRPr="00387B51">
        <w:rPr>
          <w:rFonts w:asciiTheme="majorBidi" w:hAnsiTheme="majorBidi" w:cstheme="majorBidi"/>
          <w:lang w:val="en-US"/>
        </w:rPr>
        <w:t>series</w:t>
      </w:r>
      <w:r>
        <w:rPr>
          <w:rFonts w:asciiTheme="majorBidi" w:hAnsiTheme="majorBidi" w:cstheme="majorBidi"/>
          <w:lang w:val="en-US"/>
        </w:rPr>
        <w:t xml:space="preserve"> (AR(0)-FIAPARCH(1,d,1) model)</w:t>
      </w:r>
      <w:r w:rsidRPr="00387B51">
        <w:rPr>
          <w:rFonts w:asciiTheme="majorBidi" w:hAnsiTheme="majorBidi" w:cstheme="majorBidi"/>
          <w:lang w:val="en-US"/>
        </w:rPr>
        <w:t xml:space="preserve"> and a rejection for the null hypothesis for the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w:r w:rsidRPr="00387B51">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w:r w:rsidRPr="00387B51">
        <w:rPr>
          <w:rFonts w:asciiTheme="majorBidi" w:eastAsiaTheme="minorEastAsia"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usdeur-msci</m:t>
            </m:r>
          </m:sub>
        </m:sSub>
      </m:oMath>
      <w:r w:rsidRPr="00387B51">
        <w:rPr>
          <w:rFonts w:asciiTheme="majorBidi" w:hAnsiTheme="majorBidi" w:cstheme="majorBidi"/>
          <w:lang w:val="en-US"/>
        </w:rPr>
        <w:t xml:space="preserve"> series</w:t>
      </w:r>
      <w:r>
        <w:rPr>
          <w:rFonts w:asciiTheme="majorBidi" w:hAnsiTheme="majorBidi" w:cstheme="majorBidi"/>
          <w:lang w:val="en-US"/>
        </w:rPr>
        <w:t xml:space="preserve"> (AR(0)-EGARCH(1,1) model)</w:t>
      </w:r>
      <w:r w:rsidRPr="00387B51">
        <w:rPr>
          <w:rFonts w:asciiTheme="majorBidi" w:hAnsiTheme="majorBidi" w:cstheme="majorBidi"/>
          <w:lang w:val="en-US"/>
        </w:rPr>
        <w:t>. The results overall would thus suggest motivation for estimating symmetric and asymmetric GARCH volatility models, respectively, for these particular series.</w:t>
      </w:r>
    </w:p>
    <w:p w:rsidR="006951B0" w:rsidRDefault="006951B0" w:rsidP="00713545">
      <w:pPr>
        <w:spacing w:after="0" w:line="240" w:lineRule="auto"/>
        <w:ind w:firstLine="340"/>
        <w:jc w:val="both"/>
        <w:rPr>
          <w:rFonts w:asciiTheme="majorBidi" w:hAnsiTheme="majorBidi" w:cstheme="majorBidi"/>
          <w:bCs/>
          <w:lang w:val="en-US"/>
        </w:rPr>
      </w:pPr>
    </w:p>
    <w:p w:rsidR="00713545" w:rsidRDefault="00713545" w:rsidP="00713545">
      <w:pPr>
        <w:spacing w:after="0" w:line="240" w:lineRule="auto"/>
        <w:ind w:firstLine="340"/>
        <w:jc w:val="both"/>
        <w:rPr>
          <w:rFonts w:asciiTheme="majorBidi" w:hAnsiTheme="majorBidi" w:cstheme="majorBidi"/>
          <w:bCs/>
          <w:lang w:val="en-US"/>
        </w:rPr>
      </w:pPr>
    </w:p>
    <w:p w:rsidR="00713545" w:rsidRPr="00713545" w:rsidRDefault="00713545" w:rsidP="00713545">
      <w:pPr>
        <w:spacing w:after="0" w:line="240" w:lineRule="auto"/>
        <w:ind w:firstLine="340"/>
        <w:jc w:val="both"/>
        <w:rPr>
          <w:rFonts w:asciiTheme="majorBidi" w:hAnsiTheme="majorBidi" w:cstheme="majorBidi"/>
          <w:bCs/>
          <w:lang w:val="en-US"/>
        </w:rPr>
        <w:sectPr w:rsidR="00713545" w:rsidRPr="00713545" w:rsidSect="00936BD1">
          <w:pgSz w:w="11906" w:h="16838"/>
          <w:pgMar w:top="1417" w:right="1417" w:bottom="1417" w:left="1417" w:header="708" w:footer="708" w:gutter="0"/>
          <w:cols w:space="708"/>
          <w:docGrid w:linePitch="360"/>
        </w:sectPr>
      </w:pPr>
    </w:p>
    <w:p w:rsidR="00713545" w:rsidRPr="00713545" w:rsidRDefault="00713545" w:rsidP="00713545">
      <w:pPr>
        <w:pStyle w:val="Lgende"/>
        <w:keepNext/>
        <w:spacing w:after="0"/>
        <w:ind w:left="1361" w:right="1361"/>
        <w:jc w:val="both"/>
        <w:rPr>
          <w:rFonts w:asciiTheme="majorBidi" w:hAnsiTheme="majorBidi" w:cstheme="majorBidi"/>
          <w:sz w:val="22"/>
          <w:szCs w:val="22"/>
        </w:rPr>
      </w:pPr>
      <w:r w:rsidRPr="00713545">
        <w:rPr>
          <w:rFonts w:asciiTheme="majorBidi" w:hAnsiTheme="majorBidi" w:cstheme="majorBidi"/>
          <w:sz w:val="22"/>
          <w:szCs w:val="22"/>
        </w:rPr>
        <w:lastRenderedPageBreak/>
        <w:t>Table 7</w:t>
      </w:r>
    </w:p>
    <w:p w:rsidR="00713545" w:rsidRPr="00713545" w:rsidRDefault="00713545" w:rsidP="00713545">
      <w:pPr>
        <w:spacing w:after="0" w:line="240" w:lineRule="auto"/>
        <w:ind w:left="1361" w:right="1361"/>
        <w:jc w:val="both"/>
        <w:rPr>
          <w:rFonts w:asciiTheme="majorBidi" w:hAnsiTheme="majorBidi" w:cstheme="majorBidi"/>
          <w:lang w:val="en-US"/>
        </w:rPr>
      </w:pPr>
      <w:r w:rsidRPr="00713545">
        <w:rPr>
          <w:rFonts w:asciiTheme="majorBidi" w:hAnsiTheme="majorBidi" w:cstheme="majorBidi"/>
          <w:lang w:val="en-US"/>
        </w:rPr>
        <w:t>Tests for sign and size bias for DCCs</w:t>
      </w:r>
      <w:r>
        <w:rPr>
          <w:rFonts w:asciiTheme="majorBidi" w:hAnsiTheme="majorBidi" w:cstheme="majorBidi"/>
          <w:lang w:val="en-US"/>
        </w:rPr>
        <w:t>.</w:t>
      </w:r>
    </w:p>
    <w:tbl>
      <w:tblPr>
        <w:tblW w:w="11115" w:type="dxa"/>
        <w:jc w:val="center"/>
        <w:tblInd w:w="56" w:type="dxa"/>
        <w:tblCellMar>
          <w:left w:w="70" w:type="dxa"/>
          <w:right w:w="70" w:type="dxa"/>
        </w:tblCellMar>
        <w:tblLook w:val="04A0"/>
      </w:tblPr>
      <w:tblGrid>
        <w:gridCol w:w="651"/>
        <w:gridCol w:w="974"/>
        <w:gridCol w:w="748"/>
        <w:gridCol w:w="199"/>
        <w:gridCol w:w="900"/>
        <w:gridCol w:w="607"/>
        <w:gridCol w:w="199"/>
        <w:gridCol w:w="900"/>
        <w:gridCol w:w="607"/>
        <w:gridCol w:w="199"/>
        <w:gridCol w:w="878"/>
        <w:gridCol w:w="650"/>
        <w:gridCol w:w="199"/>
        <w:gridCol w:w="820"/>
        <w:gridCol w:w="878"/>
        <w:gridCol w:w="199"/>
        <w:gridCol w:w="900"/>
        <w:gridCol w:w="607"/>
      </w:tblGrid>
      <w:tr w:rsidR="002D4628" w:rsidRPr="002D4628" w:rsidTr="00713545">
        <w:trPr>
          <w:trHeight w:val="54"/>
          <w:jc w:val="center"/>
        </w:trPr>
        <w:tc>
          <w:tcPr>
            <w:tcW w:w="651" w:type="dxa"/>
            <w:tcBorders>
              <w:top w:val="single" w:sz="4" w:space="0" w:color="auto"/>
              <w:left w:val="nil"/>
              <w:bottom w:val="nil"/>
              <w:right w:val="nil"/>
            </w:tcBorders>
            <w:shd w:val="clear" w:color="auto" w:fill="auto"/>
            <w:noWrap/>
            <w:vAlign w:val="bottom"/>
            <w:hideMark/>
          </w:tcPr>
          <w:p w:rsidR="002D4628" w:rsidRPr="002D4628" w:rsidRDefault="002D4628" w:rsidP="00713545">
            <w:pPr>
              <w:spacing w:after="0" w:line="240" w:lineRule="auto"/>
              <w:rPr>
                <w:rFonts w:ascii="Calibri" w:eastAsia="Times New Roman" w:hAnsi="Calibri" w:cs="Times New Roman"/>
                <w:color w:val="000000"/>
                <w:lang w:val="en-US" w:eastAsia="fr-FR"/>
              </w:rPr>
            </w:pPr>
          </w:p>
        </w:tc>
        <w:tc>
          <w:tcPr>
            <w:tcW w:w="974"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val="en-US" w:eastAsia="fr-FR"/>
              </w:rPr>
            </w:pPr>
          </w:p>
        </w:tc>
        <w:tc>
          <w:tcPr>
            <w:tcW w:w="748"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val="en-US" w:eastAsia="fr-FR"/>
              </w:rPr>
            </w:pPr>
          </w:p>
        </w:tc>
        <w:tc>
          <w:tcPr>
            <w:tcW w:w="199"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val="en-US" w:eastAsia="fr-FR"/>
              </w:rPr>
            </w:pPr>
          </w:p>
        </w:tc>
        <w:tc>
          <w:tcPr>
            <w:tcW w:w="1507" w:type="dxa"/>
            <w:gridSpan w:val="2"/>
            <w:tcBorders>
              <w:top w:val="single" w:sz="4" w:space="0" w:color="auto"/>
              <w:left w:val="nil"/>
              <w:bottom w:val="single" w:sz="8" w:space="0" w:color="auto"/>
              <w:right w:val="nil"/>
            </w:tcBorders>
            <w:shd w:val="clear" w:color="auto" w:fill="auto"/>
            <w:noWrap/>
            <w:vAlign w:val="bottom"/>
            <w:hideMark/>
          </w:tcPr>
          <w:p w:rsidR="002D4628" w:rsidRPr="002D4628" w:rsidRDefault="002D4628"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AR(0)-EGARCH(1,1)</w:t>
            </w:r>
          </w:p>
        </w:tc>
        <w:tc>
          <w:tcPr>
            <w:tcW w:w="199"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900"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607"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199"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r w:rsidRPr="002D4628">
              <w:rPr>
                <w:rFonts w:ascii="Calibri" w:eastAsia="Times New Roman" w:hAnsi="Calibri" w:cs="Times New Roman"/>
                <w:color w:val="000000"/>
                <w:lang w:eastAsia="fr-FR"/>
              </w:rPr>
              <w:t> </w:t>
            </w:r>
          </w:p>
        </w:tc>
        <w:tc>
          <w:tcPr>
            <w:tcW w:w="878"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650"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199"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sz w:val="14"/>
                <w:szCs w:val="14"/>
                <w:lang w:eastAsia="fr-FR"/>
              </w:rPr>
            </w:pPr>
          </w:p>
        </w:tc>
        <w:tc>
          <w:tcPr>
            <w:tcW w:w="1698" w:type="dxa"/>
            <w:gridSpan w:val="2"/>
            <w:tcBorders>
              <w:top w:val="single" w:sz="4" w:space="0" w:color="auto"/>
              <w:left w:val="nil"/>
              <w:bottom w:val="single" w:sz="8" w:space="0" w:color="auto"/>
              <w:right w:val="nil"/>
            </w:tcBorders>
            <w:shd w:val="clear" w:color="auto" w:fill="auto"/>
            <w:noWrap/>
            <w:vAlign w:val="bottom"/>
            <w:hideMark/>
          </w:tcPr>
          <w:p w:rsidR="002D4628" w:rsidRPr="002D4628" w:rsidRDefault="002D4628"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AR(0)-FIAPARCH(1,d,1)</w:t>
            </w:r>
          </w:p>
        </w:tc>
        <w:tc>
          <w:tcPr>
            <w:tcW w:w="199"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sz w:val="14"/>
                <w:szCs w:val="14"/>
                <w:lang w:eastAsia="fr-FR"/>
              </w:rPr>
            </w:pPr>
          </w:p>
        </w:tc>
        <w:tc>
          <w:tcPr>
            <w:tcW w:w="900"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c>
          <w:tcPr>
            <w:tcW w:w="607" w:type="dxa"/>
            <w:tcBorders>
              <w:top w:val="single" w:sz="4" w:space="0" w:color="auto"/>
              <w:left w:val="nil"/>
              <w:bottom w:val="nil"/>
              <w:right w:val="nil"/>
            </w:tcBorders>
            <w:shd w:val="clear" w:color="auto" w:fill="auto"/>
            <w:noWrap/>
            <w:vAlign w:val="bottom"/>
            <w:hideMark/>
          </w:tcPr>
          <w:p w:rsidR="002D4628" w:rsidRPr="002D4628" w:rsidRDefault="002D4628" w:rsidP="002D4628">
            <w:pPr>
              <w:spacing w:after="0" w:line="240" w:lineRule="auto"/>
              <w:rPr>
                <w:rFonts w:ascii="Calibri" w:eastAsia="Times New Roman" w:hAnsi="Calibri" w:cs="Times New Roman"/>
                <w:color w:val="000000"/>
                <w:lang w:eastAsia="fr-FR"/>
              </w:rPr>
            </w:pPr>
          </w:p>
        </w:tc>
      </w:tr>
      <w:tr w:rsidR="002C741B" w:rsidRPr="002D4628" w:rsidTr="00713545">
        <w:trPr>
          <w:trHeight w:val="54"/>
          <w:jc w:val="center"/>
        </w:trPr>
        <w:tc>
          <w:tcPr>
            <w:tcW w:w="651" w:type="dxa"/>
            <w:vMerge w:val="restart"/>
            <w:tcBorders>
              <w:top w:val="single" w:sz="8" w:space="0" w:color="auto"/>
              <w:left w:val="nil"/>
              <w:bottom w:val="single" w:sz="8" w:space="0" w:color="000000"/>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Variable</w:t>
            </w:r>
          </w:p>
        </w:tc>
        <w:tc>
          <w:tcPr>
            <w:tcW w:w="1722" w:type="dxa"/>
            <w:gridSpan w:val="2"/>
            <w:tcBorders>
              <w:top w:val="single" w:sz="8" w:space="0" w:color="auto"/>
              <w:left w:val="nil"/>
              <w:bottom w:val="single" w:sz="8" w:space="0" w:color="auto"/>
              <w:right w:val="nil"/>
            </w:tcBorders>
            <w:shd w:val="clear" w:color="auto" w:fill="auto"/>
            <w:noWrap/>
            <w:vAlign w:val="bottom"/>
            <w:hideMark/>
          </w:tcPr>
          <w:p w:rsidR="002C741B" w:rsidRPr="002C741B" w:rsidRDefault="00011760" w:rsidP="002D4628">
            <w:pPr>
              <w:spacing w:after="0" w:line="240" w:lineRule="auto"/>
              <w:rPr>
                <w:rFonts w:ascii="Times New Roman" w:eastAsia="Times New Roman" w:hAnsi="Times New Roman" w:cs="Times New Roman"/>
                <w:color w:val="000000"/>
                <w:sz w:val="20"/>
                <w:szCs w:val="20"/>
                <w:lang w:eastAsia="fr-FR"/>
              </w:rPr>
            </w:pPr>
            <m:oMathPara>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usdeur-nikkei225</m:t>
                    </m:r>
                  </m:sub>
                </m:sSub>
              </m:oMath>
            </m:oMathPara>
          </w:p>
        </w:tc>
        <w:tc>
          <w:tcPr>
            <w:tcW w:w="199" w:type="dxa"/>
            <w:tcBorders>
              <w:top w:val="single" w:sz="8" w:space="0" w:color="auto"/>
              <w:left w:val="nil"/>
              <w:bottom w:val="nil"/>
              <w:right w:val="nil"/>
            </w:tcBorders>
            <w:shd w:val="clear" w:color="auto" w:fill="auto"/>
            <w:noWrap/>
            <w:vAlign w:val="bottom"/>
            <w:hideMark/>
          </w:tcPr>
          <w:p w:rsidR="002C741B" w:rsidRPr="002C741B" w:rsidRDefault="002C741B" w:rsidP="002D4628">
            <w:pPr>
              <w:spacing w:after="0" w:line="240" w:lineRule="auto"/>
              <w:rPr>
                <w:rFonts w:ascii="Times New Roman" w:eastAsia="Times New Roman" w:hAnsi="Times New Roman" w:cs="Times New Roman"/>
                <w:color w:val="000000"/>
                <w:sz w:val="20"/>
                <w:szCs w:val="20"/>
                <w:lang w:eastAsia="fr-FR"/>
              </w:rPr>
            </w:pPr>
            <w:r w:rsidRPr="002C741B">
              <w:rPr>
                <w:rFonts w:ascii="Times New Roman" w:eastAsia="Times New Roman" w:hAnsi="Times New Roman" w:cs="Times New Roman"/>
                <w:color w:val="000000"/>
                <w:sz w:val="20"/>
                <w:szCs w:val="20"/>
                <w:lang w:eastAsia="fr-FR"/>
              </w:rPr>
              <w:t> </w:t>
            </w:r>
          </w:p>
        </w:tc>
        <w:tc>
          <w:tcPr>
            <w:tcW w:w="1507" w:type="dxa"/>
            <w:gridSpan w:val="2"/>
            <w:tcBorders>
              <w:top w:val="single" w:sz="8" w:space="0" w:color="auto"/>
              <w:left w:val="nil"/>
              <w:bottom w:val="single" w:sz="8" w:space="0" w:color="auto"/>
              <w:right w:val="nil"/>
            </w:tcBorders>
            <w:shd w:val="clear" w:color="auto" w:fill="auto"/>
            <w:noWrap/>
            <w:vAlign w:val="bottom"/>
            <w:hideMark/>
          </w:tcPr>
          <w:p w:rsidR="002C741B" w:rsidRPr="002C741B" w:rsidRDefault="00011760" w:rsidP="002D4628">
            <w:pPr>
              <w:spacing w:after="0" w:line="240" w:lineRule="auto"/>
              <w:rPr>
                <w:rFonts w:ascii="Times New Roman" w:eastAsia="Times New Roman" w:hAnsi="Times New Roman" w:cs="Times New Roman"/>
                <w:color w:val="000000"/>
                <w:sz w:val="20"/>
                <w:szCs w:val="20"/>
                <w:lang w:eastAsia="fr-FR"/>
              </w:rPr>
            </w:pPr>
            <m:oMathPara>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usdeur-sse</m:t>
                    </m:r>
                  </m:sub>
                </m:sSub>
              </m:oMath>
            </m:oMathPara>
          </w:p>
        </w:tc>
        <w:tc>
          <w:tcPr>
            <w:tcW w:w="199" w:type="dxa"/>
            <w:tcBorders>
              <w:top w:val="single" w:sz="8" w:space="0" w:color="auto"/>
              <w:left w:val="nil"/>
              <w:bottom w:val="nil"/>
              <w:right w:val="nil"/>
            </w:tcBorders>
            <w:shd w:val="clear" w:color="auto" w:fill="auto"/>
            <w:noWrap/>
            <w:vAlign w:val="bottom"/>
            <w:hideMark/>
          </w:tcPr>
          <w:p w:rsidR="002C741B" w:rsidRPr="002C741B" w:rsidRDefault="002C741B" w:rsidP="002D4628">
            <w:pPr>
              <w:spacing w:after="0" w:line="240" w:lineRule="auto"/>
              <w:rPr>
                <w:rFonts w:ascii="Times New Roman" w:eastAsia="Times New Roman" w:hAnsi="Times New Roman" w:cs="Times New Roman"/>
                <w:color w:val="000000"/>
                <w:sz w:val="20"/>
                <w:szCs w:val="20"/>
                <w:lang w:eastAsia="fr-FR"/>
              </w:rPr>
            </w:pPr>
            <w:r w:rsidRPr="002C741B">
              <w:rPr>
                <w:rFonts w:ascii="Times New Roman" w:eastAsia="Times New Roman" w:hAnsi="Times New Roman" w:cs="Times New Roman"/>
                <w:color w:val="000000"/>
                <w:sz w:val="20"/>
                <w:szCs w:val="20"/>
                <w:lang w:eastAsia="fr-FR"/>
              </w:rPr>
              <w:t> </w:t>
            </w:r>
          </w:p>
        </w:tc>
        <w:tc>
          <w:tcPr>
            <w:tcW w:w="1507" w:type="dxa"/>
            <w:gridSpan w:val="2"/>
            <w:tcBorders>
              <w:top w:val="single" w:sz="8" w:space="0" w:color="auto"/>
              <w:left w:val="nil"/>
              <w:bottom w:val="single" w:sz="8" w:space="0" w:color="auto"/>
              <w:right w:val="nil"/>
            </w:tcBorders>
            <w:shd w:val="clear" w:color="auto" w:fill="auto"/>
            <w:noWrap/>
            <w:vAlign w:val="bottom"/>
            <w:hideMark/>
          </w:tcPr>
          <w:p w:rsidR="002C741B" w:rsidRPr="002C741B" w:rsidRDefault="00011760" w:rsidP="002D4628">
            <w:pPr>
              <w:spacing w:after="0" w:line="240" w:lineRule="auto"/>
              <w:rPr>
                <w:rFonts w:ascii="Times New Roman" w:eastAsia="Times New Roman" w:hAnsi="Times New Roman" w:cs="Times New Roman"/>
                <w:color w:val="000000"/>
                <w:sz w:val="20"/>
                <w:szCs w:val="20"/>
                <w:lang w:eastAsia="fr-FR"/>
              </w:rPr>
            </w:pPr>
            <m:oMathPara>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usdeur-msci</m:t>
                    </m:r>
                  </m:sub>
                </m:sSub>
              </m:oMath>
            </m:oMathPara>
          </w:p>
        </w:tc>
        <w:tc>
          <w:tcPr>
            <w:tcW w:w="199" w:type="dxa"/>
            <w:tcBorders>
              <w:top w:val="nil"/>
              <w:left w:val="nil"/>
              <w:bottom w:val="nil"/>
              <w:right w:val="nil"/>
            </w:tcBorders>
            <w:shd w:val="clear" w:color="auto" w:fill="auto"/>
            <w:noWrap/>
            <w:vAlign w:val="bottom"/>
            <w:hideMark/>
          </w:tcPr>
          <w:p w:rsidR="002C741B" w:rsidRPr="002C741B" w:rsidRDefault="002C741B" w:rsidP="002D4628">
            <w:pPr>
              <w:spacing w:after="0" w:line="240" w:lineRule="auto"/>
              <w:rPr>
                <w:rFonts w:ascii="Times New Roman" w:eastAsia="Times New Roman" w:hAnsi="Times New Roman" w:cs="Times New Roman"/>
                <w:color w:val="000000"/>
                <w:sz w:val="20"/>
                <w:szCs w:val="20"/>
                <w:lang w:eastAsia="fr-FR"/>
              </w:rPr>
            </w:pPr>
          </w:p>
        </w:tc>
        <w:tc>
          <w:tcPr>
            <w:tcW w:w="1528" w:type="dxa"/>
            <w:gridSpan w:val="2"/>
            <w:tcBorders>
              <w:top w:val="single" w:sz="8" w:space="0" w:color="auto"/>
              <w:left w:val="nil"/>
              <w:bottom w:val="single" w:sz="8" w:space="0" w:color="auto"/>
              <w:right w:val="nil"/>
            </w:tcBorders>
            <w:shd w:val="clear" w:color="auto" w:fill="auto"/>
            <w:noWrap/>
            <w:vAlign w:val="bottom"/>
            <w:hideMark/>
          </w:tcPr>
          <w:p w:rsidR="002C741B" w:rsidRPr="00713545" w:rsidRDefault="00011760" w:rsidP="006D278B">
            <w:pPr>
              <w:spacing w:after="0" w:line="240" w:lineRule="auto"/>
              <w:rPr>
                <w:rFonts w:ascii="Times New Roman" w:eastAsia="Times New Roman" w:hAnsi="Times New Roman" w:cs="Times New Roman"/>
                <w:color w:val="000000"/>
                <w:sz w:val="20"/>
                <w:szCs w:val="20"/>
                <w:lang w:eastAsia="fr-FR"/>
              </w:rPr>
            </w:pPr>
            <m:oMathPara>
              <m:oMathParaPr>
                <m:jc m:val="center"/>
              </m:oMathParaPr>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usdeur-nikkei225</m:t>
                    </m:r>
                  </m:sub>
                </m:sSub>
              </m:oMath>
            </m:oMathPara>
          </w:p>
        </w:tc>
        <w:tc>
          <w:tcPr>
            <w:tcW w:w="199" w:type="dxa"/>
            <w:tcBorders>
              <w:top w:val="single" w:sz="8" w:space="0" w:color="auto"/>
              <w:left w:val="nil"/>
              <w:bottom w:val="nil"/>
              <w:right w:val="nil"/>
            </w:tcBorders>
            <w:shd w:val="clear" w:color="auto" w:fill="auto"/>
            <w:noWrap/>
            <w:vAlign w:val="bottom"/>
            <w:hideMark/>
          </w:tcPr>
          <w:p w:rsidR="002C741B" w:rsidRPr="002C741B" w:rsidRDefault="002C741B" w:rsidP="006D278B">
            <w:pPr>
              <w:spacing w:after="0" w:line="240" w:lineRule="auto"/>
              <w:rPr>
                <w:rFonts w:ascii="Times New Roman" w:eastAsia="Times New Roman" w:hAnsi="Times New Roman" w:cs="Times New Roman"/>
                <w:color w:val="000000"/>
                <w:sz w:val="20"/>
                <w:szCs w:val="20"/>
                <w:lang w:eastAsia="fr-FR"/>
              </w:rPr>
            </w:pPr>
            <w:r w:rsidRPr="002C741B">
              <w:rPr>
                <w:rFonts w:ascii="Times New Roman" w:eastAsia="Times New Roman" w:hAnsi="Times New Roman" w:cs="Times New Roman"/>
                <w:color w:val="000000"/>
                <w:sz w:val="20"/>
                <w:szCs w:val="20"/>
                <w:lang w:eastAsia="fr-FR"/>
              </w:rPr>
              <w:t> </w:t>
            </w:r>
          </w:p>
        </w:tc>
        <w:tc>
          <w:tcPr>
            <w:tcW w:w="1698" w:type="dxa"/>
            <w:gridSpan w:val="2"/>
            <w:tcBorders>
              <w:top w:val="single" w:sz="8" w:space="0" w:color="auto"/>
              <w:left w:val="nil"/>
              <w:bottom w:val="single" w:sz="8" w:space="0" w:color="auto"/>
              <w:right w:val="nil"/>
            </w:tcBorders>
            <w:shd w:val="clear" w:color="auto" w:fill="auto"/>
            <w:noWrap/>
            <w:vAlign w:val="bottom"/>
            <w:hideMark/>
          </w:tcPr>
          <w:p w:rsidR="002C741B" w:rsidRPr="002C741B" w:rsidRDefault="00011760" w:rsidP="006D278B">
            <w:pPr>
              <w:spacing w:after="0" w:line="240" w:lineRule="auto"/>
              <w:rPr>
                <w:rFonts w:ascii="Times New Roman" w:eastAsia="Times New Roman" w:hAnsi="Times New Roman" w:cs="Times New Roman"/>
                <w:color w:val="000000"/>
                <w:sz w:val="20"/>
                <w:szCs w:val="20"/>
                <w:lang w:eastAsia="fr-FR"/>
              </w:rPr>
            </w:pPr>
            <m:oMathPara>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usdeur-sse</m:t>
                    </m:r>
                  </m:sub>
                </m:sSub>
              </m:oMath>
            </m:oMathPara>
          </w:p>
        </w:tc>
        <w:tc>
          <w:tcPr>
            <w:tcW w:w="199" w:type="dxa"/>
            <w:tcBorders>
              <w:top w:val="nil"/>
              <w:left w:val="nil"/>
              <w:bottom w:val="single" w:sz="8" w:space="0" w:color="auto"/>
              <w:right w:val="nil"/>
            </w:tcBorders>
            <w:shd w:val="clear" w:color="auto" w:fill="auto"/>
            <w:noWrap/>
            <w:vAlign w:val="bottom"/>
            <w:hideMark/>
          </w:tcPr>
          <w:p w:rsidR="002C741B" w:rsidRPr="002C741B" w:rsidRDefault="002C741B" w:rsidP="006D278B">
            <w:pPr>
              <w:spacing w:after="0" w:line="240" w:lineRule="auto"/>
              <w:rPr>
                <w:rFonts w:ascii="Times New Roman" w:eastAsia="Times New Roman" w:hAnsi="Times New Roman" w:cs="Times New Roman"/>
                <w:color w:val="000000"/>
                <w:sz w:val="20"/>
                <w:szCs w:val="20"/>
                <w:lang w:eastAsia="fr-FR"/>
              </w:rPr>
            </w:pPr>
            <w:r w:rsidRPr="002C741B">
              <w:rPr>
                <w:rFonts w:ascii="Times New Roman" w:eastAsia="Times New Roman" w:hAnsi="Times New Roman" w:cs="Times New Roman"/>
                <w:color w:val="000000"/>
                <w:sz w:val="20"/>
                <w:szCs w:val="20"/>
                <w:lang w:eastAsia="fr-FR"/>
              </w:rPr>
              <w:t> </w:t>
            </w:r>
          </w:p>
        </w:tc>
        <w:tc>
          <w:tcPr>
            <w:tcW w:w="1507" w:type="dxa"/>
            <w:gridSpan w:val="2"/>
            <w:tcBorders>
              <w:top w:val="single" w:sz="8" w:space="0" w:color="auto"/>
              <w:left w:val="nil"/>
              <w:bottom w:val="single" w:sz="8" w:space="0" w:color="auto"/>
              <w:right w:val="nil"/>
            </w:tcBorders>
            <w:shd w:val="clear" w:color="auto" w:fill="auto"/>
            <w:noWrap/>
            <w:vAlign w:val="bottom"/>
            <w:hideMark/>
          </w:tcPr>
          <w:p w:rsidR="002C741B" w:rsidRPr="002C741B" w:rsidRDefault="00011760" w:rsidP="006D278B">
            <w:pPr>
              <w:spacing w:after="0" w:line="240" w:lineRule="auto"/>
              <w:rPr>
                <w:rFonts w:ascii="Times New Roman" w:eastAsia="Times New Roman" w:hAnsi="Times New Roman" w:cs="Times New Roman"/>
                <w:color w:val="000000"/>
                <w:sz w:val="20"/>
                <w:szCs w:val="20"/>
                <w:lang w:eastAsia="fr-FR"/>
              </w:rPr>
            </w:pPr>
            <m:oMathPara>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ρ</m:t>
                    </m:r>
                  </m:e>
                  <m:sub>
                    <m:r>
                      <w:rPr>
                        <w:rFonts w:ascii="Cambria Math" w:hAnsi="Cambria Math" w:cstheme="majorBidi"/>
                        <w:sz w:val="20"/>
                        <w:szCs w:val="20"/>
                        <w:lang w:val="en-US"/>
                      </w:rPr>
                      <m:t>usdeur-msci</m:t>
                    </m:r>
                  </m:sub>
                </m:sSub>
              </m:oMath>
            </m:oMathPara>
          </w:p>
        </w:tc>
      </w:tr>
      <w:tr w:rsidR="002C741B" w:rsidRPr="002D4628" w:rsidTr="00713545">
        <w:trPr>
          <w:trHeight w:val="103"/>
          <w:jc w:val="center"/>
        </w:trPr>
        <w:tc>
          <w:tcPr>
            <w:tcW w:w="651" w:type="dxa"/>
            <w:vMerge/>
            <w:tcBorders>
              <w:top w:val="single" w:sz="8" w:space="0" w:color="auto"/>
              <w:left w:val="nil"/>
              <w:bottom w:val="single" w:sz="8" w:space="0" w:color="000000"/>
              <w:right w:val="nil"/>
            </w:tcBorders>
            <w:vAlign w:val="center"/>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p>
        </w:tc>
        <w:tc>
          <w:tcPr>
            <w:tcW w:w="974"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74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4"/>
                <w:szCs w:val="14"/>
                <w:lang w:eastAsia="fr-FR"/>
              </w:rPr>
            </w:pP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4"/>
                <w:szCs w:val="14"/>
                <w:lang w:eastAsia="fr-FR"/>
              </w:rPr>
            </w:pP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4"/>
                <w:szCs w:val="14"/>
                <w:lang w:eastAsia="fr-FR"/>
              </w:rPr>
            </w:pPr>
          </w:p>
        </w:tc>
        <w:tc>
          <w:tcPr>
            <w:tcW w:w="87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65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4"/>
                <w:szCs w:val="14"/>
                <w:lang w:eastAsia="fr-FR"/>
              </w:rPr>
            </w:pPr>
          </w:p>
        </w:tc>
        <w:tc>
          <w:tcPr>
            <w:tcW w:w="82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87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4"/>
                <w:szCs w:val="14"/>
                <w:lang w:eastAsia="fr-FR"/>
              </w:rPr>
            </w:pP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eastAsia="fr-FR"/>
              </w:rPr>
              <w:t>Coefficient</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4"/>
                <w:szCs w:val="14"/>
                <w:lang w:eastAsia="fr-FR"/>
              </w:rPr>
            </w:pPr>
            <w:r w:rsidRPr="002D4628">
              <w:rPr>
                <w:rFonts w:ascii="Times New Roman" w:eastAsia="Times New Roman" w:hAnsi="Times New Roman" w:cs="Times New Roman"/>
                <w:color w:val="000000"/>
                <w:sz w:val="14"/>
                <w:szCs w:val="14"/>
                <w:lang w:val="en-US" w:eastAsia="fr-FR"/>
              </w:rPr>
              <w:t>p-value</w:t>
            </w:r>
          </w:p>
        </w:tc>
      </w:tr>
      <w:tr w:rsidR="002C741B" w:rsidRPr="002D4628" w:rsidTr="00713545">
        <w:trPr>
          <w:trHeight w:val="62"/>
          <w:jc w:val="center"/>
        </w:trPr>
        <w:tc>
          <w:tcPr>
            <w:tcW w:w="651" w:type="dxa"/>
            <w:tcBorders>
              <w:top w:val="nil"/>
              <w:left w:val="nil"/>
              <w:bottom w:val="nil"/>
              <w:right w:val="nil"/>
            </w:tcBorders>
            <w:shd w:val="clear" w:color="auto" w:fill="auto"/>
            <w:noWrap/>
            <w:vAlign w:val="center"/>
            <w:hideMark/>
          </w:tcPr>
          <w:p w:rsidR="002C741B" w:rsidRPr="004D7CB9" w:rsidRDefault="00011760" w:rsidP="00BF0FC9">
            <w:pPr>
              <w:spacing w:after="0" w:line="240" w:lineRule="auto"/>
              <w:rPr>
                <w:rFonts w:ascii="Times New Roman" w:eastAsia="Times New Roman" w:hAnsi="Times New Roman" w:cs="Times New Roman"/>
                <w:sz w:val="16"/>
                <w:szCs w:val="16"/>
                <w:lang w:val="en-US" w:eastAsia="fr-FR"/>
              </w:rPr>
            </w:pPr>
            <m:oMathPara>
              <m:oMath>
                <m:sSub>
                  <m:sSubPr>
                    <m:ctrlPr>
                      <w:rPr>
                        <w:rFonts w:ascii="Cambria Math" w:eastAsia="Times New Roman" w:hAnsi="Cambria Math" w:cs="Times New Roman"/>
                        <w:bCs/>
                        <w:i/>
                        <w:sz w:val="16"/>
                        <w:szCs w:val="16"/>
                        <w:lang w:val="en-US" w:eastAsia="fr-FR"/>
                      </w:rPr>
                    </m:ctrlPr>
                  </m:sSubPr>
                  <m:e>
                    <m:r>
                      <w:rPr>
                        <w:rFonts w:ascii="Cambria Math" w:eastAsia="Times New Roman" w:hAnsi="Cambria Math" w:cs="Times New Roman"/>
                        <w:sz w:val="16"/>
                        <w:szCs w:val="16"/>
                        <w:lang w:val="en-US" w:eastAsia="fr-FR"/>
                      </w:rPr>
                      <m:t>ϕ</m:t>
                    </m:r>
                  </m:e>
                  <m:sub>
                    <m:r>
                      <w:rPr>
                        <w:rFonts w:ascii="Cambria Math" w:eastAsia="Times New Roman" w:hAnsi="Cambria Math" w:cs="Times New Roman"/>
                        <w:sz w:val="16"/>
                        <w:szCs w:val="16"/>
                        <w:lang w:val="en-US" w:eastAsia="fr-FR"/>
                      </w:rPr>
                      <m:t>0</m:t>
                    </m:r>
                  </m:sub>
                </m:sSub>
              </m:oMath>
            </m:oMathPara>
          </w:p>
        </w:tc>
        <w:tc>
          <w:tcPr>
            <w:tcW w:w="974"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1.3522</w:t>
            </w:r>
          </w:p>
        </w:tc>
        <w:tc>
          <w:tcPr>
            <w:tcW w:w="74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0.3385</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2.3657</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1.0675</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0.0182</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1.0356</w:t>
            </w:r>
            <w:r>
              <w:rPr>
                <w:rFonts w:ascii="Times New Roman" w:eastAsia="Times New Roman" w:hAnsi="Times New Roman" w:cs="Times New Roman"/>
                <w:color w:val="000000"/>
                <w:sz w:val="16"/>
                <w:szCs w:val="16"/>
                <w:lang w:eastAsia="fr-FR"/>
              </w:rPr>
              <w:t>***</w:t>
            </w:r>
          </w:p>
        </w:tc>
        <w:tc>
          <w:tcPr>
            <w:tcW w:w="65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0.8447</w:t>
            </w:r>
            <w:r>
              <w:rPr>
                <w:rFonts w:ascii="Times New Roman" w:eastAsia="Times New Roman" w:hAnsi="Times New Roman" w:cs="Times New Roman"/>
                <w:color w:val="000000"/>
                <w:sz w:val="16"/>
                <w:szCs w:val="16"/>
                <w:lang w:eastAsia="fr-FR"/>
              </w:rPr>
              <w:t>***</w:t>
            </w: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1.3492</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2C741B" w:rsidRPr="002D4628" w:rsidTr="00713545">
        <w:trPr>
          <w:trHeight w:val="74"/>
          <w:jc w:val="center"/>
        </w:trPr>
        <w:tc>
          <w:tcPr>
            <w:tcW w:w="651" w:type="dxa"/>
            <w:tcBorders>
              <w:top w:val="nil"/>
              <w:left w:val="nil"/>
              <w:bottom w:val="nil"/>
              <w:right w:val="nil"/>
            </w:tcBorders>
            <w:shd w:val="clear" w:color="auto" w:fill="auto"/>
            <w:noWrap/>
            <w:vAlign w:val="center"/>
            <w:hideMark/>
          </w:tcPr>
          <w:p w:rsidR="002C741B" w:rsidRPr="004D7CB9" w:rsidRDefault="00011760" w:rsidP="00BF0FC9">
            <w:pPr>
              <w:spacing w:after="0" w:line="240" w:lineRule="auto"/>
              <w:rPr>
                <w:rFonts w:ascii="Times New Roman" w:eastAsia="Times New Roman" w:hAnsi="Times New Roman" w:cs="Times New Roman"/>
                <w:sz w:val="16"/>
                <w:szCs w:val="16"/>
                <w:lang w:val="en-US" w:eastAsia="fr-FR"/>
              </w:rPr>
            </w:pPr>
            <m:oMathPara>
              <m:oMath>
                <m:sSub>
                  <m:sSubPr>
                    <m:ctrlPr>
                      <w:rPr>
                        <w:rFonts w:ascii="Cambria Math" w:eastAsia="Times New Roman" w:hAnsi="Cambria Math" w:cs="Times New Roman"/>
                        <w:bCs/>
                        <w:i/>
                        <w:sz w:val="16"/>
                        <w:szCs w:val="16"/>
                        <w:lang w:val="en-US" w:eastAsia="fr-FR"/>
                      </w:rPr>
                    </m:ctrlPr>
                  </m:sSubPr>
                  <m:e>
                    <m:r>
                      <w:rPr>
                        <w:rFonts w:ascii="Cambria Math" w:eastAsia="Times New Roman" w:hAnsi="Cambria Math" w:cs="Times New Roman"/>
                        <w:sz w:val="16"/>
                        <w:szCs w:val="16"/>
                        <w:lang w:val="en-US" w:eastAsia="fr-FR"/>
                      </w:rPr>
                      <m:t>ϕ</m:t>
                    </m:r>
                  </m:e>
                  <m:sub>
                    <m:r>
                      <w:rPr>
                        <w:rFonts w:ascii="Cambria Math" w:eastAsia="Times New Roman" w:hAnsi="Cambria Math" w:cs="Times New Roman"/>
                        <w:sz w:val="16"/>
                        <w:szCs w:val="16"/>
                        <w:lang w:val="en-US" w:eastAsia="fr-FR"/>
                      </w:rPr>
                      <m:t>1</m:t>
                    </m:r>
                  </m:sub>
                </m:sSub>
              </m:oMath>
            </m:oMathPara>
          </w:p>
        </w:tc>
        <w:tc>
          <w:tcPr>
            <w:tcW w:w="974"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-0.7688</w:t>
            </w:r>
          </w:p>
        </w:tc>
        <w:tc>
          <w:tcPr>
            <w:tcW w:w="74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0.59001</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-1.529</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0.0005</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-0.5887</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0.2173</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-0.0362</w:t>
            </w:r>
          </w:p>
        </w:tc>
        <w:tc>
          <w:tcPr>
            <w:tcW w:w="65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0.7642</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0.1899</w:t>
            </w: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0.1506</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-0.428</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2C741B" w:rsidRPr="002D4628" w:rsidTr="00713545">
        <w:trPr>
          <w:trHeight w:val="117"/>
          <w:jc w:val="center"/>
        </w:trPr>
        <w:tc>
          <w:tcPr>
            <w:tcW w:w="651" w:type="dxa"/>
            <w:tcBorders>
              <w:top w:val="nil"/>
              <w:left w:val="nil"/>
              <w:bottom w:val="nil"/>
              <w:right w:val="nil"/>
            </w:tcBorders>
            <w:shd w:val="clear" w:color="auto" w:fill="auto"/>
            <w:noWrap/>
            <w:vAlign w:val="center"/>
            <w:hideMark/>
          </w:tcPr>
          <w:p w:rsidR="002C741B" w:rsidRPr="004D7CB9" w:rsidRDefault="00011760" w:rsidP="00BF0FC9">
            <w:pPr>
              <w:spacing w:after="0" w:line="240" w:lineRule="auto"/>
              <w:rPr>
                <w:rFonts w:ascii="Times New Roman" w:eastAsia="Times New Roman" w:hAnsi="Times New Roman" w:cs="Times New Roman"/>
                <w:sz w:val="16"/>
                <w:szCs w:val="16"/>
                <w:lang w:eastAsia="fr-FR"/>
              </w:rPr>
            </w:pPr>
            <m:oMathPara>
              <m:oMath>
                <m:sSub>
                  <m:sSubPr>
                    <m:ctrlPr>
                      <w:rPr>
                        <w:rFonts w:ascii="Cambria Math" w:eastAsia="Times New Roman" w:hAnsi="Cambria Math" w:cs="Times New Roman"/>
                        <w:bCs/>
                        <w:i/>
                        <w:sz w:val="16"/>
                        <w:szCs w:val="16"/>
                        <w:lang w:val="en-US" w:eastAsia="fr-FR"/>
                      </w:rPr>
                    </m:ctrlPr>
                  </m:sSubPr>
                  <m:e>
                    <m:r>
                      <w:rPr>
                        <w:rFonts w:ascii="Cambria Math" w:eastAsia="Times New Roman" w:hAnsi="Cambria Math" w:cs="Times New Roman"/>
                        <w:sz w:val="16"/>
                        <w:szCs w:val="16"/>
                        <w:lang w:val="en-US" w:eastAsia="fr-FR"/>
                      </w:rPr>
                      <m:t>ϕ</m:t>
                    </m:r>
                  </m:e>
                  <m:sub>
                    <m:r>
                      <w:rPr>
                        <w:rFonts w:ascii="Cambria Math" w:eastAsia="Times New Roman" w:hAnsi="Cambria Math" w:cs="Times New Roman"/>
                        <w:sz w:val="16"/>
                        <w:szCs w:val="16"/>
                        <w:lang w:val="en-US" w:eastAsia="fr-FR"/>
                      </w:rPr>
                      <m:t>2</m:t>
                    </m:r>
                  </m:sub>
                </m:sSub>
              </m:oMath>
            </m:oMathPara>
          </w:p>
        </w:tc>
        <w:tc>
          <w:tcPr>
            <w:tcW w:w="974"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-0.706***</w:t>
            </w:r>
          </w:p>
        </w:tc>
        <w:tc>
          <w:tcPr>
            <w:tcW w:w="74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0.0003</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-0.2395</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0.0651</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-0.779</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0.0144</w:t>
            </w:r>
          </w:p>
        </w:tc>
        <w:tc>
          <w:tcPr>
            <w:tcW w:w="65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0.8776</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0.0271</w:t>
            </w: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0.7265</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-0.0774</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0.3188</w:t>
            </w:r>
          </w:p>
        </w:tc>
      </w:tr>
      <w:tr w:rsidR="002C741B" w:rsidRPr="002D4628" w:rsidTr="00713545">
        <w:trPr>
          <w:trHeight w:val="76"/>
          <w:jc w:val="center"/>
        </w:trPr>
        <w:tc>
          <w:tcPr>
            <w:tcW w:w="651" w:type="dxa"/>
            <w:tcBorders>
              <w:top w:val="nil"/>
              <w:left w:val="nil"/>
              <w:bottom w:val="nil"/>
              <w:right w:val="nil"/>
            </w:tcBorders>
            <w:shd w:val="clear" w:color="auto" w:fill="auto"/>
            <w:noWrap/>
            <w:vAlign w:val="center"/>
            <w:hideMark/>
          </w:tcPr>
          <w:p w:rsidR="002C741B" w:rsidRPr="004D7CB9" w:rsidRDefault="00011760" w:rsidP="00BF0FC9">
            <w:pPr>
              <w:spacing w:after="0" w:line="240" w:lineRule="auto"/>
              <w:rPr>
                <w:rFonts w:ascii="Times New Roman" w:eastAsia="Times New Roman" w:hAnsi="Times New Roman" w:cs="Times New Roman"/>
                <w:sz w:val="16"/>
                <w:szCs w:val="16"/>
                <w:lang w:eastAsia="fr-FR"/>
              </w:rPr>
            </w:pPr>
            <m:oMathPara>
              <m:oMath>
                <m:sSub>
                  <m:sSubPr>
                    <m:ctrlPr>
                      <w:rPr>
                        <w:rFonts w:ascii="Cambria Math" w:eastAsia="Times New Roman" w:hAnsi="Cambria Math" w:cs="Times New Roman"/>
                        <w:bCs/>
                        <w:i/>
                        <w:sz w:val="16"/>
                        <w:szCs w:val="16"/>
                        <w:lang w:val="en-US" w:eastAsia="fr-FR"/>
                      </w:rPr>
                    </m:ctrlPr>
                  </m:sSubPr>
                  <m:e>
                    <m:r>
                      <w:rPr>
                        <w:rFonts w:ascii="Cambria Math" w:eastAsia="Times New Roman" w:hAnsi="Cambria Math" w:cs="Times New Roman"/>
                        <w:sz w:val="16"/>
                        <w:szCs w:val="16"/>
                        <w:lang w:val="en-US" w:eastAsia="fr-FR"/>
                      </w:rPr>
                      <m:t>ϕ</m:t>
                    </m:r>
                  </m:e>
                  <m:sub>
                    <m:r>
                      <w:rPr>
                        <w:rFonts w:ascii="Cambria Math" w:eastAsia="Times New Roman" w:hAnsi="Cambria Math" w:cs="Times New Roman"/>
                        <w:sz w:val="16"/>
                        <w:szCs w:val="16"/>
                        <w:lang w:val="en-US" w:eastAsia="fr-FR"/>
                      </w:rPr>
                      <m:t>3</m:t>
                    </m:r>
                  </m:sub>
                </m:sSub>
              </m:oMath>
            </m:oMathPara>
          </w:p>
        </w:tc>
        <w:tc>
          <w:tcPr>
            <w:tcW w:w="974"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-2.0691</w:t>
            </w:r>
          </w:p>
        </w:tc>
        <w:tc>
          <w:tcPr>
            <w:tcW w:w="74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0.5481</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-7.513</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-0.4772</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0.6662</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-0.0231</w:t>
            </w:r>
          </w:p>
        </w:tc>
        <w:tc>
          <w:tcPr>
            <w:tcW w:w="65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0.7627</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82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0.1467</w:t>
            </w:r>
          </w:p>
        </w:tc>
        <w:tc>
          <w:tcPr>
            <w:tcW w:w="878"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0.1732</w:t>
            </w:r>
          </w:p>
        </w:tc>
        <w:tc>
          <w:tcPr>
            <w:tcW w:w="199"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p>
        </w:tc>
        <w:tc>
          <w:tcPr>
            <w:tcW w:w="900"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-0.348</w:t>
            </w:r>
            <w:r>
              <w:rPr>
                <w:rFonts w:ascii="Times New Roman" w:eastAsia="Times New Roman" w:hAnsi="Times New Roman" w:cs="Times New Roman"/>
                <w:color w:val="000000"/>
                <w:sz w:val="16"/>
                <w:szCs w:val="16"/>
                <w:lang w:eastAsia="fr-FR"/>
              </w:rPr>
              <w:t>***</w:t>
            </w:r>
          </w:p>
        </w:tc>
        <w:tc>
          <w:tcPr>
            <w:tcW w:w="607" w:type="dxa"/>
            <w:tcBorders>
              <w:top w:val="nil"/>
              <w:left w:val="nil"/>
              <w:bottom w:val="nil"/>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2C741B" w:rsidRPr="002D4628" w:rsidTr="00713545">
        <w:trPr>
          <w:trHeight w:val="74"/>
          <w:jc w:val="center"/>
        </w:trPr>
        <w:tc>
          <w:tcPr>
            <w:tcW w:w="651" w:type="dxa"/>
            <w:tcBorders>
              <w:top w:val="nil"/>
              <w:left w:val="nil"/>
              <w:bottom w:val="single" w:sz="8" w:space="0" w:color="auto"/>
              <w:right w:val="nil"/>
            </w:tcBorders>
            <w:shd w:val="clear" w:color="auto" w:fill="auto"/>
            <w:noWrap/>
            <w:vAlign w:val="center"/>
            <w:hideMark/>
          </w:tcPr>
          <w:p w:rsidR="002C741B" w:rsidRPr="004D7CB9" w:rsidRDefault="00011760" w:rsidP="00BF0FC9">
            <w:pPr>
              <w:spacing w:after="0" w:line="240" w:lineRule="auto"/>
              <w:rPr>
                <w:rFonts w:ascii="Times New Roman" w:eastAsia="Times New Roman" w:hAnsi="Times New Roman" w:cs="Times New Roman"/>
                <w:sz w:val="16"/>
                <w:szCs w:val="16"/>
                <w:lang w:eastAsia="fr-FR"/>
              </w:rPr>
            </w:pPr>
            <m:oMathPara>
              <m:oMath>
                <m:sSup>
                  <m:sSupPr>
                    <m:ctrlPr>
                      <w:rPr>
                        <w:rFonts w:ascii="Cambria Math" w:eastAsia="Times New Roman" w:hAnsi="Cambria Math" w:cs="Times New Roman"/>
                        <w:i/>
                        <w:sz w:val="16"/>
                        <w:szCs w:val="16"/>
                        <w:lang w:eastAsia="fr-FR"/>
                      </w:rPr>
                    </m:ctrlPr>
                  </m:sSupPr>
                  <m:e>
                    <m:r>
                      <w:rPr>
                        <w:rFonts w:ascii="Cambria Math" w:eastAsia="Times New Roman" w:hAnsi="Cambria Math" w:cs="Times New Roman"/>
                        <w:sz w:val="16"/>
                        <w:szCs w:val="16"/>
                        <w:lang w:eastAsia="fr-FR"/>
                      </w:rPr>
                      <m:t>χ</m:t>
                    </m:r>
                  </m:e>
                  <m:sup>
                    <m:r>
                      <w:rPr>
                        <w:rFonts w:ascii="Cambria Math" w:eastAsia="Times New Roman" w:hAnsi="Cambria Math" w:cs="Times New Roman"/>
                        <w:sz w:val="16"/>
                        <w:szCs w:val="16"/>
                        <w:lang w:eastAsia="fr-FR"/>
                      </w:rPr>
                      <m:t>2</m:t>
                    </m:r>
                  </m:sup>
                </m:sSup>
                <m:r>
                  <w:rPr>
                    <w:rFonts w:ascii="Cambria Math" w:eastAsia="Times New Roman" w:hAnsi="Cambria Math" w:cs="Times New Roman"/>
                    <w:sz w:val="16"/>
                    <w:szCs w:val="16"/>
                    <w:lang w:eastAsia="fr-FR"/>
                  </w:rPr>
                  <m:t>(3)</m:t>
                </m:r>
              </m:oMath>
            </m:oMathPara>
          </w:p>
        </w:tc>
        <w:tc>
          <w:tcPr>
            <w:tcW w:w="974"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13.4475</w:t>
            </w:r>
            <w:r>
              <w:rPr>
                <w:rFonts w:ascii="Times New Roman" w:eastAsia="Times New Roman" w:hAnsi="Times New Roman" w:cs="Times New Roman"/>
                <w:color w:val="000000"/>
                <w:sz w:val="16"/>
                <w:szCs w:val="16"/>
                <w:lang w:eastAsia="fr-FR"/>
              </w:rPr>
              <w:t>***</w:t>
            </w:r>
          </w:p>
        </w:tc>
        <w:tc>
          <w:tcPr>
            <w:tcW w:w="74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0.0037</w:t>
            </w:r>
          </w:p>
        </w:tc>
        <w:tc>
          <w:tcPr>
            <w:tcW w:w="199"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 </w:t>
            </w: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19.8351</w:t>
            </w:r>
            <w:r>
              <w:rPr>
                <w:rFonts w:ascii="Times New Roman" w:eastAsia="Times New Roman" w:hAnsi="Times New Roman" w:cs="Times New Roman"/>
                <w:color w:val="000000"/>
                <w:sz w:val="16"/>
                <w:szCs w:val="16"/>
                <w:lang w:eastAsia="fr-FR"/>
              </w:rPr>
              <w:t>***</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0.0001</w:t>
            </w:r>
          </w:p>
        </w:tc>
        <w:tc>
          <w:tcPr>
            <w:tcW w:w="199"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 </w:t>
            </w: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32.0432</w:t>
            </w:r>
            <w:r>
              <w:rPr>
                <w:rFonts w:ascii="Times New Roman" w:eastAsia="Times New Roman" w:hAnsi="Times New Roman" w:cs="Times New Roman"/>
                <w:color w:val="000000"/>
                <w:sz w:val="16"/>
                <w:szCs w:val="16"/>
                <w:lang w:eastAsia="fr-FR"/>
              </w:rPr>
              <w:t>***</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9"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 </w:t>
            </w:r>
          </w:p>
        </w:tc>
        <w:tc>
          <w:tcPr>
            <w:tcW w:w="87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0.4488</w:t>
            </w:r>
          </w:p>
        </w:tc>
        <w:tc>
          <w:tcPr>
            <w:tcW w:w="65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0.9299</w:t>
            </w:r>
          </w:p>
        </w:tc>
        <w:tc>
          <w:tcPr>
            <w:tcW w:w="199"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 </w:t>
            </w:r>
          </w:p>
        </w:tc>
        <w:tc>
          <w:tcPr>
            <w:tcW w:w="82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2.4501</w:t>
            </w:r>
          </w:p>
        </w:tc>
        <w:tc>
          <w:tcPr>
            <w:tcW w:w="878"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0.4843</w:t>
            </w:r>
          </w:p>
        </w:tc>
        <w:tc>
          <w:tcPr>
            <w:tcW w:w="199"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Calibri" w:eastAsia="Times New Roman" w:hAnsi="Calibri" w:cs="Times New Roman"/>
                <w:color w:val="000000"/>
                <w:sz w:val="16"/>
                <w:szCs w:val="16"/>
                <w:lang w:eastAsia="fr-FR"/>
              </w:rPr>
            </w:pPr>
            <w:r w:rsidRPr="002D4628">
              <w:rPr>
                <w:rFonts w:ascii="Calibri" w:eastAsia="Times New Roman" w:hAnsi="Calibri" w:cs="Times New Roman"/>
                <w:color w:val="000000"/>
                <w:sz w:val="16"/>
                <w:szCs w:val="16"/>
                <w:lang w:eastAsia="fr-FR"/>
              </w:rPr>
              <w:t> </w:t>
            </w:r>
          </w:p>
        </w:tc>
        <w:tc>
          <w:tcPr>
            <w:tcW w:w="900" w:type="dxa"/>
            <w:tcBorders>
              <w:top w:val="nil"/>
              <w:left w:val="nil"/>
              <w:bottom w:val="single" w:sz="8" w:space="0" w:color="auto"/>
              <w:right w:val="nil"/>
            </w:tcBorders>
            <w:shd w:val="clear" w:color="auto" w:fill="auto"/>
            <w:noWrap/>
            <w:vAlign w:val="bottom"/>
            <w:hideMark/>
          </w:tcPr>
          <w:p w:rsidR="002C741B" w:rsidRPr="002D4628" w:rsidRDefault="002C741B" w:rsidP="002D4628">
            <w:pPr>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2.9656</w:t>
            </w:r>
          </w:p>
        </w:tc>
        <w:tc>
          <w:tcPr>
            <w:tcW w:w="607" w:type="dxa"/>
            <w:tcBorders>
              <w:top w:val="nil"/>
              <w:left w:val="nil"/>
              <w:bottom w:val="single" w:sz="8" w:space="0" w:color="auto"/>
              <w:right w:val="nil"/>
            </w:tcBorders>
            <w:shd w:val="clear" w:color="auto" w:fill="auto"/>
            <w:noWrap/>
            <w:vAlign w:val="bottom"/>
            <w:hideMark/>
          </w:tcPr>
          <w:p w:rsidR="002C741B" w:rsidRPr="002D4628" w:rsidRDefault="002C741B" w:rsidP="00713545">
            <w:pPr>
              <w:keepNext/>
              <w:spacing w:after="0" w:line="240" w:lineRule="auto"/>
              <w:rPr>
                <w:rFonts w:ascii="Times New Roman" w:eastAsia="Times New Roman" w:hAnsi="Times New Roman" w:cs="Times New Roman"/>
                <w:color w:val="000000"/>
                <w:sz w:val="16"/>
                <w:szCs w:val="16"/>
                <w:lang w:eastAsia="fr-FR"/>
              </w:rPr>
            </w:pPr>
            <w:r w:rsidRPr="002D4628">
              <w:rPr>
                <w:rFonts w:ascii="Times New Roman" w:eastAsia="Times New Roman" w:hAnsi="Times New Roman" w:cs="Times New Roman"/>
                <w:color w:val="000000"/>
                <w:sz w:val="16"/>
                <w:szCs w:val="16"/>
                <w:lang w:eastAsia="fr-FR"/>
              </w:rPr>
              <w:t>0</w:t>
            </w:r>
            <w:r w:rsidR="00E85884">
              <w:rPr>
                <w:rFonts w:ascii="Times New Roman" w:eastAsia="Times New Roman" w:hAnsi="Times New Roman" w:cs="Times New Roman"/>
                <w:color w:val="000000"/>
                <w:sz w:val="16"/>
                <w:szCs w:val="16"/>
                <w:lang w:eastAsia="fr-FR"/>
              </w:rPr>
              <w:t>.29</w:t>
            </w:r>
            <w:r>
              <w:rPr>
                <w:rFonts w:ascii="Times New Roman" w:eastAsia="Times New Roman" w:hAnsi="Times New Roman" w:cs="Times New Roman"/>
                <w:color w:val="000000"/>
                <w:sz w:val="16"/>
                <w:szCs w:val="16"/>
                <w:lang w:eastAsia="fr-FR"/>
              </w:rPr>
              <w:t>00</w:t>
            </w:r>
          </w:p>
        </w:tc>
      </w:tr>
    </w:tbl>
    <w:p w:rsidR="00713545" w:rsidRDefault="00713545" w:rsidP="00713545">
      <w:pPr>
        <w:pStyle w:val="Lgende"/>
        <w:spacing w:after="0"/>
        <w:ind w:left="1418" w:right="1418"/>
        <w:jc w:val="both"/>
        <w:rPr>
          <w:rFonts w:asciiTheme="majorBidi" w:hAnsiTheme="majorBidi" w:cstheme="majorBidi"/>
          <w:b w:val="0"/>
          <w:color w:val="auto"/>
          <w:sz w:val="16"/>
          <w:szCs w:val="16"/>
          <w:lang w:val="en-US"/>
        </w:rPr>
      </w:pPr>
      <w:r w:rsidRPr="0062679E">
        <w:rPr>
          <w:rFonts w:asciiTheme="majorBidi" w:hAnsiTheme="majorBidi" w:cstheme="majorBidi"/>
          <w:sz w:val="16"/>
          <w:szCs w:val="16"/>
          <w:lang w:val="en-US"/>
        </w:rPr>
        <w:t>Note :</w:t>
      </w:r>
      <w:r w:rsidRPr="00713545">
        <w:rPr>
          <w:rFonts w:asciiTheme="majorBidi" w:hAnsiTheme="majorBidi" w:cstheme="majorBidi"/>
          <w:b w:val="0"/>
          <w:color w:val="auto"/>
          <w:sz w:val="16"/>
          <w:szCs w:val="16"/>
          <w:lang w:val="en-US"/>
        </w:rPr>
        <w:t>The superscripts ***, ** and * denote the statistical significance at 1% and 5% levels, respectively.</w:t>
      </w:r>
    </w:p>
    <w:p w:rsidR="00713545" w:rsidRPr="00713545" w:rsidRDefault="00713545" w:rsidP="00713545">
      <w:pPr>
        <w:rPr>
          <w:lang w:val="en-US"/>
        </w:rPr>
        <w:sectPr w:rsidR="00713545" w:rsidRPr="00713545" w:rsidSect="00DE4B54">
          <w:pgSz w:w="16838" w:h="11906" w:orient="landscape"/>
          <w:pgMar w:top="1418" w:right="1418" w:bottom="1418" w:left="1418" w:header="709" w:footer="709" w:gutter="0"/>
          <w:cols w:space="708"/>
          <w:docGrid w:linePitch="360"/>
        </w:sectPr>
      </w:pPr>
    </w:p>
    <w:p w:rsidR="00FC68E3" w:rsidRPr="00DD2858" w:rsidRDefault="00FC68E3" w:rsidP="008F2B7F">
      <w:pPr>
        <w:autoSpaceDE w:val="0"/>
        <w:autoSpaceDN w:val="0"/>
        <w:adjustRightInd w:val="0"/>
        <w:spacing w:after="0" w:line="240" w:lineRule="auto"/>
        <w:ind w:firstLine="340"/>
        <w:jc w:val="both"/>
        <w:rPr>
          <w:rFonts w:asciiTheme="majorBidi" w:hAnsiTheme="majorBidi" w:cstheme="majorBidi"/>
          <w:color w:val="FF0000"/>
          <w:lang w:val="en-US"/>
        </w:rPr>
      </w:pPr>
      <w:r w:rsidRPr="00924650">
        <w:rPr>
          <w:rFonts w:asciiTheme="majorBidi" w:eastAsiaTheme="minorEastAsia" w:hAnsiTheme="majorBidi" w:cstheme="majorBidi"/>
          <w:lang w:val="en-US"/>
        </w:rPr>
        <w:lastRenderedPageBreak/>
        <w:t xml:space="preserve">Furthermore, the conditional variance equations of the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w:r w:rsidR="008F2B7F" w:rsidRPr="00387B51">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w:r w:rsidR="008F2B7F" w:rsidRPr="00387B51">
        <w:rPr>
          <w:rFonts w:asciiTheme="majorBidi" w:eastAsiaTheme="minorEastAsia" w:hAnsiTheme="majorBidi" w:cstheme="majorBidi"/>
          <w:lang w:val="en-US"/>
        </w:rPr>
        <w:t xml:space="preserve">, and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usdeur-msci</m:t>
            </m:r>
          </m:sub>
        </m:sSub>
      </m:oMath>
      <w:r w:rsidRPr="005431E0">
        <w:rPr>
          <w:rFonts w:asciiTheme="majorBidi" w:eastAsiaTheme="minorEastAsia" w:hAnsiTheme="majorBidi" w:cstheme="majorBidi"/>
          <w:lang w:val="en-US"/>
        </w:rPr>
        <w:t xml:space="preserve"> series </w:t>
      </w:r>
      <w:r>
        <w:rPr>
          <w:rFonts w:asciiTheme="majorBidi" w:eastAsiaTheme="minorEastAsia" w:hAnsiTheme="majorBidi" w:cstheme="majorBidi"/>
          <w:lang w:val="en-US"/>
        </w:rPr>
        <w:t>are</w:t>
      </w:r>
      <w:r w:rsidRPr="005431E0">
        <w:rPr>
          <w:rFonts w:asciiTheme="majorBidi" w:eastAsiaTheme="minorEastAsia" w:hAnsiTheme="majorBidi" w:cstheme="majorBidi"/>
          <w:lang w:val="en-US"/>
        </w:rPr>
        <w:t xml:space="preserve"> assumed to </w:t>
      </w:r>
      <w:r>
        <w:rPr>
          <w:rFonts w:asciiTheme="majorBidi" w:eastAsiaTheme="minorEastAsia" w:hAnsiTheme="majorBidi" w:cstheme="majorBidi"/>
          <w:lang w:val="en-US"/>
        </w:rPr>
        <w:t>follow an asymmetric GARCH</w:t>
      </w:r>
      <w:r w:rsidRPr="005431E0">
        <w:rPr>
          <w:rFonts w:asciiTheme="majorBidi" w:eastAsiaTheme="minorEastAsia" w:hAnsiTheme="majorBidi" w:cstheme="majorBidi"/>
          <w:lang w:val="en-US"/>
        </w:rPr>
        <w:t xml:space="preserve"> specification under a student distributed innovations</w:t>
      </w:r>
      <w:r w:rsidR="008F2B7F">
        <w:rPr>
          <w:rFonts w:asciiTheme="majorBidi" w:eastAsiaTheme="minorEastAsia" w:hAnsiTheme="majorBidi" w:cstheme="majorBidi"/>
          <w:lang w:val="en-US"/>
        </w:rPr>
        <w:t xml:space="preserve"> (</w:t>
      </w:r>
      <w:r w:rsidR="008F2B7F">
        <w:rPr>
          <w:rFonts w:asciiTheme="majorBidi" w:hAnsiTheme="majorBidi" w:cstheme="majorBidi"/>
          <w:lang w:val="en-US"/>
        </w:rPr>
        <w:t>AR(0)-EGARCH(1,1) model)</w:t>
      </w:r>
      <w:r w:rsidRPr="005431E0">
        <w:rPr>
          <w:rFonts w:asciiTheme="majorBidi" w:eastAsiaTheme="minorEastAsia" w:hAnsiTheme="majorBidi" w:cstheme="majorBidi"/>
          <w:lang w:val="en-US"/>
        </w:rPr>
        <w:t>. In our analy</w:t>
      </w:r>
      <w:r w:rsidR="008F2B7F">
        <w:rPr>
          <w:rFonts w:asciiTheme="majorBidi" w:eastAsiaTheme="minorEastAsia" w:hAnsiTheme="majorBidi" w:cstheme="majorBidi"/>
          <w:lang w:val="en-US"/>
        </w:rPr>
        <w:t>sis, we choose the student-t-GJR-</w:t>
      </w:r>
      <w:r w:rsidRPr="005431E0">
        <w:rPr>
          <w:rFonts w:asciiTheme="majorBidi" w:eastAsiaTheme="minorEastAsia" w:hAnsiTheme="majorBidi" w:cstheme="majorBidi"/>
          <w:lang w:val="en-US"/>
        </w:rPr>
        <w:t>GARCH(1,1) model (</w:t>
      </w:r>
      <w:r>
        <w:rPr>
          <w:rFonts w:asciiTheme="majorBidi" w:eastAsiaTheme="minorEastAsia" w:hAnsiTheme="majorBidi" w:cstheme="majorBidi"/>
          <w:lang w:val="en-US"/>
        </w:rPr>
        <w:t xml:space="preserve">see </w:t>
      </w:r>
      <w:r w:rsidRPr="00217E65">
        <w:rPr>
          <w:rFonts w:asciiTheme="majorBidi" w:eastAsiaTheme="minorEastAsia" w:hAnsiTheme="majorBidi" w:cstheme="majorBidi"/>
          <w:color w:val="0070C0"/>
          <w:lang w:val="en-US"/>
        </w:rPr>
        <w:t>Glosten et al.,1993</w:t>
      </w:r>
      <w:r w:rsidRPr="005431E0">
        <w:rPr>
          <w:rFonts w:asciiTheme="majorBidi" w:eastAsiaTheme="minorEastAsia" w:hAnsiTheme="majorBidi" w:cstheme="majorBidi"/>
          <w:lang w:val="en-US"/>
        </w:rPr>
        <w:t>) including the dummy variables identified by the two approaches:</w:t>
      </w:r>
    </w:p>
    <w:p w:rsidR="00FC68E3" w:rsidRPr="00DD2858" w:rsidRDefault="00FC68E3" w:rsidP="00FC68E3">
      <w:pPr>
        <w:autoSpaceDE w:val="0"/>
        <w:autoSpaceDN w:val="0"/>
        <w:adjustRightInd w:val="0"/>
        <w:spacing w:after="0" w:line="240" w:lineRule="auto"/>
        <w:ind w:firstLine="357"/>
        <w:jc w:val="both"/>
        <w:rPr>
          <w:rFonts w:asciiTheme="majorBidi" w:eastAsiaTheme="minorEastAsia" w:hAnsiTheme="majorBidi" w:cstheme="majorBidi"/>
          <w:color w:val="FF0000"/>
          <w:lang w:val="en-US"/>
        </w:rPr>
      </w:pPr>
    </w:p>
    <w:p w:rsidR="00FC68E3" w:rsidRPr="000B0C37" w:rsidRDefault="00011760" w:rsidP="00FC68E3">
      <w:pPr>
        <w:autoSpaceDE w:val="0"/>
        <w:autoSpaceDN w:val="0"/>
        <w:adjustRightInd w:val="0"/>
        <w:spacing w:after="0" w:line="240" w:lineRule="auto"/>
        <w:ind w:firstLine="357"/>
        <w:jc w:val="both"/>
        <w:rPr>
          <w:rFonts w:asciiTheme="majorBidi" w:eastAsiaTheme="minorEastAsia" w:hAnsiTheme="majorBidi" w:cstheme="majorBidi"/>
          <w:lang w:val="en-US"/>
        </w:rPr>
      </w:pP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h</m:t>
            </m:r>
          </m:e>
          <m:sub>
            <m:r>
              <w:rPr>
                <w:rFonts w:ascii="Cambria Math" w:eastAsiaTheme="minorEastAsia" w:hAnsi="Cambria Math" w:cstheme="majorBidi"/>
                <w:lang w:val="en-US"/>
              </w:rPr>
              <m:t>ij,t</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α</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α</m:t>
            </m:r>
          </m:e>
          <m:sub>
            <m:r>
              <w:rPr>
                <w:rFonts w:ascii="Cambria Math" w:eastAsiaTheme="minorEastAsia" w:hAnsi="Cambria Math" w:cstheme="majorBidi"/>
                <w:lang w:val="en-US"/>
              </w:rPr>
              <m:t>1</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h</m:t>
            </m:r>
          </m:e>
          <m:sub>
            <m:r>
              <w:rPr>
                <w:rFonts w:ascii="Cambria Math" w:eastAsiaTheme="minorEastAsia" w:hAnsi="Cambria Math" w:cstheme="majorBidi"/>
                <w:lang w:val="en-US"/>
              </w:rPr>
              <m:t>ij,t-1</m:t>
            </m:r>
          </m:sub>
        </m:sSub>
        <m:r>
          <w:rPr>
            <w:rFonts w:ascii="Cambria Math" w:eastAsiaTheme="minorEastAsia"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k=1</m:t>
            </m:r>
          </m:sub>
          <m:sup>
            <m:r>
              <w:rPr>
                <w:rFonts w:ascii="Cambria Math" w:hAnsi="Cambria Math" w:cstheme="majorBidi"/>
                <w:lang w:val="en-US"/>
              </w:rPr>
              <m:t>λ</m:t>
            </m:r>
          </m:sup>
          <m:e>
            <m:sSub>
              <m:sSubPr>
                <m:ctrlPr>
                  <w:rPr>
                    <w:rFonts w:ascii="Cambria Math" w:hAnsi="Cambria Math" w:cstheme="majorBidi"/>
                    <w:i/>
                    <w:lang w:val="en-US"/>
                  </w:rPr>
                </m:ctrlPr>
              </m:sSubPr>
              <m:e>
                <m:r>
                  <w:rPr>
                    <w:rFonts w:ascii="Cambria Math" w:hAnsi="Cambria Math" w:cstheme="majorBidi"/>
                    <w:lang w:val="en-US"/>
                  </w:rPr>
                  <m:t>ξ</m:t>
                </m:r>
              </m:e>
              <m:sub>
                <m:r>
                  <w:rPr>
                    <w:rFonts w:ascii="Cambria Math" w:hAnsi="Cambria Math" w:cstheme="majorBidi"/>
                    <w:lang w:val="en-US"/>
                  </w:rPr>
                  <m:t>k</m:t>
                </m:r>
              </m:sub>
            </m:sSub>
            <m:sSub>
              <m:sSubPr>
                <m:ctrlPr>
                  <w:rPr>
                    <w:rFonts w:ascii="Cambria Math" w:hAnsi="Cambria Math" w:cstheme="majorBidi"/>
                    <w:i/>
                    <w:lang w:val="en-US"/>
                  </w:rPr>
                </m:ctrlPr>
              </m:sSubPr>
              <m:e>
                <m:r>
                  <w:rPr>
                    <w:rFonts w:ascii="Cambria Math" w:hAnsi="Cambria Math" w:cstheme="majorBidi"/>
                    <w:lang w:val="en-US"/>
                  </w:rPr>
                  <m:t>dummy</m:t>
                </m:r>
              </m:e>
              <m:sub>
                <m:r>
                  <w:rPr>
                    <w:rFonts w:ascii="Cambria Math" w:hAnsi="Cambria Math" w:cstheme="majorBidi"/>
                    <w:lang w:val="en-US"/>
                  </w:rPr>
                  <m:t>k,t</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1</m:t>
                </m:r>
              </m:sub>
            </m:sSub>
            <m:sSubSup>
              <m:sSubSupPr>
                <m:ctrlPr>
                  <w:rPr>
                    <w:rFonts w:ascii="Cambria Math" w:hAnsi="Cambria Math" w:cstheme="majorBidi"/>
                    <w:i/>
                    <w:lang w:val="en-US"/>
                  </w:rPr>
                </m:ctrlPr>
              </m:sSubSupPr>
              <m:e>
                <m:r>
                  <w:rPr>
                    <w:rFonts w:ascii="Cambria Math" w:hAnsi="Cambria Math" w:cstheme="majorBidi"/>
                    <w:lang w:val="en-US"/>
                  </w:rPr>
                  <m:t>e</m:t>
                </m:r>
              </m:e>
              <m:sub>
                <m:r>
                  <w:rPr>
                    <w:rFonts w:ascii="Cambria Math" w:hAnsi="Cambria Math" w:cstheme="majorBidi"/>
                    <w:lang w:val="en-US"/>
                  </w:rPr>
                  <m:t>ij,t-1</m:t>
                </m:r>
              </m:sub>
              <m:sup>
                <m:r>
                  <w:rPr>
                    <w:rFonts w:ascii="Cambria Math" w:hAnsi="Cambria Math" w:cstheme="majorBidi"/>
                    <w:lang w:val="en-US"/>
                  </w:rPr>
                  <m:t>2</m:t>
                </m:r>
              </m:sup>
            </m:sSubSup>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α</m:t>
                </m:r>
              </m:e>
              <m:sub>
                <m:r>
                  <w:rPr>
                    <w:rFonts w:ascii="Cambria Math" w:hAnsi="Cambria Math" w:cstheme="majorBidi"/>
                    <w:lang w:val="en-US"/>
                  </w:rPr>
                  <m:t>2</m:t>
                </m:r>
              </m:sub>
            </m:sSub>
            <m:sSubSup>
              <m:sSubSupPr>
                <m:ctrlPr>
                  <w:rPr>
                    <w:rFonts w:ascii="Cambria Math" w:hAnsi="Cambria Math" w:cstheme="majorBidi"/>
                    <w:i/>
                    <w:lang w:val="en-US"/>
                  </w:rPr>
                </m:ctrlPr>
              </m:sSubSupPr>
              <m:e>
                <m:r>
                  <w:rPr>
                    <w:rFonts w:ascii="Cambria Math" w:hAnsi="Cambria Math" w:cstheme="majorBidi"/>
                    <w:lang w:val="en-US"/>
                  </w:rPr>
                  <m:t>e</m:t>
                </m:r>
              </m:e>
              <m:sub>
                <m:r>
                  <w:rPr>
                    <w:rFonts w:ascii="Cambria Math" w:hAnsi="Cambria Math" w:cstheme="majorBidi"/>
                    <w:lang w:val="en-US"/>
                  </w:rPr>
                  <m:t>ij,t-1</m:t>
                </m:r>
              </m:sub>
              <m:sup>
                <m:r>
                  <w:rPr>
                    <w:rFonts w:ascii="Cambria Math" w:hAnsi="Cambria Math" w:cstheme="majorBidi"/>
                    <w:lang w:val="en-US"/>
                  </w:rPr>
                  <m:t>2</m:t>
                </m:r>
              </m:sup>
            </m:sSubSup>
            <m:r>
              <w:rPr>
                <w:rFonts w:ascii="Cambria Math" w:hAnsi="Cambria Math" w:cstheme="majorBidi"/>
                <w:lang w:val="en-US"/>
              </w:rPr>
              <m:t>I(</m:t>
            </m:r>
            <m:sSub>
              <m:sSubPr>
                <m:ctrlPr>
                  <w:rPr>
                    <w:rFonts w:ascii="Cambria Math" w:hAnsi="Cambria Math" w:cstheme="majorBidi"/>
                    <w:i/>
                    <w:lang w:val="en-US"/>
                  </w:rPr>
                </m:ctrlPr>
              </m:sSubPr>
              <m:e>
                <m:r>
                  <w:rPr>
                    <w:rFonts w:ascii="Cambria Math" w:hAnsi="Cambria Math" w:cstheme="majorBidi"/>
                    <w:lang w:val="en-US"/>
                  </w:rPr>
                  <m:t>e</m:t>
                </m:r>
              </m:e>
              <m:sub>
                <m:r>
                  <w:rPr>
                    <w:rFonts w:ascii="Cambria Math" w:hAnsi="Cambria Math" w:cstheme="majorBidi"/>
                    <w:lang w:val="en-US"/>
                  </w:rPr>
                  <m:t>ij,t-1</m:t>
                </m:r>
              </m:sub>
            </m:sSub>
            <m:r>
              <w:rPr>
                <w:rFonts w:ascii="Cambria Math" w:hAnsi="Cambria Math" w:cstheme="majorBidi"/>
                <w:lang w:val="en-US"/>
              </w:rPr>
              <m:t>&lt;0)</m:t>
            </m:r>
          </m:e>
        </m:nary>
      </m:oMath>
      <w:r w:rsidR="0062679E">
        <w:rPr>
          <w:rFonts w:asciiTheme="majorBidi" w:eastAsiaTheme="minorEastAsia" w:hAnsiTheme="majorBidi" w:cstheme="majorBidi"/>
          <w:lang w:val="en-US"/>
        </w:rPr>
        <w:t xml:space="preserve">                    </w:t>
      </w:r>
      <w:r w:rsidR="008F2B7F">
        <w:rPr>
          <w:rFonts w:asciiTheme="majorBidi" w:eastAsiaTheme="minorEastAsia" w:hAnsiTheme="majorBidi" w:cstheme="majorBidi"/>
          <w:lang w:val="en-US"/>
        </w:rPr>
        <w:t>(2</w:t>
      </w:r>
      <w:r w:rsidR="00FC68E3" w:rsidRPr="000B0C37">
        <w:rPr>
          <w:rFonts w:asciiTheme="majorBidi" w:eastAsiaTheme="minorEastAsia" w:hAnsiTheme="majorBidi" w:cstheme="majorBidi"/>
          <w:lang w:val="en-US"/>
        </w:rPr>
        <w:t>8)</w:t>
      </w:r>
    </w:p>
    <w:p w:rsidR="00FC68E3" w:rsidRPr="00DD2858" w:rsidRDefault="00FC68E3" w:rsidP="00FC68E3">
      <w:pPr>
        <w:autoSpaceDE w:val="0"/>
        <w:autoSpaceDN w:val="0"/>
        <w:adjustRightInd w:val="0"/>
        <w:spacing w:after="0" w:line="240" w:lineRule="auto"/>
        <w:ind w:firstLine="357"/>
        <w:jc w:val="both"/>
        <w:rPr>
          <w:rFonts w:asciiTheme="majorBidi" w:eastAsiaTheme="minorEastAsia" w:hAnsiTheme="majorBidi" w:cstheme="majorBidi"/>
          <w:color w:val="FF0000"/>
          <w:lang w:val="en-US"/>
        </w:rPr>
      </w:pPr>
    </w:p>
    <w:p w:rsidR="00FC68E3" w:rsidRPr="0014214B" w:rsidRDefault="00FC68E3" w:rsidP="008F2B7F">
      <w:pPr>
        <w:autoSpaceDE w:val="0"/>
        <w:autoSpaceDN w:val="0"/>
        <w:adjustRightInd w:val="0"/>
        <w:spacing w:after="0" w:line="240" w:lineRule="auto"/>
        <w:jc w:val="both"/>
        <w:rPr>
          <w:rFonts w:asciiTheme="majorBidi" w:eastAsiaTheme="minorEastAsia" w:hAnsiTheme="majorBidi" w:cstheme="majorBidi"/>
          <w:lang w:val="en-US"/>
        </w:rPr>
      </w:pPr>
      <w:r w:rsidRPr="0014214B">
        <w:rPr>
          <w:rFonts w:asciiTheme="majorBidi" w:eastAsiaTheme="minorEastAsia" w:hAnsiTheme="majorBidi" w:cstheme="majorBidi"/>
          <w:lang w:val="en-US"/>
        </w:rPr>
        <w:t>Moreover, the conditional variance equation</w:t>
      </w:r>
      <w:r>
        <w:rPr>
          <w:rFonts w:asciiTheme="majorBidi" w:eastAsiaTheme="minorEastAsia" w:hAnsiTheme="majorBidi" w:cstheme="majorBidi"/>
          <w:lang w:val="en-US"/>
        </w:rPr>
        <w:t>s</w:t>
      </w:r>
      <w:r w:rsidRPr="0014214B">
        <w:rPr>
          <w:rFonts w:asciiTheme="majorBidi" w:eastAsiaTheme="minorEastAsia" w:hAnsiTheme="majorBidi" w:cstheme="majorBidi"/>
          <w:lang w:val="en-US"/>
        </w:rPr>
        <w:t xml:space="preserve"> of the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w:r w:rsidR="008F2B7F" w:rsidRPr="00387B51">
        <w:rPr>
          <w:rFonts w:asciiTheme="majorBidi" w:eastAsiaTheme="minorEastAsia" w:hAnsiTheme="majorBidi" w:cstheme="majorBidi"/>
          <w:lang w:val="en-US"/>
        </w:rPr>
        <w:t xml:space="preserve">, , </w:t>
      </w:r>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w:r w:rsidRPr="0014214B">
        <w:rPr>
          <w:rFonts w:asciiTheme="majorBidi" w:eastAsiaTheme="minorEastAsia" w:hAnsiTheme="majorBidi" w:cstheme="majorBidi"/>
          <w:lang w:val="en-US"/>
        </w:rPr>
        <w:t xml:space="preserve"> series </w:t>
      </w:r>
      <w:r>
        <w:rPr>
          <w:rFonts w:asciiTheme="majorBidi" w:eastAsiaTheme="minorEastAsia" w:hAnsiTheme="majorBidi" w:cstheme="majorBidi"/>
          <w:lang w:val="en-US"/>
        </w:rPr>
        <w:t xml:space="preserve">are assumed to follow a </w:t>
      </w:r>
      <w:r w:rsidRPr="0014214B">
        <w:rPr>
          <w:rFonts w:asciiTheme="majorBidi" w:eastAsiaTheme="minorEastAsia" w:hAnsiTheme="majorBidi" w:cstheme="majorBidi"/>
          <w:lang w:val="en-US"/>
        </w:rPr>
        <w:t>symmetric stud</w:t>
      </w:r>
      <w:r w:rsidR="008F2B7F">
        <w:rPr>
          <w:rFonts w:asciiTheme="majorBidi" w:eastAsiaTheme="minorEastAsia" w:hAnsiTheme="majorBidi" w:cstheme="majorBidi"/>
          <w:lang w:val="en-US"/>
        </w:rPr>
        <w:t>ent-t-GARCH (1,1) specification (AR(0)-FIAPARCH(1,d,1)</w:t>
      </w:r>
      <w:r w:rsidR="00C87FCE">
        <w:rPr>
          <w:rFonts w:asciiTheme="majorBidi" w:eastAsiaTheme="minorEastAsia" w:hAnsiTheme="majorBidi" w:cstheme="majorBidi"/>
          <w:lang w:val="en-US"/>
        </w:rPr>
        <w:t xml:space="preserve"> model</w:t>
      </w:r>
      <w:r w:rsidR="008F2B7F">
        <w:rPr>
          <w:rFonts w:asciiTheme="majorBidi" w:eastAsiaTheme="minorEastAsia" w:hAnsiTheme="majorBidi" w:cstheme="majorBidi"/>
          <w:lang w:val="en-US"/>
        </w:rPr>
        <w:t>).</w:t>
      </w:r>
    </w:p>
    <w:p w:rsidR="00FC68E3" w:rsidRPr="00DD2858" w:rsidRDefault="00FC68E3" w:rsidP="00FC68E3">
      <w:pPr>
        <w:spacing w:after="0" w:line="240" w:lineRule="auto"/>
        <w:contextualSpacing/>
        <w:jc w:val="both"/>
        <w:rPr>
          <w:rFonts w:asciiTheme="majorBidi" w:hAnsiTheme="majorBidi" w:cstheme="majorBidi"/>
          <w:b/>
          <w:bCs/>
          <w:color w:val="FF0000"/>
          <w:sz w:val="24"/>
          <w:szCs w:val="24"/>
          <w:lang w:val="en-US"/>
        </w:rPr>
      </w:pPr>
    </w:p>
    <w:p w:rsidR="00FC68E3" w:rsidRDefault="00011760" w:rsidP="00FC68E3">
      <w:pPr>
        <w:autoSpaceDE w:val="0"/>
        <w:autoSpaceDN w:val="0"/>
        <w:adjustRightInd w:val="0"/>
        <w:spacing w:after="0" w:line="240" w:lineRule="auto"/>
        <w:ind w:firstLine="357"/>
        <w:jc w:val="both"/>
        <w:rPr>
          <w:rFonts w:asciiTheme="majorBidi" w:eastAsiaTheme="minorEastAsia" w:hAnsiTheme="majorBidi" w:cstheme="majorBidi"/>
          <w:lang w:val="en-US"/>
        </w:rPr>
      </w:pPr>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h</m:t>
            </m:r>
          </m:e>
          <m:sub>
            <m:r>
              <w:rPr>
                <w:rFonts w:ascii="Cambria Math" w:eastAsiaTheme="minorEastAsia" w:hAnsi="Cambria Math" w:cstheme="majorBidi"/>
                <w:lang w:val="en-US"/>
              </w:rPr>
              <m:t>ij,t</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α</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α</m:t>
            </m:r>
          </m:e>
          <m:sub>
            <m:r>
              <w:rPr>
                <w:rFonts w:ascii="Cambria Math" w:eastAsiaTheme="minorEastAsia" w:hAnsi="Cambria Math" w:cstheme="majorBidi"/>
                <w:lang w:val="en-US"/>
              </w:rPr>
              <m:t>1</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h</m:t>
            </m:r>
          </m:e>
          <m:sub>
            <m:r>
              <w:rPr>
                <w:rFonts w:ascii="Cambria Math" w:eastAsiaTheme="minorEastAsia" w:hAnsi="Cambria Math" w:cstheme="majorBidi"/>
                <w:lang w:val="en-US"/>
              </w:rPr>
              <m:t>ij,t-1</m:t>
            </m:r>
          </m:sub>
        </m:sSub>
        <m:r>
          <w:rPr>
            <w:rFonts w:ascii="Cambria Math" w:eastAsiaTheme="minorEastAsia"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ν</m:t>
            </m:r>
          </m:e>
          <m:sub>
            <m:r>
              <w:rPr>
                <w:rFonts w:ascii="Cambria Math" w:hAnsi="Cambria Math" w:cstheme="majorBidi"/>
                <w:lang w:val="en-US"/>
              </w:rPr>
              <m:t>1</m:t>
            </m:r>
          </m:sub>
        </m:sSub>
        <m:sSubSup>
          <m:sSubSupPr>
            <m:ctrlPr>
              <w:rPr>
                <w:rFonts w:ascii="Cambria Math" w:hAnsi="Cambria Math" w:cstheme="majorBidi"/>
                <w:i/>
                <w:lang w:val="en-US"/>
              </w:rPr>
            </m:ctrlPr>
          </m:sSubSupPr>
          <m:e>
            <m:r>
              <w:rPr>
                <w:rFonts w:ascii="Cambria Math" w:hAnsi="Cambria Math" w:cstheme="majorBidi"/>
                <w:lang w:val="en-US"/>
              </w:rPr>
              <m:t>e</m:t>
            </m:r>
          </m:e>
          <m:sub>
            <m:r>
              <w:rPr>
                <w:rFonts w:ascii="Cambria Math" w:hAnsi="Cambria Math" w:cstheme="majorBidi"/>
                <w:lang w:val="en-US"/>
              </w:rPr>
              <m:t>ij,t-1</m:t>
            </m:r>
          </m:sub>
          <m:sup>
            <m:r>
              <w:rPr>
                <w:rFonts w:ascii="Cambria Math" w:hAnsi="Cambria Math" w:cstheme="majorBidi"/>
                <w:lang w:val="en-US"/>
              </w:rPr>
              <m:t>2</m:t>
            </m:r>
          </m:sup>
        </m:sSubSup>
        <m:r>
          <w:rPr>
            <w:rFonts w:ascii="Cambria Math" w:eastAsiaTheme="minorEastAsia"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lang w:val="en-US"/>
              </w:rPr>
              <m:t>k=1</m:t>
            </m:r>
          </m:sub>
          <m:sup>
            <m:r>
              <w:rPr>
                <w:rFonts w:ascii="Cambria Math" w:hAnsi="Cambria Math" w:cstheme="majorBidi"/>
                <w:lang w:val="en-US"/>
              </w:rPr>
              <m:t>λ</m:t>
            </m:r>
          </m:sup>
          <m:e>
            <m:sSub>
              <m:sSubPr>
                <m:ctrlPr>
                  <w:rPr>
                    <w:rFonts w:ascii="Cambria Math" w:hAnsi="Cambria Math" w:cstheme="majorBidi"/>
                    <w:i/>
                    <w:lang w:val="en-US"/>
                  </w:rPr>
                </m:ctrlPr>
              </m:sSubPr>
              <m:e>
                <m:r>
                  <w:rPr>
                    <w:rFonts w:ascii="Cambria Math" w:hAnsi="Cambria Math" w:cstheme="majorBidi"/>
                    <w:lang w:val="en-US"/>
                  </w:rPr>
                  <m:t>ξ</m:t>
                </m:r>
              </m:e>
              <m:sub>
                <m:r>
                  <w:rPr>
                    <w:rFonts w:ascii="Cambria Math" w:hAnsi="Cambria Math" w:cstheme="majorBidi"/>
                    <w:lang w:val="en-US"/>
                  </w:rPr>
                  <m:t>k</m:t>
                </m:r>
              </m:sub>
            </m:sSub>
            <m:sSub>
              <m:sSubPr>
                <m:ctrlPr>
                  <w:rPr>
                    <w:rFonts w:ascii="Cambria Math" w:hAnsi="Cambria Math" w:cstheme="majorBidi"/>
                    <w:i/>
                    <w:lang w:val="en-US"/>
                  </w:rPr>
                </m:ctrlPr>
              </m:sSubPr>
              <m:e>
                <m:r>
                  <w:rPr>
                    <w:rFonts w:ascii="Cambria Math" w:hAnsi="Cambria Math" w:cstheme="majorBidi"/>
                    <w:lang w:val="en-US"/>
                  </w:rPr>
                  <m:t>dummy</m:t>
                </m:r>
              </m:e>
              <m:sub>
                <m:r>
                  <w:rPr>
                    <w:rFonts w:ascii="Cambria Math" w:hAnsi="Cambria Math" w:cstheme="majorBidi"/>
                    <w:lang w:val="en-US"/>
                  </w:rPr>
                  <m:t>k,t</m:t>
                </m:r>
              </m:sub>
            </m:sSub>
          </m:e>
        </m:nary>
      </m:oMath>
      <w:r w:rsidR="0062679E">
        <w:rPr>
          <w:rFonts w:asciiTheme="majorBidi" w:eastAsiaTheme="minorEastAsia" w:hAnsiTheme="majorBidi" w:cstheme="majorBidi"/>
          <w:lang w:val="en-US"/>
        </w:rPr>
        <w:t xml:space="preserve">                                                              </w:t>
      </w:r>
      <w:r w:rsidR="008F2B7F">
        <w:rPr>
          <w:rFonts w:asciiTheme="majorBidi" w:eastAsiaTheme="minorEastAsia" w:hAnsiTheme="majorBidi" w:cstheme="majorBidi"/>
          <w:lang w:val="en-US"/>
        </w:rPr>
        <w:t>(2</w:t>
      </w:r>
      <w:r w:rsidR="00FC68E3" w:rsidRPr="00B06C4A">
        <w:rPr>
          <w:rFonts w:asciiTheme="majorBidi" w:eastAsiaTheme="minorEastAsia" w:hAnsiTheme="majorBidi" w:cstheme="majorBidi"/>
          <w:lang w:val="en-US"/>
        </w:rPr>
        <w:t>9)</w:t>
      </w:r>
    </w:p>
    <w:p w:rsidR="00713545" w:rsidRPr="00713545" w:rsidRDefault="00713545" w:rsidP="001261A2">
      <w:pPr>
        <w:autoSpaceDE w:val="0"/>
        <w:autoSpaceDN w:val="0"/>
        <w:adjustRightInd w:val="0"/>
        <w:spacing w:after="0" w:line="240" w:lineRule="auto"/>
        <w:jc w:val="both"/>
        <w:rPr>
          <w:rFonts w:asciiTheme="majorBidi" w:hAnsiTheme="majorBidi" w:cstheme="majorBidi"/>
          <w:lang w:val="en-US"/>
        </w:rPr>
      </w:pPr>
    </w:p>
    <w:p w:rsidR="00B74AB4" w:rsidRPr="005D22B5" w:rsidRDefault="00B74AB4" w:rsidP="00BE1B2E">
      <w:pPr>
        <w:pStyle w:val="Lgende"/>
        <w:keepNext/>
        <w:spacing w:after="0"/>
        <w:ind w:left="1077" w:right="1077"/>
        <w:jc w:val="both"/>
        <w:rPr>
          <w:rFonts w:asciiTheme="majorBidi" w:hAnsiTheme="majorBidi" w:cstheme="majorBidi"/>
          <w:color w:val="auto"/>
          <w:sz w:val="22"/>
          <w:szCs w:val="22"/>
          <w:lang w:val="en-US"/>
        </w:rPr>
      </w:pPr>
      <w:r w:rsidRPr="005D22B5">
        <w:rPr>
          <w:rFonts w:asciiTheme="majorBidi" w:hAnsiTheme="majorBidi" w:cstheme="majorBidi"/>
          <w:color w:val="auto"/>
          <w:sz w:val="22"/>
          <w:szCs w:val="22"/>
          <w:lang w:val="en-US"/>
        </w:rPr>
        <w:t xml:space="preserve">Table </w:t>
      </w:r>
      <w:r w:rsidR="00381F85">
        <w:rPr>
          <w:rFonts w:asciiTheme="majorBidi" w:hAnsiTheme="majorBidi" w:cstheme="majorBidi"/>
          <w:color w:val="auto"/>
          <w:sz w:val="22"/>
          <w:szCs w:val="22"/>
          <w:lang w:val="en-US"/>
        </w:rPr>
        <w:t>8</w:t>
      </w:r>
    </w:p>
    <w:p w:rsidR="00B74AB4" w:rsidRPr="005D22B5" w:rsidRDefault="00B74AB4" w:rsidP="00BE1B2E">
      <w:pPr>
        <w:spacing w:after="0" w:line="240" w:lineRule="auto"/>
        <w:ind w:left="1077" w:right="1077"/>
        <w:jc w:val="both"/>
        <w:rPr>
          <w:rFonts w:asciiTheme="majorBidi" w:hAnsiTheme="majorBidi" w:cstheme="majorBidi"/>
          <w:lang w:val="en-US"/>
        </w:rPr>
      </w:pPr>
      <w:r w:rsidRPr="005D22B5">
        <w:rPr>
          <w:rFonts w:asciiTheme="majorBidi" w:hAnsiTheme="majorBidi" w:cstheme="majorBidi"/>
          <w:lang w:val="en-US"/>
        </w:rPr>
        <w:t xml:space="preserve">Tests of changes in dynamic </w:t>
      </w:r>
      <w:r>
        <w:rPr>
          <w:rFonts w:asciiTheme="majorBidi" w:hAnsiTheme="majorBidi" w:cstheme="majorBidi"/>
          <w:lang w:val="en-US"/>
        </w:rPr>
        <w:t xml:space="preserve">conditional correlations </w:t>
      </w:r>
      <w:r w:rsidR="00BE510E">
        <w:rPr>
          <w:rFonts w:asciiTheme="majorBidi" w:hAnsiTheme="majorBidi" w:cstheme="majorBidi"/>
          <w:lang w:val="en-US"/>
        </w:rPr>
        <w:t>among exchange rate and stock market</w:t>
      </w:r>
      <w:r>
        <w:rPr>
          <w:rFonts w:asciiTheme="majorBidi" w:hAnsiTheme="majorBidi" w:cstheme="majorBidi"/>
          <w:lang w:val="en-US"/>
        </w:rPr>
        <w:t xml:space="preserve"> returns</w:t>
      </w:r>
      <w:r w:rsidRPr="005D22B5">
        <w:rPr>
          <w:rFonts w:asciiTheme="majorBidi" w:hAnsiTheme="majorBidi" w:cstheme="majorBidi"/>
          <w:lang w:val="en-US"/>
        </w:rPr>
        <w:t xml:space="preserve"> during the phases of global financial </w:t>
      </w:r>
      <w:r>
        <w:rPr>
          <w:rFonts w:asciiTheme="majorBidi" w:hAnsiTheme="majorBidi" w:cstheme="majorBidi"/>
          <w:lang w:val="en-US"/>
        </w:rPr>
        <w:t>and European sovereign debt crise</w:t>
      </w:r>
      <w:r w:rsidRPr="005D22B5">
        <w:rPr>
          <w:rFonts w:asciiTheme="majorBidi" w:hAnsiTheme="majorBidi" w:cstheme="majorBidi"/>
          <w:lang w:val="en-US"/>
        </w:rPr>
        <w:t>s (</w:t>
      </w:r>
      <w:r w:rsidR="00BE510E">
        <w:rPr>
          <w:rFonts w:asciiTheme="majorBidi" w:hAnsiTheme="majorBidi" w:cstheme="majorBidi"/>
          <w:lang w:val="en-US"/>
        </w:rPr>
        <w:t>AR(0</w:t>
      </w:r>
      <w:r>
        <w:rPr>
          <w:rFonts w:asciiTheme="majorBidi" w:hAnsiTheme="majorBidi" w:cstheme="majorBidi"/>
          <w:lang w:val="en-US"/>
        </w:rPr>
        <w:t>)-GJR-GARCH</w:t>
      </w:r>
      <w:r w:rsidR="00DE4B54">
        <w:rPr>
          <w:rFonts w:asciiTheme="majorBidi" w:hAnsiTheme="majorBidi" w:cstheme="majorBidi"/>
          <w:lang w:val="en-US"/>
        </w:rPr>
        <w:t>(1,1)</w:t>
      </w:r>
      <w:r>
        <w:rPr>
          <w:rFonts w:asciiTheme="majorBidi" w:hAnsiTheme="majorBidi" w:cstheme="majorBidi"/>
          <w:lang w:val="en-US"/>
        </w:rPr>
        <w:t xml:space="preserve"> approach).</w:t>
      </w:r>
    </w:p>
    <w:tbl>
      <w:tblPr>
        <w:tblW w:w="7014" w:type="dxa"/>
        <w:jc w:val="center"/>
        <w:tblInd w:w="56" w:type="dxa"/>
        <w:tblCellMar>
          <w:left w:w="70" w:type="dxa"/>
          <w:right w:w="70" w:type="dxa"/>
        </w:tblCellMar>
        <w:tblLook w:val="04A0"/>
      </w:tblPr>
      <w:tblGrid>
        <w:gridCol w:w="1446"/>
        <w:gridCol w:w="1006"/>
        <w:gridCol w:w="881"/>
        <w:gridCol w:w="197"/>
        <w:gridCol w:w="900"/>
        <w:gridCol w:w="811"/>
        <w:gridCol w:w="197"/>
        <w:gridCol w:w="900"/>
        <w:gridCol w:w="789"/>
      </w:tblGrid>
      <w:tr w:rsidR="00574EAA" w:rsidRPr="00574EAA" w:rsidTr="00574EAA">
        <w:trPr>
          <w:trHeight w:val="64"/>
          <w:jc w:val="center"/>
        </w:trPr>
        <w:tc>
          <w:tcPr>
            <w:tcW w:w="1446" w:type="dxa"/>
            <w:vMerge w:val="restart"/>
            <w:tcBorders>
              <w:top w:val="single" w:sz="8" w:space="0" w:color="auto"/>
              <w:left w:val="nil"/>
              <w:bottom w:val="single" w:sz="8" w:space="0" w:color="000000"/>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Variable</w:t>
            </w:r>
          </w:p>
        </w:tc>
        <w:tc>
          <w:tcPr>
            <w:tcW w:w="1887" w:type="dxa"/>
            <w:gridSpan w:val="2"/>
            <w:tcBorders>
              <w:top w:val="single" w:sz="8" w:space="0" w:color="auto"/>
              <w:left w:val="nil"/>
              <w:bottom w:val="single" w:sz="8" w:space="0" w:color="auto"/>
              <w:right w:val="nil"/>
            </w:tcBorders>
            <w:shd w:val="clear" w:color="auto" w:fill="auto"/>
            <w:noWrap/>
            <w:vAlign w:val="bottom"/>
            <w:hideMark/>
          </w:tcPr>
          <w:p w:rsidR="00574EAA" w:rsidRPr="00574EAA" w:rsidRDefault="00011760" w:rsidP="008E61F1">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m:oMathPara>
          </w:p>
        </w:tc>
        <w:tc>
          <w:tcPr>
            <w:tcW w:w="197" w:type="dxa"/>
            <w:tcBorders>
              <w:top w:val="single" w:sz="8" w:space="0" w:color="auto"/>
              <w:left w:val="nil"/>
              <w:bottom w:val="nil"/>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p>
        </w:tc>
        <w:tc>
          <w:tcPr>
            <w:tcW w:w="1709" w:type="dxa"/>
            <w:gridSpan w:val="2"/>
            <w:tcBorders>
              <w:top w:val="single" w:sz="8" w:space="0" w:color="auto"/>
              <w:left w:val="nil"/>
              <w:bottom w:val="single" w:sz="8" w:space="0" w:color="auto"/>
              <w:right w:val="nil"/>
            </w:tcBorders>
            <w:shd w:val="clear" w:color="auto" w:fill="auto"/>
            <w:noWrap/>
            <w:vAlign w:val="bottom"/>
            <w:hideMark/>
          </w:tcPr>
          <w:p w:rsidR="00574EAA" w:rsidRPr="00574EAA" w:rsidRDefault="00011760" w:rsidP="008E61F1">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m:oMathPara>
          </w:p>
        </w:tc>
        <w:tc>
          <w:tcPr>
            <w:tcW w:w="197" w:type="dxa"/>
            <w:tcBorders>
              <w:top w:val="single" w:sz="8" w:space="0" w:color="auto"/>
              <w:left w:val="nil"/>
              <w:bottom w:val="nil"/>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p>
        </w:tc>
        <w:tc>
          <w:tcPr>
            <w:tcW w:w="1578" w:type="dxa"/>
            <w:gridSpan w:val="2"/>
            <w:tcBorders>
              <w:top w:val="single" w:sz="8" w:space="0" w:color="auto"/>
              <w:left w:val="nil"/>
              <w:bottom w:val="single" w:sz="8" w:space="0" w:color="auto"/>
              <w:right w:val="nil"/>
            </w:tcBorders>
            <w:shd w:val="clear" w:color="auto" w:fill="auto"/>
            <w:noWrap/>
            <w:vAlign w:val="bottom"/>
            <w:hideMark/>
          </w:tcPr>
          <w:p w:rsidR="00574EAA" w:rsidRPr="00574EAA" w:rsidRDefault="00011760" w:rsidP="008E61F1">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usdeur-msci</m:t>
                    </m:r>
                  </m:sub>
                </m:sSub>
              </m:oMath>
            </m:oMathPara>
          </w:p>
        </w:tc>
      </w:tr>
      <w:tr w:rsidR="00574EAA" w:rsidRPr="00574EAA" w:rsidTr="00574EAA">
        <w:trPr>
          <w:trHeight w:val="64"/>
          <w:jc w:val="center"/>
        </w:trPr>
        <w:tc>
          <w:tcPr>
            <w:tcW w:w="1446" w:type="dxa"/>
            <w:vMerge/>
            <w:tcBorders>
              <w:top w:val="single" w:sz="8" w:space="0" w:color="auto"/>
              <w:left w:val="nil"/>
              <w:bottom w:val="single" w:sz="8" w:space="0" w:color="000000"/>
              <w:right w:val="nil"/>
            </w:tcBorders>
            <w:vAlign w:val="center"/>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p>
        </w:tc>
        <w:tc>
          <w:tcPr>
            <w:tcW w:w="1006"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Coeff</w:t>
            </w:r>
          </w:p>
        </w:tc>
        <w:tc>
          <w:tcPr>
            <w:tcW w:w="881"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Signif</w:t>
            </w:r>
          </w:p>
        </w:tc>
        <w:tc>
          <w:tcPr>
            <w:tcW w:w="197" w:type="dxa"/>
            <w:tcBorders>
              <w:top w:val="nil"/>
              <w:left w:val="nil"/>
              <w:bottom w:val="nil"/>
              <w:right w:val="nil"/>
            </w:tcBorders>
            <w:shd w:val="clear" w:color="auto" w:fill="auto"/>
            <w:noWrap/>
            <w:vAlign w:val="bottom"/>
            <w:hideMark/>
          </w:tcPr>
          <w:p w:rsidR="00574EAA" w:rsidRPr="00574EAA" w:rsidRDefault="00574EAA" w:rsidP="008E61F1">
            <w:pPr>
              <w:spacing w:after="0" w:line="240" w:lineRule="auto"/>
              <w:rPr>
                <w:rFonts w:ascii="Calibri" w:eastAsia="Times New Roman" w:hAnsi="Calibri" w:cs="Times New Roman"/>
                <w:color w:val="000000"/>
                <w:lang w:eastAsia="fr-FR"/>
              </w:rPr>
            </w:pPr>
          </w:p>
        </w:tc>
        <w:tc>
          <w:tcPr>
            <w:tcW w:w="898"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Coeff</w:t>
            </w:r>
          </w:p>
        </w:tc>
        <w:tc>
          <w:tcPr>
            <w:tcW w:w="811"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Signif</w:t>
            </w:r>
          </w:p>
        </w:tc>
        <w:tc>
          <w:tcPr>
            <w:tcW w:w="197" w:type="dxa"/>
            <w:tcBorders>
              <w:top w:val="nil"/>
              <w:left w:val="nil"/>
              <w:bottom w:val="nil"/>
              <w:right w:val="nil"/>
            </w:tcBorders>
            <w:shd w:val="clear" w:color="auto" w:fill="auto"/>
            <w:noWrap/>
            <w:vAlign w:val="bottom"/>
            <w:hideMark/>
          </w:tcPr>
          <w:p w:rsidR="00574EAA" w:rsidRPr="00574EAA" w:rsidRDefault="00574EAA" w:rsidP="008E61F1">
            <w:pPr>
              <w:spacing w:after="0" w:line="240" w:lineRule="auto"/>
              <w:rPr>
                <w:rFonts w:ascii="Calibri" w:eastAsia="Times New Roman" w:hAnsi="Calibri" w:cs="Times New Roman"/>
                <w:color w:val="000000"/>
                <w:lang w:eastAsia="fr-FR"/>
              </w:rPr>
            </w:pPr>
          </w:p>
        </w:tc>
        <w:tc>
          <w:tcPr>
            <w:tcW w:w="789"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Coeff</w:t>
            </w:r>
          </w:p>
        </w:tc>
        <w:tc>
          <w:tcPr>
            <w:tcW w:w="789" w:type="dxa"/>
            <w:tcBorders>
              <w:top w:val="nil"/>
              <w:left w:val="nil"/>
              <w:bottom w:val="single" w:sz="8" w:space="0" w:color="auto"/>
              <w:right w:val="nil"/>
            </w:tcBorders>
            <w:shd w:val="clear" w:color="auto" w:fill="auto"/>
            <w:noWrap/>
            <w:vAlign w:val="bottom"/>
            <w:hideMark/>
          </w:tcPr>
          <w:p w:rsidR="00574EAA" w:rsidRPr="00574EAA" w:rsidRDefault="00574EAA" w:rsidP="008E61F1">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Signif</w:t>
            </w:r>
          </w:p>
        </w:tc>
      </w:tr>
      <w:tr w:rsidR="00574EAA" w:rsidRPr="00574EAA" w:rsidTr="00574EAA">
        <w:trPr>
          <w:trHeight w:val="94"/>
          <w:jc w:val="center"/>
        </w:trPr>
        <w:tc>
          <w:tcPr>
            <w:tcW w:w="1446"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Mean Equation</w:t>
            </w:r>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r>
      <w:tr w:rsidR="00574EAA" w:rsidRPr="00574EAA" w:rsidTr="00574EAA">
        <w:trPr>
          <w:trHeight w:val="64"/>
          <w:jc w:val="center"/>
        </w:trPr>
        <w:tc>
          <w:tcPr>
            <w:tcW w:w="1446" w:type="dxa"/>
            <w:tcBorders>
              <w:top w:val="nil"/>
              <w:left w:val="nil"/>
              <w:bottom w:val="nil"/>
              <w:right w:val="nil"/>
            </w:tcBorders>
            <w:shd w:val="clear" w:color="auto" w:fill="auto"/>
            <w:noWrap/>
            <w:vAlign w:val="center"/>
            <w:hideMark/>
          </w:tcPr>
          <w:p w:rsidR="00574EAA" w:rsidRPr="00B2118D" w:rsidRDefault="00574EAA" w:rsidP="006D278B">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ω</m:t>
                </m:r>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0.0372</w:t>
            </w:r>
          </w:p>
        </w:tc>
      </w:tr>
      <w:tr w:rsidR="00574EAA" w:rsidRPr="00574EAA" w:rsidTr="00574EAA">
        <w:trPr>
          <w:trHeight w:val="123"/>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1</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0.1696</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574EAA">
              <w:rPr>
                <w:rFonts w:ascii="Times New Roman" w:eastAsia="Times New Roman" w:hAnsi="Times New Roman" w:cs="Times New Roman"/>
                <w:color w:val="000000"/>
                <w:sz w:val="16"/>
                <w:szCs w:val="16"/>
                <w:lang w:eastAsia="fr-FR"/>
              </w:rPr>
              <w:t>4</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-5E-05</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88"/>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2</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-0.0005</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0.0566</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0.0002</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0.3713</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0.7879</w:t>
            </w:r>
          </w:p>
        </w:tc>
      </w:tr>
      <w:tr w:rsidR="00574EAA" w:rsidRPr="00574EAA" w:rsidTr="00574EAA">
        <w:trPr>
          <w:trHeight w:val="88"/>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3</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0.262</w:t>
            </w:r>
            <w:r w:rsidR="008E61F1">
              <w:rPr>
                <w:rFonts w:ascii="Times New Roman" w:eastAsia="Times New Roman" w:hAnsi="Times New Roman" w:cs="Times New Roman"/>
                <w:color w:val="000000"/>
                <w:sz w:val="16"/>
                <w:szCs w:val="16"/>
                <w:lang w:eastAsia="fr-FR"/>
              </w:rPr>
              <w:t>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2.0042</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-0.0004</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0.4181</w:t>
            </w:r>
          </w:p>
        </w:tc>
      </w:tr>
      <w:tr w:rsidR="00574EAA" w:rsidRPr="00574EAA" w:rsidTr="00574EAA">
        <w:trPr>
          <w:trHeight w:val="133"/>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4</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0.0003</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0.024</w:t>
            </w:r>
            <w:r w:rsidR="008E61F1">
              <w:rPr>
                <w:rFonts w:ascii="Times New Roman" w:eastAsia="Times New Roman" w:hAnsi="Times New Roman" w:cs="Times New Roman"/>
                <w:color w:val="000000"/>
                <w:sz w:val="16"/>
                <w:szCs w:val="16"/>
                <w:lang w:eastAsia="fr-FR"/>
              </w:rPr>
              <w:t>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574EAA">
              <w:rPr>
                <w:rFonts w:ascii="Times New Roman" w:eastAsia="Times New Roman" w:hAnsi="Times New Roman" w:cs="Times New Roman"/>
                <w:color w:val="000000"/>
                <w:sz w:val="16"/>
                <w:szCs w:val="16"/>
                <w:lang w:eastAsia="fr-FR"/>
              </w:rPr>
              <w:t>3</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0.3697</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0.0348</w:t>
            </w:r>
          </w:p>
        </w:tc>
      </w:tr>
      <w:tr w:rsidR="00574EAA" w:rsidRPr="00574EAA" w:rsidTr="00574EAA">
        <w:trPr>
          <w:trHeight w:val="88"/>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5</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-0.0004</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0.0339</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0.3554</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-0.0003</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0.2036</w:t>
            </w:r>
          </w:p>
        </w:tc>
      </w:tr>
      <w:tr w:rsidR="00574EAA" w:rsidRPr="00574EAA" w:rsidTr="00574EAA">
        <w:trPr>
          <w:trHeight w:val="88"/>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6</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0.0052</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-0.0001</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0.8475</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0.0894</w:t>
            </w:r>
          </w:p>
        </w:tc>
      </w:tr>
      <w:tr w:rsidR="00574EAA" w:rsidRPr="00574EAA" w:rsidTr="00574EAA">
        <w:trPr>
          <w:trHeight w:val="100"/>
          <w:jc w:val="center"/>
        </w:trPr>
        <w:tc>
          <w:tcPr>
            <w:tcW w:w="1446" w:type="dxa"/>
            <w:tcBorders>
              <w:top w:val="single" w:sz="8" w:space="0" w:color="auto"/>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Variance Equation</w:t>
            </w:r>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r>
      <w:tr w:rsidR="00574EAA" w:rsidRPr="00574EAA" w:rsidTr="00574EAA">
        <w:trPr>
          <w:trHeight w:val="5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α</m:t>
                    </m:r>
                  </m:e>
                  <m:sub>
                    <m:r>
                      <w:rPr>
                        <w:rFonts w:ascii="Cambria Math" w:eastAsia="Times New Roman" w:hAnsi="Cambria Math" w:cs="Times New Roman"/>
                        <w:color w:val="000000"/>
                        <w:sz w:val="16"/>
                        <w:szCs w:val="16"/>
                        <w:lang w:val="en-US" w:eastAsia="fr-FR"/>
                      </w:rPr>
                      <m:t>0</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-2.2328</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-2.9834</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0.4836</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-2.366</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0.0566</w:t>
            </w:r>
          </w:p>
        </w:tc>
      </w:tr>
      <w:tr w:rsidR="00574EAA" w:rsidRPr="00574EAA" w:rsidTr="00574EAA">
        <w:trPr>
          <w:trHeight w:val="140"/>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α</m:t>
                    </m:r>
                  </m:e>
                  <m:sub>
                    <m:r>
                      <w:rPr>
                        <w:rFonts w:ascii="Cambria Math" w:eastAsia="Times New Roman" w:hAnsi="Cambria Math" w:cs="Times New Roman"/>
                        <w:color w:val="000000"/>
                        <w:sz w:val="16"/>
                        <w:szCs w:val="16"/>
                        <w:lang w:val="en-US" w:eastAsia="fr-FR"/>
                      </w:rPr>
                      <m:t>1</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0.1083</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0.1104</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0.2714</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0.1055</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86"/>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ν</m:t>
                    </m:r>
                  </m:e>
                  <m:sub>
                    <m:r>
                      <w:rPr>
                        <w:rFonts w:ascii="Cambria Math" w:eastAsia="Times New Roman" w:hAnsi="Cambria Math" w:cs="Times New Roman"/>
                        <w:color w:val="000000"/>
                        <w:sz w:val="16"/>
                        <w:szCs w:val="16"/>
                        <w:lang w:val="en-US" w:eastAsia="fr-FR"/>
                      </w:rPr>
                      <m:t>1</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0.5111</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0.5487</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0.5616</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α</m:t>
                    </m:r>
                  </m:e>
                  <m:sub>
                    <m:r>
                      <w:rPr>
                        <w:rFonts w:ascii="Cambria Math" w:eastAsia="Times New Roman" w:hAnsi="Cambria Math" w:cs="Times New Roman"/>
                        <w:color w:val="000000"/>
                        <w:sz w:val="16"/>
                        <w:szCs w:val="16"/>
                        <w:lang w:val="en-US" w:eastAsia="fr-FR"/>
                      </w:rPr>
                      <m:t>2</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-0.0117</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-0.0423</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-0.0219</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1</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0.1035</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0.0476</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0.1263</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0.0047</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9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2</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0.27</w:t>
            </w:r>
            <w:r w:rsidR="008E61F1">
              <w:rPr>
                <w:rFonts w:ascii="Times New Roman" w:eastAsia="Times New Roman" w:hAnsi="Times New Roman" w:cs="Times New Roman"/>
                <w:color w:val="000000"/>
                <w:sz w:val="16"/>
                <w:szCs w:val="16"/>
                <w:lang w:eastAsia="fr-FR"/>
              </w:rPr>
              <w:t>00***</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0.0092</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0.1298</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-0.1175</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0.9143</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3</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-0.1224</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0.3098</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-0.2236</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0.0192</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-0.2666</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0.2706</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4</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-0.1244</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0.0793</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0.0275</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0.2681</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-0.1998</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0.0126</w:t>
            </w:r>
          </w:p>
        </w:tc>
      </w:tr>
      <w:tr w:rsidR="00574EAA" w:rsidRPr="00574EAA" w:rsidTr="00574EAA">
        <w:trPr>
          <w:trHeight w:val="88"/>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5</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-0.18553</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0.0146</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-0.0447</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0.055</w:t>
            </w:r>
            <w:r>
              <w:rPr>
                <w:rFonts w:ascii="Times New Roman" w:eastAsia="Times New Roman" w:hAnsi="Times New Roman" w:cs="Times New Roman"/>
                <w:color w:val="000000"/>
                <w:sz w:val="16"/>
                <w:szCs w:val="16"/>
                <w:lang w:eastAsia="fr-FR"/>
              </w:rPr>
              <w:t>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-0.1476</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0.0002</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6</m:t>
                    </m:r>
                  </m:sub>
                </m:sSub>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-0.0641</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-0.0548</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0.693</w:t>
            </w:r>
            <w:r>
              <w:rPr>
                <w:rFonts w:ascii="Times New Roman" w:eastAsia="Times New Roman" w:hAnsi="Times New Roman" w:cs="Times New Roman"/>
                <w:color w:val="000000"/>
                <w:sz w:val="16"/>
                <w:szCs w:val="16"/>
                <w:lang w:eastAsia="fr-FR"/>
              </w:rPr>
              <w:t>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-0.0733</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0.0241</w:t>
            </w:r>
          </w:p>
        </w:tc>
      </w:tr>
      <w:tr w:rsidR="00574EAA" w:rsidRPr="00574EAA" w:rsidTr="00574EAA">
        <w:trPr>
          <w:trHeight w:val="74"/>
          <w:jc w:val="center"/>
        </w:trPr>
        <w:tc>
          <w:tcPr>
            <w:tcW w:w="1446" w:type="dxa"/>
            <w:tcBorders>
              <w:top w:val="nil"/>
              <w:left w:val="nil"/>
              <w:bottom w:val="nil"/>
              <w:right w:val="nil"/>
            </w:tcBorders>
            <w:shd w:val="clear" w:color="auto" w:fill="auto"/>
            <w:noWrap/>
            <w:vAlign w:val="center"/>
            <w:hideMark/>
          </w:tcPr>
          <w:p w:rsidR="00574EAA" w:rsidRPr="00B2118D" w:rsidRDefault="00574EAA" w:rsidP="006D278B">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v</m:t>
                </m:r>
              </m:oMath>
            </m:oMathPara>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2.0008</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2.0042</w:t>
            </w: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0.4878</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2.0017</w:t>
            </w:r>
            <w:r w:rsidR="008E61F1">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574EAA" w:rsidRPr="00574EAA" w:rsidTr="00574EAA">
        <w:trPr>
          <w:trHeight w:val="76"/>
          <w:jc w:val="center"/>
        </w:trPr>
        <w:tc>
          <w:tcPr>
            <w:tcW w:w="1446" w:type="dxa"/>
            <w:tcBorders>
              <w:top w:val="single" w:sz="8" w:space="0" w:color="auto"/>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Diagnostics</w:t>
            </w:r>
          </w:p>
        </w:tc>
        <w:tc>
          <w:tcPr>
            <w:tcW w:w="1006"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8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11"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r>
      <w:tr w:rsidR="00574EAA" w:rsidRPr="00574EAA" w:rsidTr="006D278B">
        <w:trPr>
          <w:trHeight w:val="267"/>
          <w:jc w:val="center"/>
        </w:trPr>
        <w:tc>
          <w:tcPr>
            <w:tcW w:w="1446" w:type="dxa"/>
            <w:tcBorders>
              <w:top w:val="nil"/>
              <w:left w:val="nil"/>
              <w:bottom w:val="nil"/>
              <w:right w:val="nil"/>
            </w:tcBorders>
            <w:shd w:val="clear" w:color="auto" w:fill="auto"/>
            <w:noWrap/>
            <w:vAlign w:val="center"/>
            <w:hideMark/>
          </w:tcPr>
          <w:p w:rsidR="00574EAA" w:rsidRPr="00B2118D" w:rsidRDefault="00574EAA" w:rsidP="006D278B">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LB(20)</m:t>
                </m:r>
              </m:oMath>
            </m:oMathPara>
          </w:p>
        </w:tc>
        <w:tc>
          <w:tcPr>
            <w:tcW w:w="1006" w:type="dxa"/>
            <w:tcBorders>
              <w:top w:val="nil"/>
              <w:left w:val="nil"/>
              <w:bottom w:val="nil"/>
              <w:right w:val="nil"/>
            </w:tcBorders>
            <w:shd w:val="clear" w:color="auto" w:fill="auto"/>
            <w:noWrap/>
            <w:vAlign w:val="bottom"/>
            <w:hideMark/>
          </w:tcPr>
          <w:p w:rsidR="00574EAA" w:rsidRPr="00574EAA" w:rsidRDefault="002D129A" w:rsidP="00574EAA">
            <w:pPr>
              <w:spacing w:after="0" w:line="240" w:lineRule="auto"/>
              <w:rPr>
                <w:rFonts w:ascii="Times New Roman" w:eastAsia="Times New Roman" w:hAnsi="Times New Roman" w:cs="Times New Roman"/>
                <w:color w:val="000000"/>
                <w:sz w:val="16"/>
                <w:szCs w:val="16"/>
                <w:lang w:eastAsia="fr-FR"/>
              </w:rPr>
            </w:pPr>
            <w:r w:rsidRPr="002D129A">
              <w:rPr>
                <w:rFonts w:ascii="Times New Roman" w:eastAsia="Times New Roman" w:hAnsi="Times New Roman" w:cs="Times New Roman"/>
                <w:color w:val="000000"/>
                <w:sz w:val="16"/>
                <w:szCs w:val="16"/>
                <w:lang w:eastAsia="fr-FR"/>
              </w:rPr>
              <w:t>192.726</w:t>
            </w:r>
            <w:r w:rsidR="008E61F1">
              <w:rPr>
                <w:rFonts w:ascii="Times New Roman" w:eastAsia="Times New Roman" w:hAnsi="Times New Roman" w:cs="Times New Roman"/>
                <w:color w:val="000000"/>
                <w:sz w:val="16"/>
                <w:szCs w:val="16"/>
                <w:lang w:eastAsia="fr-FR"/>
              </w:rPr>
              <w:t>***</w:t>
            </w:r>
          </w:p>
        </w:tc>
        <w:tc>
          <w:tcPr>
            <w:tcW w:w="881" w:type="dxa"/>
            <w:tcBorders>
              <w:top w:val="nil"/>
              <w:left w:val="nil"/>
              <w:bottom w:val="nil"/>
              <w:right w:val="nil"/>
            </w:tcBorders>
            <w:shd w:val="clear" w:color="auto" w:fill="auto"/>
            <w:noWrap/>
            <w:vAlign w:val="bottom"/>
            <w:hideMark/>
          </w:tcPr>
          <w:p w:rsidR="00574EAA" w:rsidRPr="00574EAA" w:rsidRDefault="002D129A"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898" w:type="dxa"/>
            <w:tcBorders>
              <w:top w:val="nil"/>
              <w:left w:val="nil"/>
              <w:bottom w:val="nil"/>
              <w:right w:val="nil"/>
            </w:tcBorders>
            <w:shd w:val="clear" w:color="auto" w:fill="auto"/>
            <w:noWrap/>
            <w:vAlign w:val="bottom"/>
            <w:hideMark/>
          </w:tcPr>
          <w:p w:rsidR="00574EAA" w:rsidRPr="00574EAA" w:rsidRDefault="006D278B" w:rsidP="00574EAA">
            <w:pPr>
              <w:spacing w:after="0" w:line="240" w:lineRule="auto"/>
              <w:rPr>
                <w:rFonts w:ascii="Times New Roman" w:eastAsia="Times New Roman" w:hAnsi="Times New Roman" w:cs="Times New Roman"/>
                <w:color w:val="000000"/>
                <w:sz w:val="16"/>
                <w:szCs w:val="16"/>
                <w:lang w:eastAsia="fr-FR"/>
              </w:rPr>
            </w:pPr>
            <w:r w:rsidRPr="006D278B">
              <w:rPr>
                <w:rFonts w:ascii="Times New Roman" w:eastAsia="Times New Roman" w:hAnsi="Times New Roman" w:cs="Times New Roman"/>
                <w:color w:val="000000"/>
                <w:sz w:val="16"/>
                <w:szCs w:val="16"/>
                <w:lang w:eastAsia="fr-FR"/>
              </w:rPr>
              <w:t>175.002</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nil"/>
              <w:right w:val="nil"/>
            </w:tcBorders>
            <w:shd w:val="clear" w:color="auto" w:fill="auto"/>
            <w:noWrap/>
            <w:vAlign w:val="bottom"/>
            <w:hideMark/>
          </w:tcPr>
          <w:p w:rsidR="00574EAA" w:rsidRPr="00574EAA" w:rsidRDefault="008E61F1"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0.0000</w:t>
            </w:r>
          </w:p>
        </w:tc>
        <w:tc>
          <w:tcPr>
            <w:tcW w:w="197" w:type="dxa"/>
            <w:tcBorders>
              <w:top w:val="nil"/>
              <w:left w:val="nil"/>
              <w:bottom w:val="nil"/>
              <w:right w:val="nil"/>
            </w:tcBorders>
            <w:shd w:val="clear" w:color="auto" w:fill="auto"/>
            <w:noWrap/>
            <w:vAlign w:val="bottom"/>
            <w:hideMark/>
          </w:tcPr>
          <w:p w:rsidR="00574EAA" w:rsidRPr="00574EAA" w:rsidRDefault="00574EAA" w:rsidP="00574EAA">
            <w:pPr>
              <w:spacing w:after="0" w:line="240" w:lineRule="auto"/>
              <w:rPr>
                <w:rFonts w:ascii="Calibri" w:eastAsia="Times New Roman" w:hAnsi="Calibri" w:cs="Times New Roman"/>
                <w:color w:val="000000"/>
                <w:lang w:eastAsia="fr-FR"/>
              </w:rPr>
            </w:pPr>
          </w:p>
        </w:tc>
        <w:tc>
          <w:tcPr>
            <w:tcW w:w="789" w:type="dxa"/>
            <w:tcBorders>
              <w:top w:val="nil"/>
              <w:left w:val="nil"/>
              <w:bottom w:val="nil"/>
              <w:right w:val="nil"/>
            </w:tcBorders>
            <w:shd w:val="clear" w:color="auto" w:fill="auto"/>
            <w:noWrap/>
            <w:vAlign w:val="bottom"/>
            <w:hideMark/>
          </w:tcPr>
          <w:p w:rsidR="00574EAA" w:rsidRPr="00574EAA" w:rsidRDefault="008E61F1" w:rsidP="00574EAA">
            <w:pPr>
              <w:spacing w:after="0" w:line="240" w:lineRule="auto"/>
              <w:rPr>
                <w:rFonts w:ascii="Times New Roman" w:eastAsia="Times New Roman" w:hAnsi="Times New Roman" w:cs="Times New Roman"/>
                <w:color w:val="000000"/>
                <w:sz w:val="16"/>
                <w:szCs w:val="16"/>
                <w:lang w:eastAsia="fr-FR"/>
              </w:rPr>
            </w:pPr>
            <w:r w:rsidRPr="008E61F1">
              <w:rPr>
                <w:rFonts w:ascii="Times New Roman" w:eastAsia="Times New Roman" w:hAnsi="Times New Roman" w:cs="Times New Roman"/>
                <w:color w:val="000000"/>
                <w:sz w:val="16"/>
                <w:szCs w:val="16"/>
                <w:lang w:eastAsia="fr-FR"/>
              </w:rPr>
              <w:t>139.467</w:t>
            </w:r>
            <w:r>
              <w:rPr>
                <w:rFonts w:ascii="Times New Roman" w:eastAsia="Times New Roman" w:hAnsi="Times New Roman" w:cs="Times New Roman"/>
                <w:color w:val="000000"/>
                <w:sz w:val="16"/>
                <w:szCs w:val="16"/>
                <w:lang w:eastAsia="fr-FR"/>
              </w:rPr>
              <w:t>***</w:t>
            </w:r>
          </w:p>
        </w:tc>
        <w:tc>
          <w:tcPr>
            <w:tcW w:w="789" w:type="dxa"/>
            <w:tcBorders>
              <w:top w:val="nil"/>
              <w:left w:val="nil"/>
              <w:bottom w:val="nil"/>
              <w:right w:val="nil"/>
            </w:tcBorders>
            <w:shd w:val="clear" w:color="auto" w:fill="auto"/>
            <w:noWrap/>
            <w:vAlign w:val="bottom"/>
            <w:hideMark/>
          </w:tcPr>
          <w:p w:rsidR="00574EAA" w:rsidRPr="00574EAA" w:rsidRDefault="008E61F1"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0.0000</w:t>
            </w:r>
          </w:p>
        </w:tc>
      </w:tr>
      <w:tr w:rsidR="00574EAA" w:rsidRPr="00574EAA" w:rsidTr="00574EAA">
        <w:trPr>
          <w:trHeight w:val="74"/>
          <w:jc w:val="center"/>
        </w:trPr>
        <w:tc>
          <w:tcPr>
            <w:tcW w:w="1446" w:type="dxa"/>
            <w:tcBorders>
              <w:top w:val="nil"/>
              <w:left w:val="nil"/>
              <w:bottom w:val="single" w:sz="8" w:space="0" w:color="auto"/>
              <w:right w:val="nil"/>
            </w:tcBorders>
            <w:shd w:val="clear" w:color="auto" w:fill="auto"/>
            <w:noWrap/>
            <w:vAlign w:val="center"/>
            <w:hideMark/>
          </w:tcPr>
          <w:p w:rsidR="00574EAA" w:rsidRPr="00B2118D" w:rsidRDefault="00011760" w:rsidP="006D278B">
            <w:pPr>
              <w:spacing w:after="0" w:line="240" w:lineRule="auto"/>
              <w:rPr>
                <w:rFonts w:ascii="Times New Roman" w:eastAsia="Times New Roman" w:hAnsi="Times New Roman" w:cs="Times New Roman"/>
                <w:color w:val="000000"/>
                <w:sz w:val="16"/>
                <w:szCs w:val="16"/>
                <w:lang w:eastAsia="fr-FR"/>
              </w:rPr>
            </w:pPr>
            <m:oMathPara>
              <m:oMath>
                <m:sSup>
                  <m:sSupPr>
                    <m:ctrlPr>
                      <w:rPr>
                        <w:rFonts w:ascii="Cambria Math" w:eastAsia="Times New Roman" w:hAnsi="Cambria Math" w:cs="Times New Roman"/>
                        <w:i/>
                        <w:color w:val="000000"/>
                        <w:sz w:val="16"/>
                        <w:szCs w:val="16"/>
                        <w:lang w:eastAsia="fr-FR"/>
                      </w:rPr>
                    </m:ctrlPr>
                  </m:sSupPr>
                  <m:e>
                    <m:r>
                      <w:rPr>
                        <w:rFonts w:ascii="Cambria Math" w:eastAsia="Times New Roman" w:hAnsi="Cambria Math" w:cs="Times New Roman"/>
                        <w:color w:val="000000"/>
                        <w:sz w:val="16"/>
                        <w:szCs w:val="16"/>
                        <w:lang w:eastAsia="fr-FR"/>
                      </w:rPr>
                      <m:t>LB</m:t>
                    </m:r>
                  </m:e>
                  <m:sup>
                    <m:r>
                      <w:rPr>
                        <w:rFonts w:ascii="Cambria Math" w:eastAsia="Times New Roman" w:hAnsi="Cambria Math" w:cs="Times New Roman"/>
                        <w:color w:val="000000"/>
                        <w:sz w:val="16"/>
                        <w:szCs w:val="16"/>
                        <w:lang w:eastAsia="fr-FR"/>
                      </w:rPr>
                      <m:t>2</m:t>
                    </m:r>
                  </m:sup>
                </m:sSup>
                <m:r>
                  <w:rPr>
                    <w:rFonts w:ascii="Cambria Math" w:eastAsia="Times New Roman" w:hAnsi="Cambria Math" w:cs="Times New Roman"/>
                    <w:color w:val="000000"/>
                    <w:sz w:val="16"/>
                    <w:szCs w:val="16"/>
                    <w:lang w:eastAsia="fr-FR"/>
                  </w:rPr>
                  <m:t>(20)</m:t>
                </m:r>
              </m:oMath>
            </m:oMathPara>
          </w:p>
        </w:tc>
        <w:tc>
          <w:tcPr>
            <w:tcW w:w="1006"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r w:rsidR="002D129A" w:rsidRPr="002D129A">
              <w:rPr>
                <w:rFonts w:ascii="Times New Roman" w:eastAsia="Times New Roman" w:hAnsi="Times New Roman" w:cs="Times New Roman"/>
                <w:color w:val="000000"/>
                <w:sz w:val="16"/>
                <w:szCs w:val="16"/>
                <w:lang w:eastAsia="fr-FR"/>
              </w:rPr>
              <w:t>0.4468</w:t>
            </w:r>
          </w:p>
        </w:tc>
        <w:tc>
          <w:tcPr>
            <w:tcW w:w="881" w:type="dxa"/>
            <w:tcBorders>
              <w:top w:val="nil"/>
              <w:left w:val="nil"/>
              <w:bottom w:val="single" w:sz="8" w:space="0" w:color="auto"/>
              <w:right w:val="nil"/>
            </w:tcBorders>
            <w:shd w:val="clear" w:color="auto" w:fill="auto"/>
            <w:noWrap/>
            <w:vAlign w:val="bottom"/>
            <w:hideMark/>
          </w:tcPr>
          <w:p w:rsidR="00574EAA" w:rsidRPr="00574EAA" w:rsidRDefault="002D129A" w:rsidP="00574EAA">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1.0000</w:t>
            </w:r>
            <w:r w:rsidR="00574EAA" w:rsidRPr="00574EAA">
              <w:rPr>
                <w:rFonts w:ascii="Times New Roman" w:eastAsia="Times New Roman" w:hAnsi="Times New Roman" w:cs="Times New Roman"/>
                <w:color w:val="000000"/>
                <w:sz w:val="16"/>
                <w:szCs w:val="16"/>
                <w:lang w:eastAsia="fr-FR"/>
              </w:rPr>
              <w:t> </w:t>
            </w:r>
          </w:p>
        </w:tc>
        <w:tc>
          <w:tcPr>
            <w:tcW w:w="197"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p>
        </w:tc>
        <w:tc>
          <w:tcPr>
            <w:tcW w:w="898"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r w:rsidR="008E61F1" w:rsidRPr="008E61F1">
              <w:rPr>
                <w:rFonts w:ascii="Times New Roman" w:eastAsia="Times New Roman" w:hAnsi="Times New Roman" w:cs="Times New Roman"/>
                <w:color w:val="000000"/>
                <w:sz w:val="16"/>
                <w:szCs w:val="16"/>
                <w:lang w:eastAsia="fr-FR"/>
              </w:rPr>
              <w:t>29.8808</w:t>
            </w:r>
            <w:r w:rsidR="008E61F1">
              <w:rPr>
                <w:rFonts w:ascii="Times New Roman" w:eastAsia="Times New Roman" w:hAnsi="Times New Roman" w:cs="Times New Roman"/>
                <w:color w:val="000000"/>
                <w:sz w:val="16"/>
                <w:szCs w:val="16"/>
                <w:lang w:eastAsia="fr-FR"/>
              </w:rPr>
              <w:t>**</w:t>
            </w:r>
          </w:p>
        </w:tc>
        <w:tc>
          <w:tcPr>
            <w:tcW w:w="811"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r w:rsidR="008E61F1" w:rsidRPr="008E61F1">
              <w:rPr>
                <w:rFonts w:ascii="Times New Roman" w:eastAsia="Times New Roman" w:hAnsi="Times New Roman" w:cs="Times New Roman"/>
                <w:color w:val="000000"/>
                <w:sz w:val="16"/>
                <w:szCs w:val="16"/>
                <w:lang w:eastAsia="fr-FR"/>
              </w:rPr>
              <w:t>0.0386</w:t>
            </w:r>
          </w:p>
        </w:tc>
        <w:tc>
          <w:tcPr>
            <w:tcW w:w="197"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p>
        </w:tc>
        <w:tc>
          <w:tcPr>
            <w:tcW w:w="789"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r w:rsidR="008E61F1" w:rsidRPr="008E61F1">
              <w:rPr>
                <w:rFonts w:ascii="Times New Roman" w:eastAsia="Times New Roman" w:hAnsi="Times New Roman" w:cs="Times New Roman"/>
                <w:color w:val="000000"/>
                <w:sz w:val="16"/>
                <w:szCs w:val="16"/>
                <w:lang w:eastAsia="fr-FR"/>
              </w:rPr>
              <w:t>1.8675</w:t>
            </w:r>
          </w:p>
        </w:tc>
        <w:tc>
          <w:tcPr>
            <w:tcW w:w="789" w:type="dxa"/>
            <w:tcBorders>
              <w:top w:val="nil"/>
              <w:left w:val="nil"/>
              <w:bottom w:val="single" w:sz="8" w:space="0" w:color="auto"/>
              <w:right w:val="nil"/>
            </w:tcBorders>
            <w:shd w:val="clear" w:color="auto" w:fill="auto"/>
            <w:noWrap/>
            <w:vAlign w:val="bottom"/>
            <w:hideMark/>
          </w:tcPr>
          <w:p w:rsidR="00574EAA" w:rsidRPr="00574EAA" w:rsidRDefault="00574EAA" w:rsidP="00574EAA">
            <w:pPr>
              <w:spacing w:after="0" w:line="240" w:lineRule="auto"/>
              <w:rPr>
                <w:rFonts w:ascii="Times New Roman" w:eastAsia="Times New Roman" w:hAnsi="Times New Roman" w:cs="Times New Roman"/>
                <w:color w:val="000000"/>
                <w:sz w:val="16"/>
                <w:szCs w:val="16"/>
                <w:lang w:eastAsia="fr-FR"/>
              </w:rPr>
            </w:pPr>
            <w:r w:rsidRPr="00574EAA">
              <w:rPr>
                <w:rFonts w:ascii="Times New Roman" w:eastAsia="Times New Roman" w:hAnsi="Times New Roman" w:cs="Times New Roman"/>
                <w:color w:val="000000"/>
                <w:sz w:val="16"/>
                <w:szCs w:val="16"/>
                <w:lang w:eastAsia="fr-FR"/>
              </w:rPr>
              <w:t> </w:t>
            </w:r>
            <w:r w:rsidR="008E61F1" w:rsidRPr="008E61F1">
              <w:rPr>
                <w:rFonts w:ascii="Times New Roman" w:eastAsia="Times New Roman" w:hAnsi="Times New Roman" w:cs="Times New Roman"/>
                <w:color w:val="000000"/>
                <w:sz w:val="16"/>
                <w:szCs w:val="16"/>
                <w:lang w:eastAsia="fr-FR"/>
              </w:rPr>
              <w:t>0.9999</w:t>
            </w:r>
          </w:p>
        </w:tc>
      </w:tr>
    </w:tbl>
    <w:p w:rsidR="005B0B6F" w:rsidRDefault="005B0B6F" w:rsidP="00BE1B2E">
      <w:pPr>
        <w:pStyle w:val="Lgende"/>
        <w:spacing w:after="0"/>
        <w:ind w:left="1077" w:right="1077"/>
        <w:jc w:val="both"/>
        <w:rPr>
          <w:rFonts w:asciiTheme="majorBidi" w:eastAsiaTheme="minorHAnsi" w:hAnsiTheme="majorBidi" w:cstheme="majorBidi"/>
          <w:b w:val="0"/>
          <w:bCs w:val="0"/>
          <w:color w:val="auto"/>
          <w:sz w:val="16"/>
          <w:szCs w:val="16"/>
          <w:lang w:val="en-US"/>
        </w:rPr>
      </w:pPr>
      <w:r w:rsidRPr="00FB0A7C">
        <w:rPr>
          <w:rFonts w:asciiTheme="majorBidi" w:hAnsiTheme="majorBidi" w:cstheme="majorBidi"/>
          <w:color w:val="auto"/>
          <w:sz w:val="16"/>
          <w:szCs w:val="16"/>
          <w:lang w:val="en-US"/>
        </w:rPr>
        <w:t>Notes</w:t>
      </w:r>
      <w:r w:rsidRPr="00FB0A7C">
        <w:rPr>
          <w:rFonts w:asciiTheme="majorBidi" w:hAnsiTheme="majorBidi" w:cstheme="majorBidi"/>
          <w:b w:val="0"/>
          <w:bCs w:val="0"/>
          <w:color w:val="auto"/>
          <w:sz w:val="16"/>
          <w:szCs w:val="16"/>
          <w:lang w:val="en-US"/>
        </w:rPr>
        <w:t>:</w:t>
      </w:r>
      <w:r w:rsidRPr="00FB0A7C">
        <w:rPr>
          <w:rFonts w:asciiTheme="majorBidi" w:eastAsiaTheme="minorHAnsi" w:hAnsiTheme="majorBidi" w:cstheme="majorBidi"/>
          <w:b w:val="0"/>
          <w:bCs w:val="0"/>
          <w:color w:val="auto"/>
          <w:sz w:val="16"/>
          <w:szCs w:val="16"/>
          <w:lang w:val="en-US"/>
        </w:rPr>
        <w:t xml:space="preserve"> Es</w:t>
      </w:r>
      <w:r>
        <w:rPr>
          <w:rFonts w:asciiTheme="majorBidi" w:eastAsiaTheme="minorHAnsi" w:hAnsiTheme="majorBidi" w:cstheme="majorBidi"/>
          <w:b w:val="0"/>
          <w:bCs w:val="0"/>
          <w:color w:val="auto"/>
          <w:sz w:val="16"/>
          <w:szCs w:val="16"/>
          <w:lang w:val="en-US"/>
        </w:rPr>
        <w:t>timates are based on mean Eq. (23) and variance Eq. (28) and Eq. (2</w:t>
      </w:r>
      <w:r w:rsidRPr="00FB0A7C">
        <w:rPr>
          <w:rFonts w:asciiTheme="majorBidi" w:eastAsiaTheme="minorHAnsi" w:hAnsiTheme="majorBidi" w:cstheme="majorBidi"/>
          <w:b w:val="0"/>
          <w:bCs w:val="0"/>
          <w:color w:val="auto"/>
          <w:sz w:val="16"/>
          <w:szCs w:val="16"/>
          <w:lang w:val="en-US"/>
        </w:rPr>
        <w:t xml:space="preserve">9) in the text. The lag length is determined by the SIC criteria (Box-Jenkins procedure). </w:t>
      </w:r>
      <m:oMath>
        <m:sSub>
          <m:sSubPr>
            <m:ctrlPr>
              <w:rPr>
                <w:rFonts w:ascii="Cambria Math" w:eastAsiaTheme="minorEastAsia" w:hAnsiTheme="majorBidi" w:cstheme="majorBidi"/>
                <w:b w:val="0"/>
                <w:bCs w:val="0"/>
                <w:i/>
                <w:color w:val="auto"/>
                <w:sz w:val="16"/>
                <w:szCs w:val="16"/>
              </w:rPr>
            </m:ctrlPr>
          </m:sSubPr>
          <m:e>
            <m:r>
              <m:rPr>
                <m:sty m:val="bi"/>
              </m:rPr>
              <w:rPr>
                <w:rFonts w:ascii="Cambria Math" w:eastAsiaTheme="minorEastAsia" w:hAnsi="Cambria Math" w:cstheme="majorBidi"/>
                <w:color w:val="auto"/>
                <w:sz w:val="16"/>
                <w:szCs w:val="16"/>
              </w:rPr>
              <m:t>β</m:t>
            </m:r>
          </m:e>
          <m:sub>
            <m:r>
              <m:rPr>
                <m:sty m:val="bi"/>
              </m:rPr>
              <w:rPr>
                <w:rFonts w:ascii="Cambria Math" w:eastAsiaTheme="minorEastAsia" w:hAnsi="Cambria Math" w:cstheme="majorBidi"/>
                <w:color w:val="auto"/>
                <w:sz w:val="16"/>
                <w:szCs w:val="16"/>
              </w:rPr>
              <m:t>k</m:t>
            </m:r>
            <m:r>
              <m:rPr>
                <m:sty m:val="bi"/>
              </m:rPr>
              <w:rPr>
                <w:rFonts w:ascii="Cambria Math" w:eastAsiaTheme="minorEastAsia" w:hAnsiTheme="majorBidi" w:cstheme="majorBidi"/>
                <w:color w:val="auto"/>
                <w:sz w:val="16"/>
                <w:szCs w:val="16"/>
                <w:lang w:val="en-US"/>
              </w:rPr>
              <m:t>,</m:t>
            </m:r>
            <m:r>
              <m:rPr>
                <m:sty m:val="bi"/>
              </m:rPr>
              <w:rPr>
                <w:rFonts w:ascii="Cambria Math" w:eastAsiaTheme="minorEastAsia" w:hAnsi="Cambria Math" w:cstheme="majorBidi"/>
                <w:color w:val="auto"/>
                <w:sz w:val="16"/>
                <w:szCs w:val="16"/>
              </w:rPr>
              <m:t>t</m:t>
            </m:r>
          </m:sub>
        </m:sSub>
      </m:oMath>
      <w:r w:rsidRPr="00FB0A7C">
        <w:rPr>
          <w:rFonts w:asciiTheme="majorBidi" w:eastAsiaTheme="minorHAnsi" w:hAnsiTheme="majorBidi" w:cstheme="majorBidi"/>
          <w:b w:val="0"/>
          <w:bCs w:val="0"/>
          <w:color w:val="auto"/>
          <w:sz w:val="16"/>
          <w:szCs w:val="16"/>
          <w:lang w:val="en-US"/>
        </w:rPr>
        <w:t xml:space="preserve">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ξ</m:t>
            </m:r>
          </m:e>
          <m:sub>
            <m:r>
              <m:rPr>
                <m:sty m:val="bi"/>
              </m:rPr>
              <w:rPr>
                <w:rFonts w:ascii="Cambria Math" w:eastAsiaTheme="minorHAnsi" w:hAnsi="Cambria Math" w:cstheme="majorBidi"/>
                <w:color w:val="auto"/>
                <w:sz w:val="16"/>
                <w:szCs w:val="16"/>
              </w:rPr>
              <m:t>k</m:t>
            </m:r>
            <m:r>
              <m:rPr>
                <m:sty m:val="bi"/>
              </m:rPr>
              <w:rPr>
                <w:rFonts w:ascii="Cambria Math" w:eastAsiaTheme="minorHAnsi" w:hAnsiTheme="majorBidi" w:cstheme="majorBidi"/>
                <w:color w:val="auto"/>
                <w:sz w:val="16"/>
                <w:szCs w:val="16"/>
                <w:lang w:val="en-US"/>
              </w:rPr>
              <m:t>,</m:t>
            </m:r>
            <m:r>
              <m:rPr>
                <m:sty m:val="bi"/>
              </m:rPr>
              <w:rPr>
                <w:rFonts w:ascii="Cambria Math" w:eastAsiaTheme="minorHAnsi" w:hAnsi="Cambria Math" w:cstheme="majorBidi"/>
                <w:color w:val="auto"/>
                <w:sz w:val="16"/>
                <w:szCs w:val="16"/>
                <w:lang w:val="en-US"/>
              </w:rPr>
              <m:t>t</m:t>
            </m:r>
          </m:sub>
        </m:sSub>
      </m:oMath>
      <w:r w:rsidRPr="00FB0A7C">
        <w:rPr>
          <w:rFonts w:asciiTheme="majorBidi" w:eastAsiaTheme="minorHAnsi" w:hAnsiTheme="majorBidi" w:cstheme="majorBidi"/>
          <w:b w:val="0"/>
          <w:bCs w:val="0"/>
          <w:color w:val="auto"/>
          <w:sz w:val="16"/>
          <w:szCs w:val="16"/>
          <w:lang w:val="en-US"/>
        </w:rPr>
        <w:t xml:space="preserve">, where </w:t>
      </w:r>
      <m:oMath>
        <m:r>
          <m:rPr>
            <m:sty m:val="bi"/>
          </m:rPr>
          <w:rPr>
            <w:rFonts w:ascii="Cambria Math" w:eastAsiaTheme="minorHAnsi" w:hAnsi="Cambria Math" w:cstheme="majorBidi"/>
            <w:color w:val="auto"/>
            <w:sz w:val="16"/>
            <w:szCs w:val="16"/>
            <w:lang w:val="en-US"/>
          </w:rPr>
          <m:t>k</m:t>
        </m:r>
        <m:r>
          <m:rPr>
            <m:sty m:val="bi"/>
          </m:rPr>
          <w:rPr>
            <w:rFonts w:ascii="Cambria Math" w:eastAsiaTheme="minorHAnsi" w:hAnsiTheme="majorBidi" w:cstheme="majorBidi"/>
            <w:color w:val="auto"/>
            <w:sz w:val="16"/>
            <w:szCs w:val="16"/>
            <w:lang w:val="en-US"/>
          </w:rPr>
          <m:t>=1, 2, 3, 4,5,6</m:t>
        </m:r>
      </m:oMath>
      <w:r w:rsidRPr="00FB0A7C">
        <w:rPr>
          <w:rFonts w:asciiTheme="majorBidi" w:eastAsiaTheme="minorHAnsi" w:hAnsiTheme="majorBidi" w:cstheme="majorBidi"/>
          <w:b w:val="0"/>
          <w:bCs w:val="0"/>
          <w:color w:val="auto"/>
          <w:sz w:val="16"/>
          <w:szCs w:val="16"/>
          <w:lang w:val="en-US"/>
        </w:rPr>
        <w:t xml:space="preserve">, are the dummy variable coefficients corresponding to the four phases of the global financial crisis and the two phases of the European sovereign debt crisis.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1</m:t>
            </m:r>
          </m:sub>
        </m:sSub>
      </m:oMath>
      <w:r w:rsidRPr="00FB0A7C">
        <w:rPr>
          <w:rFonts w:asciiTheme="majorBidi" w:eastAsiaTheme="minorHAnsi" w:hAnsiTheme="majorBidi" w:cstheme="majorBidi"/>
          <w:b w:val="0"/>
          <w:bCs w:val="0"/>
          <w:color w:val="auto"/>
          <w:sz w:val="16"/>
          <w:szCs w:val="16"/>
          <w:lang w:val="en-US"/>
        </w:rPr>
        <w:t xml:space="preserve">is the coefficient of </w:t>
      </w:r>
      <m:oMath>
        <m:sSub>
          <m:sSubPr>
            <m:ctrlPr>
              <w:rPr>
                <w:rFonts w:ascii="Cambria Math" w:eastAsiaTheme="minorHAnsi" w:hAnsiTheme="majorBidi" w:cstheme="majorBidi"/>
                <w:b w:val="0"/>
                <w:bCs w:val="0"/>
                <w:i/>
                <w:color w:val="auto"/>
                <w:sz w:val="16"/>
                <w:szCs w:val="16"/>
                <w:lang w:val="en-US"/>
              </w:rPr>
            </m:ctrlPr>
          </m:sSubPr>
          <m:e>
            <m:r>
              <m:rPr>
                <m:sty m:val="bi"/>
              </m:rPr>
              <w:rPr>
                <w:rFonts w:ascii="Cambria Math" w:eastAsiaTheme="minorHAnsi" w:hAnsi="Cambria Math" w:cstheme="majorBidi"/>
                <w:color w:val="auto"/>
                <w:sz w:val="16"/>
                <w:szCs w:val="16"/>
                <w:lang w:val="en-US"/>
              </w:rPr>
              <m:t>h</m:t>
            </m:r>
          </m:e>
          <m:sub>
            <m:r>
              <m:rPr>
                <m:sty m:val="bi"/>
              </m:rPr>
              <w:rPr>
                <w:rFonts w:ascii="Cambria Math" w:eastAsiaTheme="minorHAnsi" w:hAnsi="Cambria Math" w:cstheme="majorBidi"/>
                <w:color w:val="auto"/>
                <w:sz w:val="16"/>
                <w:szCs w:val="16"/>
                <w:lang w:val="en-US"/>
              </w:rPr>
              <m:t>t-</m:t>
            </m:r>
            <m:r>
              <m:rPr>
                <m:sty m:val="bi"/>
              </m:rPr>
              <w:rPr>
                <w:rFonts w:ascii="Cambria Math" w:eastAsiaTheme="minorHAnsi" w:hAnsiTheme="majorBidi" w:cstheme="majorBidi"/>
                <w:color w:val="auto"/>
                <w:sz w:val="16"/>
                <w:szCs w:val="16"/>
                <w:lang w:val="en-US"/>
              </w:rPr>
              <m:t>1</m:t>
            </m:r>
          </m:sub>
        </m:sSub>
      </m:oMath>
      <w:r w:rsidRPr="00FB0A7C">
        <w:rPr>
          <w:rFonts w:asciiTheme="majorBidi" w:eastAsiaTheme="minorHAnsi" w:hAnsiTheme="majorBidi" w:cstheme="majorBidi"/>
          <w:b w:val="0"/>
          <w:bCs w:val="0"/>
          <w:color w:val="auto"/>
          <w:sz w:val="16"/>
          <w:szCs w:val="16"/>
          <w:lang w:val="en-US"/>
        </w:rPr>
        <w:t xml:space="preserve"> 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2</m:t>
            </m:r>
          </m:sub>
        </m:sSub>
      </m:oMath>
      <w:r w:rsidRPr="00FB0A7C">
        <w:rPr>
          <w:rFonts w:asciiTheme="majorBidi" w:eastAsiaTheme="minorHAnsi" w:hAnsiTheme="majorBidi" w:cstheme="majorBidi"/>
          <w:b w:val="0"/>
          <w:bCs w:val="0"/>
          <w:color w:val="auto"/>
          <w:sz w:val="16"/>
          <w:szCs w:val="16"/>
          <w:lang w:val="en-US"/>
        </w:rPr>
        <w:t xml:space="preserve"> is the asymmetric (GJR) term.</w:t>
      </w:r>
      <m:oMath>
        <m:r>
          <m:rPr>
            <m:sty m:val="bi"/>
          </m:rPr>
          <w:rPr>
            <w:rFonts w:ascii="Cambria Math" w:eastAsiaTheme="minorHAnsi" w:hAnsi="Cambria Math" w:cstheme="majorBidi"/>
            <w:color w:val="auto"/>
            <w:sz w:val="16"/>
            <w:szCs w:val="16"/>
            <w:lang w:val="en-US"/>
          </w:rPr>
          <m:t>LB</m:t>
        </m:r>
        <m:r>
          <m:rPr>
            <m:sty m:val="bi"/>
          </m:rPr>
          <w:rPr>
            <w:rFonts w:ascii="Cambria Math" w:eastAsiaTheme="minorHAnsi" w:hAnsiTheme="majorBidi" w:cstheme="majorBidi"/>
            <w:color w:val="auto"/>
            <w:sz w:val="16"/>
            <w:szCs w:val="16"/>
            <w:lang w:val="en-US"/>
          </w:rPr>
          <m:t>(20)</m:t>
        </m:r>
      </m:oMath>
      <w:r w:rsidRPr="00FB0A7C">
        <w:rPr>
          <w:rFonts w:asciiTheme="majorBidi" w:eastAsiaTheme="minorHAnsi" w:hAnsiTheme="majorBidi" w:cstheme="majorBidi"/>
          <w:b w:val="0"/>
          <w:bCs w:val="0"/>
          <w:color w:val="auto"/>
          <w:sz w:val="16"/>
          <w:szCs w:val="16"/>
          <w:lang w:val="en-US"/>
        </w:rPr>
        <w:t>and</w:t>
      </w:r>
      <m:oMath>
        <m:sSup>
          <m:sSupPr>
            <m:ctrlPr>
              <w:rPr>
                <w:rFonts w:ascii="Cambria Math" w:eastAsiaTheme="minorHAnsi" w:hAnsiTheme="majorBidi" w:cstheme="majorBidi"/>
                <w:b w:val="0"/>
                <w:bCs w:val="0"/>
                <w:i/>
                <w:color w:val="auto"/>
                <w:sz w:val="16"/>
                <w:szCs w:val="16"/>
              </w:rPr>
            </m:ctrlPr>
          </m:sSupPr>
          <m:e>
            <m:r>
              <m:rPr>
                <m:sty m:val="bi"/>
              </m:rPr>
              <w:rPr>
                <w:rFonts w:ascii="Cambria Math" w:eastAsiaTheme="minorHAnsi" w:hAnsi="Cambria Math" w:cstheme="majorBidi"/>
                <w:color w:val="auto"/>
                <w:sz w:val="16"/>
                <w:szCs w:val="16"/>
              </w:rPr>
              <m:t>LB</m:t>
            </m:r>
          </m:e>
          <m:sup>
            <m:r>
              <m:rPr>
                <m:sty m:val="bi"/>
              </m:rPr>
              <w:rPr>
                <w:rFonts w:ascii="Cambria Math" w:eastAsiaTheme="minorHAnsi" w:hAnsiTheme="majorBidi" w:cstheme="majorBidi"/>
                <w:color w:val="auto"/>
                <w:sz w:val="16"/>
                <w:szCs w:val="16"/>
                <w:lang w:val="en-US"/>
              </w:rPr>
              <m:t>2</m:t>
            </m:r>
          </m:sup>
        </m:sSup>
        <m:r>
          <m:rPr>
            <m:sty m:val="bi"/>
          </m:rPr>
          <w:rPr>
            <w:rFonts w:ascii="Cambria Math" w:eastAsiaTheme="minorHAnsi" w:hAnsiTheme="majorBidi" w:cstheme="majorBidi"/>
            <w:color w:val="auto"/>
            <w:sz w:val="16"/>
            <w:szCs w:val="16"/>
            <w:lang w:val="en-US"/>
          </w:rPr>
          <m:t>(20)</m:t>
        </m:r>
      </m:oMath>
      <w:r w:rsidRPr="00FB0A7C">
        <w:rPr>
          <w:rFonts w:asciiTheme="majorBidi" w:eastAsiaTheme="minorHAnsi" w:hAnsiTheme="majorBidi" w:cstheme="majorBidi"/>
          <w:b w:val="0"/>
          <w:bCs w:val="0"/>
          <w:color w:val="auto"/>
          <w:sz w:val="16"/>
          <w:szCs w:val="16"/>
          <w:lang w:val="en-US"/>
        </w:rPr>
        <w:t xml:space="preserve"> denote the Ljung-Box tests of serial correlation on both standardized and squared standardized residuals.***, **, and * represent statistical significance at 1%, 5%, and 10% levels, respectively.</w:t>
      </w:r>
    </w:p>
    <w:p w:rsidR="00713545" w:rsidRDefault="00713545" w:rsidP="00713545">
      <w:pPr>
        <w:autoSpaceDE w:val="0"/>
        <w:autoSpaceDN w:val="0"/>
        <w:adjustRightInd w:val="0"/>
        <w:spacing w:after="0" w:line="240" w:lineRule="auto"/>
        <w:ind w:firstLine="340"/>
        <w:jc w:val="both"/>
        <w:rPr>
          <w:rFonts w:asciiTheme="majorBidi" w:hAnsiTheme="majorBidi" w:cstheme="majorBidi"/>
          <w:lang w:val="en-US"/>
        </w:rPr>
      </w:pPr>
    </w:p>
    <w:p w:rsidR="001261A2" w:rsidRDefault="001261A2" w:rsidP="001261A2">
      <w:pPr>
        <w:autoSpaceDE w:val="0"/>
        <w:autoSpaceDN w:val="0"/>
        <w:adjustRightInd w:val="0"/>
        <w:spacing w:after="0" w:line="240" w:lineRule="auto"/>
        <w:ind w:firstLine="340"/>
        <w:jc w:val="both"/>
        <w:rPr>
          <w:rFonts w:asciiTheme="majorBidi" w:hAnsiTheme="majorBidi" w:cstheme="majorBidi"/>
          <w:lang w:val="en-US"/>
        </w:rPr>
      </w:pPr>
      <w:r>
        <w:rPr>
          <w:rFonts w:asciiTheme="majorBidi" w:hAnsiTheme="majorBidi" w:cstheme="majorBidi"/>
          <w:lang w:val="en-US"/>
        </w:rPr>
        <w:t>According to Eqs. (23) and (28) (respectively Eqs. (23) and (2</w:t>
      </w:r>
      <w:r w:rsidRPr="00B06C4A">
        <w:rPr>
          <w:rFonts w:asciiTheme="majorBidi" w:hAnsiTheme="majorBidi" w:cstheme="majorBidi"/>
          <w:lang w:val="en-US"/>
        </w:rPr>
        <w:t xml:space="preserve">9)), we </w:t>
      </w:r>
      <w:r>
        <w:rPr>
          <w:rFonts w:asciiTheme="majorBidi" w:hAnsiTheme="majorBidi" w:cstheme="majorBidi"/>
          <w:lang w:val="en-US"/>
        </w:rPr>
        <w:t>could</w:t>
      </w:r>
      <w:r w:rsidRPr="00B06C4A">
        <w:rPr>
          <w:rFonts w:asciiTheme="majorBidi" w:hAnsiTheme="majorBidi" w:cstheme="majorBidi"/>
          <w:lang w:val="en-US"/>
        </w:rPr>
        <w:t xml:space="preserve"> analyze whether each phase of the global financial and European sovereign debt crises significantly alter the dynamics of the estimated DCCs and their conditional volatilities. In other words, </w:t>
      </w:r>
      <w:r w:rsidRPr="00B06C4A">
        <w:rPr>
          <w:rFonts w:asciiTheme="majorBidi" w:eastAsiaTheme="minorEastAsia" w:hAnsiTheme="majorBidi" w:cstheme="majorBidi"/>
          <w:lang w:val="en-US"/>
        </w:rPr>
        <w:t xml:space="preserve">the statistical significance of the </w:t>
      </w:r>
      <w:r w:rsidRPr="001723E7">
        <w:rPr>
          <w:rFonts w:asciiTheme="majorBidi" w:eastAsiaTheme="minorEastAsia" w:hAnsiTheme="majorBidi" w:cstheme="majorBidi"/>
          <w:lang w:val="en-US"/>
        </w:rPr>
        <w:t xml:space="preserve">estimated dummy coefficients indicates structural changes in mean and/or variance shifts of the correlation coefficients due to external shocks during the different periods of the two crises. According to </w:t>
      </w:r>
      <w:r w:rsidRPr="00266397">
        <w:rPr>
          <w:rFonts w:asciiTheme="majorBidi" w:eastAsiaTheme="minorEastAsia" w:hAnsiTheme="majorBidi" w:cstheme="majorBidi"/>
          <w:color w:val="00B0F0"/>
          <w:lang w:val="en-US"/>
        </w:rPr>
        <w:t>Dimitriou and Kenourgios (2013)</w:t>
      </w:r>
      <w:r w:rsidRPr="001723E7">
        <w:rPr>
          <w:rFonts w:asciiTheme="majorBidi" w:eastAsiaTheme="minorEastAsia" w:hAnsiTheme="majorBidi" w:cstheme="majorBidi"/>
          <w:lang w:val="en-US"/>
        </w:rPr>
        <w:t xml:space="preserve">, </w:t>
      </w:r>
      <w:r w:rsidRPr="001723E7">
        <w:rPr>
          <w:rFonts w:asciiTheme="majorBidi" w:hAnsiTheme="majorBidi" w:cstheme="majorBidi"/>
          <w:lang w:val="en-US"/>
        </w:rPr>
        <w:t>a positive and statistically significant dummy coefficient in the mean equation indicates that the correlation during a specific phase of the crisis is significantly different from that of the previous phase, supporting the presence of sp</w:t>
      </w:r>
      <w:r>
        <w:rPr>
          <w:rFonts w:asciiTheme="majorBidi" w:hAnsiTheme="majorBidi" w:cstheme="majorBidi"/>
          <w:lang w:val="en-US"/>
        </w:rPr>
        <w:t>illover effects among stock prices and exchange rate</w:t>
      </w:r>
      <w:r w:rsidRPr="001723E7">
        <w:rPr>
          <w:rFonts w:asciiTheme="majorBidi" w:hAnsiTheme="majorBidi" w:cstheme="majorBidi"/>
          <w:lang w:val="en-US"/>
        </w:rPr>
        <w:t xml:space="preserve">. This implies that the benefits from portfolio diversification strategies diminish. Furthermore, a positive and statistically significant dummy coefficient in the variance </w:t>
      </w:r>
      <w:r w:rsidRPr="001723E7">
        <w:rPr>
          <w:rFonts w:asciiTheme="majorBidi" w:hAnsiTheme="majorBidi" w:cstheme="majorBidi"/>
          <w:lang w:val="en-US"/>
        </w:rPr>
        <w:lastRenderedPageBreak/>
        <w:t>equation indicates a higher volatility of the correlation coefficients. This suggests that the stability of the correlation is less reliable, causing some doubts on using the estimated correlation coefficient as a guide for portfolio decisions.</w:t>
      </w:r>
    </w:p>
    <w:p w:rsidR="001261A2" w:rsidRDefault="001261A2" w:rsidP="001261A2">
      <w:pPr>
        <w:autoSpaceDE w:val="0"/>
        <w:autoSpaceDN w:val="0"/>
        <w:adjustRightInd w:val="0"/>
        <w:spacing w:after="0" w:line="240" w:lineRule="auto"/>
        <w:ind w:firstLine="340"/>
        <w:jc w:val="both"/>
        <w:rPr>
          <w:rFonts w:asciiTheme="majorBidi" w:hAnsiTheme="majorBidi" w:cstheme="majorBidi"/>
          <w:lang w:val="en-US"/>
        </w:rPr>
      </w:pPr>
      <w:r>
        <w:rPr>
          <w:rFonts w:asciiTheme="majorBidi" w:hAnsiTheme="majorBidi" w:cstheme="majorBidi"/>
          <w:lang w:val="en-US"/>
        </w:rPr>
        <w:t>Table 8</w:t>
      </w:r>
      <w:r w:rsidRPr="00316CD6">
        <w:rPr>
          <w:rFonts w:asciiTheme="majorBidi" w:hAnsiTheme="majorBidi" w:cstheme="majorBidi"/>
          <w:lang w:val="en-US"/>
        </w:rPr>
        <w:t xml:space="preserve"> reports th</w:t>
      </w:r>
      <w:r>
        <w:rPr>
          <w:rFonts w:asciiTheme="majorBidi" w:hAnsiTheme="majorBidi" w:cstheme="majorBidi"/>
          <w:lang w:val="en-US"/>
        </w:rPr>
        <w:t>e estimation results of the AR(0</w:t>
      </w:r>
      <w:r w:rsidRPr="00316CD6">
        <w:rPr>
          <w:rFonts w:asciiTheme="majorBidi" w:hAnsiTheme="majorBidi" w:cstheme="majorBidi"/>
          <w:lang w:val="en-US"/>
        </w:rPr>
        <w:t>)-GJR-GARCH(1,1) model.</w:t>
      </w:r>
      <w:r w:rsidRPr="00266AB6">
        <w:rPr>
          <w:rFonts w:asciiTheme="majorBidi" w:hAnsiTheme="majorBidi" w:cstheme="majorBidi"/>
          <w:lang w:val="en-US"/>
        </w:rPr>
        <w:t>At the phase 2 of the global financial crisis, the dummy coefficient (</w:t>
      </w:r>
      <m:oMath>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2</m:t>
            </m:r>
          </m:sub>
        </m:sSub>
      </m:oMath>
      <w:r w:rsidRPr="00266AB6">
        <w:rPr>
          <w:rFonts w:asciiTheme="majorBidi" w:hAnsiTheme="majorBidi" w:cstheme="majorBidi"/>
          <w:lang w:val="en-US"/>
        </w:rPr>
        <w:t xml:space="preserve">) is negative and statistically significant for the pair of USDEUR-NIKKEI225, supporting a decrease in DCCs.Nevertheless, the </w:t>
      </w:r>
      <m:oMath>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2</m:t>
            </m:r>
          </m:sub>
        </m:sSub>
      </m:oMath>
      <w:r w:rsidRPr="00266AB6">
        <w:rPr>
          <w:rFonts w:asciiTheme="majorBidi" w:hAnsiTheme="majorBidi" w:cstheme="majorBidi"/>
          <w:lang w:val="en-US"/>
        </w:rPr>
        <w:t xml:space="preserve"> parameter is positive and statistically no significant for the pair of USDEUR-SSE, indicating the absence of a “contagion effect”.</w:t>
      </w:r>
      <w:r>
        <w:rPr>
          <w:rFonts w:asciiTheme="majorBidi" w:hAnsiTheme="majorBidi" w:cstheme="majorBidi"/>
          <w:lang w:val="en-US"/>
        </w:rPr>
        <w:t xml:space="preserve"> Moreover, this parameter is negative and no significant for the pair of USDEUR-MSCI, supporting an increase in DCCs.</w:t>
      </w:r>
      <w:r w:rsidRPr="00747C9E">
        <w:rPr>
          <w:rFonts w:asciiTheme="majorBidi" w:hAnsiTheme="majorBidi" w:cstheme="majorBidi"/>
          <w:lang w:val="en-US"/>
        </w:rPr>
        <w:t xml:space="preserve">During the phase 3 of macroeconomic deterioration, negative and statistically no significant dummy coefficients </w:t>
      </w:r>
      <m:oMath>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3</m:t>
            </m:r>
          </m:sub>
        </m:sSub>
      </m:oMath>
      <w:r w:rsidRPr="00747C9E">
        <w:rPr>
          <w:rFonts w:asciiTheme="majorBidi" w:hAnsiTheme="majorBidi" w:cstheme="majorBidi"/>
          <w:lang w:val="en-US"/>
        </w:rPr>
        <w:t xml:space="preserve"> exist for each pairs, implying a decrease of DCCs and thus suggesting that the relationship among these currencies is actually decreased during this phase. This result can be viewed as a “contagion effect”. </w:t>
      </w:r>
    </w:p>
    <w:p w:rsidR="00C44ED0" w:rsidRDefault="00C44ED0" w:rsidP="00BF0FC9">
      <w:pPr>
        <w:spacing w:after="0" w:line="240" w:lineRule="auto"/>
        <w:rPr>
          <w:rFonts w:asciiTheme="majorBidi" w:hAnsiTheme="majorBidi" w:cstheme="majorBidi"/>
          <w:sz w:val="24"/>
          <w:szCs w:val="24"/>
          <w:lang w:val="en-US"/>
        </w:rPr>
      </w:pPr>
    </w:p>
    <w:p w:rsidR="000B7102" w:rsidRPr="005D22B5" w:rsidRDefault="000B7102" w:rsidP="00B90D75">
      <w:pPr>
        <w:pStyle w:val="Lgende"/>
        <w:keepNext/>
        <w:spacing w:after="0"/>
        <w:ind w:left="567" w:right="567"/>
        <w:jc w:val="both"/>
        <w:rPr>
          <w:rFonts w:asciiTheme="majorBidi" w:hAnsiTheme="majorBidi" w:cstheme="majorBidi"/>
          <w:color w:val="auto"/>
          <w:sz w:val="22"/>
          <w:szCs w:val="22"/>
          <w:lang w:val="en-US"/>
        </w:rPr>
      </w:pPr>
      <w:r w:rsidRPr="005D22B5">
        <w:rPr>
          <w:rFonts w:asciiTheme="majorBidi" w:hAnsiTheme="majorBidi" w:cstheme="majorBidi"/>
          <w:color w:val="auto"/>
          <w:sz w:val="22"/>
          <w:szCs w:val="22"/>
          <w:lang w:val="en-US"/>
        </w:rPr>
        <w:t xml:space="preserve">Table </w:t>
      </w:r>
      <w:r w:rsidR="00381F85">
        <w:rPr>
          <w:rFonts w:asciiTheme="majorBidi" w:hAnsiTheme="majorBidi" w:cstheme="majorBidi"/>
          <w:color w:val="auto"/>
          <w:sz w:val="22"/>
          <w:szCs w:val="22"/>
          <w:lang w:val="en-US"/>
        </w:rPr>
        <w:t>9</w:t>
      </w:r>
    </w:p>
    <w:p w:rsidR="000B7102" w:rsidRPr="005D22B5" w:rsidRDefault="000B7102" w:rsidP="00B90D75">
      <w:pPr>
        <w:spacing w:after="0" w:line="240" w:lineRule="auto"/>
        <w:ind w:left="567" w:right="567"/>
        <w:jc w:val="both"/>
        <w:rPr>
          <w:rFonts w:asciiTheme="majorBidi" w:hAnsiTheme="majorBidi" w:cstheme="majorBidi"/>
          <w:lang w:val="en-US"/>
        </w:rPr>
      </w:pPr>
      <w:r w:rsidRPr="005D22B5">
        <w:rPr>
          <w:rFonts w:asciiTheme="majorBidi" w:hAnsiTheme="majorBidi" w:cstheme="majorBidi"/>
          <w:lang w:val="en-US"/>
        </w:rPr>
        <w:t xml:space="preserve">Tests of changes in dynamic </w:t>
      </w:r>
      <w:r>
        <w:rPr>
          <w:rFonts w:asciiTheme="majorBidi" w:hAnsiTheme="majorBidi" w:cstheme="majorBidi"/>
          <w:lang w:val="en-US"/>
        </w:rPr>
        <w:t xml:space="preserve">conditional correlations </w:t>
      </w:r>
      <w:r w:rsidR="009E0D62">
        <w:rPr>
          <w:rFonts w:asciiTheme="majorBidi" w:hAnsiTheme="majorBidi" w:cstheme="majorBidi"/>
          <w:lang w:val="en-US"/>
        </w:rPr>
        <w:t>among exchange rate and stock market</w:t>
      </w:r>
      <w:r>
        <w:rPr>
          <w:rFonts w:asciiTheme="majorBidi" w:hAnsiTheme="majorBidi" w:cstheme="majorBidi"/>
          <w:lang w:val="en-US"/>
        </w:rPr>
        <w:t xml:space="preserve"> returns</w:t>
      </w:r>
      <w:r w:rsidRPr="005D22B5">
        <w:rPr>
          <w:rFonts w:asciiTheme="majorBidi" w:hAnsiTheme="majorBidi" w:cstheme="majorBidi"/>
          <w:lang w:val="en-US"/>
        </w:rPr>
        <w:t xml:space="preserve"> during the phases of global financial </w:t>
      </w:r>
      <w:r>
        <w:rPr>
          <w:rFonts w:asciiTheme="majorBidi" w:hAnsiTheme="majorBidi" w:cstheme="majorBidi"/>
          <w:lang w:val="en-US"/>
        </w:rPr>
        <w:t>and European sovereign debt crise</w:t>
      </w:r>
      <w:r w:rsidRPr="005D22B5">
        <w:rPr>
          <w:rFonts w:asciiTheme="majorBidi" w:hAnsiTheme="majorBidi" w:cstheme="majorBidi"/>
          <w:lang w:val="en-US"/>
        </w:rPr>
        <w:t>s (</w:t>
      </w:r>
      <w:r>
        <w:rPr>
          <w:rFonts w:asciiTheme="majorBidi" w:hAnsiTheme="majorBidi" w:cstheme="majorBidi"/>
          <w:lang w:val="en-US"/>
        </w:rPr>
        <w:t>AR(0)-GARCH</w:t>
      </w:r>
      <w:r w:rsidR="00DE4B54">
        <w:rPr>
          <w:rFonts w:asciiTheme="majorBidi" w:hAnsiTheme="majorBidi" w:cstheme="majorBidi"/>
          <w:lang w:val="en-US"/>
        </w:rPr>
        <w:t>(1,1)</w:t>
      </w:r>
      <w:r>
        <w:rPr>
          <w:rFonts w:asciiTheme="majorBidi" w:hAnsiTheme="majorBidi" w:cstheme="majorBidi"/>
          <w:lang w:val="en-US"/>
        </w:rPr>
        <w:t xml:space="preserve"> model).</w:t>
      </w:r>
    </w:p>
    <w:tbl>
      <w:tblPr>
        <w:tblW w:w="7942" w:type="dxa"/>
        <w:jc w:val="center"/>
        <w:tblInd w:w="56" w:type="dxa"/>
        <w:tblCellMar>
          <w:left w:w="70" w:type="dxa"/>
          <w:right w:w="70" w:type="dxa"/>
        </w:tblCellMar>
        <w:tblLook w:val="04A0"/>
      </w:tblPr>
      <w:tblGrid>
        <w:gridCol w:w="1417"/>
        <w:gridCol w:w="927"/>
        <w:gridCol w:w="1089"/>
        <w:gridCol w:w="209"/>
        <w:gridCol w:w="927"/>
        <w:gridCol w:w="1044"/>
        <w:gridCol w:w="220"/>
        <w:gridCol w:w="1020"/>
        <w:gridCol w:w="1089"/>
      </w:tblGrid>
      <w:tr w:rsidR="00A904D8" w:rsidRPr="00BD47AB" w:rsidTr="00747C9E">
        <w:trPr>
          <w:trHeight w:val="71"/>
          <w:jc w:val="center"/>
        </w:trPr>
        <w:tc>
          <w:tcPr>
            <w:tcW w:w="1417" w:type="dxa"/>
            <w:vMerge w:val="restart"/>
            <w:tcBorders>
              <w:top w:val="single" w:sz="8" w:space="0" w:color="auto"/>
              <w:left w:val="nil"/>
              <w:bottom w:val="single" w:sz="8" w:space="0" w:color="000000"/>
              <w:right w:val="nil"/>
            </w:tcBorders>
            <w:shd w:val="clear" w:color="auto" w:fill="auto"/>
            <w:noWrap/>
            <w:vAlign w:val="bottom"/>
            <w:hideMark/>
          </w:tcPr>
          <w:p w:rsidR="00A904D8" w:rsidRPr="00BD47AB" w:rsidRDefault="00A904D8" w:rsidP="00BD47AB">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Variable</w:t>
            </w:r>
          </w:p>
        </w:tc>
        <w:tc>
          <w:tcPr>
            <w:tcW w:w="2016" w:type="dxa"/>
            <w:gridSpan w:val="2"/>
            <w:tcBorders>
              <w:top w:val="single" w:sz="8" w:space="0" w:color="auto"/>
              <w:left w:val="nil"/>
              <w:bottom w:val="single" w:sz="8" w:space="0" w:color="auto"/>
              <w:right w:val="nil"/>
            </w:tcBorders>
            <w:shd w:val="clear" w:color="auto" w:fill="auto"/>
            <w:noWrap/>
            <w:vAlign w:val="bottom"/>
            <w:hideMark/>
          </w:tcPr>
          <w:p w:rsidR="00A904D8" w:rsidRPr="00574EAA" w:rsidRDefault="00011760" w:rsidP="001261A2">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usdeur-nikkei225</m:t>
                    </m:r>
                  </m:sub>
                </m:sSub>
              </m:oMath>
            </m:oMathPara>
          </w:p>
        </w:tc>
        <w:tc>
          <w:tcPr>
            <w:tcW w:w="209" w:type="dxa"/>
            <w:tcBorders>
              <w:top w:val="single" w:sz="8" w:space="0" w:color="auto"/>
              <w:left w:val="nil"/>
              <w:bottom w:val="nil"/>
              <w:right w:val="nil"/>
            </w:tcBorders>
            <w:shd w:val="clear" w:color="auto" w:fill="auto"/>
            <w:noWrap/>
            <w:vAlign w:val="bottom"/>
            <w:hideMark/>
          </w:tcPr>
          <w:p w:rsidR="00A904D8" w:rsidRPr="00574EAA" w:rsidRDefault="00A904D8" w:rsidP="001261A2">
            <w:pPr>
              <w:spacing w:after="0" w:line="240" w:lineRule="auto"/>
              <w:rPr>
                <w:rFonts w:ascii="Times New Roman" w:eastAsia="Times New Roman" w:hAnsi="Times New Roman" w:cs="Times New Roman"/>
                <w:color w:val="000000"/>
                <w:sz w:val="16"/>
                <w:szCs w:val="16"/>
                <w:lang w:eastAsia="fr-FR"/>
              </w:rPr>
            </w:pPr>
          </w:p>
        </w:tc>
        <w:tc>
          <w:tcPr>
            <w:tcW w:w="1971" w:type="dxa"/>
            <w:gridSpan w:val="2"/>
            <w:tcBorders>
              <w:top w:val="single" w:sz="8" w:space="0" w:color="auto"/>
              <w:left w:val="nil"/>
              <w:bottom w:val="single" w:sz="8" w:space="0" w:color="auto"/>
              <w:right w:val="nil"/>
            </w:tcBorders>
            <w:shd w:val="clear" w:color="auto" w:fill="auto"/>
            <w:noWrap/>
            <w:vAlign w:val="bottom"/>
            <w:hideMark/>
          </w:tcPr>
          <w:p w:rsidR="00A904D8" w:rsidRPr="00574EAA" w:rsidRDefault="00011760" w:rsidP="001261A2">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usdeur-sse</m:t>
                    </m:r>
                  </m:sub>
                </m:sSub>
              </m:oMath>
            </m:oMathPara>
          </w:p>
        </w:tc>
        <w:tc>
          <w:tcPr>
            <w:tcW w:w="220" w:type="dxa"/>
            <w:tcBorders>
              <w:top w:val="nil"/>
              <w:left w:val="nil"/>
              <w:bottom w:val="nil"/>
              <w:right w:val="nil"/>
            </w:tcBorders>
            <w:shd w:val="clear" w:color="auto" w:fill="auto"/>
            <w:noWrap/>
            <w:vAlign w:val="bottom"/>
            <w:hideMark/>
          </w:tcPr>
          <w:p w:rsidR="00A904D8" w:rsidRPr="00574EAA" w:rsidRDefault="00A904D8" w:rsidP="001261A2">
            <w:pPr>
              <w:spacing w:after="0" w:line="240" w:lineRule="auto"/>
              <w:rPr>
                <w:rFonts w:ascii="Times New Roman" w:eastAsia="Times New Roman" w:hAnsi="Times New Roman" w:cs="Times New Roman"/>
                <w:color w:val="000000"/>
                <w:sz w:val="16"/>
                <w:szCs w:val="16"/>
                <w:lang w:eastAsia="fr-FR"/>
              </w:rPr>
            </w:pPr>
          </w:p>
        </w:tc>
        <w:tc>
          <w:tcPr>
            <w:tcW w:w="2109" w:type="dxa"/>
            <w:gridSpan w:val="2"/>
            <w:tcBorders>
              <w:top w:val="single" w:sz="8" w:space="0" w:color="auto"/>
              <w:left w:val="nil"/>
              <w:bottom w:val="single" w:sz="8" w:space="0" w:color="auto"/>
              <w:right w:val="nil"/>
            </w:tcBorders>
            <w:shd w:val="clear" w:color="auto" w:fill="auto"/>
            <w:noWrap/>
            <w:vAlign w:val="bottom"/>
            <w:hideMark/>
          </w:tcPr>
          <w:p w:rsidR="00A904D8" w:rsidRPr="00574EAA" w:rsidRDefault="00011760" w:rsidP="001261A2">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hAnsi="Cambria Math" w:cstheme="majorBidi"/>
                        <w:i/>
                        <w:lang w:val="en-US"/>
                      </w:rPr>
                    </m:ctrlPr>
                  </m:sSubPr>
                  <m:e>
                    <m:r>
                      <w:rPr>
                        <w:rFonts w:ascii="Cambria Math" w:hAnsi="Cambria Math" w:cstheme="majorBidi"/>
                        <w:lang w:val="en-US"/>
                      </w:rPr>
                      <m:t>ρ</m:t>
                    </m:r>
                  </m:e>
                  <m:sub>
                    <m:r>
                      <w:rPr>
                        <w:rFonts w:ascii="Cambria Math" w:hAnsi="Cambria Math" w:cstheme="majorBidi"/>
                        <w:lang w:val="en-US"/>
                      </w:rPr>
                      <m:t>usdeur-msci</m:t>
                    </m:r>
                  </m:sub>
                </m:sSub>
              </m:oMath>
            </m:oMathPara>
          </w:p>
        </w:tc>
      </w:tr>
      <w:tr w:rsidR="00A904D8" w:rsidRPr="00BD47AB" w:rsidTr="00BD47AB">
        <w:trPr>
          <w:trHeight w:val="54"/>
          <w:jc w:val="center"/>
        </w:trPr>
        <w:tc>
          <w:tcPr>
            <w:tcW w:w="1417" w:type="dxa"/>
            <w:vMerge/>
            <w:tcBorders>
              <w:top w:val="single" w:sz="8" w:space="0" w:color="auto"/>
              <w:left w:val="nil"/>
              <w:bottom w:val="single" w:sz="8" w:space="0" w:color="000000"/>
              <w:right w:val="nil"/>
            </w:tcBorders>
            <w:vAlign w:val="center"/>
            <w:hideMark/>
          </w:tcPr>
          <w:p w:rsidR="00A904D8" w:rsidRPr="00BD47AB" w:rsidRDefault="00A904D8" w:rsidP="00BD47AB">
            <w:pPr>
              <w:spacing w:after="0" w:line="240" w:lineRule="auto"/>
              <w:rPr>
                <w:rFonts w:ascii="Times New Roman" w:eastAsia="Times New Roman" w:hAnsi="Times New Roman" w:cs="Times New Roman"/>
                <w:color w:val="000000"/>
                <w:sz w:val="16"/>
                <w:szCs w:val="16"/>
                <w:lang w:eastAsia="fr-FR"/>
              </w:rPr>
            </w:pPr>
          </w:p>
        </w:tc>
        <w:tc>
          <w:tcPr>
            <w:tcW w:w="927"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Coeff</w:t>
            </w:r>
          </w:p>
        </w:tc>
        <w:tc>
          <w:tcPr>
            <w:tcW w:w="1089"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Signif</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Coeff</w:t>
            </w:r>
          </w:p>
        </w:tc>
        <w:tc>
          <w:tcPr>
            <w:tcW w:w="1044"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Signif</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Coeff</w:t>
            </w:r>
          </w:p>
        </w:tc>
        <w:tc>
          <w:tcPr>
            <w:tcW w:w="1089"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Signif</w:t>
            </w:r>
          </w:p>
        </w:tc>
      </w:tr>
      <w:tr w:rsidR="00A904D8" w:rsidRPr="00BD47AB" w:rsidTr="00BD47AB">
        <w:trPr>
          <w:trHeight w:val="91"/>
          <w:jc w:val="center"/>
        </w:trPr>
        <w:tc>
          <w:tcPr>
            <w:tcW w:w="1417" w:type="dxa"/>
            <w:tcBorders>
              <w:top w:val="nil"/>
              <w:left w:val="nil"/>
              <w:bottom w:val="single" w:sz="8" w:space="0" w:color="auto"/>
              <w:right w:val="nil"/>
            </w:tcBorders>
            <w:shd w:val="clear" w:color="auto" w:fill="auto"/>
            <w:noWrap/>
            <w:vAlign w:val="bottom"/>
            <w:hideMark/>
          </w:tcPr>
          <w:p w:rsidR="00A904D8" w:rsidRPr="00BD47AB" w:rsidRDefault="00A904D8" w:rsidP="00BD47AB">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Mean Equation</w:t>
            </w: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r>
      <w:tr w:rsidR="00A904D8" w:rsidRPr="00BD47AB" w:rsidTr="00BD47AB">
        <w:trPr>
          <w:trHeight w:val="54"/>
          <w:jc w:val="center"/>
        </w:trPr>
        <w:tc>
          <w:tcPr>
            <w:tcW w:w="1417" w:type="dxa"/>
            <w:tcBorders>
              <w:top w:val="nil"/>
              <w:left w:val="nil"/>
              <w:bottom w:val="nil"/>
              <w:right w:val="nil"/>
            </w:tcBorders>
            <w:shd w:val="clear" w:color="auto" w:fill="auto"/>
            <w:noWrap/>
            <w:vAlign w:val="center"/>
            <w:hideMark/>
          </w:tcPr>
          <w:p w:rsidR="00A904D8" w:rsidRPr="00B2118D" w:rsidRDefault="00A904D8" w:rsidP="00747C9E">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ω</m:t>
                </m:r>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0.0114</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0.051</w:t>
            </w:r>
            <w:r>
              <w:rPr>
                <w:rFonts w:ascii="Times New Roman" w:eastAsia="Times New Roman" w:hAnsi="Times New Roman" w:cs="Times New Roman"/>
                <w:color w:val="000000"/>
                <w:sz w:val="16"/>
                <w:szCs w:val="16"/>
                <w:lang w:eastAsia="fr-FR"/>
              </w:rPr>
              <w:t>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1</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0.2596</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3</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0.813</w:t>
            </w:r>
            <w:r>
              <w:rPr>
                <w:rFonts w:ascii="Times New Roman" w:eastAsia="Times New Roman" w:hAnsi="Times New Roman" w:cs="Times New Roman"/>
                <w:color w:val="000000"/>
                <w:sz w:val="16"/>
                <w:szCs w:val="16"/>
                <w:lang w:eastAsia="fr-FR"/>
              </w:rPr>
              <w:t>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0.8647</w:t>
            </w:r>
          </w:p>
        </w:tc>
      </w:tr>
      <w:tr w:rsidR="00A904D8" w:rsidRPr="00BD47AB" w:rsidTr="00747C9E">
        <w:trPr>
          <w:trHeight w:val="76"/>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2</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-0.0005</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0.1639</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0.2968</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0.5946</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3</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0.3057</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0.4338</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0.1851</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4</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0.108</w:t>
            </w:r>
            <w:r>
              <w:rPr>
                <w:rFonts w:ascii="Times New Roman" w:eastAsia="Times New Roman" w:hAnsi="Times New Roman" w:cs="Times New Roman"/>
                <w:color w:val="000000"/>
                <w:sz w:val="16"/>
                <w:szCs w:val="16"/>
                <w:lang w:eastAsia="fr-FR"/>
              </w:rPr>
              <w:t>0</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2</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0.8861</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0.232</w:t>
            </w:r>
            <w:r>
              <w:rPr>
                <w:rFonts w:ascii="Times New Roman" w:eastAsia="Times New Roman" w:hAnsi="Times New Roman" w:cs="Times New Roman"/>
                <w:color w:val="000000"/>
                <w:sz w:val="16"/>
                <w:szCs w:val="16"/>
                <w:lang w:eastAsia="fr-FR"/>
              </w:rPr>
              <w:t>0</w:t>
            </w:r>
          </w:p>
        </w:tc>
      </w:tr>
      <w:tr w:rsidR="00A904D8" w:rsidRPr="00BD47AB" w:rsidTr="00747C9E">
        <w:trPr>
          <w:trHeight w:val="98"/>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5</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-0.0004</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0.0354</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0.4485</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-0.0003</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0.096</w:t>
            </w:r>
            <w:r>
              <w:rPr>
                <w:rFonts w:ascii="Times New Roman" w:eastAsia="Times New Roman" w:hAnsi="Times New Roman" w:cs="Times New Roman"/>
                <w:color w:val="000000"/>
                <w:sz w:val="16"/>
                <w:szCs w:val="16"/>
                <w:lang w:eastAsia="fr-FR"/>
              </w:rPr>
              <w:t>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β</m:t>
                    </m:r>
                  </m:e>
                  <m:sub>
                    <m:r>
                      <w:rPr>
                        <w:rFonts w:ascii="Cambria Math" w:eastAsia="Times New Roman" w:hAnsi="Cambria Math" w:cs="Times New Roman"/>
                        <w:color w:val="000000"/>
                        <w:sz w:val="16"/>
                        <w:szCs w:val="16"/>
                        <w:lang w:val="en-US" w:eastAsia="fr-FR"/>
                      </w:rPr>
                      <m:t>6</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0.1901</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0.3198</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0.1009</w:t>
            </w:r>
          </w:p>
        </w:tc>
      </w:tr>
      <w:tr w:rsidR="00A904D8" w:rsidRPr="00BD47AB" w:rsidTr="00BD47AB">
        <w:trPr>
          <w:trHeight w:val="141"/>
          <w:jc w:val="center"/>
        </w:trPr>
        <w:tc>
          <w:tcPr>
            <w:tcW w:w="1417" w:type="dxa"/>
            <w:tcBorders>
              <w:top w:val="single" w:sz="8" w:space="0" w:color="auto"/>
              <w:left w:val="nil"/>
              <w:bottom w:val="single" w:sz="8" w:space="0" w:color="auto"/>
              <w:right w:val="nil"/>
            </w:tcBorders>
            <w:shd w:val="clear" w:color="auto" w:fill="auto"/>
            <w:noWrap/>
            <w:vAlign w:val="bottom"/>
            <w:hideMark/>
          </w:tcPr>
          <w:p w:rsidR="00A904D8" w:rsidRPr="00BD47AB" w:rsidRDefault="00A904D8" w:rsidP="00BD47AB">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Variance Equation</w:t>
            </w: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r>
      <w:tr w:rsidR="00A904D8" w:rsidRPr="00BD47AB" w:rsidTr="00747C9E">
        <w:trPr>
          <w:trHeight w:val="5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α</m:t>
                    </m:r>
                  </m:e>
                  <m:sub>
                    <m:r>
                      <w:rPr>
                        <w:rFonts w:ascii="Cambria Math" w:eastAsia="Times New Roman" w:hAnsi="Cambria Math" w:cs="Times New Roman"/>
                        <w:color w:val="000000"/>
                        <w:sz w:val="16"/>
                        <w:szCs w:val="16"/>
                        <w:lang w:val="en-US" w:eastAsia="fr-FR"/>
                      </w:rPr>
                      <m:t>0</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0.0012</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α</m:t>
                    </m:r>
                  </m:e>
                  <m:sub>
                    <m:r>
                      <w:rPr>
                        <w:rFonts w:ascii="Cambria Math" w:eastAsia="Times New Roman" w:hAnsi="Cambria Math" w:cs="Times New Roman"/>
                        <w:color w:val="000000"/>
                        <w:sz w:val="16"/>
                        <w:szCs w:val="16"/>
                        <w:lang w:val="en-US" w:eastAsia="fr-FR"/>
                      </w:rPr>
                      <m:t>1</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-0.5516</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0.0246</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0.1603</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0.0532</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-0.3857</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ν</m:t>
                    </m:r>
                  </m:e>
                  <m:sub>
                    <m:r>
                      <w:rPr>
                        <w:rFonts w:ascii="Cambria Math" w:eastAsia="Times New Roman" w:hAnsi="Cambria Math" w:cs="Times New Roman"/>
                        <w:color w:val="000000"/>
                        <w:sz w:val="16"/>
                        <w:szCs w:val="16"/>
                        <w:lang w:val="en-US" w:eastAsia="fr-FR"/>
                      </w:rPr>
                      <m:t>1</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0.3474</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0.1596</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0.8476</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0.9973</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A904D8" w:rsidRPr="00BD47AB" w:rsidTr="00747C9E">
        <w:trPr>
          <w:trHeight w:val="86"/>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1</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0.1244</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0.0633</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4</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0.1685</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2</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0.0008</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0.1325</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0.2759</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2</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0.0589</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3</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0.2538</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0.002</w:t>
            </w:r>
            <w:r>
              <w:rPr>
                <w:rFonts w:ascii="Times New Roman" w:eastAsia="Times New Roman" w:hAnsi="Times New Roman" w:cs="Times New Roman"/>
                <w:color w:val="000000"/>
                <w:sz w:val="16"/>
                <w:szCs w:val="16"/>
                <w:lang w:eastAsia="fr-FR"/>
              </w:rPr>
              <w:t>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1</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0.9163</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4</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-0.0002</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0.0901</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1</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0.7587</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5</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0.2452</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5</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-0.0004</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0.051</w:t>
            </w:r>
            <w:r>
              <w:rPr>
                <w:rFonts w:ascii="Times New Roman" w:eastAsia="Times New Roman" w:hAnsi="Times New Roman" w:cs="Times New Roman"/>
                <w:color w:val="000000"/>
                <w:sz w:val="16"/>
                <w:szCs w:val="16"/>
                <w:lang w:eastAsia="fr-FR"/>
              </w:rPr>
              <w:t>0</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3</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0.9504</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3</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0.9500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b>
                  <m:sSubPr>
                    <m:ctrlPr>
                      <w:rPr>
                        <w:rFonts w:ascii="Cambria Math" w:eastAsia="Times New Roman" w:hAnsi="Cambria Math" w:cs="Times New Roman"/>
                        <w:i/>
                        <w:color w:val="000000"/>
                        <w:sz w:val="16"/>
                        <w:szCs w:val="16"/>
                        <w:lang w:val="en-US" w:eastAsia="fr-FR"/>
                      </w:rPr>
                    </m:ctrlPr>
                  </m:sSubPr>
                  <m:e>
                    <m:r>
                      <w:rPr>
                        <w:rFonts w:ascii="Cambria Math" w:eastAsia="Times New Roman" w:hAnsi="Cambria Math" w:cs="Times New Roman"/>
                        <w:color w:val="000000"/>
                        <w:sz w:val="16"/>
                        <w:szCs w:val="16"/>
                        <w:lang w:val="en-US" w:eastAsia="fr-FR"/>
                      </w:rPr>
                      <m:t>ξ</m:t>
                    </m:r>
                  </m:e>
                  <m:sub>
                    <m:r>
                      <w:rPr>
                        <w:rFonts w:ascii="Cambria Math" w:eastAsia="Times New Roman" w:hAnsi="Cambria Math" w:cs="Times New Roman"/>
                        <w:color w:val="000000"/>
                        <w:sz w:val="16"/>
                        <w:szCs w:val="16"/>
                        <w:lang w:val="en-US" w:eastAsia="fr-FR"/>
                      </w:rPr>
                      <m:t>6</m:t>
                    </m:r>
                  </m:sub>
                </m:sSub>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-0.0001</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0.1543</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2</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0.2081</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w:t>
            </w:r>
            <w:r w:rsidRPr="00BD47AB">
              <w:rPr>
                <w:rFonts w:ascii="Times New Roman" w:eastAsia="Times New Roman" w:hAnsi="Times New Roman" w:cs="Times New Roman"/>
                <w:color w:val="000000"/>
                <w:sz w:val="16"/>
                <w:szCs w:val="16"/>
                <w:lang w:eastAsia="fr-FR"/>
              </w:rPr>
              <w:t>2</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0.012</w:t>
            </w:r>
            <w:r>
              <w:rPr>
                <w:rFonts w:ascii="Times New Roman" w:eastAsia="Times New Roman" w:hAnsi="Times New Roman" w:cs="Times New Roman"/>
                <w:color w:val="000000"/>
                <w:sz w:val="16"/>
                <w:szCs w:val="16"/>
                <w:lang w:eastAsia="fr-FR"/>
              </w:rPr>
              <w:t>0</w:t>
            </w:r>
          </w:p>
        </w:tc>
      </w:tr>
      <w:tr w:rsidR="00A904D8" w:rsidRPr="00BD47AB" w:rsidTr="00747C9E">
        <w:trPr>
          <w:trHeight w:val="74"/>
          <w:jc w:val="center"/>
        </w:trPr>
        <w:tc>
          <w:tcPr>
            <w:tcW w:w="1417" w:type="dxa"/>
            <w:tcBorders>
              <w:top w:val="nil"/>
              <w:left w:val="nil"/>
              <w:bottom w:val="nil"/>
              <w:right w:val="nil"/>
            </w:tcBorders>
            <w:shd w:val="clear" w:color="auto" w:fill="auto"/>
            <w:noWrap/>
            <w:vAlign w:val="center"/>
            <w:hideMark/>
          </w:tcPr>
          <w:p w:rsidR="00A904D8" w:rsidRPr="00B2118D" w:rsidRDefault="00A904D8" w:rsidP="00747C9E">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v</m:t>
                </m:r>
              </m:oMath>
            </m:oMathPara>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2.0044</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2.0033</w:t>
            </w:r>
            <w:r>
              <w:rPr>
                <w:rFonts w:ascii="Times New Roman" w:eastAsia="Times New Roman" w:hAnsi="Times New Roman" w:cs="Times New Roman"/>
                <w:color w:val="000000"/>
                <w:sz w:val="16"/>
                <w:szCs w:val="16"/>
                <w:lang w:eastAsia="fr-FR"/>
              </w:rPr>
              <w:t>***</w:t>
            </w: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2.0036</w:t>
            </w:r>
            <w:r>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.0000</w:t>
            </w:r>
          </w:p>
        </w:tc>
      </w:tr>
      <w:tr w:rsidR="00A904D8" w:rsidRPr="00BD47AB" w:rsidTr="00BD47AB">
        <w:trPr>
          <w:trHeight w:val="56"/>
          <w:jc w:val="center"/>
        </w:trPr>
        <w:tc>
          <w:tcPr>
            <w:tcW w:w="1417" w:type="dxa"/>
            <w:tcBorders>
              <w:top w:val="single" w:sz="8" w:space="0" w:color="auto"/>
              <w:left w:val="nil"/>
              <w:bottom w:val="single" w:sz="8" w:space="0" w:color="auto"/>
              <w:right w:val="nil"/>
            </w:tcBorders>
            <w:shd w:val="clear" w:color="auto" w:fill="auto"/>
            <w:noWrap/>
            <w:vAlign w:val="bottom"/>
            <w:hideMark/>
          </w:tcPr>
          <w:p w:rsidR="00A904D8" w:rsidRPr="00BD47AB" w:rsidRDefault="00A904D8" w:rsidP="00BD47AB">
            <w:pPr>
              <w:spacing w:after="0" w:line="240" w:lineRule="auto"/>
              <w:rPr>
                <w:rFonts w:ascii="Times New Roman" w:eastAsia="Times New Roman" w:hAnsi="Times New Roman" w:cs="Times New Roman"/>
                <w:color w:val="000000"/>
                <w:sz w:val="16"/>
                <w:szCs w:val="16"/>
                <w:lang w:eastAsia="fr-FR"/>
              </w:rPr>
            </w:pPr>
            <w:r w:rsidRPr="00BD47AB">
              <w:rPr>
                <w:rFonts w:ascii="Times New Roman" w:eastAsia="Times New Roman" w:hAnsi="Times New Roman" w:cs="Times New Roman"/>
                <w:color w:val="000000"/>
                <w:sz w:val="16"/>
                <w:szCs w:val="16"/>
                <w:lang w:eastAsia="fr-FR"/>
              </w:rPr>
              <w:t>Diagnostics</w:t>
            </w: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44"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r>
      <w:tr w:rsidR="00A904D8" w:rsidRPr="00BD47AB" w:rsidTr="00747C9E">
        <w:trPr>
          <w:trHeight w:val="145"/>
          <w:jc w:val="center"/>
        </w:trPr>
        <w:tc>
          <w:tcPr>
            <w:tcW w:w="1417" w:type="dxa"/>
            <w:tcBorders>
              <w:top w:val="nil"/>
              <w:left w:val="nil"/>
              <w:bottom w:val="nil"/>
              <w:right w:val="nil"/>
            </w:tcBorders>
            <w:shd w:val="clear" w:color="auto" w:fill="auto"/>
            <w:noWrap/>
            <w:vAlign w:val="center"/>
            <w:hideMark/>
          </w:tcPr>
          <w:p w:rsidR="00A904D8" w:rsidRPr="00B2118D" w:rsidRDefault="00A904D8" w:rsidP="00747C9E">
            <w:pPr>
              <w:spacing w:after="0" w:line="240" w:lineRule="auto"/>
              <w:rPr>
                <w:rFonts w:ascii="Times New Roman" w:eastAsia="Times New Roman" w:hAnsi="Times New Roman" w:cs="Times New Roman"/>
                <w:color w:val="000000"/>
                <w:sz w:val="16"/>
                <w:szCs w:val="16"/>
                <w:lang w:eastAsia="fr-FR"/>
              </w:rPr>
            </w:pPr>
            <m:oMathPara>
              <m:oMath>
                <m:r>
                  <w:rPr>
                    <w:rFonts w:ascii="Cambria Math" w:eastAsia="Times New Roman" w:hAnsi="Cambria Math" w:cs="Times New Roman"/>
                    <w:color w:val="000000"/>
                    <w:sz w:val="16"/>
                    <w:szCs w:val="16"/>
                    <w:lang w:eastAsia="fr-FR"/>
                  </w:rPr>
                  <m:t>LB(20)</m:t>
                </m:r>
              </m:oMath>
            </m:oMathPara>
          </w:p>
        </w:tc>
        <w:tc>
          <w:tcPr>
            <w:tcW w:w="927" w:type="dxa"/>
            <w:tcBorders>
              <w:top w:val="nil"/>
              <w:left w:val="nil"/>
              <w:bottom w:val="nil"/>
              <w:right w:val="nil"/>
            </w:tcBorders>
            <w:shd w:val="clear" w:color="auto" w:fill="auto"/>
            <w:noWrap/>
            <w:vAlign w:val="bottom"/>
            <w:hideMark/>
          </w:tcPr>
          <w:p w:rsidR="00A904D8" w:rsidRPr="00BD47AB" w:rsidRDefault="002D2739"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2780.8</w:t>
            </w:r>
            <w:r w:rsidR="00A904D8" w:rsidRPr="00E9638E">
              <w:rPr>
                <w:rFonts w:ascii="Times New Roman" w:eastAsia="Times New Roman" w:hAnsi="Times New Roman" w:cs="Times New Roman"/>
                <w:color w:val="000000"/>
                <w:sz w:val="16"/>
                <w:szCs w:val="16"/>
                <w:lang w:eastAsia="fr-FR"/>
              </w:rPr>
              <w:t>1</w:t>
            </w:r>
            <w:r w:rsidR="00A904D8">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0.0000</w:t>
            </w:r>
          </w:p>
        </w:tc>
        <w:tc>
          <w:tcPr>
            <w:tcW w:w="20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613C8C"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60.513</w:t>
            </w:r>
            <w:r w:rsidR="00A904D8" w:rsidRPr="00E9638E">
              <w:rPr>
                <w:rFonts w:ascii="Times New Roman" w:eastAsia="Times New Roman" w:hAnsi="Times New Roman" w:cs="Times New Roman"/>
                <w:color w:val="000000"/>
                <w:sz w:val="16"/>
                <w:szCs w:val="16"/>
                <w:lang w:eastAsia="fr-FR"/>
              </w:rPr>
              <w:t>5</w:t>
            </w:r>
          </w:p>
        </w:tc>
        <w:tc>
          <w:tcPr>
            <w:tcW w:w="1044" w:type="dxa"/>
            <w:tcBorders>
              <w:top w:val="nil"/>
              <w:left w:val="nil"/>
              <w:bottom w:val="nil"/>
              <w:right w:val="nil"/>
            </w:tcBorders>
            <w:shd w:val="clear" w:color="auto" w:fill="auto"/>
            <w:noWrap/>
            <w:vAlign w:val="bottom"/>
            <w:hideMark/>
          </w:tcPr>
          <w:p w:rsidR="00A904D8" w:rsidRPr="00BD47AB" w:rsidRDefault="00613C8C"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0.97</w:t>
            </w:r>
            <w:r w:rsidR="00A904D8">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6</w:t>
            </w:r>
          </w:p>
        </w:tc>
        <w:tc>
          <w:tcPr>
            <w:tcW w:w="220"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2D2739"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5908.1</w:t>
            </w:r>
            <w:r w:rsidR="00A904D8" w:rsidRPr="00E9638E">
              <w:rPr>
                <w:rFonts w:ascii="Times New Roman" w:eastAsia="Times New Roman" w:hAnsi="Times New Roman" w:cs="Times New Roman"/>
                <w:color w:val="000000"/>
                <w:sz w:val="16"/>
                <w:szCs w:val="16"/>
                <w:lang w:eastAsia="fr-FR"/>
              </w:rPr>
              <w:t>6</w:t>
            </w:r>
            <w:r w:rsidR="00A904D8">
              <w:rPr>
                <w:rFonts w:ascii="Times New Roman" w:eastAsia="Times New Roman" w:hAnsi="Times New Roman" w:cs="Times New Roman"/>
                <w:color w:val="000000"/>
                <w:sz w:val="16"/>
                <w:szCs w:val="16"/>
                <w:lang w:eastAsia="fr-FR"/>
              </w:rPr>
              <w:t>***</w:t>
            </w:r>
          </w:p>
        </w:tc>
        <w:tc>
          <w:tcPr>
            <w:tcW w:w="1089" w:type="dxa"/>
            <w:tcBorders>
              <w:top w:val="nil"/>
              <w:left w:val="nil"/>
              <w:bottom w:val="nil"/>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0.0000</w:t>
            </w:r>
          </w:p>
        </w:tc>
      </w:tr>
      <w:tr w:rsidR="00A904D8" w:rsidRPr="00BD47AB" w:rsidTr="00747C9E">
        <w:trPr>
          <w:trHeight w:val="96"/>
          <w:jc w:val="center"/>
        </w:trPr>
        <w:tc>
          <w:tcPr>
            <w:tcW w:w="1417" w:type="dxa"/>
            <w:tcBorders>
              <w:top w:val="nil"/>
              <w:left w:val="nil"/>
              <w:bottom w:val="single" w:sz="8" w:space="0" w:color="auto"/>
              <w:right w:val="nil"/>
            </w:tcBorders>
            <w:shd w:val="clear" w:color="auto" w:fill="auto"/>
            <w:noWrap/>
            <w:vAlign w:val="center"/>
            <w:hideMark/>
          </w:tcPr>
          <w:p w:rsidR="00A904D8" w:rsidRPr="00B2118D" w:rsidRDefault="00011760" w:rsidP="00747C9E">
            <w:pPr>
              <w:spacing w:after="0" w:line="240" w:lineRule="auto"/>
              <w:rPr>
                <w:rFonts w:ascii="Times New Roman" w:eastAsia="Times New Roman" w:hAnsi="Times New Roman" w:cs="Times New Roman"/>
                <w:color w:val="000000"/>
                <w:sz w:val="16"/>
                <w:szCs w:val="16"/>
                <w:lang w:eastAsia="fr-FR"/>
              </w:rPr>
            </w:pPr>
            <m:oMathPara>
              <m:oMath>
                <m:sSup>
                  <m:sSupPr>
                    <m:ctrlPr>
                      <w:rPr>
                        <w:rFonts w:ascii="Cambria Math" w:eastAsia="Times New Roman" w:hAnsi="Cambria Math" w:cs="Times New Roman"/>
                        <w:i/>
                        <w:color w:val="000000"/>
                        <w:sz w:val="16"/>
                        <w:szCs w:val="16"/>
                        <w:lang w:eastAsia="fr-FR"/>
                      </w:rPr>
                    </m:ctrlPr>
                  </m:sSupPr>
                  <m:e>
                    <m:r>
                      <w:rPr>
                        <w:rFonts w:ascii="Cambria Math" w:eastAsia="Times New Roman" w:hAnsi="Cambria Math" w:cs="Times New Roman"/>
                        <w:color w:val="000000"/>
                        <w:sz w:val="16"/>
                        <w:szCs w:val="16"/>
                        <w:lang w:eastAsia="fr-FR"/>
                      </w:rPr>
                      <m:t>LB</m:t>
                    </m:r>
                  </m:e>
                  <m:sup>
                    <m:r>
                      <w:rPr>
                        <w:rFonts w:ascii="Cambria Math" w:eastAsia="Times New Roman" w:hAnsi="Cambria Math" w:cs="Times New Roman"/>
                        <w:color w:val="000000"/>
                        <w:sz w:val="16"/>
                        <w:szCs w:val="16"/>
                        <w:lang w:eastAsia="fr-FR"/>
                      </w:rPr>
                      <m:t>2</m:t>
                    </m:r>
                  </m:sup>
                </m:sSup>
                <m:r>
                  <w:rPr>
                    <w:rFonts w:ascii="Cambria Math" w:eastAsia="Times New Roman" w:hAnsi="Cambria Math" w:cs="Times New Roman"/>
                    <w:color w:val="000000"/>
                    <w:sz w:val="16"/>
                    <w:szCs w:val="16"/>
                    <w:lang w:eastAsia="fr-FR"/>
                  </w:rPr>
                  <m:t>(20)</m:t>
                </m:r>
              </m:oMath>
            </m:oMathPara>
          </w:p>
        </w:tc>
        <w:tc>
          <w:tcPr>
            <w:tcW w:w="927"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E9638E">
              <w:rPr>
                <w:rFonts w:ascii="Times New Roman" w:eastAsia="Times New Roman" w:hAnsi="Times New Roman" w:cs="Times New Roman"/>
                <w:color w:val="000000"/>
                <w:sz w:val="16"/>
                <w:szCs w:val="16"/>
                <w:lang w:eastAsia="fr-FR"/>
              </w:rPr>
              <w:t>10.2637</w:t>
            </w:r>
          </w:p>
        </w:tc>
        <w:tc>
          <w:tcPr>
            <w:tcW w:w="1089"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E9638E">
              <w:rPr>
                <w:rFonts w:ascii="Times New Roman" w:eastAsia="Times New Roman" w:hAnsi="Times New Roman" w:cs="Times New Roman"/>
                <w:color w:val="000000"/>
                <w:sz w:val="16"/>
                <w:szCs w:val="16"/>
                <w:lang w:eastAsia="fr-FR"/>
              </w:rPr>
              <w:t>0.9229</w:t>
            </w:r>
          </w:p>
        </w:tc>
        <w:tc>
          <w:tcPr>
            <w:tcW w:w="209"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p>
        </w:tc>
        <w:tc>
          <w:tcPr>
            <w:tcW w:w="927"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E9638E">
              <w:rPr>
                <w:rFonts w:ascii="Times New Roman" w:eastAsia="Times New Roman" w:hAnsi="Times New Roman" w:cs="Times New Roman"/>
                <w:color w:val="000000"/>
                <w:sz w:val="16"/>
                <w:szCs w:val="16"/>
                <w:lang w:eastAsia="fr-FR"/>
              </w:rPr>
              <w:t>14</w:t>
            </w:r>
            <w:r w:rsidR="00613C8C">
              <w:rPr>
                <w:rFonts w:ascii="Times New Roman" w:eastAsia="Times New Roman" w:hAnsi="Times New Roman" w:cs="Times New Roman"/>
                <w:color w:val="000000"/>
                <w:sz w:val="16"/>
                <w:szCs w:val="16"/>
                <w:lang w:eastAsia="fr-FR"/>
              </w:rPr>
              <w:t>.27</w:t>
            </w:r>
            <w:r w:rsidRPr="00E9638E">
              <w:rPr>
                <w:rFonts w:ascii="Times New Roman" w:eastAsia="Times New Roman" w:hAnsi="Times New Roman" w:cs="Times New Roman"/>
                <w:color w:val="000000"/>
                <w:sz w:val="16"/>
                <w:szCs w:val="16"/>
                <w:lang w:eastAsia="fr-FR"/>
              </w:rPr>
              <w:t>64</w:t>
            </w:r>
          </w:p>
        </w:tc>
        <w:tc>
          <w:tcPr>
            <w:tcW w:w="1044" w:type="dxa"/>
            <w:tcBorders>
              <w:top w:val="nil"/>
              <w:left w:val="nil"/>
              <w:bottom w:val="single" w:sz="8" w:space="0" w:color="auto"/>
              <w:right w:val="nil"/>
            </w:tcBorders>
            <w:shd w:val="clear" w:color="auto" w:fill="auto"/>
            <w:noWrap/>
            <w:vAlign w:val="bottom"/>
            <w:hideMark/>
          </w:tcPr>
          <w:p w:rsidR="00A904D8" w:rsidRPr="00BD47AB" w:rsidRDefault="00613C8C"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0.8658</w:t>
            </w:r>
          </w:p>
        </w:tc>
        <w:tc>
          <w:tcPr>
            <w:tcW w:w="220"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Calibri" w:eastAsia="Times New Roman" w:hAnsi="Calibri" w:cs="Times New Roman"/>
                <w:color w:val="000000"/>
                <w:lang w:eastAsia="fr-FR"/>
              </w:rPr>
            </w:pPr>
          </w:p>
        </w:tc>
        <w:tc>
          <w:tcPr>
            <w:tcW w:w="1020" w:type="dxa"/>
            <w:tcBorders>
              <w:top w:val="nil"/>
              <w:left w:val="nil"/>
              <w:bottom w:val="single" w:sz="8" w:space="0" w:color="auto"/>
              <w:right w:val="nil"/>
            </w:tcBorders>
            <w:shd w:val="clear" w:color="auto" w:fill="auto"/>
            <w:noWrap/>
            <w:vAlign w:val="bottom"/>
            <w:hideMark/>
          </w:tcPr>
          <w:p w:rsidR="00A904D8" w:rsidRPr="00BD47AB" w:rsidRDefault="00A904D8" w:rsidP="001261A2">
            <w:pPr>
              <w:spacing w:after="0" w:line="240" w:lineRule="auto"/>
              <w:rPr>
                <w:rFonts w:ascii="Times New Roman" w:eastAsia="Times New Roman" w:hAnsi="Times New Roman" w:cs="Times New Roman"/>
                <w:color w:val="000000"/>
                <w:sz w:val="16"/>
                <w:szCs w:val="16"/>
                <w:lang w:eastAsia="fr-FR"/>
              </w:rPr>
            </w:pPr>
            <w:r w:rsidRPr="00E9638E">
              <w:rPr>
                <w:rFonts w:ascii="Times New Roman" w:eastAsia="Times New Roman" w:hAnsi="Times New Roman" w:cs="Times New Roman"/>
                <w:color w:val="000000"/>
                <w:sz w:val="16"/>
                <w:szCs w:val="16"/>
                <w:lang w:eastAsia="fr-FR"/>
              </w:rPr>
              <w:t>19</w:t>
            </w:r>
            <w:r w:rsidR="00613C8C">
              <w:rPr>
                <w:rFonts w:ascii="Times New Roman" w:eastAsia="Times New Roman" w:hAnsi="Times New Roman" w:cs="Times New Roman"/>
                <w:color w:val="000000"/>
                <w:sz w:val="16"/>
                <w:szCs w:val="16"/>
                <w:lang w:eastAsia="fr-FR"/>
              </w:rPr>
              <w:t>.338</w:t>
            </w:r>
            <w:r w:rsidRPr="00E9638E">
              <w:rPr>
                <w:rFonts w:ascii="Times New Roman" w:eastAsia="Times New Roman" w:hAnsi="Times New Roman" w:cs="Times New Roman"/>
                <w:color w:val="000000"/>
                <w:sz w:val="16"/>
                <w:szCs w:val="16"/>
                <w:lang w:eastAsia="fr-FR"/>
              </w:rPr>
              <w:t>4</w:t>
            </w:r>
          </w:p>
        </w:tc>
        <w:tc>
          <w:tcPr>
            <w:tcW w:w="1089" w:type="dxa"/>
            <w:tcBorders>
              <w:top w:val="nil"/>
              <w:left w:val="nil"/>
              <w:bottom w:val="single" w:sz="8" w:space="0" w:color="auto"/>
              <w:right w:val="nil"/>
            </w:tcBorders>
            <w:shd w:val="clear" w:color="auto" w:fill="auto"/>
            <w:noWrap/>
            <w:vAlign w:val="bottom"/>
            <w:hideMark/>
          </w:tcPr>
          <w:p w:rsidR="00A904D8" w:rsidRPr="00BD47AB" w:rsidRDefault="00613C8C" w:rsidP="001261A2">
            <w:pPr>
              <w:spacing w:after="0" w:line="240" w:lineRule="auto"/>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0.7385</w:t>
            </w:r>
          </w:p>
        </w:tc>
      </w:tr>
      <w:tr w:rsidR="00A904D8" w:rsidRPr="00BD47AB" w:rsidTr="00BD47AB">
        <w:trPr>
          <w:trHeight w:val="54"/>
          <w:jc w:val="center"/>
        </w:trPr>
        <w:tc>
          <w:tcPr>
            <w:tcW w:w="1417"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209"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927"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1044"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220"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1020"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c>
          <w:tcPr>
            <w:tcW w:w="1089" w:type="dxa"/>
            <w:tcBorders>
              <w:top w:val="nil"/>
              <w:left w:val="nil"/>
              <w:bottom w:val="nil"/>
              <w:right w:val="nil"/>
            </w:tcBorders>
            <w:shd w:val="clear" w:color="auto" w:fill="auto"/>
            <w:noWrap/>
            <w:vAlign w:val="bottom"/>
            <w:hideMark/>
          </w:tcPr>
          <w:p w:rsidR="00A904D8" w:rsidRPr="00BD47AB" w:rsidRDefault="00A904D8" w:rsidP="00BD47AB">
            <w:pPr>
              <w:spacing w:after="0" w:line="240" w:lineRule="auto"/>
              <w:rPr>
                <w:rFonts w:ascii="Calibri" w:eastAsia="Times New Roman" w:hAnsi="Calibri" w:cs="Times New Roman"/>
                <w:color w:val="000000"/>
                <w:lang w:eastAsia="fr-FR"/>
              </w:rPr>
            </w:pPr>
          </w:p>
        </w:tc>
      </w:tr>
    </w:tbl>
    <w:p w:rsidR="00B90D75" w:rsidRPr="0018291F" w:rsidRDefault="00B90D75" w:rsidP="00E9638E">
      <w:pPr>
        <w:pStyle w:val="Lgende"/>
        <w:spacing w:after="0"/>
        <w:ind w:left="567" w:right="567"/>
        <w:jc w:val="both"/>
        <w:rPr>
          <w:rFonts w:asciiTheme="majorBidi" w:eastAsia="Times New Roman" w:hAnsiTheme="majorBidi" w:cstheme="majorBidi"/>
          <w:b w:val="0"/>
          <w:bCs w:val="0"/>
          <w:color w:val="000000"/>
          <w:sz w:val="16"/>
          <w:szCs w:val="16"/>
          <w:lang w:val="en-US" w:eastAsia="fr-FR"/>
        </w:rPr>
      </w:pPr>
      <w:r w:rsidRPr="008D6F1D">
        <w:rPr>
          <w:rFonts w:asciiTheme="majorBidi" w:hAnsiTheme="majorBidi" w:cstheme="majorBidi"/>
          <w:color w:val="auto"/>
          <w:sz w:val="16"/>
          <w:szCs w:val="16"/>
          <w:lang w:val="en-US"/>
        </w:rPr>
        <w:t>Notes</w:t>
      </w:r>
      <w:r w:rsidRPr="008D6F1D">
        <w:rPr>
          <w:rFonts w:asciiTheme="majorBidi" w:hAnsiTheme="majorBidi" w:cstheme="majorBidi"/>
          <w:b w:val="0"/>
          <w:bCs w:val="0"/>
          <w:color w:val="auto"/>
          <w:sz w:val="16"/>
          <w:szCs w:val="16"/>
          <w:lang w:val="en-US"/>
        </w:rPr>
        <w:t>:</w:t>
      </w:r>
      <w:r w:rsidRPr="004035D2">
        <w:rPr>
          <w:rFonts w:asciiTheme="majorBidi" w:eastAsiaTheme="minorHAnsi" w:hAnsiTheme="majorBidi" w:cstheme="majorBidi"/>
          <w:b w:val="0"/>
          <w:bCs w:val="0"/>
          <w:color w:val="auto"/>
          <w:sz w:val="16"/>
          <w:szCs w:val="16"/>
          <w:lang w:val="en-US"/>
        </w:rPr>
        <w:t>Es</w:t>
      </w:r>
      <w:r>
        <w:rPr>
          <w:rFonts w:asciiTheme="majorBidi" w:eastAsiaTheme="minorHAnsi" w:hAnsiTheme="majorBidi" w:cstheme="majorBidi"/>
          <w:b w:val="0"/>
          <w:bCs w:val="0"/>
          <w:color w:val="auto"/>
          <w:sz w:val="16"/>
          <w:szCs w:val="16"/>
          <w:lang w:val="en-US"/>
        </w:rPr>
        <w:t>timates are based on mean Eq. (23) and variance Eq. (28) and Eq. (2</w:t>
      </w:r>
      <w:r w:rsidRPr="004035D2">
        <w:rPr>
          <w:rFonts w:asciiTheme="majorBidi" w:eastAsiaTheme="minorHAnsi" w:hAnsiTheme="majorBidi" w:cstheme="majorBidi"/>
          <w:b w:val="0"/>
          <w:bCs w:val="0"/>
          <w:color w:val="auto"/>
          <w:sz w:val="16"/>
          <w:szCs w:val="16"/>
          <w:lang w:val="en-US"/>
        </w:rPr>
        <w:t xml:space="preserve">9) in the text. The lag length is determined by the SIC criteria (Box-Jenkins procedure). </w:t>
      </w:r>
      <m:oMath>
        <m:sSub>
          <m:sSubPr>
            <m:ctrlPr>
              <w:rPr>
                <w:rFonts w:ascii="Cambria Math" w:eastAsiaTheme="minorEastAsia" w:hAnsiTheme="majorBidi" w:cstheme="majorBidi"/>
                <w:b w:val="0"/>
                <w:bCs w:val="0"/>
                <w:i/>
                <w:color w:val="auto"/>
                <w:sz w:val="16"/>
                <w:szCs w:val="16"/>
              </w:rPr>
            </m:ctrlPr>
          </m:sSubPr>
          <m:e>
            <m:r>
              <m:rPr>
                <m:sty m:val="bi"/>
              </m:rPr>
              <w:rPr>
                <w:rFonts w:ascii="Cambria Math" w:eastAsiaTheme="minorEastAsia" w:hAnsi="Cambria Math" w:cstheme="majorBidi"/>
                <w:color w:val="auto"/>
                <w:sz w:val="16"/>
                <w:szCs w:val="16"/>
              </w:rPr>
              <m:t>β</m:t>
            </m:r>
          </m:e>
          <m:sub>
            <m:r>
              <m:rPr>
                <m:sty m:val="bi"/>
              </m:rPr>
              <w:rPr>
                <w:rFonts w:ascii="Cambria Math" w:eastAsiaTheme="minorEastAsia" w:hAnsi="Cambria Math" w:cstheme="majorBidi"/>
                <w:color w:val="auto"/>
                <w:sz w:val="16"/>
                <w:szCs w:val="16"/>
              </w:rPr>
              <m:t>k</m:t>
            </m:r>
            <m:r>
              <m:rPr>
                <m:sty m:val="bi"/>
              </m:rPr>
              <w:rPr>
                <w:rFonts w:ascii="Cambria Math" w:eastAsiaTheme="minorEastAsia" w:hAnsiTheme="majorBidi" w:cstheme="majorBidi"/>
                <w:color w:val="auto"/>
                <w:sz w:val="16"/>
                <w:szCs w:val="16"/>
                <w:lang w:val="en-US"/>
              </w:rPr>
              <m:t>,</m:t>
            </m:r>
            <m:r>
              <m:rPr>
                <m:sty m:val="bi"/>
              </m:rPr>
              <w:rPr>
                <w:rFonts w:ascii="Cambria Math" w:eastAsiaTheme="minorEastAsia" w:hAnsi="Cambria Math" w:cstheme="majorBidi"/>
                <w:color w:val="auto"/>
                <w:sz w:val="16"/>
                <w:szCs w:val="16"/>
              </w:rPr>
              <m:t>t</m:t>
            </m:r>
          </m:sub>
        </m:sSub>
      </m:oMath>
      <w:r w:rsidRPr="004035D2">
        <w:rPr>
          <w:rFonts w:asciiTheme="majorBidi" w:eastAsiaTheme="minorHAnsi" w:hAnsiTheme="majorBidi" w:cstheme="majorBidi"/>
          <w:b w:val="0"/>
          <w:bCs w:val="0"/>
          <w:color w:val="auto"/>
          <w:sz w:val="16"/>
          <w:szCs w:val="16"/>
          <w:lang w:val="en-US"/>
        </w:rPr>
        <w:t xml:space="preserve">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ξ</m:t>
            </m:r>
          </m:e>
          <m:sub>
            <m:r>
              <m:rPr>
                <m:sty m:val="bi"/>
              </m:rPr>
              <w:rPr>
                <w:rFonts w:ascii="Cambria Math" w:eastAsiaTheme="minorHAnsi" w:hAnsi="Cambria Math" w:cstheme="majorBidi"/>
                <w:color w:val="auto"/>
                <w:sz w:val="16"/>
                <w:szCs w:val="16"/>
              </w:rPr>
              <m:t>k</m:t>
            </m:r>
            <m:r>
              <m:rPr>
                <m:sty m:val="bi"/>
              </m:rPr>
              <w:rPr>
                <w:rFonts w:ascii="Cambria Math" w:eastAsiaTheme="minorHAnsi" w:hAnsiTheme="majorBidi" w:cstheme="majorBidi"/>
                <w:color w:val="auto"/>
                <w:sz w:val="16"/>
                <w:szCs w:val="16"/>
                <w:lang w:val="en-US"/>
              </w:rPr>
              <m:t>,</m:t>
            </m:r>
            <m:r>
              <m:rPr>
                <m:sty m:val="bi"/>
              </m:rPr>
              <w:rPr>
                <w:rFonts w:ascii="Cambria Math" w:eastAsiaTheme="minorHAnsi" w:hAnsi="Cambria Math" w:cstheme="majorBidi"/>
                <w:color w:val="auto"/>
                <w:sz w:val="16"/>
                <w:szCs w:val="16"/>
                <w:lang w:val="en-US"/>
              </w:rPr>
              <m:t>t</m:t>
            </m:r>
          </m:sub>
        </m:sSub>
      </m:oMath>
      <w:r w:rsidRPr="004035D2">
        <w:rPr>
          <w:rFonts w:asciiTheme="majorBidi" w:eastAsiaTheme="minorHAnsi" w:hAnsiTheme="majorBidi" w:cstheme="majorBidi"/>
          <w:b w:val="0"/>
          <w:bCs w:val="0"/>
          <w:color w:val="auto"/>
          <w:sz w:val="16"/>
          <w:szCs w:val="16"/>
          <w:lang w:val="en-US"/>
        </w:rPr>
        <w:t xml:space="preserve">, where </w:t>
      </w:r>
      <m:oMath>
        <m:r>
          <m:rPr>
            <m:sty m:val="bi"/>
          </m:rPr>
          <w:rPr>
            <w:rFonts w:ascii="Cambria Math" w:eastAsiaTheme="minorHAnsi" w:hAnsi="Cambria Math" w:cstheme="majorBidi"/>
            <w:color w:val="auto"/>
            <w:sz w:val="16"/>
            <w:szCs w:val="16"/>
            <w:lang w:val="en-US"/>
          </w:rPr>
          <m:t>k</m:t>
        </m:r>
        <m:r>
          <m:rPr>
            <m:sty m:val="bi"/>
          </m:rPr>
          <w:rPr>
            <w:rFonts w:ascii="Cambria Math" w:eastAsiaTheme="minorHAnsi" w:hAnsiTheme="majorBidi" w:cstheme="majorBidi"/>
            <w:color w:val="auto"/>
            <w:sz w:val="16"/>
            <w:szCs w:val="16"/>
            <w:lang w:val="en-US"/>
          </w:rPr>
          <m:t>=1, 2, 3, 4,5,6</m:t>
        </m:r>
      </m:oMath>
      <w:r w:rsidRPr="004035D2">
        <w:rPr>
          <w:rFonts w:asciiTheme="majorBidi" w:eastAsiaTheme="minorHAnsi" w:hAnsiTheme="majorBidi" w:cstheme="majorBidi"/>
          <w:b w:val="0"/>
          <w:bCs w:val="0"/>
          <w:color w:val="auto"/>
          <w:sz w:val="16"/>
          <w:szCs w:val="16"/>
          <w:lang w:val="en-US"/>
        </w:rPr>
        <w:t>, are the dummy variable coefficients corresponding to the four phases of the global financial</w:t>
      </w:r>
      <w:r>
        <w:rPr>
          <w:rFonts w:asciiTheme="majorBidi" w:eastAsiaTheme="minorHAnsi" w:hAnsiTheme="majorBidi" w:cstheme="majorBidi"/>
          <w:b w:val="0"/>
          <w:bCs w:val="0"/>
          <w:color w:val="auto"/>
          <w:sz w:val="16"/>
          <w:szCs w:val="16"/>
          <w:lang w:val="en-US"/>
        </w:rPr>
        <w:t xml:space="preserve"> crisis</w:t>
      </w:r>
      <w:r w:rsidRPr="004035D2">
        <w:rPr>
          <w:rFonts w:asciiTheme="majorBidi" w:eastAsiaTheme="minorHAnsi" w:hAnsiTheme="majorBidi" w:cstheme="majorBidi"/>
          <w:b w:val="0"/>
          <w:bCs w:val="0"/>
          <w:color w:val="auto"/>
          <w:sz w:val="16"/>
          <w:szCs w:val="16"/>
          <w:lang w:val="en-US"/>
        </w:rPr>
        <w:t xml:space="preserve"> and the two phases of the European sovereign debt</w:t>
      </w:r>
      <w:r>
        <w:rPr>
          <w:rFonts w:asciiTheme="majorBidi" w:eastAsiaTheme="minorHAnsi" w:hAnsiTheme="majorBidi" w:cstheme="majorBidi"/>
          <w:b w:val="0"/>
          <w:bCs w:val="0"/>
          <w:color w:val="auto"/>
          <w:sz w:val="16"/>
          <w:szCs w:val="16"/>
          <w:lang w:val="en-US"/>
        </w:rPr>
        <w:t xml:space="preserve"> crisis.</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1</m:t>
            </m:r>
          </m:sub>
        </m:sSub>
      </m:oMath>
      <w:r w:rsidRPr="004035D2">
        <w:rPr>
          <w:rFonts w:asciiTheme="majorBidi" w:eastAsiaTheme="minorHAnsi" w:hAnsiTheme="majorBidi" w:cstheme="majorBidi"/>
          <w:b w:val="0"/>
          <w:bCs w:val="0"/>
          <w:color w:val="auto"/>
          <w:sz w:val="16"/>
          <w:szCs w:val="16"/>
          <w:lang w:val="en-US"/>
        </w:rPr>
        <w:t xml:space="preserve">is the coefficient of </w:t>
      </w:r>
      <m:oMath>
        <m:sSub>
          <m:sSubPr>
            <m:ctrlPr>
              <w:rPr>
                <w:rFonts w:ascii="Cambria Math" w:eastAsiaTheme="minorHAnsi" w:hAnsiTheme="majorBidi" w:cstheme="majorBidi"/>
                <w:b w:val="0"/>
                <w:bCs w:val="0"/>
                <w:i/>
                <w:color w:val="auto"/>
                <w:sz w:val="16"/>
                <w:szCs w:val="16"/>
                <w:lang w:val="en-US"/>
              </w:rPr>
            </m:ctrlPr>
          </m:sSubPr>
          <m:e>
            <m:r>
              <m:rPr>
                <m:sty m:val="bi"/>
              </m:rPr>
              <w:rPr>
                <w:rFonts w:ascii="Cambria Math" w:eastAsiaTheme="minorHAnsi" w:hAnsi="Cambria Math" w:cstheme="majorBidi"/>
                <w:color w:val="auto"/>
                <w:sz w:val="16"/>
                <w:szCs w:val="16"/>
                <w:lang w:val="en-US"/>
              </w:rPr>
              <m:t>h</m:t>
            </m:r>
          </m:e>
          <m:sub>
            <m:r>
              <m:rPr>
                <m:sty m:val="bi"/>
              </m:rPr>
              <w:rPr>
                <w:rFonts w:ascii="Cambria Math" w:eastAsiaTheme="minorHAnsi" w:hAnsi="Cambria Math" w:cstheme="majorBidi"/>
                <w:color w:val="auto"/>
                <w:sz w:val="16"/>
                <w:szCs w:val="16"/>
                <w:lang w:val="en-US"/>
              </w:rPr>
              <m:t>t-</m:t>
            </m:r>
            <m:r>
              <m:rPr>
                <m:sty m:val="bi"/>
              </m:rPr>
              <w:rPr>
                <w:rFonts w:ascii="Cambria Math" w:eastAsiaTheme="minorHAnsi" w:hAnsiTheme="majorBidi" w:cstheme="majorBidi"/>
                <w:color w:val="auto"/>
                <w:sz w:val="16"/>
                <w:szCs w:val="16"/>
                <w:lang w:val="en-US"/>
              </w:rPr>
              <m:t>1</m:t>
            </m:r>
          </m:sub>
        </m:sSub>
      </m:oMath>
      <w:r w:rsidRPr="004035D2">
        <w:rPr>
          <w:rFonts w:asciiTheme="majorBidi" w:eastAsiaTheme="minorHAnsi" w:hAnsiTheme="majorBidi" w:cstheme="majorBidi"/>
          <w:b w:val="0"/>
          <w:bCs w:val="0"/>
          <w:color w:val="auto"/>
          <w:sz w:val="16"/>
          <w:szCs w:val="16"/>
          <w:lang w:val="en-US"/>
        </w:rPr>
        <w:t xml:space="preserve"> and </w:t>
      </w:r>
      <m:oMath>
        <m:sSub>
          <m:sSubPr>
            <m:ctrlPr>
              <w:rPr>
                <w:rFonts w:ascii="Cambria Math" w:eastAsiaTheme="minorHAnsi" w:hAnsiTheme="majorBidi" w:cstheme="majorBidi"/>
                <w:b w:val="0"/>
                <w:bCs w:val="0"/>
                <w:i/>
                <w:color w:val="auto"/>
                <w:sz w:val="16"/>
                <w:szCs w:val="16"/>
              </w:rPr>
            </m:ctrlPr>
          </m:sSubPr>
          <m:e>
            <m:r>
              <m:rPr>
                <m:sty m:val="bi"/>
              </m:rPr>
              <w:rPr>
                <w:rFonts w:ascii="Cambria Math" w:eastAsiaTheme="minorHAnsi" w:hAnsi="Cambria Math" w:cstheme="majorBidi"/>
                <w:color w:val="auto"/>
                <w:sz w:val="16"/>
                <w:szCs w:val="16"/>
              </w:rPr>
              <m:t>α</m:t>
            </m:r>
          </m:e>
          <m:sub>
            <m:r>
              <m:rPr>
                <m:sty m:val="bi"/>
              </m:rPr>
              <w:rPr>
                <w:rFonts w:ascii="Cambria Math" w:eastAsiaTheme="minorHAnsi" w:hAnsiTheme="majorBidi" w:cstheme="majorBidi"/>
                <w:color w:val="auto"/>
                <w:sz w:val="16"/>
                <w:szCs w:val="16"/>
                <w:lang w:val="en-US"/>
              </w:rPr>
              <m:t>2</m:t>
            </m:r>
          </m:sub>
        </m:sSub>
      </m:oMath>
      <w:r w:rsidRPr="004035D2">
        <w:rPr>
          <w:rFonts w:asciiTheme="majorBidi" w:eastAsiaTheme="minorHAnsi" w:hAnsiTheme="majorBidi" w:cstheme="majorBidi"/>
          <w:b w:val="0"/>
          <w:bCs w:val="0"/>
          <w:color w:val="auto"/>
          <w:sz w:val="16"/>
          <w:szCs w:val="16"/>
          <w:lang w:val="en-US"/>
        </w:rPr>
        <w:t xml:space="preserve"> is the asymmetric (GJR) term.</w:t>
      </w:r>
      <m:oMath>
        <m:r>
          <m:rPr>
            <m:sty m:val="bi"/>
          </m:rPr>
          <w:rPr>
            <w:rFonts w:ascii="Cambria Math" w:eastAsiaTheme="minorHAnsi" w:hAnsi="Cambria Math" w:cstheme="majorBidi"/>
            <w:color w:val="auto"/>
            <w:sz w:val="16"/>
            <w:szCs w:val="16"/>
            <w:lang w:val="en-US"/>
          </w:rPr>
          <m:t>LB</m:t>
        </m:r>
        <m:r>
          <m:rPr>
            <m:sty m:val="bi"/>
          </m:rPr>
          <w:rPr>
            <w:rFonts w:ascii="Cambria Math" w:eastAsiaTheme="minorHAnsi" w:hAnsiTheme="majorBidi" w:cstheme="majorBidi"/>
            <w:color w:val="auto"/>
            <w:sz w:val="16"/>
            <w:szCs w:val="16"/>
            <w:lang w:val="en-US"/>
          </w:rPr>
          <m:t>(20)</m:t>
        </m:r>
      </m:oMath>
      <w:r w:rsidRPr="004035D2">
        <w:rPr>
          <w:rFonts w:asciiTheme="majorBidi" w:eastAsiaTheme="minorHAnsi" w:hAnsiTheme="majorBidi" w:cstheme="majorBidi"/>
          <w:b w:val="0"/>
          <w:bCs w:val="0"/>
          <w:color w:val="auto"/>
          <w:sz w:val="16"/>
          <w:szCs w:val="16"/>
          <w:lang w:val="en-US"/>
        </w:rPr>
        <w:t>and</w:t>
      </w:r>
      <m:oMath>
        <m:sSup>
          <m:sSupPr>
            <m:ctrlPr>
              <w:rPr>
                <w:rFonts w:ascii="Cambria Math" w:eastAsiaTheme="minorHAnsi" w:hAnsiTheme="majorBidi" w:cstheme="majorBidi"/>
                <w:b w:val="0"/>
                <w:bCs w:val="0"/>
                <w:i/>
                <w:color w:val="auto"/>
                <w:sz w:val="16"/>
                <w:szCs w:val="16"/>
              </w:rPr>
            </m:ctrlPr>
          </m:sSupPr>
          <m:e>
            <m:r>
              <m:rPr>
                <m:sty m:val="bi"/>
              </m:rPr>
              <w:rPr>
                <w:rFonts w:ascii="Cambria Math" w:eastAsiaTheme="minorHAnsi" w:hAnsi="Cambria Math" w:cstheme="majorBidi"/>
                <w:color w:val="auto"/>
                <w:sz w:val="16"/>
                <w:szCs w:val="16"/>
              </w:rPr>
              <m:t>LB</m:t>
            </m:r>
          </m:e>
          <m:sup>
            <m:r>
              <m:rPr>
                <m:sty m:val="bi"/>
              </m:rPr>
              <w:rPr>
                <w:rFonts w:ascii="Cambria Math" w:eastAsiaTheme="minorHAnsi" w:hAnsiTheme="majorBidi" w:cstheme="majorBidi"/>
                <w:color w:val="auto"/>
                <w:sz w:val="16"/>
                <w:szCs w:val="16"/>
                <w:lang w:val="en-US"/>
              </w:rPr>
              <m:t>2</m:t>
            </m:r>
          </m:sup>
        </m:sSup>
        <m:r>
          <m:rPr>
            <m:sty m:val="bi"/>
          </m:rPr>
          <w:rPr>
            <w:rFonts w:ascii="Cambria Math" w:eastAsiaTheme="minorHAnsi" w:hAnsiTheme="majorBidi" w:cstheme="majorBidi"/>
            <w:color w:val="auto"/>
            <w:sz w:val="16"/>
            <w:szCs w:val="16"/>
            <w:lang w:val="en-US"/>
          </w:rPr>
          <m:t>(20)</m:t>
        </m:r>
      </m:oMath>
      <w:r w:rsidRPr="004035D2">
        <w:rPr>
          <w:rFonts w:asciiTheme="majorBidi" w:eastAsiaTheme="minorHAnsi" w:hAnsiTheme="majorBidi" w:cstheme="majorBidi"/>
          <w:b w:val="0"/>
          <w:bCs w:val="0"/>
          <w:color w:val="auto"/>
          <w:sz w:val="16"/>
          <w:szCs w:val="16"/>
          <w:lang w:val="en-US"/>
        </w:rPr>
        <w:t xml:space="preserve"> denote the Ljung-Box tests of serial correlation on both standardized and squared standardized residuals.***, **, and * represent statistical significance at 1%, 5%, and 10% levels, respectively.</w:t>
      </w:r>
    </w:p>
    <w:p w:rsidR="000B7102" w:rsidRDefault="000B7102" w:rsidP="00BF0FC9">
      <w:pPr>
        <w:spacing w:after="0" w:line="240" w:lineRule="auto"/>
        <w:rPr>
          <w:rFonts w:asciiTheme="majorBidi" w:hAnsiTheme="majorBidi" w:cstheme="majorBidi"/>
          <w:sz w:val="24"/>
          <w:szCs w:val="24"/>
          <w:lang w:val="en-US"/>
        </w:rPr>
      </w:pPr>
    </w:p>
    <w:p w:rsidR="001261A2" w:rsidRDefault="001261A2" w:rsidP="001261A2">
      <w:pPr>
        <w:autoSpaceDE w:val="0"/>
        <w:autoSpaceDN w:val="0"/>
        <w:adjustRightInd w:val="0"/>
        <w:spacing w:after="0" w:line="240" w:lineRule="auto"/>
        <w:ind w:firstLine="340"/>
        <w:jc w:val="both"/>
        <w:rPr>
          <w:rFonts w:asciiTheme="majorBidi" w:hAnsiTheme="majorBidi" w:cstheme="majorBidi"/>
          <w:lang w:val="en-US"/>
        </w:rPr>
      </w:pPr>
      <w:r w:rsidRPr="00747C9E">
        <w:rPr>
          <w:rFonts w:asciiTheme="majorBidi" w:hAnsiTheme="majorBidi" w:cstheme="majorBidi"/>
          <w:lang w:val="en-US"/>
        </w:rPr>
        <w:t xml:space="preserve">During the last phase of the European sovereign debt crisis, significantly negative dummy coefficients </w:t>
      </w:r>
      <m:oMath>
        <m:r>
          <m:rPr>
            <m:sty m:val="p"/>
          </m:rPr>
          <w:rPr>
            <w:rFonts w:ascii="Cambria Math" w:hAnsi="Cambria Math" w:cstheme="majorBidi"/>
            <w:lang w:val="en-US"/>
          </w:rPr>
          <m:t>(</m:t>
        </m:r>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6</m:t>
            </m:r>
          </m:sub>
        </m:sSub>
        <m:r>
          <m:rPr>
            <m:sty m:val="p"/>
          </m:rPr>
          <w:rPr>
            <w:rFonts w:ascii="Cambria Math" w:hAnsi="Cambria Math" w:cstheme="majorBidi"/>
            <w:lang w:val="en-US"/>
          </w:rPr>
          <m:t>)</m:t>
        </m:r>
      </m:oMath>
      <w:r w:rsidRPr="00747C9E">
        <w:rPr>
          <w:rFonts w:asciiTheme="majorBidi" w:hAnsiTheme="majorBidi" w:cstheme="majorBidi"/>
          <w:lang w:val="en-US"/>
        </w:rPr>
        <w:t xml:space="preserve"> correspond to the pair of USDEUR-NIKKEI225 and USDEUR-MSCI.</w:t>
      </w:r>
      <w:r w:rsidRPr="0014434B">
        <w:rPr>
          <w:rFonts w:asciiTheme="majorBidi" w:hAnsiTheme="majorBidi" w:cstheme="majorBidi"/>
          <w:lang w:val="en-US"/>
        </w:rPr>
        <w:t xml:space="preserve"> Finally, the dummy coefficients’ </w:t>
      </w:r>
      <w:r>
        <w:rPr>
          <w:rFonts w:asciiTheme="majorBidi" w:hAnsiTheme="majorBidi" w:cstheme="majorBidi"/>
          <w:lang w:val="en-US"/>
        </w:rPr>
        <w:t>estimates of the variance Eq. (2</w:t>
      </w:r>
      <w:r w:rsidRPr="0014434B">
        <w:rPr>
          <w:rFonts w:asciiTheme="majorBidi" w:hAnsiTheme="majorBidi" w:cstheme="majorBidi"/>
          <w:lang w:val="en-US"/>
        </w:rPr>
        <w:t>9), are negative and statistically significant in most cases cross several phases of the global financial and European sovereign debt crises. This finding indicates a more stable structure of correlation, suggesting the use of the correlation coefficients as a guide for portfolio decisions during specific phases of the two crises.</w:t>
      </w:r>
      <w:r w:rsidRPr="000F33DE">
        <w:rPr>
          <w:rFonts w:asciiTheme="majorBidi" w:hAnsiTheme="majorBidi" w:cstheme="majorBidi"/>
          <w:lang w:val="en-US"/>
        </w:rPr>
        <w:t xml:space="preserve">However, the dummy coefficients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1</m:t>
            </m:r>
          </m:sub>
        </m:sSub>
      </m:oMath>
      <w:r w:rsidRPr="000F33DE">
        <w:rPr>
          <w:rFonts w:asciiTheme="majorBidi" w:hAnsiTheme="majorBidi" w:cstheme="majorBidi"/>
          <w:lang w:val="en-US"/>
        </w:rPr>
        <w:t xml:space="preserve"> for each pairs,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2</m:t>
            </m:r>
          </m:sub>
        </m:sSub>
      </m:oMath>
      <w:r w:rsidRPr="000F33DE">
        <w:rPr>
          <w:rFonts w:asciiTheme="majorBidi" w:hAnsiTheme="majorBidi" w:cstheme="majorBidi"/>
          <w:lang w:val="en-US"/>
        </w:rPr>
        <w:t xml:space="preserve"> for USDEUR-NIKKEI225 and USDEUR-SSE are positive and statistically significant. This means that the volatility of correlation coefficients is increased, implying that the stability of the correlations is less reliable for the realization of investment strategies.</w:t>
      </w:r>
      <w:r>
        <w:rPr>
          <w:rFonts w:asciiTheme="majorBidi" w:hAnsiTheme="majorBidi" w:cstheme="majorBidi"/>
          <w:lang w:val="en-US"/>
        </w:rPr>
        <w:t xml:space="preserve"> The dummy coefficients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4</m:t>
            </m:r>
          </m:sub>
        </m:sSub>
      </m:oMath>
      <w:r w:rsidRPr="000F33DE">
        <w:rPr>
          <w:rFonts w:asciiTheme="majorBidi" w:hAnsiTheme="majorBidi" w:cstheme="majorBidi"/>
          <w:lang w:val="en-US"/>
        </w:rPr>
        <w:t xml:space="preserve">,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5</m:t>
            </m:r>
          </m:sub>
        </m:sSub>
      </m:oMath>
      <w:r w:rsidRPr="000F33DE">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6</m:t>
            </m:r>
          </m:sub>
        </m:sSub>
      </m:oMath>
      <w:r w:rsidRPr="000F33DE">
        <w:rPr>
          <w:rFonts w:asciiTheme="majorBidi" w:hAnsiTheme="majorBidi" w:cstheme="majorBidi"/>
          <w:lang w:val="en-US"/>
        </w:rPr>
        <w:t xml:space="preserve"> for USDEUR-NIKKEI225 and USDEUR-MSCI are negative and no significant, suggesting that the volatility o</w:t>
      </w:r>
      <w:r>
        <w:rPr>
          <w:rFonts w:asciiTheme="majorBidi" w:hAnsiTheme="majorBidi" w:cstheme="majorBidi"/>
          <w:lang w:val="en-US"/>
        </w:rPr>
        <w:t>f correlation coefficients is de</w:t>
      </w:r>
      <w:r w:rsidRPr="000F33DE">
        <w:rPr>
          <w:rFonts w:asciiTheme="majorBidi" w:hAnsiTheme="majorBidi" w:cstheme="majorBidi"/>
          <w:lang w:val="en-US"/>
        </w:rPr>
        <w:t>creased, implying that the stabi</w:t>
      </w:r>
      <w:r>
        <w:rPr>
          <w:rFonts w:asciiTheme="majorBidi" w:hAnsiTheme="majorBidi" w:cstheme="majorBidi"/>
          <w:lang w:val="en-US"/>
        </w:rPr>
        <w:t>lity of the correlations is more</w:t>
      </w:r>
      <w:r w:rsidRPr="000F33DE">
        <w:rPr>
          <w:rFonts w:asciiTheme="majorBidi" w:hAnsiTheme="majorBidi" w:cstheme="majorBidi"/>
          <w:lang w:val="en-US"/>
        </w:rPr>
        <w:t xml:space="preserve"> reliable for the realization of investment strategies.</w:t>
      </w:r>
    </w:p>
    <w:p w:rsidR="001261A2" w:rsidRPr="009E0D62" w:rsidRDefault="001261A2" w:rsidP="001261A2">
      <w:pPr>
        <w:autoSpaceDE w:val="0"/>
        <w:autoSpaceDN w:val="0"/>
        <w:adjustRightInd w:val="0"/>
        <w:spacing w:after="0" w:line="240" w:lineRule="auto"/>
        <w:ind w:firstLine="340"/>
        <w:jc w:val="both"/>
        <w:rPr>
          <w:rFonts w:asciiTheme="majorBidi" w:hAnsiTheme="majorBidi" w:cstheme="majorBidi"/>
          <w:color w:val="00B050"/>
          <w:lang w:val="en-US"/>
        </w:rPr>
      </w:pPr>
      <w:r w:rsidRPr="002B7FC1">
        <w:rPr>
          <w:rFonts w:asciiTheme="majorBidi" w:hAnsiTheme="majorBidi" w:cstheme="majorBidi"/>
          <w:lang w:val="en-US"/>
        </w:rPr>
        <w:lastRenderedPageBreak/>
        <w:t>The estimation results of the AR(0)-GARCH(1,1</w:t>
      </w:r>
      <w:r>
        <w:rPr>
          <w:rFonts w:asciiTheme="majorBidi" w:hAnsiTheme="majorBidi" w:cstheme="majorBidi"/>
          <w:lang w:val="en-US"/>
        </w:rPr>
        <w:t>) model are displayed in Table 9</w:t>
      </w:r>
      <w:r w:rsidRPr="002B7FC1">
        <w:rPr>
          <w:rFonts w:asciiTheme="majorBidi" w:hAnsiTheme="majorBidi" w:cstheme="majorBidi"/>
          <w:lang w:val="en-US"/>
        </w:rPr>
        <w:t>.</w:t>
      </w:r>
      <w:r w:rsidRPr="00C50940">
        <w:rPr>
          <w:rFonts w:asciiTheme="majorBidi" w:hAnsiTheme="majorBidi" w:cstheme="majorBidi"/>
          <w:lang w:val="en-US"/>
        </w:rPr>
        <w:t xml:space="preserve">The constant terms </w:t>
      </w:r>
      <m:oMath>
        <m:sSub>
          <m:sSubPr>
            <m:ctrlPr>
              <w:rPr>
                <w:rFonts w:ascii="Cambria Math" w:hAnsi="Cambria Math" w:cstheme="majorBidi"/>
                <w:lang w:val="en-US"/>
              </w:rPr>
            </m:ctrlPr>
          </m:sSubPr>
          <m:e>
            <m:r>
              <m:rPr>
                <m:sty m:val="p"/>
              </m:rPr>
              <w:rPr>
                <w:rFonts w:ascii="Cambria Math" w:hAnsi="Cambria Math" w:cstheme="majorBidi"/>
                <w:lang w:val="en-US"/>
              </w:rPr>
              <m:t>ω</m:t>
            </m:r>
          </m:e>
          <m:sub>
            <m:r>
              <m:rPr>
                <m:sty m:val="p"/>
              </m:rPr>
              <w:rPr>
                <w:rFonts w:ascii="Cambria Math" w:hAnsi="Cambria Math" w:cstheme="majorBidi"/>
                <w:lang w:val="en-US"/>
              </w:rPr>
              <m:t>ij</m:t>
            </m:r>
          </m:sub>
        </m:sSub>
      </m:oMath>
      <w:r w:rsidRPr="00C50940">
        <w:rPr>
          <w:rFonts w:asciiTheme="majorBidi" w:hAnsiTheme="majorBidi" w:cstheme="majorBidi"/>
          <w:lang w:val="en-US"/>
        </w:rPr>
        <w:t xml:space="preserve"> is statistically significant for all pairs. At the phase 2 of the global financial crisis, the dummy coefficients (</w:t>
      </w:r>
      <m:oMath>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2</m:t>
            </m:r>
          </m:sub>
        </m:sSub>
      </m:oMath>
      <w:r w:rsidRPr="00C50940">
        <w:rPr>
          <w:rFonts w:asciiTheme="majorBidi" w:hAnsiTheme="majorBidi" w:cstheme="majorBidi"/>
          <w:lang w:val="en-US"/>
        </w:rPr>
        <w:t>) is negative and statistically no significant for only the pair of USDEUR-NIKKEI225 and USDEUR-MSCI, supporting a decrease in DCCs.</w:t>
      </w:r>
      <w:r w:rsidRPr="006265B2">
        <w:rPr>
          <w:rFonts w:asciiTheme="majorBidi" w:hAnsiTheme="majorBidi" w:cstheme="majorBidi"/>
          <w:lang w:val="en-US"/>
        </w:rPr>
        <w:t xml:space="preserve"> During the phase 3 of macroeconomic deterioration, negative and statistically no significant dummy coefficients </w:t>
      </w:r>
      <m:oMath>
        <m:sSub>
          <m:sSubPr>
            <m:ctrlPr>
              <w:rPr>
                <w:rFonts w:ascii="Cambria Math" w:hAnsi="Cambria Math" w:cstheme="majorBidi"/>
                <w:lang w:val="en-US"/>
              </w:rPr>
            </m:ctrlPr>
          </m:sSubPr>
          <m:e>
            <m:r>
              <m:rPr>
                <m:sty m:val="p"/>
              </m:rPr>
              <w:rPr>
                <w:rFonts w:ascii="Cambria Math" w:hAnsi="Cambria Math" w:cstheme="majorBidi"/>
                <w:lang w:val="en-US"/>
              </w:rPr>
              <m:t>β</m:t>
            </m:r>
          </m:e>
          <m:sub>
            <m:r>
              <m:rPr>
                <m:sty m:val="p"/>
              </m:rPr>
              <w:rPr>
                <w:rFonts w:ascii="Cambria Math" w:hAnsi="Cambria Math" w:cstheme="majorBidi"/>
                <w:lang w:val="en-US"/>
              </w:rPr>
              <m:t>3</m:t>
            </m:r>
          </m:sub>
        </m:sSub>
      </m:oMath>
      <w:r w:rsidRPr="006265B2">
        <w:rPr>
          <w:rFonts w:asciiTheme="majorBidi" w:hAnsiTheme="majorBidi" w:cstheme="majorBidi"/>
          <w:lang w:val="en-US"/>
        </w:rPr>
        <w:t xml:space="preserve"> exist for each pairs, implying a decrease of DCCs and thus suggesting that the relationship among these currencies is actually decreased during this phase.</w:t>
      </w:r>
      <w:r w:rsidRPr="00497507">
        <w:rPr>
          <w:rFonts w:asciiTheme="majorBidi" w:hAnsiTheme="majorBidi" w:cstheme="majorBidi"/>
          <w:lang w:val="en-US"/>
        </w:rPr>
        <w:t xml:space="preserve"> This result can be regarded as a “contagion effect”.</w:t>
      </w:r>
    </w:p>
    <w:p w:rsidR="00713545" w:rsidRPr="001261A2" w:rsidRDefault="001261A2" w:rsidP="001261A2">
      <w:pPr>
        <w:autoSpaceDE w:val="0"/>
        <w:autoSpaceDN w:val="0"/>
        <w:adjustRightInd w:val="0"/>
        <w:spacing w:after="0" w:line="240" w:lineRule="auto"/>
        <w:ind w:firstLine="340"/>
        <w:jc w:val="both"/>
        <w:rPr>
          <w:rFonts w:asciiTheme="majorBidi" w:hAnsiTheme="majorBidi" w:cstheme="majorBidi"/>
          <w:lang w:val="en-US"/>
        </w:rPr>
      </w:pPr>
      <w:r w:rsidRPr="00F727C3">
        <w:rPr>
          <w:rFonts w:asciiTheme="majorBidi" w:hAnsiTheme="majorBidi" w:cstheme="majorBidi"/>
          <w:lang w:val="en-US"/>
        </w:rPr>
        <w:t xml:space="preserve">The first phase of ESDC exhibits only one case of significantly negative dummy coefficients </w:t>
      </w:r>
      <m:oMath>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β</m:t>
            </m:r>
          </m:e>
          <m:sub>
            <m:r>
              <w:rPr>
                <w:rFonts w:ascii="Cambria Math" w:hAnsi="Cambria Math" w:cstheme="majorBidi"/>
                <w:lang w:val="en-US"/>
              </w:rPr>
              <m:t>5</m:t>
            </m:r>
          </m:sub>
        </m:sSub>
        <m:r>
          <w:rPr>
            <w:rFonts w:ascii="Cambria Math" w:hAnsi="Cambria Math" w:cstheme="majorBidi"/>
            <w:lang w:val="en-US"/>
          </w:rPr>
          <m:t>)</m:t>
        </m:r>
      </m:oMath>
      <w:r w:rsidRPr="00F727C3">
        <w:rPr>
          <w:rFonts w:asciiTheme="majorBidi" w:hAnsiTheme="majorBidi" w:cstheme="majorBidi"/>
          <w:lang w:val="en-US"/>
        </w:rPr>
        <w:t xml:space="preserve"> for the pair of USDEUR-NIKKEI225 and USDEUR-MSCI.This period is characterized by a sharp depreciation of EUR due to the “Greek problem” and the uncertainty about the future of euro as a single Eurozone currency. This finding can be viewed as a “contagion effect” as both foreign exchange rate and stock prices seem to be substantially influenced by the </w:t>
      </w:r>
      <w:r>
        <w:rPr>
          <w:rFonts w:asciiTheme="majorBidi" w:hAnsiTheme="majorBidi" w:cstheme="majorBidi"/>
          <w:lang w:val="en-US"/>
        </w:rPr>
        <w:t>European sovereign debt crisis.</w:t>
      </w:r>
    </w:p>
    <w:p w:rsidR="00713545" w:rsidRPr="00713545" w:rsidRDefault="00713545" w:rsidP="00713545">
      <w:pPr>
        <w:autoSpaceDE w:val="0"/>
        <w:autoSpaceDN w:val="0"/>
        <w:adjustRightInd w:val="0"/>
        <w:spacing w:after="0" w:line="240" w:lineRule="auto"/>
        <w:ind w:firstLine="340"/>
        <w:jc w:val="both"/>
        <w:rPr>
          <w:rFonts w:asciiTheme="majorBidi" w:hAnsiTheme="majorBidi" w:cstheme="majorBidi"/>
          <w:lang w:val="en-US"/>
        </w:rPr>
      </w:pPr>
      <w:r w:rsidRPr="00C1702D">
        <w:rPr>
          <w:rFonts w:asciiTheme="majorBidi" w:hAnsiTheme="majorBidi" w:cstheme="majorBidi"/>
          <w:lang w:val="en-US"/>
        </w:rPr>
        <w:t xml:space="preserve">Finally, the dummy coefficients’ estimates of the variance Eq. (29), are either positive or negative and statistically significant or no significant in most cases across several phases of the global financial and European sovereign debt crises. The no significant positive dummy coefficients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k</m:t>
            </m:r>
          </m:sub>
        </m:sSub>
      </m:oMath>
      <w:r w:rsidRPr="00C1702D">
        <w:rPr>
          <w:rFonts w:asciiTheme="majorBidi" w:hAnsiTheme="majorBidi" w:cstheme="majorBidi"/>
          <w:lang w:val="en-US"/>
        </w:rPr>
        <w:t xml:space="preserve"> means that the volatility of correlation coefficients is increased, implying that the stability of the correlations is less reliable for the implementation of investment strategies.However, the significant negative dummy coefficients </w:t>
      </w:r>
      <m:oMath>
        <m:sSub>
          <m:sSubPr>
            <m:ctrlPr>
              <w:rPr>
                <w:rFonts w:ascii="Cambria Math" w:hAnsi="Cambria Math" w:cstheme="majorBidi"/>
                <w:lang w:val="en-US"/>
              </w:rPr>
            </m:ctrlPr>
          </m:sSubPr>
          <m:e>
            <m:r>
              <m:rPr>
                <m:sty m:val="p"/>
              </m:rPr>
              <w:rPr>
                <w:rFonts w:ascii="Cambria Math" w:hAnsi="Cambria Math" w:cstheme="majorBidi"/>
                <w:lang w:val="en-US"/>
              </w:rPr>
              <m:t>ξ</m:t>
            </m:r>
          </m:e>
          <m:sub>
            <m:r>
              <m:rPr>
                <m:sty m:val="p"/>
              </m:rPr>
              <w:rPr>
                <w:rFonts w:ascii="Cambria Math" w:hAnsi="Cambria Math" w:cstheme="majorBidi"/>
                <w:lang w:val="en-US"/>
              </w:rPr>
              <m:t>k</m:t>
            </m:r>
          </m:sub>
        </m:sSub>
      </m:oMath>
      <w:r w:rsidRPr="00C1702D">
        <w:rPr>
          <w:rFonts w:asciiTheme="majorBidi" w:hAnsiTheme="majorBidi" w:cstheme="majorBidi"/>
          <w:lang w:val="en-US"/>
        </w:rPr>
        <w:t xml:space="preserve"> indicates a more stable structure of correlation, suggesting the use of the correlation coefficients as a guide for portfolio decisions during specific phases of the global financial and </w:t>
      </w:r>
      <w:r>
        <w:rPr>
          <w:rFonts w:asciiTheme="majorBidi" w:hAnsiTheme="majorBidi" w:cstheme="majorBidi"/>
          <w:lang w:val="en-US"/>
        </w:rPr>
        <w:t>European sovereign debt crises.</w:t>
      </w:r>
    </w:p>
    <w:p w:rsidR="00713545" w:rsidRDefault="00713545" w:rsidP="00867C9D">
      <w:pPr>
        <w:spacing w:after="0" w:line="240" w:lineRule="auto"/>
        <w:jc w:val="both"/>
        <w:rPr>
          <w:rFonts w:asciiTheme="majorBidi" w:hAnsiTheme="majorBidi" w:cstheme="majorBidi"/>
          <w:b/>
          <w:sz w:val="24"/>
          <w:szCs w:val="24"/>
          <w:lang w:val="en-US"/>
        </w:rPr>
      </w:pPr>
    </w:p>
    <w:p w:rsidR="000B7102" w:rsidRPr="0062679E" w:rsidRDefault="00867C9D" w:rsidP="0062679E">
      <w:pPr>
        <w:pStyle w:val="Paragraphedeliste"/>
        <w:numPr>
          <w:ilvl w:val="0"/>
          <w:numId w:val="1"/>
        </w:numPr>
        <w:spacing w:after="0" w:line="240" w:lineRule="auto"/>
        <w:jc w:val="both"/>
        <w:rPr>
          <w:rFonts w:asciiTheme="majorBidi" w:hAnsiTheme="majorBidi" w:cstheme="majorBidi"/>
          <w:b/>
          <w:sz w:val="24"/>
          <w:szCs w:val="24"/>
          <w:lang w:val="en-US"/>
        </w:rPr>
      </w:pPr>
      <w:r w:rsidRPr="0062679E">
        <w:rPr>
          <w:rFonts w:asciiTheme="majorBidi" w:hAnsiTheme="majorBidi" w:cstheme="majorBidi"/>
          <w:b/>
          <w:sz w:val="24"/>
          <w:szCs w:val="24"/>
          <w:lang w:val="en-US"/>
        </w:rPr>
        <w:t>Conclusion</w:t>
      </w:r>
    </w:p>
    <w:p w:rsidR="008F3479" w:rsidRPr="00867C9D" w:rsidRDefault="008F3479" w:rsidP="00867C9D">
      <w:pPr>
        <w:spacing w:after="0" w:line="240" w:lineRule="auto"/>
        <w:jc w:val="both"/>
        <w:rPr>
          <w:rFonts w:asciiTheme="majorBidi" w:hAnsiTheme="majorBidi" w:cstheme="majorBidi"/>
          <w:b/>
          <w:sz w:val="24"/>
          <w:szCs w:val="24"/>
          <w:lang w:val="en-US"/>
        </w:rPr>
      </w:pPr>
    </w:p>
    <w:p w:rsidR="008F3479" w:rsidRPr="008F3479" w:rsidRDefault="008F3479" w:rsidP="008F3479">
      <w:pPr>
        <w:autoSpaceDE w:val="0"/>
        <w:autoSpaceDN w:val="0"/>
        <w:adjustRightInd w:val="0"/>
        <w:spacing w:after="0" w:line="240" w:lineRule="auto"/>
        <w:ind w:firstLine="340"/>
        <w:jc w:val="both"/>
        <w:rPr>
          <w:rFonts w:asciiTheme="majorBidi" w:hAnsiTheme="majorBidi" w:cstheme="majorBidi"/>
          <w:lang w:val="en-US"/>
        </w:rPr>
      </w:pPr>
      <w:r w:rsidRPr="008F3479">
        <w:rPr>
          <w:rFonts w:asciiTheme="majorBidi" w:hAnsiTheme="majorBidi" w:cstheme="majorBidi"/>
          <w:lang w:val="en-US"/>
        </w:rPr>
        <w:t>While time varying correlations of stock market returns and foreign exchange rate have seen voluminous research, relatively little attention has been given to the dynamics of correlations within a market.</w:t>
      </w:r>
    </w:p>
    <w:p w:rsidR="008F3479" w:rsidRDefault="008F3479" w:rsidP="008F3479">
      <w:pPr>
        <w:autoSpaceDE w:val="0"/>
        <w:autoSpaceDN w:val="0"/>
        <w:adjustRightInd w:val="0"/>
        <w:spacing w:after="0" w:line="240" w:lineRule="auto"/>
        <w:ind w:firstLine="340"/>
        <w:jc w:val="both"/>
        <w:rPr>
          <w:rFonts w:asciiTheme="majorBidi" w:hAnsiTheme="majorBidi" w:cstheme="majorBidi"/>
          <w:lang w:val="en-US"/>
        </w:rPr>
      </w:pPr>
      <w:r w:rsidRPr="008F3479">
        <w:rPr>
          <w:rFonts w:asciiTheme="majorBidi" w:hAnsiTheme="majorBidi" w:cstheme="majorBidi"/>
          <w:lang w:val="en-US"/>
        </w:rPr>
        <w:t>In this paper, we analyze the dynamic conditional correlation between the US dollar (USD) exchange rates expressed in Euro (EUR) and</w:t>
      </w:r>
      <w:r>
        <w:rPr>
          <w:rFonts w:asciiTheme="majorBidi" w:hAnsiTheme="majorBidi" w:cstheme="majorBidi"/>
          <w:lang w:val="en-US"/>
        </w:rPr>
        <w:t xml:space="preserve"> three</w:t>
      </w:r>
      <w:r w:rsidRPr="008F3479">
        <w:rPr>
          <w:rFonts w:asciiTheme="majorBidi" w:hAnsiTheme="majorBidi" w:cstheme="majorBidi"/>
          <w:lang w:val="en-US"/>
        </w:rPr>
        <w:t xml:space="preserve"> stock markets using</w:t>
      </w:r>
      <w:r w:rsidRPr="005137BB">
        <w:rPr>
          <w:rFonts w:asciiTheme="majorBidi" w:hAnsiTheme="majorBidi" w:cstheme="majorBidi"/>
          <w:lang w:val="en-US"/>
        </w:rPr>
        <w:t xml:space="preserve"> a DCC model into a multivariate fractionally integrated APARCH framework (FIAPARCH-DCC model), which provides the tools to understand how financial volatilities move togeth</w:t>
      </w:r>
      <w:r>
        <w:rPr>
          <w:rFonts w:asciiTheme="majorBidi" w:hAnsiTheme="majorBidi" w:cstheme="majorBidi"/>
          <w:lang w:val="en-US"/>
        </w:rPr>
        <w:t>er over time and across markets, and</w:t>
      </w:r>
      <w:r w:rsidRPr="008F3479">
        <w:rPr>
          <w:rFonts w:asciiTheme="majorBidi" w:hAnsiTheme="majorBidi" w:cstheme="majorBidi"/>
          <w:lang w:val="en-US"/>
        </w:rPr>
        <w:t xml:space="preserve"> the Asymmetric Dynamic Conditional Correlation (A-DCC) model developed by </w:t>
      </w:r>
      <w:r w:rsidRPr="00266397">
        <w:rPr>
          <w:rFonts w:asciiTheme="majorBidi" w:hAnsiTheme="majorBidi" w:cstheme="majorBidi"/>
          <w:color w:val="00B0F0"/>
          <w:lang w:val="en-US"/>
        </w:rPr>
        <w:t>Cappiello et al. (2006)</w:t>
      </w:r>
      <w:r w:rsidRPr="008F3479">
        <w:rPr>
          <w:rFonts w:asciiTheme="majorBidi" w:hAnsiTheme="majorBidi" w:cstheme="majorBidi"/>
          <w:lang w:val="en-US"/>
        </w:rPr>
        <w:t>. We also use an AR-GARCH model for statistical analysis of the time-varying correlations by considering the major financial and economic events relative to the subprime crisis and global financial crisis.</w:t>
      </w:r>
    </w:p>
    <w:p w:rsidR="00B71453" w:rsidRPr="008F3479" w:rsidRDefault="00B71453" w:rsidP="008F3479">
      <w:pPr>
        <w:autoSpaceDE w:val="0"/>
        <w:autoSpaceDN w:val="0"/>
        <w:adjustRightInd w:val="0"/>
        <w:spacing w:after="0" w:line="240" w:lineRule="auto"/>
        <w:ind w:firstLine="340"/>
        <w:jc w:val="both"/>
        <w:rPr>
          <w:rFonts w:asciiTheme="majorBidi" w:hAnsiTheme="majorBidi" w:cstheme="majorBidi"/>
          <w:lang w:val="en-US"/>
        </w:rPr>
      </w:pPr>
      <w:r w:rsidRPr="00053A61">
        <w:rPr>
          <w:rFonts w:ascii="Times New Roman" w:eastAsia="Times New Roman" w:hAnsi="Times New Roman" w:cs="Times New Roman"/>
          <w:lang w:val="en-US" w:eastAsia="fr-FR"/>
        </w:rPr>
        <w:t>The FIAPARCH model is identified as the best specification for modeling the conditional heteroscedasticity of individualtime series.</w:t>
      </w:r>
      <w:r w:rsidRPr="0072308B">
        <w:rPr>
          <w:rFonts w:ascii="Times New Roman" w:eastAsia="Times New Roman" w:hAnsi="Times New Roman" w:cs="Times New Roman"/>
          <w:lang w:val="en-US" w:eastAsia="fr-FR"/>
        </w:rPr>
        <w:t xml:space="preserve">We then extended the above univariate GARCH models to a bivariate framework </w:t>
      </w:r>
      <w:r>
        <w:rPr>
          <w:rFonts w:ascii="Times New Roman" w:eastAsia="Times New Roman" w:hAnsi="Times New Roman" w:cs="Times New Roman"/>
          <w:lang w:val="en-US" w:eastAsia="fr-FR"/>
        </w:rPr>
        <w:t>with dynamic</w:t>
      </w:r>
      <w:r w:rsidRPr="0072308B">
        <w:rPr>
          <w:rFonts w:ascii="Times New Roman" w:eastAsia="Times New Roman" w:hAnsi="Times New Roman" w:cs="Times New Roman"/>
          <w:lang w:val="en-US" w:eastAsia="fr-FR"/>
        </w:rPr>
        <w:t xml:space="preserve"> conditional correlation parameterization in order to inv</w:t>
      </w:r>
      <w:r>
        <w:rPr>
          <w:rFonts w:ascii="Times New Roman" w:eastAsia="Times New Roman" w:hAnsi="Times New Roman" w:cs="Times New Roman"/>
          <w:lang w:val="en-US" w:eastAsia="fr-FR"/>
        </w:rPr>
        <w:t>estigate the interaction</w:t>
      </w:r>
      <w:r w:rsidRPr="0072308B">
        <w:rPr>
          <w:rFonts w:ascii="Times New Roman" w:eastAsia="Times New Roman" w:hAnsi="Times New Roman" w:cs="Times New Roman"/>
          <w:lang w:val="en-US" w:eastAsia="fr-FR"/>
        </w:rPr>
        <w:t xml:space="preserve"> be</w:t>
      </w:r>
      <w:r>
        <w:rPr>
          <w:rFonts w:ascii="Times New Roman" w:eastAsia="Times New Roman" w:hAnsi="Times New Roman" w:cs="Times New Roman"/>
          <w:lang w:val="en-US" w:eastAsia="fr-FR"/>
        </w:rPr>
        <w:t>tween stock</w:t>
      </w:r>
      <w:r w:rsidRPr="0072308B">
        <w:rPr>
          <w:rFonts w:ascii="Times New Roman" w:eastAsia="Times New Roman" w:hAnsi="Times New Roman" w:cs="Times New Roman"/>
          <w:lang w:val="en-US" w:eastAsia="fr-FR"/>
        </w:rPr>
        <w:t xml:space="preserve"> markets</w:t>
      </w:r>
      <w:r>
        <w:rPr>
          <w:rFonts w:ascii="Times New Roman" w:eastAsia="Times New Roman" w:hAnsi="Times New Roman" w:cs="Times New Roman"/>
          <w:lang w:val="en-US" w:eastAsia="fr-FR"/>
        </w:rPr>
        <w:t xml:space="preserve"> and exchange rate.</w:t>
      </w:r>
    </w:p>
    <w:p w:rsidR="007B240E" w:rsidRDefault="008F3479" w:rsidP="007B240E">
      <w:pPr>
        <w:spacing w:after="0" w:line="240" w:lineRule="auto"/>
        <w:ind w:firstLine="340"/>
        <w:jc w:val="both"/>
        <w:rPr>
          <w:rFonts w:ascii="Times New Roman" w:eastAsia="Times New Roman" w:hAnsi="Times New Roman" w:cs="Times New Roman"/>
          <w:lang w:val="en-US"/>
        </w:rPr>
      </w:pPr>
      <w:r w:rsidRPr="008F3479">
        <w:rPr>
          <w:rFonts w:asciiTheme="majorBidi" w:hAnsiTheme="majorBidi" w:cstheme="majorBidi"/>
          <w:lang w:val="en-US"/>
        </w:rPr>
        <w:t xml:space="preserve">Our empirical results indicate that foreign exchange market and european stock markets exhibit asymmetry and no asymmetry in the conditional variances. Therefore, the results point to the importance of applying an appropriately ﬂexible modeling framework to accurately evaluate the interaction between exchange market and stock market co-movements. the conditional correlation among the USD/EUR and </w:t>
      </w:r>
      <w:r w:rsidR="00DA4424">
        <w:rPr>
          <w:rFonts w:asciiTheme="majorBidi" w:hAnsiTheme="majorBidi" w:cstheme="majorBidi"/>
          <w:lang w:val="en-US"/>
        </w:rPr>
        <w:t>the three stock index</w:t>
      </w:r>
      <w:r w:rsidRPr="008F3479">
        <w:rPr>
          <w:rFonts w:asciiTheme="majorBidi" w:hAnsiTheme="majorBidi" w:cstheme="majorBidi"/>
          <w:lang w:val="en-US"/>
        </w:rPr>
        <w:t xml:space="preserve"> exhibits higher dependency when it is driven by negative innovations to changes than it is by positive innovations. Moreover, the stock market</w:t>
      </w:r>
      <w:r w:rsidR="00DA4424">
        <w:rPr>
          <w:rFonts w:asciiTheme="majorBidi" w:hAnsiTheme="majorBidi" w:cstheme="majorBidi"/>
          <w:lang w:val="en-US"/>
        </w:rPr>
        <w:t xml:space="preserve"> and foreign exchange rate</w:t>
      </w:r>
      <w:r w:rsidRPr="008F3479">
        <w:rPr>
          <w:rFonts w:asciiTheme="majorBidi" w:hAnsiTheme="majorBidi" w:cstheme="majorBidi"/>
          <w:lang w:val="en-US"/>
        </w:rPr>
        <w:t xml:space="preserve"> correlations become more volatile during the global ﬁnancial crisis.</w:t>
      </w:r>
      <w:r w:rsidR="007B240E">
        <w:rPr>
          <w:rFonts w:ascii="Times New Roman" w:eastAsia="Times New Roman" w:hAnsi="Times New Roman" w:cs="Times New Roman"/>
          <w:lang w:val="en-US" w:eastAsia="fr-FR"/>
        </w:rPr>
        <w:t>Moreover,</w:t>
      </w:r>
      <w:r w:rsidR="007B240E" w:rsidRPr="0072308B">
        <w:rPr>
          <w:rFonts w:ascii="Times New Roman" w:eastAsia="Times New Roman" w:hAnsi="Times New Roman" w:cs="Times New Roman"/>
          <w:lang w:val="en-US" w:eastAsia="fr-FR"/>
        </w:rPr>
        <w:t xml:space="preserve"> results document</w:t>
      </w:r>
      <w:r w:rsidR="007B240E">
        <w:rPr>
          <w:rFonts w:ascii="Times New Roman" w:eastAsia="Times New Roman" w:hAnsi="Times New Roman" w:cs="Times New Roman"/>
          <w:lang w:val="en-US"/>
        </w:rPr>
        <w:t>strong evidence</w:t>
      </w:r>
      <w:r w:rsidR="007B240E" w:rsidRPr="001410A9">
        <w:rPr>
          <w:rFonts w:ascii="Times New Roman" w:eastAsia="Times New Roman" w:hAnsi="Times New Roman" w:cs="Times New Roman"/>
          <w:lang w:val="en-US"/>
        </w:rPr>
        <w:t xml:space="preserve"> of time-varying comovement</w:t>
      </w:r>
      <w:r w:rsidR="007B240E">
        <w:rPr>
          <w:rFonts w:ascii="Times New Roman" w:eastAsia="Times New Roman" w:hAnsi="Times New Roman" w:cs="Times New Roman"/>
          <w:lang w:val="en-US"/>
        </w:rPr>
        <w:t>,</w:t>
      </w:r>
      <w:r w:rsidR="007B240E" w:rsidRPr="001410A9">
        <w:rPr>
          <w:rFonts w:ascii="Times New Roman" w:eastAsia="Times New Roman" w:hAnsi="Times New Roman" w:cs="Times New Roman"/>
          <w:lang w:val="en-US"/>
        </w:rPr>
        <w:t xml:space="preserve"> a high persistence</w:t>
      </w:r>
      <w:r w:rsidR="007B240E">
        <w:rPr>
          <w:rFonts w:ascii="Times New Roman" w:eastAsia="Times New Roman" w:hAnsi="Times New Roman" w:cs="Times New Roman"/>
          <w:lang w:val="en-US"/>
        </w:rPr>
        <w:t xml:space="preserve"> of the conditional correlation (</w:t>
      </w:r>
      <w:r w:rsidR="007B240E" w:rsidRPr="001410A9">
        <w:rPr>
          <w:rFonts w:ascii="Times New Roman" w:eastAsia="Times New Roman" w:hAnsi="Times New Roman" w:cs="Times New Roman"/>
          <w:lang w:val="en-US"/>
        </w:rPr>
        <w:t>the volatility displays a highly persistent fashion</w:t>
      </w:r>
      <w:r w:rsidR="007B240E">
        <w:rPr>
          <w:rFonts w:ascii="Times New Roman" w:eastAsia="Times New Roman" w:hAnsi="Times New Roman" w:cs="Times New Roman"/>
          <w:lang w:val="en-US"/>
        </w:rPr>
        <w:t xml:space="preserve">) and </w:t>
      </w:r>
      <w:r w:rsidR="007B240E" w:rsidRPr="001410A9">
        <w:rPr>
          <w:rFonts w:ascii="Times New Roman" w:eastAsia="Times New Roman" w:hAnsi="Times New Roman" w:cs="Times New Roman"/>
          <w:lang w:val="en-US"/>
        </w:rPr>
        <w:t>the dynamic correlations revolve around a constant level and the dynamic process appears to be mean reverting.</w:t>
      </w:r>
    </w:p>
    <w:p w:rsidR="008F3479" w:rsidRPr="008F3479" w:rsidRDefault="008F3479" w:rsidP="00DA4424">
      <w:pPr>
        <w:autoSpaceDE w:val="0"/>
        <w:autoSpaceDN w:val="0"/>
        <w:adjustRightInd w:val="0"/>
        <w:spacing w:after="0" w:line="240" w:lineRule="auto"/>
        <w:ind w:firstLine="340"/>
        <w:jc w:val="both"/>
        <w:rPr>
          <w:rFonts w:asciiTheme="majorBidi" w:hAnsiTheme="majorBidi" w:cstheme="majorBidi"/>
          <w:lang w:val="en-US"/>
        </w:rPr>
      </w:pPr>
      <w:r w:rsidRPr="008F3479">
        <w:rPr>
          <w:rFonts w:asciiTheme="majorBidi" w:hAnsiTheme="majorBidi" w:cstheme="majorBidi"/>
          <w:lang w:val="en-US"/>
        </w:rPr>
        <w:t>Our empirical findings seem to be important to researchers and practitioners and especially to active investors and portfolio managers who include in their portfolios equities from the european</w:t>
      </w:r>
      <w:r w:rsidR="00DA4424">
        <w:rPr>
          <w:rFonts w:asciiTheme="majorBidi" w:hAnsiTheme="majorBidi" w:cstheme="majorBidi"/>
          <w:lang w:val="en-US"/>
        </w:rPr>
        <w:t>exchange</w:t>
      </w:r>
      <w:r w:rsidRPr="008F3479">
        <w:rPr>
          <w:rFonts w:asciiTheme="majorBidi" w:hAnsiTheme="majorBidi" w:cstheme="majorBidi"/>
          <w:lang w:val="en-US"/>
        </w:rPr>
        <w:t xml:space="preserve"> markets. Indeed, the high correlation coefficients, during crises periods, imply that the benefit from international diversification, by holding a portfolio consisting of diverse stocks from the contagious stock markets, decline. </w:t>
      </w:r>
    </w:p>
    <w:p w:rsidR="008F3479" w:rsidRPr="008F3479" w:rsidRDefault="008F3479" w:rsidP="00DA4424">
      <w:pPr>
        <w:autoSpaceDE w:val="0"/>
        <w:autoSpaceDN w:val="0"/>
        <w:adjustRightInd w:val="0"/>
        <w:spacing w:after="0" w:line="240" w:lineRule="auto"/>
        <w:ind w:firstLine="340"/>
        <w:jc w:val="both"/>
        <w:rPr>
          <w:rFonts w:asciiTheme="majorBidi" w:hAnsiTheme="majorBidi" w:cstheme="majorBidi"/>
          <w:lang w:val="en-US"/>
        </w:rPr>
      </w:pPr>
      <w:r w:rsidRPr="008F3479">
        <w:rPr>
          <w:rFonts w:asciiTheme="majorBidi" w:hAnsiTheme="majorBidi" w:cstheme="majorBidi"/>
          <w:lang w:val="en-US"/>
        </w:rPr>
        <w:lastRenderedPageBreak/>
        <w:t xml:space="preserve">The findings lead to important implications from investors’ and policy makers’ perspective. They are of great relevance for financial decisions of international investors on managing their risk exposures to exchange rate and stock prices fluctuations and on taking advantages of potential diversification opportunities that may arise due to lowered dependence among the exchange rates and stock prices. The increase of exchange rates and stock prices linkages during crisis periods shows the different vulnerability of the </w:t>
      </w:r>
      <w:r w:rsidR="00DA4424">
        <w:rPr>
          <w:rFonts w:asciiTheme="majorBidi" w:hAnsiTheme="majorBidi" w:cstheme="majorBidi"/>
          <w:lang w:val="en-US"/>
        </w:rPr>
        <w:t>currencies and implies a</w:t>
      </w:r>
      <w:r w:rsidRPr="008F3479">
        <w:rPr>
          <w:rFonts w:asciiTheme="majorBidi" w:hAnsiTheme="majorBidi" w:cstheme="majorBidi"/>
          <w:lang w:val="en-US"/>
        </w:rPr>
        <w:t xml:space="preserve"> decrease of portfolio diversification benefits, since holding a portfolio with diverse currencies is less subject to systematic risk. Moreover, this correlations’ behavior may be considered as evidence of non-cooperative monetary policies around the world and highlight the need for some form of policy coordination among central banks. Finally, the different pat</w:t>
      </w:r>
      <w:r w:rsidR="00DA4424">
        <w:rPr>
          <w:rFonts w:asciiTheme="majorBidi" w:hAnsiTheme="majorBidi" w:cstheme="majorBidi"/>
          <w:lang w:val="en-US"/>
        </w:rPr>
        <w:t xml:space="preserve">terns of dynamic linkages among </w:t>
      </w:r>
      <w:r w:rsidRPr="008F3479">
        <w:rPr>
          <w:rFonts w:asciiTheme="majorBidi" w:hAnsiTheme="majorBidi" w:cstheme="majorBidi"/>
          <w:lang w:val="en-US"/>
        </w:rPr>
        <w:t>stock prices and exchange rate may influence transnational trade flows and the activities of multinational corporations, as they create uncertainty with regard to exports and imports.</w:t>
      </w:r>
    </w:p>
    <w:p w:rsidR="000B7102" w:rsidRDefault="000B7102" w:rsidP="00BF0FC9">
      <w:pPr>
        <w:spacing w:after="0" w:line="240" w:lineRule="auto"/>
        <w:rPr>
          <w:rFonts w:asciiTheme="majorBidi" w:hAnsiTheme="majorBidi" w:cstheme="majorBidi"/>
          <w:sz w:val="24"/>
          <w:szCs w:val="24"/>
          <w:lang w:val="en-US"/>
        </w:rPr>
      </w:pPr>
    </w:p>
    <w:p w:rsidR="003043B9" w:rsidRPr="003E410F" w:rsidRDefault="00B754F2" w:rsidP="00867C9D">
      <w:pPr>
        <w:spacing w:after="0" w:line="240" w:lineRule="auto"/>
        <w:jc w:val="both"/>
        <w:rPr>
          <w:rFonts w:asciiTheme="majorBidi" w:hAnsiTheme="majorBidi" w:cstheme="majorBidi"/>
          <w:b/>
          <w:sz w:val="28"/>
          <w:szCs w:val="28"/>
          <w:lang w:val="en-US"/>
        </w:rPr>
      </w:pPr>
      <w:r w:rsidRPr="003E410F">
        <w:rPr>
          <w:rFonts w:asciiTheme="majorBidi" w:hAnsiTheme="majorBidi" w:cstheme="majorBidi"/>
          <w:b/>
          <w:sz w:val="28"/>
          <w:szCs w:val="28"/>
          <w:lang w:val="en-US"/>
        </w:rPr>
        <w:t>References</w:t>
      </w:r>
    </w:p>
    <w:p w:rsidR="001261A2" w:rsidRPr="001261A2" w:rsidRDefault="001261A2" w:rsidP="00867C9D">
      <w:pPr>
        <w:spacing w:after="0" w:line="240" w:lineRule="auto"/>
        <w:jc w:val="both"/>
        <w:rPr>
          <w:rFonts w:asciiTheme="majorBidi" w:hAnsiTheme="majorBidi" w:cstheme="majorBidi"/>
          <w:b/>
          <w:sz w:val="24"/>
          <w:szCs w:val="24"/>
          <w:lang w:val="en-US"/>
        </w:rPr>
      </w:pPr>
    </w:p>
    <w:p w:rsid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 xml:space="preserve">Aggarwal, R. (1981). Exchange rates and stock prices: A study of the US capital markets under floating exchange rates. </w:t>
      </w:r>
      <w:r w:rsidRPr="0020570C">
        <w:rPr>
          <w:rFonts w:asciiTheme="majorBidi" w:hAnsiTheme="majorBidi" w:cstheme="majorBidi"/>
          <w:i/>
          <w:iCs/>
          <w:lang w:val="en-US"/>
        </w:rPr>
        <w:t>Akron Business and Economic Review</w:t>
      </w:r>
      <w:r w:rsidRPr="0020570C">
        <w:rPr>
          <w:rFonts w:asciiTheme="majorBidi" w:hAnsiTheme="majorBidi" w:cstheme="majorBidi"/>
          <w:lang w:val="en-US"/>
        </w:rPr>
        <w:t>, 12,  7-12.</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Baillie, R.T., Bollerslev, T., and Mikkelsen, H.O. (1996). Fractionally integrated generalized autoregressive conditional heteroskedasticity. </w:t>
      </w:r>
      <w:r w:rsidRPr="0020570C">
        <w:rPr>
          <w:rFonts w:asciiTheme="majorBidi" w:hAnsiTheme="majorBidi" w:cstheme="majorBidi"/>
          <w:i/>
          <w:iCs/>
          <w:lang w:val="en-US"/>
        </w:rPr>
        <w:t>Journal of Econometrics</w:t>
      </w:r>
      <w:r w:rsidRPr="008510F8">
        <w:rPr>
          <w:rFonts w:asciiTheme="majorBidi" w:hAnsiTheme="majorBidi" w:cstheme="majorBidi"/>
          <w:lang w:val="en-US"/>
        </w:rPr>
        <w:t xml:space="preserve"> 74, 3-30.</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Bauwens, L., Laurent, S., and Rombouts, J.V.K. (2006). Multivariate GARCH: a survey. </w:t>
      </w:r>
      <w:r w:rsidRPr="0020570C">
        <w:rPr>
          <w:rFonts w:asciiTheme="majorBidi" w:hAnsiTheme="majorBidi" w:cstheme="majorBidi"/>
          <w:i/>
          <w:iCs/>
          <w:lang w:val="en-US"/>
        </w:rPr>
        <w:t>Journal of Applied Econometrics</w:t>
      </w:r>
      <w:r w:rsidRPr="008510F8">
        <w:rPr>
          <w:rFonts w:asciiTheme="majorBidi" w:hAnsiTheme="majorBidi" w:cstheme="majorBidi"/>
          <w:lang w:val="en-US"/>
        </w:rPr>
        <w:t>, 21, 79-109.</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Boero, G., Silvapulle, P., and Tursunalieva, A. (2011).Modelling the bivariate dependence structure of exchange rates before and after the introduction of the euro: a semi-parametric approach.</w:t>
      </w:r>
      <w:r w:rsidRPr="0020570C">
        <w:rPr>
          <w:rFonts w:asciiTheme="majorBidi" w:hAnsiTheme="majorBidi" w:cstheme="majorBidi"/>
          <w:i/>
          <w:iCs/>
          <w:lang w:val="en-US"/>
        </w:rPr>
        <w:t>International Journal of Finance and Economics</w:t>
      </w:r>
      <w:r w:rsidRPr="008510F8">
        <w:rPr>
          <w:rFonts w:asciiTheme="majorBidi" w:hAnsiTheme="majorBidi" w:cstheme="majorBidi"/>
          <w:lang w:val="en-US"/>
        </w:rPr>
        <w:t xml:space="preserve"> 16, 357–374.</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Bollerslev, T. (1986).Generalized autoregressive conditional heteroskedasticity.</w:t>
      </w:r>
      <w:r w:rsidRPr="0020570C">
        <w:rPr>
          <w:rFonts w:asciiTheme="majorBidi" w:hAnsiTheme="majorBidi" w:cstheme="majorBidi"/>
          <w:i/>
          <w:iCs/>
          <w:lang w:val="en-US"/>
        </w:rPr>
        <w:t xml:space="preserve">Journal of Econometrics </w:t>
      </w:r>
      <w:r w:rsidRPr="008510F8">
        <w:rPr>
          <w:rFonts w:asciiTheme="majorBidi" w:hAnsiTheme="majorBidi" w:cstheme="majorBidi"/>
          <w:lang w:val="en-US"/>
        </w:rPr>
        <w:t>31, 307-327.</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Bollerslev, T. (1987). A Conditionally Heteroskedastic Time Series Model for Speculative Prices and Rates of Return. </w:t>
      </w:r>
      <w:r w:rsidRPr="0020570C">
        <w:rPr>
          <w:rFonts w:asciiTheme="majorBidi" w:hAnsiTheme="majorBidi" w:cstheme="majorBidi"/>
          <w:i/>
          <w:iCs/>
          <w:lang w:val="en-US"/>
        </w:rPr>
        <w:t>Review of Economics and Statistics</w:t>
      </w:r>
      <w:r w:rsidRPr="008510F8">
        <w:rPr>
          <w:rFonts w:asciiTheme="majorBidi" w:hAnsiTheme="majorBidi" w:cstheme="majorBidi"/>
          <w:lang w:val="en-US"/>
        </w:rPr>
        <w:t xml:space="preserve"> 69, 542-547.</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Bollerslev, T., and Mikkelsen, H.O. (1996). Modeling and pricing long memory in stock market volatility. </w:t>
      </w:r>
      <w:r w:rsidRPr="0020570C">
        <w:rPr>
          <w:rFonts w:asciiTheme="majorBidi" w:hAnsiTheme="majorBidi" w:cstheme="majorBidi"/>
          <w:i/>
          <w:iCs/>
          <w:lang w:val="en-US"/>
        </w:rPr>
        <w:t>Journal of Econometrics</w:t>
      </w:r>
      <w:r w:rsidRPr="008510F8">
        <w:rPr>
          <w:rFonts w:asciiTheme="majorBidi" w:hAnsiTheme="majorBidi" w:cstheme="majorBidi"/>
          <w:lang w:val="en-US"/>
        </w:rPr>
        <w:t xml:space="preserve"> 73, 151-184.</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Branson, W.H. (1983). Macroeconomic determinants of real exchange risk. In: Herring, R.J. (Ed.), Managing Foreign Exchange Risk. Cambridge University.</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Brooks, R.D., Faff, R.W., and McKenzie, M.D. (2000).A multi-country study of power ARCH models and national stock market returns.</w:t>
      </w:r>
      <w:r w:rsidRPr="008510F8">
        <w:rPr>
          <w:rFonts w:asciiTheme="majorBidi" w:hAnsiTheme="majorBidi" w:cstheme="majorBidi" w:hint="eastAsia"/>
          <w:i/>
          <w:iCs/>
          <w:lang w:val="en-US"/>
        </w:rPr>
        <w:t>Journal of International Money and Finance</w:t>
      </w:r>
      <w:r w:rsidRPr="008510F8">
        <w:rPr>
          <w:rFonts w:asciiTheme="majorBidi" w:hAnsiTheme="majorBidi" w:cstheme="majorBidi"/>
          <w:lang w:val="en-US"/>
        </w:rPr>
        <w:t>19, 377-397.</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Cappiello, L., Engle, R., and Sheppard, K. (2006). Asymmetric dynamics in the correlations of global equity and bond returns. </w:t>
      </w:r>
      <w:r w:rsidRPr="0020570C">
        <w:rPr>
          <w:rFonts w:asciiTheme="majorBidi" w:hAnsiTheme="majorBidi" w:cstheme="majorBidi"/>
          <w:i/>
          <w:iCs/>
          <w:lang w:val="en-US"/>
        </w:rPr>
        <w:t>Journal of Financial Economics</w:t>
      </w:r>
      <w:r w:rsidRPr="008510F8">
        <w:rPr>
          <w:rFonts w:asciiTheme="majorBidi" w:hAnsiTheme="majorBidi" w:cstheme="majorBidi"/>
          <w:lang w:val="en-US"/>
        </w:rPr>
        <w:t>, 4(4), 537-572.</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Celic, S. (2012). The more contagion effect on emerging markets: The evidence of DCC-GARCH model. </w:t>
      </w:r>
      <w:r w:rsidRPr="008510F8">
        <w:rPr>
          <w:rFonts w:asciiTheme="majorBidi" w:hAnsiTheme="majorBidi" w:cstheme="majorBidi"/>
          <w:i/>
          <w:lang w:val="en-US"/>
        </w:rPr>
        <w:t>Economic Modelling</w:t>
      </w:r>
      <w:r w:rsidRPr="008510F8">
        <w:rPr>
          <w:rFonts w:asciiTheme="majorBidi" w:hAnsiTheme="majorBidi" w:cstheme="majorBidi"/>
          <w:lang w:val="en-US"/>
        </w:rPr>
        <w:t xml:space="preserve"> 29, 1946-1959.</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Chiang, T.C., Jeon, B.N., and Li, H. (2007). Dynamic Correlation Analysis of Financial Contagion: Evidence from Asian Markets. </w:t>
      </w:r>
      <w:r w:rsidRPr="008510F8">
        <w:rPr>
          <w:rFonts w:asciiTheme="majorBidi" w:hAnsiTheme="majorBidi" w:cstheme="majorBidi"/>
          <w:i/>
          <w:iCs/>
          <w:lang w:val="en-US"/>
        </w:rPr>
        <w:t>Journal of International Money and Finance</w:t>
      </w:r>
      <w:r w:rsidRPr="008510F8">
        <w:rPr>
          <w:rFonts w:asciiTheme="majorBidi" w:hAnsiTheme="majorBidi" w:cstheme="majorBidi"/>
          <w:lang w:val="en-US"/>
        </w:rPr>
        <w:t xml:space="preserve"> 26, 1206-1228.</w:t>
      </w:r>
    </w:p>
    <w:p w:rsidR="005D0E56" w:rsidRPr="00013AB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Chkili, W., Aloui, C., and Ngugen, D. K. (2012).</w:t>
      </w:r>
      <w:r>
        <w:rPr>
          <w:rFonts w:asciiTheme="majorBidi" w:hAnsiTheme="majorBidi" w:cstheme="majorBidi"/>
          <w:lang w:val="en-US"/>
        </w:rPr>
        <w:t>A</w:t>
      </w:r>
      <w:r w:rsidRPr="00013AB8">
        <w:rPr>
          <w:rFonts w:asciiTheme="majorBidi" w:hAnsiTheme="majorBidi" w:cstheme="majorBidi"/>
          <w:lang w:val="en-US"/>
        </w:rPr>
        <w:t>symmetric effects and long memory in dynamic volatility relationships between stock returns and exchange rates.</w:t>
      </w:r>
      <w:r w:rsidRPr="008510F8">
        <w:rPr>
          <w:rFonts w:asciiTheme="majorBidi" w:hAnsiTheme="majorBidi" w:cstheme="majorBidi"/>
          <w:i/>
          <w:iCs/>
          <w:lang w:val="en-US"/>
        </w:rPr>
        <w:t>Journal of International Markets, Institutions and Money</w:t>
      </w:r>
      <w:r w:rsidRPr="00013AB8">
        <w:rPr>
          <w:rFonts w:asciiTheme="majorBidi" w:hAnsiTheme="majorBidi" w:cstheme="majorBidi"/>
          <w:lang w:val="en-US"/>
        </w:rPr>
        <w:t xml:space="preserve"> 22, 738-757.</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Chkili, W., Aloui, C., Masood, O., Fry, J., 2011. Stock market volatility and exchange rates in emerging countries: A Markov-state switching approach. </w:t>
      </w:r>
      <w:r w:rsidRPr="0020570C">
        <w:rPr>
          <w:rFonts w:asciiTheme="majorBidi" w:hAnsiTheme="majorBidi" w:cstheme="majorBidi"/>
          <w:i/>
          <w:iCs/>
          <w:lang w:val="en-US"/>
        </w:rPr>
        <w:t>Emerging Markets Review</w:t>
      </w:r>
      <w:r w:rsidRPr="008510F8">
        <w:rPr>
          <w:rFonts w:asciiTheme="majorBidi" w:hAnsiTheme="majorBidi" w:cstheme="majorBidi"/>
          <w:lang w:val="en-US"/>
        </w:rPr>
        <w:t xml:space="preserve"> 12, 272-292.</w:t>
      </w:r>
    </w:p>
    <w:p w:rsidR="005D0E56" w:rsidRPr="00013AB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Christensen, B.J., and Nielsen, M.Ø. (2007).</w:t>
      </w:r>
      <w:r w:rsidRPr="00013AB8">
        <w:rPr>
          <w:rFonts w:asciiTheme="majorBidi" w:hAnsiTheme="majorBidi" w:cstheme="majorBidi"/>
          <w:lang w:val="en-US"/>
        </w:rPr>
        <w:t>The effect of long memory in volatility on stock market fluctuations.</w:t>
      </w:r>
      <w:r w:rsidRPr="008510F8">
        <w:rPr>
          <w:rFonts w:asciiTheme="majorBidi" w:hAnsiTheme="majorBidi" w:cstheme="majorBidi"/>
          <w:i/>
          <w:iCs/>
          <w:lang w:val="en-US"/>
        </w:rPr>
        <w:t>Review of Economics and Statistics</w:t>
      </w:r>
      <w:r w:rsidRPr="00013AB8">
        <w:rPr>
          <w:rFonts w:asciiTheme="majorBidi" w:hAnsiTheme="majorBidi" w:cstheme="majorBidi"/>
          <w:lang w:val="en-US"/>
        </w:rPr>
        <w:t xml:space="preserve"> 89, 684-700.</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Christensen, B.J., Nielsen, M.Ø., and Zhu, J. (2010). Long memory in stock market volatility and the volatility-in-mean effect: the FIEGARCH-M model. </w:t>
      </w:r>
      <w:r w:rsidRPr="008510F8">
        <w:rPr>
          <w:rFonts w:asciiTheme="majorBidi" w:hAnsiTheme="majorBidi" w:cstheme="majorBidi"/>
          <w:i/>
          <w:iCs/>
          <w:lang w:val="en-US"/>
        </w:rPr>
        <w:t>Journal of Empirical Finance</w:t>
      </w:r>
      <w:r w:rsidRPr="008510F8">
        <w:rPr>
          <w:rFonts w:asciiTheme="majorBidi" w:hAnsiTheme="majorBidi" w:cstheme="majorBidi"/>
          <w:lang w:val="en-US"/>
        </w:rPr>
        <w:t xml:space="preserve"> 17, 460-470.</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Conrad, C. (2010). Non-negativity conditions for the hyperbolic GARCH model. </w:t>
      </w:r>
      <w:r w:rsidRPr="008510F8">
        <w:rPr>
          <w:rFonts w:asciiTheme="majorBidi" w:hAnsiTheme="majorBidi" w:cstheme="majorBidi"/>
          <w:i/>
          <w:iCs/>
          <w:lang w:val="en-US"/>
        </w:rPr>
        <w:t>Journal of Econometrics</w:t>
      </w:r>
      <w:r w:rsidRPr="008510F8">
        <w:rPr>
          <w:rFonts w:asciiTheme="majorBidi" w:hAnsiTheme="majorBidi" w:cstheme="majorBidi"/>
          <w:lang w:val="en-US"/>
        </w:rPr>
        <w:t xml:space="preserve"> 157, 441-457.</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lastRenderedPageBreak/>
        <w:t>Conrad, C., and Haag, B. (2006).Inequality constraints in the fractionally integrated GARCH model.</w:t>
      </w:r>
      <w:r w:rsidRPr="008510F8">
        <w:rPr>
          <w:rFonts w:asciiTheme="majorBidi" w:hAnsiTheme="majorBidi" w:cstheme="majorBidi"/>
          <w:i/>
          <w:lang w:val="en-US"/>
        </w:rPr>
        <w:t>Journal of Financial Econometrics</w:t>
      </w:r>
      <w:r w:rsidRPr="008510F8">
        <w:rPr>
          <w:rFonts w:asciiTheme="majorBidi" w:hAnsiTheme="majorBidi" w:cstheme="majorBidi"/>
          <w:lang w:val="en-US"/>
        </w:rPr>
        <w:t xml:space="preserve"> 3, 413-449.</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Conrad, C., Karanasos, M., and Zeng, N. (2011). Multivariate fractionally integrated APARCH modeling of stock market volatility: A multi-country study. </w:t>
      </w:r>
      <w:r w:rsidRPr="008510F8">
        <w:rPr>
          <w:rFonts w:asciiTheme="majorBidi" w:hAnsiTheme="majorBidi" w:cstheme="majorBidi"/>
          <w:i/>
          <w:lang w:val="en-US"/>
        </w:rPr>
        <w:t>Journal of Empirical Finance</w:t>
      </w:r>
      <w:r w:rsidRPr="008510F8">
        <w:rPr>
          <w:rFonts w:asciiTheme="majorBidi" w:hAnsiTheme="majorBidi" w:cstheme="majorBidi"/>
          <w:lang w:val="en-US"/>
        </w:rPr>
        <w:t xml:space="preserve"> 18, 147-159.</w:t>
      </w:r>
    </w:p>
    <w:p w:rsidR="005D0E56" w:rsidRPr="008510F8" w:rsidRDefault="005D0E56" w:rsidP="0020570C">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Dimitriou, D., and Kenourgios, D. (2013).Financial crises and dynamic linkages among international currencies.</w:t>
      </w:r>
      <w:r w:rsidRPr="0020570C">
        <w:rPr>
          <w:rFonts w:asciiTheme="majorBidi" w:hAnsiTheme="majorBidi" w:cstheme="majorBidi"/>
          <w:i/>
          <w:iCs/>
          <w:lang w:val="en-US"/>
        </w:rPr>
        <w:t>Journal of International Financial Markets, Institutions and Money</w:t>
      </w:r>
      <w:r w:rsidRPr="008510F8">
        <w:rPr>
          <w:rFonts w:asciiTheme="majorBidi" w:hAnsiTheme="majorBidi" w:cstheme="majorBidi"/>
          <w:lang w:val="en-US"/>
        </w:rPr>
        <w:t xml:space="preserve"> 26, 319-332.</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 xml:space="preserve">Dimitriou, D., Kenourgios, D., and Simos, T. (2013). Global financial crisis and emerging stock market contagion: a multivariate FIAPARCH-DCC approach. </w:t>
      </w:r>
      <w:r w:rsidRPr="0020570C">
        <w:rPr>
          <w:rFonts w:asciiTheme="majorBidi" w:hAnsiTheme="majorBidi" w:cstheme="majorBidi"/>
          <w:i/>
          <w:iCs/>
          <w:lang w:val="en-US"/>
        </w:rPr>
        <w:t xml:space="preserve">International Review of Financial Analysis </w:t>
      </w:r>
      <w:r w:rsidRPr="008510F8">
        <w:rPr>
          <w:rFonts w:asciiTheme="majorBidi" w:hAnsiTheme="majorBidi" w:cstheme="majorBidi"/>
          <w:lang w:val="en-US"/>
        </w:rPr>
        <w:t>30, 46–56.</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Ding, Z., and Granger, C.W.J. (1996). Modeling volatility persistence of speculative returns: a new approach.</w:t>
      </w:r>
      <w:r w:rsidRPr="008510F8">
        <w:rPr>
          <w:rFonts w:asciiTheme="majorBidi" w:hAnsiTheme="majorBidi" w:cstheme="majorBidi"/>
          <w:i/>
          <w:iCs/>
          <w:lang w:val="en-US"/>
        </w:rPr>
        <w:t>Journal of Econometrics</w:t>
      </w:r>
      <w:r w:rsidRPr="008510F8">
        <w:rPr>
          <w:rFonts w:asciiTheme="majorBidi" w:hAnsiTheme="majorBidi" w:cstheme="majorBidi"/>
          <w:lang w:val="en-US"/>
        </w:rPr>
        <w:t xml:space="preserve"> 73, 185-215.</w:t>
      </w:r>
    </w:p>
    <w:p w:rsidR="005D0E56" w:rsidRPr="008510F8" w:rsidRDefault="005D0E56" w:rsidP="005D0E56">
      <w:pPr>
        <w:spacing w:after="0" w:line="240" w:lineRule="auto"/>
        <w:ind w:left="709" w:hanging="709"/>
        <w:jc w:val="both"/>
        <w:rPr>
          <w:rFonts w:asciiTheme="majorBidi" w:hAnsiTheme="majorBidi" w:cstheme="majorBidi"/>
          <w:lang w:val="en-US"/>
        </w:rPr>
      </w:pPr>
      <w:r w:rsidRPr="008510F8">
        <w:rPr>
          <w:rFonts w:asciiTheme="majorBidi" w:hAnsiTheme="majorBidi" w:cstheme="majorBidi"/>
          <w:lang w:val="en-US"/>
        </w:rPr>
        <w:t>Ding, Z., Granger, C.W.J., and Engle, R.F. (1993). A long memory property of stock market returns and a new model.</w:t>
      </w:r>
      <w:r w:rsidRPr="008510F8">
        <w:rPr>
          <w:rFonts w:asciiTheme="majorBidi" w:hAnsiTheme="majorBidi" w:cstheme="majorBidi"/>
          <w:i/>
          <w:iCs/>
          <w:lang w:val="en-US"/>
        </w:rPr>
        <w:t>Journal of Empirical Finance</w:t>
      </w:r>
      <w:r w:rsidRPr="008510F8">
        <w:rPr>
          <w:rFonts w:asciiTheme="majorBidi" w:hAnsiTheme="majorBidi" w:cstheme="majorBidi"/>
          <w:lang w:val="en-US"/>
        </w:rPr>
        <w:t xml:space="preserve"> 1, 83-106.</w:t>
      </w:r>
    </w:p>
    <w:p w:rsidR="005D0E56" w:rsidRPr="008510F8" w:rsidRDefault="005D0E56" w:rsidP="0020570C">
      <w:pPr>
        <w:spacing w:after="0" w:line="240" w:lineRule="auto"/>
        <w:ind w:left="709" w:hanging="709"/>
        <w:jc w:val="both"/>
        <w:rPr>
          <w:rFonts w:asciiTheme="majorBidi" w:hAnsiTheme="majorBidi" w:cstheme="majorBidi"/>
          <w:lang w:val="en-US"/>
        </w:rPr>
      </w:pPr>
      <w:r w:rsidRPr="0062679E">
        <w:rPr>
          <w:rFonts w:asciiTheme="majorBidi" w:hAnsiTheme="majorBidi" w:cstheme="majorBidi"/>
        </w:rPr>
        <w:t xml:space="preserve">Dornbusch, R. et Fisher, S. (1980). </w:t>
      </w:r>
      <w:r w:rsidRPr="008510F8">
        <w:rPr>
          <w:rFonts w:asciiTheme="majorBidi" w:hAnsiTheme="majorBidi" w:cstheme="majorBidi"/>
          <w:lang w:val="en-US"/>
        </w:rPr>
        <w:t>Exchange rate and the current account.</w:t>
      </w:r>
      <w:r w:rsidRPr="0020570C">
        <w:rPr>
          <w:rFonts w:asciiTheme="majorBidi" w:hAnsiTheme="majorBidi" w:cstheme="majorBidi"/>
          <w:i/>
          <w:iCs/>
          <w:lang w:val="en-US"/>
        </w:rPr>
        <w:t>American Economic Review</w:t>
      </w:r>
      <w:r w:rsidRPr="008510F8">
        <w:rPr>
          <w:rFonts w:asciiTheme="majorBidi" w:hAnsiTheme="majorBidi" w:cstheme="majorBidi"/>
          <w:lang w:val="en-US"/>
        </w:rPr>
        <w:t>, 70, 960-971.</w:t>
      </w:r>
    </w:p>
    <w:p w:rsidR="005D0E56" w:rsidRPr="00013AB8"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Engle, R.F. (2002).</w:t>
      </w:r>
      <w:r w:rsidRPr="00013AB8">
        <w:rPr>
          <w:rFonts w:asciiTheme="majorBidi" w:hAnsiTheme="majorBidi" w:cstheme="majorBidi"/>
          <w:lang w:val="en-US"/>
        </w:rPr>
        <w:t xml:space="preserve"> Dynamic conditional correlation: a simple class of multivariate generalized autoregressive conditional heteroskedasticity models. </w:t>
      </w:r>
      <w:r w:rsidRPr="0020570C">
        <w:rPr>
          <w:rFonts w:asciiTheme="majorBidi" w:hAnsiTheme="majorBidi" w:cstheme="majorBidi"/>
          <w:i/>
          <w:iCs/>
          <w:lang w:val="en-US"/>
        </w:rPr>
        <w:t>Journal of Business and Economic Statistics</w:t>
      </w:r>
      <w:r w:rsidRPr="00013AB8">
        <w:rPr>
          <w:rFonts w:asciiTheme="majorBidi" w:hAnsiTheme="majorBidi" w:cstheme="majorBidi"/>
          <w:lang w:val="en-US"/>
        </w:rPr>
        <w:t xml:space="preserve"> 20 (3), 339-350.</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Engle, R.F., and Ng, V.K. (1993). Measuring and testing the impact of news on volatility. </w:t>
      </w:r>
      <w:r w:rsidRPr="0020570C">
        <w:rPr>
          <w:rFonts w:asciiTheme="majorBidi" w:hAnsiTheme="majorBidi" w:cstheme="majorBidi"/>
          <w:i/>
          <w:iCs/>
          <w:lang w:val="en-US"/>
        </w:rPr>
        <w:t>Journal of Finance</w:t>
      </w:r>
      <w:r w:rsidRPr="00027A9D">
        <w:rPr>
          <w:rFonts w:asciiTheme="majorBidi" w:hAnsiTheme="majorBidi" w:cstheme="majorBidi"/>
          <w:lang w:val="en-US"/>
        </w:rPr>
        <w:t xml:space="preserve"> 48 (5), 1749-1778.</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Frankel, J.A. (1983). Monetary and portfolio balance models of exchange rate determination. In: Bhandari, J.S., Putnam, B.H. (Eds.), Economic Interdependence and Flexible Exchange Rates. </w:t>
      </w:r>
      <w:r w:rsidRPr="0020570C">
        <w:rPr>
          <w:rFonts w:asciiTheme="majorBidi" w:hAnsiTheme="majorBidi" w:cstheme="majorBidi"/>
          <w:lang w:val="en-US"/>
        </w:rPr>
        <w:t>MIT Press, Cambridge, MA</w:t>
      </w:r>
      <w:r w:rsidRPr="00027A9D">
        <w:rPr>
          <w:rFonts w:asciiTheme="majorBidi" w:hAnsiTheme="majorBidi" w:cstheme="majorBidi"/>
          <w:lang w:val="en-US"/>
        </w:rPr>
        <w:t>.</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Geweke, J., and Porter-Hudak, S. (1983). The estimation and application of long-memory time series models. </w:t>
      </w:r>
      <w:r w:rsidRPr="00027A9D">
        <w:rPr>
          <w:rFonts w:asciiTheme="majorBidi" w:hAnsiTheme="majorBidi" w:cstheme="majorBidi"/>
          <w:i/>
          <w:iCs/>
          <w:lang w:val="en-US"/>
        </w:rPr>
        <w:t>Journal of Time Series Analysis</w:t>
      </w:r>
      <w:r w:rsidRPr="00027A9D">
        <w:rPr>
          <w:rFonts w:asciiTheme="majorBidi" w:hAnsiTheme="majorBidi" w:cstheme="majorBidi"/>
          <w:lang w:val="en-US"/>
        </w:rPr>
        <w:t xml:space="preserve"> 4, 221–238.</w:t>
      </w:r>
    </w:p>
    <w:p w:rsidR="005D0E56" w:rsidRPr="00013AB8" w:rsidRDefault="005D0E56" w:rsidP="005D0E56">
      <w:pPr>
        <w:spacing w:after="0" w:line="240" w:lineRule="auto"/>
        <w:ind w:left="709" w:hanging="709"/>
        <w:jc w:val="both"/>
        <w:rPr>
          <w:rFonts w:asciiTheme="majorBidi" w:hAnsiTheme="majorBidi" w:cstheme="majorBidi"/>
          <w:lang w:val="en-US"/>
        </w:rPr>
      </w:pPr>
      <w:r w:rsidRPr="00013AB8">
        <w:rPr>
          <w:rFonts w:asciiTheme="majorBidi" w:hAnsiTheme="majorBidi" w:cstheme="majorBidi"/>
          <w:lang w:val="en-US"/>
        </w:rPr>
        <w:t>Glosten, R. T., Jagannathan, R., and Runkle, D. (1993).On the relation between the expected value and the volatility of the nominal excess return on stocks.</w:t>
      </w:r>
      <w:r w:rsidRPr="00013AB8">
        <w:rPr>
          <w:rFonts w:asciiTheme="majorBidi" w:hAnsiTheme="majorBidi" w:cstheme="majorBidi"/>
          <w:i/>
          <w:iCs/>
          <w:lang w:val="en-US"/>
        </w:rPr>
        <w:t>Journal of Finance</w:t>
      </w:r>
      <w:r>
        <w:rPr>
          <w:rFonts w:asciiTheme="majorBidi" w:hAnsiTheme="majorBidi" w:cstheme="majorBidi"/>
          <w:lang w:val="en-US"/>
        </w:rPr>
        <w:t xml:space="preserve"> 48, 1779-</w:t>
      </w:r>
      <w:r w:rsidRPr="00013AB8">
        <w:rPr>
          <w:rFonts w:asciiTheme="majorBidi" w:hAnsiTheme="majorBidi" w:cstheme="majorBidi"/>
          <w:lang w:val="en-US"/>
        </w:rPr>
        <w:t>1801.</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He, C., and Teräsvirta, T. (1999).Statistical properties of the asymmetric power ARCH model. In: Engle, R.F., White, H. (Eds.), Cointegration, Causality and Forecasting.</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Hosking, J.R.M. (1980). The multivariate portmanteau statistic.</w:t>
      </w:r>
      <w:r w:rsidRPr="0020570C">
        <w:rPr>
          <w:rFonts w:asciiTheme="majorBidi" w:hAnsiTheme="majorBidi" w:cstheme="majorBidi"/>
          <w:i/>
          <w:iCs/>
          <w:lang w:val="en-US"/>
        </w:rPr>
        <w:t>Journal of American Statistical Association</w:t>
      </w:r>
      <w:r w:rsidRPr="00027A9D">
        <w:rPr>
          <w:rFonts w:asciiTheme="majorBidi" w:hAnsiTheme="majorBidi" w:cstheme="majorBidi"/>
          <w:lang w:val="en-US"/>
        </w:rPr>
        <w:t>75, 602-608.</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Ibrahim, M., (2000), Cointegration and Granger Causality Tests of Stock Price and Exchange Rates Interaction in Malaysia.</w:t>
      </w:r>
      <w:r w:rsidRPr="0020570C">
        <w:rPr>
          <w:rFonts w:asciiTheme="majorBidi" w:hAnsiTheme="majorBidi" w:cstheme="majorBidi"/>
          <w:i/>
          <w:iCs/>
          <w:lang w:val="en-US"/>
        </w:rPr>
        <w:t>ASEAN Economics Bulletin</w:t>
      </w:r>
      <w:r w:rsidRPr="0020570C">
        <w:rPr>
          <w:rFonts w:asciiTheme="majorBidi" w:hAnsiTheme="majorBidi" w:cstheme="majorBidi"/>
          <w:lang w:val="en-US"/>
        </w:rPr>
        <w:t xml:space="preserve">. Vol 17, no.1.  </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Inagaki, K. (2007). Testing for volatility spillover between the British pound and the euro.</w:t>
      </w:r>
      <w:r w:rsidRPr="0020570C">
        <w:rPr>
          <w:rFonts w:asciiTheme="majorBidi" w:hAnsiTheme="majorBidi" w:cstheme="majorBidi"/>
          <w:i/>
          <w:iCs/>
          <w:lang w:val="en-US"/>
        </w:rPr>
        <w:t>Research in International Business and Finance</w:t>
      </w:r>
      <w:r w:rsidRPr="00027A9D">
        <w:rPr>
          <w:rFonts w:asciiTheme="majorBidi" w:hAnsiTheme="majorBidi" w:cstheme="majorBidi"/>
          <w:lang w:val="en-US"/>
        </w:rPr>
        <w:t xml:space="preserve"> 21, 161-174.</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Karanasos, M., and Schurer, S. (2008). Is the relationship between inflation and its uncertainty linear? </w:t>
      </w:r>
      <w:r w:rsidRPr="0020570C">
        <w:rPr>
          <w:rFonts w:asciiTheme="majorBidi" w:hAnsiTheme="majorBidi" w:cstheme="majorBidi"/>
          <w:i/>
          <w:iCs/>
          <w:lang w:val="en-US"/>
        </w:rPr>
        <w:t>German Economic Review</w:t>
      </w:r>
      <w:r w:rsidRPr="00027A9D">
        <w:rPr>
          <w:rFonts w:asciiTheme="majorBidi" w:hAnsiTheme="majorBidi" w:cstheme="majorBidi"/>
          <w:lang w:val="en-US"/>
        </w:rPr>
        <w:t xml:space="preserve"> 9, 265-286.</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 xml:space="preserve">Kenourgios, D., Samitas, A., and Paltalidis, N. (2011). Financial crises and stock market contagion in a multivariate time-varying asymmetric framework. </w:t>
      </w:r>
      <w:r w:rsidRPr="0020570C">
        <w:rPr>
          <w:rFonts w:asciiTheme="majorBidi" w:hAnsiTheme="majorBidi" w:cstheme="majorBidi"/>
          <w:i/>
          <w:iCs/>
          <w:lang w:val="en-US"/>
        </w:rPr>
        <w:t xml:space="preserve">International Financial Markets, Institutions and Money </w:t>
      </w:r>
      <w:r w:rsidRPr="0020570C">
        <w:rPr>
          <w:rFonts w:asciiTheme="majorBidi" w:hAnsiTheme="majorBidi" w:cstheme="majorBidi"/>
          <w:lang w:val="en-US"/>
        </w:rPr>
        <w:t>21, 92-106.</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Kitamura, Y. (2010). Testing for intraday interdependence and volatility spillover among the euro, the pound and Swiss franc markets.</w:t>
      </w:r>
      <w:r w:rsidRPr="0020570C">
        <w:rPr>
          <w:rFonts w:asciiTheme="majorBidi" w:hAnsiTheme="majorBidi" w:cstheme="majorBidi"/>
          <w:i/>
          <w:iCs/>
          <w:lang w:val="en-US"/>
        </w:rPr>
        <w:t>Research in International Business and Finance</w:t>
      </w:r>
      <w:r w:rsidRPr="00027A9D">
        <w:rPr>
          <w:rFonts w:asciiTheme="majorBidi" w:hAnsiTheme="majorBidi" w:cstheme="majorBidi"/>
          <w:lang w:val="en-US"/>
        </w:rPr>
        <w:t xml:space="preserve"> 24, 158-270.</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Kroner, K.F., and Ng, V.K. (1998).Modeling Asymmetric Comovements of Asset Returns.</w:t>
      </w:r>
      <w:r w:rsidRPr="00027A9D">
        <w:rPr>
          <w:rFonts w:asciiTheme="majorBidi" w:hAnsiTheme="majorBidi" w:cstheme="majorBidi"/>
          <w:i/>
          <w:iCs/>
          <w:lang w:val="en-US"/>
        </w:rPr>
        <w:t>The Review of Financial Studies</w:t>
      </w:r>
      <w:r w:rsidRPr="00027A9D">
        <w:rPr>
          <w:rFonts w:asciiTheme="majorBidi" w:hAnsiTheme="majorBidi" w:cstheme="majorBidi"/>
          <w:lang w:val="en-US"/>
        </w:rPr>
        <w:t xml:space="preserve"> 11(4), 817-844.</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Li, W.K., and McLeod, A.I. (1981).Distribution of the residual autocorrelations in multivariate ARMA time series models. </w:t>
      </w:r>
      <w:r w:rsidRPr="00027A9D">
        <w:rPr>
          <w:rFonts w:asciiTheme="majorBidi" w:hAnsiTheme="majorBidi" w:cstheme="majorBidi"/>
          <w:i/>
          <w:iCs/>
          <w:lang w:val="en-US"/>
        </w:rPr>
        <w:t>Journal of the Royal Statistical Society, series B (Methodological)</w:t>
      </w:r>
      <w:r w:rsidRPr="00027A9D">
        <w:rPr>
          <w:rFonts w:asciiTheme="majorBidi" w:hAnsiTheme="majorBidi" w:cstheme="majorBidi"/>
          <w:lang w:val="en-US"/>
        </w:rPr>
        <w:t xml:space="preserve"> 43(2), 231-239.</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 xml:space="preserve">Malliaropulos, D. (1998). International stocks return differentials and real exchange rate changes.  </w:t>
      </w:r>
      <w:r w:rsidRPr="0020570C">
        <w:rPr>
          <w:rFonts w:asciiTheme="majorBidi" w:hAnsiTheme="majorBidi" w:cstheme="majorBidi"/>
          <w:i/>
          <w:iCs/>
          <w:lang w:val="en-US"/>
        </w:rPr>
        <w:t>Journal of International Money and Finance</w:t>
      </w:r>
      <w:r w:rsidRPr="0020570C">
        <w:rPr>
          <w:rFonts w:asciiTheme="majorBidi" w:hAnsiTheme="majorBidi" w:cstheme="majorBidi"/>
          <w:lang w:val="en-US"/>
        </w:rPr>
        <w:t>, 17, 493</w:t>
      </w:r>
      <w:r w:rsidRPr="0020570C">
        <w:rPr>
          <w:rFonts w:asciiTheme="majorBidi" w:hAnsiTheme="majorBidi" w:cstheme="majorBidi" w:hint="eastAsia"/>
          <w:lang w:val="en-US"/>
        </w:rPr>
        <w:t>−</w:t>
      </w:r>
      <w:r w:rsidRPr="0020570C">
        <w:rPr>
          <w:rFonts w:asciiTheme="majorBidi" w:hAnsiTheme="majorBidi" w:cstheme="majorBidi"/>
          <w:lang w:val="en-US"/>
        </w:rPr>
        <w:t>511.</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McLeod, A.I., and Li, W.K. (1983). Diagnostic checking ARMA time series models using squared residual autocorrelations. </w:t>
      </w:r>
      <w:r w:rsidRPr="0020570C">
        <w:rPr>
          <w:rFonts w:asciiTheme="majorBidi" w:hAnsiTheme="majorBidi" w:cstheme="majorBidi"/>
          <w:i/>
          <w:iCs/>
          <w:lang w:val="en-US"/>
        </w:rPr>
        <w:t>Journal of Time Series Analysis</w:t>
      </w:r>
      <w:r w:rsidRPr="00027A9D">
        <w:rPr>
          <w:rFonts w:asciiTheme="majorBidi" w:hAnsiTheme="majorBidi" w:cstheme="majorBidi"/>
          <w:lang w:val="en-US"/>
        </w:rPr>
        <w:t xml:space="preserve"> 4, 269-273.</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Nelson, D.B. (1991). Conditional heteroskedasticity in asset returns: a new approach. </w:t>
      </w:r>
      <w:r w:rsidRPr="0020570C">
        <w:rPr>
          <w:rFonts w:asciiTheme="majorBidi" w:hAnsiTheme="majorBidi" w:cstheme="majorBidi"/>
          <w:lang w:val="en-US"/>
        </w:rPr>
        <w:t>Econometrica</w:t>
      </w:r>
      <w:r w:rsidRPr="00027A9D">
        <w:rPr>
          <w:rFonts w:asciiTheme="majorBidi" w:hAnsiTheme="majorBidi" w:cstheme="majorBidi"/>
          <w:lang w:val="en-US"/>
        </w:rPr>
        <w:t>59, 347-370.</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lastRenderedPageBreak/>
        <w:t xml:space="preserve">Pan, M.S., Fok, R.C.-W., Liu, Y.A., 2007. Dynamic linkages between exchange rates and stock prices: evidence from East Asian markets. </w:t>
      </w:r>
      <w:r w:rsidRPr="0020570C">
        <w:rPr>
          <w:rFonts w:asciiTheme="majorBidi" w:hAnsiTheme="majorBidi" w:cstheme="majorBidi"/>
          <w:i/>
          <w:iCs/>
          <w:lang w:val="en-US"/>
        </w:rPr>
        <w:t>International Review of Economics and Finance</w:t>
      </w:r>
      <w:r w:rsidRPr="00027A9D">
        <w:rPr>
          <w:rFonts w:asciiTheme="majorBidi" w:hAnsiTheme="majorBidi" w:cstheme="majorBidi"/>
          <w:lang w:val="en-US"/>
        </w:rPr>
        <w:t xml:space="preserve"> 16, 503–520.</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Patton, A.J. (2006). Modelling asymmetric exchange rate dependence.</w:t>
      </w:r>
      <w:r w:rsidRPr="0020570C">
        <w:rPr>
          <w:rFonts w:asciiTheme="majorBidi" w:hAnsiTheme="majorBidi" w:cstheme="majorBidi"/>
          <w:i/>
          <w:iCs/>
          <w:lang w:val="en-US"/>
        </w:rPr>
        <w:t xml:space="preserve">International Economic Review </w:t>
      </w:r>
      <w:r w:rsidRPr="00027A9D">
        <w:rPr>
          <w:rFonts w:asciiTheme="majorBidi" w:hAnsiTheme="majorBidi" w:cstheme="majorBidi"/>
          <w:lang w:val="en-US"/>
        </w:rPr>
        <w:t>47, 527-556.</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Perez-Rodriguez, J.V. (2006). The euro and other major currencies floating against the US dollar.</w:t>
      </w:r>
      <w:r w:rsidRPr="0020570C">
        <w:rPr>
          <w:rFonts w:asciiTheme="majorBidi" w:hAnsiTheme="majorBidi" w:cstheme="majorBidi"/>
          <w:i/>
          <w:iCs/>
          <w:lang w:val="en-US"/>
        </w:rPr>
        <w:t>Atlantic Economic Journal</w:t>
      </w:r>
      <w:r w:rsidRPr="0020570C">
        <w:rPr>
          <w:rFonts w:asciiTheme="majorBidi" w:hAnsiTheme="majorBidi" w:cstheme="majorBidi"/>
          <w:lang w:val="en-US"/>
        </w:rPr>
        <w:t xml:space="preserve"> 34,367-384.</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Rodriquez, J.C. (2007). Measuring financial contagion: a copula approach.</w:t>
      </w:r>
      <w:r w:rsidRPr="00E249FC">
        <w:rPr>
          <w:rFonts w:asciiTheme="majorBidi" w:hAnsiTheme="majorBidi" w:cstheme="majorBidi"/>
          <w:i/>
          <w:iCs/>
          <w:lang w:val="en-US"/>
        </w:rPr>
        <w:t>Journal of Empirical Finance</w:t>
      </w:r>
      <w:r w:rsidRPr="00027A9D">
        <w:rPr>
          <w:rFonts w:asciiTheme="majorBidi" w:hAnsiTheme="majorBidi" w:cstheme="majorBidi"/>
          <w:lang w:val="en-US"/>
        </w:rPr>
        <w:t xml:space="preserve"> 14, 401-423.</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Samitas, A., and Tsakalos, I. (2013). How can a small country affect the European economy? The Greek contagion phenomenon.</w:t>
      </w:r>
      <w:r w:rsidRPr="00E249FC">
        <w:rPr>
          <w:rFonts w:asciiTheme="majorBidi" w:hAnsiTheme="majorBidi" w:cstheme="majorBidi"/>
          <w:i/>
          <w:iCs/>
          <w:lang w:val="en-US"/>
        </w:rPr>
        <w:t>Journal of International Financial Markets, Institutions and Money</w:t>
      </w:r>
      <w:r w:rsidRPr="0020570C">
        <w:rPr>
          <w:rFonts w:asciiTheme="majorBidi" w:hAnsiTheme="majorBidi" w:cstheme="majorBidi"/>
          <w:lang w:val="en-US"/>
        </w:rPr>
        <w:t>, 25, 18-32.</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Schwert, W. (1990).Stock volatility and the crash of '87.</w:t>
      </w:r>
      <w:r w:rsidRPr="00E249FC">
        <w:rPr>
          <w:rFonts w:asciiTheme="majorBidi" w:hAnsiTheme="majorBidi" w:cstheme="majorBidi"/>
          <w:i/>
          <w:iCs/>
          <w:lang w:val="en-US"/>
        </w:rPr>
        <w:t>The Review of Financial Studies</w:t>
      </w:r>
      <w:r w:rsidRPr="00027A9D">
        <w:rPr>
          <w:rFonts w:asciiTheme="majorBidi" w:hAnsiTheme="majorBidi" w:cstheme="majorBidi"/>
          <w:lang w:val="en-US"/>
        </w:rPr>
        <w:t xml:space="preserve"> 3, 77-102.</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Silvennoinen, A., and Teräsvirta, T. (2007).Multivariate GARCH models.In Andersen, T. G., Davis, R. A., Kreiß, J. P. and T. Mikosch. (eds), </w:t>
      </w:r>
      <w:r w:rsidRPr="0020570C">
        <w:rPr>
          <w:rFonts w:asciiTheme="majorBidi" w:hAnsiTheme="majorBidi" w:cstheme="majorBidi"/>
          <w:lang w:val="en-US"/>
        </w:rPr>
        <w:t>Handbook of Financial Time Series, Springer, New York.</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 xml:space="preserve">Soenen, L. A., &amp;Hennigar, E. S. (1988). An analysis of exchange rates and stock prices: The US experience between 1980 and 1986. </w:t>
      </w:r>
      <w:r w:rsidRPr="00E249FC">
        <w:rPr>
          <w:rFonts w:asciiTheme="majorBidi" w:hAnsiTheme="majorBidi" w:cstheme="majorBidi"/>
          <w:i/>
          <w:iCs/>
          <w:lang w:val="en-US"/>
        </w:rPr>
        <w:t>Akron Business and Economic Review</w:t>
      </w:r>
      <w:r w:rsidRPr="0020570C">
        <w:rPr>
          <w:rFonts w:asciiTheme="majorBidi" w:hAnsiTheme="majorBidi" w:cstheme="majorBidi"/>
          <w:lang w:val="en-US"/>
        </w:rPr>
        <w:t>, Winter, 7-16.</w:t>
      </w:r>
    </w:p>
    <w:p w:rsidR="005D0E56" w:rsidRPr="0020570C" w:rsidRDefault="005D0E56" w:rsidP="0020570C">
      <w:pPr>
        <w:spacing w:after="0" w:line="240" w:lineRule="auto"/>
        <w:ind w:left="709" w:hanging="709"/>
        <w:jc w:val="both"/>
        <w:rPr>
          <w:rFonts w:asciiTheme="majorBidi" w:hAnsiTheme="majorBidi" w:cstheme="majorBidi"/>
          <w:lang w:val="en-US"/>
        </w:rPr>
      </w:pPr>
      <w:r w:rsidRPr="0020570C">
        <w:rPr>
          <w:rFonts w:asciiTheme="majorBidi" w:hAnsiTheme="majorBidi" w:cstheme="majorBidi"/>
          <w:lang w:val="en-US"/>
        </w:rPr>
        <w:t xml:space="preserve">Solnik, B. H. (1984). Stock and Money variables: The international evidence. </w:t>
      </w:r>
      <w:r w:rsidRPr="00E249FC">
        <w:rPr>
          <w:rFonts w:asciiTheme="majorBidi" w:hAnsiTheme="majorBidi" w:cstheme="majorBidi"/>
          <w:i/>
          <w:iCs/>
          <w:lang w:val="en-US"/>
        </w:rPr>
        <w:t>Financial Analyst Journal</w:t>
      </w:r>
      <w:r w:rsidRPr="0020570C">
        <w:rPr>
          <w:rFonts w:asciiTheme="majorBidi" w:hAnsiTheme="majorBidi" w:cstheme="majorBidi"/>
          <w:lang w:val="en-US"/>
        </w:rPr>
        <w:t>, 69-73.</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Tamakoshi, G., and Hamori, S. (2014). Co-movements among major European exchange rates: A multivariate time-varying asymmetric approach. </w:t>
      </w:r>
      <w:r w:rsidRPr="00E249FC">
        <w:rPr>
          <w:rFonts w:asciiTheme="majorBidi" w:hAnsiTheme="majorBidi" w:cstheme="majorBidi"/>
          <w:i/>
          <w:iCs/>
          <w:lang w:val="en-US"/>
        </w:rPr>
        <w:t>International Review of Economics and Finance</w:t>
      </w:r>
      <w:r w:rsidRPr="00027A9D">
        <w:rPr>
          <w:rFonts w:asciiTheme="majorBidi" w:hAnsiTheme="majorBidi" w:cstheme="majorBidi"/>
          <w:lang w:val="en-US"/>
        </w:rPr>
        <w:t xml:space="preserve"> 31, 105-113.</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Taylor, S. (1986). Modeling Financial Time Series.Wiley, New York.</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Toyoshima, Y., and Hamori, S. (2013). Asymmetric dynamics in stock market correlations: Evidence from Japan and Singapore. </w:t>
      </w:r>
      <w:r w:rsidRPr="00E249FC">
        <w:rPr>
          <w:rFonts w:asciiTheme="majorBidi" w:hAnsiTheme="majorBidi" w:cstheme="majorBidi"/>
          <w:i/>
          <w:iCs/>
          <w:lang w:val="en-US"/>
        </w:rPr>
        <w:t>Journal of Asian Economics</w:t>
      </w:r>
      <w:r w:rsidRPr="00027A9D">
        <w:rPr>
          <w:rFonts w:asciiTheme="majorBidi" w:hAnsiTheme="majorBidi" w:cstheme="majorBidi"/>
          <w:lang w:val="en-US"/>
        </w:rPr>
        <w:t xml:space="preserve"> 24, 117-123.</w:t>
      </w:r>
    </w:p>
    <w:p w:rsidR="005D0E56" w:rsidRPr="00027A9D" w:rsidRDefault="005D0E56" w:rsidP="0020570C">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Toyoshima, Y., Tamakoshi, G., and Hamori, S. (2012). Asymmetric dynamics in correlations of treasury and swap markets: Evidence from the US market. </w:t>
      </w:r>
      <w:r w:rsidRPr="00E249FC">
        <w:rPr>
          <w:rFonts w:asciiTheme="majorBidi" w:hAnsiTheme="majorBidi" w:cstheme="majorBidi"/>
          <w:i/>
          <w:iCs/>
          <w:lang w:val="en-US"/>
        </w:rPr>
        <w:t>Journal of International Financial Markets, Institutions and Money</w:t>
      </w:r>
      <w:r w:rsidRPr="00027A9D">
        <w:rPr>
          <w:rFonts w:asciiTheme="majorBidi" w:hAnsiTheme="majorBidi" w:cstheme="majorBidi"/>
          <w:lang w:val="en-US"/>
        </w:rPr>
        <w:t>, 22, 381-394.</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 xml:space="preserve">Tse, Y.K. (1998). The conditional heteroscedasticity of the Yen-Dollar exchange rate. </w:t>
      </w:r>
      <w:r w:rsidRPr="00027A9D">
        <w:rPr>
          <w:rFonts w:asciiTheme="majorBidi" w:hAnsiTheme="majorBidi" w:cstheme="majorBidi"/>
          <w:i/>
          <w:iCs/>
          <w:lang w:val="en-US"/>
        </w:rPr>
        <w:t>Journal of Applied Econometrics</w:t>
      </w:r>
      <w:r w:rsidRPr="00027A9D">
        <w:rPr>
          <w:rFonts w:asciiTheme="majorBidi" w:hAnsiTheme="majorBidi" w:cstheme="majorBidi"/>
          <w:lang w:val="en-US"/>
        </w:rPr>
        <w:t xml:space="preserve"> 193, 49-55.</w:t>
      </w:r>
    </w:p>
    <w:p w:rsidR="005D0E56" w:rsidRPr="00027A9D" w:rsidRDefault="005D0E56" w:rsidP="005D0E56">
      <w:pPr>
        <w:spacing w:after="0" w:line="240" w:lineRule="auto"/>
        <w:ind w:left="709" w:hanging="709"/>
        <w:jc w:val="both"/>
        <w:rPr>
          <w:rFonts w:asciiTheme="majorBidi" w:hAnsiTheme="majorBidi" w:cstheme="majorBidi"/>
          <w:lang w:val="en-US"/>
        </w:rPr>
      </w:pPr>
      <w:r w:rsidRPr="00027A9D">
        <w:rPr>
          <w:rFonts w:asciiTheme="majorBidi" w:hAnsiTheme="majorBidi" w:cstheme="majorBidi"/>
          <w:lang w:val="en-US"/>
        </w:rPr>
        <w:t>Tse, Y.K., and Tsui, A.K.C. (2002).A multivariate generalized autoregressive conditional heteroscedasticity model with time-varying correlations.</w:t>
      </w:r>
      <w:r w:rsidRPr="00027A9D">
        <w:rPr>
          <w:rFonts w:asciiTheme="majorBidi" w:hAnsiTheme="majorBidi" w:cstheme="majorBidi"/>
          <w:i/>
          <w:iCs/>
          <w:lang w:val="en-US"/>
        </w:rPr>
        <w:t>Journal of Business and Economic Statistics</w:t>
      </w:r>
      <w:r w:rsidRPr="00027A9D">
        <w:rPr>
          <w:rFonts w:asciiTheme="majorBidi" w:hAnsiTheme="majorBidi" w:cstheme="majorBidi"/>
          <w:lang w:val="en-US"/>
        </w:rPr>
        <w:t xml:space="preserve"> 20(3), 351-362.</w:t>
      </w:r>
    </w:p>
    <w:p w:rsidR="005D0E56" w:rsidRPr="00E249FC" w:rsidRDefault="005D0E56" w:rsidP="00E249FC">
      <w:pPr>
        <w:spacing w:after="0" w:line="240" w:lineRule="auto"/>
        <w:ind w:left="709" w:hanging="709"/>
        <w:jc w:val="both"/>
        <w:rPr>
          <w:rFonts w:asciiTheme="majorBidi" w:hAnsiTheme="majorBidi" w:cstheme="majorBidi"/>
          <w:lang w:val="en-US"/>
        </w:rPr>
      </w:pPr>
      <w:r w:rsidRPr="00E249FC">
        <w:rPr>
          <w:rFonts w:asciiTheme="majorBidi" w:hAnsiTheme="majorBidi" w:cstheme="majorBidi"/>
          <w:lang w:val="en-US"/>
        </w:rPr>
        <w:t xml:space="preserve">Wu, Y. (2001). Exchange rates, stock prices, and money markets: evidence from Singapore. </w:t>
      </w:r>
      <w:r w:rsidRPr="00E249FC">
        <w:rPr>
          <w:rFonts w:asciiTheme="majorBidi" w:hAnsiTheme="majorBidi" w:cstheme="majorBidi"/>
          <w:i/>
          <w:iCs/>
          <w:lang w:val="en-US"/>
        </w:rPr>
        <w:t>Journal of Asian Economics</w:t>
      </w:r>
      <w:r w:rsidRPr="00E249FC">
        <w:rPr>
          <w:rFonts w:asciiTheme="majorBidi" w:hAnsiTheme="majorBidi" w:cstheme="majorBidi"/>
          <w:lang w:val="en-US"/>
        </w:rPr>
        <w:t>, 12 (3), 445-458.</w:t>
      </w:r>
    </w:p>
    <w:p w:rsidR="005D0E56" w:rsidRPr="00E249FC" w:rsidRDefault="005D0E56" w:rsidP="00E249FC">
      <w:pPr>
        <w:spacing w:after="0" w:line="240" w:lineRule="auto"/>
        <w:ind w:left="709" w:hanging="709"/>
        <w:jc w:val="both"/>
        <w:rPr>
          <w:rFonts w:asciiTheme="majorBidi" w:hAnsiTheme="majorBidi" w:cstheme="majorBidi"/>
          <w:lang w:val="en-US"/>
        </w:rPr>
      </w:pPr>
      <w:r w:rsidRPr="00E249FC">
        <w:rPr>
          <w:rFonts w:asciiTheme="majorBidi" w:hAnsiTheme="majorBidi" w:cstheme="majorBidi"/>
          <w:lang w:val="en-US"/>
        </w:rPr>
        <w:t xml:space="preserve">Yang, S.Y., Doong, S.C., 2004. Price and volatility spillovers between stock prices and exchange rates: empirical evidence from the G-7 countries. </w:t>
      </w:r>
      <w:r w:rsidRPr="00E249FC">
        <w:rPr>
          <w:rFonts w:asciiTheme="majorBidi" w:hAnsiTheme="majorBidi" w:cstheme="majorBidi"/>
          <w:i/>
          <w:iCs/>
          <w:lang w:val="en-US"/>
        </w:rPr>
        <w:t>International Journal of Business and Economics</w:t>
      </w:r>
      <w:r w:rsidRPr="00E249FC">
        <w:rPr>
          <w:rFonts w:asciiTheme="majorBidi" w:hAnsiTheme="majorBidi" w:cstheme="majorBidi"/>
          <w:lang w:val="en-US"/>
        </w:rPr>
        <w:t xml:space="preserve"> 3, 139-153. </w:t>
      </w:r>
    </w:p>
    <w:p w:rsidR="003043B9" w:rsidRDefault="003043B9" w:rsidP="009F0548">
      <w:pPr>
        <w:spacing w:after="0" w:line="240" w:lineRule="auto"/>
        <w:rPr>
          <w:rFonts w:asciiTheme="majorBidi" w:hAnsiTheme="majorBidi" w:cstheme="majorBidi"/>
          <w:sz w:val="24"/>
          <w:szCs w:val="24"/>
          <w:lang w:val="en-US"/>
        </w:rPr>
      </w:pPr>
    </w:p>
    <w:p w:rsidR="003043B9" w:rsidRDefault="003043B9" w:rsidP="00867C9D">
      <w:pPr>
        <w:spacing w:after="0" w:line="240" w:lineRule="auto"/>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3043B9" w:rsidRDefault="003043B9" w:rsidP="00F52A22">
      <w:pPr>
        <w:spacing w:after="0" w:line="240" w:lineRule="auto"/>
        <w:jc w:val="center"/>
        <w:rPr>
          <w:rFonts w:asciiTheme="majorBidi" w:hAnsiTheme="majorBidi" w:cstheme="majorBidi"/>
          <w:sz w:val="24"/>
          <w:szCs w:val="24"/>
          <w:lang w:val="en-US"/>
        </w:rPr>
      </w:pPr>
    </w:p>
    <w:p w:rsidR="002D2222" w:rsidRDefault="002D2222" w:rsidP="00057FD0">
      <w:pPr>
        <w:spacing w:after="0" w:line="240" w:lineRule="auto"/>
        <w:rPr>
          <w:rFonts w:asciiTheme="majorBidi" w:hAnsiTheme="majorBidi" w:cstheme="majorBidi"/>
          <w:sz w:val="24"/>
          <w:szCs w:val="24"/>
          <w:lang w:val="en-US"/>
        </w:rPr>
      </w:pPr>
    </w:p>
    <w:sectPr w:rsidR="002D2222" w:rsidSect="00936B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12" w:rsidRDefault="00145E12" w:rsidP="00A13D9C">
      <w:pPr>
        <w:spacing w:after="0" w:line="240" w:lineRule="auto"/>
      </w:pPr>
      <w:r>
        <w:separator/>
      </w:r>
    </w:p>
  </w:endnote>
  <w:endnote w:type="continuationSeparator" w:id="1">
    <w:p w:rsidR="00145E12" w:rsidRDefault="00145E12" w:rsidP="00A13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98351"/>
      <w:docPartObj>
        <w:docPartGallery w:val="Page Numbers (Bottom of Page)"/>
        <w:docPartUnique/>
      </w:docPartObj>
    </w:sdtPr>
    <w:sdtContent>
      <w:p w:rsidR="00341063" w:rsidRDefault="00011760">
        <w:pPr>
          <w:pStyle w:val="Pieddepage"/>
          <w:jc w:val="center"/>
        </w:pPr>
        <w:r>
          <w:fldChar w:fldCharType="begin"/>
        </w:r>
        <w:r w:rsidR="00341063">
          <w:instrText xml:space="preserve"> PAGE   \* MERGEFORMAT </w:instrText>
        </w:r>
        <w:r>
          <w:fldChar w:fldCharType="separate"/>
        </w:r>
        <w:r w:rsidR="0062679E">
          <w:rPr>
            <w:noProof/>
          </w:rPr>
          <w:t>24</w:t>
        </w:r>
        <w:r>
          <w:rPr>
            <w:noProof/>
          </w:rPr>
          <w:fldChar w:fldCharType="end"/>
        </w:r>
      </w:p>
    </w:sdtContent>
  </w:sdt>
  <w:p w:rsidR="00341063" w:rsidRDefault="003410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12" w:rsidRDefault="00145E12" w:rsidP="00A13D9C">
      <w:pPr>
        <w:spacing w:after="0" w:line="240" w:lineRule="auto"/>
      </w:pPr>
      <w:r>
        <w:separator/>
      </w:r>
    </w:p>
  </w:footnote>
  <w:footnote w:type="continuationSeparator" w:id="1">
    <w:p w:rsidR="00145E12" w:rsidRDefault="00145E12" w:rsidP="00A13D9C">
      <w:pPr>
        <w:spacing w:after="0" w:line="240" w:lineRule="auto"/>
      </w:pPr>
      <w:r>
        <w:continuationSeparator/>
      </w:r>
    </w:p>
  </w:footnote>
  <w:footnote w:id="2">
    <w:p w:rsidR="00341063" w:rsidRPr="00256895" w:rsidRDefault="00341063" w:rsidP="00A13D9C">
      <w:pPr>
        <w:pStyle w:val="Notedebasdepage"/>
        <w:jc w:val="both"/>
        <w:rPr>
          <w:rFonts w:asciiTheme="majorBidi" w:hAnsiTheme="majorBidi" w:cstheme="majorBidi"/>
          <w:sz w:val="16"/>
          <w:szCs w:val="16"/>
          <w:lang w:val="en-US"/>
        </w:rPr>
      </w:pPr>
      <w:r w:rsidRPr="00256895">
        <w:rPr>
          <w:rStyle w:val="Appelnotedebasdep"/>
          <w:rFonts w:asciiTheme="majorBidi" w:hAnsiTheme="majorBidi" w:cstheme="majorBidi"/>
          <w:sz w:val="16"/>
          <w:szCs w:val="16"/>
        </w:rPr>
        <w:footnoteRef/>
      </w:r>
      <w:r w:rsidRPr="009662A3">
        <w:rPr>
          <w:rFonts w:asciiTheme="majorBidi" w:hAnsiTheme="majorBidi" w:cstheme="majorBidi"/>
          <w:color w:val="0070C0"/>
          <w:sz w:val="16"/>
          <w:szCs w:val="16"/>
          <w:lang w:val="en-US"/>
        </w:rPr>
        <w:t>Engle (2002)</w:t>
      </w:r>
      <w:r w:rsidRPr="00256895">
        <w:rPr>
          <w:rFonts w:asciiTheme="majorBidi" w:hAnsiTheme="majorBidi" w:cstheme="majorBidi"/>
          <w:sz w:val="16"/>
          <w:szCs w:val="16"/>
          <w:lang w:val="en-US"/>
        </w:rPr>
        <w:t xml:space="preserve"> derives a different form of DCC model. The evolution of the correlation in DCC is given by: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r>
          <w:rPr>
            <w:rFonts w:ascii="Cambria Math" w:hAnsi="Cambria Math" w:cstheme="majorBidi"/>
            <w:sz w:val="16"/>
            <w:szCs w:val="16"/>
            <w:lang w:val="en-US"/>
          </w:rPr>
          <m:t>=</m:t>
        </m:r>
        <m:d>
          <m:dPr>
            <m:ctrlPr>
              <w:rPr>
                <w:rFonts w:ascii="Cambria Math" w:hAnsi="Cambria Math" w:cstheme="majorBidi"/>
                <w:i/>
                <w:sz w:val="16"/>
                <w:szCs w:val="16"/>
                <w:lang w:val="en-US"/>
              </w:rPr>
            </m:ctrlPr>
          </m:dPr>
          <m:e>
            <m:r>
              <w:rPr>
                <w:rFonts w:ascii="Cambria Math" w:hAnsi="Cambria Math" w:cstheme="majorBidi"/>
                <w:sz w:val="16"/>
                <w:szCs w:val="16"/>
                <w:lang w:val="en-US"/>
              </w:rPr>
              <m:t>1-α-β</m:t>
            </m:r>
          </m:e>
        </m:d>
        <m:acc>
          <m:accPr>
            <m:chr m:val="̅"/>
            <m:ctrlPr>
              <w:rPr>
                <w:rFonts w:ascii="Cambria Math" w:hAnsi="Cambria Math" w:cstheme="majorBidi"/>
                <w:i/>
                <w:sz w:val="16"/>
                <w:szCs w:val="16"/>
                <w:lang w:val="en-US"/>
              </w:rPr>
            </m:ctrlPr>
          </m:accPr>
          <m:e>
            <m:r>
              <w:rPr>
                <w:rFonts w:ascii="Cambria Math" w:hAnsi="Cambria Math" w:cstheme="majorBidi"/>
                <w:sz w:val="16"/>
                <w:szCs w:val="16"/>
                <w:lang w:val="en-US"/>
              </w:rPr>
              <m:t>Q</m:t>
            </m:r>
          </m:e>
        </m:acc>
        <m:r>
          <w:rPr>
            <w:rFonts w:ascii="Cambria Math" w:hAnsi="Cambria Math" w:cstheme="majorBidi"/>
            <w:sz w:val="16"/>
            <w:szCs w:val="16"/>
            <w:lang w:val="en-US"/>
          </w:rPr>
          <m:t>+α</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t-1</m:t>
            </m:r>
          </m:sub>
        </m:sSub>
        <m:r>
          <w:rPr>
            <w:rFonts w:ascii="Cambria Math" w:hAnsi="Cambria Math" w:cstheme="majorBidi"/>
            <w:sz w:val="16"/>
            <w:szCs w:val="16"/>
            <w:lang w:val="en-US"/>
          </w:rPr>
          <m:t>+β</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t-1</m:t>
            </m:r>
          </m:sub>
        </m:sSub>
      </m:oMath>
      <w:r w:rsidRPr="00256895">
        <w:rPr>
          <w:rFonts w:asciiTheme="majorBidi" w:hAnsiTheme="majorBidi" w:cstheme="majorBidi"/>
          <w:sz w:val="16"/>
          <w:szCs w:val="16"/>
          <w:lang w:val="en-US"/>
        </w:rPr>
        <w:t xml:space="preserve">, where </w:t>
      </w:r>
      <m:oMath>
        <m:r>
          <w:rPr>
            <w:rFonts w:ascii="Cambria Math" w:hAnsi="Cambria Math" w:cstheme="majorBidi"/>
            <w:sz w:val="16"/>
            <w:szCs w:val="16"/>
            <w:lang w:val="en-US"/>
          </w:rPr>
          <m:t>Q=(</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ijt</m:t>
            </m:r>
          </m:sub>
        </m:sSub>
        <m:r>
          <w:rPr>
            <w:rFonts w:ascii="Cambria Math" w:hAnsi="Cambria Math" w:cstheme="majorBidi"/>
            <w:sz w:val="16"/>
            <w:szCs w:val="16"/>
            <w:lang w:val="en-US"/>
          </w:rPr>
          <m:t>)</m:t>
        </m:r>
      </m:oMath>
      <w:r w:rsidRPr="00256895">
        <w:rPr>
          <w:rFonts w:asciiTheme="majorBidi" w:hAnsiTheme="majorBidi" w:cstheme="majorBidi"/>
          <w:sz w:val="16"/>
          <w:szCs w:val="16"/>
          <w:lang w:val="en-US"/>
        </w:rPr>
        <w:t xml:space="preserve"> is the </w:t>
      </w:r>
      <m:oMath>
        <m:r>
          <w:rPr>
            <w:rFonts w:ascii="Cambria Math" w:hAnsi="Cambria Math" w:cstheme="majorBidi"/>
            <w:sz w:val="16"/>
            <w:szCs w:val="16"/>
            <w:lang w:val="en-US"/>
          </w:rPr>
          <m:t>N×N</m:t>
        </m:r>
      </m:oMath>
      <w:r w:rsidRPr="00256895">
        <w:rPr>
          <w:rFonts w:asciiTheme="majorBidi" w:hAnsiTheme="majorBidi" w:cstheme="majorBidi"/>
          <w:sz w:val="16"/>
          <w:szCs w:val="16"/>
          <w:lang w:val="en-US"/>
        </w:rPr>
        <w:t xml:space="preserve"> time-varying covariance matrix of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m:t>
            </m:r>
          </m:sub>
        </m:sSub>
      </m:oMath>
      <w:r w:rsidRPr="00256895">
        <w:rPr>
          <w:rFonts w:asciiTheme="majorBidi" w:hAnsiTheme="majorBidi" w:cstheme="majorBidi"/>
          <w:sz w:val="16"/>
          <w:szCs w:val="16"/>
          <w:lang w:val="en-US"/>
        </w:rPr>
        <w:t xml:space="preserve">, </w:t>
      </w:r>
      <m:oMath>
        <m:acc>
          <m:accPr>
            <m:chr m:val="̅"/>
            <m:ctrlPr>
              <w:rPr>
                <w:rFonts w:ascii="Cambria Math" w:hAnsi="Cambria Math" w:cstheme="majorBidi"/>
                <w:i/>
                <w:sz w:val="16"/>
                <w:szCs w:val="16"/>
                <w:lang w:val="en-US"/>
              </w:rPr>
            </m:ctrlPr>
          </m:accPr>
          <m:e>
            <m:r>
              <w:rPr>
                <w:rFonts w:ascii="Cambria Math" w:hAnsi="Cambria Math" w:cstheme="majorBidi"/>
                <w:sz w:val="16"/>
                <w:szCs w:val="16"/>
                <w:lang w:val="en-US"/>
              </w:rPr>
              <m:t>Q</m:t>
            </m:r>
          </m:e>
        </m:acc>
        <m:r>
          <w:rPr>
            <w:rFonts w:ascii="Cambria Math" w:hAnsi="Cambria Math" w:cstheme="majorBidi"/>
            <w:sz w:val="16"/>
            <w:szCs w:val="16"/>
            <w:lang w:val="en-US"/>
          </w:rPr>
          <m:t>=E[</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m:t>
            </m:r>
          </m:sub>
        </m:sSub>
        <m:sSubSup>
          <m:sSubSupPr>
            <m:ctrlPr>
              <w:rPr>
                <w:rFonts w:ascii="Cambria Math" w:hAnsi="Cambria Math" w:cstheme="majorBidi"/>
                <w:i/>
                <w:sz w:val="16"/>
                <w:szCs w:val="16"/>
                <w:lang w:val="en-US"/>
              </w:rPr>
            </m:ctrlPr>
          </m:sSubSupPr>
          <m:e>
            <m:r>
              <w:rPr>
                <w:rFonts w:ascii="Cambria Math" w:hAnsi="Cambria Math" w:cstheme="majorBidi"/>
                <w:sz w:val="16"/>
                <w:szCs w:val="16"/>
                <w:lang w:val="en-US"/>
              </w:rPr>
              <m:t>z</m:t>
            </m:r>
          </m:e>
          <m:sub>
            <m:r>
              <w:rPr>
                <w:rFonts w:ascii="Cambria Math" w:hAnsi="Cambria Math" w:cstheme="majorBidi"/>
                <w:sz w:val="16"/>
                <w:szCs w:val="16"/>
                <w:lang w:val="en-US"/>
              </w:rPr>
              <m:t>t</m:t>
            </m:r>
          </m:sub>
          <m:sup>
            <m:r>
              <w:rPr>
                <w:rFonts w:ascii="Cambria Math" w:hAnsi="Cambria Math" w:cstheme="majorBidi"/>
                <w:sz w:val="16"/>
                <w:szCs w:val="16"/>
                <w:lang w:val="en-US"/>
              </w:rPr>
              <m:t>'</m:t>
            </m:r>
          </m:sup>
        </m:sSubSup>
        <m:r>
          <w:rPr>
            <w:rFonts w:ascii="Cambria Math" w:hAnsi="Cambria Math" w:cstheme="majorBidi"/>
            <w:sz w:val="16"/>
            <w:szCs w:val="16"/>
            <w:lang w:val="en-US"/>
          </w:rPr>
          <m:t>]</m:t>
        </m:r>
      </m:oMath>
      <w:r w:rsidRPr="00256895">
        <w:rPr>
          <w:rFonts w:asciiTheme="majorBidi" w:hAnsiTheme="majorBidi" w:cstheme="majorBidi"/>
          <w:sz w:val="16"/>
          <w:szCs w:val="16"/>
          <w:lang w:val="en-US"/>
        </w:rPr>
        <w:t xml:space="preserve"> denotes the </w:t>
      </w:r>
      <m:oMath>
        <m:r>
          <w:rPr>
            <w:rFonts w:ascii="Cambria Math" w:hAnsi="Cambria Math" w:cstheme="majorBidi"/>
            <w:sz w:val="16"/>
            <w:szCs w:val="16"/>
            <w:lang w:val="en-US"/>
          </w:rPr>
          <m:t>n×n</m:t>
        </m:r>
      </m:oMath>
      <w:r w:rsidRPr="00256895">
        <w:rPr>
          <w:rFonts w:asciiTheme="majorBidi" w:hAnsiTheme="majorBidi" w:cstheme="majorBidi"/>
          <w:sz w:val="16"/>
          <w:szCs w:val="16"/>
          <w:lang w:val="en-US"/>
        </w:rPr>
        <w:t xml:space="preserve"> unconditional variance matrix of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m:t>
            </m:r>
          </m:sub>
        </m:sSub>
      </m:oMath>
      <w:r w:rsidRPr="00256895">
        <w:rPr>
          <w:rFonts w:asciiTheme="majorBidi" w:hAnsiTheme="majorBidi" w:cstheme="majorBidi"/>
          <w:sz w:val="16"/>
          <w:szCs w:val="16"/>
          <w:lang w:val="en-US"/>
        </w:rPr>
        <w:t xml:space="preserve">, while </w:t>
      </w:r>
      <m:oMath>
        <m:r>
          <w:rPr>
            <w:rFonts w:ascii="Cambria Math" w:hAnsi="Cambria Math" w:cstheme="majorBidi"/>
            <w:sz w:val="16"/>
            <w:szCs w:val="16"/>
            <w:lang w:val="en-US"/>
          </w:rPr>
          <m:t>α</m:t>
        </m:r>
      </m:oMath>
      <w:r w:rsidRPr="00256895">
        <w:rPr>
          <w:rFonts w:asciiTheme="majorBidi" w:hAnsiTheme="majorBidi" w:cstheme="majorBidi"/>
          <w:sz w:val="16"/>
          <w:szCs w:val="16"/>
          <w:lang w:val="en-US"/>
        </w:rPr>
        <w:t xml:space="preserve"> and </w:t>
      </w:r>
      <m:oMath>
        <m:r>
          <w:rPr>
            <w:rFonts w:ascii="Cambria Math" w:hAnsi="Cambria Math" w:cstheme="majorBidi"/>
            <w:sz w:val="16"/>
            <w:szCs w:val="16"/>
            <w:lang w:val="en-US"/>
          </w:rPr>
          <m:t>β</m:t>
        </m:r>
      </m:oMath>
      <w:r w:rsidRPr="00256895">
        <w:rPr>
          <w:rFonts w:asciiTheme="majorBidi" w:hAnsiTheme="majorBidi" w:cstheme="majorBidi"/>
          <w:sz w:val="16"/>
          <w:szCs w:val="16"/>
          <w:lang w:val="en-US"/>
        </w:rPr>
        <w:t xml:space="preserve"> are nonnegative parameters satisfying </w:t>
      </w:r>
      <m:oMath>
        <m:d>
          <m:dPr>
            <m:ctrlPr>
              <w:rPr>
                <w:rFonts w:ascii="Cambria Math" w:hAnsi="Cambria Math" w:cstheme="majorBidi"/>
                <w:i/>
                <w:sz w:val="16"/>
                <w:szCs w:val="16"/>
                <w:lang w:val="en-US"/>
              </w:rPr>
            </m:ctrlPr>
          </m:dPr>
          <m:e>
            <m:r>
              <w:rPr>
                <w:rFonts w:ascii="Cambria Math" w:hAnsi="Cambria Math" w:cstheme="majorBidi"/>
                <w:sz w:val="16"/>
                <w:szCs w:val="16"/>
                <w:lang w:val="en-US"/>
              </w:rPr>
              <m:t>α+β</m:t>
            </m:r>
          </m:e>
        </m:d>
        <m:r>
          <w:rPr>
            <w:rFonts w:ascii="Cambria Math" w:hAnsi="Cambria Math" w:cstheme="majorBidi"/>
            <w:sz w:val="16"/>
            <w:szCs w:val="16"/>
            <w:lang w:val="en-US"/>
          </w:rPr>
          <m:t>&lt;1</m:t>
        </m:r>
      </m:oMath>
      <w:r w:rsidRPr="00256895">
        <w:rPr>
          <w:rFonts w:asciiTheme="majorBidi" w:hAnsiTheme="majorBidi" w:cstheme="majorBidi"/>
          <w:sz w:val="16"/>
          <w:szCs w:val="16"/>
          <w:lang w:val="en-US"/>
        </w:rPr>
        <w:t xml:space="preserve">. Since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oMath>
      <w:r w:rsidRPr="00256895">
        <w:rPr>
          <w:rFonts w:asciiTheme="majorBidi" w:hAnsiTheme="majorBidi" w:cstheme="majorBidi"/>
          <w:sz w:val="16"/>
          <w:szCs w:val="16"/>
          <w:lang w:val="en-US"/>
        </w:rPr>
        <w:t xml:space="preserve"> does not generally have units on the diagonal, the conditional correlation matrix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R</m:t>
            </m:r>
          </m:e>
          <m:sub>
            <m:r>
              <w:rPr>
                <w:rFonts w:ascii="Cambria Math" w:hAnsi="Cambria Math" w:cstheme="majorBidi"/>
                <w:sz w:val="16"/>
                <w:szCs w:val="16"/>
                <w:lang w:val="en-US"/>
              </w:rPr>
              <m:t>t</m:t>
            </m:r>
          </m:sub>
        </m:sSub>
      </m:oMath>
      <w:r w:rsidRPr="00256895">
        <w:rPr>
          <w:rFonts w:asciiTheme="majorBidi" w:hAnsiTheme="majorBidi" w:cstheme="majorBidi"/>
          <w:sz w:val="16"/>
          <w:szCs w:val="16"/>
          <w:lang w:val="en-US"/>
        </w:rPr>
        <w:t xml:space="preserve"> is derived by scaling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oMath>
      <w:r w:rsidRPr="00256895">
        <w:rPr>
          <w:rFonts w:asciiTheme="majorBidi" w:hAnsiTheme="majorBidi" w:cstheme="majorBidi"/>
          <w:sz w:val="16"/>
          <w:szCs w:val="16"/>
          <w:lang w:val="en-US"/>
        </w:rPr>
        <w:t xml:space="preserve"> as follows: </w:t>
      </w:r>
      <m:oMath>
        <m:sSub>
          <m:sSubPr>
            <m:ctrlPr>
              <w:rPr>
                <w:rFonts w:ascii="Cambria Math" w:hAnsi="Cambria Math" w:cstheme="majorBidi"/>
                <w:i/>
                <w:sz w:val="16"/>
                <w:szCs w:val="16"/>
                <w:lang w:val="en-US"/>
              </w:rPr>
            </m:ctrlPr>
          </m:sSubPr>
          <m:e>
            <m:r>
              <w:rPr>
                <w:rFonts w:ascii="Cambria Math" w:hAnsi="Cambria Math" w:cstheme="majorBidi"/>
                <w:sz w:val="16"/>
                <w:szCs w:val="16"/>
                <w:lang w:val="en-US"/>
              </w:rPr>
              <m:t>R</m:t>
            </m:r>
          </m:e>
          <m:sub>
            <m:r>
              <w:rPr>
                <w:rFonts w:ascii="Cambria Math" w:hAnsi="Cambria Math" w:cstheme="majorBidi"/>
                <w:sz w:val="16"/>
                <w:szCs w:val="16"/>
                <w:lang w:val="en-US"/>
              </w:rPr>
              <m:t>t</m:t>
            </m:r>
          </m:sub>
        </m:sSub>
        <m:r>
          <w:rPr>
            <w:rFonts w:ascii="Cambria Math" w:hAnsi="Cambria Math" w:cstheme="majorBidi"/>
            <w:sz w:val="16"/>
            <w:szCs w:val="16"/>
            <w:lang w:val="en-US"/>
          </w:rPr>
          <m:t>=</m:t>
        </m:r>
        <m:sSup>
          <m:sSupPr>
            <m:ctrlPr>
              <w:rPr>
                <w:rFonts w:ascii="Cambria Math" w:hAnsi="Cambria Math" w:cstheme="majorBidi"/>
                <w:i/>
                <w:sz w:val="16"/>
                <w:szCs w:val="16"/>
                <w:lang w:val="en-US"/>
              </w:rPr>
            </m:ctrlPr>
          </m:sSupPr>
          <m:e>
            <m:d>
              <m:dPr>
                <m:ctrlPr>
                  <w:rPr>
                    <w:rFonts w:ascii="Cambria Math" w:hAnsi="Cambria Math" w:cstheme="majorBidi"/>
                    <w:i/>
                    <w:sz w:val="16"/>
                    <w:szCs w:val="16"/>
                    <w:lang w:val="en-US"/>
                  </w:rPr>
                </m:ctrlPr>
              </m:dPr>
              <m:e>
                <m:r>
                  <w:rPr>
                    <w:rFonts w:ascii="Cambria Math" w:hAnsi="Cambria Math" w:cstheme="majorBidi"/>
                    <w:sz w:val="16"/>
                    <w:szCs w:val="16"/>
                    <w:lang w:val="en-US"/>
                  </w:rPr>
                  <m:t>diag(</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r>
                  <w:rPr>
                    <w:rFonts w:ascii="Cambria Math" w:hAnsi="Cambria Math" w:cstheme="majorBidi"/>
                    <w:sz w:val="16"/>
                    <w:szCs w:val="16"/>
                    <w:lang w:val="en-US"/>
                  </w:rPr>
                  <m:t>)</m:t>
                </m:r>
              </m:e>
            </m:d>
          </m:e>
          <m:sup>
            <m:r>
              <w:rPr>
                <w:rFonts w:ascii="Cambria Math" w:hAnsi="Cambria Math" w:cstheme="majorBidi"/>
                <w:sz w:val="16"/>
                <w:szCs w:val="16"/>
                <w:lang w:val="en-US"/>
              </w:rPr>
              <m:t>-1/2</m:t>
            </m:r>
          </m:sup>
        </m:sSup>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sSup>
          <m:sSupPr>
            <m:ctrlPr>
              <w:rPr>
                <w:rFonts w:ascii="Cambria Math" w:hAnsi="Cambria Math" w:cstheme="majorBidi"/>
                <w:i/>
                <w:sz w:val="16"/>
                <w:szCs w:val="16"/>
                <w:lang w:val="en-US"/>
              </w:rPr>
            </m:ctrlPr>
          </m:sSupPr>
          <m:e>
            <m:d>
              <m:dPr>
                <m:ctrlPr>
                  <w:rPr>
                    <w:rFonts w:ascii="Cambria Math" w:hAnsi="Cambria Math" w:cstheme="majorBidi"/>
                    <w:i/>
                    <w:sz w:val="16"/>
                    <w:szCs w:val="16"/>
                    <w:lang w:val="en-US"/>
                  </w:rPr>
                </m:ctrlPr>
              </m:dPr>
              <m:e>
                <m:r>
                  <w:rPr>
                    <w:rFonts w:ascii="Cambria Math" w:hAnsi="Cambria Math" w:cstheme="majorBidi"/>
                    <w:sz w:val="16"/>
                    <w:szCs w:val="16"/>
                    <w:lang w:val="en-US"/>
                  </w:rPr>
                  <m:t>diag(</m:t>
                </m:r>
                <m:sSub>
                  <m:sSubPr>
                    <m:ctrlPr>
                      <w:rPr>
                        <w:rFonts w:ascii="Cambria Math" w:hAnsi="Cambria Math" w:cstheme="majorBidi"/>
                        <w:i/>
                        <w:sz w:val="16"/>
                        <w:szCs w:val="16"/>
                        <w:lang w:val="en-US"/>
                      </w:rPr>
                    </m:ctrlPr>
                  </m:sSubPr>
                  <m:e>
                    <m:r>
                      <w:rPr>
                        <w:rFonts w:ascii="Cambria Math" w:hAnsi="Cambria Math" w:cstheme="majorBidi"/>
                        <w:sz w:val="16"/>
                        <w:szCs w:val="16"/>
                        <w:lang w:val="en-US"/>
                      </w:rPr>
                      <m:t>Q</m:t>
                    </m:r>
                  </m:e>
                  <m:sub>
                    <m:r>
                      <w:rPr>
                        <w:rFonts w:ascii="Cambria Math" w:hAnsi="Cambria Math" w:cstheme="majorBidi"/>
                        <w:sz w:val="16"/>
                        <w:szCs w:val="16"/>
                        <w:lang w:val="en-US"/>
                      </w:rPr>
                      <m:t>t</m:t>
                    </m:r>
                  </m:sub>
                </m:sSub>
                <m:r>
                  <w:rPr>
                    <w:rFonts w:ascii="Cambria Math" w:hAnsi="Cambria Math" w:cstheme="majorBidi"/>
                    <w:sz w:val="16"/>
                    <w:szCs w:val="16"/>
                    <w:lang w:val="en-US"/>
                  </w:rPr>
                  <m:t>)</m:t>
                </m:r>
              </m:e>
            </m:d>
          </m:e>
          <m:sup>
            <m:r>
              <w:rPr>
                <w:rFonts w:ascii="Cambria Math" w:hAnsi="Cambria Math" w:cstheme="majorBidi"/>
                <w:sz w:val="16"/>
                <w:szCs w:val="16"/>
                <w:lang w:val="en-US"/>
              </w:rPr>
              <m:t>-1/2</m:t>
            </m:r>
          </m:sup>
        </m:sSup>
      </m:oMath>
      <w:r w:rsidRPr="00256895">
        <w:rPr>
          <w:rFonts w:asciiTheme="majorBidi" w:hAnsiTheme="majorBidi" w:cstheme="majorBidi"/>
          <w:sz w:val="16"/>
          <w:szCs w:val="16"/>
          <w:lang w:val="en-US"/>
        </w:rPr>
        <w:t>.</w:t>
      </w:r>
    </w:p>
  </w:footnote>
  <w:footnote w:id="3">
    <w:p w:rsidR="00341063" w:rsidRPr="00AE431E" w:rsidRDefault="00341063" w:rsidP="00A13D9C">
      <w:pPr>
        <w:pStyle w:val="Notedebasdepage"/>
        <w:jc w:val="both"/>
        <w:rPr>
          <w:rFonts w:ascii="Times New Roman" w:hAnsi="Times New Roman" w:cs="Times New Roman"/>
          <w:sz w:val="16"/>
          <w:szCs w:val="16"/>
          <w:lang w:val="en-US"/>
        </w:rPr>
      </w:pPr>
      <w:r w:rsidRPr="00655D17">
        <w:rPr>
          <w:rStyle w:val="Appelnotedebasdep"/>
          <w:rFonts w:ascii="Times New Roman" w:hAnsi="Times New Roman" w:cs="Times New Roman"/>
        </w:rPr>
        <w:footnoteRef/>
      </w:r>
      <w:r w:rsidRPr="00655D17">
        <w:rPr>
          <w:rFonts w:ascii="Times New Roman" w:hAnsi="Times New Roman" w:cs="Times New Roman"/>
          <w:sz w:val="16"/>
          <w:szCs w:val="16"/>
          <w:lang w:val="en-US"/>
        </w:rPr>
        <w:t xml:space="preserve"> See </w:t>
      </w:r>
      <w:r w:rsidRPr="00150C06">
        <w:rPr>
          <w:rFonts w:ascii="Times New Roman" w:hAnsi="Times New Roman" w:cs="Times New Roman"/>
          <w:sz w:val="16"/>
          <w:szCs w:val="16"/>
          <w:lang w:val="en-US"/>
        </w:rPr>
        <w:t>Nelson (1991).</w:t>
      </w:r>
    </w:p>
  </w:footnote>
  <w:footnote w:id="4">
    <w:p w:rsidR="00341063" w:rsidRPr="00AE7F19" w:rsidRDefault="00341063" w:rsidP="00107FC4">
      <w:pPr>
        <w:spacing w:after="0" w:line="240" w:lineRule="auto"/>
        <w:jc w:val="both"/>
        <w:rPr>
          <w:rFonts w:asciiTheme="majorBidi" w:hAnsiTheme="majorBidi" w:cstheme="majorBidi"/>
          <w:sz w:val="16"/>
          <w:szCs w:val="16"/>
          <w:lang w:val="en-US"/>
        </w:rPr>
      </w:pPr>
      <w:r w:rsidRPr="00AE7F19">
        <w:rPr>
          <w:rStyle w:val="Appelnotedebasdep"/>
          <w:rFonts w:asciiTheme="majorBidi" w:hAnsiTheme="majorBidi" w:cstheme="majorBidi"/>
          <w:sz w:val="16"/>
          <w:szCs w:val="16"/>
        </w:rPr>
        <w:footnoteRef/>
      </w:r>
      <w:r w:rsidRPr="00AE7F19">
        <w:rPr>
          <w:rFonts w:asciiTheme="majorBidi" w:hAnsiTheme="majorBidi" w:cstheme="majorBidi"/>
          <w:sz w:val="16"/>
          <w:szCs w:val="16"/>
          <w:lang w:val="en-US"/>
        </w:rPr>
        <w:t xml:space="preserve"> The </w:t>
      </w:r>
      <m:oMath>
        <m:sSub>
          <m:sSubPr>
            <m:ctrlPr>
              <w:rPr>
                <w:rFonts w:ascii="Cambria Math" w:hAnsiTheme="majorBidi"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m:t>
            </m:r>
          </m:sub>
        </m:sSub>
      </m:oMath>
      <w:r w:rsidRPr="00AE7F19">
        <w:rPr>
          <w:rFonts w:asciiTheme="majorBidi" w:hAnsiTheme="majorBidi" w:cstheme="majorBidi"/>
          <w:sz w:val="16"/>
          <w:szCs w:val="16"/>
          <w:lang w:val="en-US"/>
        </w:rPr>
        <w:t xml:space="preserve"> random variable is assumed to follow a student distribution (see </w:t>
      </w:r>
      <w:r>
        <w:rPr>
          <w:rFonts w:asciiTheme="majorBidi" w:hAnsiTheme="majorBidi" w:cstheme="majorBidi"/>
          <w:color w:val="0070C0"/>
          <w:sz w:val="16"/>
          <w:szCs w:val="16"/>
          <w:lang w:val="en-US"/>
        </w:rPr>
        <w:t xml:space="preserve">Bollerslev, </w:t>
      </w:r>
      <w:r w:rsidRPr="009D7B3E">
        <w:rPr>
          <w:rFonts w:asciiTheme="majorBidi" w:hAnsiTheme="majorBidi" w:cstheme="majorBidi"/>
          <w:color w:val="0070C0"/>
          <w:sz w:val="16"/>
          <w:szCs w:val="16"/>
          <w:lang w:val="en-US"/>
        </w:rPr>
        <w:t>198</w:t>
      </w:r>
      <w:r>
        <w:rPr>
          <w:rFonts w:asciiTheme="majorBidi" w:hAnsiTheme="majorBidi" w:cstheme="majorBidi"/>
          <w:color w:val="0070C0"/>
          <w:sz w:val="16"/>
          <w:szCs w:val="16"/>
          <w:lang w:val="en-US"/>
        </w:rPr>
        <w:t>7</w:t>
      </w:r>
      <w:r w:rsidRPr="00AE7F19">
        <w:rPr>
          <w:rFonts w:asciiTheme="majorBidi" w:hAnsiTheme="majorBidi" w:cstheme="majorBidi"/>
          <w:sz w:val="16"/>
          <w:szCs w:val="16"/>
          <w:lang w:val="en-US"/>
        </w:rPr>
        <w:t xml:space="preserve">) with </w:t>
      </w:r>
      <m:oMath>
        <m:r>
          <w:rPr>
            <w:rFonts w:ascii="Cambria Math" w:hAnsi="Cambria Math" w:cstheme="majorBidi"/>
            <w:sz w:val="16"/>
            <w:szCs w:val="16"/>
            <w:lang w:val="en-US"/>
          </w:rPr>
          <m:t>υ</m:t>
        </m:r>
        <m:r>
          <w:rPr>
            <w:rFonts w:ascii="Cambria Math" w:hAnsiTheme="majorBidi" w:cstheme="majorBidi"/>
            <w:sz w:val="16"/>
            <w:szCs w:val="16"/>
            <w:lang w:val="en-US"/>
          </w:rPr>
          <m:t>&gt;2</m:t>
        </m:r>
      </m:oMath>
      <w:r w:rsidRPr="00AE7F19">
        <w:rPr>
          <w:rFonts w:asciiTheme="majorBidi" w:hAnsiTheme="majorBidi" w:cstheme="majorBidi"/>
          <w:sz w:val="16"/>
          <w:szCs w:val="16"/>
          <w:lang w:val="en-US"/>
        </w:rPr>
        <w:t xml:space="preserve"> degrees of freedom and with a density given by:</w:t>
      </w:r>
    </w:p>
    <w:p w:rsidR="00341063" w:rsidRPr="00AE7F19" w:rsidRDefault="00341063" w:rsidP="00107FC4">
      <w:pPr>
        <w:spacing w:after="0" w:line="240" w:lineRule="auto"/>
        <w:jc w:val="both"/>
        <w:rPr>
          <w:rFonts w:asciiTheme="majorBidi" w:hAnsiTheme="majorBidi" w:cstheme="majorBidi"/>
          <w:sz w:val="16"/>
          <w:szCs w:val="16"/>
          <w:lang w:val="en-US"/>
        </w:rPr>
      </w:pPr>
    </w:p>
    <w:p w:rsidR="00341063" w:rsidRPr="00AE7F19" w:rsidRDefault="00341063" w:rsidP="00107FC4">
      <w:pPr>
        <w:spacing w:after="0" w:line="240" w:lineRule="auto"/>
        <w:jc w:val="both"/>
        <w:rPr>
          <w:rFonts w:asciiTheme="majorBidi" w:hAnsiTheme="majorBidi" w:cstheme="majorBidi"/>
          <w:sz w:val="16"/>
          <w:szCs w:val="16"/>
          <w:lang w:val="en-US"/>
        </w:rPr>
      </w:pPr>
      <w:r w:rsidRPr="00AE7F19">
        <w:rPr>
          <w:rFonts w:asciiTheme="majorBidi" w:hAnsiTheme="majorBidi" w:cstheme="majorBidi"/>
          <w:sz w:val="16"/>
          <w:szCs w:val="16"/>
          <w:lang w:val="en-US"/>
        </w:rPr>
        <w:tab/>
      </w:r>
      <m:oMath>
        <m:r>
          <w:rPr>
            <w:rFonts w:ascii="Cambria Math" w:hAnsi="Cambria Math" w:cstheme="majorBidi"/>
            <w:sz w:val="16"/>
            <w:szCs w:val="16"/>
            <w:lang w:val="en-US"/>
          </w:rPr>
          <m:t>D</m:t>
        </m:r>
        <m:d>
          <m:dPr>
            <m:ctrlPr>
              <w:rPr>
                <w:rFonts w:ascii="Cambria Math" w:hAnsiTheme="majorBidi" w:cstheme="majorBidi"/>
                <w:i/>
                <w:sz w:val="16"/>
                <w:szCs w:val="16"/>
                <w:lang w:val="en-US"/>
              </w:rPr>
            </m:ctrlPr>
          </m:dPr>
          <m:e>
            <m:sSub>
              <m:sSubPr>
                <m:ctrlPr>
                  <w:rPr>
                    <w:rFonts w:ascii="Cambria Math" w:hAnsiTheme="majorBidi" w:cstheme="majorBidi"/>
                    <w:i/>
                    <w:sz w:val="16"/>
                    <w:szCs w:val="16"/>
                    <w:lang w:val="en-US"/>
                  </w:rPr>
                </m:ctrlPr>
              </m:sSubPr>
              <m:e>
                <m:r>
                  <w:rPr>
                    <w:rFonts w:ascii="Cambria Math" w:hAnsi="Cambria Math" w:cstheme="majorBidi"/>
                    <w:sz w:val="16"/>
                    <w:szCs w:val="16"/>
                    <w:lang w:val="en-US"/>
                  </w:rPr>
                  <m:t>z</m:t>
                </m:r>
              </m:e>
              <m:sub>
                <m:r>
                  <w:rPr>
                    <w:rFonts w:ascii="Cambria Math" w:hAnsi="Cambria Math" w:cstheme="majorBidi"/>
                    <w:sz w:val="16"/>
                    <w:szCs w:val="16"/>
                    <w:lang w:val="en-US"/>
                  </w:rPr>
                  <m:t>t</m:t>
                </m:r>
              </m:sub>
            </m:sSub>
            <m:r>
              <w:rPr>
                <w:rFonts w:ascii="Cambria Math" w:hAnsiTheme="majorBidi" w:cstheme="majorBidi"/>
                <w:sz w:val="16"/>
                <w:szCs w:val="16"/>
                <w:lang w:val="en-US"/>
              </w:rPr>
              <m:t>,</m:t>
            </m:r>
            <m:r>
              <w:rPr>
                <w:rFonts w:ascii="Cambria Math" w:hAnsi="Cambria Math" w:cstheme="majorBidi"/>
                <w:sz w:val="16"/>
                <w:szCs w:val="16"/>
                <w:lang w:val="en-US"/>
              </w:rPr>
              <m:t>υ</m:t>
            </m:r>
          </m:e>
        </m:d>
        <m:r>
          <w:rPr>
            <w:rFonts w:ascii="Cambria Math" w:hAnsiTheme="majorBidi" w:cstheme="majorBidi"/>
            <w:sz w:val="16"/>
            <w:szCs w:val="16"/>
            <w:lang w:val="en-US"/>
          </w:rPr>
          <m:t>=</m:t>
        </m:r>
        <m:f>
          <m:fPr>
            <m:ctrlPr>
              <w:rPr>
                <w:rFonts w:ascii="Cambria Math" w:hAnsiTheme="majorBidi" w:cstheme="majorBidi"/>
                <w:i/>
                <w:sz w:val="16"/>
                <w:szCs w:val="16"/>
                <w:lang w:val="en-US"/>
              </w:rPr>
            </m:ctrlPr>
          </m:fPr>
          <m:num>
            <m:r>
              <m:rPr>
                <m:sty m:val="p"/>
              </m:rPr>
              <w:rPr>
                <w:rFonts w:asciiTheme="majorBidi" w:hAnsiTheme="majorBidi" w:cstheme="majorBidi"/>
                <w:sz w:val="16"/>
                <w:szCs w:val="16"/>
                <w:lang w:val="en-US"/>
              </w:rPr>
              <m:t>Γ</m:t>
            </m:r>
            <m:r>
              <w:rPr>
                <w:rFonts w:ascii="Cambria Math" w:hAnsiTheme="majorBidi" w:cstheme="majorBidi"/>
                <w:sz w:val="16"/>
                <w:szCs w:val="16"/>
                <w:lang w:val="en-US"/>
              </w:rPr>
              <m:t>(</m:t>
            </m:r>
            <m:r>
              <w:rPr>
                <w:rFonts w:ascii="Cambria Math" w:hAnsi="Cambria Math" w:cstheme="majorBidi"/>
                <w:sz w:val="16"/>
                <w:szCs w:val="16"/>
                <w:lang w:val="en-US"/>
              </w:rPr>
              <m:t>υ</m:t>
            </m:r>
            <m:r>
              <w:rPr>
                <w:rFonts w:ascii="Cambria Math" w:hAnsiTheme="majorBidi" w:cstheme="majorBidi"/>
                <w:sz w:val="16"/>
                <w:szCs w:val="16"/>
                <w:lang w:val="en-US"/>
              </w:rPr>
              <m:t>+</m:t>
            </m:r>
            <m:f>
              <m:fPr>
                <m:ctrlPr>
                  <w:rPr>
                    <w:rFonts w:ascii="Cambria Math" w:hAnsiTheme="majorBidi" w:cstheme="majorBidi"/>
                    <w:i/>
                    <w:sz w:val="16"/>
                    <w:szCs w:val="16"/>
                    <w:lang w:val="en-US"/>
                  </w:rPr>
                </m:ctrlPr>
              </m:fPr>
              <m:num>
                <m:r>
                  <w:rPr>
                    <w:rFonts w:ascii="Cambria Math" w:hAnsiTheme="majorBidi" w:cstheme="majorBidi"/>
                    <w:sz w:val="16"/>
                    <w:szCs w:val="16"/>
                    <w:lang w:val="en-US"/>
                  </w:rPr>
                  <m:t>1</m:t>
                </m:r>
              </m:num>
              <m:den>
                <m:r>
                  <w:rPr>
                    <w:rFonts w:ascii="Cambria Math" w:hAnsiTheme="majorBidi" w:cstheme="majorBidi"/>
                    <w:sz w:val="16"/>
                    <w:szCs w:val="16"/>
                    <w:lang w:val="en-US"/>
                  </w:rPr>
                  <m:t>2</m:t>
                </m:r>
              </m:den>
            </m:f>
            <m:r>
              <w:rPr>
                <w:rFonts w:ascii="Cambria Math" w:hAnsiTheme="majorBidi" w:cstheme="majorBidi"/>
                <w:sz w:val="16"/>
                <w:szCs w:val="16"/>
                <w:lang w:val="en-US"/>
              </w:rPr>
              <m:t>)</m:t>
            </m:r>
          </m:num>
          <m:den>
            <m:r>
              <m:rPr>
                <m:sty m:val="p"/>
              </m:rPr>
              <w:rPr>
                <w:rFonts w:asciiTheme="majorBidi" w:hAnsiTheme="majorBidi" w:cstheme="majorBidi"/>
                <w:sz w:val="16"/>
                <w:szCs w:val="16"/>
                <w:lang w:val="en-US"/>
              </w:rPr>
              <m:t>Γ</m:t>
            </m:r>
            <m:r>
              <w:rPr>
                <w:rFonts w:ascii="Cambria Math" w:hAnsiTheme="majorBidi" w:cstheme="majorBidi"/>
                <w:sz w:val="16"/>
                <w:szCs w:val="16"/>
                <w:lang w:val="en-US"/>
              </w:rPr>
              <m:t>(</m:t>
            </m:r>
            <m:f>
              <m:fPr>
                <m:ctrlPr>
                  <w:rPr>
                    <w:rFonts w:ascii="Cambria Math" w:hAnsiTheme="majorBidi" w:cstheme="majorBidi"/>
                    <w:i/>
                    <w:sz w:val="16"/>
                    <w:szCs w:val="16"/>
                    <w:lang w:val="en-US"/>
                  </w:rPr>
                </m:ctrlPr>
              </m:fPr>
              <m:num>
                <m:r>
                  <w:rPr>
                    <w:rFonts w:ascii="Cambria Math" w:hAnsi="Cambria Math" w:cstheme="majorBidi"/>
                    <w:sz w:val="16"/>
                    <w:szCs w:val="16"/>
                    <w:lang w:val="en-US"/>
                  </w:rPr>
                  <m:t>υ</m:t>
                </m:r>
              </m:num>
              <m:den>
                <m:r>
                  <w:rPr>
                    <w:rFonts w:ascii="Cambria Math" w:hAnsiTheme="majorBidi" w:cstheme="majorBidi"/>
                    <w:sz w:val="16"/>
                    <w:szCs w:val="16"/>
                    <w:lang w:val="en-US"/>
                  </w:rPr>
                  <m:t>2</m:t>
                </m:r>
              </m:den>
            </m:f>
            <m:r>
              <w:rPr>
                <w:rFonts w:ascii="Cambria Math" w:hAnsiTheme="majorBidi" w:cstheme="majorBidi"/>
                <w:sz w:val="16"/>
                <w:szCs w:val="16"/>
                <w:lang w:val="en-US"/>
              </w:rPr>
              <m:t>)</m:t>
            </m:r>
            <m:rad>
              <m:radPr>
                <m:degHide m:val="on"/>
                <m:ctrlPr>
                  <w:rPr>
                    <w:rFonts w:ascii="Cambria Math" w:hAnsiTheme="majorBidi" w:cstheme="majorBidi"/>
                    <w:i/>
                    <w:sz w:val="16"/>
                    <w:szCs w:val="16"/>
                    <w:lang w:val="en-US"/>
                  </w:rPr>
                </m:ctrlPr>
              </m:radPr>
              <m:deg/>
              <m:e>
                <m:r>
                  <w:rPr>
                    <w:rFonts w:ascii="Cambria Math" w:hAnsi="Cambria Math" w:cstheme="majorBidi"/>
                    <w:sz w:val="16"/>
                    <w:szCs w:val="16"/>
                    <w:lang w:val="en-US"/>
                  </w:rPr>
                  <m:t>π</m:t>
                </m:r>
                <m:r>
                  <w:rPr>
                    <w:rFonts w:ascii="Cambria Math" w:hAnsiTheme="majorBidi" w:cstheme="majorBidi"/>
                    <w:sz w:val="16"/>
                    <w:szCs w:val="16"/>
                    <w:lang w:val="en-US"/>
                  </w:rPr>
                  <m:t>(</m:t>
                </m:r>
                <m:r>
                  <w:rPr>
                    <w:rFonts w:ascii="Cambria Math" w:hAnsi="Cambria Math" w:cstheme="majorBidi"/>
                    <w:sz w:val="16"/>
                    <w:szCs w:val="16"/>
                    <w:lang w:val="en-US"/>
                  </w:rPr>
                  <m:t>υ</m:t>
                </m:r>
                <m:r>
                  <w:rPr>
                    <w:rFonts w:asciiTheme="majorBidi" w:hAnsiTheme="majorBidi" w:cstheme="majorBidi"/>
                    <w:sz w:val="16"/>
                    <w:szCs w:val="16"/>
                    <w:lang w:val="en-US"/>
                  </w:rPr>
                  <m:t>-</m:t>
                </m:r>
                <m:r>
                  <w:rPr>
                    <w:rFonts w:ascii="Cambria Math" w:hAnsiTheme="majorBidi" w:cstheme="majorBidi"/>
                    <w:sz w:val="16"/>
                    <w:szCs w:val="16"/>
                    <w:lang w:val="en-US"/>
                  </w:rPr>
                  <m:t>2)</m:t>
                </m:r>
              </m:e>
            </m:rad>
          </m:den>
        </m:f>
        <m:sSup>
          <m:sSupPr>
            <m:ctrlPr>
              <w:rPr>
                <w:rFonts w:ascii="Cambria Math" w:hAnsiTheme="majorBidi" w:cstheme="majorBidi"/>
                <w:i/>
                <w:sz w:val="16"/>
                <w:szCs w:val="16"/>
                <w:lang w:val="en-US"/>
              </w:rPr>
            </m:ctrlPr>
          </m:sSupPr>
          <m:e>
            <m:r>
              <w:rPr>
                <w:rFonts w:ascii="Cambria Math" w:hAnsiTheme="majorBidi" w:cstheme="majorBidi"/>
                <w:sz w:val="16"/>
                <w:szCs w:val="16"/>
                <w:lang w:val="en-US"/>
              </w:rPr>
              <m:t>(1+</m:t>
            </m:r>
            <m:f>
              <m:fPr>
                <m:ctrlPr>
                  <w:rPr>
                    <w:rFonts w:ascii="Cambria Math" w:hAnsiTheme="majorBidi" w:cstheme="majorBidi"/>
                    <w:i/>
                    <w:sz w:val="16"/>
                    <w:szCs w:val="16"/>
                    <w:lang w:val="en-US"/>
                  </w:rPr>
                </m:ctrlPr>
              </m:fPr>
              <m:num>
                <m:sSubSup>
                  <m:sSubSupPr>
                    <m:ctrlPr>
                      <w:rPr>
                        <w:rFonts w:ascii="Cambria Math" w:hAnsiTheme="majorBidi" w:cstheme="majorBidi"/>
                        <w:i/>
                        <w:sz w:val="16"/>
                        <w:szCs w:val="16"/>
                        <w:lang w:val="en-US"/>
                      </w:rPr>
                    </m:ctrlPr>
                  </m:sSubSupPr>
                  <m:e>
                    <m:r>
                      <w:rPr>
                        <w:rFonts w:ascii="Cambria Math" w:hAnsi="Cambria Math" w:cstheme="majorBidi"/>
                        <w:sz w:val="16"/>
                        <w:szCs w:val="16"/>
                        <w:lang w:val="en-US"/>
                      </w:rPr>
                      <m:t>z</m:t>
                    </m:r>
                  </m:e>
                  <m:sub>
                    <m:r>
                      <w:rPr>
                        <w:rFonts w:ascii="Cambria Math" w:hAnsi="Cambria Math" w:cstheme="majorBidi"/>
                        <w:sz w:val="16"/>
                        <w:szCs w:val="16"/>
                        <w:lang w:val="en-US"/>
                      </w:rPr>
                      <m:t>t</m:t>
                    </m:r>
                  </m:sub>
                  <m:sup>
                    <m:r>
                      <w:rPr>
                        <w:rFonts w:ascii="Cambria Math" w:hAnsiTheme="majorBidi" w:cstheme="majorBidi"/>
                        <w:sz w:val="16"/>
                        <w:szCs w:val="16"/>
                        <w:lang w:val="en-US"/>
                      </w:rPr>
                      <m:t>2</m:t>
                    </m:r>
                  </m:sup>
                </m:sSubSup>
              </m:num>
              <m:den>
                <m:r>
                  <w:rPr>
                    <w:rFonts w:ascii="Cambria Math" w:hAnsi="Cambria Math" w:cstheme="majorBidi"/>
                    <w:sz w:val="16"/>
                    <w:szCs w:val="16"/>
                    <w:lang w:val="en-US"/>
                  </w:rPr>
                  <m:t>υ</m:t>
                </m:r>
                <m:r>
                  <w:rPr>
                    <w:rFonts w:asciiTheme="majorBidi" w:hAnsiTheme="majorBidi" w:cstheme="majorBidi"/>
                    <w:sz w:val="16"/>
                    <w:szCs w:val="16"/>
                    <w:lang w:val="en-US"/>
                  </w:rPr>
                  <m:t>-</m:t>
                </m:r>
                <m:r>
                  <w:rPr>
                    <w:rFonts w:ascii="Cambria Math" w:hAnsiTheme="majorBidi" w:cstheme="majorBidi"/>
                    <w:sz w:val="16"/>
                    <w:szCs w:val="16"/>
                    <w:lang w:val="en-US"/>
                  </w:rPr>
                  <m:t>2</m:t>
                </m:r>
              </m:den>
            </m:f>
            <m:r>
              <w:rPr>
                <w:rFonts w:ascii="Cambria Math" w:hAnsiTheme="majorBidi" w:cstheme="majorBidi"/>
                <w:sz w:val="16"/>
                <w:szCs w:val="16"/>
                <w:lang w:val="en-US"/>
              </w:rPr>
              <m:t>)</m:t>
            </m:r>
          </m:e>
          <m:sup>
            <m:f>
              <m:fPr>
                <m:ctrlPr>
                  <w:rPr>
                    <w:rFonts w:ascii="Cambria Math" w:hAnsiTheme="majorBidi" w:cstheme="majorBidi"/>
                    <w:i/>
                    <w:sz w:val="16"/>
                    <w:szCs w:val="16"/>
                    <w:lang w:val="en-US"/>
                  </w:rPr>
                </m:ctrlPr>
              </m:fPr>
              <m:num>
                <m:r>
                  <w:rPr>
                    <w:rFonts w:ascii="Cambria Math" w:hAnsiTheme="majorBidi" w:cstheme="majorBidi"/>
                    <w:sz w:val="16"/>
                    <w:szCs w:val="16"/>
                    <w:lang w:val="en-US"/>
                  </w:rPr>
                  <m:t>1</m:t>
                </m:r>
              </m:num>
              <m:den>
                <m:r>
                  <w:rPr>
                    <w:rFonts w:ascii="Cambria Math" w:hAnsiTheme="majorBidi" w:cstheme="majorBidi"/>
                    <w:sz w:val="16"/>
                    <w:szCs w:val="16"/>
                    <w:lang w:val="en-US"/>
                  </w:rPr>
                  <m:t>2</m:t>
                </m:r>
              </m:den>
            </m:f>
            <m:r>
              <w:rPr>
                <w:rFonts w:asciiTheme="majorBidi" w:hAnsiTheme="majorBidi" w:cstheme="majorBidi"/>
                <w:sz w:val="16"/>
                <w:szCs w:val="16"/>
                <w:lang w:val="en-US"/>
              </w:rPr>
              <m:t>-</m:t>
            </m:r>
            <m:r>
              <w:rPr>
                <w:rFonts w:ascii="Cambria Math" w:hAnsi="Cambria Math" w:cstheme="majorBidi"/>
                <w:sz w:val="16"/>
                <w:szCs w:val="16"/>
                <w:lang w:val="en-US"/>
              </w:rPr>
              <m:t>υ</m:t>
            </m:r>
          </m:sup>
        </m:sSup>
      </m:oMath>
    </w:p>
    <w:p w:rsidR="00341063" w:rsidRPr="00AE7F19" w:rsidRDefault="00341063" w:rsidP="00107FC4">
      <w:pPr>
        <w:spacing w:after="0" w:line="240" w:lineRule="auto"/>
        <w:jc w:val="both"/>
        <w:rPr>
          <w:rFonts w:asciiTheme="majorBidi" w:hAnsiTheme="majorBidi" w:cstheme="majorBidi"/>
          <w:color w:val="FF0000"/>
          <w:sz w:val="16"/>
          <w:szCs w:val="16"/>
          <w:lang w:val="en-US"/>
        </w:rPr>
      </w:pPr>
    </w:p>
    <w:p w:rsidR="00341063" w:rsidRPr="00AE7F19" w:rsidRDefault="00341063" w:rsidP="00107FC4">
      <w:pPr>
        <w:spacing w:after="0" w:line="240" w:lineRule="auto"/>
        <w:jc w:val="both"/>
        <w:rPr>
          <w:rFonts w:asciiTheme="majorBidi" w:hAnsiTheme="majorBidi" w:cstheme="majorBidi"/>
          <w:sz w:val="16"/>
          <w:szCs w:val="16"/>
          <w:lang w:val="en-US"/>
        </w:rPr>
      </w:pPr>
      <w:r>
        <w:rPr>
          <w:rFonts w:asciiTheme="majorBidi" w:hAnsiTheme="majorBidi" w:cstheme="majorBidi"/>
          <w:sz w:val="16"/>
          <w:szCs w:val="16"/>
          <w:lang w:val="en-US"/>
        </w:rPr>
        <w:t>w</w:t>
      </w:r>
      <w:r w:rsidRPr="00AE7F19">
        <w:rPr>
          <w:rFonts w:asciiTheme="majorBidi" w:hAnsiTheme="majorBidi" w:cstheme="majorBidi"/>
          <w:sz w:val="16"/>
          <w:szCs w:val="16"/>
          <w:lang w:val="en-US"/>
        </w:rPr>
        <w:t>here</w:t>
      </w:r>
      <m:oMath>
        <m:r>
          <m:rPr>
            <m:sty m:val="p"/>
          </m:rPr>
          <w:rPr>
            <w:rFonts w:asciiTheme="majorBidi" w:hAnsiTheme="majorBidi" w:cstheme="majorBidi"/>
            <w:sz w:val="16"/>
            <w:szCs w:val="16"/>
            <w:lang w:val="en-US"/>
          </w:rPr>
          <m:t>Γ</m:t>
        </m:r>
        <m:r>
          <w:rPr>
            <w:rFonts w:ascii="Cambria Math" w:hAnsiTheme="majorBidi" w:cstheme="majorBidi"/>
            <w:sz w:val="16"/>
            <w:szCs w:val="16"/>
            <w:lang w:val="en-US"/>
          </w:rPr>
          <m:t>(</m:t>
        </m:r>
        <m:r>
          <w:rPr>
            <w:rFonts w:ascii="Cambria Math" w:hAnsi="Cambria Math" w:cstheme="majorBidi"/>
            <w:sz w:val="16"/>
            <w:szCs w:val="16"/>
            <w:lang w:val="en-US"/>
          </w:rPr>
          <m:t>υ</m:t>
        </m:r>
        <m:r>
          <w:rPr>
            <w:rFonts w:ascii="Cambria Math" w:hAnsiTheme="majorBidi" w:cstheme="majorBidi"/>
            <w:sz w:val="16"/>
            <w:szCs w:val="16"/>
            <w:lang w:val="en-US"/>
          </w:rPr>
          <m:t>)</m:t>
        </m:r>
      </m:oMath>
      <w:r w:rsidRPr="00AE7F19">
        <w:rPr>
          <w:rFonts w:asciiTheme="majorBidi" w:hAnsiTheme="majorBidi" w:cstheme="majorBidi"/>
          <w:sz w:val="16"/>
          <w:szCs w:val="16"/>
          <w:lang w:val="en-US"/>
        </w:rPr>
        <w:t xml:space="preserve"> is the gamma function and </w:t>
      </w:r>
      <m:oMath>
        <m:r>
          <w:rPr>
            <w:rFonts w:ascii="Cambria Math" w:hAnsi="Cambria Math" w:cstheme="majorBidi"/>
            <w:sz w:val="16"/>
            <w:szCs w:val="16"/>
            <w:lang w:val="en-US"/>
          </w:rPr>
          <m:t>υ</m:t>
        </m:r>
      </m:oMath>
      <w:r w:rsidRPr="00AE7F19">
        <w:rPr>
          <w:rFonts w:asciiTheme="majorBidi" w:hAnsiTheme="majorBidi" w:cstheme="majorBidi"/>
          <w:sz w:val="16"/>
          <w:szCs w:val="16"/>
          <w:lang w:val="en-US"/>
        </w:rPr>
        <w:t xml:space="preserve"> is the parameter that describes the thickness of the distribution tails. The Student distribution is symmetric around zero and, for </w:t>
      </w:r>
      <m:oMath>
        <m:r>
          <w:rPr>
            <w:rFonts w:ascii="Cambria Math" w:hAnsi="Cambria Math" w:cstheme="majorBidi"/>
            <w:sz w:val="16"/>
            <w:szCs w:val="16"/>
            <w:lang w:val="en-US"/>
          </w:rPr>
          <m:t>v</m:t>
        </m:r>
        <m:r>
          <w:rPr>
            <w:rFonts w:ascii="Cambria Math" w:hAnsiTheme="majorBidi" w:cstheme="majorBidi"/>
            <w:sz w:val="16"/>
            <w:szCs w:val="16"/>
            <w:lang w:val="en-US"/>
          </w:rPr>
          <m:t>&gt;4</m:t>
        </m:r>
      </m:oMath>
      <w:r w:rsidRPr="00AE7F19">
        <w:rPr>
          <w:rFonts w:asciiTheme="majorBidi" w:hAnsiTheme="majorBidi" w:cstheme="majorBidi"/>
          <w:sz w:val="16"/>
          <w:szCs w:val="16"/>
          <w:lang w:val="en-US"/>
        </w:rPr>
        <w:t xml:space="preserve">, the conditional kurtosis equals </w:t>
      </w:r>
      <m:oMath>
        <m:r>
          <w:rPr>
            <w:rFonts w:ascii="Cambria Math" w:hAnsiTheme="majorBidi" w:cstheme="majorBidi"/>
            <w:sz w:val="16"/>
            <w:szCs w:val="16"/>
            <w:lang w:val="en-US"/>
          </w:rPr>
          <m:t>3(</m:t>
        </m:r>
        <m:r>
          <w:rPr>
            <w:rFonts w:ascii="Cambria Math" w:hAnsi="Cambria Math" w:cstheme="majorBidi"/>
            <w:sz w:val="16"/>
            <w:szCs w:val="16"/>
            <w:lang w:val="en-US"/>
          </w:rPr>
          <m:t>v</m:t>
        </m:r>
        <m:r>
          <w:rPr>
            <w:rFonts w:asciiTheme="majorBidi" w:hAnsiTheme="majorBidi" w:cstheme="majorBidi"/>
            <w:sz w:val="16"/>
            <w:szCs w:val="16"/>
            <w:lang w:val="en-US"/>
          </w:rPr>
          <m:t>-</m:t>
        </m:r>
        <m:r>
          <w:rPr>
            <w:rFonts w:ascii="Cambria Math" w:hAnsiTheme="majorBidi" w:cstheme="majorBidi"/>
            <w:sz w:val="16"/>
            <w:szCs w:val="16"/>
            <w:lang w:val="en-US"/>
          </w:rPr>
          <m:t>2)/(</m:t>
        </m:r>
        <m:r>
          <w:rPr>
            <w:rFonts w:ascii="Cambria Math" w:hAnsi="Cambria Math" w:cstheme="majorBidi"/>
            <w:sz w:val="16"/>
            <w:szCs w:val="16"/>
            <w:lang w:val="en-US"/>
          </w:rPr>
          <m:t>v</m:t>
        </m:r>
        <m:r>
          <w:rPr>
            <w:rFonts w:asciiTheme="majorBidi" w:hAnsiTheme="majorBidi" w:cstheme="majorBidi"/>
            <w:sz w:val="16"/>
            <w:szCs w:val="16"/>
            <w:lang w:val="en-US"/>
          </w:rPr>
          <m:t>-</m:t>
        </m:r>
        <m:r>
          <w:rPr>
            <w:rFonts w:ascii="Cambria Math" w:hAnsiTheme="majorBidi" w:cstheme="majorBidi"/>
            <w:sz w:val="16"/>
            <w:szCs w:val="16"/>
            <w:lang w:val="en-US"/>
          </w:rPr>
          <m:t>4),</m:t>
        </m:r>
      </m:oMath>
      <w:r w:rsidRPr="00AE7F19">
        <w:rPr>
          <w:rFonts w:asciiTheme="majorBidi" w:hAnsiTheme="majorBidi" w:cstheme="majorBidi"/>
          <w:sz w:val="16"/>
          <w:szCs w:val="16"/>
          <w:lang w:val="en-US"/>
        </w:rPr>
        <w:t xml:space="preserve"> which exceeds the normal value of three. For large values of </w:t>
      </w:r>
      <m:oMath>
        <m:r>
          <w:rPr>
            <w:rFonts w:ascii="Cambria Math" w:hAnsi="Cambria Math" w:cstheme="majorBidi"/>
            <w:sz w:val="16"/>
            <w:szCs w:val="16"/>
            <w:lang w:val="en-US"/>
          </w:rPr>
          <m:t>v</m:t>
        </m:r>
      </m:oMath>
      <w:r w:rsidRPr="00AE7F19">
        <w:rPr>
          <w:rFonts w:asciiTheme="majorBidi" w:hAnsiTheme="majorBidi" w:cstheme="majorBidi"/>
          <w:sz w:val="16"/>
          <w:szCs w:val="16"/>
          <w:lang w:val="en-US"/>
        </w:rPr>
        <w:t>, its density converges to that of the standard normal.</w:t>
      </w:r>
    </w:p>
    <w:p w:rsidR="00341063" w:rsidRPr="00AE7F19" w:rsidRDefault="00341063" w:rsidP="00107FC4">
      <w:pPr>
        <w:spacing w:after="0" w:line="240" w:lineRule="auto"/>
        <w:jc w:val="both"/>
        <w:rPr>
          <w:rFonts w:asciiTheme="majorBidi" w:eastAsia="Times New Roman" w:hAnsiTheme="majorBidi" w:cstheme="majorBidi"/>
          <w:sz w:val="16"/>
          <w:szCs w:val="16"/>
          <w:lang w:val="en-US" w:eastAsia="fr-FR"/>
        </w:rPr>
      </w:pPr>
    </w:p>
    <w:p w:rsidR="00341063" w:rsidRPr="00AE7F19" w:rsidRDefault="00341063" w:rsidP="00107FC4">
      <w:pPr>
        <w:spacing w:after="0" w:line="240" w:lineRule="auto"/>
        <w:jc w:val="both"/>
        <w:rPr>
          <w:rFonts w:asciiTheme="majorBidi" w:eastAsia="Times New Roman" w:hAnsiTheme="majorBidi" w:cstheme="majorBidi"/>
          <w:sz w:val="16"/>
          <w:szCs w:val="16"/>
          <w:lang w:val="en-US" w:eastAsia="fr-FR"/>
        </w:rPr>
      </w:pPr>
      <w:r w:rsidRPr="00AE7F19">
        <w:rPr>
          <w:rFonts w:asciiTheme="majorBidi" w:eastAsia="Times New Roman" w:hAnsiTheme="majorBidi" w:cstheme="majorBidi"/>
          <w:sz w:val="16"/>
          <w:szCs w:val="16"/>
          <w:lang w:val="en-US" w:eastAsia="fr-FR"/>
        </w:rPr>
        <w:t>For a Student-</w:t>
      </w:r>
      <w:r w:rsidRPr="00AE7F19">
        <w:rPr>
          <w:rFonts w:asciiTheme="majorBidi" w:eastAsia="Times New Roman" w:hAnsiTheme="majorBidi" w:cstheme="majorBidi"/>
          <w:i/>
          <w:iCs/>
          <w:sz w:val="16"/>
          <w:szCs w:val="16"/>
          <w:lang w:val="en-US" w:eastAsia="fr-FR"/>
        </w:rPr>
        <w:t>t </w:t>
      </w:r>
      <w:r w:rsidRPr="00AE7F19">
        <w:rPr>
          <w:rFonts w:asciiTheme="majorBidi" w:eastAsia="Times New Roman" w:hAnsiTheme="majorBidi" w:cstheme="majorBidi"/>
          <w:sz w:val="16"/>
          <w:szCs w:val="16"/>
          <w:lang w:val="en-US" w:eastAsia="fr-FR"/>
        </w:rPr>
        <w:t xml:space="preserve">distribution, the log-likelihood is given as: </w:t>
      </w:r>
      <m:oMath>
        <m:sSub>
          <m:sSubPr>
            <m:ctrlPr>
              <w:rPr>
                <w:rFonts w:ascii="Cambria Math" w:eastAsia="Times New Roman" w:hAnsiTheme="majorBidi" w:cstheme="majorBidi"/>
                <w:i/>
                <w:sz w:val="16"/>
                <w:szCs w:val="16"/>
                <w:lang w:val="en-US" w:eastAsia="fr-FR"/>
              </w:rPr>
            </m:ctrlPr>
          </m:sSubPr>
          <m:e>
            <m:r>
              <w:rPr>
                <w:rFonts w:ascii="Cambria Math" w:eastAsia="Times New Roman" w:hAnsi="Cambria Math" w:cstheme="majorBidi"/>
                <w:sz w:val="16"/>
                <w:szCs w:val="16"/>
                <w:lang w:val="en-US" w:eastAsia="fr-FR"/>
              </w:rPr>
              <m:t>L</m:t>
            </m:r>
          </m:e>
          <m:sub>
            <m:r>
              <w:rPr>
                <w:rFonts w:ascii="Cambria Math" w:eastAsia="Times New Roman" w:hAnsi="Cambria Math" w:cstheme="majorBidi"/>
                <w:sz w:val="16"/>
                <w:szCs w:val="16"/>
                <w:lang w:val="en-US" w:eastAsia="fr-FR"/>
              </w:rPr>
              <m:t>Student</m:t>
            </m:r>
          </m:sub>
        </m:sSub>
        <m:r>
          <w:rPr>
            <w:rFonts w:ascii="Cambria Math" w:eastAsia="Times New Roman" w:hAnsiTheme="majorBidi" w:cstheme="majorBidi"/>
            <w:sz w:val="16"/>
            <w:szCs w:val="16"/>
            <w:lang w:val="en-US" w:eastAsia="fr-FR"/>
          </w:rPr>
          <m:t>=</m:t>
        </m:r>
        <m:r>
          <w:rPr>
            <w:rFonts w:ascii="Cambria Math" w:eastAsia="Times New Roman" w:hAnsi="Cambria Math" w:cstheme="majorBidi"/>
            <w:sz w:val="16"/>
            <w:szCs w:val="16"/>
            <w:lang w:val="en-US" w:eastAsia="fr-FR"/>
          </w:rPr>
          <m:t>T</m:t>
        </m:r>
        <m:d>
          <m:dPr>
            <m:begChr m:val="{"/>
            <m:endChr m:val="}"/>
            <m:ctrlPr>
              <w:rPr>
                <w:rFonts w:ascii="Cambria Math" w:eastAsia="Times New Roman" w:hAnsiTheme="majorBidi" w:cstheme="majorBidi"/>
                <w:i/>
                <w:sz w:val="16"/>
                <w:szCs w:val="16"/>
                <w:lang w:val="en-US" w:eastAsia="fr-FR"/>
              </w:rPr>
            </m:ctrlPr>
          </m:dPr>
          <m:e>
            <m:r>
              <w:rPr>
                <w:rFonts w:ascii="Cambria Math" w:eastAsia="Times New Roman" w:hAnsi="Cambria Math" w:cstheme="majorBidi"/>
                <w:sz w:val="16"/>
                <w:szCs w:val="16"/>
                <w:lang w:val="en-US" w:eastAsia="fr-FR"/>
              </w:rPr>
              <m:t>log</m:t>
            </m:r>
            <m:r>
              <m:rPr>
                <m:sty m:val="p"/>
              </m:rPr>
              <w:rPr>
                <w:rFonts w:asciiTheme="majorBidi" w:eastAsia="Times New Roman" w:hAnsiTheme="majorBidi" w:cstheme="majorBidi"/>
                <w:sz w:val="16"/>
                <w:szCs w:val="16"/>
                <w:lang w:val="en-US" w:eastAsia="fr-FR"/>
              </w:rPr>
              <m:t>Γ</m:t>
            </m:r>
            <m:d>
              <m:dPr>
                <m:ctrlPr>
                  <w:rPr>
                    <w:rFonts w:ascii="Cambria Math" w:eastAsia="Times New Roman" w:hAnsiTheme="majorBidi" w:cstheme="majorBidi"/>
                    <w:i/>
                    <w:sz w:val="16"/>
                    <w:szCs w:val="16"/>
                    <w:lang w:val="en-US" w:eastAsia="fr-FR"/>
                  </w:rPr>
                </m:ctrlPr>
              </m:dPr>
              <m:e>
                <m:f>
                  <m:fPr>
                    <m:ctrlPr>
                      <w:rPr>
                        <w:rFonts w:ascii="Cambria Math" w:eastAsia="Times New Roman" w:hAnsiTheme="majorBidi" w:cstheme="majorBidi"/>
                        <w:i/>
                        <w:sz w:val="16"/>
                        <w:szCs w:val="16"/>
                        <w:lang w:val="en-US" w:eastAsia="fr-FR"/>
                      </w:rPr>
                    </m:ctrlPr>
                  </m:fPr>
                  <m:num>
                    <m:r>
                      <w:rPr>
                        <w:rFonts w:ascii="Cambria Math" w:eastAsia="Times New Roman" w:hAnsi="Cambria Math" w:cstheme="majorBidi"/>
                        <w:sz w:val="16"/>
                        <w:szCs w:val="16"/>
                        <w:lang w:val="en-US" w:eastAsia="fr-FR"/>
                      </w:rPr>
                      <m:t>v</m:t>
                    </m:r>
                    <m:r>
                      <w:rPr>
                        <w:rFonts w:ascii="Cambria Math" w:eastAsia="Times New Roman" w:hAnsiTheme="majorBidi" w:cstheme="majorBidi"/>
                        <w:sz w:val="16"/>
                        <w:szCs w:val="16"/>
                        <w:lang w:val="en-US" w:eastAsia="fr-FR"/>
                      </w:rPr>
                      <m:t>+1</m:t>
                    </m:r>
                  </m:num>
                  <m:den>
                    <m:r>
                      <w:rPr>
                        <w:rFonts w:ascii="Cambria Math" w:eastAsia="Times New Roman" w:hAnsiTheme="majorBidi" w:cstheme="majorBidi"/>
                        <w:sz w:val="16"/>
                        <w:szCs w:val="16"/>
                        <w:lang w:val="en-US" w:eastAsia="fr-FR"/>
                      </w:rPr>
                      <m:t>2</m:t>
                    </m:r>
                  </m:den>
                </m:f>
              </m:e>
            </m:d>
            <m:r>
              <w:rPr>
                <w:rFonts w:asciiTheme="majorBidi" w:eastAsia="Times New Roman" w:hAnsiTheme="majorBidi" w:cstheme="majorBidi"/>
                <w:sz w:val="16"/>
                <w:szCs w:val="16"/>
                <w:lang w:val="en-US" w:eastAsia="fr-FR"/>
              </w:rPr>
              <m:t>-</m:t>
            </m:r>
            <m:r>
              <w:rPr>
                <w:rFonts w:ascii="Cambria Math" w:eastAsia="Times New Roman" w:hAnsi="Cambria Math" w:cstheme="majorBidi"/>
                <w:sz w:val="16"/>
                <w:szCs w:val="16"/>
                <w:lang w:val="en-US" w:eastAsia="fr-FR"/>
              </w:rPr>
              <m:t>log</m:t>
            </m:r>
            <m:r>
              <m:rPr>
                <m:sty m:val="p"/>
              </m:rPr>
              <w:rPr>
                <w:rFonts w:asciiTheme="majorBidi" w:eastAsia="Times New Roman" w:hAnsiTheme="majorBidi" w:cstheme="majorBidi"/>
                <w:sz w:val="16"/>
                <w:szCs w:val="16"/>
                <w:lang w:val="en-US" w:eastAsia="fr-FR"/>
              </w:rPr>
              <m:t>Γ</m:t>
            </m:r>
            <m:d>
              <m:dPr>
                <m:ctrlPr>
                  <w:rPr>
                    <w:rFonts w:ascii="Cambria Math" w:eastAsia="Times New Roman" w:hAnsiTheme="majorBidi" w:cstheme="majorBidi"/>
                    <w:i/>
                    <w:sz w:val="16"/>
                    <w:szCs w:val="16"/>
                    <w:lang w:val="en-US" w:eastAsia="fr-FR"/>
                  </w:rPr>
                </m:ctrlPr>
              </m:dPr>
              <m:e>
                <m:f>
                  <m:fPr>
                    <m:ctrlPr>
                      <w:rPr>
                        <w:rFonts w:ascii="Cambria Math" w:eastAsia="Times New Roman" w:hAnsiTheme="majorBidi" w:cstheme="majorBidi"/>
                        <w:i/>
                        <w:sz w:val="16"/>
                        <w:szCs w:val="16"/>
                        <w:lang w:val="en-US" w:eastAsia="fr-FR"/>
                      </w:rPr>
                    </m:ctrlPr>
                  </m:fPr>
                  <m:num>
                    <m:r>
                      <w:rPr>
                        <w:rFonts w:ascii="Cambria Math" w:eastAsia="Times New Roman" w:hAnsi="Cambria Math" w:cstheme="majorBidi"/>
                        <w:sz w:val="16"/>
                        <w:szCs w:val="16"/>
                        <w:lang w:val="en-US" w:eastAsia="fr-FR"/>
                      </w:rPr>
                      <m:t>v</m:t>
                    </m:r>
                  </m:num>
                  <m:den>
                    <m:r>
                      <w:rPr>
                        <w:rFonts w:ascii="Cambria Math" w:eastAsia="Times New Roman" w:hAnsiTheme="majorBidi" w:cstheme="majorBidi"/>
                        <w:sz w:val="16"/>
                        <w:szCs w:val="16"/>
                        <w:lang w:val="en-US" w:eastAsia="fr-FR"/>
                      </w:rPr>
                      <m:t>2</m:t>
                    </m:r>
                  </m:den>
                </m:f>
              </m:e>
            </m:d>
            <m:r>
              <w:rPr>
                <w:rFonts w:asciiTheme="majorBidi" w:eastAsia="Times New Roman" w:hAnsiTheme="majorBidi" w:cstheme="majorBidi"/>
                <w:sz w:val="16"/>
                <w:szCs w:val="16"/>
                <w:lang w:val="en-US" w:eastAsia="fr-FR"/>
              </w:rPr>
              <m:t>-</m:t>
            </m:r>
            <m:f>
              <m:fPr>
                <m:ctrlPr>
                  <w:rPr>
                    <w:rFonts w:ascii="Cambria Math" w:eastAsia="Times New Roman" w:hAnsiTheme="majorBidi" w:cstheme="majorBidi"/>
                    <w:i/>
                    <w:sz w:val="16"/>
                    <w:szCs w:val="16"/>
                    <w:lang w:val="en-US" w:eastAsia="fr-FR"/>
                  </w:rPr>
                </m:ctrlPr>
              </m:fPr>
              <m:num>
                <m:r>
                  <w:rPr>
                    <w:rFonts w:ascii="Cambria Math" w:eastAsia="Times New Roman" w:hAnsiTheme="majorBidi" w:cstheme="majorBidi"/>
                    <w:sz w:val="16"/>
                    <w:szCs w:val="16"/>
                    <w:lang w:val="en-US" w:eastAsia="fr-FR"/>
                  </w:rPr>
                  <m:t>1</m:t>
                </m:r>
              </m:num>
              <m:den>
                <m:r>
                  <w:rPr>
                    <w:rFonts w:ascii="Cambria Math" w:eastAsia="Times New Roman" w:hAnsiTheme="majorBidi" w:cstheme="majorBidi"/>
                    <w:sz w:val="16"/>
                    <w:szCs w:val="16"/>
                    <w:lang w:val="en-US" w:eastAsia="fr-FR"/>
                  </w:rPr>
                  <m:t>2</m:t>
                </m:r>
              </m:den>
            </m:f>
            <m:r>
              <w:rPr>
                <w:rFonts w:ascii="Cambria Math" w:eastAsia="Times New Roman" w:hAnsi="Cambria Math" w:cstheme="majorBidi"/>
                <w:sz w:val="16"/>
                <w:szCs w:val="16"/>
                <w:lang w:val="en-US" w:eastAsia="fr-FR"/>
              </w:rPr>
              <m:t>log</m:t>
            </m:r>
            <m:d>
              <m:dPr>
                <m:begChr m:val="["/>
                <m:endChr m:val="]"/>
                <m:ctrlPr>
                  <w:rPr>
                    <w:rFonts w:ascii="Cambria Math" w:eastAsia="Times New Roman" w:hAnsiTheme="majorBidi" w:cstheme="majorBidi"/>
                    <w:i/>
                    <w:sz w:val="16"/>
                    <w:szCs w:val="16"/>
                    <w:lang w:val="en-US" w:eastAsia="fr-FR"/>
                  </w:rPr>
                </m:ctrlPr>
              </m:dPr>
              <m:e>
                <m:r>
                  <w:rPr>
                    <w:rFonts w:ascii="Cambria Math" w:eastAsia="Times New Roman" w:hAnsi="Cambria Math" w:cstheme="majorBidi"/>
                    <w:sz w:val="16"/>
                    <w:szCs w:val="16"/>
                    <w:lang w:val="en-US" w:eastAsia="fr-FR"/>
                  </w:rPr>
                  <m:t>π</m:t>
                </m:r>
                <m:r>
                  <w:rPr>
                    <w:rFonts w:ascii="Cambria Math" w:eastAsia="Times New Roman" w:hAnsiTheme="majorBidi" w:cstheme="majorBidi"/>
                    <w:sz w:val="16"/>
                    <w:szCs w:val="16"/>
                    <w:lang w:val="en-US" w:eastAsia="fr-FR"/>
                  </w:rPr>
                  <m:t>(</m:t>
                </m:r>
                <m:r>
                  <w:rPr>
                    <w:rFonts w:ascii="Cambria Math" w:eastAsia="Times New Roman" w:hAnsi="Cambria Math" w:cstheme="majorBidi"/>
                    <w:sz w:val="16"/>
                    <w:szCs w:val="16"/>
                    <w:lang w:val="en-US" w:eastAsia="fr-FR"/>
                  </w:rPr>
                  <m:t>v</m:t>
                </m:r>
                <m:r>
                  <w:rPr>
                    <w:rFonts w:asciiTheme="majorBidi" w:eastAsia="Times New Roman" w:hAnsiTheme="majorBidi" w:cstheme="majorBidi"/>
                    <w:sz w:val="16"/>
                    <w:szCs w:val="16"/>
                    <w:lang w:val="en-US" w:eastAsia="fr-FR"/>
                  </w:rPr>
                  <m:t>-</m:t>
                </m:r>
                <m:r>
                  <w:rPr>
                    <w:rFonts w:ascii="Cambria Math" w:eastAsia="Times New Roman" w:hAnsiTheme="majorBidi" w:cstheme="majorBidi"/>
                    <w:sz w:val="16"/>
                    <w:szCs w:val="16"/>
                    <w:lang w:val="en-US" w:eastAsia="fr-FR"/>
                  </w:rPr>
                  <m:t>2)</m:t>
                </m:r>
              </m:e>
            </m:d>
          </m:e>
        </m:d>
        <m:r>
          <w:rPr>
            <w:rFonts w:asciiTheme="majorBidi" w:eastAsia="Times New Roman" w:hAnsiTheme="majorBidi" w:cstheme="majorBidi"/>
            <w:sz w:val="16"/>
            <w:szCs w:val="16"/>
            <w:lang w:val="en-US" w:eastAsia="fr-FR"/>
          </w:rPr>
          <m:t>-</m:t>
        </m:r>
        <m:f>
          <m:fPr>
            <m:ctrlPr>
              <w:rPr>
                <w:rFonts w:ascii="Cambria Math" w:eastAsia="Times New Roman" w:hAnsiTheme="majorBidi" w:cstheme="majorBidi"/>
                <w:i/>
                <w:sz w:val="16"/>
                <w:szCs w:val="16"/>
                <w:lang w:val="en-US" w:eastAsia="fr-FR"/>
              </w:rPr>
            </m:ctrlPr>
          </m:fPr>
          <m:num>
            <m:r>
              <w:rPr>
                <w:rFonts w:ascii="Cambria Math" w:eastAsia="Times New Roman" w:hAnsiTheme="majorBidi" w:cstheme="majorBidi"/>
                <w:sz w:val="16"/>
                <w:szCs w:val="16"/>
                <w:lang w:val="en-US" w:eastAsia="fr-FR"/>
              </w:rPr>
              <m:t>1</m:t>
            </m:r>
          </m:num>
          <m:den>
            <m:r>
              <w:rPr>
                <w:rFonts w:ascii="Cambria Math" w:eastAsia="Times New Roman" w:hAnsiTheme="majorBidi" w:cstheme="majorBidi"/>
                <w:sz w:val="16"/>
                <w:szCs w:val="16"/>
                <w:lang w:val="en-US" w:eastAsia="fr-FR"/>
              </w:rPr>
              <m:t>2</m:t>
            </m:r>
          </m:den>
        </m:f>
        <m:nary>
          <m:naryPr>
            <m:chr m:val="∑"/>
            <m:limLoc m:val="undOvr"/>
            <m:ctrlPr>
              <w:rPr>
                <w:rFonts w:ascii="Cambria Math" w:eastAsia="Times New Roman" w:hAnsiTheme="majorBidi" w:cstheme="majorBidi"/>
                <w:i/>
                <w:sz w:val="16"/>
                <w:szCs w:val="16"/>
                <w:lang w:val="en-US" w:eastAsia="fr-FR"/>
              </w:rPr>
            </m:ctrlPr>
          </m:naryPr>
          <m:sub>
            <m:r>
              <w:rPr>
                <w:rFonts w:ascii="Cambria Math" w:eastAsia="Times New Roman" w:hAnsi="Cambria Math" w:cstheme="majorBidi"/>
                <w:sz w:val="16"/>
                <w:szCs w:val="16"/>
                <w:lang w:val="en-US" w:eastAsia="fr-FR"/>
              </w:rPr>
              <m:t>t</m:t>
            </m:r>
            <m:r>
              <w:rPr>
                <w:rFonts w:ascii="Cambria Math" w:eastAsia="Times New Roman" w:hAnsiTheme="majorBidi" w:cstheme="majorBidi"/>
                <w:sz w:val="16"/>
                <w:szCs w:val="16"/>
                <w:lang w:val="en-US" w:eastAsia="fr-FR"/>
              </w:rPr>
              <m:t>=1</m:t>
            </m:r>
          </m:sub>
          <m:sup>
            <m:r>
              <w:rPr>
                <w:rFonts w:ascii="Cambria Math" w:eastAsia="Times New Roman" w:hAnsi="Cambria Math" w:cstheme="majorBidi"/>
                <w:sz w:val="16"/>
                <w:szCs w:val="16"/>
                <w:lang w:val="en-US" w:eastAsia="fr-FR"/>
              </w:rPr>
              <m:t>T</m:t>
            </m:r>
          </m:sup>
          <m:e>
            <m:d>
              <m:dPr>
                <m:begChr m:val="["/>
                <m:endChr m:val="]"/>
                <m:ctrlPr>
                  <w:rPr>
                    <w:rFonts w:ascii="Cambria Math" w:eastAsia="Times New Roman" w:hAnsiTheme="majorBidi" w:cstheme="majorBidi"/>
                    <w:i/>
                    <w:sz w:val="16"/>
                    <w:szCs w:val="16"/>
                    <w:lang w:val="en-US" w:eastAsia="fr-FR"/>
                  </w:rPr>
                </m:ctrlPr>
              </m:dPr>
              <m:e>
                <m:func>
                  <m:funcPr>
                    <m:ctrlPr>
                      <w:rPr>
                        <w:rFonts w:ascii="Cambria Math" w:eastAsia="Times New Roman" w:hAnsiTheme="majorBidi" w:cstheme="majorBidi"/>
                        <w:sz w:val="16"/>
                        <w:szCs w:val="16"/>
                        <w:lang w:val="en-US" w:eastAsia="fr-FR"/>
                      </w:rPr>
                    </m:ctrlPr>
                  </m:funcPr>
                  <m:fName>
                    <m:r>
                      <m:rPr>
                        <m:sty m:val="p"/>
                      </m:rPr>
                      <w:rPr>
                        <w:rFonts w:ascii="Cambria Math" w:eastAsia="Times New Roman" w:hAnsiTheme="majorBidi" w:cstheme="majorBidi"/>
                        <w:sz w:val="16"/>
                        <w:szCs w:val="16"/>
                        <w:lang w:val="en-US" w:eastAsia="fr-FR"/>
                      </w:rPr>
                      <m:t>log</m:t>
                    </m:r>
                  </m:fName>
                  <m:e>
                    <m:d>
                      <m:dPr>
                        <m:ctrlPr>
                          <w:rPr>
                            <w:rFonts w:ascii="Cambria Math" w:eastAsia="Times New Roman" w:hAnsiTheme="majorBidi" w:cstheme="majorBidi"/>
                            <w:i/>
                            <w:sz w:val="16"/>
                            <w:szCs w:val="16"/>
                            <w:lang w:val="en-US" w:eastAsia="fr-FR"/>
                          </w:rPr>
                        </m:ctrlPr>
                      </m:dPr>
                      <m:e>
                        <m:sSub>
                          <m:sSubPr>
                            <m:ctrlPr>
                              <w:rPr>
                                <w:rFonts w:ascii="Cambria Math" w:eastAsia="Times New Roman" w:hAnsiTheme="majorBidi" w:cstheme="majorBidi"/>
                                <w:i/>
                                <w:sz w:val="16"/>
                                <w:szCs w:val="16"/>
                                <w:lang w:val="en-US" w:eastAsia="fr-FR"/>
                              </w:rPr>
                            </m:ctrlPr>
                          </m:sSubPr>
                          <m:e>
                            <m:r>
                              <w:rPr>
                                <w:rFonts w:asciiTheme="majorBidi" w:eastAsia="Times New Roman" w:hAnsi="Cambria Math" w:cstheme="majorBidi"/>
                                <w:sz w:val="16"/>
                                <w:szCs w:val="16"/>
                                <w:lang w:val="en-US" w:eastAsia="fr-FR"/>
                              </w:rPr>
                              <m:t>h</m:t>
                            </m:r>
                          </m:e>
                          <m:sub>
                            <m:r>
                              <w:rPr>
                                <w:rFonts w:ascii="Cambria Math" w:eastAsia="Times New Roman" w:hAnsi="Cambria Math" w:cstheme="majorBidi"/>
                                <w:sz w:val="16"/>
                                <w:szCs w:val="16"/>
                                <w:lang w:val="en-US" w:eastAsia="fr-FR"/>
                              </w:rPr>
                              <m:t>t</m:t>
                            </m:r>
                          </m:sub>
                        </m:sSub>
                      </m:e>
                    </m:d>
                    <m:ctrlPr>
                      <w:rPr>
                        <w:rFonts w:ascii="Cambria Math" w:eastAsia="Times New Roman" w:hAnsiTheme="majorBidi" w:cstheme="majorBidi"/>
                        <w:i/>
                        <w:sz w:val="16"/>
                        <w:szCs w:val="16"/>
                        <w:lang w:val="en-US" w:eastAsia="fr-FR"/>
                      </w:rPr>
                    </m:ctrlPr>
                  </m:e>
                </m:func>
                <m:r>
                  <w:rPr>
                    <w:rFonts w:ascii="Cambria Math" w:eastAsia="Times New Roman" w:hAnsiTheme="majorBidi" w:cstheme="majorBidi"/>
                    <w:sz w:val="16"/>
                    <w:szCs w:val="16"/>
                    <w:lang w:val="en-US" w:eastAsia="fr-FR"/>
                  </w:rPr>
                  <m:t>+</m:t>
                </m:r>
                <m:d>
                  <m:dPr>
                    <m:ctrlPr>
                      <w:rPr>
                        <w:rFonts w:ascii="Cambria Math" w:eastAsia="Times New Roman" w:hAnsiTheme="majorBidi" w:cstheme="majorBidi"/>
                        <w:i/>
                        <w:sz w:val="16"/>
                        <w:szCs w:val="16"/>
                        <w:lang w:val="en-US" w:eastAsia="fr-FR"/>
                      </w:rPr>
                    </m:ctrlPr>
                  </m:dPr>
                  <m:e>
                    <m:r>
                      <w:rPr>
                        <w:rFonts w:ascii="Cambria Math" w:eastAsia="Times New Roman" w:hAnsiTheme="majorBidi" w:cstheme="majorBidi"/>
                        <w:sz w:val="16"/>
                        <w:szCs w:val="16"/>
                        <w:lang w:val="en-US" w:eastAsia="fr-FR"/>
                      </w:rPr>
                      <m:t>1+</m:t>
                    </m:r>
                    <m:r>
                      <w:rPr>
                        <w:rFonts w:ascii="Cambria Math" w:eastAsia="Times New Roman" w:hAnsi="Cambria Math" w:cstheme="majorBidi"/>
                        <w:sz w:val="16"/>
                        <w:szCs w:val="16"/>
                        <w:lang w:val="en-US" w:eastAsia="fr-FR"/>
                      </w:rPr>
                      <m:t>v</m:t>
                    </m:r>
                  </m:e>
                </m:d>
                <m:r>
                  <w:rPr>
                    <w:rFonts w:ascii="Cambria Math" w:eastAsia="Times New Roman" w:hAnsi="Cambria Math" w:cstheme="majorBidi"/>
                    <w:sz w:val="16"/>
                    <w:szCs w:val="16"/>
                    <w:lang w:val="en-US" w:eastAsia="fr-FR"/>
                  </w:rPr>
                  <m:t>log</m:t>
                </m:r>
                <m:d>
                  <m:dPr>
                    <m:ctrlPr>
                      <w:rPr>
                        <w:rFonts w:ascii="Cambria Math" w:eastAsia="Times New Roman" w:hAnsiTheme="majorBidi" w:cstheme="majorBidi"/>
                        <w:i/>
                        <w:sz w:val="16"/>
                        <w:szCs w:val="16"/>
                        <w:lang w:val="en-US" w:eastAsia="fr-FR"/>
                      </w:rPr>
                    </m:ctrlPr>
                  </m:dPr>
                  <m:e>
                    <m:r>
                      <w:rPr>
                        <w:rFonts w:ascii="Cambria Math" w:eastAsia="Times New Roman" w:hAnsiTheme="majorBidi" w:cstheme="majorBidi"/>
                        <w:sz w:val="16"/>
                        <w:szCs w:val="16"/>
                        <w:lang w:val="en-US" w:eastAsia="fr-FR"/>
                      </w:rPr>
                      <m:t>1+</m:t>
                    </m:r>
                    <m:f>
                      <m:fPr>
                        <m:ctrlPr>
                          <w:rPr>
                            <w:rFonts w:ascii="Cambria Math" w:eastAsia="Times New Roman" w:hAnsiTheme="majorBidi" w:cstheme="majorBidi"/>
                            <w:i/>
                            <w:sz w:val="16"/>
                            <w:szCs w:val="16"/>
                            <w:lang w:val="en-US" w:eastAsia="fr-FR"/>
                          </w:rPr>
                        </m:ctrlPr>
                      </m:fPr>
                      <m:num>
                        <m:sSubSup>
                          <m:sSubSupPr>
                            <m:ctrlPr>
                              <w:rPr>
                                <w:rFonts w:ascii="Cambria Math" w:eastAsia="Times New Roman" w:hAnsiTheme="majorBidi" w:cstheme="majorBidi"/>
                                <w:i/>
                                <w:sz w:val="16"/>
                                <w:szCs w:val="16"/>
                                <w:lang w:val="en-US" w:eastAsia="fr-FR"/>
                              </w:rPr>
                            </m:ctrlPr>
                          </m:sSubSupPr>
                          <m:e>
                            <m:r>
                              <w:rPr>
                                <w:rFonts w:ascii="Cambria Math" w:eastAsia="Times New Roman" w:hAnsi="Cambria Math" w:cstheme="majorBidi"/>
                                <w:sz w:val="16"/>
                                <w:szCs w:val="16"/>
                                <w:lang w:val="en-US" w:eastAsia="fr-FR"/>
                              </w:rPr>
                              <m:t>z</m:t>
                            </m:r>
                          </m:e>
                          <m:sub>
                            <m:r>
                              <w:rPr>
                                <w:rFonts w:ascii="Cambria Math" w:eastAsia="Times New Roman" w:hAnsi="Cambria Math" w:cstheme="majorBidi"/>
                                <w:sz w:val="16"/>
                                <w:szCs w:val="16"/>
                                <w:lang w:val="en-US" w:eastAsia="fr-FR"/>
                              </w:rPr>
                              <m:t>t</m:t>
                            </m:r>
                          </m:sub>
                          <m:sup>
                            <m:r>
                              <w:rPr>
                                <w:rFonts w:ascii="Cambria Math" w:eastAsia="Times New Roman" w:hAnsiTheme="majorBidi" w:cstheme="majorBidi"/>
                                <w:sz w:val="16"/>
                                <w:szCs w:val="16"/>
                                <w:lang w:val="en-US" w:eastAsia="fr-FR"/>
                              </w:rPr>
                              <m:t>2</m:t>
                            </m:r>
                          </m:sup>
                        </m:sSubSup>
                      </m:num>
                      <m:den>
                        <m:r>
                          <w:rPr>
                            <w:rFonts w:ascii="Cambria Math" w:eastAsia="Times New Roman" w:hAnsi="Cambria Math" w:cstheme="majorBidi"/>
                            <w:sz w:val="16"/>
                            <w:szCs w:val="16"/>
                            <w:lang w:val="en-US" w:eastAsia="fr-FR"/>
                          </w:rPr>
                          <m:t>v</m:t>
                        </m:r>
                        <m:r>
                          <w:rPr>
                            <w:rFonts w:asciiTheme="majorBidi" w:eastAsia="Times New Roman" w:hAnsiTheme="majorBidi" w:cstheme="majorBidi"/>
                            <w:sz w:val="16"/>
                            <w:szCs w:val="16"/>
                            <w:lang w:val="en-US" w:eastAsia="fr-FR"/>
                          </w:rPr>
                          <m:t>-</m:t>
                        </m:r>
                        <m:r>
                          <w:rPr>
                            <w:rFonts w:ascii="Cambria Math" w:eastAsia="Times New Roman" w:hAnsiTheme="majorBidi" w:cstheme="majorBidi"/>
                            <w:sz w:val="16"/>
                            <w:szCs w:val="16"/>
                            <w:lang w:val="en-US" w:eastAsia="fr-FR"/>
                          </w:rPr>
                          <m:t>2</m:t>
                        </m:r>
                      </m:den>
                    </m:f>
                  </m:e>
                </m:d>
              </m:e>
            </m:d>
          </m:e>
        </m:nary>
      </m:oMath>
    </w:p>
    <w:p w:rsidR="00341063" w:rsidRPr="00AE7F19" w:rsidRDefault="00341063" w:rsidP="00107FC4">
      <w:pPr>
        <w:spacing w:after="0" w:line="240" w:lineRule="auto"/>
        <w:ind w:firstLine="357"/>
        <w:jc w:val="both"/>
        <w:rPr>
          <w:rFonts w:asciiTheme="majorBidi" w:eastAsia="Times New Roman" w:hAnsiTheme="majorBidi" w:cstheme="majorBidi"/>
          <w:sz w:val="16"/>
          <w:szCs w:val="16"/>
          <w:lang w:val="en-US" w:eastAsia="fr-FR"/>
        </w:rPr>
      </w:pPr>
    </w:p>
    <w:p w:rsidR="00341063" w:rsidRPr="00AE7F19" w:rsidRDefault="00341063" w:rsidP="00107FC4">
      <w:pPr>
        <w:pStyle w:val="Notedebasdepage"/>
        <w:rPr>
          <w:rFonts w:asciiTheme="majorBidi" w:hAnsiTheme="majorBidi" w:cstheme="majorBidi"/>
          <w:sz w:val="16"/>
          <w:szCs w:val="16"/>
          <w:lang w:val="en-US"/>
        </w:rPr>
      </w:pPr>
      <w:r>
        <w:rPr>
          <w:rFonts w:asciiTheme="majorBidi" w:eastAsia="Times New Roman" w:hAnsiTheme="majorBidi" w:cstheme="majorBidi"/>
          <w:sz w:val="16"/>
          <w:szCs w:val="16"/>
          <w:lang w:val="en-US" w:eastAsia="fr-FR"/>
        </w:rPr>
        <w:t>w</w:t>
      </w:r>
      <w:r w:rsidRPr="00AE7F19">
        <w:rPr>
          <w:rFonts w:asciiTheme="majorBidi" w:eastAsia="Times New Roman" w:hAnsiTheme="majorBidi" w:cstheme="majorBidi"/>
          <w:sz w:val="16"/>
          <w:szCs w:val="16"/>
          <w:lang w:val="en-US" w:eastAsia="fr-FR"/>
        </w:rPr>
        <w:t>here</w:t>
      </w:r>
      <m:oMath>
        <m:r>
          <w:rPr>
            <w:rFonts w:ascii="Cambria Math" w:eastAsia="Times New Roman" w:hAnsi="Cambria Math" w:cstheme="majorBidi"/>
            <w:sz w:val="16"/>
            <w:szCs w:val="16"/>
            <w:lang w:val="en-US" w:eastAsia="fr-FR"/>
          </w:rPr>
          <m:t>T</m:t>
        </m:r>
      </m:oMath>
      <w:r w:rsidRPr="00AE7F19">
        <w:rPr>
          <w:rFonts w:asciiTheme="majorBidi" w:eastAsia="Times New Roman" w:hAnsiTheme="majorBidi" w:cstheme="majorBidi"/>
          <w:i/>
          <w:iCs/>
          <w:sz w:val="16"/>
          <w:szCs w:val="16"/>
          <w:lang w:val="en-US" w:eastAsia="fr-FR"/>
        </w:rPr>
        <w:t> </w:t>
      </w:r>
      <w:r w:rsidRPr="00AE7F19">
        <w:rPr>
          <w:rFonts w:asciiTheme="majorBidi" w:eastAsia="Times New Roman" w:hAnsiTheme="majorBidi" w:cstheme="majorBidi"/>
          <w:sz w:val="16"/>
          <w:szCs w:val="16"/>
          <w:lang w:val="en-US" w:eastAsia="fr-FR"/>
        </w:rPr>
        <w:t>is the number of observations, </w:t>
      </w:r>
      <m:oMath>
        <m:r>
          <w:rPr>
            <w:rFonts w:ascii="Cambria Math" w:eastAsia="Times New Roman" w:hAnsi="Cambria Math" w:cstheme="majorBidi"/>
            <w:sz w:val="16"/>
            <w:szCs w:val="16"/>
            <w:lang w:eastAsia="fr-FR"/>
          </w:rPr>
          <m:t>v</m:t>
        </m:r>
      </m:oMath>
      <w:r w:rsidRPr="00AE7F19">
        <w:rPr>
          <w:rFonts w:asciiTheme="majorBidi" w:eastAsia="Times New Roman" w:hAnsiTheme="majorBidi" w:cstheme="majorBidi"/>
          <w:sz w:val="16"/>
          <w:szCs w:val="16"/>
          <w:lang w:val="en-US" w:eastAsia="fr-FR"/>
        </w:rPr>
        <w:t> is the degrees of freedom, </w:t>
      </w:r>
      <m:oMath>
        <m:r>
          <w:rPr>
            <w:rFonts w:ascii="Cambria Math" w:eastAsia="Times New Roman" w:hAnsiTheme="majorBidi" w:cstheme="majorBidi"/>
            <w:sz w:val="16"/>
            <w:szCs w:val="16"/>
            <w:lang w:val="en-US" w:eastAsia="fr-FR"/>
          </w:rPr>
          <m:t>2</m:t>
        </m:r>
        <m:r>
          <w:rPr>
            <w:rFonts w:asciiTheme="majorBidi" w:eastAsia="Times New Roman" w:hAnsiTheme="majorBidi" w:cstheme="majorBidi"/>
            <w:sz w:val="16"/>
            <w:szCs w:val="16"/>
            <w:lang w:val="en-US" w:eastAsia="fr-FR"/>
          </w:rPr>
          <m:t> </m:t>
        </m:r>
        <m:r>
          <w:rPr>
            <w:rFonts w:ascii="Cambria Math" w:eastAsia="Times New Roman" w:hAnsiTheme="majorBidi" w:cstheme="majorBidi"/>
            <w:sz w:val="16"/>
            <w:szCs w:val="16"/>
            <w:lang w:val="en-US" w:eastAsia="fr-FR"/>
          </w:rPr>
          <m:t>&lt;</m:t>
        </m:r>
        <m:r>
          <w:rPr>
            <w:rFonts w:asciiTheme="majorBidi" w:eastAsia="Times New Roman" w:hAnsiTheme="majorBidi" w:cstheme="majorBidi"/>
            <w:sz w:val="16"/>
            <w:szCs w:val="16"/>
            <w:lang w:val="en-US" w:eastAsia="fr-FR"/>
          </w:rPr>
          <m:t> </m:t>
        </m:r>
        <m:r>
          <w:rPr>
            <w:rFonts w:ascii="Cambria Math" w:eastAsia="Times New Roman" w:hAnsi="Cambria Math" w:cstheme="majorBidi"/>
            <w:sz w:val="16"/>
            <w:szCs w:val="16"/>
            <w:lang w:eastAsia="fr-FR"/>
          </w:rPr>
          <m:t>υ</m:t>
        </m:r>
        <m:r>
          <w:rPr>
            <w:rFonts w:asciiTheme="majorBidi" w:eastAsia="Times New Roman" w:hAnsiTheme="majorBidi" w:cstheme="majorBidi"/>
            <w:sz w:val="16"/>
            <w:szCs w:val="16"/>
            <w:lang w:val="en-US" w:eastAsia="fr-FR"/>
          </w:rPr>
          <m:t> ≤∞</m:t>
        </m:r>
      </m:oMath>
      <w:r w:rsidRPr="00AE7F19">
        <w:rPr>
          <w:rFonts w:asciiTheme="majorBidi" w:eastAsia="Times New Roman" w:hAnsiTheme="majorBidi" w:cstheme="majorBidi"/>
          <w:sz w:val="16"/>
          <w:szCs w:val="16"/>
          <w:lang w:val="en-US" w:eastAsia="fr-FR"/>
        </w:rPr>
        <w:t> and </w:t>
      </w:r>
      <m:oMath>
        <m:r>
          <w:rPr>
            <w:rFonts w:ascii="Cambria Math" w:eastAsia="Times New Roman" w:hAnsi="Cambria Math" w:cstheme="majorBidi"/>
            <w:sz w:val="16"/>
            <w:szCs w:val="16"/>
            <w:lang w:eastAsia="fr-FR"/>
          </w:rPr>
          <m:t>Γ</m:t>
        </m:r>
        <m:r>
          <w:rPr>
            <w:rFonts w:ascii="Cambria Math" w:eastAsia="Times New Roman" w:hAnsiTheme="majorBidi" w:cstheme="majorBidi"/>
            <w:sz w:val="16"/>
            <w:szCs w:val="16"/>
            <w:lang w:val="en-US" w:eastAsia="fr-FR"/>
          </w:rPr>
          <m:t>(.)</m:t>
        </m:r>
      </m:oMath>
      <w:r w:rsidRPr="00AE7F19">
        <w:rPr>
          <w:rFonts w:asciiTheme="majorBidi" w:eastAsia="Times New Roman" w:hAnsiTheme="majorBidi" w:cstheme="majorBidi"/>
          <w:sz w:val="16"/>
          <w:szCs w:val="16"/>
          <w:lang w:val="en-US" w:eastAsia="fr-FR"/>
        </w:rPr>
        <w:t> is the gamma function.</w:t>
      </w:r>
    </w:p>
  </w:footnote>
  <w:footnote w:id="5">
    <w:p w:rsidR="00341063" w:rsidRPr="00AE7F19" w:rsidRDefault="00341063" w:rsidP="00107FC4">
      <w:pPr>
        <w:pStyle w:val="Notedebasdepage"/>
        <w:jc w:val="both"/>
        <w:rPr>
          <w:rFonts w:asciiTheme="majorBidi" w:hAnsiTheme="majorBidi" w:cstheme="majorBidi"/>
          <w:sz w:val="16"/>
          <w:szCs w:val="16"/>
          <w:lang w:val="en-US"/>
        </w:rPr>
      </w:pPr>
      <w:r w:rsidRPr="00AE7F19">
        <w:rPr>
          <w:rStyle w:val="Appelnotedebasdep"/>
          <w:rFonts w:asciiTheme="majorBidi" w:hAnsiTheme="majorBidi" w:cstheme="majorBidi"/>
          <w:sz w:val="16"/>
          <w:szCs w:val="16"/>
        </w:rPr>
        <w:footnoteRef/>
      </w:r>
      <w:r w:rsidRPr="00AE7F19">
        <w:rPr>
          <w:rFonts w:asciiTheme="majorBidi" w:hAnsiTheme="majorBidi" w:cstheme="majorBidi"/>
          <w:sz w:val="16"/>
          <w:szCs w:val="16"/>
          <w:lang w:val="en-US"/>
        </w:rPr>
        <w:t xml:space="preserve"> The la</w:t>
      </w:r>
      <w:r>
        <w:rPr>
          <w:rFonts w:asciiTheme="majorBidi" w:hAnsiTheme="majorBidi" w:cstheme="majorBidi"/>
          <w:sz w:val="16"/>
          <w:szCs w:val="16"/>
          <w:lang w:val="en-US"/>
        </w:rPr>
        <w:t>g</w:t>
      </w:r>
      <w:r w:rsidRPr="00AE7F19">
        <w:rPr>
          <w:rFonts w:asciiTheme="majorBidi" w:hAnsiTheme="majorBidi" w:cstheme="majorBidi"/>
          <w:sz w:val="16"/>
          <w:szCs w:val="16"/>
          <w:lang w:val="en-US"/>
        </w:rPr>
        <w:t xml:space="preserve"> order</w:t>
      </w:r>
      <w:r>
        <w:rPr>
          <w:rFonts w:asciiTheme="majorBidi" w:hAnsiTheme="majorBidi" w:cstheme="majorBidi"/>
          <w:sz w:val="16"/>
          <w:szCs w:val="16"/>
          <w:lang w:val="en-US"/>
        </w:rPr>
        <w:t>s</w:t>
      </w:r>
      <m:oMath>
        <m:r>
          <w:rPr>
            <w:rFonts w:ascii="Cambria Math" w:hAnsi="Cambria Math" w:cstheme="majorBidi"/>
            <w:sz w:val="16"/>
            <w:szCs w:val="16"/>
            <w:lang w:val="en-US"/>
          </w:rPr>
          <m:t>(1,d,1)</m:t>
        </m:r>
      </m:oMath>
      <w:r>
        <w:rPr>
          <w:rFonts w:asciiTheme="majorBidi" w:hAnsiTheme="majorBidi" w:cstheme="majorBidi"/>
          <w:sz w:val="16"/>
          <w:szCs w:val="16"/>
          <w:lang w:val="en-US"/>
        </w:rPr>
        <w:t xml:space="preserve">and </w:t>
      </w:r>
      <m:oMath>
        <m:r>
          <w:rPr>
            <w:rFonts w:ascii="Cambria Math" w:hAnsi="Cambria Math" w:cstheme="majorBidi"/>
            <w:sz w:val="16"/>
            <w:szCs w:val="16"/>
            <w:lang w:val="en-US"/>
          </w:rPr>
          <m:t>(0,0)</m:t>
        </m:r>
      </m:oMath>
      <w:r>
        <w:rPr>
          <w:rFonts w:asciiTheme="majorBidi" w:hAnsiTheme="majorBidi" w:cstheme="majorBidi"/>
          <w:sz w:val="16"/>
          <w:szCs w:val="16"/>
          <w:lang w:val="en-US"/>
        </w:rPr>
        <w:t xml:space="preserve"> for FIAPARCH and ARMA models, respectively, are</w:t>
      </w:r>
      <w:r w:rsidRPr="00AE7F19">
        <w:rPr>
          <w:rFonts w:asciiTheme="majorBidi" w:hAnsiTheme="majorBidi" w:cstheme="majorBidi"/>
          <w:sz w:val="16"/>
          <w:szCs w:val="16"/>
          <w:lang w:val="en-US"/>
        </w:rPr>
        <w:t xml:space="preserve"> selected by Akaike (AIC) and Schwarz (SIC) information criteria. The results </w:t>
      </w:r>
      <w:r>
        <w:rPr>
          <w:rFonts w:asciiTheme="majorBidi" w:hAnsiTheme="majorBidi" w:cstheme="majorBidi"/>
          <w:sz w:val="16"/>
          <w:szCs w:val="16"/>
          <w:lang w:val="en-US"/>
        </w:rPr>
        <w:t>are available from the author</w:t>
      </w:r>
      <w:r w:rsidRPr="00AE7F19">
        <w:rPr>
          <w:rFonts w:asciiTheme="majorBidi" w:hAnsiTheme="majorBidi" w:cstheme="majorBidi"/>
          <w:sz w:val="16"/>
          <w:szCs w:val="16"/>
          <w:lang w:val="en-US"/>
        </w:rPr>
        <w:t xml:space="preserve"> upon request.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A83"/>
    <w:multiLevelType w:val="multilevel"/>
    <w:tmpl w:val="4C6C55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ADC659F"/>
    <w:multiLevelType w:val="multilevel"/>
    <w:tmpl w:val="0FD25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2"/>
      </w:rPr>
    </w:lvl>
    <w:lvl w:ilvl="2">
      <w:start w:val="1"/>
      <w:numFmt w:val="decimal"/>
      <w:isLgl/>
      <w:lvlText w:val="%1.%2.%3."/>
      <w:lvlJc w:val="left"/>
      <w:pPr>
        <w:ind w:left="1080" w:hanging="720"/>
      </w:pPr>
      <w:rPr>
        <w:rFonts w:ascii="Times New Roman" w:hAnsi="Times New Roman" w:cs="Times New Roman" w:hint="default"/>
        <w:b/>
        <w:bCs w:val="0"/>
        <w:sz w:val="22"/>
      </w:rPr>
    </w:lvl>
    <w:lvl w:ilvl="3">
      <w:start w:val="1"/>
      <w:numFmt w:val="decimal"/>
      <w:isLgl/>
      <w:lvlText w:val="%1.%2.%3.%4."/>
      <w:lvlJc w:val="left"/>
      <w:pPr>
        <w:ind w:left="1080" w:hanging="720"/>
      </w:pPr>
      <w:rPr>
        <w:rFonts w:ascii="Times New Roman" w:hAnsi="Times New Roman" w:cs="Times New Roman" w:hint="default"/>
        <w:b w:val="0"/>
        <w:sz w:val="22"/>
      </w:rPr>
    </w:lvl>
    <w:lvl w:ilvl="4">
      <w:start w:val="1"/>
      <w:numFmt w:val="decimal"/>
      <w:isLgl/>
      <w:lvlText w:val="%1.%2.%3.%4.%5."/>
      <w:lvlJc w:val="left"/>
      <w:pPr>
        <w:ind w:left="1440" w:hanging="1080"/>
      </w:pPr>
      <w:rPr>
        <w:rFonts w:ascii="Times New Roman" w:hAnsi="Times New Roman" w:cs="Times New Roman" w:hint="default"/>
        <w:b w:val="0"/>
        <w:sz w:val="22"/>
      </w:rPr>
    </w:lvl>
    <w:lvl w:ilvl="5">
      <w:start w:val="1"/>
      <w:numFmt w:val="decimal"/>
      <w:isLgl/>
      <w:lvlText w:val="%1.%2.%3.%4.%5.%6."/>
      <w:lvlJc w:val="left"/>
      <w:pPr>
        <w:ind w:left="1440" w:hanging="1080"/>
      </w:pPr>
      <w:rPr>
        <w:rFonts w:ascii="Times New Roman" w:hAnsi="Times New Roman" w:cs="Times New Roman" w:hint="default"/>
        <w:b w:val="0"/>
        <w:sz w:val="22"/>
      </w:rPr>
    </w:lvl>
    <w:lvl w:ilvl="6">
      <w:start w:val="1"/>
      <w:numFmt w:val="decimal"/>
      <w:isLgl/>
      <w:lvlText w:val="%1.%2.%3.%4.%5.%6.%7."/>
      <w:lvlJc w:val="left"/>
      <w:pPr>
        <w:ind w:left="1800" w:hanging="1440"/>
      </w:pPr>
      <w:rPr>
        <w:rFonts w:ascii="Times New Roman" w:hAnsi="Times New Roman" w:cs="Times New Roman" w:hint="default"/>
        <w:b w:val="0"/>
        <w:sz w:val="22"/>
      </w:rPr>
    </w:lvl>
    <w:lvl w:ilvl="7">
      <w:start w:val="1"/>
      <w:numFmt w:val="decimal"/>
      <w:isLgl/>
      <w:lvlText w:val="%1.%2.%3.%4.%5.%6.%7.%8."/>
      <w:lvlJc w:val="left"/>
      <w:pPr>
        <w:ind w:left="1800" w:hanging="1440"/>
      </w:pPr>
      <w:rPr>
        <w:rFonts w:ascii="Times New Roman" w:hAnsi="Times New Roman" w:cs="Times New Roman" w:hint="default"/>
        <w:b w:val="0"/>
        <w:sz w:val="22"/>
      </w:rPr>
    </w:lvl>
    <w:lvl w:ilvl="8">
      <w:start w:val="1"/>
      <w:numFmt w:val="decimal"/>
      <w:isLgl/>
      <w:lvlText w:val="%1.%2.%3.%4.%5.%6.%7.%8.%9."/>
      <w:lvlJc w:val="left"/>
      <w:pPr>
        <w:ind w:left="2160" w:hanging="1800"/>
      </w:pPr>
      <w:rPr>
        <w:rFonts w:ascii="Times New Roman" w:hAnsi="Times New Roman" w:cs="Times New Roman" w:hint="default"/>
        <w:b w:val="0"/>
        <w:sz w:val="22"/>
      </w:rPr>
    </w:lvl>
  </w:abstractNum>
  <w:abstractNum w:abstractNumId="2">
    <w:nsid w:val="2CCD7981"/>
    <w:multiLevelType w:val="multilevel"/>
    <w:tmpl w:val="2C10EE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9AA0065"/>
    <w:multiLevelType w:val="multilevel"/>
    <w:tmpl w:val="888860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61C3A3B"/>
    <w:multiLevelType w:val="hybridMultilevel"/>
    <w:tmpl w:val="EB2A3690"/>
    <w:lvl w:ilvl="0" w:tplc="B9BAAA8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5A0941"/>
    <w:multiLevelType w:val="multilevel"/>
    <w:tmpl w:val="231C2B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E5BC8"/>
    <w:rsid w:val="000002A8"/>
    <w:rsid w:val="00000636"/>
    <w:rsid w:val="000006BB"/>
    <w:rsid w:val="00000EED"/>
    <w:rsid w:val="0000275F"/>
    <w:rsid w:val="000049DE"/>
    <w:rsid w:val="0000513B"/>
    <w:rsid w:val="000058F4"/>
    <w:rsid w:val="00010859"/>
    <w:rsid w:val="00011760"/>
    <w:rsid w:val="00012D91"/>
    <w:rsid w:val="00013CD7"/>
    <w:rsid w:val="000151CE"/>
    <w:rsid w:val="000153A3"/>
    <w:rsid w:val="00016074"/>
    <w:rsid w:val="000211F8"/>
    <w:rsid w:val="000222E8"/>
    <w:rsid w:val="0002281E"/>
    <w:rsid w:val="00022BE2"/>
    <w:rsid w:val="0002394E"/>
    <w:rsid w:val="00024402"/>
    <w:rsid w:val="00025A91"/>
    <w:rsid w:val="00026741"/>
    <w:rsid w:val="00026D85"/>
    <w:rsid w:val="00031D3E"/>
    <w:rsid w:val="00033602"/>
    <w:rsid w:val="00033653"/>
    <w:rsid w:val="000338A3"/>
    <w:rsid w:val="00034449"/>
    <w:rsid w:val="00034B81"/>
    <w:rsid w:val="000355D8"/>
    <w:rsid w:val="00036166"/>
    <w:rsid w:val="000361D7"/>
    <w:rsid w:val="00037EB8"/>
    <w:rsid w:val="00041317"/>
    <w:rsid w:val="000419B5"/>
    <w:rsid w:val="00044BEE"/>
    <w:rsid w:val="0004506C"/>
    <w:rsid w:val="00050825"/>
    <w:rsid w:val="00050B45"/>
    <w:rsid w:val="00050E64"/>
    <w:rsid w:val="000524A3"/>
    <w:rsid w:val="00053B38"/>
    <w:rsid w:val="00053B75"/>
    <w:rsid w:val="00053FB3"/>
    <w:rsid w:val="0005442C"/>
    <w:rsid w:val="00054C86"/>
    <w:rsid w:val="00055379"/>
    <w:rsid w:val="00055F38"/>
    <w:rsid w:val="00056AB5"/>
    <w:rsid w:val="00056D9B"/>
    <w:rsid w:val="000571E9"/>
    <w:rsid w:val="00057F7C"/>
    <w:rsid w:val="00057FD0"/>
    <w:rsid w:val="00062BF6"/>
    <w:rsid w:val="00062D82"/>
    <w:rsid w:val="00063C14"/>
    <w:rsid w:val="00065347"/>
    <w:rsid w:val="00066D5A"/>
    <w:rsid w:val="000708A7"/>
    <w:rsid w:val="00071476"/>
    <w:rsid w:val="000715BB"/>
    <w:rsid w:val="0007188F"/>
    <w:rsid w:val="00072140"/>
    <w:rsid w:val="0007377B"/>
    <w:rsid w:val="00081358"/>
    <w:rsid w:val="00085395"/>
    <w:rsid w:val="00085C6A"/>
    <w:rsid w:val="000860E6"/>
    <w:rsid w:val="000866C1"/>
    <w:rsid w:val="00086F6E"/>
    <w:rsid w:val="000875B4"/>
    <w:rsid w:val="00087ED9"/>
    <w:rsid w:val="00092155"/>
    <w:rsid w:val="00092B86"/>
    <w:rsid w:val="0009347D"/>
    <w:rsid w:val="00094012"/>
    <w:rsid w:val="000956D5"/>
    <w:rsid w:val="00097B5E"/>
    <w:rsid w:val="00097C9F"/>
    <w:rsid w:val="000A2090"/>
    <w:rsid w:val="000A2168"/>
    <w:rsid w:val="000A32BA"/>
    <w:rsid w:val="000A5A79"/>
    <w:rsid w:val="000A5CC0"/>
    <w:rsid w:val="000A7CCB"/>
    <w:rsid w:val="000B029C"/>
    <w:rsid w:val="000B0B77"/>
    <w:rsid w:val="000B1090"/>
    <w:rsid w:val="000B26FB"/>
    <w:rsid w:val="000B2A52"/>
    <w:rsid w:val="000B45AC"/>
    <w:rsid w:val="000B606F"/>
    <w:rsid w:val="000B6C76"/>
    <w:rsid w:val="000B6E1A"/>
    <w:rsid w:val="000B7102"/>
    <w:rsid w:val="000C0B9E"/>
    <w:rsid w:val="000C21C2"/>
    <w:rsid w:val="000C2EAD"/>
    <w:rsid w:val="000C3E59"/>
    <w:rsid w:val="000C4923"/>
    <w:rsid w:val="000C54D0"/>
    <w:rsid w:val="000C637D"/>
    <w:rsid w:val="000C664B"/>
    <w:rsid w:val="000D020C"/>
    <w:rsid w:val="000D0E46"/>
    <w:rsid w:val="000D19BE"/>
    <w:rsid w:val="000D3720"/>
    <w:rsid w:val="000D4025"/>
    <w:rsid w:val="000D40FC"/>
    <w:rsid w:val="000D44B3"/>
    <w:rsid w:val="000D4646"/>
    <w:rsid w:val="000D4883"/>
    <w:rsid w:val="000D4990"/>
    <w:rsid w:val="000D4F68"/>
    <w:rsid w:val="000D527C"/>
    <w:rsid w:val="000D67B7"/>
    <w:rsid w:val="000D76F6"/>
    <w:rsid w:val="000E1465"/>
    <w:rsid w:val="000E2493"/>
    <w:rsid w:val="000E3435"/>
    <w:rsid w:val="000E49A3"/>
    <w:rsid w:val="000E6255"/>
    <w:rsid w:val="000E62A8"/>
    <w:rsid w:val="000E6AF6"/>
    <w:rsid w:val="000E7101"/>
    <w:rsid w:val="000E7AD3"/>
    <w:rsid w:val="000F07B9"/>
    <w:rsid w:val="000F0E90"/>
    <w:rsid w:val="000F18BE"/>
    <w:rsid w:val="000F1B8B"/>
    <w:rsid w:val="000F1EA5"/>
    <w:rsid w:val="000F2E30"/>
    <w:rsid w:val="000F33DE"/>
    <w:rsid w:val="000F3704"/>
    <w:rsid w:val="000F3782"/>
    <w:rsid w:val="000F588D"/>
    <w:rsid w:val="000F5966"/>
    <w:rsid w:val="000F5E42"/>
    <w:rsid w:val="000F63DD"/>
    <w:rsid w:val="000F7750"/>
    <w:rsid w:val="000F7A19"/>
    <w:rsid w:val="000F7BB1"/>
    <w:rsid w:val="000F7FFD"/>
    <w:rsid w:val="001010DE"/>
    <w:rsid w:val="00102B46"/>
    <w:rsid w:val="00102FC5"/>
    <w:rsid w:val="0010343E"/>
    <w:rsid w:val="00104CEE"/>
    <w:rsid w:val="00105124"/>
    <w:rsid w:val="00105798"/>
    <w:rsid w:val="00105D6B"/>
    <w:rsid w:val="0010665E"/>
    <w:rsid w:val="00107546"/>
    <w:rsid w:val="00107FC4"/>
    <w:rsid w:val="001103B8"/>
    <w:rsid w:val="00111209"/>
    <w:rsid w:val="00112629"/>
    <w:rsid w:val="00113FFE"/>
    <w:rsid w:val="00114166"/>
    <w:rsid w:val="0012102A"/>
    <w:rsid w:val="001213DD"/>
    <w:rsid w:val="00124660"/>
    <w:rsid w:val="001246AB"/>
    <w:rsid w:val="001249A9"/>
    <w:rsid w:val="0012603A"/>
    <w:rsid w:val="001261A2"/>
    <w:rsid w:val="00126AD1"/>
    <w:rsid w:val="001274B2"/>
    <w:rsid w:val="00127ADE"/>
    <w:rsid w:val="00127D2C"/>
    <w:rsid w:val="00131914"/>
    <w:rsid w:val="0013205F"/>
    <w:rsid w:val="0013248D"/>
    <w:rsid w:val="00133143"/>
    <w:rsid w:val="001336B0"/>
    <w:rsid w:val="00133B18"/>
    <w:rsid w:val="00133BF1"/>
    <w:rsid w:val="00134AC3"/>
    <w:rsid w:val="00134F37"/>
    <w:rsid w:val="001350D7"/>
    <w:rsid w:val="0014000F"/>
    <w:rsid w:val="0014434B"/>
    <w:rsid w:val="00144922"/>
    <w:rsid w:val="001451BF"/>
    <w:rsid w:val="00145546"/>
    <w:rsid w:val="00145800"/>
    <w:rsid w:val="00145E12"/>
    <w:rsid w:val="0014719F"/>
    <w:rsid w:val="00147B80"/>
    <w:rsid w:val="00150C06"/>
    <w:rsid w:val="00150EA1"/>
    <w:rsid w:val="0015207D"/>
    <w:rsid w:val="00152F09"/>
    <w:rsid w:val="00153DCB"/>
    <w:rsid w:val="00161433"/>
    <w:rsid w:val="00161635"/>
    <w:rsid w:val="00161802"/>
    <w:rsid w:val="00164612"/>
    <w:rsid w:val="00164B7C"/>
    <w:rsid w:val="00166007"/>
    <w:rsid w:val="001664FB"/>
    <w:rsid w:val="001670E8"/>
    <w:rsid w:val="00167637"/>
    <w:rsid w:val="00171CDB"/>
    <w:rsid w:val="00173734"/>
    <w:rsid w:val="001739A4"/>
    <w:rsid w:val="00176727"/>
    <w:rsid w:val="00180652"/>
    <w:rsid w:val="001807FA"/>
    <w:rsid w:val="00181693"/>
    <w:rsid w:val="0018247A"/>
    <w:rsid w:val="0018252C"/>
    <w:rsid w:val="00182B83"/>
    <w:rsid w:val="0018483A"/>
    <w:rsid w:val="00186886"/>
    <w:rsid w:val="00186974"/>
    <w:rsid w:val="00186BBF"/>
    <w:rsid w:val="00186EB8"/>
    <w:rsid w:val="0018709A"/>
    <w:rsid w:val="001875A4"/>
    <w:rsid w:val="001878BE"/>
    <w:rsid w:val="001902B3"/>
    <w:rsid w:val="001927C5"/>
    <w:rsid w:val="00196012"/>
    <w:rsid w:val="00197025"/>
    <w:rsid w:val="001972A2"/>
    <w:rsid w:val="00197BC9"/>
    <w:rsid w:val="001A1E1D"/>
    <w:rsid w:val="001A1EB7"/>
    <w:rsid w:val="001A20D5"/>
    <w:rsid w:val="001A630B"/>
    <w:rsid w:val="001A6501"/>
    <w:rsid w:val="001A7626"/>
    <w:rsid w:val="001B03AD"/>
    <w:rsid w:val="001B0831"/>
    <w:rsid w:val="001B0BC6"/>
    <w:rsid w:val="001B0CED"/>
    <w:rsid w:val="001B288F"/>
    <w:rsid w:val="001B2B8C"/>
    <w:rsid w:val="001B2EA6"/>
    <w:rsid w:val="001B30AC"/>
    <w:rsid w:val="001B60B1"/>
    <w:rsid w:val="001B7C56"/>
    <w:rsid w:val="001C04B3"/>
    <w:rsid w:val="001C1630"/>
    <w:rsid w:val="001C2A9D"/>
    <w:rsid w:val="001C31B4"/>
    <w:rsid w:val="001C4D00"/>
    <w:rsid w:val="001D0D95"/>
    <w:rsid w:val="001D13D1"/>
    <w:rsid w:val="001D190E"/>
    <w:rsid w:val="001D2F0A"/>
    <w:rsid w:val="001D37DF"/>
    <w:rsid w:val="001D39A5"/>
    <w:rsid w:val="001D57F4"/>
    <w:rsid w:val="001D6E8B"/>
    <w:rsid w:val="001D6EB3"/>
    <w:rsid w:val="001E1BFE"/>
    <w:rsid w:val="001E2D94"/>
    <w:rsid w:val="001E3479"/>
    <w:rsid w:val="001E3B77"/>
    <w:rsid w:val="001E43D0"/>
    <w:rsid w:val="001E56F3"/>
    <w:rsid w:val="001F060D"/>
    <w:rsid w:val="001F0C50"/>
    <w:rsid w:val="001F0C62"/>
    <w:rsid w:val="001F499A"/>
    <w:rsid w:val="001F7CFA"/>
    <w:rsid w:val="00200DD2"/>
    <w:rsid w:val="002019F9"/>
    <w:rsid w:val="00203BA3"/>
    <w:rsid w:val="0020570C"/>
    <w:rsid w:val="00205DBD"/>
    <w:rsid w:val="00207A0B"/>
    <w:rsid w:val="00207B5E"/>
    <w:rsid w:val="00211817"/>
    <w:rsid w:val="002145C7"/>
    <w:rsid w:val="00214B4C"/>
    <w:rsid w:val="0021752D"/>
    <w:rsid w:val="00217674"/>
    <w:rsid w:val="002179AF"/>
    <w:rsid w:val="00217D81"/>
    <w:rsid w:val="00222227"/>
    <w:rsid w:val="002225EB"/>
    <w:rsid w:val="00226A7B"/>
    <w:rsid w:val="002276D3"/>
    <w:rsid w:val="00231CCD"/>
    <w:rsid w:val="00231E55"/>
    <w:rsid w:val="00231F1E"/>
    <w:rsid w:val="002327E8"/>
    <w:rsid w:val="00234257"/>
    <w:rsid w:val="0023442F"/>
    <w:rsid w:val="00234A40"/>
    <w:rsid w:val="002356FE"/>
    <w:rsid w:val="00237390"/>
    <w:rsid w:val="002379EA"/>
    <w:rsid w:val="00237F46"/>
    <w:rsid w:val="00240131"/>
    <w:rsid w:val="002403F5"/>
    <w:rsid w:val="002407DE"/>
    <w:rsid w:val="00240FCB"/>
    <w:rsid w:val="00241137"/>
    <w:rsid w:val="002445A0"/>
    <w:rsid w:val="002453C4"/>
    <w:rsid w:val="002510E6"/>
    <w:rsid w:val="00252237"/>
    <w:rsid w:val="00253040"/>
    <w:rsid w:val="00253094"/>
    <w:rsid w:val="0025324C"/>
    <w:rsid w:val="002562CD"/>
    <w:rsid w:val="00256745"/>
    <w:rsid w:val="002576FB"/>
    <w:rsid w:val="00261F47"/>
    <w:rsid w:val="002621DD"/>
    <w:rsid w:val="00264523"/>
    <w:rsid w:val="00264E45"/>
    <w:rsid w:val="00265C71"/>
    <w:rsid w:val="00266096"/>
    <w:rsid w:val="00266397"/>
    <w:rsid w:val="002669EC"/>
    <w:rsid w:val="00266AB6"/>
    <w:rsid w:val="0027171D"/>
    <w:rsid w:val="002719C1"/>
    <w:rsid w:val="00272019"/>
    <w:rsid w:val="00272E9F"/>
    <w:rsid w:val="002734B3"/>
    <w:rsid w:val="0027401A"/>
    <w:rsid w:val="002740F7"/>
    <w:rsid w:val="00274C14"/>
    <w:rsid w:val="00276D7D"/>
    <w:rsid w:val="002779B0"/>
    <w:rsid w:val="00277D48"/>
    <w:rsid w:val="00277F31"/>
    <w:rsid w:val="0028097B"/>
    <w:rsid w:val="0028114E"/>
    <w:rsid w:val="002815A9"/>
    <w:rsid w:val="00281A9D"/>
    <w:rsid w:val="00283E31"/>
    <w:rsid w:val="002845D6"/>
    <w:rsid w:val="00284792"/>
    <w:rsid w:val="002855CF"/>
    <w:rsid w:val="00286E23"/>
    <w:rsid w:val="00287BE0"/>
    <w:rsid w:val="00287ED5"/>
    <w:rsid w:val="00290CB0"/>
    <w:rsid w:val="002939D5"/>
    <w:rsid w:val="00294530"/>
    <w:rsid w:val="002A0A85"/>
    <w:rsid w:val="002A0CF8"/>
    <w:rsid w:val="002A1398"/>
    <w:rsid w:val="002A1786"/>
    <w:rsid w:val="002A4CF9"/>
    <w:rsid w:val="002A5138"/>
    <w:rsid w:val="002A5744"/>
    <w:rsid w:val="002A5B6C"/>
    <w:rsid w:val="002A7A2F"/>
    <w:rsid w:val="002B0E4D"/>
    <w:rsid w:val="002B0F7D"/>
    <w:rsid w:val="002B1800"/>
    <w:rsid w:val="002B2212"/>
    <w:rsid w:val="002B356F"/>
    <w:rsid w:val="002B6C14"/>
    <w:rsid w:val="002B6C2B"/>
    <w:rsid w:val="002B7241"/>
    <w:rsid w:val="002B7FC1"/>
    <w:rsid w:val="002C008D"/>
    <w:rsid w:val="002C057F"/>
    <w:rsid w:val="002C1051"/>
    <w:rsid w:val="002C1B25"/>
    <w:rsid w:val="002C3084"/>
    <w:rsid w:val="002C3416"/>
    <w:rsid w:val="002C4895"/>
    <w:rsid w:val="002C6CF1"/>
    <w:rsid w:val="002C741B"/>
    <w:rsid w:val="002D129A"/>
    <w:rsid w:val="002D1A9F"/>
    <w:rsid w:val="002D2222"/>
    <w:rsid w:val="002D2739"/>
    <w:rsid w:val="002D2B4D"/>
    <w:rsid w:val="002D4628"/>
    <w:rsid w:val="002D4D84"/>
    <w:rsid w:val="002D68CA"/>
    <w:rsid w:val="002D722F"/>
    <w:rsid w:val="002D7290"/>
    <w:rsid w:val="002D75D4"/>
    <w:rsid w:val="002E09F2"/>
    <w:rsid w:val="002E1194"/>
    <w:rsid w:val="002E1304"/>
    <w:rsid w:val="002E40B7"/>
    <w:rsid w:val="002E4D0A"/>
    <w:rsid w:val="002E53FD"/>
    <w:rsid w:val="002E60F2"/>
    <w:rsid w:val="002E673E"/>
    <w:rsid w:val="002E6F8F"/>
    <w:rsid w:val="002E6FBC"/>
    <w:rsid w:val="002E77C1"/>
    <w:rsid w:val="002E7A8F"/>
    <w:rsid w:val="002E7F03"/>
    <w:rsid w:val="002F002B"/>
    <w:rsid w:val="002F04AC"/>
    <w:rsid w:val="002F0C0D"/>
    <w:rsid w:val="002F156D"/>
    <w:rsid w:val="002F17D3"/>
    <w:rsid w:val="002F29BE"/>
    <w:rsid w:val="002F39B5"/>
    <w:rsid w:val="002F6FE0"/>
    <w:rsid w:val="00300EB0"/>
    <w:rsid w:val="003015C6"/>
    <w:rsid w:val="00301BA6"/>
    <w:rsid w:val="00301DE2"/>
    <w:rsid w:val="00301EB8"/>
    <w:rsid w:val="0030263D"/>
    <w:rsid w:val="00302F42"/>
    <w:rsid w:val="003043B9"/>
    <w:rsid w:val="00304EF3"/>
    <w:rsid w:val="00306B87"/>
    <w:rsid w:val="00307C4F"/>
    <w:rsid w:val="0031027F"/>
    <w:rsid w:val="00310E76"/>
    <w:rsid w:val="00311DD3"/>
    <w:rsid w:val="00312239"/>
    <w:rsid w:val="00312516"/>
    <w:rsid w:val="00316AFA"/>
    <w:rsid w:val="00316CD6"/>
    <w:rsid w:val="00317ABD"/>
    <w:rsid w:val="00320CCC"/>
    <w:rsid w:val="003213E9"/>
    <w:rsid w:val="003244B3"/>
    <w:rsid w:val="00324E5D"/>
    <w:rsid w:val="003257FD"/>
    <w:rsid w:val="003277AF"/>
    <w:rsid w:val="00330AA0"/>
    <w:rsid w:val="00330D68"/>
    <w:rsid w:val="00331507"/>
    <w:rsid w:val="003337C1"/>
    <w:rsid w:val="00334210"/>
    <w:rsid w:val="00335585"/>
    <w:rsid w:val="00336FC2"/>
    <w:rsid w:val="00340643"/>
    <w:rsid w:val="00340AE7"/>
    <w:rsid w:val="00341063"/>
    <w:rsid w:val="003415DE"/>
    <w:rsid w:val="00341E2D"/>
    <w:rsid w:val="0034230E"/>
    <w:rsid w:val="00343D81"/>
    <w:rsid w:val="00345810"/>
    <w:rsid w:val="00346B66"/>
    <w:rsid w:val="00351675"/>
    <w:rsid w:val="00351772"/>
    <w:rsid w:val="00351A81"/>
    <w:rsid w:val="003535FE"/>
    <w:rsid w:val="0035395A"/>
    <w:rsid w:val="00353C9A"/>
    <w:rsid w:val="003551DA"/>
    <w:rsid w:val="003556C6"/>
    <w:rsid w:val="00357964"/>
    <w:rsid w:val="00360BA0"/>
    <w:rsid w:val="00360FBE"/>
    <w:rsid w:val="003619F5"/>
    <w:rsid w:val="00361F1F"/>
    <w:rsid w:val="0036294B"/>
    <w:rsid w:val="003637E8"/>
    <w:rsid w:val="00363A33"/>
    <w:rsid w:val="00364A0E"/>
    <w:rsid w:val="00364DE2"/>
    <w:rsid w:val="00372471"/>
    <w:rsid w:val="00372DD3"/>
    <w:rsid w:val="00375103"/>
    <w:rsid w:val="00375FAA"/>
    <w:rsid w:val="00376C0E"/>
    <w:rsid w:val="00377400"/>
    <w:rsid w:val="003803F0"/>
    <w:rsid w:val="00380A28"/>
    <w:rsid w:val="00381530"/>
    <w:rsid w:val="00381A81"/>
    <w:rsid w:val="00381F85"/>
    <w:rsid w:val="00382974"/>
    <w:rsid w:val="00382FBA"/>
    <w:rsid w:val="00383497"/>
    <w:rsid w:val="00383607"/>
    <w:rsid w:val="00383B25"/>
    <w:rsid w:val="0038522B"/>
    <w:rsid w:val="00385309"/>
    <w:rsid w:val="00385D84"/>
    <w:rsid w:val="00387D33"/>
    <w:rsid w:val="0039146F"/>
    <w:rsid w:val="003914B7"/>
    <w:rsid w:val="00393287"/>
    <w:rsid w:val="003933AB"/>
    <w:rsid w:val="003939A0"/>
    <w:rsid w:val="003939EE"/>
    <w:rsid w:val="00393DBB"/>
    <w:rsid w:val="00393FA2"/>
    <w:rsid w:val="003963C9"/>
    <w:rsid w:val="0039669B"/>
    <w:rsid w:val="00396B98"/>
    <w:rsid w:val="0039733A"/>
    <w:rsid w:val="003979CE"/>
    <w:rsid w:val="00397E72"/>
    <w:rsid w:val="003A2B01"/>
    <w:rsid w:val="003A51B9"/>
    <w:rsid w:val="003B0A60"/>
    <w:rsid w:val="003B0C09"/>
    <w:rsid w:val="003B1433"/>
    <w:rsid w:val="003B2172"/>
    <w:rsid w:val="003B24FA"/>
    <w:rsid w:val="003B279C"/>
    <w:rsid w:val="003B39EA"/>
    <w:rsid w:val="003B3E3B"/>
    <w:rsid w:val="003B3F9E"/>
    <w:rsid w:val="003B5720"/>
    <w:rsid w:val="003B5811"/>
    <w:rsid w:val="003B67DD"/>
    <w:rsid w:val="003B6944"/>
    <w:rsid w:val="003B6D58"/>
    <w:rsid w:val="003B7311"/>
    <w:rsid w:val="003C0C63"/>
    <w:rsid w:val="003C13EC"/>
    <w:rsid w:val="003C334A"/>
    <w:rsid w:val="003C3436"/>
    <w:rsid w:val="003C3E71"/>
    <w:rsid w:val="003C3FFF"/>
    <w:rsid w:val="003C4793"/>
    <w:rsid w:val="003C69E1"/>
    <w:rsid w:val="003D0608"/>
    <w:rsid w:val="003D1E49"/>
    <w:rsid w:val="003D34E8"/>
    <w:rsid w:val="003D45F3"/>
    <w:rsid w:val="003D4CCA"/>
    <w:rsid w:val="003D4F8E"/>
    <w:rsid w:val="003D7058"/>
    <w:rsid w:val="003E1820"/>
    <w:rsid w:val="003E2511"/>
    <w:rsid w:val="003E2610"/>
    <w:rsid w:val="003E2A69"/>
    <w:rsid w:val="003E3A3C"/>
    <w:rsid w:val="003E410F"/>
    <w:rsid w:val="003E4E83"/>
    <w:rsid w:val="003F066A"/>
    <w:rsid w:val="003F0923"/>
    <w:rsid w:val="003F0A3E"/>
    <w:rsid w:val="003F2114"/>
    <w:rsid w:val="003F3AA2"/>
    <w:rsid w:val="003F4785"/>
    <w:rsid w:val="003F4E4F"/>
    <w:rsid w:val="003F5659"/>
    <w:rsid w:val="003F5BB9"/>
    <w:rsid w:val="003F70C1"/>
    <w:rsid w:val="003F797E"/>
    <w:rsid w:val="003F7A6E"/>
    <w:rsid w:val="004009CB"/>
    <w:rsid w:val="00402057"/>
    <w:rsid w:val="00402905"/>
    <w:rsid w:val="0040491C"/>
    <w:rsid w:val="00404DF9"/>
    <w:rsid w:val="0040507B"/>
    <w:rsid w:val="004054A1"/>
    <w:rsid w:val="004057E8"/>
    <w:rsid w:val="004069D7"/>
    <w:rsid w:val="00406CCA"/>
    <w:rsid w:val="004070E2"/>
    <w:rsid w:val="00407D9D"/>
    <w:rsid w:val="00410768"/>
    <w:rsid w:val="00411701"/>
    <w:rsid w:val="00411938"/>
    <w:rsid w:val="00412EF4"/>
    <w:rsid w:val="00413477"/>
    <w:rsid w:val="00415BFE"/>
    <w:rsid w:val="004165C1"/>
    <w:rsid w:val="00417B4B"/>
    <w:rsid w:val="00424997"/>
    <w:rsid w:val="00425175"/>
    <w:rsid w:val="004259B0"/>
    <w:rsid w:val="00426704"/>
    <w:rsid w:val="00426AB2"/>
    <w:rsid w:val="00427475"/>
    <w:rsid w:val="00427688"/>
    <w:rsid w:val="0043181D"/>
    <w:rsid w:val="004337AA"/>
    <w:rsid w:val="00433AE4"/>
    <w:rsid w:val="00434558"/>
    <w:rsid w:val="00434EA1"/>
    <w:rsid w:val="00435464"/>
    <w:rsid w:val="00436365"/>
    <w:rsid w:val="0044010C"/>
    <w:rsid w:val="00440A13"/>
    <w:rsid w:val="00442FE6"/>
    <w:rsid w:val="00443709"/>
    <w:rsid w:val="00444A69"/>
    <w:rsid w:val="00445FEF"/>
    <w:rsid w:val="0045490B"/>
    <w:rsid w:val="0045495A"/>
    <w:rsid w:val="00455499"/>
    <w:rsid w:val="00456EFE"/>
    <w:rsid w:val="004576FB"/>
    <w:rsid w:val="00457946"/>
    <w:rsid w:val="00457D2F"/>
    <w:rsid w:val="0046099D"/>
    <w:rsid w:val="00460DF8"/>
    <w:rsid w:val="00462DBC"/>
    <w:rsid w:val="00464515"/>
    <w:rsid w:val="004655B0"/>
    <w:rsid w:val="00465C56"/>
    <w:rsid w:val="0046679F"/>
    <w:rsid w:val="00467003"/>
    <w:rsid w:val="00467F4E"/>
    <w:rsid w:val="00470883"/>
    <w:rsid w:val="004712F3"/>
    <w:rsid w:val="00471620"/>
    <w:rsid w:val="004725CD"/>
    <w:rsid w:val="00474AC1"/>
    <w:rsid w:val="00474FFF"/>
    <w:rsid w:val="0048164C"/>
    <w:rsid w:val="00483A89"/>
    <w:rsid w:val="00483B7A"/>
    <w:rsid w:val="00484027"/>
    <w:rsid w:val="00487AB8"/>
    <w:rsid w:val="00490417"/>
    <w:rsid w:val="004908F5"/>
    <w:rsid w:val="0049249A"/>
    <w:rsid w:val="00493039"/>
    <w:rsid w:val="0049383F"/>
    <w:rsid w:val="004945F0"/>
    <w:rsid w:val="00494A89"/>
    <w:rsid w:val="004962EF"/>
    <w:rsid w:val="00497507"/>
    <w:rsid w:val="00497BAB"/>
    <w:rsid w:val="004A095F"/>
    <w:rsid w:val="004A0C53"/>
    <w:rsid w:val="004A0C93"/>
    <w:rsid w:val="004A1DBB"/>
    <w:rsid w:val="004A33C1"/>
    <w:rsid w:val="004A50E1"/>
    <w:rsid w:val="004A6D33"/>
    <w:rsid w:val="004A7197"/>
    <w:rsid w:val="004A7E95"/>
    <w:rsid w:val="004B4CAA"/>
    <w:rsid w:val="004B4ED5"/>
    <w:rsid w:val="004B5021"/>
    <w:rsid w:val="004B59FF"/>
    <w:rsid w:val="004C0EC6"/>
    <w:rsid w:val="004C3D6A"/>
    <w:rsid w:val="004C3F15"/>
    <w:rsid w:val="004C5B7D"/>
    <w:rsid w:val="004C6175"/>
    <w:rsid w:val="004C74D0"/>
    <w:rsid w:val="004D197F"/>
    <w:rsid w:val="004D2846"/>
    <w:rsid w:val="004D3010"/>
    <w:rsid w:val="004D30F9"/>
    <w:rsid w:val="004D475C"/>
    <w:rsid w:val="004D5838"/>
    <w:rsid w:val="004D6658"/>
    <w:rsid w:val="004D6C56"/>
    <w:rsid w:val="004D7F00"/>
    <w:rsid w:val="004E1E55"/>
    <w:rsid w:val="004E48FA"/>
    <w:rsid w:val="004E4982"/>
    <w:rsid w:val="004F1395"/>
    <w:rsid w:val="004F17B4"/>
    <w:rsid w:val="004F1D29"/>
    <w:rsid w:val="004F40D4"/>
    <w:rsid w:val="004F5F1A"/>
    <w:rsid w:val="004F6180"/>
    <w:rsid w:val="004F7B93"/>
    <w:rsid w:val="00500134"/>
    <w:rsid w:val="00500A44"/>
    <w:rsid w:val="005028AB"/>
    <w:rsid w:val="005034B5"/>
    <w:rsid w:val="00504240"/>
    <w:rsid w:val="005053D2"/>
    <w:rsid w:val="00505D38"/>
    <w:rsid w:val="00510303"/>
    <w:rsid w:val="00510D62"/>
    <w:rsid w:val="00512430"/>
    <w:rsid w:val="00513FCF"/>
    <w:rsid w:val="0052029E"/>
    <w:rsid w:val="005217D9"/>
    <w:rsid w:val="00521AFC"/>
    <w:rsid w:val="00523B06"/>
    <w:rsid w:val="00524521"/>
    <w:rsid w:val="00524D1F"/>
    <w:rsid w:val="005259BC"/>
    <w:rsid w:val="00527553"/>
    <w:rsid w:val="005313DF"/>
    <w:rsid w:val="0053265E"/>
    <w:rsid w:val="0053267C"/>
    <w:rsid w:val="00532682"/>
    <w:rsid w:val="00532D9F"/>
    <w:rsid w:val="00533843"/>
    <w:rsid w:val="0053400E"/>
    <w:rsid w:val="00534FBC"/>
    <w:rsid w:val="0053668B"/>
    <w:rsid w:val="00536853"/>
    <w:rsid w:val="00536FDA"/>
    <w:rsid w:val="00537EE7"/>
    <w:rsid w:val="0054419B"/>
    <w:rsid w:val="00544F45"/>
    <w:rsid w:val="00547538"/>
    <w:rsid w:val="0055015E"/>
    <w:rsid w:val="0055144F"/>
    <w:rsid w:val="00551D54"/>
    <w:rsid w:val="00553002"/>
    <w:rsid w:val="0055310F"/>
    <w:rsid w:val="00553A84"/>
    <w:rsid w:val="00553C0E"/>
    <w:rsid w:val="00553F73"/>
    <w:rsid w:val="005548A1"/>
    <w:rsid w:val="005569EE"/>
    <w:rsid w:val="005571ED"/>
    <w:rsid w:val="00560CE8"/>
    <w:rsid w:val="00560E7E"/>
    <w:rsid w:val="00560FE9"/>
    <w:rsid w:val="005627DA"/>
    <w:rsid w:val="005658D6"/>
    <w:rsid w:val="00565CD7"/>
    <w:rsid w:val="00566033"/>
    <w:rsid w:val="00574EAA"/>
    <w:rsid w:val="00575663"/>
    <w:rsid w:val="00575D98"/>
    <w:rsid w:val="00577AC5"/>
    <w:rsid w:val="00577F86"/>
    <w:rsid w:val="0058060B"/>
    <w:rsid w:val="0058484C"/>
    <w:rsid w:val="00586404"/>
    <w:rsid w:val="0058663E"/>
    <w:rsid w:val="00586BAC"/>
    <w:rsid w:val="00586CF3"/>
    <w:rsid w:val="00590258"/>
    <w:rsid w:val="005903FA"/>
    <w:rsid w:val="00592ECD"/>
    <w:rsid w:val="005A3BC0"/>
    <w:rsid w:val="005A4BBC"/>
    <w:rsid w:val="005A4D16"/>
    <w:rsid w:val="005A4DBD"/>
    <w:rsid w:val="005A4E67"/>
    <w:rsid w:val="005A5E3C"/>
    <w:rsid w:val="005A5E8C"/>
    <w:rsid w:val="005A5EF3"/>
    <w:rsid w:val="005A6EB3"/>
    <w:rsid w:val="005A7072"/>
    <w:rsid w:val="005A74B6"/>
    <w:rsid w:val="005A7A99"/>
    <w:rsid w:val="005B0B6F"/>
    <w:rsid w:val="005B0BA2"/>
    <w:rsid w:val="005B1AE4"/>
    <w:rsid w:val="005B3083"/>
    <w:rsid w:val="005B3368"/>
    <w:rsid w:val="005B338A"/>
    <w:rsid w:val="005B33B7"/>
    <w:rsid w:val="005B662A"/>
    <w:rsid w:val="005B6C09"/>
    <w:rsid w:val="005C096D"/>
    <w:rsid w:val="005C305F"/>
    <w:rsid w:val="005C35A8"/>
    <w:rsid w:val="005C3EAF"/>
    <w:rsid w:val="005C61E5"/>
    <w:rsid w:val="005C622F"/>
    <w:rsid w:val="005C7129"/>
    <w:rsid w:val="005C724C"/>
    <w:rsid w:val="005D06C3"/>
    <w:rsid w:val="005D0E56"/>
    <w:rsid w:val="005D0F40"/>
    <w:rsid w:val="005D11A0"/>
    <w:rsid w:val="005D15AD"/>
    <w:rsid w:val="005D1782"/>
    <w:rsid w:val="005D27EE"/>
    <w:rsid w:val="005D34C2"/>
    <w:rsid w:val="005D357A"/>
    <w:rsid w:val="005D452A"/>
    <w:rsid w:val="005D6E9C"/>
    <w:rsid w:val="005E08F1"/>
    <w:rsid w:val="005E0E27"/>
    <w:rsid w:val="005E100D"/>
    <w:rsid w:val="005E1100"/>
    <w:rsid w:val="005E2FFC"/>
    <w:rsid w:val="005E772D"/>
    <w:rsid w:val="005E7852"/>
    <w:rsid w:val="005E7B2B"/>
    <w:rsid w:val="005F1000"/>
    <w:rsid w:val="005F1112"/>
    <w:rsid w:val="005F176F"/>
    <w:rsid w:val="005F1FF2"/>
    <w:rsid w:val="005F4A4D"/>
    <w:rsid w:val="005F67DC"/>
    <w:rsid w:val="005F7163"/>
    <w:rsid w:val="005F739A"/>
    <w:rsid w:val="00600485"/>
    <w:rsid w:val="006039CA"/>
    <w:rsid w:val="00605FB2"/>
    <w:rsid w:val="00607C0E"/>
    <w:rsid w:val="006125C8"/>
    <w:rsid w:val="00613C8C"/>
    <w:rsid w:val="00614C56"/>
    <w:rsid w:val="006202DA"/>
    <w:rsid w:val="00621473"/>
    <w:rsid w:val="00623750"/>
    <w:rsid w:val="00624DD2"/>
    <w:rsid w:val="006259A6"/>
    <w:rsid w:val="006265B2"/>
    <w:rsid w:val="0062679E"/>
    <w:rsid w:val="006269C8"/>
    <w:rsid w:val="00627006"/>
    <w:rsid w:val="00630774"/>
    <w:rsid w:val="00631AE2"/>
    <w:rsid w:val="00632D6A"/>
    <w:rsid w:val="006351B6"/>
    <w:rsid w:val="006353EE"/>
    <w:rsid w:val="00635DDC"/>
    <w:rsid w:val="00636353"/>
    <w:rsid w:val="0063797C"/>
    <w:rsid w:val="00640A68"/>
    <w:rsid w:val="00641F17"/>
    <w:rsid w:val="006433FD"/>
    <w:rsid w:val="0064383A"/>
    <w:rsid w:val="00643E8E"/>
    <w:rsid w:val="00644114"/>
    <w:rsid w:val="00646407"/>
    <w:rsid w:val="006477D8"/>
    <w:rsid w:val="00647F10"/>
    <w:rsid w:val="006501D0"/>
    <w:rsid w:val="00651BB7"/>
    <w:rsid w:val="0065261D"/>
    <w:rsid w:val="006574AB"/>
    <w:rsid w:val="00660C33"/>
    <w:rsid w:val="00660F09"/>
    <w:rsid w:val="00662F36"/>
    <w:rsid w:val="00662F44"/>
    <w:rsid w:val="0066305C"/>
    <w:rsid w:val="00663ECF"/>
    <w:rsid w:val="0066485A"/>
    <w:rsid w:val="00665234"/>
    <w:rsid w:val="00666299"/>
    <w:rsid w:val="00667D52"/>
    <w:rsid w:val="00670F04"/>
    <w:rsid w:val="00671C28"/>
    <w:rsid w:val="00673956"/>
    <w:rsid w:val="0067410E"/>
    <w:rsid w:val="00677690"/>
    <w:rsid w:val="006776B5"/>
    <w:rsid w:val="00677C50"/>
    <w:rsid w:val="006809DF"/>
    <w:rsid w:val="006844FA"/>
    <w:rsid w:val="00684F43"/>
    <w:rsid w:val="006851D9"/>
    <w:rsid w:val="00685BB2"/>
    <w:rsid w:val="006875B4"/>
    <w:rsid w:val="00687FCF"/>
    <w:rsid w:val="00691DF9"/>
    <w:rsid w:val="00692FF1"/>
    <w:rsid w:val="00693B6A"/>
    <w:rsid w:val="006951B0"/>
    <w:rsid w:val="00695A9E"/>
    <w:rsid w:val="00695BBD"/>
    <w:rsid w:val="0069725A"/>
    <w:rsid w:val="00697D49"/>
    <w:rsid w:val="006A16EF"/>
    <w:rsid w:val="006A24A4"/>
    <w:rsid w:val="006A2EA1"/>
    <w:rsid w:val="006A4B5C"/>
    <w:rsid w:val="006A5647"/>
    <w:rsid w:val="006A57FB"/>
    <w:rsid w:val="006A5A6D"/>
    <w:rsid w:val="006A61AA"/>
    <w:rsid w:val="006A6FF4"/>
    <w:rsid w:val="006A71F4"/>
    <w:rsid w:val="006B0232"/>
    <w:rsid w:val="006B24C7"/>
    <w:rsid w:val="006B6052"/>
    <w:rsid w:val="006C0E8A"/>
    <w:rsid w:val="006C3BAB"/>
    <w:rsid w:val="006C48C1"/>
    <w:rsid w:val="006C54FB"/>
    <w:rsid w:val="006C5B4E"/>
    <w:rsid w:val="006D0152"/>
    <w:rsid w:val="006D278B"/>
    <w:rsid w:val="006D27BD"/>
    <w:rsid w:val="006D2E97"/>
    <w:rsid w:val="006D53AD"/>
    <w:rsid w:val="006D75CA"/>
    <w:rsid w:val="006E135F"/>
    <w:rsid w:val="006E1CF4"/>
    <w:rsid w:val="006E1EFF"/>
    <w:rsid w:val="006E20B8"/>
    <w:rsid w:val="006E21B1"/>
    <w:rsid w:val="006E25C0"/>
    <w:rsid w:val="006E2AB2"/>
    <w:rsid w:val="006E4879"/>
    <w:rsid w:val="006E4C13"/>
    <w:rsid w:val="006E686B"/>
    <w:rsid w:val="006E7B00"/>
    <w:rsid w:val="006F11AE"/>
    <w:rsid w:val="006F20A7"/>
    <w:rsid w:val="006F241E"/>
    <w:rsid w:val="006F27F2"/>
    <w:rsid w:val="006F31A2"/>
    <w:rsid w:val="006F439C"/>
    <w:rsid w:val="007009AD"/>
    <w:rsid w:val="00701601"/>
    <w:rsid w:val="00702378"/>
    <w:rsid w:val="00704745"/>
    <w:rsid w:val="00704CC4"/>
    <w:rsid w:val="00707604"/>
    <w:rsid w:val="007111C6"/>
    <w:rsid w:val="007116DD"/>
    <w:rsid w:val="00711809"/>
    <w:rsid w:val="00711845"/>
    <w:rsid w:val="00711C21"/>
    <w:rsid w:val="00713545"/>
    <w:rsid w:val="007143AC"/>
    <w:rsid w:val="0071584D"/>
    <w:rsid w:val="007176D6"/>
    <w:rsid w:val="00721801"/>
    <w:rsid w:val="007238C5"/>
    <w:rsid w:val="00725574"/>
    <w:rsid w:val="00725B8F"/>
    <w:rsid w:val="00731372"/>
    <w:rsid w:val="00732179"/>
    <w:rsid w:val="00732D86"/>
    <w:rsid w:val="0073406F"/>
    <w:rsid w:val="0073479E"/>
    <w:rsid w:val="0073508F"/>
    <w:rsid w:val="007358B6"/>
    <w:rsid w:val="00735EBB"/>
    <w:rsid w:val="007366CD"/>
    <w:rsid w:val="00736E41"/>
    <w:rsid w:val="00740930"/>
    <w:rsid w:val="0074122A"/>
    <w:rsid w:val="00743676"/>
    <w:rsid w:val="0074776E"/>
    <w:rsid w:val="00747C9E"/>
    <w:rsid w:val="00747E44"/>
    <w:rsid w:val="00750028"/>
    <w:rsid w:val="0075146E"/>
    <w:rsid w:val="007525A8"/>
    <w:rsid w:val="0075524D"/>
    <w:rsid w:val="007553F9"/>
    <w:rsid w:val="0075609E"/>
    <w:rsid w:val="00760A11"/>
    <w:rsid w:val="00760A60"/>
    <w:rsid w:val="0076310D"/>
    <w:rsid w:val="00763543"/>
    <w:rsid w:val="007647DB"/>
    <w:rsid w:val="00765BC8"/>
    <w:rsid w:val="00767A87"/>
    <w:rsid w:val="00770BF8"/>
    <w:rsid w:val="00771748"/>
    <w:rsid w:val="00773141"/>
    <w:rsid w:val="00773EFA"/>
    <w:rsid w:val="00774454"/>
    <w:rsid w:val="007749D2"/>
    <w:rsid w:val="00774E03"/>
    <w:rsid w:val="007758DB"/>
    <w:rsid w:val="00780177"/>
    <w:rsid w:val="00780B95"/>
    <w:rsid w:val="007840FD"/>
    <w:rsid w:val="007843F7"/>
    <w:rsid w:val="00785C1F"/>
    <w:rsid w:val="00786050"/>
    <w:rsid w:val="007863D2"/>
    <w:rsid w:val="00786DED"/>
    <w:rsid w:val="0079182F"/>
    <w:rsid w:val="00791D04"/>
    <w:rsid w:val="00791D69"/>
    <w:rsid w:val="00793157"/>
    <w:rsid w:val="007951A1"/>
    <w:rsid w:val="0079625E"/>
    <w:rsid w:val="00797FD3"/>
    <w:rsid w:val="007A2256"/>
    <w:rsid w:val="007A4133"/>
    <w:rsid w:val="007A426A"/>
    <w:rsid w:val="007A45A9"/>
    <w:rsid w:val="007A4726"/>
    <w:rsid w:val="007A474B"/>
    <w:rsid w:val="007A5B5F"/>
    <w:rsid w:val="007A67E9"/>
    <w:rsid w:val="007A694C"/>
    <w:rsid w:val="007A7A22"/>
    <w:rsid w:val="007B240E"/>
    <w:rsid w:val="007B79A9"/>
    <w:rsid w:val="007B7DC9"/>
    <w:rsid w:val="007B7FB9"/>
    <w:rsid w:val="007C228B"/>
    <w:rsid w:val="007C2582"/>
    <w:rsid w:val="007C421C"/>
    <w:rsid w:val="007C4CEA"/>
    <w:rsid w:val="007C7D90"/>
    <w:rsid w:val="007D046E"/>
    <w:rsid w:val="007D2529"/>
    <w:rsid w:val="007D2F47"/>
    <w:rsid w:val="007D3BE7"/>
    <w:rsid w:val="007D41A8"/>
    <w:rsid w:val="007D43A9"/>
    <w:rsid w:val="007D5E4E"/>
    <w:rsid w:val="007E09EB"/>
    <w:rsid w:val="007E229B"/>
    <w:rsid w:val="007E262E"/>
    <w:rsid w:val="007E28B2"/>
    <w:rsid w:val="007E379C"/>
    <w:rsid w:val="007E3B98"/>
    <w:rsid w:val="007E4188"/>
    <w:rsid w:val="007E54E0"/>
    <w:rsid w:val="007E5782"/>
    <w:rsid w:val="007E5BC8"/>
    <w:rsid w:val="007E64FE"/>
    <w:rsid w:val="007E6E7B"/>
    <w:rsid w:val="007E74B9"/>
    <w:rsid w:val="007E7BFF"/>
    <w:rsid w:val="007E7F1B"/>
    <w:rsid w:val="007F15D7"/>
    <w:rsid w:val="007F27B3"/>
    <w:rsid w:val="007F2870"/>
    <w:rsid w:val="007F3DC2"/>
    <w:rsid w:val="007F5AED"/>
    <w:rsid w:val="007F7479"/>
    <w:rsid w:val="008003B0"/>
    <w:rsid w:val="008005BE"/>
    <w:rsid w:val="00802788"/>
    <w:rsid w:val="0080726B"/>
    <w:rsid w:val="00807B46"/>
    <w:rsid w:val="00810820"/>
    <w:rsid w:val="00810EE4"/>
    <w:rsid w:val="00811A07"/>
    <w:rsid w:val="00811B69"/>
    <w:rsid w:val="008158B6"/>
    <w:rsid w:val="00816332"/>
    <w:rsid w:val="008175C7"/>
    <w:rsid w:val="00821BBD"/>
    <w:rsid w:val="00822F96"/>
    <w:rsid w:val="008239BC"/>
    <w:rsid w:val="00825446"/>
    <w:rsid w:val="008300E8"/>
    <w:rsid w:val="00830F4A"/>
    <w:rsid w:val="00832F67"/>
    <w:rsid w:val="00833593"/>
    <w:rsid w:val="00834058"/>
    <w:rsid w:val="008341B0"/>
    <w:rsid w:val="0083525D"/>
    <w:rsid w:val="00835695"/>
    <w:rsid w:val="0083613F"/>
    <w:rsid w:val="008362D8"/>
    <w:rsid w:val="00836529"/>
    <w:rsid w:val="00836921"/>
    <w:rsid w:val="00837A11"/>
    <w:rsid w:val="00837EC0"/>
    <w:rsid w:val="0084064B"/>
    <w:rsid w:val="00840D91"/>
    <w:rsid w:val="0084192C"/>
    <w:rsid w:val="00843A5B"/>
    <w:rsid w:val="0084471C"/>
    <w:rsid w:val="00845201"/>
    <w:rsid w:val="00845A86"/>
    <w:rsid w:val="0084624D"/>
    <w:rsid w:val="008464C0"/>
    <w:rsid w:val="0085073C"/>
    <w:rsid w:val="00850DB8"/>
    <w:rsid w:val="00851E7B"/>
    <w:rsid w:val="008525EF"/>
    <w:rsid w:val="00852F67"/>
    <w:rsid w:val="008534CA"/>
    <w:rsid w:val="00853B6D"/>
    <w:rsid w:val="00853C9D"/>
    <w:rsid w:val="00853FF5"/>
    <w:rsid w:val="00854473"/>
    <w:rsid w:val="00855F92"/>
    <w:rsid w:val="0085682F"/>
    <w:rsid w:val="008578F1"/>
    <w:rsid w:val="00861018"/>
    <w:rsid w:val="00861AA2"/>
    <w:rsid w:val="0086429D"/>
    <w:rsid w:val="00864512"/>
    <w:rsid w:val="00864AFD"/>
    <w:rsid w:val="0086643E"/>
    <w:rsid w:val="008677C5"/>
    <w:rsid w:val="00867C9D"/>
    <w:rsid w:val="00870D84"/>
    <w:rsid w:val="00871355"/>
    <w:rsid w:val="008740DF"/>
    <w:rsid w:val="0087553E"/>
    <w:rsid w:val="00876DDF"/>
    <w:rsid w:val="008773DF"/>
    <w:rsid w:val="0088205E"/>
    <w:rsid w:val="008836F8"/>
    <w:rsid w:val="0088465A"/>
    <w:rsid w:val="00885F5D"/>
    <w:rsid w:val="00887DF2"/>
    <w:rsid w:val="00887F21"/>
    <w:rsid w:val="0089014C"/>
    <w:rsid w:val="00890C7E"/>
    <w:rsid w:val="00890E1D"/>
    <w:rsid w:val="008953E5"/>
    <w:rsid w:val="0089706B"/>
    <w:rsid w:val="00897763"/>
    <w:rsid w:val="008A0510"/>
    <w:rsid w:val="008A0600"/>
    <w:rsid w:val="008A12E7"/>
    <w:rsid w:val="008A51E6"/>
    <w:rsid w:val="008A6294"/>
    <w:rsid w:val="008A6A8E"/>
    <w:rsid w:val="008B0999"/>
    <w:rsid w:val="008B1845"/>
    <w:rsid w:val="008B1E82"/>
    <w:rsid w:val="008B2121"/>
    <w:rsid w:val="008B4774"/>
    <w:rsid w:val="008B5F44"/>
    <w:rsid w:val="008C13DB"/>
    <w:rsid w:val="008C1B57"/>
    <w:rsid w:val="008C1C2F"/>
    <w:rsid w:val="008C2B5E"/>
    <w:rsid w:val="008C50AE"/>
    <w:rsid w:val="008C78CD"/>
    <w:rsid w:val="008C7C46"/>
    <w:rsid w:val="008D02F7"/>
    <w:rsid w:val="008D2E7A"/>
    <w:rsid w:val="008D6413"/>
    <w:rsid w:val="008D7353"/>
    <w:rsid w:val="008E0501"/>
    <w:rsid w:val="008E1268"/>
    <w:rsid w:val="008E2079"/>
    <w:rsid w:val="008E2D38"/>
    <w:rsid w:val="008E3717"/>
    <w:rsid w:val="008E420B"/>
    <w:rsid w:val="008E4844"/>
    <w:rsid w:val="008E5667"/>
    <w:rsid w:val="008E5B52"/>
    <w:rsid w:val="008E61F1"/>
    <w:rsid w:val="008E6F8B"/>
    <w:rsid w:val="008E7DF2"/>
    <w:rsid w:val="008F0CBD"/>
    <w:rsid w:val="008F2B7F"/>
    <w:rsid w:val="008F3479"/>
    <w:rsid w:val="008F451E"/>
    <w:rsid w:val="008F5AE8"/>
    <w:rsid w:val="008F5BD3"/>
    <w:rsid w:val="008F7B18"/>
    <w:rsid w:val="00901E23"/>
    <w:rsid w:val="009021B9"/>
    <w:rsid w:val="00902378"/>
    <w:rsid w:val="00902CDF"/>
    <w:rsid w:val="009040A8"/>
    <w:rsid w:val="00904A19"/>
    <w:rsid w:val="009059A8"/>
    <w:rsid w:val="00906760"/>
    <w:rsid w:val="0090781B"/>
    <w:rsid w:val="00910241"/>
    <w:rsid w:val="00916EC9"/>
    <w:rsid w:val="00916F03"/>
    <w:rsid w:val="009178E5"/>
    <w:rsid w:val="00917C9C"/>
    <w:rsid w:val="009203FE"/>
    <w:rsid w:val="00921EF2"/>
    <w:rsid w:val="00922C5C"/>
    <w:rsid w:val="00923F84"/>
    <w:rsid w:val="0092495C"/>
    <w:rsid w:val="00924E80"/>
    <w:rsid w:val="009264B9"/>
    <w:rsid w:val="00927C27"/>
    <w:rsid w:val="0093141E"/>
    <w:rsid w:val="009322A0"/>
    <w:rsid w:val="009325DF"/>
    <w:rsid w:val="00932BAA"/>
    <w:rsid w:val="00932F05"/>
    <w:rsid w:val="009342DA"/>
    <w:rsid w:val="00934584"/>
    <w:rsid w:val="009345AC"/>
    <w:rsid w:val="00934E84"/>
    <w:rsid w:val="009352DD"/>
    <w:rsid w:val="0093611C"/>
    <w:rsid w:val="0093659B"/>
    <w:rsid w:val="009369F7"/>
    <w:rsid w:val="00936BD1"/>
    <w:rsid w:val="009423B6"/>
    <w:rsid w:val="00943049"/>
    <w:rsid w:val="009431EC"/>
    <w:rsid w:val="009437F5"/>
    <w:rsid w:val="009453F1"/>
    <w:rsid w:val="00946016"/>
    <w:rsid w:val="009463D3"/>
    <w:rsid w:val="009468D9"/>
    <w:rsid w:val="009475F8"/>
    <w:rsid w:val="00947846"/>
    <w:rsid w:val="00947F44"/>
    <w:rsid w:val="00950415"/>
    <w:rsid w:val="0095058A"/>
    <w:rsid w:val="00950942"/>
    <w:rsid w:val="0095094C"/>
    <w:rsid w:val="00952329"/>
    <w:rsid w:val="0095308D"/>
    <w:rsid w:val="00953294"/>
    <w:rsid w:val="00953C40"/>
    <w:rsid w:val="00956E6D"/>
    <w:rsid w:val="009579B1"/>
    <w:rsid w:val="00957A62"/>
    <w:rsid w:val="00960FFF"/>
    <w:rsid w:val="00961888"/>
    <w:rsid w:val="0096208A"/>
    <w:rsid w:val="009628AB"/>
    <w:rsid w:val="00964267"/>
    <w:rsid w:val="00964D1E"/>
    <w:rsid w:val="00965014"/>
    <w:rsid w:val="00965B3C"/>
    <w:rsid w:val="009661E9"/>
    <w:rsid w:val="00970132"/>
    <w:rsid w:val="00970249"/>
    <w:rsid w:val="00970342"/>
    <w:rsid w:val="00970461"/>
    <w:rsid w:val="00970E71"/>
    <w:rsid w:val="00971AEA"/>
    <w:rsid w:val="00971F92"/>
    <w:rsid w:val="00972D5A"/>
    <w:rsid w:val="00974B04"/>
    <w:rsid w:val="00976863"/>
    <w:rsid w:val="009820EE"/>
    <w:rsid w:val="009824AA"/>
    <w:rsid w:val="009825B6"/>
    <w:rsid w:val="009834FF"/>
    <w:rsid w:val="00983788"/>
    <w:rsid w:val="00985338"/>
    <w:rsid w:val="00985756"/>
    <w:rsid w:val="00985F44"/>
    <w:rsid w:val="00986533"/>
    <w:rsid w:val="00986ED5"/>
    <w:rsid w:val="00986F48"/>
    <w:rsid w:val="00987C50"/>
    <w:rsid w:val="00992125"/>
    <w:rsid w:val="0099393F"/>
    <w:rsid w:val="009946D3"/>
    <w:rsid w:val="00996047"/>
    <w:rsid w:val="00997BE6"/>
    <w:rsid w:val="00997CBE"/>
    <w:rsid w:val="00997DBA"/>
    <w:rsid w:val="009A0D43"/>
    <w:rsid w:val="009A11F4"/>
    <w:rsid w:val="009A16B6"/>
    <w:rsid w:val="009A18BD"/>
    <w:rsid w:val="009A2BE8"/>
    <w:rsid w:val="009A4188"/>
    <w:rsid w:val="009A41EC"/>
    <w:rsid w:val="009A4A49"/>
    <w:rsid w:val="009A5B0B"/>
    <w:rsid w:val="009A65E3"/>
    <w:rsid w:val="009A6C39"/>
    <w:rsid w:val="009A720E"/>
    <w:rsid w:val="009A7B75"/>
    <w:rsid w:val="009A7D04"/>
    <w:rsid w:val="009B012A"/>
    <w:rsid w:val="009B0F7A"/>
    <w:rsid w:val="009B1565"/>
    <w:rsid w:val="009B41F4"/>
    <w:rsid w:val="009B5748"/>
    <w:rsid w:val="009B5A1B"/>
    <w:rsid w:val="009B5EF4"/>
    <w:rsid w:val="009C0FD5"/>
    <w:rsid w:val="009C198B"/>
    <w:rsid w:val="009C3441"/>
    <w:rsid w:val="009C4141"/>
    <w:rsid w:val="009C6828"/>
    <w:rsid w:val="009C7CEA"/>
    <w:rsid w:val="009D0963"/>
    <w:rsid w:val="009D2A24"/>
    <w:rsid w:val="009D34B3"/>
    <w:rsid w:val="009D35A0"/>
    <w:rsid w:val="009D3CB0"/>
    <w:rsid w:val="009D46F5"/>
    <w:rsid w:val="009D5D01"/>
    <w:rsid w:val="009D60E9"/>
    <w:rsid w:val="009D6F17"/>
    <w:rsid w:val="009D73B8"/>
    <w:rsid w:val="009D7557"/>
    <w:rsid w:val="009D7A10"/>
    <w:rsid w:val="009E0071"/>
    <w:rsid w:val="009E0D62"/>
    <w:rsid w:val="009E31D8"/>
    <w:rsid w:val="009E34F8"/>
    <w:rsid w:val="009E7564"/>
    <w:rsid w:val="009F0548"/>
    <w:rsid w:val="009F1357"/>
    <w:rsid w:val="009F2626"/>
    <w:rsid w:val="009F29EB"/>
    <w:rsid w:val="009F2B51"/>
    <w:rsid w:val="009F43F9"/>
    <w:rsid w:val="009F4E5C"/>
    <w:rsid w:val="009F6320"/>
    <w:rsid w:val="00A00B6B"/>
    <w:rsid w:val="00A02951"/>
    <w:rsid w:val="00A03548"/>
    <w:rsid w:val="00A06627"/>
    <w:rsid w:val="00A11B6A"/>
    <w:rsid w:val="00A12113"/>
    <w:rsid w:val="00A12CB6"/>
    <w:rsid w:val="00A13479"/>
    <w:rsid w:val="00A13D9C"/>
    <w:rsid w:val="00A141C7"/>
    <w:rsid w:val="00A152AE"/>
    <w:rsid w:val="00A1564A"/>
    <w:rsid w:val="00A20BB3"/>
    <w:rsid w:val="00A21162"/>
    <w:rsid w:val="00A2135E"/>
    <w:rsid w:val="00A21E03"/>
    <w:rsid w:val="00A21EDA"/>
    <w:rsid w:val="00A22007"/>
    <w:rsid w:val="00A2262F"/>
    <w:rsid w:val="00A235E0"/>
    <w:rsid w:val="00A23DCC"/>
    <w:rsid w:val="00A23E8F"/>
    <w:rsid w:val="00A23F92"/>
    <w:rsid w:val="00A24F1C"/>
    <w:rsid w:val="00A25A78"/>
    <w:rsid w:val="00A26FD5"/>
    <w:rsid w:val="00A27D0C"/>
    <w:rsid w:val="00A30543"/>
    <w:rsid w:val="00A306D4"/>
    <w:rsid w:val="00A3138D"/>
    <w:rsid w:val="00A33B99"/>
    <w:rsid w:val="00A3598E"/>
    <w:rsid w:val="00A42184"/>
    <w:rsid w:val="00A45DA1"/>
    <w:rsid w:val="00A45DD5"/>
    <w:rsid w:val="00A46AA6"/>
    <w:rsid w:val="00A46DB1"/>
    <w:rsid w:val="00A471C5"/>
    <w:rsid w:val="00A47F72"/>
    <w:rsid w:val="00A51226"/>
    <w:rsid w:val="00A51541"/>
    <w:rsid w:val="00A523EB"/>
    <w:rsid w:val="00A542C6"/>
    <w:rsid w:val="00A5455C"/>
    <w:rsid w:val="00A55D46"/>
    <w:rsid w:val="00A561D5"/>
    <w:rsid w:val="00A56B71"/>
    <w:rsid w:val="00A57278"/>
    <w:rsid w:val="00A57590"/>
    <w:rsid w:val="00A637FD"/>
    <w:rsid w:val="00A65803"/>
    <w:rsid w:val="00A66A0B"/>
    <w:rsid w:val="00A674EC"/>
    <w:rsid w:val="00A67CEE"/>
    <w:rsid w:val="00A700E7"/>
    <w:rsid w:val="00A711AF"/>
    <w:rsid w:val="00A71DEC"/>
    <w:rsid w:val="00A7332F"/>
    <w:rsid w:val="00A73C5B"/>
    <w:rsid w:val="00A77A7D"/>
    <w:rsid w:val="00A80DCB"/>
    <w:rsid w:val="00A81255"/>
    <w:rsid w:val="00A815ED"/>
    <w:rsid w:val="00A81CD6"/>
    <w:rsid w:val="00A83706"/>
    <w:rsid w:val="00A840C3"/>
    <w:rsid w:val="00A843B4"/>
    <w:rsid w:val="00A90098"/>
    <w:rsid w:val="00A904D8"/>
    <w:rsid w:val="00A90910"/>
    <w:rsid w:val="00A90A7D"/>
    <w:rsid w:val="00A90E01"/>
    <w:rsid w:val="00A93684"/>
    <w:rsid w:val="00A93EF8"/>
    <w:rsid w:val="00A94F90"/>
    <w:rsid w:val="00A9736A"/>
    <w:rsid w:val="00A976F5"/>
    <w:rsid w:val="00AA0285"/>
    <w:rsid w:val="00AA2764"/>
    <w:rsid w:val="00AB083F"/>
    <w:rsid w:val="00AB130E"/>
    <w:rsid w:val="00AB146A"/>
    <w:rsid w:val="00AB187A"/>
    <w:rsid w:val="00AB195B"/>
    <w:rsid w:val="00AB2734"/>
    <w:rsid w:val="00AB4F6D"/>
    <w:rsid w:val="00AB5D10"/>
    <w:rsid w:val="00AB6095"/>
    <w:rsid w:val="00AC0786"/>
    <w:rsid w:val="00AC2707"/>
    <w:rsid w:val="00AC3033"/>
    <w:rsid w:val="00AC4F23"/>
    <w:rsid w:val="00AC53D0"/>
    <w:rsid w:val="00AC591D"/>
    <w:rsid w:val="00AC7314"/>
    <w:rsid w:val="00AC7E3E"/>
    <w:rsid w:val="00AD1442"/>
    <w:rsid w:val="00AD235A"/>
    <w:rsid w:val="00AD4532"/>
    <w:rsid w:val="00AD45FE"/>
    <w:rsid w:val="00AD460D"/>
    <w:rsid w:val="00AD4FBE"/>
    <w:rsid w:val="00AD4FED"/>
    <w:rsid w:val="00AD5E5D"/>
    <w:rsid w:val="00AE23D2"/>
    <w:rsid w:val="00AE25EE"/>
    <w:rsid w:val="00AE28E7"/>
    <w:rsid w:val="00AE430F"/>
    <w:rsid w:val="00AE446E"/>
    <w:rsid w:val="00AE489F"/>
    <w:rsid w:val="00AE49C2"/>
    <w:rsid w:val="00AE5195"/>
    <w:rsid w:val="00AE540B"/>
    <w:rsid w:val="00AE61C9"/>
    <w:rsid w:val="00AE6F2F"/>
    <w:rsid w:val="00AF4FF3"/>
    <w:rsid w:val="00AF6BD9"/>
    <w:rsid w:val="00AF7F88"/>
    <w:rsid w:val="00AF7FC2"/>
    <w:rsid w:val="00B00C8D"/>
    <w:rsid w:val="00B01D06"/>
    <w:rsid w:val="00B01ED5"/>
    <w:rsid w:val="00B0318A"/>
    <w:rsid w:val="00B0385D"/>
    <w:rsid w:val="00B04D3D"/>
    <w:rsid w:val="00B05342"/>
    <w:rsid w:val="00B1274F"/>
    <w:rsid w:val="00B12E04"/>
    <w:rsid w:val="00B14716"/>
    <w:rsid w:val="00B24A01"/>
    <w:rsid w:val="00B24F8A"/>
    <w:rsid w:val="00B27313"/>
    <w:rsid w:val="00B2773D"/>
    <w:rsid w:val="00B309BA"/>
    <w:rsid w:val="00B3126E"/>
    <w:rsid w:val="00B31528"/>
    <w:rsid w:val="00B31EA7"/>
    <w:rsid w:val="00B323B2"/>
    <w:rsid w:val="00B3332B"/>
    <w:rsid w:val="00B34500"/>
    <w:rsid w:val="00B34FA2"/>
    <w:rsid w:val="00B35395"/>
    <w:rsid w:val="00B363A9"/>
    <w:rsid w:val="00B417FB"/>
    <w:rsid w:val="00B426CA"/>
    <w:rsid w:val="00B42C4E"/>
    <w:rsid w:val="00B46BA3"/>
    <w:rsid w:val="00B47489"/>
    <w:rsid w:val="00B50355"/>
    <w:rsid w:val="00B507F8"/>
    <w:rsid w:val="00B515C6"/>
    <w:rsid w:val="00B518C1"/>
    <w:rsid w:val="00B5301A"/>
    <w:rsid w:val="00B538A1"/>
    <w:rsid w:val="00B54137"/>
    <w:rsid w:val="00B54466"/>
    <w:rsid w:val="00B54C55"/>
    <w:rsid w:val="00B56E1D"/>
    <w:rsid w:val="00B579D2"/>
    <w:rsid w:val="00B57C2B"/>
    <w:rsid w:val="00B608A6"/>
    <w:rsid w:val="00B61EF5"/>
    <w:rsid w:val="00B63815"/>
    <w:rsid w:val="00B63BA0"/>
    <w:rsid w:val="00B64258"/>
    <w:rsid w:val="00B64BDE"/>
    <w:rsid w:val="00B64E3D"/>
    <w:rsid w:val="00B65B17"/>
    <w:rsid w:val="00B6760B"/>
    <w:rsid w:val="00B70CA4"/>
    <w:rsid w:val="00B71453"/>
    <w:rsid w:val="00B71A29"/>
    <w:rsid w:val="00B72F4E"/>
    <w:rsid w:val="00B73F3A"/>
    <w:rsid w:val="00B74AB4"/>
    <w:rsid w:val="00B754F2"/>
    <w:rsid w:val="00B75743"/>
    <w:rsid w:val="00B75CD3"/>
    <w:rsid w:val="00B8062E"/>
    <w:rsid w:val="00B80C9A"/>
    <w:rsid w:val="00B80E31"/>
    <w:rsid w:val="00B81A2A"/>
    <w:rsid w:val="00B81B5C"/>
    <w:rsid w:val="00B82275"/>
    <w:rsid w:val="00B831DD"/>
    <w:rsid w:val="00B84E99"/>
    <w:rsid w:val="00B86AC6"/>
    <w:rsid w:val="00B8718F"/>
    <w:rsid w:val="00B90D75"/>
    <w:rsid w:val="00B90EB2"/>
    <w:rsid w:val="00B924B8"/>
    <w:rsid w:val="00B92E5C"/>
    <w:rsid w:val="00B93917"/>
    <w:rsid w:val="00B94A8B"/>
    <w:rsid w:val="00BA015C"/>
    <w:rsid w:val="00BA1002"/>
    <w:rsid w:val="00BA11FD"/>
    <w:rsid w:val="00BA33B0"/>
    <w:rsid w:val="00BA346E"/>
    <w:rsid w:val="00BA5949"/>
    <w:rsid w:val="00BA59B4"/>
    <w:rsid w:val="00BA5D27"/>
    <w:rsid w:val="00BA65FF"/>
    <w:rsid w:val="00BA6B4B"/>
    <w:rsid w:val="00BA707C"/>
    <w:rsid w:val="00BA7337"/>
    <w:rsid w:val="00BB1BE9"/>
    <w:rsid w:val="00BB2A36"/>
    <w:rsid w:val="00BB335E"/>
    <w:rsid w:val="00BB4142"/>
    <w:rsid w:val="00BB6F77"/>
    <w:rsid w:val="00BC0250"/>
    <w:rsid w:val="00BC14A7"/>
    <w:rsid w:val="00BC2649"/>
    <w:rsid w:val="00BC563D"/>
    <w:rsid w:val="00BC5AAF"/>
    <w:rsid w:val="00BC6F9C"/>
    <w:rsid w:val="00BD0D17"/>
    <w:rsid w:val="00BD32C8"/>
    <w:rsid w:val="00BD3AE5"/>
    <w:rsid w:val="00BD47AB"/>
    <w:rsid w:val="00BE065A"/>
    <w:rsid w:val="00BE14EE"/>
    <w:rsid w:val="00BE1B2E"/>
    <w:rsid w:val="00BE216C"/>
    <w:rsid w:val="00BE2F46"/>
    <w:rsid w:val="00BE510E"/>
    <w:rsid w:val="00BE56C2"/>
    <w:rsid w:val="00BE59D6"/>
    <w:rsid w:val="00BE75A5"/>
    <w:rsid w:val="00BE7835"/>
    <w:rsid w:val="00BF0FC9"/>
    <w:rsid w:val="00BF20F4"/>
    <w:rsid w:val="00BF21E3"/>
    <w:rsid w:val="00BF2567"/>
    <w:rsid w:val="00BF27E8"/>
    <w:rsid w:val="00BF3351"/>
    <w:rsid w:val="00BF4418"/>
    <w:rsid w:val="00BF4A0E"/>
    <w:rsid w:val="00BF51B7"/>
    <w:rsid w:val="00BF5865"/>
    <w:rsid w:val="00BF5BB6"/>
    <w:rsid w:val="00C0019C"/>
    <w:rsid w:val="00C00B57"/>
    <w:rsid w:val="00C00C23"/>
    <w:rsid w:val="00C01B73"/>
    <w:rsid w:val="00C023F6"/>
    <w:rsid w:val="00C02962"/>
    <w:rsid w:val="00C029A0"/>
    <w:rsid w:val="00C02B15"/>
    <w:rsid w:val="00C03340"/>
    <w:rsid w:val="00C050FE"/>
    <w:rsid w:val="00C05D29"/>
    <w:rsid w:val="00C065A4"/>
    <w:rsid w:val="00C06A84"/>
    <w:rsid w:val="00C07708"/>
    <w:rsid w:val="00C109D1"/>
    <w:rsid w:val="00C12825"/>
    <w:rsid w:val="00C129F6"/>
    <w:rsid w:val="00C13995"/>
    <w:rsid w:val="00C141C6"/>
    <w:rsid w:val="00C14D0A"/>
    <w:rsid w:val="00C1702D"/>
    <w:rsid w:val="00C2172E"/>
    <w:rsid w:val="00C220DD"/>
    <w:rsid w:val="00C252BD"/>
    <w:rsid w:val="00C27193"/>
    <w:rsid w:val="00C30413"/>
    <w:rsid w:val="00C30A5D"/>
    <w:rsid w:val="00C31666"/>
    <w:rsid w:val="00C32877"/>
    <w:rsid w:val="00C33141"/>
    <w:rsid w:val="00C333D5"/>
    <w:rsid w:val="00C34D06"/>
    <w:rsid w:val="00C35536"/>
    <w:rsid w:val="00C35595"/>
    <w:rsid w:val="00C36E50"/>
    <w:rsid w:val="00C37550"/>
    <w:rsid w:val="00C37997"/>
    <w:rsid w:val="00C37BAA"/>
    <w:rsid w:val="00C4002F"/>
    <w:rsid w:val="00C40170"/>
    <w:rsid w:val="00C42336"/>
    <w:rsid w:val="00C44ED0"/>
    <w:rsid w:val="00C4741F"/>
    <w:rsid w:val="00C479E2"/>
    <w:rsid w:val="00C50940"/>
    <w:rsid w:val="00C519F9"/>
    <w:rsid w:val="00C52F2F"/>
    <w:rsid w:val="00C538DB"/>
    <w:rsid w:val="00C54D83"/>
    <w:rsid w:val="00C5650B"/>
    <w:rsid w:val="00C57278"/>
    <w:rsid w:val="00C5786F"/>
    <w:rsid w:val="00C61AFB"/>
    <w:rsid w:val="00C64226"/>
    <w:rsid w:val="00C645A0"/>
    <w:rsid w:val="00C661BA"/>
    <w:rsid w:val="00C6732F"/>
    <w:rsid w:val="00C70B5D"/>
    <w:rsid w:val="00C72DD2"/>
    <w:rsid w:val="00C74227"/>
    <w:rsid w:val="00C75C24"/>
    <w:rsid w:val="00C77BDC"/>
    <w:rsid w:val="00C80BAC"/>
    <w:rsid w:val="00C80F3E"/>
    <w:rsid w:val="00C82ABD"/>
    <w:rsid w:val="00C83C14"/>
    <w:rsid w:val="00C86511"/>
    <w:rsid w:val="00C86A2A"/>
    <w:rsid w:val="00C87B69"/>
    <w:rsid w:val="00C87D1D"/>
    <w:rsid w:val="00C87FCE"/>
    <w:rsid w:val="00C90342"/>
    <w:rsid w:val="00C91F8E"/>
    <w:rsid w:val="00C92459"/>
    <w:rsid w:val="00C93746"/>
    <w:rsid w:val="00C9496C"/>
    <w:rsid w:val="00C955AC"/>
    <w:rsid w:val="00C96A64"/>
    <w:rsid w:val="00CA1FB3"/>
    <w:rsid w:val="00CA22C0"/>
    <w:rsid w:val="00CA32F0"/>
    <w:rsid w:val="00CA34C2"/>
    <w:rsid w:val="00CA42D4"/>
    <w:rsid w:val="00CA669F"/>
    <w:rsid w:val="00CA67E4"/>
    <w:rsid w:val="00CA74C3"/>
    <w:rsid w:val="00CA76D4"/>
    <w:rsid w:val="00CB0305"/>
    <w:rsid w:val="00CB0385"/>
    <w:rsid w:val="00CB114C"/>
    <w:rsid w:val="00CB2156"/>
    <w:rsid w:val="00CB4AF6"/>
    <w:rsid w:val="00CB555E"/>
    <w:rsid w:val="00CB5D06"/>
    <w:rsid w:val="00CB6D94"/>
    <w:rsid w:val="00CB6DE0"/>
    <w:rsid w:val="00CB7786"/>
    <w:rsid w:val="00CC20F9"/>
    <w:rsid w:val="00CC2FA1"/>
    <w:rsid w:val="00CC36F5"/>
    <w:rsid w:val="00CC3991"/>
    <w:rsid w:val="00CC5D4D"/>
    <w:rsid w:val="00CD01ED"/>
    <w:rsid w:val="00CD0BC8"/>
    <w:rsid w:val="00CD116E"/>
    <w:rsid w:val="00CE11E7"/>
    <w:rsid w:val="00CE2568"/>
    <w:rsid w:val="00CE35A6"/>
    <w:rsid w:val="00CE50A9"/>
    <w:rsid w:val="00CE7CED"/>
    <w:rsid w:val="00CF0E00"/>
    <w:rsid w:val="00CF13A0"/>
    <w:rsid w:val="00CF2543"/>
    <w:rsid w:val="00CF371D"/>
    <w:rsid w:val="00CF3878"/>
    <w:rsid w:val="00CF4F14"/>
    <w:rsid w:val="00CF62E9"/>
    <w:rsid w:val="00D00619"/>
    <w:rsid w:val="00D010F8"/>
    <w:rsid w:val="00D01A3A"/>
    <w:rsid w:val="00D02D1E"/>
    <w:rsid w:val="00D0640F"/>
    <w:rsid w:val="00D1384D"/>
    <w:rsid w:val="00D14AD3"/>
    <w:rsid w:val="00D14E59"/>
    <w:rsid w:val="00D16026"/>
    <w:rsid w:val="00D20F54"/>
    <w:rsid w:val="00D2148C"/>
    <w:rsid w:val="00D22449"/>
    <w:rsid w:val="00D225F7"/>
    <w:rsid w:val="00D22AB2"/>
    <w:rsid w:val="00D24565"/>
    <w:rsid w:val="00D24ED4"/>
    <w:rsid w:val="00D271B1"/>
    <w:rsid w:val="00D27CEC"/>
    <w:rsid w:val="00D27F10"/>
    <w:rsid w:val="00D3027A"/>
    <w:rsid w:val="00D30605"/>
    <w:rsid w:val="00D32D89"/>
    <w:rsid w:val="00D32E66"/>
    <w:rsid w:val="00D34466"/>
    <w:rsid w:val="00D3632E"/>
    <w:rsid w:val="00D40150"/>
    <w:rsid w:val="00D4121A"/>
    <w:rsid w:val="00D41836"/>
    <w:rsid w:val="00D43C18"/>
    <w:rsid w:val="00D459ED"/>
    <w:rsid w:val="00D45FE4"/>
    <w:rsid w:val="00D46DAF"/>
    <w:rsid w:val="00D46EB4"/>
    <w:rsid w:val="00D506CC"/>
    <w:rsid w:val="00D512CC"/>
    <w:rsid w:val="00D51A27"/>
    <w:rsid w:val="00D51F11"/>
    <w:rsid w:val="00D52187"/>
    <w:rsid w:val="00D52E15"/>
    <w:rsid w:val="00D53827"/>
    <w:rsid w:val="00D54CC3"/>
    <w:rsid w:val="00D55D8A"/>
    <w:rsid w:val="00D6011C"/>
    <w:rsid w:val="00D60707"/>
    <w:rsid w:val="00D61084"/>
    <w:rsid w:val="00D629FB"/>
    <w:rsid w:val="00D62CF5"/>
    <w:rsid w:val="00D62E22"/>
    <w:rsid w:val="00D6330D"/>
    <w:rsid w:val="00D6370D"/>
    <w:rsid w:val="00D6590F"/>
    <w:rsid w:val="00D65CF0"/>
    <w:rsid w:val="00D65F09"/>
    <w:rsid w:val="00D6622D"/>
    <w:rsid w:val="00D6663A"/>
    <w:rsid w:val="00D709A6"/>
    <w:rsid w:val="00D715A9"/>
    <w:rsid w:val="00D732AA"/>
    <w:rsid w:val="00D756A1"/>
    <w:rsid w:val="00D768B4"/>
    <w:rsid w:val="00D80ABC"/>
    <w:rsid w:val="00D82E86"/>
    <w:rsid w:val="00D860B3"/>
    <w:rsid w:val="00D876EB"/>
    <w:rsid w:val="00D9058C"/>
    <w:rsid w:val="00D90C90"/>
    <w:rsid w:val="00D90E4E"/>
    <w:rsid w:val="00D91B1A"/>
    <w:rsid w:val="00D922AC"/>
    <w:rsid w:val="00D92C36"/>
    <w:rsid w:val="00D93FD8"/>
    <w:rsid w:val="00D95AAE"/>
    <w:rsid w:val="00D95B82"/>
    <w:rsid w:val="00D96309"/>
    <w:rsid w:val="00D966D5"/>
    <w:rsid w:val="00D96CC9"/>
    <w:rsid w:val="00D97C15"/>
    <w:rsid w:val="00DA0FE2"/>
    <w:rsid w:val="00DA4424"/>
    <w:rsid w:val="00DA4506"/>
    <w:rsid w:val="00DA4BDD"/>
    <w:rsid w:val="00DA502D"/>
    <w:rsid w:val="00DA7277"/>
    <w:rsid w:val="00DA75F7"/>
    <w:rsid w:val="00DA7D71"/>
    <w:rsid w:val="00DB0943"/>
    <w:rsid w:val="00DB18CC"/>
    <w:rsid w:val="00DB34C1"/>
    <w:rsid w:val="00DB44DA"/>
    <w:rsid w:val="00DB4887"/>
    <w:rsid w:val="00DB534B"/>
    <w:rsid w:val="00DB6820"/>
    <w:rsid w:val="00DC0101"/>
    <w:rsid w:val="00DC03EE"/>
    <w:rsid w:val="00DC10A6"/>
    <w:rsid w:val="00DC3039"/>
    <w:rsid w:val="00DC426E"/>
    <w:rsid w:val="00DC4DE1"/>
    <w:rsid w:val="00DC5046"/>
    <w:rsid w:val="00DC73B4"/>
    <w:rsid w:val="00DD039E"/>
    <w:rsid w:val="00DD108A"/>
    <w:rsid w:val="00DD1F73"/>
    <w:rsid w:val="00DD25EB"/>
    <w:rsid w:val="00DD3685"/>
    <w:rsid w:val="00DD4745"/>
    <w:rsid w:val="00DD54EA"/>
    <w:rsid w:val="00DD61AD"/>
    <w:rsid w:val="00DD61CB"/>
    <w:rsid w:val="00DD6FC2"/>
    <w:rsid w:val="00DD71D7"/>
    <w:rsid w:val="00DD750A"/>
    <w:rsid w:val="00DE2CEB"/>
    <w:rsid w:val="00DE34B7"/>
    <w:rsid w:val="00DE4B54"/>
    <w:rsid w:val="00DE4F17"/>
    <w:rsid w:val="00DE58BA"/>
    <w:rsid w:val="00DE59A7"/>
    <w:rsid w:val="00DE606A"/>
    <w:rsid w:val="00DF0591"/>
    <w:rsid w:val="00DF37FC"/>
    <w:rsid w:val="00DF5B20"/>
    <w:rsid w:val="00DF6E4C"/>
    <w:rsid w:val="00DF7BD1"/>
    <w:rsid w:val="00E00AAB"/>
    <w:rsid w:val="00E0119F"/>
    <w:rsid w:val="00E02957"/>
    <w:rsid w:val="00E03548"/>
    <w:rsid w:val="00E03B01"/>
    <w:rsid w:val="00E0584B"/>
    <w:rsid w:val="00E05F7A"/>
    <w:rsid w:val="00E0649E"/>
    <w:rsid w:val="00E06E6C"/>
    <w:rsid w:val="00E06EEE"/>
    <w:rsid w:val="00E102D3"/>
    <w:rsid w:val="00E10A7D"/>
    <w:rsid w:val="00E10D22"/>
    <w:rsid w:val="00E115FA"/>
    <w:rsid w:val="00E12151"/>
    <w:rsid w:val="00E12B6E"/>
    <w:rsid w:val="00E1355C"/>
    <w:rsid w:val="00E137C7"/>
    <w:rsid w:val="00E142BB"/>
    <w:rsid w:val="00E15424"/>
    <w:rsid w:val="00E16AB7"/>
    <w:rsid w:val="00E17562"/>
    <w:rsid w:val="00E2381F"/>
    <w:rsid w:val="00E249FC"/>
    <w:rsid w:val="00E26182"/>
    <w:rsid w:val="00E27105"/>
    <w:rsid w:val="00E3035C"/>
    <w:rsid w:val="00E3055A"/>
    <w:rsid w:val="00E31C07"/>
    <w:rsid w:val="00E3467C"/>
    <w:rsid w:val="00E34AA8"/>
    <w:rsid w:val="00E34DD9"/>
    <w:rsid w:val="00E36E16"/>
    <w:rsid w:val="00E410E7"/>
    <w:rsid w:val="00E42F96"/>
    <w:rsid w:val="00E442DF"/>
    <w:rsid w:val="00E464F5"/>
    <w:rsid w:val="00E508C4"/>
    <w:rsid w:val="00E509E4"/>
    <w:rsid w:val="00E50F57"/>
    <w:rsid w:val="00E518A1"/>
    <w:rsid w:val="00E52F02"/>
    <w:rsid w:val="00E531CF"/>
    <w:rsid w:val="00E54318"/>
    <w:rsid w:val="00E54B27"/>
    <w:rsid w:val="00E552CE"/>
    <w:rsid w:val="00E5558C"/>
    <w:rsid w:val="00E56210"/>
    <w:rsid w:val="00E5795E"/>
    <w:rsid w:val="00E6090E"/>
    <w:rsid w:val="00E61675"/>
    <w:rsid w:val="00E62024"/>
    <w:rsid w:val="00E63780"/>
    <w:rsid w:val="00E63848"/>
    <w:rsid w:val="00E63C98"/>
    <w:rsid w:val="00E64D8F"/>
    <w:rsid w:val="00E64FAF"/>
    <w:rsid w:val="00E65505"/>
    <w:rsid w:val="00E67B7D"/>
    <w:rsid w:val="00E70CD0"/>
    <w:rsid w:val="00E718ED"/>
    <w:rsid w:val="00E720FC"/>
    <w:rsid w:val="00E7617B"/>
    <w:rsid w:val="00E778C0"/>
    <w:rsid w:val="00E77F74"/>
    <w:rsid w:val="00E804F5"/>
    <w:rsid w:val="00E82394"/>
    <w:rsid w:val="00E82A43"/>
    <w:rsid w:val="00E833B9"/>
    <w:rsid w:val="00E83F3D"/>
    <w:rsid w:val="00E84079"/>
    <w:rsid w:val="00E8446E"/>
    <w:rsid w:val="00E8581D"/>
    <w:rsid w:val="00E85884"/>
    <w:rsid w:val="00E8634F"/>
    <w:rsid w:val="00E86C6F"/>
    <w:rsid w:val="00E8722B"/>
    <w:rsid w:val="00E905BC"/>
    <w:rsid w:val="00E91511"/>
    <w:rsid w:val="00E91EB1"/>
    <w:rsid w:val="00E95802"/>
    <w:rsid w:val="00E9638E"/>
    <w:rsid w:val="00EA03E4"/>
    <w:rsid w:val="00EA0C5D"/>
    <w:rsid w:val="00EA1F17"/>
    <w:rsid w:val="00EA2881"/>
    <w:rsid w:val="00EA2EFA"/>
    <w:rsid w:val="00EA363F"/>
    <w:rsid w:val="00EA5D1E"/>
    <w:rsid w:val="00EA5F59"/>
    <w:rsid w:val="00EA652A"/>
    <w:rsid w:val="00EA6695"/>
    <w:rsid w:val="00EA6A61"/>
    <w:rsid w:val="00EA6EB0"/>
    <w:rsid w:val="00EA6F7D"/>
    <w:rsid w:val="00EB0789"/>
    <w:rsid w:val="00EB0A79"/>
    <w:rsid w:val="00EB0D75"/>
    <w:rsid w:val="00EB0D85"/>
    <w:rsid w:val="00EB2181"/>
    <w:rsid w:val="00EB22A2"/>
    <w:rsid w:val="00EB6BFB"/>
    <w:rsid w:val="00EB6E98"/>
    <w:rsid w:val="00EB74ED"/>
    <w:rsid w:val="00EB7597"/>
    <w:rsid w:val="00EC1439"/>
    <w:rsid w:val="00EC52EB"/>
    <w:rsid w:val="00EC6DDD"/>
    <w:rsid w:val="00ED3BEC"/>
    <w:rsid w:val="00ED5663"/>
    <w:rsid w:val="00ED6132"/>
    <w:rsid w:val="00ED6D9B"/>
    <w:rsid w:val="00EE1C20"/>
    <w:rsid w:val="00EE1EF3"/>
    <w:rsid w:val="00EE22D6"/>
    <w:rsid w:val="00EE26C3"/>
    <w:rsid w:val="00EE3349"/>
    <w:rsid w:val="00EE47B2"/>
    <w:rsid w:val="00EE716B"/>
    <w:rsid w:val="00EF06E7"/>
    <w:rsid w:val="00EF07AB"/>
    <w:rsid w:val="00EF13B5"/>
    <w:rsid w:val="00EF1459"/>
    <w:rsid w:val="00EF2087"/>
    <w:rsid w:val="00EF2130"/>
    <w:rsid w:val="00EF2147"/>
    <w:rsid w:val="00EF54BA"/>
    <w:rsid w:val="00EF576C"/>
    <w:rsid w:val="00EF6F9A"/>
    <w:rsid w:val="00F00F85"/>
    <w:rsid w:val="00F0137F"/>
    <w:rsid w:val="00F014D3"/>
    <w:rsid w:val="00F02A87"/>
    <w:rsid w:val="00F03041"/>
    <w:rsid w:val="00F031C1"/>
    <w:rsid w:val="00F03705"/>
    <w:rsid w:val="00F06B37"/>
    <w:rsid w:val="00F10312"/>
    <w:rsid w:val="00F10B95"/>
    <w:rsid w:val="00F13329"/>
    <w:rsid w:val="00F134E4"/>
    <w:rsid w:val="00F13A47"/>
    <w:rsid w:val="00F14B9B"/>
    <w:rsid w:val="00F15382"/>
    <w:rsid w:val="00F20975"/>
    <w:rsid w:val="00F2110D"/>
    <w:rsid w:val="00F216A3"/>
    <w:rsid w:val="00F216F9"/>
    <w:rsid w:val="00F2186C"/>
    <w:rsid w:val="00F2193A"/>
    <w:rsid w:val="00F22B73"/>
    <w:rsid w:val="00F244B9"/>
    <w:rsid w:val="00F2755A"/>
    <w:rsid w:val="00F305EA"/>
    <w:rsid w:val="00F32BEE"/>
    <w:rsid w:val="00F33BE1"/>
    <w:rsid w:val="00F3503B"/>
    <w:rsid w:val="00F35303"/>
    <w:rsid w:val="00F36ECE"/>
    <w:rsid w:val="00F412C9"/>
    <w:rsid w:val="00F4131B"/>
    <w:rsid w:val="00F42C3D"/>
    <w:rsid w:val="00F43339"/>
    <w:rsid w:val="00F43CD6"/>
    <w:rsid w:val="00F45419"/>
    <w:rsid w:val="00F45833"/>
    <w:rsid w:val="00F45846"/>
    <w:rsid w:val="00F45A63"/>
    <w:rsid w:val="00F46B5D"/>
    <w:rsid w:val="00F47516"/>
    <w:rsid w:val="00F4779A"/>
    <w:rsid w:val="00F51EBD"/>
    <w:rsid w:val="00F528B9"/>
    <w:rsid w:val="00F52A22"/>
    <w:rsid w:val="00F52FC4"/>
    <w:rsid w:val="00F54987"/>
    <w:rsid w:val="00F55272"/>
    <w:rsid w:val="00F563A0"/>
    <w:rsid w:val="00F60121"/>
    <w:rsid w:val="00F651B1"/>
    <w:rsid w:val="00F65B6C"/>
    <w:rsid w:val="00F66114"/>
    <w:rsid w:val="00F66961"/>
    <w:rsid w:val="00F67027"/>
    <w:rsid w:val="00F67DA0"/>
    <w:rsid w:val="00F72605"/>
    <w:rsid w:val="00F727C3"/>
    <w:rsid w:val="00F72C2A"/>
    <w:rsid w:val="00F7447F"/>
    <w:rsid w:val="00F745CB"/>
    <w:rsid w:val="00F76067"/>
    <w:rsid w:val="00F76A78"/>
    <w:rsid w:val="00F77A57"/>
    <w:rsid w:val="00F818AE"/>
    <w:rsid w:val="00F84504"/>
    <w:rsid w:val="00F87692"/>
    <w:rsid w:val="00F87A69"/>
    <w:rsid w:val="00F909E8"/>
    <w:rsid w:val="00F93396"/>
    <w:rsid w:val="00F936A3"/>
    <w:rsid w:val="00F94D02"/>
    <w:rsid w:val="00F96DD0"/>
    <w:rsid w:val="00FA1B8A"/>
    <w:rsid w:val="00FA3646"/>
    <w:rsid w:val="00FA3BE8"/>
    <w:rsid w:val="00FA4815"/>
    <w:rsid w:val="00FA6070"/>
    <w:rsid w:val="00FA6803"/>
    <w:rsid w:val="00FA6CE6"/>
    <w:rsid w:val="00FA7AAA"/>
    <w:rsid w:val="00FA7C59"/>
    <w:rsid w:val="00FA7D5D"/>
    <w:rsid w:val="00FB0294"/>
    <w:rsid w:val="00FB03C6"/>
    <w:rsid w:val="00FB05EE"/>
    <w:rsid w:val="00FB099E"/>
    <w:rsid w:val="00FB10BB"/>
    <w:rsid w:val="00FB20D9"/>
    <w:rsid w:val="00FB235D"/>
    <w:rsid w:val="00FB2C74"/>
    <w:rsid w:val="00FB3181"/>
    <w:rsid w:val="00FB33B4"/>
    <w:rsid w:val="00FB3A4A"/>
    <w:rsid w:val="00FB447E"/>
    <w:rsid w:val="00FB5F4E"/>
    <w:rsid w:val="00FB6176"/>
    <w:rsid w:val="00FB6801"/>
    <w:rsid w:val="00FB79BA"/>
    <w:rsid w:val="00FB7FAB"/>
    <w:rsid w:val="00FC05AB"/>
    <w:rsid w:val="00FC0CA4"/>
    <w:rsid w:val="00FC68E3"/>
    <w:rsid w:val="00FC710A"/>
    <w:rsid w:val="00FC7B67"/>
    <w:rsid w:val="00FD1C6D"/>
    <w:rsid w:val="00FD2FCB"/>
    <w:rsid w:val="00FD346D"/>
    <w:rsid w:val="00FD3518"/>
    <w:rsid w:val="00FD3DC2"/>
    <w:rsid w:val="00FD56D4"/>
    <w:rsid w:val="00FE0696"/>
    <w:rsid w:val="00FE2A3F"/>
    <w:rsid w:val="00FE31A3"/>
    <w:rsid w:val="00FE5CD0"/>
    <w:rsid w:val="00FE5DFA"/>
    <w:rsid w:val="00FF0D0D"/>
    <w:rsid w:val="00FF1FF0"/>
    <w:rsid w:val="00FF37B1"/>
    <w:rsid w:val="00FF41F1"/>
    <w:rsid w:val="00FF4725"/>
    <w:rsid w:val="00FF4D99"/>
    <w:rsid w:val="00FF62B5"/>
    <w:rsid w:val="00FF6AE9"/>
    <w:rsid w:val="00FF6C16"/>
    <w:rsid w:val="00FF74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2B"/>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B6C2B"/>
    <w:rPr>
      <w:color w:val="0000FF"/>
      <w:u w:val="single"/>
    </w:rPr>
  </w:style>
  <w:style w:type="paragraph" w:styleId="Paragraphedeliste">
    <w:name w:val="List Paragraph"/>
    <w:basedOn w:val="Normal"/>
    <w:uiPriority w:val="34"/>
    <w:qFormat/>
    <w:rsid w:val="008341B0"/>
    <w:pPr>
      <w:ind w:left="720"/>
      <w:contextualSpacing/>
    </w:pPr>
  </w:style>
  <w:style w:type="character" w:styleId="Textedelespacerserv">
    <w:name w:val="Placeholder Text"/>
    <w:basedOn w:val="Policepardfaut"/>
    <w:uiPriority w:val="99"/>
    <w:semiHidden/>
    <w:rsid w:val="00F936A3"/>
    <w:rPr>
      <w:color w:val="808080"/>
    </w:rPr>
  </w:style>
  <w:style w:type="paragraph" w:styleId="Textedebulles">
    <w:name w:val="Balloon Text"/>
    <w:basedOn w:val="Normal"/>
    <w:link w:val="TextedebullesCar"/>
    <w:uiPriority w:val="99"/>
    <w:semiHidden/>
    <w:unhideWhenUsed/>
    <w:rsid w:val="00F936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6A3"/>
    <w:rPr>
      <w:rFonts w:ascii="Tahoma" w:hAnsi="Tahoma" w:cs="Tahoma"/>
      <w:sz w:val="16"/>
      <w:szCs w:val="16"/>
    </w:rPr>
  </w:style>
  <w:style w:type="paragraph" w:styleId="Notedebasdepage">
    <w:name w:val="footnote text"/>
    <w:basedOn w:val="Normal"/>
    <w:link w:val="NotedebasdepageCar"/>
    <w:uiPriority w:val="99"/>
    <w:rsid w:val="00A13D9C"/>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A13D9C"/>
    <w:rPr>
      <w:rFonts w:ascii="Calibri" w:eastAsia="Calibri" w:hAnsi="Calibri" w:cs="Arial"/>
      <w:sz w:val="20"/>
      <w:szCs w:val="20"/>
    </w:rPr>
  </w:style>
  <w:style w:type="character" w:styleId="Appelnotedebasdep">
    <w:name w:val="footnote reference"/>
    <w:basedOn w:val="Policepardfaut"/>
    <w:uiPriority w:val="99"/>
    <w:semiHidden/>
    <w:unhideWhenUsed/>
    <w:rsid w:val="00A13D9C"/>
    <w:rPr>
      <w:vertAlign w:val="superscript"/>
    </w:rPr>
  </w:style>
  <w:style w:type="paragraph" w:styleId="En-tte">
    <w:name w:val="header"/>
    <w:basedOn w:val="Normal"/>
    <w:link w:val="En-tteCar"/>
    <w:uiPriority w:val="99"/>
    <w:unhideWhenUsed/>
    <w:rsid w:val="00A13D9C"/>
    <w:pPr>
      <w:tabs>
        <w:tab w:val="center" w:pos="4536"/>
        <w:tab w:val="right" w:pos="9072"/>
      </w:tabs>
      <w:spacing w:after="0" w:line="240" w:lineRule="auto"/>
    </w:pPr>
  </w:style>
  <w:style w:type="character" w:customStyle="1" w:styleId="En-tteCar">
    <w:name w:val="En-tête Car"/>
    <w:basedOn w:val="Policepardfaut"/>
    <w:link w:val="En-tte"/>
    <w:uiPriority w:val="99"/>
    <w:rsid w:val="00A13D9C"/>
  </w:style>
  <w:style w:type="paragraph" w:styleId="Pieddepage">
    <w:name w:val="footer"/>
    <w:basedOn w:val="Normal"/>
    <w:link w:val="PieddepageCar"/>
    <w:uiPriority w:val="99"/>
    <w:unhideWhenUsed/>
    <w:rsid w:val="00A1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D9C"/>
  </w:style>
  <w:style w:type="paragraph" w:styleId="Lgende">
    <w:name w:val="caption"/>
    <w:basedOn w:val="Normal"/>
    <w:next w:val="Normal"/>
    <w:uiPriority w:val="35"/>
    <w:unhideWhenUsed/>
    <w:qFormat/>
    <w:rsid w:val="009B1565"/>
    <w:pPr>
      <w:spacing w:line="240" w:lineRule="auto"/>
    </w:pPr>
    <w:rPr>
      <w:rFonts w:ascii="Calibri" w:eastAsia="Calibri" w:hAnsi="Calibri" w:cs="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2B"/>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B6C2B"/>
    <w:rPr>
      <w:color w:val="0000FF"/>
      <w:u w:val="single"/>
    </w:rPr>
  </w:style>
  <w:style w:type="paragraph" w:styleId="Paragraphedeliste">
    <w:name w:val="List Paragraph"/>
    <w:basedOn w:val="Normal"/>
    <w:uiPriority w:val="34"/>
    <w:qFormat/>
    <w:rsid w:val="008341B0"/>
    <w:pPr>
      <w:ind w:left="720"/>
      <w:contextualSpacing/>
    </w:pPr>
  </w:style>
  <w:style w:type="character" w:styleId="Textedelespacerserv">
    <w:name w:val="Placeholder Text"/>
    <w:basedOn w:val="Policepardfaut"/>
    <w:uiPriority w:val="99"/>
    <w:semiHidden/>
    <w:rsid w:val="00F936A3"/>
    <w:rPr>
      <w:color w:val="808080"/>
    </w:rPr>
  </w:style>
  <w:style w:type="paragraph" w:styleId="Textedebulles">
    <w:name w:val="Balloon Text"/>
    <w:basedOn w:val="Normal"/>
    <w:link w:val="TextedebullesCar"/>
    <w:uiPriority w:val="99"/>
    <w:semiHidden/>
    <w:unhideWhenUsed/>
    <w:rsid w:val="00F936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6A3"/>
    <w:rPr>
      <w:rFonts w:ascii="Tahoma" w:hAnsi="Tahoma" w:cs="Tahoma"/>
      <w:sz w:val="16"/>
      <w:szCs w:val="16"/>
    </w:rPr>
  </w:style>
  <w:style w:type="paragraph" w:styleId="Notedebasdepage">
    <w:name w:val="footnote text"/>
    <w:basedOn w:val="Normal"/>
    <w:link w:val="NotedebasdepageCar"/>
    <w:uiPriority w:val="99"/>
    <w:rsid w:val="00A13D9C"/>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A13D9C"/>
    <w:rPr>
      <w:rFonts w:ascii="Calibri" w:eastAsia="Calibri" w:hAnsi="Calibri" w:cs="Arial"/>
      <w:sz w:val="20"/>
      <w:szCs w:val="20"/>
    </w:rPr>
  </w:style>
  <w:style w:type="character" w:styleId="Appelnotedebasdep">
    <w:name w:val="footnote reference"/>
    <w:basedOn w:val="Policepardfaut"/>
    <w:uiPriority w:val="99"/>
    <w:semiHidden/>
    <w:unhideWhenUsed/>
    <w:rsid w:val="00A13D9C"/>
    <w:rPr>
      <w:vertAlign w:val="superscript"/>
    </w:rPr>
  </w:style>
  <w:style w:type="paragraph" w:styleId="En-tte">
    <w:name w:val="header"/>
    <w:basedOn w:val="Normal"/>
    <w:link w:val="En-tteCar"/>
    <w:uiPriority w:val="99"/>
    <w:unhideWhenUsed/>
    <w:rsid w:val="00A13D9C"/>
    <w:pPr>
      <w:tabs>
        <w:tab w:val="center" w:pos="4536"/>
        <w:tab w:val="right" w:pos="9072"/>
      </w:tabs>
      <w:spacing w:after="0" w:line="240" w:lineRule="auto"/>
    </w:pPr>
  </w:style>
  <w:style w:type="character" w:customStyle="1" w:styleId="En-tteCar">
    <w:name w:val="En-tête Car"/>
    <w:basedOn w:val="Policepardfaut"/>
    <w:link w:val="En-tte"/>
    <w:uiPriority w:val="99"/>
    <w:rsid w:val="00A13D9C"/>
  </w:style>
  <w:style w:type="paragraph" w:styleId="Pieddepage">
    <w:name w:val="footer"/>
    <w:basedOn w:val="Normal"/>
    <w:link w:val="PieddepageCar"/>
    <w:uiPriority w:val="99"/>
    <w:unhideWhenUsed/>
    <w:rsid w:val="00A1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D9C"/>
  </w:style>
  <w:style w:type="paragraph" w:styleId="Lgende">
    <w:name w:val="caption"/>
    <w:basedOn w:val="Normal"/>
    <w:next w:val="Normal"/>
    <w:uiPriority w:val="35"/>
    <w:unhideWhenUsed/>
    <w:qFormat/>
    <w:rsid w:val="009B1565"/>
    <w:pPr>
      <w:spacing w:line="240" w:lineRule="auto"/>
    </w:pPr>
    <w:rPr>
      <w:rFonts w:ascii="Calibri" w:eastAsia="Calibri" w:hAnsi="Calibri" w:cs="Arial"/>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214073">
      <w:bodyDiv w:val="1"/>
      <w:marLeft w:val="0"/>
      <w:marRight w:val="0"/>
      <w:marTop w:val="0"/>
      <w:marBottom w:val="0"/>
      <w:divBdr>
        <w:top w:val="none" w:sz="0" w:space="0" w:color="auto"/>
        <w:left w:val="none" w:sz="0" w:space="0" w:color="auto"/>
        <w:bottom w:val="none" w:sz="0" w:space="0" w:color="auto"/>
        <w:right w:val="none" w:sz="0" w:space="0" w:color="auto"/>
      </w:divBdr>
    </w:div>
    <w:div w:id="757364567">
      <w:bodyDiv w:val="1"/>
      <w:marLeft w:val="0"/>
      <w:marRight w:val="0"/>
      <w:marTop w:val="0"/>
      <w:marBottom w:val="0"/>
      <w:divBdr>
        <w:top w:val="none" w:sz="0" w:space="0" w:color="auto"/>
        <w:left w:val="none" w:sz="0" w:space="0" w:color="auto"/>
        <w:bottom w:val="none" w:sz="0" w:space="0" w:color="auto"/>
        <w:right w:val="none" w:sz="0" w:space="0" w:color="auto"/>
      </w:divBdr>
    </w:div>
    <w:div w:id="991906939">
      <w:bodyDiv w:val="1"/>
      <w:marLeft w:val="0"/>
      <w:marRight w:val="0"/>
      <w:marTop w:val="0"/>
      <w:marBottom w:val="0"/>
      <w:divBdr>
        <w:top w:val="none" w:sz="0" w:space="0" w:color="auto"/>
        <w:left w:val="none" w:sz="0" w:space="0" w:color="auto"/>
        <w:bottom w:val="none" w:sz="0" w:space="0" w:color="auto"/>
        <w:right w:val="none" w:sz="0" w:space="0" w:color="auto"/>
      </w:divBdr>
    </w:div>
    <w:div w:id="1086456507">
      <w:bodyDiv w:val="1"/>
      <w:marLeft w:val="0"/>
      <w:marRight w:val="0"/>
      <w:marTop w:val="0"/>
      <w:marBottom w:val="0"/>
      <w:divBdr>
        <w:top w:val="none" w:sz="0" w:space="0" w:color="auto"/>
        <w:left w:val="none" w:sz="0" w:space="0" w:color="auto"/>
        <w:bottom w:val="none" w:sz="0" w:space="0" w:color="auto"/>
        <w:right w:val="none" w:sz="0" w:space="0" w:color="auto"/>
      </w:divBdr>
    </w:div>
    <w:div w:id="1238250609">
      <w:bodyDiv w:val="1"/>
      <w:marLeft w:val="0"/>
      <w:marRight w:val="0"/>
      <w:marTop w:val="0"/>
      <w:marBottom w:val="0"/>
      <w:divBdr>
        <w:top w:val="none" w:sz="0" w:space="0" w:color="auto"/>
        <w:left w:val="none" w:sz="0" w:space="0" w:color="auto"/>
        <w:bottom w:val="none" w:sz="0" w:space="0" w:color="auto"/>
        <w:right w:val="none" w:sz="0" w:space="0" w:color="auto"/>
      </w:divBdr>
    </w:div>
    <w:div w:id="1299340307">
      <w:bodyDiv w:val="1"/>
      <w:marLeft w:val="0"/>
      <w:marRight w:val="0"/>
      <w:marTop w:val="0"/>
      <w:marBottom w:val="0"/>
      <w:divBdr>
        <w:top w:val="none" w:sz="0" w:space="0" w:color="auto"/>
        <w:left w:val="none" w:sz="0" w:space="0" w:color="auto"/>
        <w:bottom w:val="none" w:sz="0" w:space="0" w:color="auto"/>
        <w:right w:val="none" w:sz="0" w:space="0" w:color="auto"/>
      </w:divBdr>
    </w:div>
    <w:div w:id="1567107668">
      <w:bodyDiv w:val="1"/>
      <w:marLeft w:val="0"/>
      <w:marRight w:val="0"/>
      <w:marTop w:val="0"/>
      <w:marBottom w:val="0"/>
      <w:divBdr>
        <w:top w:val="none" w:sz="0" w:space="0" w:color="auto"/>
        <w:left w:val="none" w:sz="0" w:space="0" w:color="auto"/>
        <w:bottom w:val="none" w:sz="0" w:space="0" w:color="auto"/>
        <w:right w:val="none" w:sz="0" w:space="0" w:color="auto"/>
      </w:divBdr>
    </w:div>
    <w:div w:id="1627271008">
      <w:bodyDiv w:val="1"/>
      <w:marLeft w:val="0"/>
      <w:marRight w:val="0"/>
      <w:marTop w:val="0"/>
      <w:marBottom w:val="0"/>
      <w:divBdr>
        <w:top w:val="none" w:sz="0" w:space="0" w:color="auto"/>
        <w:left w:val="none" w:sz="0" w:space="0" w:color="auto"/>
        <w:bottom w:val="none" w:sz="0" w:space="0" w:color="auto"/>
        <w:right w:val="none" w:sz="0" w:space="0" w:color="auto"/>
      </w:divBdr>
    </w:div>
    <w:div w:id="1717462621">
      <w:bodyDiv w:val="1"/>
      <w:marLeft w:val="0"/>
      <w:marRight w:val="0"/>
      <w:marTop w:val="0"/>
      <w:marBottom w:val="0"/>
      <w:divBdr>
        <w:top w:val="none" w:sz="0" w:space="0" w:color="auto"/>
        <w:left w:val="none" w:sz="0" w:space="0" w:color="auto"/>
        <w:bottom w:val="none" w:sz="0" w:space="0" w:color="auto"/>
        <w:right w:val="none" w:sz="0" w:space="0" w:color="auto"/>
      </w:divBdr>
    </w:div>
    <w:div w:id="1875776253">
      <w:bodyDiv w:val="1"/>
      <w:marLeft w:val="0"/>
      <w:marRight w:val="0"/>
      <w:marTop w:val="0"/>
      <w:marBottom w:val="0"/>
      <w:divBdr>
        <w:top w:val="none" w:sz="0" w:space="0" w:color="auto"/>
        <w:left w:val="none" w:sz="0" w:space="0" w:color="auto"/>
        <w:bottom w:val="none" w:sz="0" w:space="0" w:color="auto"/>
        <w:right w:val="none" w:sz="0" w:space="0" w:color="auto"/>
      </w:divBdr>
    </w:div>
    <w:div w:id="1903559651">
      <w:bodyDiv w:val="1"/>
      <w:marLeft w:val="0"/>
      <w:marRight w:val="0"/>
      <w:marTop w:val="0"/>
      <w:marBottom w:val="0"/>
      <w:divBdr>
        <w:top w:val="none" w:sz="0" w:space="0" w:color="auto"/>
        <w:left w:val="none" w:sz="0" w:space="0" w:color="auto"/>
        <w:bottom w:val="none" w:sz="0" w:space="0" w:color="auto"/>
        <w:right w:val="none" w:sz="0" w:space="0" w:color="auto"/>
      </w:divBdr>
    </w:div>
    <w:div w:id="2023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riadh.abed@gmail.com" TargetMode="Externa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emf"/><Relationship Id="rId10" Type="http://schemas.openxmlformats.org/officeDocument/2006/relationships/image" Target="media/image3.e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png"/><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12794</Words>
  <Characters>70367</Characters>
  <Application>Microsoft Office Word</Application>
  <DocSecurity>0</DocSecurity>
  <Lines>586</Lines>
  <Paragraphs>165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82996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MASTER</cp:lastModifiedBy>
  <cp:revision>3</cp:revision>
  <dcterms:created xsi:type="dcterms:W3CDTF">2015-06-15T13:38:00Z</dcterms:created>
  <dcterms:modified xsi:type="dcterms:W3CDTF">2015-10-06T11:02:00Z</dcterms:modified>
</cp:coreProperties>
</file>